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981E8">
      <w:pPr>
        <w:snapToGrid w:val="0"/>
        <w:spacing w:after="120" w:line="700" w:lineRule="exact"/>
        <w:jc w:val="center"/>
        <w:textAlignment w:val="baseline"/>
        <w:rPr>
          <w:rFonts w:hint="eastAsia" w:ascii="宋体" w:hAnsi="宋体" w:eastAsia="宋体" w:cs="黑体"/>
          <w:b/>
          <w:color w:val="auto"/>
          <w:sz w:val="56"/>
          <w:szCs w:val="56"/>
          <w:highlight w:val="none"/>
        </w:rPr>
      </w:pPr>
      <w:r>
        <w:rPr>
          <w:rFonts w:hint="eastAsia" w:ascii="宋体" w:hAnsi="宋体" w:cs="黑体"/>
          <w:b/>
          <w:color w:val="auto"/>
          <w:sz w:val="56"/>
          <w:szCs w:val="56"/>
          <w:highlight w:val="none"/>
          <w:lang w:eastAsia="zh-CN"/>
        </w:rPr>
        <w:t>卢氏县五里川河流域历史遗留冶炼废渣勘察设计项目（二次）</w:t>
      </w:r>
    </w:p>
    <w:p w14:paraId="6B6C4E40">
      <w:pPr>
        <w:snapToGrid w:val="0"/>
        <w:spacing w:after="120" w:line="500" w:lineRule="exact"/>
        <w:ind w:firstLine="2249" w:firstLineChars="800"/>
        <w:jc w:val="both"/>
        <w:textAlignment w:val="baseline"/>
        <w:rPr>
          <w:rFonts w:ascii="宋体" w:hAnsi="宋体" w:cs="黑体"/>
          <w:b/>
          <w:color w:val="auto"/>
          <w:sz w:val="28"/>
          <w:szCs w:val="28"/>
          <w:highlight w:val="none"/>
        </w:rPr>
      </w:pPr>
    </w:p>
    <w:p w14:paraId="37187925">
      <w:pPr>
        <w:snapToGrid w:val="0"/>
        <w:spacing w:after="120" w:line="700" w:lineRule="exact"/>
        <w:jc w:val="center"/>
        <w:textAlignment w:val="baseline"/>
        <w:rPr>
          <w:rFonts w:hint="eastAsia" w:ascii="宋体" w:hAnsi="宋体" w:eastAsia="宋体" w:cs="黑体"/>
          <w:b/>
          <w:color w:val="auto"/>
          <w:sz w:val="52"/>
          <w:szCs w:val="52"/>
          <w:highlight w:val="none"/>
        </w:rPr>
      </w:pPr>
      <w:r>
        <w:rPr>
          <w:rFonts w:hint="eastAsia" w:ascii="宋体" w:hAnsi="宋体" w:eastAsia="宋体" w:cs="黑体"/>
          <w:b/>
          <w:color w:val="auto"/>
          <w:sz w:val="52"/>
          <w:szCs w:val="52"/>
          <w:highlight w:val="none"/>
        </w:rPr>
        <w:t>竞争性磋商文件</w:t>
      </w:r>
    </w:p>
    <w:p w14:paraId="0CACC5F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center"/>
        <w:rPr>
          <w:rFonts w:hint="eastAsia" w:ascii="宋体" w:hAnsi="宋体" w:eastAsia="宋体" w:cs="宋体"/>
          <w:color w:val="auto"/>
          <w:sz w:val="32"/>
          <w:szCs w:val="32"/>
          <w:highlight w:val="none"/>
          <w:lang w:eastAsia="zh-CN"/>
        </w:rPr>
      </w:pPr>
    </w:p>
    <w:p w14:paraId="6C3D167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center"/>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项目编号：</w:t>
      </w:r>
      <w:r>
        <w:rPr>
          <w:rFonts w:hint="eastAsia" w:ascii="宋体" w:hAnsi="宋体" w:eastAsia="宋体" w:cs="宋体"/>
          <w:color w:val="auto"/>
          <w:sz w:val="32"/>
          <w:szCs w:val="32"/>
          <w:highlight w:val="none"/>
          <w:lang w:val="en-US" w:eastAsia="zh-CN"/>
        </w:rPr>
        <w:t>三卢竞磋采购-2026-74、LSGZ[2026]205-ZC157</w:t>
      </w:r>
    </w:p>
    <w:p w14:paraId="2971F49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center"/>
        <w:rPr>
          <w:rFonts w:hint="eastAsia" w:ascii="宋体" w:hAnsi="宋体" w:eastAsia="宋体" w:cs="宋体"/>
          <w:color w:val="auto"/>
          <w:sz w:val="32"/>
          <w:szCs w:val="32"/>
          <w:highlight w:val="none"/>
          <w:lang w:eastAsia="zh-CN"/>
        </w:rPr>
      </w:pPr>
    </w:p>
    <w:p w14:paraId="7209F2D8">
      <w:pPr>
        <w:snapToGrid w:val="0"/>
        <w:spacing w:line="500" w:lineRule="exact"/>
        <w:jc w:val="center"/>
        <w:textAlignment w:val="baseline"/>
        <w:rPr>
          <w:rFonts w:ascii="仿宋_GB2312" w:eastAsia="仿宋_GB2312"/>
          <w:color w:val="auto"/>
          <w:sz w:val="18"/>
          <w:highlight w:val="none"/>
        </w:rPr>
      </w:pPr>
    </w:p>
    <w:p w14:paraId="6A09A499">
      <w:pPr>
        <w:snapToGrid w:val="0"/>
        <w:spacing w:line="500" w:lineRule="exact"/>
        <w:jc w:val="center"/>
        <w:textAlignment w:val="baseline"/>
        <w:rPr>
          <w:rFonts w:ascii="仿宋_GB2312" w:eastAsia="仿宋_GB2312"/>
          <w:color w:val="auto"/>
          <w:sz w:val="18"/>
          <w:highlight w:val="none"/>
        </w:rPr>
      </w:pPr>
    </w:p>
    <w:p w14:paraId="31243AD1">
      <w:pPr>
        <w:snapToGrid w:val="0"/>
        <w:spacing w:line="500" w:lineRule="exact"/>
        <w:jc w:val="center"/>
        <w:textAlignment w:val="baseline"/>
        <w:rPr>
          <w:rFonts w:ascii="宋体" w:hAnsi="宋体" w:cs="黑体"/>
          <w:color w:val="auto"/>
          <w:sz w:val="28"/>
          <w:szCs w:val="28"/>
          <w:highlight w:val="none"/>
        </w:rPr>
      </w:pPr>
    </w:p>
    <w:p w14:paraId="4AA03F72">
      <w:pPr>
        <w:snapToGrid w:val="0"/>
        <w:spacing w:line="500" w:lineRule="exact"/>
        <w:jc w:val="center"/>
        <w:textAlignment w:val="baseline"/>
        <w:rPr>
          <w:rFonts w:cs="黑体"/>
          <w:b/>
          <w:bCs/>
          <w:color w:val="auto"/>
          <w:sz w:val="36"/>
          <w:szCs w:val="36"/>
          <w:highlight w:val="none"/>
        </w:rPr>
      </w:pPr>
      <w:r>
        <w:drawing>
          <wp:anchor distT="0" distB="0" distL="114300" distR="114300" simplePos="0" relativeHeight="251659264" behindDoc="1" locked="0" layoutInCell="1" allowOverlap="1">
            <wp:simplePos x="0" y="0"/>
            <wp:positionH relativeFrom="column">
              <wp:posOffset>1175385</wp:posOffset>
            </wp:positionH>
            <wp:positionV relativeFrom="paragraph">
              <wp:posOffset>-135255</wp:posOffset>
            </wp:positionV>
            <wp:extent cx="3874770" cy="2137410"/>
            <wp:effectExtent l="0" t="0" r="11430" b="15240"/>
            <wp:wrapTight wrapText="bothSides">
              <wp:wrapPolygon>
                <wp:start x="0" y="0"/>
                <wp:lineTo x="0" y="21369"/>
                <wp:lineTo x="21451" y="21369"/>
                <wp:lineTo x="21451"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6"/>
                    <a:stretch>
                      <a:fillRect/>
                    </a:stretch>
                  </pic:blipFill>
                  <pic:spPr>
                    <a:xfrm>
                      <a:off x="0" y="0"/>
                      <a:ext cx="3874770" cy="2137410"/>
                    </a:xfrm>
                    <a:prstGeom prst="rect">
                      <a:avLst/>
                    </a:prstGeom>
                    <a:noFill/>
                    <a:ln>
                      <a:noFill/>
                    </a:ln>
                  </pic:spPr>
                </pic:pic>
              </a:graphicData>
            </a:graphic>
          </wp:anchor>
        </w:drawing>
      </w:r>
    </w:p>
    <w:p w14:paraId="3CCBACBC">
      <w:pPr>
        <w:snapToGrid w:val="0"/>
        <w:spacing w:line="500" w:lineRule="exact"/>
        <w:ind w:firstLine="2570" w:firstLineChars="800"/>
        <w:jc w:val="both"/>
        <w:textAlignment w:val="baseline"/>
        <w:rPr>
          <w:rFonts w:cs="黑体"/>
          <w:b/>
          <w:bCs/>
          <w:color w:val="auto"/>
          <w:sz w:val="32"/>
          <w:szCs w:val="32"/>
          <w:highlight w:val="none"/>
        </w:rPr>
      </w:pPr>
    </w:p>
    <w:p w14:paraId="1E18AF9A">
      <w:pPr>
        <w:snapToGrid w:val="0"/>
        <w:spacing w:line="500" w:lineRule="exact"/>
        <w:ind w:firstLine="2570" w:firstLineChars="800"/>
        <w:jc w:val="both"/>
        <w:textAlignment w:val="baseline"/>
        <w:rPr>
          <w:rFonts w:cs="黑体"/>
          <w:b/>
          <w:bCs/>
          <w:color w:val="auto"/>
          <w:sz w:val="32"/>
          <w:szCs w:val="32"/>
          <w:highlight w:val="none"/>
        </w:rPr>
      </w:pPr>
    </w:p>
    <w:p w14:paraId="5068F6E8">
      <w:pPr>
        <w:snapToGrid w:val="0"/>
        <w:spacing w:line="500" w:lineRule="exact"/>
        <w:ind w:firstLine="2570" w:firstLineChars="800"/>
        <w:jc w:val="both"/>
        <w:textAlignment w:val="baseline"/>
        <w:rPr>
          <w:rFonts w:cs="黑体"/>
          <w:b/>
          <w:bCs/>
          <w:color w:val="auto"/>
          <w:sz w:val="32"/>
          <w:szCs w:val="32"/>
          <w:highlight w:val="none"/>
        </w:rPr>
      </w:pPr>
    </w:p>
    <w:p w14:paraId="0B85906D">
      <w:pPr>
        <w:snapToGrid w:val="0"/>
        <w:spacing w:line="500" w:lineRule="exact"/>
        <w:ind w:firstLine="2570" w:firstLineChars="800"/>
        <w:jc w:val="both"/>
        <w:textAlignment w:val="baseline"/>
        <w:rPr>
          <w:rFonts w:cs="黑体"/>
          <w:b/>
          <w:bCs/>
          <w:color w:val="auto"/>
          <w:sz w:val="32"/>
          <w:szCs w:val="32"/>
          <w:highlight w:val="none"/>
        </w:rPr>
      </w:pPr>
    </w:p>
    <w:p w14:paraId="595164FB">
      <w:pPr>
        <w:snapToGrid w:val="0"/>
        <w:spacing w:line="500" w:lineRule="exact"/>
        <w:jc w:val="both"/>
        <w:textAlignment w:val="baseline"/>
        <w:rPr>
          <w:rFonts w:cs="黑体"/>
          <w:b/>
          <w:bCs/>
          <w:color w:val="auto"/>
          <w:sz w:val="32"/>
          <w:szCs w:val="32"/>
          <w:highlight w:val="none"/>
        </w:rPr>
      </w:pPr>
    </w:p>
    <w:p w14:paraId="68A16ADB">
      <w:pPr>
        <w:pStyle w:val="2"/>
        <w:rPr>
          <w:color w:val="auto"/>
        </w:rPr>
      </w:pPr>
    </w:p>
    <w:p w14:paraId="6FC1130F">
      <w:pPr>
        <w:snapToGrid w:val="0"/>
        <w:spacing w:line="800" w:lineRule="exact"/>
        <w:jc w:val="center"/>
        <w:textAlignment w:val="baseline"/>
        <w:outlineLvl w:val="0"/>
        <w:rPr>
          <w:rFonts w:cs="黑体"/>
          <w:b/>
          <w:bCs/>
          <w:color w:val="auto"/>
          <w:sz w:val="32"/>
          <w:szCs w:val="32"/>
          <w:highlight w:val="none"/>
        </w:rPr>
      </w:pPr>
      <w:bookmarkStart w:id="0" w:name="_Toc1794"/>
      <w:bookmarkStart w:id="1" w:name="_Toc9575"/>
      <w:bookmarkStart w:id="2" w:name="_Toc2192"/>
      <w:r>
        <w:rPr>
          <w:rFonts w:hint="eastAsia" w:cs="黑体"/>
          <w:b/>
          <w:bCs/>
          <w:color w:val="auto"/>
          <w:sz w:val="32"/>
          <w:szCs w:val="32"/>
          <w:highlight w:val="none"/>
        </w:rPr>
        <w:t>采购人：三门峡市生态环境局卢氏分局</w:t>
      </w:r>
      <w:bookmarkEnd w:id="0"/>
      <w:bookmarkEnd w:id="1"/>
      <w:bookmarkEnd w:id="2"/>
    </w:p>
    <w:p w14:paraId="78B421A3">
      <w:pPr>
        <w:snapToGrid w:val="0"/>
        <w:spacing w:line="800" w:lineRule="exact"/>
        <w:jc w:val="center"/>
        <w:textAlignment w:val="baseline"/>
        <w:outlineLvl w:val="0"/>
        <w:rPr>
          <w:rFonts w:cs="黑体"/>
          <w:b/>
          <w:bCs/>
          <w:color w:val="auto"/>
          <w:sz w:val="32"/>
          <w:szCs w:val="32"/>
          <w:highlight w:val="none"/>
        </w:rPr>
      </w:pPr>
      <w:bookmarkStart w:id="3" w:name="_Toc22621"/>
      <w:bookmarkStart w:id="4" w:name="_Toc23140"/>
      <w:bookmarkStart w:id="5" w:name="_Toc14198"/>
      <w:r>
        <w:rPr>
          <w:rFonts w:hint="eastAsia" w:cs="黑体"/>
          <w:b/>
          <w:bCs/>
          <w:color w:val="auto"/>
          <w:sz w:val="32"/>
          <w:szCs w:val="32"/>
          <w:highlight w:val="none"/>
        </w:rPr>
        <w:t>代理机构：</w:t>
      </w:r>
      <w:r>
        <w:rPr>
          <w:rFonts w:hint="eastAsia" w:ascii="宋体" w:hAnsi="宋体"/>
          <w:b/>
          <w:color w:val="auto"/>
          <w:sz w:val="32"/>
          <w:highlight w:val="none"/>
        </w:rPr>
        <w:t>河南高誉工程咨询有限公司</w:t>
      </w:r>
      <w:bookmarkEnd w:id="3"/>
      <w:bookmarkEnd w:id="4"/>
      <w:bookmarkEnd w:id="5"/>
    </w:p>
    <w:p w14:paraId="74F30C11">
      <w:pPr>
        <w:snapToGrid w:val="0"/>
        <w:spacing w:line="800" w:lineRule="exact"/>
        <w:jc w:val="center"/>
        <w:textAlignment w:val="baseline"/>
        <w:rPr>
          <w:rFonts w:cs="黑体"/>
          <w:b/>
          <w:bCs/>
          <w:color w:val="auto"/>
          <w:sz w:val="32"/>
          <w:szCs w:val="32"/>
          <w:highlight w:val="none"/>
        </w:rPr>
      </w:pPr>
      <w:r>
        <w:rPr>
          <w:rFonts w:hint="eastAsia" w:cs="黑体"/>
          <w:b/>
          <w:bCs/>
          <w:color w:val="auto"/>
          <w:sz w:val="32"/>
          <w:szCs w:val="32"/>
          <w:highlight w:val="none"/>
        </w:rPr>
        <w:t>日期：二零二</w:t>
      </w:r>
      <w:r>
        <w:rPr>
          <w:rFonts w:hint="eastAsia" w:cs="黑体"/>
          <w:b/>
          <w:bCs/>
          <w:color w:val="auto"/>
          <w:sz w:val="32"/>
          <w:szCs w:val="32"/>
          <w:highlight w:val="none"/>
          <w:lang w:eastAsia="zh-CN"/>
        </w:rPr>
        <w:t>六</w:t>
      </w:r>
      <w:r>
        <w:rPr>
          <w:rFonts w:hint="eastAsia" w:cs="黑体"/>
          <w:b/>
          <w:bCs/>
          <w:color w:val="auto"/>
          <w:sz w:val="32"/>
          <w:szCs w:val="32"/>
          <w:highlight w:val="none"/>
        </w:rPr>
        <w:t>年</w:t>
      </w:r>
      <w:r>
        <w:rPr>
          <w:rFonts w:hint="eastAsia" w:cs="黑体"/>
          <w:b/>
          <w:bCs/>
          <w:color w:val="auto"/>
          <w:position w:val="0"/>
          <w:sz w:val="32"/>
          <w:szCs w:val="32"/>
          <w:highlight w:val="none"/>
          <w:lang w:val="en-US" w:eastAsia="zh-CN"/>
        </w:rPr>
        <w:t>九</w:t>
      </w:r>
      <w:r>
        <w:rPr>
          <w:rFonts w:hint="eastAsia" w:cs="黑体"/>
          <w:b/>
          <w:bCs/>
          <w:color w:val="auto"/>
          <w:sz w:val="32"/>
          <w:szCs w:val="32"/>
          <w:highlight w:val="none"/>
        </w:rPr>
        <w:t>月</w:t>
      </w:r>
    </w:p>
    <w:p w14:paraId="34B7A381">
      <w:pPr>
        <w:spacing w:beforeAutospacing="0" w:afterAutospacing="0" w:line="360" w:lineRule="auto"/>
        <w:ind w:firstLine="1606" w:firstLineChars="500"/>
        <w:jc w:val="left"/>
        <w:rPr>
          <w:rFonts w:hint="eastAsia" w:ascii="宋体" w:hAnsi="宋体" w:eastAsia="宋体"/>
          <w:b/>
          <w:bCs/>
          <w:color w:val="auto"/>
          <w:sz w:val="32"/>
          <w:szCs w:val="28"/>
          <w:highlight w:val="none"/>
        </w:rPr>
        <w:sectPr>
          <w:headerReference r:id="rId5" w:type="first"/>
          <w:headerReference r:id="rId3" w:type="default"/>
          <w:footerReference r:id="rId6" w:type="default"/>
          <w:headerReference r:id="rId4" w:type="even"/>
          <w:footerReference r:id="rId7" w:type="even"/>
          <w:pgSz w:w="11906" w:h="16838"/>
          <w:pgMar w:top="1463" w:right="1026" w:bottom="1157" w:left="1080" w:header="1361" w:footer="1134" w:gutter="0"/>
          <w:pgNumType w:fmt="numberInDash" w:start="1"/>
          <w:cols w:space="720" w:num="1"/>
          <w:docGrid w:type="lines" w:linePitch="312" w:charSpace="0"/>
        </w:sectPr>
      </w:pPr>
    </w:p>
    <w:p w14:paraId="0829575F">
      <w:pPr>
        <w:snapToGrid w:val="0"/>
        <w:spacing w:beforeAutospacing="0" w:afterAutospacing="0" w:line="360" w:lineRule="auto"/>
        <w:jc w:val="center"/>
        <w:rPr>
          <w:rFonts w:hint="eastAsia" w:ascii="宋体" w:hAnsi="宋体" w:eastAsia="宋体"/>
          <w:b/>
          <w:color w:val="auto"/>
          <w:sz w:val="44"/>
          <w:szCs w:val="44"/>
          <w:highlight w:val="none"/>
        </w:rPr>
      </w:pPr>
    </w:p>
    <w:p w14:paraId="683481F8">
      <w:pPr>
        <w:snapToGrid w:val="0"/>
        <w:spacing w:beforeAutospacing="0" w:afterAutospacing="0" w:line="360" w:lineRule="auto"/>
        <w:jc w:val="center"/>
        <w:rPr>
          <w:rFonts w:hint="eastAsia" w:ascii="宋体" w:hAnsi="宋体" w:eastAsia="宋体"/>
          <w:b/>
          <w:color w:val="auto"/>
          <w:sz w:val="44"/>
          <w:szCs w:val="44"/>
          <w:highlight w:val="none"/>
        </w:rPr>
      </w:pPr>
      <w:r>
        <w:rPr>
          <w:rFonts w:hint="eastAsia" w:ascii="宋体" w:hAnsi="宋体" w:eastAsia="宋体"/>
          <w:b/>
          <w:color w:val="auto"/>
          <w:sz w:val="44"/>
          <w:szCs w:val="44"/>
          <w:highlight w:val="none"/>
        </w:rPr>
        <w:t>目   录</w:t>
      </w:r>
    </w:p>
    <w:sdt>
      <w:sdtPr>
        <w:rPr>
          <w:rFonts w:ascii="宋体" w:hAnsi="宋体" w:eastAsia="宋体" w:cstheme="minorBidi"/>
          <w:color w:val="auto"/>
          <w:kern w:val="2"/>
          <w:sz w:val="21"/>
          <w:szCs w:val="22"/>
          <w:lang w:val="en-US" w:eastAsia="zh-CN" w:bidi="ar-SA"/>
        </w:rPr>
        <w:id w:val="147454202"/>
        <w15:color w:val="DBDBDB"/>
        <w:docPartObj>
          <w:docPartGallery w:val="Table of Contents"/>
          <w:docPartUnique/>
        </w:docPartObj>
      </w:sdtPr>
      <w:sdtEndPr>
        <w:rPr>
          <w:rFonts w:ascii="宋体" w:hAnsi="宋体" w:eastAsia="宋体" w:cstheme="minorBidi"/>
          <w:caps/>
          <w:color w:val="auto"/>
          <w:kern w:val="2"/>
          <w:sz w:val="21"/>
          <w:szCs w:val="36"/>
          <w:highlight w:val="none"/>
          <w:lang w:val="en-US" w:eastAsia="zh-CN" w:bidi="ar-SA"/>
        </w:rPr>
      </w:sdtEndPr>
      <w:sdtContent>
        <w:p w14:paraId="4669DC3C">
          <w:pPr>
            <w:spacing w:before="0" w:beforeLines="0" w:after="0" w:afterLines="0" w:line="240" w:lineRule="auto"/>
            <w:ind w:left="0" w:leftChars="0" w:right="0" w:rightChars="0" w:firstLine="0" w:firstLineChars="0"/>
            <w:jc w:val="center"/>
            <w:rPr>
              <w:color w:val="auto"/>
            </w:rPr>
          </w:pPr>
          <w:bookmarkStart w:id="6" w:name="_Toc529947706"/>
          <w:bookmarkStart w:id="7" w:name="_Toc300834928"/>
          <w:bookmarkStart w:id="8" w:name="_Toc20826"/>
          <w:bookmarkStart w:id="9" w:name="_Toc247527534"/>
          <w:bookmarkStart w:id="10" w:name="_Toc247513933"/>
        </w:p>
        <w:p w14:paraId="07679984">
          <w:pPr>
            <w:pStyle w:val="11"/>
            <w:tabs>
              <w:tab w:val="right" w:leader="dot" w:pos="9752"/>
            </w:tabs>
            <w:rPr>
              <w:color w:val="auto"/>
            </w:rPr>
          </w:pPr>
          <w:r>
            <w:rPr>
              <w:rFonts w:ascii="宋体" w:hAnsi="宋体" w:eastAsia="宋体"/>
              <w:b/>
              <w:caps/>
              <w:color w:val="auto"/>
              <w:sz w:val="36"/>
              <w:szCs w:val="36"/>
              <w:highlight w:val="none"/>
            </w:rPr>
            <w:fldChar w:fldCharType="begin"/>
          </w:r>
          <w:r>
            <w:rPr>
              <w:rFonts w:ascii="宋体" w:hAnsi="宋体" w:eastAsia="宋体"/>
              <w:b/>
              <w:caps/>
              <w:color w:val="auto"/>
              <w:sz w:val="36"/>
              <w:szCs w:val="36"/>
              <w:highlight w:val="none"/>
            </w:rPr>
            <w:instrText xml:space="preserve">TOC \o "1-1" \h \u </w:instrText>
          </w:r>
          <w:r>
            <w:rPr>
              <w:rFonts w:ascii="宋体" w:hAnsi="宋体" w:eastAsia="宋体"/>
              <w:b/>
              <w:caps/>
              <w:color w:val="auto"/>
              <w:sz w:val="36"/>
              <w:szCs w:val="36"/>
              <w:highlight w:val="none"/>
            </w:rPr>
            <w:fldChar w:fldCharType="separate"/>
          </w:r>
        </w:p>
        <w:p w14:paraId="1F984796">
          <w:pPr>
            <w:pStyle w:val="11"/>
            <w:keepNext w:val="0"/>
            <w:keepLines w:val="0"/>
            <w:pageBreakBefore w:val="0"/>
            <w:widowControl w:val="0"/>
            <w:tabs>
              <w:tab w:val="right" w:leader="dot" w:pos="9752"/>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rPr>
          </w:pPr>
          <w:r>
            <w:rPr>
              <w:rFonts w:hint="eastAsia" w:ascii="宋体" w:hAnsi="宋体" w:eastAsia="宋体" w:cs="宋体"/>
              <w:caps/>
              <w:color w:val="auto"/>
              <w:sz w:val="28"/>
              <w:szCs w:val="28"/>
              <w:highlight w:val="none"/>
            </w:rPr>
            <w:fldChar w:fldCharType="begin"/>
          </w:r>
          <w:r>
            <w:rPr>
              <w:rFonts w:hint="eastAsia" w:ascii="宋体" w:hAnsi="宋体" w:eastAsia="宋体" w:cs="宋体"/>
              <w:caps/>
              <w:color w:val="auto"/>
              <w:sz w:val="28"/>
              <w:szCs w:val="28"/>
              <w:highlight w:val="none"/>
            </w:rPr>
            <w:instrText xml:space="preserve"> HYPERLINK \l _Toc32410 </w:instrText>
          </w:r>
          <w:r>
            <w:rPr>
              <w:rFonts w:hint="eastAsia" w:ascii="宋体" w:hAnsi="宋体" w:eastAsia="宋体" w:cs="宋体"/>
              <w:caps/>
              <w:color w:val="auto"/>
              <w:sz w:val="28"/>
              <w:szCs w:val="28"/>
              <w:highlight w:val="none"/>
            </w:rPr>
            <w:fldChar w:fldCharType="separate"/>
          </w:r>
          <w:r>
            <w:rPr>
              <w:rFonts w:hint="eastAsia" w:ascii="宋体" w:hAnsi="宋体" w:eastAsia="宋体" w:cs="宋体"/>
              <w:bCs/>
              <w:color w:val="auto"/>
              <w:sz w:val="28"/>
              <w:szCs w:val="28"/>
              <w:highlight w:val="none"/>
            </w:rPr>
            <w:t>第一章 竞争性磋商公告</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_Toc32410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r>
            <w:rPr>
              <w:rFonts w:hint="eastAsia" w:ascii="宋体" w:hAnsi="宋体" w:eastAsia="宋体" w:cs="宋体"/>
              <w:caps/>
              <w:color w:val="auto"/>
              <w:sz w:val="28"/>
              <w:szCs w:val="28"/>
              <w:highlight w:val="none"/>
            </w:rPr>
            <w:fldChar w:fldCharType="end"/>
          </w:r>
        </w:p>
        <w:p w14:paraId="10622313">
          <w:pPr>
            <w:pStyle w:val="11"/>
            <w:keepNext w:val="0"/>
            <w:keepLines w:val="0"/>
            <w:pageBreakBefore w:val="0"/>
            <w:widowControl w:val="0"/>
            <w:tabs>
              <w:tab w:val="right" w:leader="dot" w:pos="9752"/>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rPr>
          </w:pPr>
          <w:r>
            <w:rPr>
              <w:rFonts w:hint="eastAsia" w:ascii="宋体" w:hAnsi="宋体" w:eastAsia="宋体" w:cs="宋体"/>
              <w:caps/>
              <w:color w:val="auto"/>
              <w:sz w:val="28"/>
              <w:szCs w:val="28"/>
              <w:highlight w:val="none"/>
            </w:rPr>
            <w:fldChar w:fldCharType="begin"/>
          </w:r>
          <w:r>
            <w:rPr>
              <w:rFonts w:hint="eastAsia" w:ascii="宋体" w:hAnsi="宋体" w:eastAsia="宋体" w:cs="宋体"/>
              <w:caps/>
              <w:color w:val="auto"/>
              <w:sz w:val="28"/>
              <w:szCs w:val="28"/>
              <w:highlight w:val="none"/>
            </w:rPr>
            <w:instrText xml:space="preserve"> HYPERLINK \l _Toc12083 </w:instrText>
          </w:r>
          <w:r>
            <w:rPr>
              <w:rFonts w:hint="eastAsia" w:ascii="宋体" w:hAnsi="宋体" w:eastAsia="宋体" w:cs="宋体"/>
              <w:caps/>
              <w:color w:val="auto"/>
              <w:sz w:val="28"/>
              <w:szCs w:val="28"/>
              <w:highlight w:val="none"/>
            </w:rPr>
            <w:fldChar w:fldCharType="separate"/>
          </w:r>
          <w:r>
            <w:rPr>
              <w:rFonts w:hint="eastAsia" w:ascii="宋体" w:hAnsi="宋体" w:eastAsia="宋体" w:cs="宋体"/>
              <w:bCs/>
              <w:color w:val="auto"/>
              <w:sz w:val="28"/>
              <w:szCs w:val="28"/>
              <w:highlight w:val="none"/>
            </w:rPr>
            <w:t>第二章</w:t>
          </w:r>
          <w:r>
            <w:rPr>
              <w:rFonts w:hint="eastAsia" w:ascii="宋体" w:hAnsi="宋体" w:eastAsia="宋体" w:cs="宋体"/>
              <w:bCs/>
              <w:color w:val="auto"/>
              <w:sz w:val="28"/>
              <w:szCs w:val="28"/>
              <w:highlight w:val="none"/>
              <w:lang w:val="en-US" w:eastAsia="zh-CN"/>
            </w:rPr>
            <w:t xml:space="preserve"> </w:t>
          </w:r>
          <w:r>
            <w:rPr>
              <w:rFonts w:hint="eastAsia" w:ascii="宋体" w:hAnsi="宋体" w:eastAsia="宋体" w:cs="宋体"/>
              <w:bCs/>
              <w:color w:val="auto"/>
              <w:sz w:val="28"/>
              <w:szCs w:val="28"/>
              <w:highlight w:val="none"/>
            </w:rPr>
            <w:t>供应商须知前附表</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_Toc12083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6</w:t>
          </w:r>
          <w:r>
            <w:rPr>
              <w:rFonts w:hint="eastAsia" w:ascii="宋体" w:hAnsi="宋体" w:eastAsia="宋体" w:cs="宋体"/>
              <w:color w:val="auto"/>
              <w:sz w:val="28"/>
              <w:szCs w:val="28"/>
            </w:rPr>
            <w:fldChar w:fldCharType="end"/>
          </w:r>
          <w:r>
            <w:rPr>
              <w:rFonts w:hint="eastAsia" w:ascii="宋体" w:hAnsi="宋体" w:eastAsia="宋体" w:cs="宋体"/>
              <w:caps/>
              <w:color w:val="auto"/>
              <w:sz w:val="28"/>
              <w:szCs w:val="28"/>
              <w:highlight w:val="none"/>
            </w:rPr>
            <w:fldChar w:fldCharType="end"/>
          </w:r>
        </w:p>
        <w:p w14:paraId="26F4F331">
          <w:pPr>
            <w:pStyle w:val="11"/>
            <w:keepNext w:val="0"/>
            <w:keepLines w:val="0"/>
            <w:pageBreakBefore w:val="0"/>
            <w:widowControl w:val="0"/>
            <w:tabs>
              <w:tab w:val="right" w:leader="dot" w:pos="9752"/>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rPr>
          </w:pPr>
          <w:r>
            <w:rPr>
              <w:rFonts w:hint="eastAsia" w:ascii="宋体" w:hAnsi="宋体" w:eastAsia="宋体" w:cs="宋体"/>
              <w:caps/>
              <w:color w:val="auto"/>
              <w:sz w:val="28"/>
              <w:szCs w:val="28"/>
              <w:highlight w:val="none"/>
            </w:rPr>
            <w:fldChar w:fldCharType="begin"/>
          </w:r>
          <w:r>
            <w:rPr>
              <w:rFonts w:hint="eastAsia" w:ascii="宋体" w:hAnsi="宋体" w:eastAsia="宋体" w:cs="宋体"/>
              <w:caps/>
              <w:color w:val="auto"/>
              <w:sz w:val="28"/>
              <w:szCs w:val="28"/>
              <w:highlight w:val="none"/>
            </w:rPr>
            <w:instrText xml:space="preserve"> HYPERLINK \l _Toc13540 </w:instrText>
          </w:r>
          <w:r>
            <w:rPr>
              <w:rFonts w:hint="eastAsia" w:ascii="宋体" w:hAnsi="宋体" w:eastAsia="宋体" w:cs="宋体"/>
              <w:caps/>
              <w:color w:val="auto"/>
              <w:sz w:val="28"/>
              <w:szCs w:val="28"/>
              <w:highlight w:val="none"/>
            </w:rPr>
            <w:fldChar w:fldCharType="separate"/>
          </w:r>
          <w:r>
            <w:rPr>
              <w:rFonts w:hint="eastAsia" w:ascii="宋体" w:hAnsi="宋体" w:eastAsia="宋体" w:cs="宋体"/>
              <w:bCs/>
              <w:color w:val="auto"/>
              <w:sz w:val="28"/>
              <w:szCs w:val="28"/>
              <w:highlight w:val="none"/>
              <w:lang w:eastAsia="zh-CN"/>
            </w:rPr>
            <w:t>第三章</w:t>
          </w:r>
          <w:r>
            <w:rPr>
              <w:rFonts w:hint="eastAsia" w:ascii="宋体" w:hAnsi="宋体" w:eastAsia="宋体" w:cs="宋体"/>
              <w:bCs/>
              <w:color w:val="auto"/>
              <w:sz w:val="28"/>
              <w:szCs w:val="28"/>
              <w:highlight w:val="none"/>
              <w:lang w:val="en-US" w:eastAsia="zh-CN"/>
            </w:rPr>
            <w:t xml:space="preserve">  </w:t>
          </w:r>
          <w:r>
            <w:rPr>
              <w:rFonts w:hint="eastAsia" w:ascii="宋体" w:hAnsi="宋体" w:eastAsia="宋体" w:cs="宋体"/>
              <w:bCs/>
              <w:color w:val="auto"/>
              <w:sz w:val="28"/>
              <w:szCs w:val="28"/>
              <w:highlight w:val="none"/>
            </w:rPr>
            <w:t>服务要求</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_Toc13540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26</w:t>
          </w:r>
          <w:r>
            <w:rPr>
              <w:rFonts w:hint="eastAsia" w:ascii="宋体" w:hAnsi="宋体" w:eastAsia="宋体" w:cs="宋体"/>
              <w:color w:val="auto"/>
              <w:sz w:val="28"/>
              <w:szCs w:val="28"/>
            </w:rPr>
            <w:fldChar w:fldCharType="end"/>
          </w:r>
          <w:r>
            <w:rPr>
              <w:rFonts w:hint="eastAsia" w:ascii="宋体" w:hAnsi="宋体" w:eastAsia="宋体" w:cs="宋体"/>
              <w:caps/>
              <w:color w:val="auto"/>
              <w:sz w:val="28"/>
              <w:szCs w:val="28"/>
              <w:highlight w:val="none"/>
            </w:rPr>
            <w:fldChar w:fldCharType="end"/>
          </w:r>
        </w:p>
        <w:p w14:paraId="73BAC8D1">
          <w:pPr>
            <w:pStyle w:val="11"/>
            <w:keepNext w:val="0"/>
            <w:keepLines w:val="0"/>
            <w:pageBreakBefore w:val="0"/>
            <w:widowControl w:val="0"/>
            <w:tabs>
              <w:tab w:val="right" w:leader="dot" w:pos="9752"/>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rPr>
          </w:pPr>
          <w:r>
            <w:rPr>
              <w:rFonts w:hint="eastAsia" w:ascii="宋体" w:hAnsi="宋体" w:eastAsia="宋体" w:cs="宋体"/>
              <w:caps/>
              <w:color w:val="auto"/>
              <w:sz w:val="28"/>
              <w:szCs w:val="28"/>
              <w:highlight w:val="none"/>
            </w:rPr>
            <w:fldChar w:fldCharType="begin"/>
          </w:r>
          <w:r>
            <w:rPr>
              <w:rFonts w:hint="eastAsia" w:ascii="宋体" w:hAnsi="宋体" w:eastAsia="宋体" w:cs="宋体"/>
              <w:caps/>
              <w:color w:val="auto"/>
              <w:sz w:val="28"/>
              <w:szCs w:val="28"/>
              <w:highlight w:val="none"/>
            </w:rPr>
            <w:instrText xml:space="preserve"> HYPERLINK \l _Toc14719 </w:instrText>
          </w:r>
          <w:r>
            <w:rPr>
              <w:rFonts w:hint="eastAsia" w:ascii="宋体" w:hAnsi="宋体" w:eastAsia="宋体" w:cs="宋体"/>
              <w:caps/>
              <w:color w:val="auto"/>
              <w:sz w:val="28"/>
              <w:szCs w:val="28"/>
              <w:highlight w:val="none"/>
            </w:rPr>
            <w:fldChar w:fldCharType="separate"/>
          </w:r>
          <w:r>
            <w:rPr>
              <w:rFonts w:hint="eastAsia" w:ascii="宋体" w:hAnsi="宋体" w:eastAsia="宋体" w:cs="宋体"/>
              <w:bCs/>
              <w:color w:val="auto"/>
              <w:sz w:val="28"/>
              <w:szCs w:val="28"/>
              <w:highlight w:val="none"/>
            </w:rPr>
            <w:t>第</w:t>
          </w:r>
          <w:r>
            <w:rPr>
              <w:rFonts w:hint="eastAsia" w:ascii="宋体" w:hAnsi="宋体" w:eastAsia="宋体" w:cs="宋体"/>
              <w:bCs/>
              <w:color w:val="auto"/>
              <w:sz w:val="28"/>
              <w:szCs w:val="28"/>
              <w:highlight w:val="none"/>
              <w:lang w:eastAsia="zh-CN"/>
            </w:rPr>
            <w:t>四</w:t>
          </w:r>
          <w:r>
            <w:rPr>
              <w:rFonts w:hint="eastAsia" w:ascii="宋体" w:hAnsi="宋体" w:eastAsia="宋体" w:cs="宋体"/>
              <w:bCs/>
              <w:color w:val="auto"/>
              <w:sz w:val="28"/>
              <w:szCs w:val="28"/>
              <w:highlight w:val="none"/>
            </w:rPr>
            <w:t>章  评审标准</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_Toc14719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28</w:t>
          </w:r>
          <w:r>
            <w:rPr>
              <w:rFonts w:hint="eastAsia" w:ascii="宋体" w:hAnsi="宋体" w:eastAsia="宋体" w:cs="宋体"/>
              <w:color w:val="auto"/>
              <w:sz w:val="28"/>
              <w:szCs w:val="28"/>
            </w:rPr>
            <w:fldChar w:fldCharType="end"/>
          </w:r>
          <w:r>
            <w:rPr>
              <w:rFonts w:hint="eastAsia" w:ascii="宋体" w:hAnsi="宋体" w:eastAsia="宋体" w:cs="宋体"/>
              <w:caps/>
              <w:color w:val="auto"/>
              <w:sz w:val="28"/>
              <w:szCs w:val="28"/>
              <w:highlight w:val="none"/>
            </w:rPr>
            <w:fldChar w:fldCharType="end"/>
          </w:r>
        </w:p>
        <w:p w14:paraId="1C0C6082">
          <w:pPr>
            <w:pStyle w:val="11"/>
            <w:keepNext w:val="0"/>
            <w:keepLines w:val="0"/>
            <w:pageBreakBefore w:val="0"/>
            <w:widowControl w:val="0"/>
            <w:tabs>
              <w:tab w:val="right" w:leader="dot" w:pos="9752"/>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rPr>
          </w:pPr>
          <w:r>
            <w:rPr>
              <w:rFonts w:hint="eastAsia" w:ascii="宋体" w:hAnsi="宋体" w:eastAsia="宋体" w:cs="宋体"/>
              <w:caps/>
              <w:color w:val="auto"/>
              <w:sz w:val="28"/>
              <w:szCs w:val="28"/>
              <w:highlight w:val="none"/>
            </w:rPr>
            <w:fldChar w:fldCharType="begin"/>
          </w:r>
          <w:r>
            <w:rPr>
              <w:rFonts w:hint="eastAsia" w:ascii="宋体" w:hAnsi="宋体" w:eastAsia="宋体" w:cs="宋体"/>
              <w:caps/>
              <w:color w:val="auto"/>
              <w:sz w:val="28"/>
              <w:szCs w:val="28"/>
              <w:highlight w:val="none"/>
            </w:rPr>
            <w:instrText xml:space="preserve"> HYPERLINK \l _Toc13911 </w:instrText>
          </w:r>
          <w:r>
            <w:rPr>
              <w:rFonts w:hint="eastAsia" w:ascii="宋体" w:hAnsi="宋体" w:eastAsia="宋体" w:cs="宋体"/>
              <w:caps/>
              <w:color w:val="auto"/>
              <w:sz w:val="28"/>
              <w:szCs w:val="28"/>
              <w:highlight w:val="none"/>
            </w:rPr>
            <w:fldChar w:fldCharType="separate"/>
          </w:r>
          <w:r>
            <w:rPr>
              <w:rFonts w:hint="eastAsia" w:ascii="宋体" w:hAnsi="宋体" w:eastAsia="宋体" w:cs="宋体"/>
              <w:bCs/>
              <w:color w:val="auto"/>
              <w:sz w:val="28"/>
              <w:szCs w:val="28"/>
              <w:highlight w:val="none"/>
            </w:rPr>
            <w:t>第</w:t>
          </w:r>
          <w:r>
            <w:rPr>
              <w:rFonts w:hint="eastAsia" w:ascii="宋体" w:hAnsi="宋体" w:eastAsia="宋体" w:cs="宋体"/>
              <w:bCs/>
              <w:color w:val="auto"/>
              <w:sz w:val="28"/>
              <w:szCs w:val="28"/>
              <w:highlight w:val="none"/>
              <w:lang w:eastAsia="zh-CN"/>
            </w:rPr>
            <w:t>五</w:t>
          </w:r>
          <w:r>
            <w:rPr>
              <w:rFonts w:hint="eastAsia" w:ascii="宋体" w:hAnsi="宋体" w:eastAsia="宋体" w:cs="宋体"/>
              <w:bCs/>
              <w:color w:val="auto"/>
              <w:sz w:val="28"/>
              <w:szCs w:val="28"/>
              <w:highlight w:val="none"/>
            </w:rPr>
            <w:t>章 合同条款及格式</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_Toc13911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35</w:t>
          </w:r>
          <w:r>
            <w:rPr>
              <w:rFonts w:hint="eastAsia" w:ascii="宋体" w:hAnsi="宋体" w:eastAsia="宋体" w:cs="宋体"/>
              <w:color w:val="auto"/>
              <w:sz w:val="28"/>
              <w:szCs w:val="28"/>
            </w:rPr>
            <w:fldChar w:fldCharType="end"/>
          </w:r>
          <w:r>
            <w:rPr>
              <w:rFonts w:hint="eastAsia" w:ascii="宋体" w:hAnsi="宋体" w:eastAsia="宋体" w:cs="宋体"/>
              <w:caps/>
              <w:color w:val="auto"/>
              <w:sz w:val="28"/>
              <w:szCs w:val="28"/>
              <w:highlight w:val="none"/>
            </w:rPr>
            <w:fldChar w:fldCharType="end"/>
          </w:r>
        </w:p>
        <w:p w14:paraId="77B60AE4">
          <w:pPr>
            <w:pStyle w:val="11"/>
            <w:keepNext w:val="0"/>
            <w:keepLines w:val="0"/>
            <w:pageBreakBefore w:val="0"/>
            <w:widowControl w:val="0"/>
            <w:tabs>
              <w:tab w:val="right" w:leader="dot" w:pos="9752"/>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rPr>
          </w:pPr>
          <w:r>
            <w:rPr>
              <w:rFonts w:hint="eastAsia" w:ascii="宋体" w:hAnsi="宋体" w:eastAsia="宋体" w:cs="宋体"/>
              <w:caps/>
              <w:color w:val="auto"/>
              <w:sz w:val="28"/>
              <w:szCs w:val="28"/>
              <w:highlight w:val="none"/>
            </w:rPr>
            <w:fldChar w:fldCharType="begin"/>
          </w:r>
          <w:r>
            <w:rPr>
              <w:rFonts w:hint="eastAsia" w:ascii="宋体" w:hAnsi="宋体" w:eastAsia="宋体" w:cs="宋体"/>
              <w:caps/>
              <w:color w:val="auto"/>
              <w:sz w:val="28"/>
              <w:szCs w:val="28"/>
              <w:highlight w:val="none"/>
            </w:rPr>
            <w:instrText xml:space="preserve"> HYPERLINK \l _Toc6339 </w:instrText>
          </w:r>
          <w:r>
            <w:rPr>
              <w:rFonts w:hint="eastAsia" w:ascii="宋体" w:hAnsi="宋体" w:eastAsia="宋体" w:cs="宋体"/>
              <w:caps/>
              <w:color w:val="auto"/>
              <w:sz w:val="28"/>
              <w:szCs w:val="28"/>
              <w:highlight w:val="none"/>
            </w:rPr>
            <w:fldChar w:fldCharType="separate"/>
          </w:r>
          <w:r>
            <w:rPr>
              <w:rFonts w:hint="eastAsia" w:ascii="宋体" w:hAnsi="宋体" w:eastAsia="宋体" w:cs="宋体"/>
              <w:bCs/>
              <w:color w:val="auto"/>
              <w:sz w:val="28"/>
              <w:szCs w:val="28"/>
              <w:highlight w:val="none"/>
            </w:rPr>
            <w:t>第六章  磋商响应文件格式</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_Toc6339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39</w:t>
          </w:r>
          <w:r>
            <w:rPr>
              <w:rFonts w:hint="eastAsia" w:ascii="宋体" w:hAnsi="宋体" w:eastAsia="宋体" w:cs="宋体"/>
              <w:color w:val="auto"/>
              <w:sz w:val="28"/>
              <w:szCs w:val="28"/>
            </w:rPr>
            <w:fldChar w:fldCharType="end"/>
          </w:r>
          <w:r>
            <w:rPr>
              <w:rFonts w:hint="eastAsia" w:ascii="宋体" w:hAnsi="宋体" w:eastAsia="宋体" w:cs="宋体"/>
              <w:caps/>
              <w:color w:val="auto"/>
              <w:sz w:val="28"/>
              <w:szCs w:val="28"/>
              <w:highlight w:val="none"/>
            </w:rPr>
            <w:fldChar w:fldCharType="end"/>
          </w:r>
        </w:p>
        <w:p w14:paraId="7A06CBC3">
          <w:pPr>
            <w:snapToGrid w:val="0"/>
            <w:spacing w:beforeAutospacing="0" w:afterAutospacing="0" w:line="480" w:lineRule="auto"/>
            <w:jc w:val="center"/>
            <w:rPr>
              <w:rFonts w:ascii="宋体" w:hAnsi="宋体" w:eastAsia="宋体" w:cstheme="minorBidi"/>
              <w:caps/>
              <w:color w:val="auto"/>
              <w:kern w:val="2"/>
              <w:sz w:val="21"/>
              <w:szCs w:val="36"/>
              <w:highlight w:val="none"/>
              <w:lang w:val="en-US" w:eastAsia="zh-CN" w:bidi="ar-SA"/>
            </w:rPr>
          </w:pPr>
          <w:r>
            <w:rPr>
              <w:rFonts w:ascii="宋体" w:hAnsi="宋体" w:eastAsia="宋体"/>
              <w:caps/>
              <w:color w:val="auto"/>
              <w:szCs w:val="36"/>
              <w:highlight w:val="none"/>
            </w:rPr>
            <w:fldChar w:fldCharType="end"/>
          </w:r>
        </w:p>
      </w:sdtContent>
    </w:sdt>
    <w:p w14:paraId="3D29E0AB">
      <w:pPr>
        <w:pStyle w:val="2"/>
        <w:rPr>
          <w:color w:val="auto"/>
        </w:rPr>
      </w:pPr>
    </w:p>
    <w:p w14:paraId="0CE26FA4">
      <w:pPr>
        <w:snapToGrid w:val="0"/>
        <w:spacing w:beforeAutospacing="0" w:afterAutospacing="0" w:line="360" w:lineRule="auto"/>
        <w:jc w:val="center"/>
        <w:rPr>
          <w:rFonts w:ascii="宋体" w:hAnsi="宋体" w:eastAsia="宋体"/>
          <w:b/>
          <w:caps/>
          <w:color w:val="auto"/>
          <w:sz w:val="36"/>
          <w:szCs w:val="36"/>
          <w:highlight w:val="none"/>
        </w:rPr>
      </w:pPr>
    </w:p>
    <w:p w14:paraId="4D625DF9">
      <w:pPr>
        <w:snapToGrid w:val="0"/>
        <w:spacing w:beforeAutospacing="0" w:afterAutospacing="0" w:line="360" w:lineRule="auto"/>
        <w:jc w:val="center"/>
        <w:rPr>
          <w:rFonts w:ascii="宋体" w:hAnsi="宋体" w:eastAsia="宋体"/>
          <w:b/>
          <w:caps/>
          <w:color w:val="auto"/>
          <w:sz w:val="36"/>
          <w:szCs w:val="36"/>
          <w:highlight w:val="none"/>
        </w:rPr>
      </w:pPr>
    </w:p>
    <w:p w14:paraId="52AAFC44">
      <w:pPr>
        <w:snapToGrid w:val="0"/>
        <w:spacing w:beforeAutospacing="0" w:afterAutospacing="0" w:line="360" w:lineRule="auto"/>
        <w:jc w:val="center"/>
        <w:rPr>
          <w:rFonts w:ascii="宋体" w:hAnsi="宋体" w:eastAsia="宋体"/>
          <w:b/>
          <w:caps/>
          <w:color w:val="auto"/>
          <w:sz w:val="36"/>
          <w:szCs w:val="36"/>
          <w:highlight w:val="none"/>
        </w:rPr>
      </w:pPr>
    </w:p>
    <w:p w14:paraId="37AE8678">
      <w:pPr>
        <w:snapToGrid w:val="0"/>
        <w:spacing w:beforeAutospacing="0" w:afterAutospacing="0" w:line="360" w:lineRule="auto"/>
        <w:jc w:val="center"/>
        <w:rPr>
          <w:rFonts w:ascii="宋体" w:hAnsi="宋体" w:eastAsia="宋体"/>
          <w:b/>
          <w:caps/>
          <w:color w:val="auto"/>
          <w:sz w:val="36"/>
          <w:szCs w:val="36"/>
          <w:highlight w:val="none"/>
        </w:rPr>
      </w:pPr>
    </w:p>
    <w:p w14:paraId="4C190DAF">
      <w:pPr>
        <w:snapToGrid w:val="0"/>
        <w:spacing w:beforeAutospacing="0" w:afterAutospacing="0" w:line="360" w:lineRule="auto"/>
        <w:jc w:val="center"/>
        <w:rPr>
          <w:rFonts w:ascii="宋体" w:hAnsi="宋体" w:eastAsia="宋体"/>
          <w:b/>
          <w:caps/>
          <w:color w:val="auto"/>
          <w:sz w:val="36"/>
          <w:szCs w:val="36"/>
          <w:highlight w:val="none"/>
        </w:rPr>
      </w:pPr>
    </w:p>
    <w:p w14:paraId="04396B9B">
      <w:pPr>
        <w:snapToGrid w:val="0"/>
        <w:spacing w:beforeAutospacing="0" w:afterAutospacing="0" w:line="360" w:lineRule="auto"/>
        <w:jc w:val="center"/>
        <w:rPr>
          <w:rFonts w:ascii="宋体" w:hAnsi="宋体" w:eastAsia="宋体"/>
          <w:b/>
          <w:caps/>
          <w:color w:val="auto"/>
          <w:sz w:val="36"/>
          <w:szCs w:val="36"/>
          <w:highlight w:val="none"/>
        </w:rPr>
      </w:pPr>
    </w:p>
    <w:p w14:paraId="2E7F329D">
      <w:pPr>
        <w:spacing w:before="260" w:beforeAutospacing="0" w:after="260" w:afterAutospacing="0" w:line="416" w:lineRule="auto"/>
        <w:outlineLvl w:val="9"/>
        <w:rPr>
          <w:rFonts w:ascii="宋体" w:hAnsi="宋体" w:eastAsia="宋体"/>
          <w:bCs/>
          <w:caps/>
          <w:color w:val="auto"/>
          <w:sz w:val="36"/>
          <w:szCs w:val="36"/>
          <w:highlight w:val="none"/>
        </w:rPr>
      </w:pPr>
    </w:p>
    <w:p w14:paraId="4E00168A">
      <w:pPr>
        <w:snapToGrid w:val="0"/>
        <w:spacing w:beforeAutospacing="0" w:afterAutospacing="0" w:line="360" w:lineRule="auto"/>
        <w:jc w:val="center"/>
        <w:outlineLvl w:val="0"/>
        <w:rPr>
          <w:rFonts w:hint="eastAsia" w:ascii="宋体" w:hAnsi="宋体" w:eastAsia="宋体"/>
          <w:b/>
          <w:bCs/>
          <w:color w:val="auto"/>
          <w:sz w:val="36"/>
          <w:szCs w:val="36"/>
          <w:highlight w:val="none"/>
        </w:rPr>
        <w:sectPr>
          <w:footerReference r:id="rId10" w:type="first"/>
          <w:headerReference r:id="rId8" w:type="default"/>
          <w:footerReference r:id="rId9" w:type="default"/>
          <w:pgSz w:w="11906" w:h="16838"/>
          <w:pgMar w:top="1361" w:right="1077" w:bottom="1361" w:left="1077" w:header="851" w:footer="964" w:gutter="0"/>
          <w:pgNumType w:fmt="decimal" w:start="1"/>
          <w:cols w:space="720" w:num="1"/>
          <w:docGrid w:type="lines" w:linePitch="312" w:charSpace="0"/>
        </w:sectPr>
      </w:pPr>
      <w:bookmarkStart w:id="11" w:name="_Toc25128"/>
      <w:bookmarkStart w:id="12" w:name="_Toc32410"/>
    </w:p>
    <w:p w14:paraId="6C19BE7D">
      <w:pPr>
        <w:snapToGrid w:val="0"/>
        <w:spacing w:beforeAutospacing="0" w:afterAutospacing="0" w:line="360" w:lineRule="auto"/>
        <w:jc w:val="center"/>
        <w:outlineLvl w:val="0"/>
        <w:rPr>
          <w:rFonts w:hint="eastAsia" w:ascii="宋体" w:hAnsi="宋体" w:eastAsia="宋体"/>
          <w:b/>
          <w:bCs/>
          <w:color w:val="auto"/>
          <w:sz w:val="36"/>
          <w:szCs w:val="36"/>
          <w:highlight w:val="none"/>
        </w:rPr>
      </w:pPr>
      <w:r>
        <w:rPr>
          <w:rFonts w:hint="eastAsia" w:ascii="宋体" w:hAnsi="宋体" w:eastAsia="宋体"/>
          <w:b/>
          <w:bCs/>
          <w:color w:val="auto"/>
          <w:sz w:val="36"/>
          <w:szCs w:val="36"/>
          <w:highlight w:val="none"/>
        </w:rPr>
        <w:t>第一章 竞争性磋商公告</w:t>
      </w:r>
      <w:bookmarkEnd w:id="11"/>
      <w:bookmarkEnd w:id="12"/>
    </w:p>
    <w:bookmarkEnd w:id="6"/>
    <w:bookmarkEnd w:id="7"/>
    <w:bookmarkEnd w:id="8"/>
    <w:bookmarkEnd w:id="9"/>
    <w:bookmarkEnd w:id="10"/>
    <w:p w14:paraId="1446648E">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1"/>
          <w:highlight w:val="none"/>
          <w:lang w:eastAsia="zh-CN"/>
        </w:rPr>
      </w:pPr>
      <w:bookmarkStart w:id="13" w:name="_Toc152045527"/>
      <w:bookmarkStart w:id="14" w:name="_Toc144974495"/>
      <w:bookmarkStart w:id="15" w:name="_Toc2243"/>
      <w:bookmarkStart w:id="16" w:name="_Toc247527551"/>
      <w:bookmarkStart w:id="17" w:name="_Toc300834947"/>
      <w:bookmarkStart w:id="18" w:name="_Toc247513950"/>
      <w:bookmarkStart w:id="19" w:name="_Toc152042303"/>
      <w:bookmarkStart w:id="20" w:name="_Toc136676025"/>
      <w:r>
        <w:rPr>
          <w:rFonts w:hint="eastAsia" w:ascii="宋体" w:hAnsi="宋体"/>
          <w:bCs/>
          <w:color w:val="auto"/>
          <w:kern w:val="0"/>
          <w:sz w:val="24"/>
          <w:szCs w:val="21"/>
          <w:highlight w:val="none"/>
          <w:lang w:eastAsia="zh-CN"/>
        </w:rPr>
        <w:t>河南高誉工程咨询有限公司</w:t>
      </w:r>
      <w:r>
        <w:rPr>
          <w:rFonts w:hint="eastAsia" w:ascii="宋体" w:hAnsi="宋体" w:eastAsia="宋体"/>
          <w:bCs/>
          <w:color w:val="auto"/>
          <w:kern w:val="0"/>
          <w:sz w:val="24"/>
          <w:szCs w:val="21"/>
          <w:highlight w:val="none"/>
        </w:rPr>
        <w:t>受</w:t>
      </w:r>
      <w:r>
        <w:rPr>
          <w:rFonts w:hint="eastAsia" w:ascii="宋体" w:hAnsi="宋体"/>
          <w:bCs/>
          <w:color w:val="auto"/>
          <w:kern w:val="0"/>
          <w:sz w:val="24"/>
          <w:szCs w:val="21"/>
          <w:highlight w:val="none"/>
          <w:lang w:eastAsia="zh-CN"/>
        </w:rPr>
        <w:t>三门峡市生态环境局卢氏分局</w:t>
      </w:r>
      <w:r>
        <w:rPr>
          <w:rFonts w:hint="eastAsia" w:ascii="宋体" w:hAnsi="宋体" w:eastAsia="宋体"/>
          <w:bCs/>
          <w:color w:val="auto"/>
          <w:kern w:val="0"/>
          <w:sz w:val="24"/>
          <w:szCs w:val="21"/>
          <w:highlight w:val="none"/>
        </w:rPr>
        <w:t>的委托</w:t>
      </w:r>
      <w:r>
        <w:rPr>
          <w:rFonts w:hint="eastAsia" w:ascii="宋体" w:hAnsi="宋体"/>
          <w:bCs/>
          <w:color w:val="auto"/>
          <w:kern w:val="0"/>
          <w:sz w:val="24"/>
          <w:szCs w:val="21"/>
          <w:highlight w:val="none"/>
          <w:lang w:eastAsia="zh-CN"/>
        </w:rPr>
        <w:t>，就卢氏县五里川河流域历史遗留冶炼废渣勘察设计项目（二次）进行竞争性磋商</w:t>
      </w:r>
      <w:r>
        <w:rPr>
          <w:rFonts w:hint="eastAsia" w:ascii="宋体" w:hAnsi="宋体" w:eastAsia="宋体"/>
          <w:bCs/>
          <w:color w:val="auto"/>
          <w:kern w:val="0"/>
          <w:sz w:val="24"/>
          <w:szCs w:val="21"/>
          <w:highlight w:val="none"/>
        </w:rPr>
        <w:t>，该项目已具备磋商条件,欢迎符合资格条件的供应商参加。</w:t>
      </w:r>
    </w:p>
    <w:p w14:paraId="4C6E52BC">
      <w:pPr>
        <w:keepNext w:val="0"/>
        <w:keepLines w:val="0"/>
        <w:pageBreakBefore w:val="0"/>
        <w:widowControl w:val="0"/>
        <w:numPr>
          <w:ilvl w:val="0"/>
          <w:numId w:val="1"/>
        </w:numPr>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rPr>
      </w:pPr>
      <w:r>
        <w:rPr>
          <w:rFonts w:hint="eastAsia" w:ascii="宋体" w:hAnsi="宋体" w:eastAsia="宋体"/>
          <w:bCs/>
          <w:color w:val="auto"/>
          <w:sz w:val="24"/>
          <w:szCs w:val="21"/>
          <w:highlight w:val="none"/>
        </w:rPr>
        <w:t>项目概括及磋商范围：</w:t>
      </w:r>
    </w:p>
    <w:p w14:paraId="36892374">
      <w:pPr>
        <w:keepNext w:val="0"/>
        <w:keepLines w:val="0"/>
        <w:pageBreakBefore w:val="0"/>
        <w:widowControl w:val="0"/>
        <w:numPr>
          <w:ilvl w:val="0"/>
          <w:numId w:val="0"/>
        </w:numPr>
        <w:kinsoku/>
        <w:overflowPunct/>
        <w:topLinePunct w:val="0"/>
        <w:autoSpaceDE/>
        <w:autoSpaceDN/>
        <w:bidi w:val="0"/>
        <w:adjustRightInd/>
        <w:snapToGrid/>
        <w:spacing w:beforeAutospacing="0" w:afterAutospacing="0" w:line="360" w:lineRule="auto"/>
        <w:textAlignment w:val="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 xml:space="preserve">    1、采购人：</w:t>
      </w:r>
      <w:r>
        <w:rPr>
          <w:rFonts w:hint="eastAsia" w:ascii="宋体" w:hAnsi="宋体"/>
          <w:bCs/>
          <w:color w:val="auto"/>
          <w:sz w:val="24"/>
          <w:szCs w:val="21"/>
          <w:highlight w:val="none"/>
          <w:lang w:val="en-US" w:eastAsia="zh-CN"/>
        </w:rPr>
        <w:t>三门峡市生态环境局卢氏分局</w:t>
      </w:r>
    </w:p>
    <w:p w14:paraId="707EB0C2">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default"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2</w:t>
      </w:r>
      <w:r>
        <w:rPr>
          <w:rFonts w:hint="eastAsia" w:ascii="宋体" w:hAnsi="宋体" w:eastAsia="宋体"/>
          <w:bCs/>
          <w:color w:val="auto"/>
          <w:sz w:val="24"/>
          <w:szCs w:val="21"/>
          <w:highlight w:val="none"/>
        </w:rPr>
        <w:t>、项目名称：</w:t>
      </w:r>
      <w:r>
        <w:rPr>
          <w:rFonts w:hint="eastAsia" w:ascii="宋体" w:hAnsi="宋体"/>
          <w:bCs/>
          <w:color w:val="auto"/>
          <w:sz w:val="24"/>
          <w:szCs w:val="21"/>
          <w:highlight w:val="none"/>
          <w:lang w:eastAsia="zh-CN"/>
        </w:rPr>
        <w:t>卢氏县五里川河流域历史遗留冶炼废渣勘察设计项目（二次）</w:t>
      </w:r>
    </w:p>
    <w:p w14:paraId="504039BC">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lang w:val="en-US" w:eastAsia="zh-CN"/>
        </w:rPr>
      </w:pPr>
      <w:r>
        <w:rPr>
          <w:rFonts w:hint="eastAsia" w:ascii="宋体" w:hAnsi="宋体"/>
          <w:bCs/>
          <w:color w:val="auto"/>
          <w:sz w:val="24"/>
          <w:szCs w:val="21"/>
          <w:highlight w:val="none"/>
          <w:lang w:val="en-US" w:eastAsia="zh-CN"/>
        </w:rPr>
        <w:t>3</w:t>
      </w:r>
      <w:r>
        <w:rPr>
          <w:rFonts w:hint="eastAsia" w:ascii="宋体" w:hAnsi="宋体"/>
          <w:bCs/>
          <w:color w:val="auto"/>
          <w:sz w:val="24"/>
          <w:szCs w:val="21"/>
          <w:highlight w:val="none"/>
          <w:lang w:eastAsia="zh-CN"/>
        </w:rPr>
        <w:t>、项目编号：</w:t>
      </w:r>
      <w:r>
        <w:rPr>
          <w:rFonts w:hint="eastAsia" w:ascii="宋体" w:hAnsi="宋体"/>
          <w:bCs/>
          <w:color w:val="auto"/>
          <w:sz w:val="24"/>
          <w:szCs w:val="21"/>
          <w:highlight w:val="none"/>
          <w:lang w:val="en-US" w:eastAsia="zh-CN"/>
        </w:rPr>
        <w:t>三卢竞磋采购-2026-74、LSGZ[2026]205-ZC157</w:t>
      </w:r>
    </w:p>
    <w:p w14:paraId="16908C8D">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default"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4</w:t>
      </w:r>
      <w:r>
        <w:rPr>
          <w:rFonts w:hint="eastAsia" w:ascii="宋体" w:hAnsi="宋体" w:eastAsia="宋体"/>
          <w:bCs/>
          <w:color w:val="auto"/>
          <w:sz w:val="24"/>
          <w:szCs w:val="21"/>
          <w:highlight w:val="none"/>
        </w:rPr>
        <w:t>、服务内容：</w:t>
      </w:r>
      <w:r>
        <w:rPr>
          <w:rFonts w:hint="eastAsia" w:ascii="宋体" w:hAnsi="宋体"/>
          <w:bCs/>
          <w:color w:val="auto"/>
          <w:sz w:val="24"/>
          <w:szCs w:val="21"/>
          <w:highlight w:val="none"/>
          <w:lang w:eastAsia="zh-CN"/>
        </w:rPr>
        <w:t>对2处历史遗留冶炼废渣清运处置（废渣开挖、吨包包装、废渣运输、场地平整、采样检测、附属工程以及对清理废渣后裸露场地及阻隔区进行生态恢复等）开展勘察设计工作。</w:t>
      </w:r>
    </w:p>
    <w:p w14:paraId="05D7882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1"/>
          <w:highlight w:val="none"/>
          <w:lang w:val="en-US" w:eastAsia="zh-CN"/>
        </w:rPr>
      </w:pPr>
      <w:r>
        <w:rPr>
          <w:rFonts w:hint="eastAsia" w:ascii="宋体" w:hAnsi="宋体" w:eastAsia="宋体"/>
          <w:bCs/>
          <w:color w:val="auto"/>
          <w:kern w:val="0"/>
          <w:sz w:val="24"/>
          <w:szCs w:val="21"/>
          <w:highlight w:val="none"/>
          <w:lang w:val="en-US" w:eastAsia="zh-CN"/>
        </w:rPr>
        <w:t>5</w:t>
      </w:r>
      <w:r>
        <w:rPr>
          <w:rFonts w:hint="eastAsia" w:ascii="宋体" w:hAnsi="宋体" w:eastAsia="宋体"/>
          <w:bCs/>
          <w:color w:val="auto"/>
          <w:kern w:val="0"/>
          <w:sz w:val="24"/>
          <w:szCs w:val="21"/>
          <w:highlight w:val="none"/>
        </w:rPr>
        <w:t>、</w:t>
      </w:r>
      <w:r>
        <w:rPr>
          <w:rFonts w:hint="eastAsia" w:ascii="宋体" w:hAnsi="宋体" w:eastAsia="宋体"/>
          <w:bCs/>
          <w:color w:val="auto"/>
          <w:kern w:val="0"/>
          <w:sz w:val="24"/>
          <w:szCs w:val="21"/>
          <w:highlight w:val="none"/>
          <w:lang w:val="en-US" w:eastAsia="zh-CN"/>
        </w:rPr>
        <w:t>采购预算</w:t>
      </w:r>
      <w:r>
        <w:rPr>
          <w:rFonts w:hint="eastAsia" w:ascii="宋体" w:hAnsi="宋体" w:eastAsia="宋体"/>
          <w:bCs/>
          <w:color w:val="auto"/>
          <w:kern w:val="0"/>
          <w:sz w:val="24"/>
          <w:szCs w:val="21"/>
          <w:highlight w:val="none"/>
        </w:rPr>
        <w:t>：</w:t>
      </w:r>
      <w:r>
        <w:rPr>
          <w:rFonts w:hint="default" w:ascii="Arial" w:hAnsi="Arial" w:eastAsia="宋体" w:cs="Arial"/>
          <w:bCs/>
          <w:color w:val="auto"/>
          <w:kern w:val="0"/>
          <w:sz w:val="24"/>
          <w:szCs w:val="21"/>
          <w:highlight w:val="none"/>
        </w:rPr>
        <w:t>¥</w:t>
      </w:r>
      <w:r>
        <w:rPr>
          <w:rFonts w:hint="eastAsia" w:ascii="宋体" w:hAnsi="宋体"/>
          <w:color w:val="auto"/>
          <w:sz w:val="24"/>
          <w:szCs w:val="32"/>
          <w:highlight w:val="none"/>
          <w:lang w:val="en-US" w:eastAsia="zh-CN"/>
        </w:rPr>
        <w:t>983654.00</w:t>
      </w:r>
      <w:r>
        <w:rPr>
          <w:rFonts w:hint="eastAsia" w:ascii="宋体" w:hAnsi="宋体"/>
          <w:color w:val="auto"/>
          <w:sz w:val="24"/>
          <w:szCs w:val="32"/>
          <w:highlight w:val="none"/>
        </w:rPr>
        <w:t>元</w:t>
      </w:r>
    </w:p>
    <w:p w14:paraId="7CA2EE8A">
      <w:pPr>
        <w:keepNext w:val="0"/>
        <w:keepLines w:val="0"/>
        <w:pageBreakBefore w:val="0"/>
        <w:widowControl w:val="0"/>
        <w:tabs>
          <w:tab w:val="center" w:pos="5255"/>
        </w:tabs>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6</w:t>
      </w:r>
      <w:r>
        <w:rPr>
          <w:rFonts w:hint="eastAsia" w:ascii="宋体" w:hAnsi="宋体" w:eastAsia="宋体"/>
          <w:bCs/>
          <w:color w:val="auto"/>
          <w:sz w:val="24"/>
          <w:szCs w:val="21"/>
          <w:highlight w:val="none"/>
        </w:rPr>
        <w:t>、资金来源：财政资金，已落实。</w:t>
      </w:r>
    </w:p>
    <w:p w14:paraId="4B7C0B0F">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7</w:t>
      </w:r>
      <w:r>
        <w:rPr>
          <w:rFonts w:hint="eastAsia" w:ascii="宋体" w:hAnsi="宋体" w:eastAsia="宋体"/>
          <w:bCs/>
          <w:color w:val="auto"/>
          <w:sz w:val="24"/>
          <w:szCs w:val="21"/>
          <w:highlight w:val="none"/>
        </w:rPr>
        <w:t>、标段划分：一个标段。</w:t>
      </w:r>
    </w:p>
    <w:p w14:paraId="430E3402">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8</w:t>
      </w:r>
      <w:r>
        <w:rPr>
          <w:rFonts w:hint="eastAsia" w:ascii="宋体" w:hAnsi="宋体" w:eastAsia="宋体"/>
          <w:bCs/>
          <w:color w:val="auto"/>
          <w:sz w:val="24"/>
          <w:szCs w:val="21"/>
          <w:highlight w:val="none"/>
        </w:rPr>
        <w:t>、质量要求：</w:t>
      </w:r>
      <w:r>
        <w:rPr>
          <w:rFonts w:hint="eastAsia" w:ascii="宋体" w:hAnsi="宋体" w:cs="Tahoma"/>
          <w:color w:val="auto"/>
          <w:kern w:val="0"/>
          <w:sz w:val="24"/>
          <w:szCs w:val="24"/>
          <w:highlight w:val="none"/>
          <w:lang w:val="en-US" w:eastAsia="zh-CN"/>
        </w:rPr>
        <w:t>符合现行勘察设计规范、规程、规定、标准的要求，并通过相关主管部门的审批</w:t>
      </w:r>
      <w:r>
        <w:rPr>
          <w:rFonts w:hint="eastAsia" w:ascii="宋体" w:hAnsi="宋体"/>
          <w:bCs/>
          <w:color w:val="auto"/>
          <w:sz w:val="24"/>
          <w:szCs w:val="21"/>
          <w:highlight w:val="none"/>
          <w:lang w:eastAsia="zh-CN"/>
        </w:rPr>
        <w:t>。</w:t>
      </w:r>
    </w:p>
    <w:p w14:paraId="54C3FF24">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auto"/>
          <w:sz w:val="24"/>
          <w:szCs w:val="21"/>
          <w:highlight w:val="none"/>
          <w:lang w:val="en-US" w:eastAsia="zh-CN"/>
        </w:rPr>
      </w:pPr>
      <w:r>
        <w:rPr>
          <w:rFonts w:hint="eastAsia" w:ascii="宋体" w:hAnsi="宋体"/>
          <w:bCs/>
          <w:color w:val="auto"/>
          <w:sz w:val="24"/>
          <w:szCs w:val="21"/>
          <w:highlight w:val="none"/>
          <w:lang w:val="en-US" w:eastAsia="zh-CN"/>
        </w:rPr>
        <w:t>9</w:t>
      </w:r>
      <w:r>
        <w:rPr>
          <w:rFonts w:hint="eastAsia" w:ascii="宋体" w:hAnsi="宋体"/>
          <w:bCs/>
          <w:color w:val="auto"/>
          <w:sz w:val="24"/>
          <w:szCs w:val="21"/>
          <w:highlight w:val="none"/>
        </w:rPr>
        <w:t>、</w:t>
      </w:r>
      <w:r>
        <w:rPr>
          <w:rFonts w:hint="eastAsia" w:ascii="宋体" w:hAnsi="宋体"/>
          <w:bCs/>
          <w:color w:val="auto"/>
          <w:sz w:val="24"/>
          <w:szCs w:val="21"/>
          <w:highlight w:val="none"/>
          <w:lang w:eastAsia="zh-CN"/>
        </w:rPr>
        <w:t>服务期限：合同签订后90日历天完成</w:t>
      </w:r>
      <w:r>
        <w:rPr>
          <w:rFonts w:hint="eastAsia" w:ascii="宋体" w:hAnsi="宋体" w:cs="宋体"/>
          <w:color w:val="auto"/>
          <w:sz w:val="24"/>
          <w:szCs w:val="24"/>
          <w:highlight w:val="none"/>
          <w:lang w:val="en-US" w:eastAsia="zh-CN"/>
        </w:rPr>
        <w:t>；</w:t>
      </w:r>
    </w:p>
    <w:p w14:paraId="7451748B">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auto"/>
          <w:sz w:val="24"/>
          <w:szCs w:val="21"/>
          <w:highlight w:val="none"/>
          <w:lang w:val="en-US" w:eastAsia="zh-CN"/>
        </w:rPr>
      </w:pPr>
      <w:r>
        <w:rPr>
          <w:rFonts w:hint="eastAsia" w:ascii="宋体" w:hAnsi="宋体"/>
          <w:bCs/>
          <w:color w:val="auto"/>
          <w:sz w:val="24"/>
          <w:szCs w:val="21"/>
          <w:highlight w:val="none"/>
          <w:lang w:val="en-US" w:eastAsia="zh-CN"/>
        </w:rPr>
        <w:t>10、项目地点：卢氏县境内。</w:t>
      </w:r>
    </w:p>
    <w:p w14:paraId="7C9B1969">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zh-CN" w:eastAsia="zh-CN"/>
        </w:rPr>
        <w:t>11、</w:t>
      </w:r>
      <w:r>
        <w:rPr>
          <w:rFonts w:hint="eastAsia" w:ascii="宋体" w:hAnsi="宋体" w:eastAsia="宋体"/>
          <w:bCs/>
          <w:color w:val="auto"/>
          <w:sz w:val="24"/>
          <w:szCs w:val="21"/>
          <w:highlight w:val="none"/>
          <w:lang w:val="en-US" w:eastAsia="zh-CN"/>
        </w:rPr>
        <w:t>是否接受进口产品：否</w:t>
      </w:r>
    </w:p>
    <w:p w14:paraId="4FE8E05A">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default"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12、落实政府采购政策满足的资格要求：本项目执行促进中小型企业发展政策（残疾人福利性企业、监狱企业视同小微企业）、优先采购节能环保产品等政府采购政策。</w:t>
      </w:r>
    </w:p>
    <w:p w14:paraId="058B52DA">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rPr>
      </w:pPr>
      <w:r>
        <w:rPr>
          <w:rFonts w:hint="eastAsia" w:ascii="宋体" w:hAnsi="宋体" w:eastAsia="宋体"/>
          <w:bCs/>
          <w:color w:val="auto"/>
          <w:sz w:val="24"/>
          <w:szCs w:val="21"/>
          <w:highlight w:val="none"/>
        </w:rPr>
        <w:t>二、供应商资格要求：</w:t>
      </w:r>
    </w:p>
    <w:p w14:paraId="2121721B">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rPr>
      </w:pPr>
      <w:r>
        <w:rPr>
          <w:rFonts w:hint="eastAsia" w:ascii="宋体" w:hAnsi="宋体" w:eastAsia="宋体"/>
          <w:bCs/>
          <w:color w:val="auto"/>
          <w:sz w:val="24"/>
          <w:szCs w:val="21"/>
          <w:highlight w:val="none"/>
        </w:rPr>
        <w:t>符合《中华人民共和国政府采购法》第二十二条的规定并同时具备下列条件：</w:t>
      </w:r>
    </w:p>
    <w:p w14:paraId="7FFD2B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ahoma"/>
          <w:color w:val="auto"/>
          <w:kern w:val="0"/>
          <w:sz w:val="24"/>
          <w:szCs w:val="24"/>
          <w:highlight w:val="none"/>
          <w:lang w:val="en-US" w:eastAsia="zh-CN"/>
        </w:rPr>
      </w:pPr>
      <w:r>
        <w:rPr>
          <w:rFonts w:hint="eastAsia" w:ascii="宋体" w:hAnsi="宋体" w:eastAsia="宋体" w:cs="Tahoma"/>
          <w:color w:val="auto"/>
          <w:kern w:val="0"/>
          <w:sz w:val="24"/>
          <w:szCs w:val="24"/>
          <w:highlight w:val="none"/>
          <w:lang w:val="en-US" w:eastAsia="zh-CN"/>
        </w:rPr>
        <w:t>1、</w:t>
      </w:r>
      <w:r>
        <w:rPr>
          <w:rFonts w:hint="eastAsia" w:ascii="宋体" w:hAnsi="宋体" w:eastAsia="宋体"/>
          <w:bCs/>
          <w:color w:val="auto"/>
          <w:sz w:val="24"/>
          <w:szCs w:val="21"/>
          <w:highlight w:val="none"/>
        </w:rPr>
        <w:t>供应商</w:t>
      </w:r>
      <w:r>
        <w:rPr>
          <w:rFonts w:hint="eastAsia" w:ascii="宋体" w:hAnsi="宋体" w:eastAsia="宋体" w:cs="Tahoma"/>
          <w:color w:val="auto"/>
          <w:kern w:val="0"/>
          <w:sz w:val="24"/>
          <w:szCs w:val="24"/>
          <w:highlight w:val="none"/>
          <w:lang w:val="en-US" w:eastAsia="zh-CN"/>
        </w:rPr>
        <w:t xml:space="preserve">具有独立承担民事责任的能力（提供有效的企业营业执照或其他证明材料）； </w:t>
      </w:r>
    </w:p>
    <w:p w14:paraId="6182468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ahoma"/>
          <w:color w:val="auto"/>
          <w:kern w:val="0"/>
          <w:sz w:val="24"/>
          <w:szCs w:val="24"/>
          <w:highlight w:val="none"/>
          <w:lang w:val="en-US" w:eastAsia="zh-CN"/>
        </w:rPr>
      </w:pPr>
      <w:r>
        <w:rPr>
          <w:rFonts w:hint="eastAsia" w:ascii="宋体" w:hAnsi="宋体" w:eastAsia="宋体" w:cs="Tahoma"/>
          <w:color w:val="auto"/>
          <w:kern w:val="0"/>
          <w:sz w:val="24"/>
          <w:szCs w:val="24"/>
          <w:highlight w:val="none"/>
          <w:lang w:val="en-US" w:eastAsia="zh-CN"/>
        </w:rPr>
        <w:t>2、</w:t>
      </w:r>
      <w:r>
        <w:rPr>
          <w:rFonts w:hint="eastAsia" w:ascii="宋体" w:hAnsi="宋体"/>
          <w:bCs/>
          <w:color w:val="auto"/>
          <w:sz w:val="24"/>
          <w:szCs w:val="21"/>
          <w:highlight w:val="none"/>
          <w:lang w:eastAsia="zh-CN"/>
        </w:rPr>
        <w:t>供应商须具有环境工程设计专项（污染修复工程）乙级及以上资质或环境污染治理能力评价证书（环境生态治理）乙级以上，并同时具有检验检测机构资质认定（CMA）证书，CMA能力附表至少包含《危险废物鉴别标准浸出毒性鉴别》（GB 5085.3-2007）浸出毒性铅、镉、铬、汞、砷检测项目；</w:t>
      </w:r>
    </w:p>
    <w:p w14:paraId="111E01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ahoma"/>
          <w:color w:val="auto"/>
          <w:kern w:val="0"/>
          <w:sz w:val="24"/>
          <w:szCs w:val="24"/>
          <w:highlight w:val="none"/>
          <w:lang w:val="en-US" w:eastAsia="zh-CN"/>
        </w:rPr>
      </w:pPr>
      <w:r>
        <w:rPr>
          <w:rFonts w:hint="eastAsia" w:ascii="宋体" w:hAnsi="宋体" w:eastAsia="宋体" w:cs="Tahoma"/>
          <w:color w:val="auto"/>
          <w:kern w:val="0"/>
          <w:sz w:val="24"/>
          <w:szCs w:val="24"/>
          <w:highlight w:val="none"/>
          <w:lang w:val="en-US" w:eastAsia="zh-CN"/>
        </w:rPr>
        <w:t>3、供应商在人员、设备、资金等方面具有相应的勘察设计能力（提供承诺书或证明材料，格式自拟）；</w:t>
      </w:r>
    </w:p>
    <w:p w14:paraId="4F718C01">
      <w:pPr>
        <w:keepNext w:val="0"/>
        <w:keepLines w:val="0"/>
        <w:pageBreakBefore w:val="0"/>
        <w:widowControl/>
        <w:kinsoku/>
        <w:wordWrap/>
        <w:overflowPunct/>
        <w:topLinePunct w:val="0"/>
        <w:autoSpaceDE/>
        <w:autoSpaceDN/>
        <w:bidi w:val="0"/>
        <w:adjustRightInd/>
        <w:snapToGrid w:val="0"/>
        <w:spacing w:line="460" w:lineRule="exact"/>
        <w:ind w:firstLine="480" w:firstLineChars="200"/>
        <w:jc w:val="both"/>
        <w:textAlignment w:val="baseline"/>
        <w:rPr>
          <w:rFonts w:hint="eastAsia"/>
          <w:bCs/>
          <w:color w:val="auto"/>
          <w:sz w:val="24"/>
          <w:szCs w:val="24"/>
          <w:highlight w:val="none"/>
          <w:lang w:val="en-US" w:eastAsia="zh-CN"/>
        </w:rPr>
      </w:pPr>
      <w:r>
        <w:rPr>
          <w:rFonts w:hint="eastAsia"/>
          <w:bCs/>
          <w:color w:val="auto"/>
          <w:sz w:val="24"/>
          <w:szCs w:val="24"/>
          <w:highlight w:val="none"/>
          <w:lang w:val="en-US" w:eastAsia="zh-CN"/>
        </w:rPr>
        <w:t>4、供应商拟派项目负责人具有环境类或地质类相关专业高级工程师及以上职称（若联合体投标，须为联合体牵头人正式人员），为本单位员工且已参加社会保险，需提供职称证及投标截止日前由社保机构出具的养老保险缴费证明。</w:t>
      </w:r>
    </w:p>
    <w:p w14:paraId="079FB104">
      <w:pPr>
        <w:keepNext w:val="0"/>
        <w:keepLines w:val="0"/>
        <w:pageBreakBefore w:val="0"/>
        <w:widowControl/>
        <w:kinsoku/>
        <w:wordWrap/>
        <w:overflowPunct/>
        <w:topLinePunct w:val="0"/>
        <w:autoSpaceDE/>
        <w:autoSpaceDN/>
        <w:bidi w:val="0"/>
        <w:adjustRightInd/>
        <w:snapToGrid w:val="0"/>
        <w:spacing w:line="460" w:lineRule="exact"/>
        <w:ind w:firstLine="480" w:firstLineChars="200"/>
        <w:jc w:val="both"/>
        <w:textAlignment w:val="baseline"/>
        <w:rPr>
          <w:rFonts w:hint="eastAsia"/>
          <w:bCs/>
          <w:color w:val="auto"/>
          <w:sz w:val="24"/>
          <w:szCs w:val="24"/>
          <w:highlight w:val="none"/>
          <w:lang w:val="en-US" w:eastAsia="zh-CN"/>
        </w:rPr>
      </w:pPr>
      <w:r>
        <w:rPr>
          <w:rFonts w:hint="eastAsia"/>
          <w:bCs/>
          <w:color w:val="auto"/>
          <w:sz w:val="24"/>
          <w:szCs w:val="24"/>
          <w:highlight w:val="none"/>
          <w:lang w:val="en-US" w:eastAsia="zh-CN"/>
        </w:rPr>
        <w:t>5、供应商具有良好的商业信誉和健全的财务会计制度（提供近三年任意一年度财务审计报告或承诺书）；</w:t>
      </w:r>
    </w:p>
    <w:p w14:paraId="52F0A85D">
      <w:pPr>
        <w:keepNext w:val="0"/>
        <w:keepLines w:val="0"/>
        <w:pageBreakBefore w:val="0"/>
        <w:widowControl/>
        <w:kinsoku/>
        <w:wordWrap/>
        <w:overflowPunct/>
        <w:topLinePunct w:val="0"/>
        <w:autoSpaceDE/>
        <w:autoSpaceDN/>
        <w:bidi w:val="0"/>
        <w:adjustRightInd/>
        <w:snapToGrid w:val="0"/>
        <w:spacing w:line="460" w:lineRule="exact"/>
        <w:ind w:firstLine="480" w:firstLineChars="200"/>
        <w:jc w:val="both"/>
        <w:textAlignment w:val="baseline"/>
        <w:rPr>
          <w:rFonts w:hint="eastAsia"/>
          <w:bCs/>
          <w:color w:val="auto"/>
          <w:sz w:val="24"/>
          <w:szCs w:val="24"/>
          <w:highlight w:val="none"/>
          <w:lang w:val="en-US" w:eastAsia="zh-CN"/>
        </w:rPr>
      </w:pPr>
      <w:r>
        <w:rPr>
          <w:rFonts w:hint="eastAsia"/>
          <w:bCs/>
          <w:color w:val="auto"/>
          <w:sz w:val="24"/>
          <w:szCs w:val="24"/>
          <w:highlight w:val="none"/>
          <w:lang w:val="en-US" w:eastAsia="zh-CN"/>
        </w:rPr>
        <w:t>6、提供2026年任意一个月依法缴纳税收的证明资料（新成立的企业从成立之日起计算）主要是指缴纳增值税或企业所得税或企业附加税的缴费证明，依法免税的投标响应人，应提供相应文件证明其依法免税；</w:t>
      </w:r>
    </w:p>
    <w:p w14:paraId="7F8FB2E4">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480" w:firstLineChars="200"/>
        <w:textAlignment w:val="auto"/>
        <w:rPr>
          <w:rFonts w:hint="eastAsia" w:ascii="宋体" w:hAnsi="宋体"/>
          <w:bCs/>
          <w:color w:val="auto"/>
          <w:sz w:val="24"/>
          <w:szCs w:val="21"/>
          <w:highlight w:val="none"/>
          <w:lang w:val="en-US" w:eastAsia="zh-CN"/>
        </w:rPr>
      </w:pPr>
      <w:r>
        <w:rPr>
          <w:rFonts w:hint="eastAsia" w:ascii="宋体" w:hAnsi="宋体"/>
          <w:bCs/>
          <w:color w:val="auto"/>
          <w:sz w:val="24"/>
          <w:szCs w:val="21"/>
          <w:highlight w:val="none"/>
          <w:lang w:val="en-US" w:eastAsia="zh-CN"/>
        </w:rPr>
        <w:t>7</w:t>
      </w:r>
      <w:r>
        <w:rPr>
          <w:rFonts w:hint="eastAsia" w:ascii="宋体" w:hAnsi="宋体" w:eastAsia="宋体"/>
          <w:bCs/>
          <w:color w:val="auto"/>
          <w:sz w:val="24"/>
          <w:szCs w:val="21"/>
          <w:highlight w:val="none"/>
        </w:rPr>
        <w:t>、参加政府采购活动前3年内无行贿犯罪记录商业贿赂、不正当竞争行为、骗取中标、严重违约及重大工程质量等问题；开标时提供投标企业出具无行贿犯罪记录在中国裁判文书网自行查询或自行承诺（查询对象为企业、法定代表人）及企业注册地工商管理部门出具的无商业贿赂和不正当竞争证明（开具时间在有效期内），若当地工商管理部门不办理此项业务，供应商须自行出具本企业无商业贿赂和不正当竞争行为承诺书；</w:t>
      </w:r>
    </w:p>
    <w:p w14:paraId="40BEF28B">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480" w:firstLineChars="200"/>
        <w:textAlignment w:val="auto"/>
        <w:rPr>
          <w:rFonts w:hint="eastAsia" w:ascii="宋体" w:hAnsi="宋体" w:eastAsia="宋体"/>
          <w:bCs/>
          <w:color w:val="auto"/>
          <w:sz w:val="24"/>
          <w:szCs w:val="21"/>
          <w:highlight w:val="none"/>
          <w:lang w:eastAsia="zh-CN"/>
        </w:rPr>
      </w:pPr>
      <w:r>
        <w:rPr>
          <w:rFonts w:hint="eastAsia" w:ascii="宋体" w:hAnsi="宋体"/>
          <w:bCs/>
          <w:color w:val="auto"/>
          <w:sz w:val="24"/>
          <w:szCs w:val="21"/>
          <w:highlight w:val="none"/>
          <w:lang w:val="en-US" w:eastAsia="zh-CN"/>
        </w:rPr>
        <w:t>8</w:t>
      </w:r>
      <w:r>
        <w:rPr>
          <w:rFonts w:hint="eastAsia" w:ascii="宋体" w:hAnsi="宋体" w:eastAsia="宋体"/>
          <w:bCs/>
          <w:color w:val="auto"/>
          <w:sz w:val="24"/>
          <w:szCs w:val="21"/>
          <w:highlight w:val="none"/>
        </w:rPr>
        <w:t>、根据《关于在政府采购活动中查询及使用信用记录有关问题的通知》(财库[2016]125号)和豫财购【2016】15号的规定，对列入失信被执行人、重大税收违法失信主体、政府采购严重违法失信行为记录名单的投标人，拒绝参与本项目采购活动；查询渠道：“信用中国”网站（www.creditchina.gov.cn），查询内容：重大税收违法失信主体、政府采购严重违法失信行为、失信被执行人（查询网站：http://zxgk.court.gov.cn中国执行信息公开网查询截图）。中国政府采购网（www.ccgp.gov.cn）查询内容：政府采购严重违法失信行为记录名单）。投标人须提供加盖公章的信用中国查询页、中国政府采购网查询页、中国执行信息公开网查询截图；查询日期为本公告发布之日起</w:t>
      </w:r>
      <w:r>
        <w:rPr>
          <w:rFonts w:hint="eastAsia" w:ascii="宋体" w:hAnsi="宋体"/>
          <w:bCs/>
          <w:color w:val="auto"/>
          <w:sz w:val="24"/>
          <w:szCs w:val="21"/>
          <w:highlight w:val="none"/>
          <w:lang w:eastAsia="zh-CN"/>
        </w:rPr>
        <w:t>，</w:t>
      </w:r>
      <w:r>
        <w:rPr>
          <w:rFonts w:hint="eastAsia" w:ascii="宋体" w:hAnsi="宋体" w:eastAsia="宋体"/>
          <w:bCs/>
          <w:color w:val="auto"/>
          <w:sz w:val="24"/>
          <w:szCs w:val="21"/>
          <w:highlight w:val="none"/>
        </w:rPr>
        <w:t>截图附日期</w:t>
      </w:r>
      <w:r>
        <w:rPr>
          <w:rFonts w:hint="eastAsia" w:ascii="宋体" w:hAnsi="宋体"/>
          <w:bCs/>
          <w:color w:val="auto"/>
          <w:sz w:val="24"/>
          <w:szCs w:val="21"/>
          <w:highlight w:val="none"/>
          <w:lang w:eastAsia="zh-CN"/>
        </w:rPr>
        <w:t>；</w:t>
      </w:r>
    </w:p>
    <w:p w14:paraId="4DE4579C">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480" w:firstLineChars="200"/>
        <w:textAlignment w:val="auto"/>
        <w:rPr>
          <w:rFonts w:hint="eastAsia" w:ascii="宋体" w:hAnsi="宋体" w:eastAsia="宋体"/>
          <w:b w:val="0"/>
          <w:bCs w:val="0"/>
          <w:color w:val="auto"/>
          <w:sz w:val="24"/>
          <w:szCs w:val="21"/>
          <w:highlight w:val="none"/>
          <w:lang w:val="en-US" w:eastAsia="zh-CN"/>
        </w:rPr>
      </w:pPr>
      <w:r>
        <w:rPr>
          <w:rFonts w:hint="eastAsia" w:ascii="宋体" w:hAnsi="宋体"/>
          <w:bCs/>
          <w:color w:val="auto"/>
          <w:sz w:val="24"/>
          <w:szCs w:val="21"/>
          <w:highlight w:val="none"/>
          <w:lang w:val="en-US" w:eastAsia="zh-CN"/>
        </w:rPr>
        <w:t>9</w:t>
      </w:r>
      <w:r>
        <w:rPr>
          <w:rFonts w:hint="eastAsia" w:ascii="宋体" w:hAnsi="宋体" w:eastAsia="宋体"/>
          <w:bCs/>
          <w:color w:val="auto"/>
          <w:sz w:val="24"/>
          <w:szCs w:val="21"/>
          <w:highlight w:val="none"/>
          <w:lang w:val="en-US" w:eastAsia="zh-CN"/>
        </w:rPr>
        <w:t>、单位负责人为同一人或者存在直接控股、管理关系的不同投标人，</w:t>
      </w:r>
      <w:r>
        <w:rPr>
          <w:rFonts w:hint="eastAsia" w:ascii="宋体" w:hAnsi="宋体" w:eastAsia="宋体" w:cs="Tahoma"/>
          <w:color w:val="auto"/>
          <w:kern w:val="0"/>
          <w:sz w:val="24"/>
          <w:szCs w:val="24"/>
          <w:highlight w:val="none"/>
          <w:lang w:val="en-US" w:eastAsia="zh-CN"/>
        </w:rPr>
        <w:t>不得参加同一合同项下的采购活动</w:t>
      </w:r>
      <w:r>
        <w:rPr>
          <w:rFonts w:hint="eastAsia" w:ascii="宋体" w:hAnsi="宋体" w:eastAsia="宋体"/>
          <w:bCs/>
          <w:color w:val="auto"/>
          <w:sz w:val="24"/>
          <w:szCs w:val="21"/>
          <w:highlight w:val="none"/>
          <w:lang w:val="en-US" w:eastAsia="zh-CN"/>
        </w:rPr>
        <w:t>；提供国家企业信用信息公示系统（网址http://www.gsxt.gov.cn/）公示的企业信息网页截图，</w:t>
      </w:r>
      <w:r>
        <w:rPr>
          <w:rFonts w:hint="eastAsia" w:ascii="宋体" w:hAnsi="宋体" w:eastAsia="宋体" w:cs="Tahoma"/>
          <w:color w:val="auto"/>
          <w:kern w:val="0"/>
          <w:sz w:val="24"/>
          <w:szCs w:val="24"/>
          <w:highlight w:val="none"/>
          <w:lang w:val="en-US" w:eastAsia="zh-CN"/>
        </w:rPr>
        <w:t>查询信息需包含公司基本信息、股东信息及股权变更信息等相关信息，查询日期为本项目公告发布之后至开标截止时间止</w:t>
      </w:r>
      <w:r>
        <w:rPr>
          <w:rFonts w:hint="eastAsia" w:ascii="宋体" w:hAnsi="宋体" w:cs="Tahoma"/>
          <w:color w:val="auto"/>
          <w:kern w:val="0"/>
          <w:sz w:val="24"/>
          <w:szCs w:val="24"/>
          <w:highlight w:val="none"/>
          <w:lang w:val="en-US" w:eastAsia="zh-CN"/>
        </w:rPr>
        <w:t>；</w:t>
      </w:r>
      <w:r>
        <w:rPr>
          <w:rFonts w:hint="eastAsia" w:ascii="宋体" w:hAnsi="宋体" w:cs="Tahoma"/>
          <w:b w:val="0"/>
          <w:bCs w:val="0"/>
          <w:color w:val="auto"/>
          <w:kern w:val="0"/>
          <w:sz w:val="24"/>
          <w:szCs w:val="24"/>
          <w:highlight w:val="none"/>
          <w:lang w:val="en-US" w:eastAsia="zh-CN"/>
        </w:rPr>
        <w:t>也可提供加盖单位公章的承诺书替代上述截图。</w:t>
      </w:r>
    </w:p>
    <w:p w14:paraId="248CA031">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480" w:firstLineChars="200"/>
        <w:textAlignment w:val="auto"/>
        <w:rPr>
          <w:rFonts w:hint="eastAsia" w:ascii="宋体" w:hAnsi="宋体" w:eastAsia="宋体" w:cstheme="minorBidi"/>
          <w:bCs/>
          <w:color w:val="auto"/>
          <w:sz w:val="24"/>
          <w:szCs w:val="21"/>
          <w:highlight w:val="none"/>
          <w:lang w:eastAsia="zh-CN"/>
        </w:rPr>
      </w:pPr>
      <w:r>
        <w:rPr>
          <w:rFonts w:hint="eastAsia" w:ascii="宋体" w:hAnsi="宋体" w:cstheme="minorBidi"/>
          <w:bCs/>
          <w:color w:val="auto"/>
          <w:sz w:val="24"/>
          <w:szCs w:val="21"/>
          <w:highlight w:val="none"/>
          <w:lang w:val="en-US" w:eastAsia="zh-CN"/>
        </w:rPr>
        <w:t>10</w:t>
      </w:r>
      <w:r>
        <w:rPr>
          <w:rFonts w:hint="eastAsia" w:ascii="宋体" w:hAnsi="宋体" w:eastAsia="宋体" w:cstheme="minorBidi"/>
          <w:bCs/>
          <w:color w:val="auto"/>
          <w:sz w:val="24"/>
          <w:szCs w:val="21"/>
          <w:highlight w:val="none"/>
        </w:rPr>
        <w:t>、本次磋商接受联合体投标</w:t>
      </w:r>
      <w:r>
        <w:rPr>
          <w:rFonts w:hint="eastAsia" w:ascii="宋体" w:hAnsi="宋体" w:eastAsia="宋体" w:cstheme="minorBidi"/>
          <w:bCs/>
          <w:color w:val="auto"/>
          <w:sz w:val="24"/>
          <w:szCs w:val="21"/>
          <w:highlight w:val="none"/>
          <w:lang w:eastAsia="zh-CN"/>
        </w:rPr>
        <w:t>，</w:t>
      </w:r>
      <w:r>
        <w:rPr>
          <w:rFonts w:hint="eastAsia" w:ascii="宋体" w:hAnsi="宋体" w:eastAsia="宋体" w:cstheme="minorBidi"/>
          <w:bCs/>
          <w:color w:val="auto"/>
          <w:sz w:val="24"/>
          <w:szCs w:val="21"/>
          <w:highlight w:val="none"/>
          <w:lang w:val="en-US" w:eastAsia="zh-CN"/>
        </w:rPr>
        <w:t>如为联合体投标，还应满足下列要求：</w:t>
      </w:r>
    </w:p>
    <w:p w14:paraId="47D58B22">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480" w:firstLineChars="200"/>
        <w:textAlignment w:val="auto"/>
        <w:rPr>
          <w:rFonts w:hint="eastAsia" w:ascii="宋体" w:hAnsi="宋体"/>
          <w:bCs/>
          <w:color w:val="auto"/>
          <w:sz w:val="24"/>
          <w:szCs w:val="21"/>
          <w:highlight w:val="none"/>
          <w:lang w:val="en-US" w:eastAsia="zh-CN"/>
        </w:rPr>
      </w:pPr>
      <w:r>
        <w:rPr>
          <w:rFonts w:hint="eastAsia" w:ascii="宋体" w:hAnsi="宋体"/>
          <w:bCs/>
          <w:color w:val="auto"/>
          <w:sz w:val="24"/>
          <w:szCs w:val="21"/>
          <w:highlight w:val="none"/>
          <w:lang w:val="en-US" w:eastAsia="zh-CN"/>
        </w:rPr>
        <w:t xml:space="preserve">1）联合体成员不超过2家（含联合体牵头人）； </w:t>
      </w:r>
    </w:p>
    <w:p w14:paraId="41668A67">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default"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2）以联合体形式参加本项目的，联合体各方应当满足上述供应商资格要求第1-9项；（注：联合体各方按承揽工作匹配对应专项资质；联合体成员中承担检测工作的单位，须具备本项目要求的CMA检验检测机构资质认定证书及附表对应的检测能力；承担设计工作的单位须</w:t>
      </w:r>
      <w:r>
        <w:rPr>
          <w:rFonts w:hint="eastAsia" w:ascii="宋体" w:hAnsi="宋体" w:eastAsia="宋体" w:cs="Tahoma"/>
          <w:color w:val="auto"/>
          <w:kern w:val="0"/>
          <w:sz w:val="24"/>
          <w:szCs w:val="24"/>
          <w:highlight w:val="none"/>
          <w:lang w:val="en-US" w:eastAsia="zh-CN"/>
        </w:rPr>
        <w:t>具有环境工程设计专项（污染修复工程）乙级及以上资质或环境生态治理乙级及以上资质</w:t>
      </w:r>
      <w:r>
        <w:rPr>
          <w:rFonts w:hint="eastAsia" w:ascii="宋体" w:hAnsi="宋体" w:eastAsia="宋体"/>
          <w:bCs/>
          <w:color w:val="auto"/>
          <w:sz w:val="24"/>
          <w:szCs w:val="21"/>
          <w:highlight w:val="none"/>
          <w:lang w:val="en-US" w:eastAsia="zh-CN"/>
        </w:rPr>
        <w:t>，各成员按照实际分工具备对应履约能力。）</w:t>
      </w:r>
    </w:p>
    <w:p w14:paraId="35C9B536">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auto"/>
          <w:sz w:val="24"/>
          <w:szCs w:val="21"/>
          <w:highlight w:val="none"/>
          <w:lang w:val="en-US" w:eastAsia="zh-CN"/>
        </w:rPr>
      </w:pPr>
      <w:r>
        <w:rPr>
          <w:rFonts w:hint="eastAsia" w:ascii="宋体" w:hAnsi="宋体"/>
          <w:bCs/>
          <w:color w:val="auto"/>
          <w:sz w:val="24"/>
          <w:szCs w:val="21"/>
          <w:highlight w:val="none"/>
          <w:lang w:val="en-US" w:eastAsia="zh-CN"/>
        </w:rPr>
        <w:t xml:space="preserve">3）联合体各方应签订联合体协议书明确各方权利义务； </w:t>
      </w:r>
    </w:p>
    <w:p w14:paraId="078AA327">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auto"/>
          <w:sz w:val="24"/>
          <w:szCs w:val="21"/>
          <w:highlight w:val="none"/>
          <w:lang w:val="en-US" w:eastAsia="zh-CN"/>
        </w:rPr>
      </w:pPr>
      <w:r>
        <w:rPr>
          <w:rFonts w:hint="eastAsia" w:ascii="宋体" w:hAnsi="宋体"/>
          <w:bCs/>
          <w:color w:val="auto"/>
          <w:sz w:val="24"/>
          <w:szCs w:val="21"/>
          <w:highlight w:val="none"/>
          <w:lang w:val="en-US" w:eastAsia="zh-CN"/>
        </w:rPr>
        <w:t>4）联合体各方签订共同投标协议后，联合体各方不得再以自己名义单独（或与其他单位组成新的联合体）参与同一标段下的投标；</w:t>
      </w:r>
    </w:p>
    <w:p w14:paraId="11379E91">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auto"/>
          <w:sz w:val="24"/>
          <w:szCs w:val="21"/>
          <w:highlight w:val="none"/>
          <w:lang w:val="en-US" w:eastAsia="zh-CN"/>
        </w:rPr>
      </w:pPr>
      <w:r>
        <w:rPr>
          <w:rFonts w:hint="eastAsia" w:ascii="宋体" w:hAnsi="宋体"/>
          <w:bCs/>
          <w:color w:val="auto"/>
          <w:sz w:val="24"/>
          <w:szCs w:val="21"/>
          <w:highlight w:val="none"/>
          <w:lang w:val="en-US" w:eastAsia="zh-CN"/>
        </w:rPr>
        <w:t>5）联合体中标后联合体各方应当共同与采购人签订合同，未履行合同向招标人承担连带责任；</w:t>
      </w:r>
    </w:p>
    <w:p w14:paraId="1067D2A1">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auto"/>
          <w:sz w:val="24"/>
          <w:szCs w:val="21"/>
          <w:highlight w:val="none"/>
          <w:lang w:val="en-US" w:eastAsia="zh-CN"/>
        </w:rPr>
      </w:pPr>
      <w:r>
        <w:rPr>
          <w:rFonts w:hint="eastAsia" w:ascii="宋体" w:hAnsi="宋体"/>
          <w:bCs/>
          <w:color w:val="auto"/>
          <w:sz w:val="24"/>
          <w:szCs w:val="21"/>
          <w:highlight w:val="none"/>
          <w:lang w:val="en-US" w:eastAsia="zh-CN"/>
        </w:rPr>
        <w:t xml:space="preserve">6）联合体的牵头人应被授权作为联合体各方的代表，承担责任和接受指令； </w:t>
      </w:r>
    </w:p>
    <w:p w14:paraId="49C0D6D9">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color w:val="auto"/>
          <w:highlight w:val="none"/>
        </w:rPr>
      </w:pPr>
      <w:r>
        <w:rPr>
          <w:rFonts w:hint="eastAsia" w:ascii="宋体" w:hAnsi="宋体"/>
          <w:bCs/>
          <w:color w:val="auto"/>
          <w:sz w:val="24"/>
          <w:szCs w:val="21"/>
          <w:highlight w:val="none"/>
          <w:lang w:val="en-US" w:eastAsia="zh-CN"/>
        </w:rPr>
        <w:t>7）获取磋商文件时，应以联合体牵头人的名义获取，并以联合体牵头人的名义递交相应文件；联合体牵头人法定代表人或其授权代表负责签署本次投标相关资料，其他联合体成员必须予以认可。</w:t>
      </w:r>
    </w:p>
    <w:p w14:paraId="2D7EB92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rPr>
      </w:pPr>
      <w:r>
        <w:rPr>
          <w:rFonts w:hint="eastAsia" w:ascii="宋体" w:hAnsi="宋体"/>
          <w:bCs/>
          <w:color w:val="auto"/>
          <w:sz w:val="24"/>
          <w:szCs w:val="21"/>
          <w:highlight w:val="none"/>
          <w:lang w:val="en-US" w:eastAsia="zh-CN"/>
        </w:rPr>
        <w:t>11</w:t>
      </w:r>
      <w:r>
        <w:rPr>
          <w:rFonts w:hint="eastAsia" w:ascii="宋体" w:hAnsi="宋体" w:eastAsia="宋体"/>
          <w:bCs/>
          <w:color w:val="auto"/>
          <w:sz w:val="24"/>
          <w:szCs w:val="21"/>
          <w:highlight w:val="none"/>
        </w:rPr>
        <w:t>、本次磋商实行资格后审。</w:t>
      </w:r>
    </w:p>
    <w:p w14:paraId="290C3ABD">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1"/>
          <w:highlight w:val="none"/>
          <w:lang w:val="en-US" w:eastAsia="zh-CN"/>
        </w:rPr>
      </w:pPr>
      <w:r>
        <w:rPr>
          <w:rFonts w:hint="eastAsia" w:ascii="宋体" w:hAnsi="宋体" w:cs="宋体"/>
          <w:bCs/>
          <w:color w:val="auto"/>
          <w:sz w:val="24"/>
          <w:szCs w:val="21"/>
          <w:highlight w:val="none"/>
        </w:rPr>
        <w:t>注：被列入失信被执行人及重大税收违法失信主体的企业做无效标处理。采购人或采购代理机构有权对供应商信用记录进行甄别和复查。</w:t>
      </w:r>
    </w:p>
    <w:p w14:paraId="1DBBBB2A">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auto"/>
          <w:sz w:val="24"/>
          <w:szCs w:val="21"/>
          <w:highlight w:val="none"/>
        </w:rPr>
      </w:pPr>
      <w:r>
        <w:rPr>
          <w:rFonts w:hint="eastAsia" w:ascii="宋体" w:hAnsi="宋体" w:eastAsia="宋体" w:cstheme="minorBidi"/>
          <w:bCs/>
          <w:color w:val="auto"/>
          <w:sz w:val="24"/>
          <w:szCs w:val="21"/>
          <w:highlight w:val="none"/>
        </w:rPr>
        <w:t>三、报名及磋商文件的获取方式：</w:t>
      </w:r>
    </w:p>
    <w:p w14:paraId="152909A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auto"/>
          <w:sz w:val="24"/>
          <w:szCs w:val="21"/>
          <w:highlight w:val="none"/>
        </w:rPr>
      </w:pPr>
      <w:r>
        <w:rPr>
          <w:rFonts w:hint="eastAsia" w:ascii="宋体" w:hAnsi="宋体" w:eastAsia="宋体" w:cstheme="minorBidi"/>
          <w:bCs/>
          <w:color w:val="auto"/>
          <w:sz w:val="24"/>
          <w:szCs w:val="21"/>
          <w:highlight w:val="none"/>
        </w:rPr>
        <w:t>1、本项目没有报名环节，投标人凭CA数字证书通过三门峡市公共资源交易中心网（网址：http://gzjy.smx.gov.cn），点击交易平台选择“交易主体登录”，在所参与项目右侧点击参与投标，即可直接下载本项目招标文件（招标文件中包含清单等投标所需一切内容）。</w:t>
      </w:r>
    </w:p>
    <w:p w14:paraId="4975C2E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auto"/>
          <w:sz w:val="24"/>
          <w:szCs w:val="21"/>
          <w:highlight w:val="none"/>
        </w:rPr>
      </w:pPr>
      <w:r>
        <w:rPr>
          <w:rFonts w:hint="eastAsia" w:ascii="宋体" w:hAnsi="宋体" w:eastAsia="宋体" w:cstheme="minorBidi"/>
          <w:bCs/>
          <w:color w:val="auto"/>
          <w:sz w:val="24"/>
          <w:szCs w:val="21"/>
          <w:highlight w:val="none"/>
        </w:rPr>
        <w:t>2、文件下载时间：202</w:t>
      </w:r>
      <w:r>
        <w:rPr>
          <w:rFonts w:hint="eastAsia" w:ascii="宋体" w:hAnsi="宋体" w:cstheme="minorBidi"/>
          <w:bCs/>
          <w:color w:val="auto"/>
          <w:sz w:val="24"/>
          <w:szCs w:val="21"/>
          <w:highlight w:val="none"/>
          <w:lang w:val="en-US" w:eastAsia="zh-CN"/>
        </w:rPr>
        <w:t>6</w:t>
      </w:r>
      <w:r>
        <w:rPr>
          <w:rFonts w:hint="eastAsia" w:ascii="宋体" w:hAnsi="宋体" w:eastAsia="宋体" w:cstheme="minorBidi"/>
          <w:bCs/>
          <w:color w:val="auto"/>
          <w:sz w:val="24"/>
          <w:szCs w:val="21"/>
          <w:highlight w:val="none"/>
        </w:rPr>
        <w:t>年</w:t>
      </w:r>
      <w:r>
        <w:rPr>
          <w:rFonts w:hint="eastAsia" w:ascii="宋体" w:hAnsi="宋体" w:cstheme="minorBidi"/>
          <w:bCs/>
          <w:color w:val="auto"/>
          <w:sz w:val="24"/>
          <w:szCs w:val="21"/>
          <w:highlight w:val="none"/>
          <w:lang w:val="en-US" w:eastAsia="zh-CN"/>
        </w:rPr>
        <w:t>09</w:t>
      </w:r>
      <w:r>
        <w:rPr>
          <w:rFonts w:hint="eastAsia" w:ascii="宋体" w:hAnsi="宋体" w:eastAsia="宋体" w:cstheme="minorBidi"/>
          <w:bCs/>
          <w:color w:val="auto"/>
          <w:sz w:val="24"/>
          <w:szCs w:val="21"/>
          <w:highlight w:val="none"/>
        </w:rPr>
        <w:t>月</w:t>
      </w:r>
      <w:r>
        <w:rPr>
          <w:rFonts w:hint="eastAsia" w:ascii="宋体" w:hAnsi="宋体" w:cstheme="minorBidi"/>
          <w:bCs/>
          <w:color w:val="auto"/>
          <w:sz w:val="24"/>
          <w:szCs w:val="21"/>
          <w:highlight w:val="none"/>
          <w:lang w:val="en-US" w:eastAsia="zh-CN"/>
        </w:rPr>
        <w:t>16</w:t>
      </w:r>
      <w:r>
        <w:rPr>
          <w:rFonts w:hint="eastAsia" w:ascii="宋体" w:hAnsi="宋体" w:eastAsia="宋体" w:cstheme="minorBidi"/>
          <w:bCs/>
          <w:color w:val="auto"/>
          <w:sz w:val="24"/>
          <w:szCs w:val="21"/>
          <w:highlight w:val="none"/>
        </w:rPr>
        <w:t>日0</w:t>
      </w:r>
      <w:r>
        <w:rPr>
          <w:rFonts w:hint="eastAsia" w:ascii="宋体" w:hAnsi="宋体" w:cstheme="minorBidi"/>
          <w:bCs/>
          <w:color w:val="auto"/>
          <w:sz w:val="24"/>
          <w:szCs w:val="21"/>
          <w:highlight w:val="none"/>
          <w:lang w:val="en-US" w:eastAsia="zh-CN"/>
        </w:rPr>
        <w:t>0</w:t>
      </w:r>
      <w:r>
        <w:rPr>
          <w:rFonts w:hint="eastAsia" w:ascii="宋体" w:hAnsi="宋体" w:eastAsia="宋体" w:cstheme="minorBidi"/>
          <w:bCs/>
          <w:color w:val="auto"/>
          <w:sz w:val="24"/>
          <w:szCs w:val="21"/>
          <w:highlight w:val="none"/>
        </w:rPr>
        <w:t>时00分至</w:t>
      </w:r>
      <w:r>
        <w:rPr>
          <w:rFonts w:hint="eastAsia" w:ascii="宋体" w:hAnsi="宋体" w:cstheme="minorBidi"/>
          <w:bCs/>
          <w:color w:val="auto"/>
          <w:sz w:val="24"/>
          <w:szCs w:val="21"/>
          <w:highlight w:val="none"/>
          <w:lang w:eastAsia="zh-CN"/>
        </w:rPr>
        <w:t>202</w:t>
      </w:r>
      <w:r>
        <w:rPr>
          <w:rFonts w:hint="eastAsia" w:ascii="宋体" w:hAnsi="宋体" w:cstheme="minorBidi"/>
          <w:bCs/>
          <w:color w:val="auto"/>
          <w:sz w:val="24"/>
          <w:szCs w:val="21"/>
          <w:highlight w:val="none"/>
          <w:lang w:val="en-US" w:eastAsia="zh-CN"/>
        </w:rPr>
        <w:t>6</w:t>
      </w:r>
      <w:r>
        <w:rPr>
          <w:rFonts w:hint="eastAsia" w:ascii="宋体" w:hAnsi="宋体" w:cstheme="minorBidi"/>
          <w:bCs/>
          <w:color w:val="auto"/>
          <w:sz w:val="24"/>
          <w:szCs w:val="21"/>
          <w:highlight w:val="none"/>
          <w:lang w:eastAsia="zh-CN"/>
        </w:rPr>
        <w:t>年</w:t>
      </w:r>
      <w:r>
        <w:rPr>
          <w:rFonts w:hint="eastAsia" w:ascii="宋体" w:hAnsi="宋体" w:cstheme="minorBidi"/>
          <w:bCs/>
          <w:color w:val="auto"/>
          <w:sz w:val="24"/>
          <w:szCs w:val="21"/>
          <w:highlight w:val="none"/>
          <w:lang w:val="en-US" w:eastAsia="zh-CN"/>
        </w:rPr>
        <w:t>09</w:t>
      </w:r>
      <w:r>
        <w:rPr>
          <w:rFonts w:hint="eastAsia" w:ascii="宋体" w:hAnsi="宋体" w:cstheme="minorBidi"/>
          <w:bCs/>
          <w:color w:val="auto"/>
          <w:sz w:val="24"/>
          <w:szCs w:val="21"/>
          <w:highlight w:val="none"/>
          <w:lang w:eastAsia="zh-CN"/>
        </w:rPr>
        <w:t>月</w:t>
      </w:r>
      <w:r>
        <w:rPr>
          <w:rFonts w:hint="eastAsia" w:ascii="宋体" w:hAnsi="宋体" w:cstheme="minorBidi"/>
          <w:bCs/>
          <w:color w:val="auto"/>
          <w:sz w:val="24"/>
          <w:szCs w:val="21"/>
          <w:highlight w:val="none"/>
          <w:lang w:val="en-US" w:eastAsia="zh-CN"/>
        </w:rPr>
        <w:t>29</w:t>
      </w:r>
      <w:r>
        <w:rPr>
          <w:rFonts w:hint="eastAsia" w:ascii="宋体" w:hAnsi="宋体" w:cstheme="minorBidi"/>
          <w:bCs/>
          <w:color w:val="auto"/>
          <w:sz w:val="24"/>
          <w:szCs w:val="21"/>
          <w:highlight w:val="none"/>
          <w:lang w:eastAsia="zh-CN"/>
        </w:rPr>
        <w:t>日</w:t>
      </w:r>
      <w:r>
        <w:rPr>
          <w:rFonts w:hint="eastAsia" w:ascii="宋体" w:hAnsi="宋体" w:eastAsia="宋体" w:cstheme="minorBidi"/>
          <w:bCs/>
          <w:color w:val="auto"/>
          <w:sz w:val="24"/>
          <w:szCs w:val="21"/>
          <w:highlight w:val="none"/>
        </w:rPr>
        <w:t>08时40分；</w:t>
      </w:r>
    </w:p>
    <w:p w14:paraId="551BDE30">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auto"/>
          <w:sz w:val="24"/>
          <w:szCs w:val="21"/>
          <w:highlight w:val="none"/>
        </w:rPr>
      </w:pPr>
      <w:r>
        <w:rPr>
          <w:rFonts w:hint="eastAsia" w:ascii="宋体" w:hAnsi="宋体" w:eastAsia="宋体" w:cstheme="minorBidi"/>
          <w:bCs/>
          <w:color w:val="auto"/>
          <w:sz w:val="24"/>
          <w:szCs w:val="21"/>
          <w:highlight w:val="none"/>
        </w:rPr>
        <w:t>3、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每位供应商的解密时间为开标时间起30分钟内完成。未按时解密的其投标将被否决。因供应商原因未能解密、解密失败或解密超时的将被拒绝。</w:t>
      </w:r>
    </w:p>
    <w:p w14:paraId="7FFF09B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heme="minorBidi"/>
          <w:bCs/>
          <w:color w:val="auto"/>
          <w:sz w:val="24"/>
          <w:szCs w:val="21"/>
          <w:highlight w:val="none"/>
        </w:rPr>
      </w:pPr>
      <w:r>
        <w:rPr>
          <w:rFonts w:hint="eastAsia" w:ascii="宋体" w:hAnsi="宋体" w:eastAsia="宋体" w:cstheme="minorBidi"/>
          <w:bCs/>
          <w:color w:val="auto"/>
          <w:sz w:val="24"/>
          <w:szCs w:val="21"/>
          <w:highlight w:val="none"/>
        </w:rPr>
        <w:t>4、本项目为全电子招标，不再收取磋商文件费用。</w:t>
      </w:r>
    </w:p>
    <w:p w14:paraId="7890CF01">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四、供应商资料的提交</w:t>
      </w:r>
    </w:p>
    <w:p w14:paraId="2B296D2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auto"/>
          <w:sz w:val="24"/>
          <w:szCs w:val="24"/>
          <w:highlight w:val="none"/>
          <w:lang w:val="en-US" w:eastAsia="en-US"/>
        </w:rPr>
      </w:pPr>
      <w:r>
        <w:rPr>
          <w:rFonts w:hint="eastAsia" w:ascii="宋体" w:hAnsi="宋体" w:eastAsia="宋体"/>
          <w:b w:val="0"/>
          <w:bCs w:val="0"/>
          <w:color w:val="auto"/>
          <w:sz w:val="24"/>
          <w:szCs w:val="24"/>
          <w:highlight w:val="none"/>
          <w:lang w:val="en-US" w:eastAsia="en-US"/>
        </w:rPr>
        <w:t>本项目实行资格后审，审查内容以投标截止时间前在三门峡市公共资源交易</w:t>
      </w:r>
      <w:r>
        <w:rPr>
          <w:rFonts w:hint="eastAsia" w:ascii="宋体" w:hAnsi="宋体" w:eastAsia="宋体"/>
          <w:b w:val="0"/>
          <w:bCs w:val="0"/>
          <w:color w:val="auto"/>
          <w:sz w:val="24"/>
          <w:szCs w:val="24"/>
          <w:highlight w:val="none"/>
          <w:lang w:val="en-US" w:eastAsia="zh-CN"/>
        </w:rPr>
        <w:t>中心网提交投标文件</w:t>
      </w:r>
      <w:r>
        <w:rPr>
          <w:rFonts w:hint="eastAsia" w:ascii="宋体" w:hAnsi="宋体" w:eastAsia="宋体"/>
          <w:b w:val="0"/>
          <w:bCs w:val="0"/>
          <w:color w:val="auto"/>
          <w:sz w:val="24"/>
          <w:szCs w:val="24"/>
          <w:highlight w:val="none"/>
          <w:lang w:val="en-US" w:eastAsia="en-US"/>
        </w:rPr>
        <w:t>的信息为准。其上传资料真实性由投标人自行承担</w:t>
      </w:r>
      <w:r>
        <w:rPr>
          <w:rFonts w:hint="eastAsia" w:ascii="宋体" w:hAnsi="宋体" w:eastAsia="宋体"/>
          <w:b w:val="0"/>
          <w:bCs w:val="0"/>
          <w:color w:val="auto"/>
          <w:sz w:val="24"/>
          <w:szCs w:val="24"/>
          <w:highlight w:val="none"/>
          <w:lang w:val="en-US" w:eastAsia="zh-CN"/>
        </w:rPr>
        <w:t>，同时，投标人要完善主体库</w:t>
      </w:r>
      <w:r>
        <w:rPr>
          <w:rFonts w:hint="eastAsia" w:ascii="宋体" w:hAnsi="宋体" w:eastAsia="宋体"/>
          <w:b w:val="0"/>
          <w:bCs w:val="0"/>
          <w:color w:val="auto"/>
          <w:sz w:val="24"/>
          <w:szCs w:val="24"/>
          <w:highlight w:val="none"/>
          <w:lang w:val="en-US" w:eastAsia="en-US"/>
        </w:rPr>
        <w:t>。原件扫描件清晰可辨。否则，由此造成应得分而未得分或资格审查不合格等情况的，由投标人承担责任。</w:t>
      </w:r>
    </w:p>
    <w:p w14:paraId="56F4A426">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auto"/>
          <w:sz w:val="24"/>
          <w:szCs w:val="24"/>
          <w:highlight w:val="none"/>
          <w:lang w:val="en-US" w:eastAsia="en-US"/>
        </w:rPr>
      </w:pPr>
      <w:r>
        <w:rPr>
          <w:rFonts w:hint="eastAsia" w:ascii="宋体" w:hAnsi="宋体" w:eastAsia="宋体"/>
          <w:b w:val="0"/>
          <w:bCs w:val="0"/>
          <w:color w:val="auto"/>
          <w:sz w:val="24"/>
          <w:szCs w:val="24"/>
          <w:highlight w:val="none"/>
          <w:lang w:val="en-US" w:eastAsia="en-US"/>
        </w:rPr>
        <w:t>温馨提示：本项目为电子化、无纸化交易项目，开标时不再接受任何纸质资料，为保证您能开标成功，请需仔细阅读</w:t>
      </w:r>
      <w:r>
        <w:rPr>
          <w:rFonts w:hint="eastAsia" w:ascii="宋体" w:hAnsi="宋体" w:eastAsia="宋体"/>
          <w:b w:val="0"/>
          <w:bCs w:val="0"/>
          <w:color w:val="auto"/>
          <w:sz w:val="24"/>
          <w:szCs w:val="24"/>
          <w:highlight w:val="none"/>
          <w:lang w:val="en-US" w:eastAsia="zh-CN"/>
        </w:rPr>
        <w:t>招标文件</w:t>
      </w:r>
      <w:r>
        <w:rPr>
          <w:rFonts w:hint="eastAsia" w:ascii="宋体" w:hAnsi="宋体" w:eastAsia="宋体"/>
          <w:b w:val="0"/>
          <w:bCs w:val="0"/>
          <w:color w:val="auto"/>
          <w:sz w:val="24"/>
          <w:szCs w:val="24"/>
          <w:highlight w:val="none"/>
          <w:lang w:val="en-US" w:eastAsia="en-US"/>
        </w:rPr>
        <w:t>和三门峡市公共资源交易中心官网业务办理指南。</w:t>
      </w:r>
    </w:p>
    <w:p w14:paraId="5EE7B4B4">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五、投标保证金</w:t>
      </w:r>
    </w:p>
    <w:p w14:paraId="1E6C1E8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按照《河南省财政厅关于优化政府采购营商环境有关问题的通知》（豫财购[2019]4号文）的要求本项目不再收取投标保证金。</w:t>
      </w:r>
    </w:p>
    <w:p w14:paraId="2A89B5D7">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六、磋商文件的递交</w:t>
      </w:r>
    </w:p>
    <w:p w14:paraId="6533F4B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rPr>
        <w:t>1、磋商文件递交的截止时间（开标时间）为202</w:t>
      </w:r>
      <w:r>
        <w:rPr>
          <w:rFonts w:hint="eastAsia" w:ascii="宋体" w:hAnsi="宋体"/>
          <w:bCs/>
          <w:color w:val="auto"/>
          <w:sz w:val="24"/>
          <w:szCs w:val="24"/>
          <w:highlight w:val="none"/>
          <w:lang w:val="en-US" w:eastAsia="zh-CN"/>
        </w:rPr>
        <w:t>6</w:t>
      </w:r>
      <w:r>
        <w:rPr>
          <w:rFonts w:hint="eastAsia" w:ascii="宋体" w:hAnsi="宋体" w:eastAsia="宋体"/>
          <w:bCs/>
          <w:color w:val="auto"/>
          <w:sz w:val="24"/>
          <w:szCs w:val="24"/>
          <w:highlight w:val="none"/>
        </w:rPr>
        <w:t>年</w:t>
      </w:r>
      <w:r>
        <w:rPr>
          <w:rFonts w:hint="eastAsia" w:ascii="宋体" w:hAnsi="宋体"/>
          <w:bCs/>
          <w:color w:val="auto"/>
          <w:sz w:val="24"/>
          <w:szCs w:val="24"/>
          <w:highlight w:val="none"/>
          <w:lang w:val="en-US" w:eastAsia="zh-CN"/>
        </w:rPr>
        <w:t>09</w:t>
      </w:r>
      <w:r>
        <w:rPr>
          <w:rFonts w:hint="eastAsia" w:ascii="宋体" w:hAnsi="宋体" w:eastAsia="宋体"/>
          <w:bCs/>
          <w:color w:val="auto"/>
          <w:sz w:val="24"/>
          <w:szCs w:val="24"/>
          <w:highlight w:val="none"/>
        </w:rPr>
        <w:t>月</w:t>
      </w:r>
      <w:r>
        <w:rPr>
          <w:rFonts w:hint="eastAsia" w:ascii="宋体" w:hAnsi="宋体"/>
          <w:bCs/>
          <w:color w:val="auto"/>
          <w:sz w:val="24"/>
          <w:szCs w:val="24"/>
          <w:highlight w:val="none"/>
          <w:lang w:val="en-US" w:eastAsia="zh-CN"/>
        </w:rPr>
        <w:t>29</w:t>
      </w:r>
      <w:r>
        <w:rPr>
          <w:rFonts w:hint="eastAsia" w:ascii="宋体" w:hAnsi="宋体" w:eastAsia="宋体"/>
          <w:bCs/>
          <w:color w:val="auto"/>
          <w:sz w:val="24"/>
          <w:szCs w:val="24"/>
          <w:highlight w:val="none"/>
        </w:rPr>
        <w:t>日08时</w:t>
      </w:r>
      <w:r>
        <w:rPr>
          <w:rFonts w:hint="eastAsia" w:ascii="宋体" w:hAnsi="宋体"/>
          <w:bCs/>
          <w:color w:val="auto"/>
          <w:sz w:val="24"/>
          <w:szCs w:val="24"/>
          <w:highlight w:val="none"/>
          <w:lang w:val="en-US" w:eastAsia="zh-CN"/>
        </w:rPr>
        <w:t>4</w:t>
      </w:r>
      <w:r>
        <w:rPr>
          <w:rFonts w:hint="eastAsia" w:ascii="宋体" w:hAnsi="宋体" w:eastAsia="宋体"/>
          <w:bCs/>
          <w:color w:val="auto"/>
          <w:sz w:val="24"/>
          <w:szCs w:val="24"/>
          <w:highlight w:val="none"/>
        </w:rPr>
        <w:t>0分；</w:t>
      </w:r>
    </w:p>
    <w:p w14:paraId="4483313F">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4"/>
          <w:highlight w:val="none"/>
          <w:lang w:val="en-US" w:eastAsia="zh-CN"/>
        </w:rPr>
      </w:pPr>
      <w:r>
        <w:rPr>
          <w:rFonts w:hint="eastAsia" w:ascii="宋体" w:hAnsi="宋体"/>
          <w:bCs/>
          <w:color w:val="auto"/>
          <w:sz w:val="24"/>
          <w:szCs w:val="24"/>
          <w:highlight w:val="none"/>
          <w:lang w:val="en-US" w:eastAsia="zh-CN"/>
        </w:rPr>
        <w:t>2</w:t>
      </w:r>
      <w:r>
        <w:rPr>
          <w:rFonts w:hint="eastAsia" w:ascii="宋体" w:hAnsi="宋体" w:eastAsia="宋体"/>
          <w:bCs/>
          <w:color w:val="auto"/>
          <w:sz w:val="24"/>
          <w:szCs w:val="24"/>
          <w:highlight w:val="none"/>
        </w:rPr>
        <w:t>、开标地点：卢氏县公共资源交易中心</w:t>
      </w:r>
      <w:r>
        <w:rPr>
          <w:rFonts w:hint="eastAsia" w:ascii="宋体" w:hAnsi="宋体"/>
          <w:bCs/>
          <w:color w:val="auto"/>
          <w:sz w:val="24"/>
          <w:szCs w:val="24"/>
          <w:highlight w:val="none"/>
          <w:lang w:eastAsia="zh-CN"/>
        </w:rPr>
        <w:t>四</w:t>
      </w:r>
      <w:r>
        <w:rPr>
          <w:rFonts w:hint="eastAsia" w:ascii="宋体" w:hAnsi="宋体" w:eastAsia="宋体"/>
          <w:bCs/>
          <w:color w:val="auto"/>
          <w:sz w:val="24"/>
          <w:szCs w:val="24"/>
          <w:highlight w:val="none"/>
        </w:rPr>
        <w:t>楼第</w:t>
      </w:r>
      <w:r>
        <w:rPr>
          <w:rFonts w:hint="eastAsia" w:ascii="宋体" w:hAnsi="宋体"/>
          <w:bCs/>
          <w:color w:val="auto"/>
          <w:sz w:val="24"/>
          <w:szCs w:val="24"/>
          <w:highlight w:val="none"/>
          <w:lang w:val="en-US" w:eastAsia="zh-CN"/>
        </w:rPr>
        <w:t>一</w:t>
      </w:r>
      <w:r>
        <w:rPr>
          <w:rFonts w:hint="eastAsia" w:ascii="宋体" w:hAnsi="宋体" w:eastAsia="宋体"/>
          <w:bCs/>
          <w:color w:val="auto"/>
          <w:sz w:val="24"/>
          <w:szCs w:val="24"/>
          <w:highlight w:val="none"/>
        </w:rPr>
        <w:t>开标室。</w:t>
      </w:r>
    </w:p>
    <w:p w14:paraId="6B95BF92">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4"/>
          <w:highlight w:val="none"/>
          <w:lang w:val="en-US" w:eastAsia="zh-CN"/>
        </w:rPr>
      </w:pPr>
      <w:r>
        <w:rPr>
          <w:rFonts w:hint="eastAsia" w:ascii="宋体" w:hAnsi="宋体"/>
          <w:bCs/>
          <w:color w:val="auto"/>
          <w:sz w:val="24"/>
          <w:szCs w:val="24"/>
          <w:highlight w:val="none"/>
          <w:lang w:val="en-US" w:eastAsia="zh-CN"/>
        </w:rPr>
        <w:t>3</w:t>
      </w:r>
      <w:r>
        <w:rPr>
          <w:rFonts w:hint="eastAsia" w:ascii="宋体" w:hAnsi="宋体" w:eastAsia="宋体"/>
          <w:bCs/>
          <w:color w:val="auto"/>
          <w:sz w:val="24"/>
          <w:szCs w:val="24"/>
          <w:highlight w:val="none"/>
        </w:rPr>
        <w:t>、评标地点：卢氏县公共资源交易中心二楼第</w:t>
      </w:r>
      <w:r>
        <w:rPr>
          <w:rFonts w:hint="eastAsia" w:ascii="宋体" w:hAnsi="宋体"/>
          <w:bCs/>
          <w:color w:val="auto"/>
          <w:sz w:val="24"/>
          <w:szCs w:val="24"/>
          <w:highlight w:val="none"/>
          <w:lang w:val="en-US" w:eastAsia="zh-CN"/>
        </w:rPr>
        <w:t>一</w:t>
      </w:r>
      <w:r>
        <w:rPr>
          <w:rFonts w:hint="eastAsia" w:ascii="宋体" w:hAnsi="宋体" w:eastAsia="宋体"/>
          <w:bCs/>
          <w:color w:val="auto"/>
          <w:sz w:val="24"/>
          <w:szCs w:val="24"/>
          <w:highlight w:val="none"/>
        </w:rPr>
        <w:t>评标室。</w:t>
      </w:r>
    </w:p>
    <w:p w14:paraId="574B41B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七、其他事项</w:t>
      </w:r>
    </w:p>
    <w:p w14:paraId="4925260A">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rPr>
        <w:t>1、供应商应仔细阅读操作手册，在本公告中要求的截止时间前完成网上报名等工作。并充分考虑人为操作和银行异地跨行转账到账的时间等因素，因供应商操作不当或银行到账时间等问题造成的无法下载磋商文件、无法投标等一切后果，由供应商自行承担。</w:t>
      </w:r>
    </w:p>
    <w:p w14:paraId="0BA8AF49">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rPr>
        <w:t>2、招标人不组织供应商踏勘现场。</w:t>
      </w:r>
    </w:p>
    <w:p w14:paraId="636368DF">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textAlignment w:val="auto"/>
        <w:rPr>
          <w:rFonts w:hint="eastAsia" w:ascii="宋体" w:hAnsi="宋体" w:eastAsia="宋体"/>
          <w:bCs/>
          <w:color w:val="auto"/>
          <w:sz w:val="24"/>
          <w:szCs w:val="24"/>
          <w:highlight w:val="none"/>
          <w:lang w:val="en-US" w:eastAsia="zh-CN"/>
        </w:rPr>
      </w:pPr>
      <w:r>
        <w:rPr>
          <w:rFonts w:hint="eastAsia" w:ascii="宋体" w:hAnsi="宋体" w:eastAsia="宋体"/>
          <w:bCs/>
          <w:color w:val="auto"/>
          <w:sz w:val="24"/>
          <w:szCs w:val="24"/>
          <w:highlight w:val="none"/>
          <w:lang w:val="en-US" w:eastAsia="zh-CN"/>
        </w:rPr>
        <w:t xml:space="preserve">    3、响应人递交的响应文件不论中标与否均不予退还。</w:t>
      </w:r>
    </w:p>
    <w:p w14:paraId="37CADABD">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rPr>
        <w:t>温馨提示：本项目为电子化、无纸化交易项目，开标时不再接受任何纸质资料，为保证您能投标成功，请需仔细阅读磋商文件和三门峡市公共资源交易中心官网业务办理指南。</w:t>
      </w:r>
    </w:p>
    <w:p w14:paraId="39F12F8C">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八、发布公告的媒介</w:t>
      </w:r>
    </w:p>
    <w:p w14:paraId="5BA3C045">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本次磋商公告同时在</w:t>
      </w:r>
      <w:r>
        <w:rPr>
          <w:rFonts w:hint="eastAsia" w:ascii="宋体" w:hAnsi="宋体"/>
          <w:bCs/>
          <w:color w:val="auto"/>
          <w:kern w:val="0"/>
          <w:sz w:val="24"/>
          <w:szCs w:val="24"/>
          <w:highlight w:val="none"/>
          <w:lang w:val="en-US" w:eastAsia="zh-CN"/>
        </w:rPr>
        <w:t>《河南省政府采购网》、《三门峡市公共资源交易平台》、</w:t>
      </w:r>
      <w:r>
        <w:rPr>
          <w:rFonts w:hint="eastAsia" w:ascii="宋体" w:hAnsi="宋体" w:cs="宋体"/>
          <w:bCs/>
          <w:color w:val="auto"/>
          <w:szCs w:val="21"/>
          <w:highlight w:val="none"/>
        </w:rPr>
        <w:t>《</w:t>
      </w:r>
      <w:r>
        <w:rPr>
          <w:rFonts w:hint="eastAsia" w:ascii="宋体" w:hAnsi="宋体"/>
          <w:bCs/>
          <w:color w:val="auto"/>
          <w:kern w:val="0"/>
          <w:sz w:val="24"/>
          <w:szCs w:val="24"/>
          <w:highlight w:val="none"/>
          <w:lang w:val="en-US" w:eastAsia="zh-CN"/>
        </w:rPr>
        <w:t>中国采购与招标网》</w:t>
      </w:r>
      <w:r>
        <w:rPr>
          <w:rFonts w:hint="eastAsia" w:ascii="宋体" w:hAnsi="宋体" w:eastAsia="宋体"/>
          <w:bCs/>
          <w:color w:val="auto"/>
          <w:kern w:val="0"/>
          <w:sz w:val="24"/>
          <w:szCs w:val="24"/>
          <w:highlight w:val="none"/>
          <w:lang w:val="en-US" w:eastAsia="zh-CN"/>
        </w:rPr>
        <w:t>上发布。</w:t>
      </w:r>
    </w:p>
    <w:p w14:paraId="1FD17270">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 w:val="0"/>
          <w:bCs/>
          <w:color w:val="auto"/>
          <w:sz w:val="24"/>
          <w:szCs w:val="21"/>
          <w:highlight w:val="none"/>
        </w:rPr>
      </w:pPr>
      <w:r>
        <w:rPr>
          <w:rFonts w:hint="eastAsia" w:ascii="宋体" w:hAnsi="宋体" w:eastAsia="宋体"/>
          <w:b w:val="0"/>
          <w:bCs/>
          <w:color w:val="auto"/>
          <w:sz w:val="24"/>
          <w:szCs w:val="21"/>
          <w:highlight w:val="none"/>
        </w:rPr>
        <w:t>九、联系方式</w:t>
      </w:r>
    </w:p>
    <w:bookmarkEnd w:id="13"/>
    <w:bookmarkEnd w:id="14"/>
    <w:bookmarkEnd w:id="15"/>
    <w:bookmarkEnd w:id="16"/>
    <w:bookmarkEnd w:id="17"/>
    <w:bookmarkEnd w:id="18"/>
    <w:bookmarkEnd w:id="19"/>
    <w:p w14:paraId="3016CF2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监督单位：卢氏县政府采购办公室</w:t>
      </w:r>
    </w:p>
    <w:p w14:paraId="4AD92F0F">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联系人：郭亚楠</w:t>
      </w:r>
    </w:p>
    <w:p w14:paraId="67FE3955">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电话：0398-7863556</w:t>
      </w:r>
    </w:p>
    <w:p w14:paraId="5B78BCF5">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地址：卢氏县城关镇解放路中段</w:t>
      </w:r>
    </w:p>
    <w:p w14:paraId="096D9B80">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auto"/>
          <w:kern w:val="0"/>
          <w:sz w:val="24"/>
          <w:szCs w:val="24"/>
          <w:highlight w:val="none"/>
          <w:lang w:val="en-US" w:eastAsia="zh-CN"/>
        </w:rPr>
      </w:pPr>
      <w:r>
        <w:rPr>
          <w:rFonts w:hint="eastAsia" w:ascii="宋体" w:hAnsi="宋体"/>
          <w:bCs/>
          <w:color w:val="auto"/>
          <w:kern w:val="0"/>
          <w:sz w:val="24"/>
          <w:szCs w:val="24"/>
          <w:highlight w:val="none"/>
          <w:lang w:val="en-US" w:eastAsia="zh-CN"/>
        </w:rPr>
        <w:t>监督单位：三门峡市生态环境局卢氏分局</w:t>
      </w:r>
    </w:p>
    <w:p w14:paraId="393D171F">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auto"/>
          <w:kern w:val="0"/>
          <w:sz w:val="24"/>
          <w:szCs w:val="24"/>
          <w:highlight w:val="none"/>
          <w:lang w:val="en-US" w:eastAsia="zh-CN"/>
        </w:rPr>
      </w:pPr>
      <w:r>
        <w:rPr>
          <w:rFonts w:hint="eastAsia" w:ascii="宋体" w:hAnsi="宋体"/>
          <w:bCs/>
          <w:color w:val="auto"/>
          <w:kern w:val="0"/>
          <w:sz w:val="24"/>
          <w:szCs w:val="24"/>
          <w:highlight w:val="none"/>
          <w:lang w:val="en-US" w:eastAsia="zh-CN"/>
        </w:rPr>
        <w:t>联系人：王海波</w:t>
      </w:r>
    </w:p>
    <w:p w14:paraId="6A4255E7">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default"/>
          <w:color w:val="auto"/>
          <w:highlight w:val="none"/>
          <w:lang w:val="en-US" w:eastAsia="zh-CN"/>
        </w:rPr>
      </w:pPr>
      <w:r>
        <w:rPr>
          <w:rFonts w:hint="eastAsia" w:ascii="宋体" w:hAnsi="宋体"/>
          <w:bCs/>
          <w:color w:val="auto"/>
          <w:kern w:val="0"/>
          <w:sz w:val="24"/>
          <w:szCs w:val="24"/>
          <w:highlight w:val="none"/>
          <w:lang w:val="en-US" w:eastAsia="zh-CN"/>
        </w:rPr>
        <w:t>电话：13949777016、0398-7873774</w:t>
      </w:r>
    </w:p>
    <w:p w14:paraId="34A2451D">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地址：</w:t>
      </w:r>
      <w:r>
        <w:rPr>
          <w:rFonts w:hint="eastAsia" w:ascii="宋体" w:hAnsi="宋体" w:eastAsia="宋体"/>
          <w:bCs/>
          <w:color w:val="auto"/>
          <w:kern w:val="0"/>
          <w:sz w:val="24"/>
          <w:szCs w:val="24"/>
          <w:highlight w:val="none"/>
          <w:lang w:val="en-US" w:eastAsia="zh-CN"/>
        </w:rPr>
        <w:t>卢氏县莘源路</w:t>
      </w:r>
      <w:r>
        <w:rPr>
          <w:rFonts w:hint="eastAsia" w:ascii="宋体" w:hAnsi="宋体"/>
          <w:bCs/>
          <w:color w:val="auto"/>
          <w:kern w:val="0"/>
          <w:sz w:val="24"/>
          <w:szCs w:val="24"/>
          <w:highlight w:val="none"/>
          <w:lang w:val="en-US" w:eastAsia="zh-CN"/>
        </w:rPr>
        <w:t>西段</w:t>
      </w:r>
    </w:p>
    <w:p w14:paraId="38B4AE7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采购人</w:t>
      </w:r>
      <w:r>
        <w:rPr>
          <w:rFonts w:hint="eastAsia" w:ascii="宋体" w:hAnsi="宋体" w:eastAsia="宋体"/>
          <w:bCs/>
          <w:color w:val="auto"/>
          <w:kern w:val="0"/>
          <w:sz w:val="24"/>
          <w:szCs w:val="24"/>
          <w:highlight w:val="none"/>
        </w:rPr>
        <w:t>：</w:t>
      </w:r>
      <w:r>
        <w:rPr>
          <w:rFonts w:hint="eastAsia" w:ascii="宋体" w:hAnsi="宋体"/>
          <w:bCs/>
          <w:color w:val="auto"/>
          <w:kern w:val="0"/>
          <w:sz w:val="24"/>
          <w:szCs w:val="24"/>
          <w:highlight w:val="none"/>
          <w:lang w:eastAsia="zh-CN"/>
        </w:rPr>
        <w:t>三门峡市生态环境局卢氏分局</w:t>
      </w:r>
    </w:p>
    <w:p w14:paraId="7B51C382">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联系人：</w:t>
      </w:r>
      <w:r>
        <w:rPr>
          <w:rFonts w:hint="eastAsia" w:ascii="宋体" w:hAnsi="宋体"/>
          <w:bCs/>
          <w:color w:val="auto"/>
          <w:kern w:val="0"/>
          <w:sz w:val="24"/>
          <w:szCs w:val="24"/>
          <w:highlight w:val="none"/>
          <w:lang w:val="en-US" w:eastAsia="zh-CN"/>
        </w:rPr>
        <w:t>顾文辉</w:t>
      </w:r>
    </w:p>
    <w:p w14:paraId="1C999127">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电话：</w:t>
      </w:r>
      <w:r>
        <w:rPr>
          <w:rFonts w:hint="eastAsia" w:ascii="宋体" w:hAnsi="宋体"/>
          <w:bCs/>
          <w:color w:val="auto"/>
          <w:kern w:val="0"/>
          <w:sz w:val="24"/>
          <w:szCs w:val="24"/>
          <w:highlight w:val="none"/>
          <w:lang w:val="en-US" w:eastAsia="zh-CN"/>
        </w:rPr>
        <w:t>18239885655、0398-7873774</w:t>
      </w:r>
    </w:p>
    <w:p w14:paraId="1EAB12E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地址：</w:t>
      </w:r>
      <w:r>
        <w:rPr>
          <w:rFonts w:hint="eastAsia" w:ascii="宋体" w:hAnsi="宋体" w:eastAsia="宋体"/>
          <w:bCs/>
          <w:color w:val="auto"/>
          <w:kern w:val="0"/>
          <w:sz w:val="24"/>
          <w:szCs w:val="24"/>
          <w:highlight w:val="none"/>
          <w:lang w:val="en-US" w:eastAsia="zh-CN"/>
        </w:rPr>
        <w:t>卢氏县莘源路</w:t>
      </w:r>
      <w:r>
        <w:rPr>
          <w:rFonts w:hint="eastAsia" w:ascii="宋体" w:hAnsi="宋体"/>
          <w:bCs/>
          <w:color w:val="auto"/>
          <w:kern w:val="0"/>
          <w:sz w:val="24"/>
          <w:szCs w:val="24"/>
          <w:highlight w:val="none"/>
          <w:lang w:val="en-US" w:eastAsia="zh-CN"/>
        </w:rPr>
        <w:t>西段</w:t>
      </w:r>
    </w:p>
    <w:p w14:paraId="7131349C">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招标代理：河南高誉工程咨询有限公司</w:t>
      </w:r>
    </w:p>
    <w:p w14:paraId="0664AAC8">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联系人：姚琳</w:t>
      </w:r>
    </w:p>
    <w:p w14:paraId="5CE1B51B">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电话：18039927130、17</w:t>
      </w:r>
      <w:r>
        <w:rPr>
          <w:rFonts w:hint="eastAsia" w:ascii="宋体" w:hAnsi="宋体"/>
          <w:bCs/>
          <w:color w:val="auto"/>
          <w:kern w:val="0"/>
          <w:sz w:val="24"/>
          <w:szCs w:val="24"/>
          <w:highlight w:val="none"/>
          <w:lang w:val="en-US" w:eastAsia="zh-CN"/>
        </w:rPr>
        <w:t>6</w:t>
      </w:r>
      <w:r>
        <w:rPr>
          <w:rFonts w:hint="eastAsia" w:ascii="宋体" w:hAnsi="宋体" w:eastAsia="宋体"/>
          <w:bCs/>
          <w:color w:val="auto"/>
          <w:kern w:val="0"/>
          <w:sz w:val="24"/>
          <w:szCs w:val="24"/>
          <w:highlight w:val="none"/>
          <w:lang w:val="en-US" w:eastAsia="zh-CN"/>
        </w:rPr>
        <w:t>56206995</w:t>
      </w:r>
    </w:p>
    <w:p w14:paraId="189705C3">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地址：</w:t>
      </w:r>
      <w:r>
        <w:rPr>
          <w:rFonts w:hint="eastAsia" w:ascii="宋体" w:hAnsi="宋体"/>
          <w:bCs/>
          <w:color w:val="auto"/>
          <w:kern w:val="0"/>
          <w:sz w:val="24"/>
          <w:szCs w:val="24"/>
          <w:highlight w:val="none"/>
          <w:lang w:val="en-US" w:eastAsia="zh-CN"/>
        </w:rPr>
        <w:t>三门峡市湖滨区崖底街道文明路与永兴街交叉口东南角师家渠综合楼2号门面房</w:t>
      </w:r>
    </w:p>
    <w:p w14:paraId="0CA7659E">
      <w:pPr>
        <w:spacing w:beforeAutospacing="0" w:afterAutospacing="0" w:line="400" w:lineRule="exact"/>
        <w:jc w:val="center"/>
        <w:outlineLvl w:val="9"/>
        <w:rPr>
          <w:rFonts w:ascii="宋体" w:hAnsi="宋体" w:eastAsia="宋体"/>
          <w:b/>
          <w:bCs/>
          <w:color w:val="auto"/>
          <w:kern w:val="44"/>
          <w:sz w:val="32"/>
          <w:szCs w:val="36"/>
          <w:highlight w:val="none"/>
        </w:rPr>
      </w:pPr>
    </w:p>
    <w:p w14:paraId="27B83E0D">
      <w:pPr>
        <w:spacing w:beforeAutospacing="0" w:afterAutospacing="0" w:line="400" w:lineRule="exact"/>
        <w:jc w:val="center"/>
        <w:outlineLvl w:val="9"/>
        <w:rPr>
          <w:rFonts w:ascii="宋体" w:hAnsi="宋体" w:eastAsia="宋体"/>
          <w:b/>
          <w:bCs/>
          <w:color w:val="auto"/>
          <w:kern w:val="44"/>
          <w:sz w:val="32"/>
          <w:szCs w:val="36"/>
          <w:highlight w:val="none"/>
        </w:rPr>
      </w:pPr>
    </w:p>
    <w:p w14:paraId="0566EFE5">
      <w:pPr>
        <w:pStyle w:val="28"/>
        <w:rPr>
          <w:rFonts w:ascii="宋体" w:hAnsi="宋体" w:eastAsia="宋体"/>
          <w:b/>
          <w:bCs/>
          <w:color w:val="auto"/>
          <w:kern w:val="44"/>
          <w:sz w:val="32"/>
          <w:szCs w:val="36"/>
          <w:highlight w:val="none"/>
        </w:rPr>
      </w:pPr>
    </w:p>
    <w:bookmarkEnd w:id="20"/>
    <w:p w14:paraId="5E448413">
      <w:pPr>
        <w:snapToGrid w:val="0"/>
        <w:spacing w:beforeAutospacing="0" w:afterAutospacing="0" w:line="360" w:lineRule="auto"/>
        <w:jc w:val="center"/>
        <w:outlineLvl w:val="0"/>
        <w:rPr>
          <w:rFonts w:hint="eastAsia" w:ascii="宋体" w:hAnsi="宋体" w:eastAsia="宋体"/>
          <w:b/>
          <w:bCs/>
          <w:color w:val="auto"/>
          <w:sz w:val="36"/>
          <w:szCs w:val="36"/>
          <w:highlight w:val="none"/>
        </w:rPr>
      </w:pPr>
      <w:bookmarkStart w:id="21" w:name="磋商供应商须知"/>
      <w:bookmarkEnd w:id="21"/>
      <w:r>
        <w:rPr>
          <w:rFonts w:hint="eastAsia" w:ascii="宋体" w:hAnsi="宋体" w:eastAsia="宋体"/>
          <w:b/>
          <w:bCs/>
          <w:color w:val="auto"/>
          <w:kern w:val="0"/>
          <w:sz w:val="44"/>
          <w:szCs w:val="44"/>
          <w:highlight w:val="none"/>
        </w:rPr>
        <w:br w:type="page"/>
      </w:r>
      <w:bookmarkStart w:id="22" w:name="_Toc29675"/>
      <w:bookmarkStart w:id="23" w:name="_Toc12083"/>
      <w:r>
        <w:rPr>
          <w:rFonts w:hint="eastAsia" w:ascii="宋体" w:hAnsi="宋体" w:eastAsia="宋体"/>
          <w:b/>
          <w:bCs/>
          <w:color w:val="auto"/>
          <w:sz w:val="36"/>
          <w:szCs w:val="36"/>
          <w:highlight w:val="none"/>
        </w:rPr>
        <w:t>第二章</w:t>
      </w:r>
      <w:r>
        <w:rPr>
          <w:rFonts w:hint="eastAsia" w:ascii="宋体" w:hAnsi="宋体" w:eastAsia="宋体"/>
          <w:b/>
          <w:bCs/>
          <w:color w:val="auto"/>
          <w:sz w:val="36"/>
          <w:szCs w:val="36"/>
          <w:highlight w:val="none"/>
          <w:lang w:val="en-US" w:eastAsia="zh-CN"/>
        </w:rPr>
        <w:t xml:space="preserve"> </w:t>
      </w:r>
      <w:r>
        <w:rPr>
          <w:rFonts w:hint="eastAsia" w:ascii="宋体" w:hAnsi="宋体" w:eastAsia="宋体"/>
          <w:b/>
          <w:bCs/>
          <w:color w:val="auto"/>
          <w:sz w:val="36"/>
          <w:szCs w:val="36"/>
          <w:highlight w:val="none"/>
        </w:rPr>
        <w:t>供应商须知</w:t>
      </w:r>
      <w:bookmarkEnd w:id="22"/>
      <w:r>
        <w:rPr>
          <w:rFonts w:hint="eastAsia" w:ascii="宋体" w:hAnsi="宋体" w:eastAsia="宋体"/>
          <w:b/>
          <w:bCs/>
          <w:color w:val="auto"/>
          <w:sz w:val="36"/>
          <w:szCs w:val="36"/>
          <w:highlight w:val="none"/>
        </w:rPr>
        <w:t>前附表</w:t>
      </w:r>
      <w:bookmarkEnd w:id="23"/>
    </w:p>
    <w:tbl>
      <w:tblPr>
        <w:tblStyle w:val="14"/>
        <w:tblW w:w="10041" w:type="dxa"/>
        <w:jc w:val="center"/>
        <w:tblLayout w:type="fixed"/>
        <w:tblCellMar>
          <w:top w:w="0" w:type="dxa"/>
          <w:left w:w="108" w:type="dxa"/>
          <w:bottom w:w="0" w:type="dxa"/>
          <w:right w:w="108" w:type="dxa"/>
        </w:tblCellMar>
      </w:tblPr>
      <w:tblGrid>
        <w:gridCol w:w="754"/>
        <w:gridCol w:w="1759"/>
        <w:gridCol w:w="7528"/>
      </w:tblGrid>
      <w:tr w14:paraId="1EE8458F">
        <w:tblPrEx>
          <w:tblCellMar>
            <w:top w:w="0" w:type="dxa"/>
            <w:left w:w="108" w:type="dxa"/>
            <w:bottom w:w="0" w:type="dxa"/>
            <w:right w:w="108" w:type="dxa"/>
          </w:tblCellMar>
        </w:tblPrEx>
        <w:trPr>
          <w:trHeight w:val="682"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17FE5D62">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条款号</w:t>
            </w:r>
          </w:p>
        </w:tc>
        <w:tc>
          <w:tcPr>
            <w:tcW w:w="1759" w:type="dxa"/>
            <w:tcBorders>
              <w:top w:val="single" w:color="000000" w:sz="4" w:space="0"/>
              <w:left w:val="nil"/>
              <w:bottom w:val="single" w:color="000000" w:sz="4" w:space="0"/>
              <w:right w:val="single" w:color="000000" w:sz="4" w:space="0"/>
            </w:tcBorders>
            <w:vAlign w:val="center"/>
          </w:tcPr>
          <w:p w14:paraId="3AEA69C9">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条款名称</w:t>
            </w:r>
          </w:p>
        </w:tc>
        <w:tc>
          <w:tcPr>
            <w:tcW w:w="7528" w:type="dxa"/>
            <w:tcBorders>
              <w:top w:val="single" w:color="000000" w:sz="4" w:space="0"/>
              <w:left w:val="nil"/>
              <w:bottom w:val="single" w:color="000000" w:sz="4" w:space="0"/>
              <w:right w:val="single" w:color="000000" w:sz="4" w:space="0"/>
            </w:tcBorders>
            <w:vAlign w:val="center"/>
          </w:tcPr>
          <w:p w14:paraId="2E57242F">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编列内容</w:t>
            </w:r>
          </w:p>
        </w:tc>
      </w:tr>
      <w:tr w14:paraId="2BC45D0B">
        <w:tblPrEx>
          <w:tblCellMar>
            <w:top w:w="0" w:type="dxa"/>
            <w:left w:w="108" w:type="dxa"/>
            <w:bottom w:w="0" w:type="dxa"/>
            <w:right w:w="108" w:type="dxa"/>
          </w:tblCellMar>
        </w:tblPrEx>
        <w:trPr>
          <w:trHeight w:val="453" w:hRule="atLeast"/>
          <w:jc w:val="center"/>
        </w:trPr>
        <w:tc>
          <w:tcPr>
            <w:tcW w:w="754" w:type="dxa"/>
            <w:tcBorders>
              <w:top w:val="nil"/>
              <w:left w:val="single" w:color="000000" w:sz="4" w:space="0"/>
              <w:bottom w:val="single" w:color="000000" w:sz="4" w:space="0"/>
              <w:right w:val="single" w:color="000000" w:sz="4" w:space="0"/>
            </w:tcBorders>
            <w:vAlign w:val="center"/>
          </w:tcPr>
          <w:p w14:paraId="0EB83212">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1</w:t>
            </w:r>
          </w:p>
        </w:tc>
        <w:tc>
          <w:tcPr>
            <w:tcW w:w="1759" w:type="dxa"/>
            <w:tcBorders>
              <w:top w:val="nil"/>
              <w:left w:val="nil"/>
              <w:bottom w:val="single" w:color="000000" w:sz="4" w:space="0"/>
              <w:right w:val="single" w:color="000000" w:sz="4" w:space="0"/>
            </w:tcBorders>
            <w:vAlign w:val="center"/>
          </w:tcPr>
          <w:p w14:paraId="144BE909">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采购人</w:t>
            </w:r>
          </w:p>
        </w:tc>
        <w:tc>
          <w:tcPr>
            <w:tcW w:w="7528" w:type="dxa"/>
            <w:tcBorders>
              <w:top w:val="single" w:color="000000" w:sz="4" w:space="0"/>
              <w:left w:val="nil"/>
              <w:bottom w:val="single" w:color="000000" w:sz="6" w:space="0"/>
              <w:right w:val="single" w:color="000000" w:sz="4" w:space="0"/>
            </w:tcBorders>
            <w:vAlign w:val="center"/>
          </w:tcPr>
          <w:p w14:paraId="00E982B1">
            <w:pPr>
              <w:spacing w:beforeAutospacing="0" w:afterAutospacing="0" w:line="360" w:lineRule="auto"/>
              <w:jc w:val="left"/>
              <w:rPr>
                <w:rFonts w:hint="eastAsia" w:ascii="宋体" w:hAnsi="宋体" w:eastAsia="宋体"/>
                <w:color w:val="auto"/>
                <w:kern w:val="0"/>
                <w:sz w:val="24"/>
                <w:szCs w:val="24"/>
                <w:highlight w:val="none"/>
                <w:lang w:val="en-US" w:eastAsia="zh-CN"/>
              </w:rPr>
            </w:pPr>
            <w:r>
              <w:rPr>
                <w:rFonts w:hint="eastAsia" w:ascii="宋体" w:hAnsi="宋体" w:eastAsia="宋体"/>
                <w:color w:val="auto"/>
                <w:kern w:val="0"/>
                <w:sz w:val="24"/>
                <w:szCs w:val="24"/>
                <w:highlight w:val="none"/>
                <w:lang w:val="en-US" w:eastAsia="zh-CN"/>
              </w:rPr>
              <w:t>采购人</w:t>
            </w:r>
            <w:r>
              <w:rPr>
                <w:rFonts w:hint="eastAsia" w:ascii="宋体" w:hAnsi="宋体" w:eastAsia="宋体"/>
                <w:color w:val="auto"/>
                <w:kern w:val="0"/>
                <w:sz w:val="24"/>
                <w:szCs w:val="24"/>
                <w:highlight w:val="none"/>
              </w:rPr>
              <w:t>：</w:t>
            </w:r>
            <w:r>
              <w:rPr>
                <w:rFonts w:hint="eastAsia" w:ascii="宋体" w:hAnsi="宋体" w:eastAsia="宋体"/>
                <w:color w:val="auto"/>
                <w:kern w:val="0"/>
                <w:sz w:val="24"/>
                <w:szCs w:val="24"/>
                <w:highlight w:val="none"/>
                <w:lang w:eastAsia="zh-CN"/>
              </w:rPr>
              <w:t>三门峡市生态环境局卢氏分局</w:t>
            </w:r>
          </w:p>
          <w:p w14:paraId="63C05F9C">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联系人：</w:t>
            </w:r>
            <w:r>
              <w:rPr>
                <w:rFonts w:hint="eastAsia" w:ascii="宋体" w:hAnsi="宋体" w:eastAsia="宋体"/>
                <w:color w:val="auto"/>
                <w:kern w:val="0"/>
                <w:sz w:val="24"/>
                <w:szCs w:val="24"/>
                <w:highlight w:val="none"/>
                <w:lang w:val="en-US" w:eastAsia="zh-CN"/>
              </w:rPr>
              <w:t>顾文辉</w:t>
            </w:r>
          </w:p>
          <w:p w14:paraId="1CA84591">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电话：</w:t>
            </w:r>
            <w:r>
              <w:rPr>
                <w:rFonts w:hint="eastAsia" w:ascii="宋体" w:hAnsi="宋体" w:eastAsia="宋体"/>
                <w:color w:val="auto"/>
                <w:kern w:val="0"/>
                <w:sz w:val="24"/>
                <w:szCs w:val="24"/>
                <w:highlight w:val="none"/>
                <w:lang w:val="en-US" w:eastAsia="zh-CN"/>
              </w:rPr>
              <w:t>18239885655</w:t>
            </w:r>
            <w:r>
              <w:rPr>
                <w:rFonts w:hint="eastAsia" w:ascii="宋体" w:hAnsi="宋体"/>
                <w:color w:val="auto"/>
                <w:kern w:val="0"/>
                <w:sz w:val="24"/>
                <w:szCs w:val="24"/>
                <w:highlight w:val="none"/>
                <w:lang w:val="en-US" w:eastAsia="zh-CN"/>
              </w:rPr>
              <w:t>、</w:t>
            </w:r>
            <w:r>
              <w:rPr>
                <w:rFonts w:hint="eastAsia" w:ascii="宋体" w:hAnsi="宋体"/>
                <w:bCs/>
                <w:color w:val="auto"/>
                <w:kern w:val="0"/>
                <w:sz w:val="24"/>
                <w:szCs w:val="24"/>
                <w:highlight w:val="none"/>
                <w:lang w:val="en-US" w:eastAsia="zh-CN"/>
              </w:rPr>
              <w:t>0398-7873774</w:t>
            </w:r>
          </w:p>
          <w:p w14:paraId="701A7172">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地址：</w:t>
            </w:r>
            <w:r>
              <w:rPr>
                <w:rFonts w:hint="eastAsia" w:ascii="宋体" w:hAnsi="宋体" w:eastAsia="宋体"/>
                <w:color w:val="auto"/>
                <w:kern w:val="0"/>
                <w:sz w:val="24"/>
                <w:szCs w:val="24"/>
                <w:highlight w:val="none"/>
                <w:lang w:val="en-US" w:eastAsia="zh-CN"/>
              </w:rPr>
              <w:t>卢氏县莘源路西段</w:t>
            </w:r>
          </w:p>
        </w:tc>
      </w:tr>
      <w:tr w14:paraId="0916AA99">
        <w:tblPrEx>
          <w:tblCellMar>
            <w:top w:w="0" w:type="dxa"/>
            <w:left w:w="108" w:type="dxa"/>
            <w:bottom w:w="0" w:type="dxa"/>
            <w:right w:w="108" w:type="dxa"/>
          </w:tblCellMar>
        </w:tblPrEx>
        <w:trPr>
          <w:trHeight w:val="1418"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068AE19">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2</w:t>
            </w:r>
          </w:p>
        </w:tc>
        <w:tc>
          <w:tcPr>
            <w:tcW w:w="1759" w:type="dxa"/>
            <w:tcBorders>
              <w:top w:val="single" w:color="000000" w:sz="4" w:space="0"/>
              <w:left w:val="nil"/>
              <w:bottom w:val="single" w:color="000000" w:sz="4" w:space="0"/>
              <w:right w:val="single" w:color="000000" w:sz="4" w:space="0"/>
            </w:tcBorders>
            <w:vAlign w:val="center"/>
          </w:tcPr>
          <w:p w14:paraId="260A6A90">
            <w:pPr>
              <w:spacing w:beforeAutospacing="0" w:afterAutospacing="0" w:line="360" w:lineRule="auto"/>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招标代理机构</w:t>
            </w:r>
          </w:p>
        </w:tc>
        <w:tc>
          <w:tcPr>
            <w:tcW w:w="7528" w:type="dxa"/>
            <w:tcBorders>
              <w:top w:val="single" w:color="000000" w:sz="4" w:space="0"/>
              <w:left w:val="nil"/>
              <w:bottom w:val="single" w:color="000000" w:sz="4" w:space="0"/>
              <w:right w:val="single" w:color="000000" w:sz="4" w:space="0"/>
            </w:tcBorders>
            <w:vAlign w:val="center"/>
          </w:tcPr>
          <w:p w14:paraId="2EE7BA28">
            <w:pPr>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lang w:eastAsia="zh-CN"/>
              </w:rPr>
              <w:t>代理机构：河南高誉工程咨询有限公司</w:t>
            </w:r>
          </w:p>
          <w:p w14:paraId="13C5F965">
            <w:pPr>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lang w:eastAsia="zh-CN"/>
              </w:rPr>
              <w:t>联系人：姚琳</w:t>
            </w:r>
          </w:p>
          <w:p w14:paraId="7E58164F">
            <w:pPr>
              <w:spacing w:line="360" w:lineRule="auto"/>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eastAsia="zh-CN"/>
              </w:rPr>
              <w:t>电话：18039927130、</w:t>
            </w:r>
            <w:r>
              <w:rPr>
                <w:rFonts w:hint="eastAsia" w:asciiTheme="minorEastAsia" w:hAnsiTheme="minorEastAsia" w:eastAsiaTheme="minorEastAsia"/>
                <w:color w:val="auto"/>
                <w:sz w:val="24"/>
                <w:szCs w:val="24"/>
                <w:highlight w:val="none"/>
                <w:lang w:val="en-US" w:eastAsia="zh-CN"/>
              </w:rPr>
              <w:t>17656206995</w:t>
            </w:r>
          </w:p>
          <w:p w14:paraId="58766462">
            <w:pPr>
              <w:spacing w:line="360" w:lineRule="auto"/>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eastAsia="zh-CN"/>
              </w:rPr>
              <w:t>地址：</w:t>
            </w:r>
            <w:r>
              <w:rPr>
                <w:rFonts w:hint="eastAsia" w:asciiTheme="minorEastAsia" w:hAnsiTheme="minorEastAsia" w:eastAsiaTheme="minorEastAsia"/>
                <w:color w:val="auto"/>
                <w:sz w:val="24"/>
                <w:szCs w:val="24"/>
                <w:highlight w:val="none"/>
                <w:lang w:val="en-US" w:eastAsia="zh-CN"/>
              </w:rPr>
              <w:t>三门峡市湖滨区崖底街道文明路与永兴街交叉口东南角师家渠综合楼2号门面房</w:t>
            </w:r>
          </w:p>
        </w:tc>
      </w:tr>
      <w:tr w14:paraId="43AFE2F3">
        <w:tblPrEx>
          <w:tblCellMar>
            <w:top w:w="0" w:type="dxa"/>
            <w:left w:w="108" w:type="dxa"/>
            <w:bottom w:w="0" w:type="dxa"/>
            <w:right w:w="108" w:type="dxa"/>
          </w:tblCellMar>
        </w:tblPrEx>
        <w:trPr>
          <w:trHeight w:val="391"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2A43EE32">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3</w:t>
            </w:r>
          </w:p>
        </w:tc>
        <w:tc>
          <w:tcPr>
            <w:tcW w:w="1759" w:type="dxa"/>
            <w:tcBorders>
              <w:top w:val="single" w:color="000000" w:sz="4" w:space="0"/>
              <w:left w:val="nil"/>
              <w:bottom w:val="single" w:color="000000" w:sz="4" w:space="0"/>
              <w:right w:val="single" w:color="000000" w:sz="4" w:space="0"/>
            </w:tcBorders>
            <w:vAlign w:val="center"/>
          </w:tcPr>
          <w:p w14:paraId="2AC38167">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项目名称</w:t>
            </w:r>
          </w:p>
        </w:tc>
        <w:tc>
          <w:tcPr>
            <w:tcW w:w="7528" w:type="dxa"/>
            <w:tcBorders>
              <w:top w:val="nil"/>
              <w:left w:val="nil"/>
              <w:bottom w:val="single" w:color="000000" w:sz="4" w:space="0"/>
              <w:right w:val="single" w:color="000000" w:sz="4" w:space="0"/>
            </w:tcBorders>
            <w:vAlign w:val="center"/>
          </w:tcPr>
          <w:p w14:paraId="317EB211">
            <w:pPr>
              <w:spacing w:beforeAutospacing="0" w:afterAutospacing="0" w:line="360" w:lineRule="auto"/>
              <w:ind w:left="-283" w:leftChars="-135" w:right="-483" w:rightChars="-230" w:firstLine="240" w:firstLineChars="100"/>
              <w:jc w:val="left"/>
              <w:rPr>
                <w:rFonts w:hint="eastAsia" w:ascii="宋体" w:hAnsi="宋体"/>
                <w:color w:val="auto"/>
                <w:kern w:val="0"/>
                <w:sz w:val="24"/>
                <w:szCs w:val="24"/>
                <w:highlight w:val="none"/>
                <w:lang w:eastAsia="zh-CN"/>
              </w:rPr>
            </w:pPr>
            <w:r>
              <w:rPr>
                <w:rFonts w:hint="eastAsia" w:ascii="宋体" w:hAnsi="宋体"/>
                <w:color w:val="auto"/>
                <w:kern w:val="0"/>
                <w:sz w:val="24"/>
                <w:szCs w:val="24"/>
                <w:highlight w:val="none"/>
                <w:lang w:eastAsia="zh-CN"/>
              </w:rPr>
              <w:t>卢氏县五里川河流域历史遗留冶炼废渣勘察设计项目（二次）</w:t>
            </w:r>
          </w:p>
        </w:tc>
      </w:tr>
      <w:tr w14:paraId="11E0D2D6">
        <w:tblPrEx>
          <w:tblCellMar>
            <w:top w:w="0" w:type="dxa"/>
            <w:left w:w="108" w:type="dxa"/>
            <w:bottom w:w="0" w:type="dxa"/>
            <w:right w:w="108" w:type="dxa"/>
          </w:tblCellMar>
        </w:tblPrEx>
        <w:trPr>
          <w:trHeight w:val="785"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2460B2B0">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4</w:t>
            </w:r>
          </w:p>
        </w:tc>
        <w:tc>
          <w:tcPr>
            <w:tcW w:w="1759" w:type="dxa"/>
            <w:tcBorders>
              <w:top w:val="single" w:color="000000" w:sz="4" w:space="0"/>
              <w:left w:val="nil"/>
              <w:bottom w:val="single" w:color="000000" w:sz="4" w:space="0"/>
              <w:right w:val="single" w:color="000000" w:sz="4" w:space="0"/>
            </w:tcBorders>
            <w:vAlign w:val="center"/>
          </w:tcPr>
          <w:p w14:paraId="370CC84F">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项目编号</w:t>
            </w:r>
          </w:p>
        </w:tc>
        <w:tc>
          <w:tcPr>
            <w:tcW w:w="7528" w:type="dxa"/>
            <w:tcBorders>
              <w:top w:val="nil"/>
              <w:left w:val="nil"/>
              <w:bottom w:val="single" w:color="000000" w:sz="4" w:space="0"/>
              <w:right w:val="single" w:color="000000" w:sz="4" w:space="0"/>
            </w:tcBorders>
            <w:vAlign w:val="center"/>
          </w:tcPr>
          <w:p w14:paraId="51D57261">
            <w:pPr>
              <w:spacing w:beforeAutospacing="0" w:afterAutospacing="0" w:line="360" w:lineRule="auto"/>
              <w:ind w:left="-283" w:leftChars="-135" w:right="-483" w:rightChars="-230" w:firstLine="240" w:firstLineChars="100"/>
              <w:jc w:val="left"/>
              <w:rPr>
                <w:rFonts w:hint="eastAsia" w:ascii="宋体" w:hAnsi="宋体" w:eastAsia="宋体"/>
                <w:color w:val="auto"/>
                <w:kern w:val="0"/>
                <w:sz w:val="24"/>
                <w:szCs w:val="24"/>
                <w:highlight w:val="none"/>
                <w:lang w:val="en-US" w:eastAsia="zh-CN"/>
              </w:rPr>
            </w:pPr>
            <w:r>
              <w:rPr>
                <w:rFonts w:hint="eastAsia" w:ascii="宋体" w:hAnsi="宋体"/>
                <w:bCs/>
                <w:color w:val="auto"/>
                <w:sz w:val="24"/>
                <w:szCs w:val="21"/>
                <w:highlight w:val="none"/>
                <w:lang w:val="en-US" w:eastAsia="zh-CN"/>
              </w:rPr>
              <w:t>三卢竞磋采购-2026-74、LSGZ[2026]205-ZC157</w:t>
            </w:r>
          </w:p>
        </w:tc>
      </w:tr>
      <w:tr w14:paraId="4FABAC79">
        <w:tblPrEx>
          <w:tblCellMar>
            <w:top w:w="0" w:type="dxa"/>
            <w:left w:w="108" w:type="dxa"/>
            <w:bottom w:w="0" w:type="dxa"/>
            <w:right w:w="108" w:type="dxa"/>
          </w:tblCellMar>
        </w:tblPrEx>
        <w:trPr>
          <w:trHeight w:val="450" w:hRule="atLeast"/>
          <w:jc w:val="center"/>
        </w:trPr>
        <w:tc>
          <w:tcPr>
            <w:tcW w:w="754" w:type="dxa"/>
            <w:tcBorders>
              <w:top w:val="nil"/>
              <w:left w:val="single" w:color="000000" w:sz="4" w:space="0"/>
              <w:bottom w:val="single" w:color="000000" w:sz="4" w:space="0"/>
              <w:right w:val="single" w:color="000000" w:sz="4" w:space="0"/>
            </w:tcBorders>
            <w:vAlign w:val="center"/>
          </w:tcPr>
          <w:p w14:paraId="1DA1F50F">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5</w:t>
            </w:r>
          </w:p>
        </w:tc>
        <w:tc>
          <w:tcPr>
            <w:tcW w:w="1759" w:type="dxa"/>
            <w:tcBorders>
              <w:top w:val="nil"/>
              <w:left w:val="nil"/>
              <w:bottom w:val="single" w:color="000000" w:sz="4" w:space="0"/>
              <w:right w:val="single" w:color="000000" w:sz="4" w:space="0"/>
            </w:tcBorders>
            <w:vAlign w:val="center"/>
          </w:tcPr>
          <w:p w14:paraId="1D04982B">
            <w:pPr>
              <w:spacing w:beforeAutospacing="0" w:afterAutospacing="0" w:line="360" w:lineRule="auto"/>
              <w:jc w:val="center"/>
              <w:rPr>
                <w:rFonts w:hint="eastAsia" w:ascii="宋体" w:hAnsi="宋体" w:eastAsia="宋体"/>
                <w:color w:val="auto"/>
                <w:kern w:val="0"/>
                <w:sz w:val="24"/>
                <w:szCs w:val="24"/>
                <w:highlight w:val="none"/>
                <w:lang w:eastAsia="zh-CN"/>
              </w:rPr>
            </w:pPr>
            <w:r>
              <w:rPr>
                <w:rFonts w:hint="eastAsia" w:ascii="宋体" w:hAnsi="宋体"/>
                <w:color w:val="auto"/>
                <w:kern w:val="0"/>
                <w:sz w:val="24"/>
                <w:szCs w:val="24"/>
                <w:highlight w:val="none"/>
                <w:lang w:eastAsia="zh-CN"/>
              </w:rPr>
              <w:t>服务期限</w:t>
            </w:r>
          </w:p>
        </w:tc>
        <w:tc>
          <w:tcPr>
            <w:tcW w:w="7528" w:type="dxa"/>
            <w:tcBorders>
              <w:top w:val="nil"/>
              <w:left w:val="nil"/>
              <w:bottom w:val="single" w:color="000000" w:sz="4" w:space="0"/>
              <w:right w:val="single" w:color="000000" w:sz="4" w:space="0"/>
            </w:tcBorders>
            <w:vAlign w:val="center"/>
          </w:tcPr>
          <w:p w14:paraId="6FC759BF">
            <w:pPr>
              <w:spacing w:beforeAutospacing="0" w:afterAutospacing="0" w:line="360" w:lineRule="auto"/>
              <w:jc w:val="left"/>
              <w:rPr>
                <w:rFonts w:hint="eastAsia" w:ascii="宋体" w:hAnsi="宋体"/>
                <w:color w:val="auto"/>
                <w:sz w:val="24"/>
                <w:szCs w:val="24"/>
                <w:highlight w:val="none"/>
                <w:lang w:val="en-US" w:eastAsia="zh-CN"/>
              </w:rPr>
            </w:pPr>
            <w:r>
              <w:rPr>
                <w:rFonts w:hint="eastAsia" w:ascii="宋体" w:hAnsi="宋体" w:cs="宋体"/>
                <w:color w:val="auto"/>
                <w:sz w:val="24"/>
                <w:szCs w:val="24"/>
                <w:highlight w:val="none"/>
                <w:lang w:val="en-US" w:eastAsia="zh-CN"/>
              </w:rPr>
              <w:t>合同签订后90日历天完成；</w:t>
            </w:r>
          </w:p>
        </w:tc>
      </w:tr>
      <w:tr w14:paraId="1F1F303A">
        <w:tblPrEx>
          <w:tblCellMar>
            <w:top w:w="0" w:type="dxa"/>
            <w:left w:w="108" w:type="dxa"/>
            <w:bottom w:w="0" w:type="dxa"/>
            <w:right w:w="108" w:type="dxa"/>
          </w:tblCellMar>
        </w:tblPrEx>
        <w:trPr>
          <w:trHeight w:val="588" w:hRule="atLeast"/>
          <w:jc w:val="center"/>
        </w:trPr>
        <w:tc>
          <w:tcPr>
            <w:tcW w:w="754" w:type="dxa"/>
            <w:tcBorders>
              <w:top w:val="nil"/>
              <w:left w:val="single" w:color="000000" w:sz="4" w:space="0"/>
              <w:bottom w:val="single" w:color="000000" w:sz="4" w:space="0"/>
              <w:right w:val="single" w:color="000000" w:sz="4" w:space="0"/>
            </w:tcBorders>
            <w:vAlign w:val="center"/>
          </w:tcPr>
          <w:p w14:paraId="0FAD6576">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6</w:t>
            </w:r>
          </w:p>
        </w:tc>
        <w:tc>
          <w:tcPr>
            <w:tcW w:w="1759" w:type="dxa"/>
            <w:tcBorders>
              <w:top w:val="nil"/>
              <w:left w:val="nil"/>
              <w:bottom w:val="single" w:color="000000" w:sz="4" w:space="0"/>
              <w:right w:val="single" w:color="000000" w:sz="4" w:space="0"/>
            </w:tcBorders>
            <w:vAlign w:val="center"/>
          </w:tcPr>
          <w:p w14:paraId="6D83A3AB">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资金来源</w:t>
            </w:r>
          </w:p>
        </w:tc>
        <w:tc>
          <w:tcPr>
            <w:tcW w:w="7528" w:type="dxa"/>
            <w:tcBorders>
              <w:top w:val="nil"/>
              <w:left w:val="nil"/>
              <w:bottom w:val="single" w:color="000000" w:sz="4" w:space="0"/>
              <w:right w:val="single" w:color="000000" w:sz="4" w:space="0"/>
            </w:tcBorders>
            <w:vAlign w:val="center"/>
          </w:tcPr>
          <w:p w14:paraId="5C800149">
            <w:pPr>
              <w:spacing w:beforeAutospacing="0" w:afterAutospacing="0" w:line="360" w:lineRule="auto"/>
              <w:jc w:val="left"/>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财政资金</w:t>
            </w:r>
            <w:r>
              <w:rPr>
                <w:rFonts w:hint="eastAsia" w:ascii="宋体" w:hAnsi="宋体"/>
                <w:color w:val="auto"/>
                <w:sz w:val="24"/>
                <w:szCs w:val="24"/>
                <w:highlight w:val="none"/>
                <w:lang w:eastAsia="zh-CN"/>
              </w:rPr>
              <w:t>，已落实。</w:t>
            </w:r>
          </w:p>
        </w:tc>
      </w:tr>
      <w:tr w14:paraId="1D0843DD">
        <w:tblPrEx>
          <w:tblCellMar>
            <w:top w:w="0" w:type="dxa"/>
            <w:left w:w="108" w:type="dxa"/>
            <w:bottom w:w="0" w:type="dxa"/>
            <w:right w:w="108" w:type="dxa"/>
          </w:tblCellMar>
        </w:tblPrEx>
        <w:trPr>
          <w:trHeight w:val="791"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1152A4F1">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7</w:t>
            </w:r>
          </w:p>
        </w:tc>
        <w:tc>
          <w:tcPr>
            <w:tcW w:w="1759" w:type="dxa"/>
            <w:tcBorders>
              <w:top w:val="single" w:color="000000" w:sz="4" w:space="0"/>
              <w:left w:val="nil"/>
              <w:bottom w:val="single" w:color="000000" w:sz="4" w:space="0"/>
              <w:right w:val="single" w:color="000000" w:sz="4" w:space="0"/>
            </w:tcBorders>
            <w:vAlign w:val="center"/>
          </w:tcPr>
          <w:p w14:paraId="1215D99E">
            <w:pPr>
              <w:spacing w:beforeAutospacing="0" w:afterAutospacing="0" w:line="360" w:lineRule="auto"/>
              <w:jc w:val="center"/>
              <w:rPr>
                <w:rFonts w:ascii="宋体" w:hAnsi="宋体" w:eastAsia="宋体"/>
                <w:color w:val="auto"/>
                <w:kern w:val="0"/>
                <w:sz w:val="24"/>
                <w:szCs w:val="24"/>
                <w:highlight w:val="none"/>
              </w:rPr>
            </w:pPr>
            <w:r>
              <w:rPr>
                <w:rFonts w:ascii="宋体" w:hAnsi="宋体" w:eastAsia="宋体"/>
                <w:color w:val="auto"/>
                <w:kern w:val="0"/>
                <w:sz w:val="24"/>
                <w:szCs w:val="24"/>
                <w:highlight w:val="none"/>
              </w:rPr>
              <w:t>服务内容</w:t>
            </w:r>
          </w:p>
        </w:tc>
        <w:tc>
          <w:tcPr>
            <w:tcW w:w="7528" w:type="dxa"/>
            <w:tcBorders>
              <w:top w:val="single" w:color="000000" w:sz="4" w:space="0"/>
              <w:left w:val="nil"/>
              <w:bottom w:val="single" w:color="000000" w:sz="4" w:space="0"/>
              <w:right w:val="single" w:color="000000" w:sz="4" w:space="0"/>
            </w:tcBorders>
            <w:vAlign w:val="center"/>
          </w:tcPr>
          <w:p w14:paraId="1A6D9135">
            <w:pPr>
              <w:spacing w:beforeAutospacing="0" w:after="100" w:afterAutospacing="0"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对2处历史遗留冶炼废渣清运处置（废渣开挖、吨包包装、废渣运输、场地平整、采样检测、附属工程以及对清理废渣后裸露场地及阻隔区进行生态恢复等）开展勘察设计工作。</w:t>
            </w:r>
          </w:p>
        </w:tc>
      </w:tr>
      <w:tr w14:paraId="22F212A3">
        <w:tblPrEx>
          <w:tblCellMar>
            <w:top w:w="0" w:type="dxa"/>
            <w:left w:w="108" w:type="dxa"/>
            <w:bottom w:w="0" w:type="dxa"/>
            <w:right w:w="108" w:type="dxa"/>
          </w:tblCellMar>
        </w:tblPrEx>
        <w:trPr>
          <w:trHeight w:val="791"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28BFE06">
            <w:pPr>
              <w:spacing w:beforeAutospacing="0" w:afterAutospacing="0" w:line="360" w:lineRule="auto"/>
              <w:jc w:val="center"/>
              <w:rPr>
                <w:rFonts w:hint="eastAsia"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8</w:t>
            </w:r>
          </w:p>
        </w:tc>
        <w:tc>
          <w:tcPr>
            <w:tcW w:w="1759" w:type="dxa"/>
            <w:tcBorders>
              <w:top w:val="single" w:color="000000" w:sz="4" w:space="0"/>
              <w:left w:val="nil"/>
              <w:bottom w:val="single" w:color="000000" w:sz="4" w:space="0"/>
              <w:right w:val="single" w:color="000000" w:sz="4" w:space="0"/>
            </w:tcBorders>
            <w:vAlign w:val="center"/>
          </w:tcPr>
          <w:p w14:paraId="022B4A83">
            <w:pPr>
              <w:spacing w:beforeAutospacing="0" w:after="100" w:afterAutospacing="0" w:line="360" w:lineRule="auto"/>
              <w:jc w:val="center"/>
              <w:rPr>
                <w:rFonts w:ascii="宋体" w:hAnsi="宋体" w:eastAsia="宋体"/>
                <w:color w:val="auto"/>
                <w:kern w:val="0"/>
                <w:sz w:val="24"/>
                <w:szCs w:val="24"/>
                <w:highlight w:val="none"/>
              </w:rPr>
            </w:pPr>
            <w:r>
              <w:rPr>
                <w:rFonts w:hint="eastAsia" w:ascii="宋体" w:hAnsi="宋体" w:eastAsia="宋体"/>
                <w:bCs/>
                <w:color w:val="auto"/>
                <w:sz w:val="24"/>
                <w:szCs w:val="21"/>
                <w:highlight w:val="none"/>
              </w:rPr>
              <w:t>质量要求</w:t>
            </w:r>
          </w:p>
        </w:tc>
        <w:tc>
          <w:tcPr>
            <w:tcW w:w="7528" w:type="dxa"/>
            <w:tcBorders>
              <w:top w:val="single" w:color="000000" w:sz="4" w:space="0"/>
              <w:left w:val="nil"/>
              <w:bottom w:val="single" w:color="000000" w:sz="4" w:space="0"/>
              <w:right w:val="single" w:color="000000" w:sz="4" w:space="0"/>
            </w:tcBorders>
            <w:vAlign w:val="center"/>
          </w:tcPr>
          <w:p w14:paraId="55388C98">
            <w:pPr>
              <w:spacing w:beforeAutospacing="0" w:after="100" w:afterAutospacing="0" w:line="360" w:lineRule="auto"/>
              <w:rPr>
                <w:rFonts w:hint="eastAsia" w:ascii="宋体" w:hAnsi="宋体" w:eastAsia="宋体"/>
                <w:color w:val="auto"/>
                <w:sz w:val="24"/>
                <w:szCs w:val="24"/>
                <w:highlight w:val="none"/>
              </w:rPr>
            </w:pPr>
            <w:r>
              <w:rPr>
                <w:rFonts w:hint="eastAsia" w:ascii="宋体" w:hAnsi="宋体"/>
                <w:bCs/>
                <w:color w:val="auto"/>
                <w:sz w:val="24"/>
                <w:szCs w:val="21"/>
                <w:highlight w:val="none"/>
                <w:lang w:eastAsia="zh-CN"/>
              </w:rPr>
              <w:t>符合现行勘察设计规范、规程、规定、标准的要求，并通过相关主管部门的审批。</w:t>
            </w:r>
          </w:p>
        </w:tc>
      </w:tr>
      <w:tr w14:paraId="271ABDE3">
        <w:tblPrEx>
          <w:tblCellMar>
            <w:top w:w="0" w:type="dxa"/>
            <w:left w:w="108" w:type="dxa"/>
            <w:bottom w:w="0" w:type="dxa"/>
            <w:right w:w="108" w:type="dxa"/>
          </w:tblCellMar>
        </w:tblPrEx>
        <w:trPr>
          <w:trHeight w:val="665"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6129E474">
            <w:pPr>
              <w:spacing w:beforeAutospacing="0" w:afterAutospacing="0" w:line="360" w:lineRule="auto"/>
              <w:jc w:val="center"/>
              <w:rPr>
                <w:rFonts w:hint="eastAsia"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9</w:t>
            </w:r>
          </w:p>
        </w:tc>
        <w:tc>
          <w:tcPr>
            <w:tcW w:w="1759" w:type="dxa"/>
            <w:tcBorders>
              <w:top w:val="single" w:color="000000" w:sz="4" w:space="0"/>
              <w:left w:val="nil"/>
              <w:bottom w:val="single" w:color="000000" w:sz="4" w:space="0"/>
              <w:right w:val="single" w:color="000000" w:sz="4" w:space="0"/>
            </w:tcBorders>
            <w:vAlign w:val="center"/>
          </w:tcPr>
          <w:p w14:paraId="436EED42">
            <w:pPr>
              <w:spacing w:beforeAutospacing="0" w:afterAutospacing="0" w:line="360" w:lineRule="auto"/>
              <w:jc w:val="center"/>
              <w:rPr>
                <w:rFonts w:ascii="宋体" w:hAnsi="宋体" w:eastAsia="宋体"/>
                <w:color w:val="auto"/>
                <w:kern w:val="0"/>
                <w:sz w:val="24"/>
                <w:szCs w:val="24"/>
                <w:highlight w:val="none"/>
              </w:rPr>
            </w:pPr>
            <w:r>
              <w:rPr>
                <w:rFonts w:ascii="宋体" w:hAnsi="宋体" w:eastAsia="宋体"/>
                <w:color w:val="auto"/>
                <w:kern w:val="0"/>
                <w:sz w:val="24"/>
                <w:szCs w:val="24"/>
                <w:highlight w:val="none"/>
              </w:rPr>
              <w:t>磋商供应商资质要求</w:t>
            </w:r>
          </w:p>
        </w:tc>
        <w:tc>
          <w:tcPr>
            <w:tcW w:w="7528" w:type="dxa"/>
            <w:tcBorders>
              <w:top w:val="single" w:color="000000" w:sz="4" w:space="0"/>
              <w:left w:val="nil"/>
              <w:bottom w:val="single" w:color="000000" w:sz="4" w:space="0"/>
              <w:right w:val="single" w:color="000000" w:sz="4" w:space="0"/>
            </w:tcBorders>
            <w:vAlign w:val="center"/>
          </w:tcPr>
          <w:p w14:paraId="5BC0B57E">
            <w:pPr>
              <w:keepNext w:val="0"/>
              <w:keepLines w:val="0"/>
              <w:pageBreakBefore w:val="0"/>
              <w:widowControl w:val="0"/>
              <w:kinsoku/>
              <w:overflowPunct/>
              <w:topLinePunct w:val="0"/>
              <w:autoSpaceDE/>
              <w:autoSpaceDN/>
              <w:bidi w:val="0"/>
              <w:adjustRightInd/>
              <w:snapToGrid/>
              <w:spacing w:beforeAutospacing="0" w:afterAutospacing="0" w:line="360" w:lineRule="auto"/>
              <w:textAlignment w:val="auto"/>
              <w:rPr>
                <w:rFonts w:hint="eastAsia" w:ascii="宋体" w:hAnsi="宋体"/>
                <w:bCs/>
                <w:color w:val="auto"/>
                <w:sz w:val="24"/>
                <w:szCs w:val="21"/>
                <w:highlight w:val="none"/>
                <w:lang w:val="en-US" w:eastAsia="zh-CN"/>
              </w:rPr>
            </w:pPr>
            <w:r>
              <w:rPr>
                <w:rFonts w:hint="eastAsia" w:ascii="宋体" w:hAnsi="宋体" w:eastAsia="宋体" w:cs="宋体"/>
                <w:color w:val="auto"/>
                <w:spacing w:val="-3"/>
                <w:sz w:val="24"/>
                <w:szCs w:val="24"/>
                <w:highlight w:val="none"/>
                <w:lang w:val="en-US" w:eastAsia="zh-CN"/>
              </w:rPr>
              <w:t>详见竞争性磋商公告</w:t>
            </w:r>
          </w:p>
        </w:tc>
      </w:tr>
      <w:tr w14:paraId="75584838">
        <w:tblPrEx>
          <w:tblCellMar>
            <w:top w:w="0" w:type="dxa"/>
            <w:left w:w="108" w:type="dxa"/>
            <w:bottom w:w="0" w:type="dxa"/>
            <w:right w:w="108" w:type="dxa"/>
          </w:tblCellMar>
        </w:tblPrEx>
        <w:trPr>
          <w:trHeight w:val="434"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560E4D0F">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10</w:t>
            </w:r>
          </w:p>
        </w:tc>
        <w:tc>
          <w:tcPr>
            <w:tcW w:w="1759" w:type="dxa"/>
            <w:tcBorders>
              <w:top w:val="single" w:color="000000" w:sz="4" w:space="0"/>
              <w:left w:val="nil"/>
              <w:bottom w:val="single" w:color="000000" w:sz="4" w:space="0"/>
              <w:right w:val="single" w:color="000000" w:sz="4" w:space="0"/>
            </w:tcBorders>
            <w:vAlign w:val="center"/>
          </w:tcPr>
          <w:p w14:paraId="6894FD20">
            <w:pPr>
              <w:spacing w:beforeAutospacing="0" w:afterAutospacing="0" w:line="360" w:lineRule="auto"/>
              <w:jc w:val="center"/>
              <w:rPr>
                <w:rFonts w:ascii="宋体" w:hAnsi="宋体" w:eastAsia="宋体"/>
                <w:color w:val="auto"/>
                <w:kern w:val="0"/>
                <w:sz w:val="24"/>
                <w:szCs w:val="24"/>
                <w:highlight w:val="none"/>
              </w:rPr>
            </w:pPr>
            <w:r>
              <w:rPr>
                <w:rFonts w:ascii="宋体" w:hAnsi="宋体" w:eastAsia="宋体"/>
                <w:color w:val="auto"/>
                <w:kern w:val="0"/>
                <w:sz w:val="24"/>
                <w:szCs w:val="24"/>
                <w:highlight w:val="none"/>
              </w:rPr>
              <w:t>竞争性磋商</w:t>
            </w:r>
            <w:r>
              <w:rPr>
                <w:rFonts w:hint="eastAsia" w:ascii="宋体" w:hAnsi="宋体" w:eastAsia="宋体"/>
                <w:color w:val="auto"/>
                <w:kern w:val="0"/>
                <w:sz w:val="24"/>
                <w:szCs w:val="24"/>
                <w:highlight w:val="none"/>
              </w:rPr>
              <w:t>有效期</w:t>
            </w:r>
          </w:p>
        </w:tc>
        <w:tc>
          <w:tcPr>
            <w:tcW w:w="7528" w:type="dxa"/>
            <w:tcBorders>
              <w:top w:val="single" w:color="000000" w:sz="4" w:space="0"/>
              <w:left w:val="nil"/>
              <w:bottom w:val="single" w:color="000000" w:sz="4" w:space="0"/>
              <w:right w:val="single" w:color="000000" w:sz="4" w:space="0"/>
            </w:tcBorders>
            <w:vAlign w:val="center"/>
          </w:tcPr>
          <w:p w14:paraId="6B336B1B">
            <w:pPr>
              <w:spacing w:beforeAutospacing="0" w:afterAutospacing="0" w:line="360" w:lineRule="auto"/>
              <w:jc w:val="left"/>
              <w:rPr>
                <w:rFonts w:hint="eastAsia" w:ascii="宋体" w:hAnsi="宋体"/>
                <w:color w:val="auto"/>
                <w:kern w:val="0"/>
                <w:sz w:val="24"/>
                <w:szCs w:val="24"/>
                <w:highlight w:val="none"/>
                <w:lang w:eastAsia="zh-CN"/>
              </w:rPr>
            </w:pPr>
            <w:r>
              <w:rPr>
                <w:rFonts w:hint="eastAsia" w:ascii="宋体" w:hAnsi="宋体"/>
                <w:color w:val="auto"/>
                <w:kern w:val="0"/>
                <w:sz w:val="24"/>
                <w:szCs w:val="24"/>
                <w:highlight w:val="none"/>
                <w:lang w:eastAsia="zh-CN"/>
              </w:rPr>
              <w:t>投标截止之日起</w:t>
            </w:r>
            <w:r>
              <w:rPr>
                <w:rFonts w:hint="eastAsia" w:ascii="宋体" w:hAnsi="宋体" w:eastAsia="宋体"/>
                <w:color w:val="auto"/>
                <w:kern w:val="0"/>
                <w:sz w:val="24"/>
                <w:szCs w:val="24"/>
                <w:highlight w:val="none"/>
              </w:rPr>
              <w:t>60日历天</w:t>
            </w:r>
          </w:p>
        </w:tc>
      </w:tr>
      <w:tr w14:paraId="7A433BBE">
        <w:tblPrEx>
          <w:tblCellMar>
            <w:top w:w="0" w:type="dxa"/>
            <w:left w:w="108" w:type="dxa"/>
            <w:bottom w:w="0" w:type="dxa"/>
            <w:right w:w="108" w:type="dxa"/>
          </w:tblCellMar>
        </w:tblPrEx>
        <w:trPr>
          <w:trHeight w:val="413"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6B2A8CA8">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11</w:t>
            </w:r>
          </w:p>
        </w:tc>
        <w:tc>
          <w:tcPr>
            <w:tcW w:w="1759" w:type="dxa"/>
            <w:tcBorders>
              <w:top w:val="single" w:color="000000" w:sz="4" w:space="0"/>
              <w:left w:val="nil"/>
              <w:bottom w:val="single" w:color="000000" w:sz="4" w:space="0"/>
              <w:right w:val="single" w:color="000000" w:sz="4" w:space="0"/>
            </w:tcBorders>
            <w:vAlign w:val="center"/>
          </w:tcPr>
          <w:p w14:paraId="30FE9C84">
            <w:pPr>
              <w:spacing w:beforeAutospacing="0" w:afterAutospacing="0" w:line="360" w:lineRule="auto"/>
              <w:jc w:val="center"/>
              <w:rPr>
                <w:rFonts w:ascii="宋体" w:hAnsi="宋体" w:eastAsia="宋体"/>
                <w:color w:val="auto"/>
                <w:kern w:val="0"/>
                <w:sz w:val="24"/>
                <w:szCs w:val="24"/>
                <w:highlight w:val="none"/>
              </w:rPr>
            </w:pPr>
            <w:r>
              <w:rPr>
                <w:rFonts w:ascii="宋体" w:hAnsi="宋体" w:eastAsia="宋体"/>
                <w:color w:val="auto"/>
                <w:kern w:val="0"/>
                <w:sz w:val="24"/>
                <w:szCs w:val="24"/>
                <w:highlight w:val="none"/>
              </w:rPr>
              <w:t>竞争性磋商保证金</w:t>
            </w:r>
          </w:p>
        </w:tc>
        <w:tc>
          <w:tcPr>
            <w:tcW w:w="7528" w:type="dxa"/>
            <w:tcBorders>
              <w:top w:val="single" w:color="000000" w:sz="4" w:space="0"/>
              <w:left w:val="nil"/>
              <w:bottom w:val="single" w:color="000000" w:sz="4" w:space="0"/>
              <w:right w:val="single" w:color="000000" w:sz="4" w:space="0"/>
            </w:tcBorders>
            <w:vAlign w:val="center"/>
          </w:tcPr>
          <w:p w14:paraId="5E426031">
            <w:pPr>
              <w:spacing w:beforeAutospacing="0" w:afterAutospacing="0" w:line="360" w:lineRule="auto"/>
              <w:jc w:val="left"/>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不</w:t>
            </w:r>
            <w:r>
              <w:rPr>
                <w:rFonts w:hint="eastAsia" w:ascii="宋体" w:hAnsi="宋体" w:eastAsia="宋体"/>
                <w:bCs/>
                <w:color w:val="auto"/>
                <w:kern w:val="0"/>
                <w:sz w:val="24"/>
                <w:szCs w:val="24"/>
                <w:highlight w:val="none"/>
                <w:lang w:val="en-US" w:eastAsia="zh-CN"/>
              </w:rPr>
              <w:t>再</w:t>
            </w:r>
            <w:r>
              <w:rPr>
                <w:rFonts w:hint="eastAsia" w:ascii="宋体" w:hAnsi="宋体" w:eastAsia="宋体"/>
                <w:bCs/>
                <w:color w:val="auto"/>
                <w:kern w:val="0"/>
                <w:sz w:val="24"/>
                <w:szCs w:val="24"/>
                <w:highlight w:val="none"/>
              </w:rPr>
              <w:t>收取磋商保证金</w:t>
            </w:r>
          </w:p>
        </w:tc>
      </w:tr>
      <w:tr w14:paraId="313C085C">
        <w:tblPrEx>
          <w:tblCellMar>
            <w:top w:w="0" w:type="dxa"/>
            <w:left w:w="108" w:type="dxa"/>
            <w:bottom w:w="0" w:type="dxa"/>
            <w:right w:w="108" w:type="dxa"/>
          </w:tblCellMar>
        </w:tblPrEx>
        <w:trPr>
          <w:trHeight w:val="505"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A39EEAA">
            <w:pPr>
              <w:spacing w:beforeAutospacing="0" w:afterAutospacing="0" w:line="360" w:lineRule="auto"/>
              <w:jc w:val="center"/>
              <w:rPr>
                <w:rFonts w:hint="eastAsia" w:ascii="宋体" w:hAnsi="宋体" w:eastAsia="宋体"/>
                <w:color w:val="auto"/>
                <w:kern w:val="0"/>
                <w:sz w:val="24"/>
                <w:szCs w:val="24"/>
                <w:highlight w:val="none"/>
                <w:lang w:val="en-US" w:eastAsia="zh-CN"/>
              </w:rPr>
            </w:pPr>
            <w:r>
              <w:rPr>
                <w:rFonts w:hint="eastAsia" w:ascii="宋体" w:hAnsi="宋体" w:eastAsia="宋体"/>
                <w:color w:val="auto"/>
                <w:kern w:val="0"/>
                <w:sz w:val="24"/>
                <w:szCs w:val="24"/>
                <w:highlight w:val="none"/>
              </w:rPr>
              <w:t>1</w:t>
            </w:r>
            <w:r>
              <w:rPr>
                <w:rFonts w:hint="eastAsia" w:ascii="宋体" w:hAnsi="宋体"/>
                <w:color w:val="auto"/>
                <w:kern w:val="0"/>
                <w:sz w:val="24"/>
                <w:szCs w:val="24"/>
                <w:highlight w:val="none"/>
                <w:lang w:val="en-US" w:eastAsia="zh-CN"/>
              </w:rPr>
              <w:t>2</w:t>
            </w:r>
          </w:p>
        </w:tc>
        <w:tc>
          <w:tcPr>
            <w:tcW w:w="1759" w:type="dxa"/>
            <w:tcBorders>
              <w:top w:val="single" w:color="000000" w:sz="4" w:space="0"/>
              <w:left w:val="nil"/>
              <w:bottom w:val="single" w:color="000000" w:sz="4" w:space="0"/>
              <w:right w:val="single" w:color="000000" w:sz="4" w:space="0"/>
            </w:tcBorders>
            <w:vAlign w:val="center"/>
          </w:tcPr>
          <w:p w14:paraId="15F5B809">
            <w:pPr>
              <w:spacing w:beforeAutospacing="0" w:afterAutospacing="0" w:line="360" w:lineRule="auto"/>
              <w:jc w:val="center"/>
              <w:rPr>
                <w:rFonts w:hint="eastAsia" w:ascii="宋体" w:hAnsi="宋体" w:eastAsia="宋体"/>
                <w:color w:val="auto"/>
                <w:kern w:val="0"/>
                <w:sz w:val="24"/>
                <w:szCs w:val="24"/>
                <w:highlight w:val="none"/>
                <w:lang w:eastAsia="zh-CN"/>
              </w:rPr>
            </w:pPr>
            <w:r>
              <w:rPr>
                <w:rFonts w:hint="eastAsia" w:ascii="宋体" w:hAnsi="宋体" w:eastAsia="宋体"/>
                <w:color w:val="auto"/>
                <w:kern w:val="0"/>
                <w:sz w:val="24"/>
                <w:szCs w:val="24"/>
                <w:highlight w:val="none"/>
              </w:rPr>
              <w:t>磋商</w:t>
            </w:r>
            <w:r>
              <w:rPr>
                <w:rFonts w:hint="eastAsia" w:ascii="宋体" w:hAnsi="宋体"/>
                <w:color w:val="auto"/>
                <w:kern w:val="0"/>
                <w:sz w:val="24"/>
                <w:szCs w:val="24"/>
                <w:highlight w:val="none"/>
                <w:lang w:eastAsia="zh-CN"/>
              </w:rPr>
              <w:t>时间和地点</w:t>
            </w:r>
          </w:p>
        </w:tc>
        <w:tc>
          <w:tcPr>
            <w:tcW w:w="7528" w:type="dxa"/>
            <w:tcBorders>
              <w:top w:val="single" w:color="000000" w:sz="4" w:space="0"/>
              <w:left w:val="nil"/>
              <w:bottom w:val="single" w:color="000000" w:sz="4" w:space="0"/>
              <w:right w:val="single" w:color="000000" w:sz="4" w:space="0"/>
            </w:tcBorders>
            <w:vAlign w:val="center"/>
          </w:tcPr>
          <w:p w14:paraId="7EE98BA2">
            <w:pPr>
              <w:spacing w:beforeAutospacing="0" w:afterAutospacing="0" w:line="360" w:lineRule="auto"/>
              <w:jc w:val="left"/>
              <w:rPr>
                <w:rFonts w:ascii="宋体" w:hAnsi="宋体" w:eastAsia="宋体"/>
                <w:color w:val="auto"/>
                <w:kern w:val="0"/>
                <w:sz w:val="24"/>
                <w:szCs w:val="24"/>
                <w:highlight w:val="none"/>
              </w:rPr>
            </w:pPr>
            <w:r>
              <w:rPr>
                <w:rFonts w:ascii="宋体" w:hAnsi="宋体" w:eastAsia="宋体"/>
                <w:color w:val="auto"/>
                <w:kern w:val="0"/>
                <w:sz w:val="24"/>
                <w:szCs w:val="24"/>
                <w:highlight w:val="none"/>
              </w:rPr>
              <w:t>时间：</w:t>
            </w:r>
            <w:r>
              <w:rPr>
                <w:rFonts w:hint="eastAsia" w:ascii="宋体" w:hAnsi="宋体"/>
                <w:color w:val="auto"/>
                <w:kern w:val="0"/>
                <w:sz w:val="24"/>
                <w:szCs w:val="24"/>
                <w:highlight w:val="none"/>
                <w:lang w:eastAsia="zh-CN"/>
              </w:rPr>
              <w:t>20</w:t>
            </w:r>
            <w:r>
              <w:rPr>
                <w:rFonts w:hint="eastAsia" w:ascii="宋体" w:hAnsi="宋体"/>
                <w:color w:val="auto"/>
                <w:kern w:val="0"/>
                <w:sz w:val="24"/>
                <w:szCs w:val="24"/>
                <w:highlight w:val="none"/>
                <w:lang w:val="en-US" w:eastAsia="zh-CN"/>
              </w:rPr>
              <w:t>26</w:t>
            </w:r>
            <w:r>
              <w:rPr>
                <w:rFonts w:hint="eastAsia" w:ascii="宋体" w:hAnsi="宋体"/>
                <w:color w:val="auto"/>
                <w:kern w:val="0"/>
                <w:sz w:val="24"/>
                <w:szCs w:val="24"/>
                <w:highlight w:val="none"/>
                <w:lang w:eastAsia="zh-CN"/>
              </w:rPr>
              <w:t>年</w:t>
            </w:r>
            <w:r>
              <w:rPr>
                <w:rFonts w:hint="eastAsia" w:ascii="宋体" w:hAnsi="宋体"/>
                <w:color w:val="auto"/>
                <w:kern w:val="0"/>
                <w:sz w:val="24"/>
                <w:szCs w:val="24"/>
                <w:highlight w:val="none"/>
                <w:lang w:val="en-US" w:eastAsia="zh-CN"/>
              </w:rPr>
              <w:t>09</w:t>
            </w:r>
            <w:r>
              <w:rPr>
                <w:rFonts w:hint="eastAsia" w:ascii="宋体" w:hAnsi="宋体"/>
                <w:color w:val="auto"/>
                <w:kern w:val="0"/>
                <w:sz w:val="24"/>
                <w:szCs w:val="24"/>
                <w:highlight w:val="none"/>
                <w:lang w:eastAsia="zh-CN"/>
              </w:rPr>
              <w:t>月</w:t>
            </w:r>
            <w:r>
              <w:rPr>
                <w:rFonts w:hint="eastAsia" w:ascii="宋体" w:hAnsi="宋体"/>
                <w:color w:val="auto"/>
                <w:kern w:val="0"/>
                <w:sz w:val="24"/>
                <w:szCs w:val="24"/>
                <w:highlight w:val="none"/>
                <w:lang w:val="en-US" w:eastAsia="zh-CN"/>
              </w:rPr>
              <w:t>29</w:t>
            </w:r>
            <w:r>
              <w:rPr>
                <w:rFonts w:hint="eastAsia" w:ascii="宋体" w:hAnsi="宋体"/>
                <w:color w:val="auto"/>
                <w:kern w:val="0"/>
                <w:sz w:val="24"/>
                <w:szCs w:val="24"/>
                <w:highlight w:val="none"/>
                <w:lang w:eastAsia="zh-CN"/>
              </w:rPr>
              <w:t>日</w:t>
            </w:r>
            <w:r>
              <w:rPr>
                <w:rFonts w:hint="eastAsia" w:ascii="宋体" w:hAnsi="宋体" w:eastAsia="宋体"/>
                <w:color w:val="auto"/>
                <w:kern w:val="0"/>
                <w:sz w:val="24"/>
                <w:szCs w:val="24"/>
                <w:highlight w:val="none"/>
              </w:rPr>
              <w:t>08</w:t>
            </w:r>
            <w:r>
              <w:rPr>
                <w:rFonts w:ascii="宋体" w:hAnsi="宋体" w:eastAsia="宋体"/>
                <w:color w:val="auto"/>
                <w:kern w:val="0"/>
                <w:sz w:val="24"/>
                <w:szCs w:val="24"/>
                <w:highlight w:val="none"/>
              </w:rPr>
              <w:t>时</w:t>
            </w:r>
            <w:r>
              <w:rPr>
                <w:rFonts w:hint="eastAsia" w:ascii="宋体" w:hAnsi="宋体"/>
                <w:color w:val="auto"/>
                <w:kern w:val="0"/>
                <w:sz w:val="24"/>
                <w:szCs w:val="24"/>
                <w:highlight w:val="none"/>
                <w:lang w:val="en-US" w:eastAsia="zh-CN"/>
              </w:rPr>
              <w:t>4</w:t>
            </w:r>
            <w:r>
              <w:rPr>
                <w:rFonts w:ascii="宋体" w:hAnsi="宋体" w:eastAsia="宋体"/>
                <w:color w:val="auto"/>
                <w:kern w:val="0"/>
                <w:sz w:val="24"/>
                <w:szCs w:val="24"/>
                <w:highlight w:val="none"/>
              </w:rPr>
              <w:t>0分</w:t>
            </w:r>
          </w:p>
          <w:p w14:paraId="221047CD">
            <w:pPr>
              <w:spacing w:beforeAutospacing="0" w:afterAutospacing="0" w:line="360" w:lineRule="auto"/>
              <w:jc w:val="left"/>
              <w:rPr>
                <w:rFonts w:ascii="宋体" w:hAnsi="宋体" w:eastAsia="宋体"/>
                <w:color w:val="auto"/>
                <w:kern w:val="0"/>
                <w:sz w:val="24"/>
                <w:szCs w:val="24"/>
                <w:highlight w:val="none"/>
              </w:rPr>
            </w:pPr>
            <w:r>
              <w:rPr>
                <w:rFonts w:ascii="宋体" w:hAnsi="宋体" w:eastAsia="宋体"/>
                <w:color w:val="auto"/>
                <w:kern w:val="0"/>
                <w:sz w:val="24"/>
                <w:szCs w:val="24"/>
                <w:highlight w:val="none"/>
              </w:rPr>
              <w:t>地点：</w:t>
            </w:r>
            <w:r>
              <w:rPr>
                <w:rFonts w:hint="eastAsia" w:ascii="宋体" w:hAnsi="宋体" w:eastAsia="宋体"/>
                <w:color w:val="auto"/>
                <w:kern w:val="0"/>
                <w:sz w:val="24"/>
                <w:szCs w:val="24"/>
                <w:highlight w:val="none"/>
              </w:rPr>
              <w:t>卢氏县公共资源交易中心</w:t>
            </w:r>
            <w:r>
              <w:rPr>
                <w:rFonts w:hint="eastAsia" w:ascii="宋体" w:hAnsi="宋体"/>
                <w:color w:val="auto"/>
                <w:kern w:val="0"/>
                <w:sz w:val="24"/>
                <w:szCs w:val="24"/>
                <w:highlight w:val="none"/>
                <w:lang w:eastAsia="zh-CN"/>
              </w:rPr>
              <w:t>四</w:t>
            </w:r>
            <w:r>
              <w:rPr>
                <w:rFonts w:hint="eastAsia" w:ascii="宋体" w:hAnsi="宋体" w:eastAsia="宋体"/>
                <w:color w:val="auto"/>
                <w:kern w:val="0"/>
                <w:sz w:val="24"/>
                <w:szCs w:val="24"/>
                <w:highlight w:val="none"/>
              </w:rPr>
              <w:t>楼第</w:t>
            </w:r>
            <w:r>
              <w:rPr>
                <w:rFonts w:hint="eastAsia" w:ascii="宋体" w:hAnsi="宋体"/>
                <w:color w:val="auto"/>
                <w:kern w:val="0"/>
                <w:sz w:val="24"/>
                <w:szCs w:val="24"/>
                <w:highlight w:val="none"/>
                <w:lang w:val="en-US" w:eastAsia="zh-CN"/>
              </w:rPr>
              <w:t>一</w:t>
            </w:r>
            <w:r>
              <w:rPr>
                <w:rFonts w:hint="eastAsia" w:ascii="宋体" w:hAnsi="宋体" w:eastAsia="宋体"/>
                <w:color w:val="auto"/>
                <w:kern w:val="0"/>
                <w:sz w:val="24"/>
                <w:szCs w:val="24"/>
                <w:highlight w:val="none"/>
              </w:rPr>
              <w:t>开标室</w:t>
            </w:r>
          </w:p>
        </w:tc>
      </w:tr>
      <w:tr w14:paraId="0B58A664">
        <w:tblPrEx>
          <w:tblCellMar>
            <w:top w:w="0" w:type="dxa"/>
            <w:left w:w="108" w:type="dxa"/>
            <w:bottom w:w="0" w:type="dxa"/>
            <w:right w:w="108" w:type="dxa"/>
          </w:tblCellMar>
        </w:tblPrEx>
        <w:trPr>
          <w:trHeight w:val="1091"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5C897A4F">
            <w:pPr>
              <w:spacing w:beforeAutospacing="0" w:afterAutospacing="0" w:line="360" w:lineRule="auto"/>
              <w:jc w:val="center"/>
              <w:rPr>
                <w:rFonts w:hint="eastAsia" w:ascii="宋体" w:hAnsi="宋体" w:eastAsia="宋体"/>
                <w:color w:val="auto"/>
                <w:kern w:val="0"/>
                <w:sz w:val="24"/>
                <w:szCs w:val="24"/>
                <w:highlight w:val="none"/>
                <w:lang w:val="en-US" w:eastAsia="zh-CN"/>
              </w:rPr>
            </w:pPr>
            <w:r>
              <w:rPr>
                <w:rFonts w:hint="eastAsia" w:ascii="宋体" w:hAnsi="宋体" w:eastAsia="宋体"/>
                <w:color w:val="auto"/>
                <w:kern w:val="0"/>
                <w:sz w:val="24"/>
                <w:szCs w:val="24"/>
                <w:highlight w:val="none"/>
              </w:rPr>
              <w:t>1</w:t>
            </w:r>
            <w:r>
              <w:rPr>
                <w:rFonts w:hint="eastAsia" w:ascii="宋体" w:hAnsi="宋体"/>
                <w:color w:val="auto"/>
                <w:kern w:val="0"/>
                <w:sz w:val="24"/>
                <w:szCs w:val="24"/>
                <w:highlight w:val="none"/>
                <w:lang w:val="en-US" w:eastAsia="zh-CN"/>
              </w:rPr>
              <w:t>3</w:t>
            </w:r>
          </w:p>
        </w:tc>
        <w:tc>
          <w:tcPr>
            <w:tcW w:w="1759" w:type="dxa"/>
            <w:tcBorders>
              <w:top w:val="single" w:color="000000" w:sz="4" w:space="0"/>
              <w:left w:val="nil"/>
              <w:bottom w:val="single" w:color="000000" w:sz="4" w:space="0"/>
              <w:right w:val="single" w:color="000000" w:sz="4" w:space="0"/>
            </w:tcBorders>
            <w:vAlign w:val="center"/>
          </w:tcPr>
          <w:p w14:paraId="088DAC3F">
            <w:pPr>
              <w:spacing w:beforeAutospacing="0" w:afterAutospacing="0" w:line="360" w:lineRule="auto"/>
              <w:jc w:val="center"/>
              <w:rPr>
                <w:rFonts w:ascii="宋体" w:hAnsi="宋体" w:eastAsia="宋体"/>
                <w:color w:val="auto"/>
                <w:kern w:val="0"/>
                <w:sz w:val="24"/>
                <w:szCs w:val="24"/>
                <w:highlight w:val="none"/>
              </w:rPr>
            </w:pPr>
            <w:r>
              <w:rPr>
                <w:rFonts w:ascii="宋体" w:hAnsi="宋体" w:eastAsia="宋体"/>
                <w:color w:val="auto"/>
                <w:kern w:val="0"/>
                <w:sz w:val="24"/>
                <w:szCs w:val="24"/>
                <w:highlight w:val="none"/>
              </w:rPr>
              <w:t>磋商小组的组建</w:t>
            </w:r>
          </w:p>
        </w:tc>
        <w:tc>
          <w:tcPr>
            <w:tcW w:w="7528" w:type="dxa"/>
            <w:tcBorders>
              <w:top w:val="single" w:color="000000" w:sz="4" w:space="0"/>
              <w:left w:val="nil"/>
              <w:bottom w:val="single" w:color="000000" w:sz="4" w:space="0"/>
              <w:right w:val="single" w:color="000000" w:sz="4" w:space="0"/>
            </w:tcBorders>
            <w:vAlign w:val="center"/>
          </w:tcPr>
          <w:p w14:paraId="69526767">
            <w:pPr>
              <w:spacing w:beforeAutospacing="0" w:afterAutospacing="0" w:line="360" w:lineRule="auto"/>
              <w:jc w:val="left"/>
              <w:rPr>
                <w:rFonts w:ascii="宋体" w:hAnsi="宋体" w:eastAsia="宋体"/>
                <w:color w:val="auto"/>
                <w:kern w:val="0"/>
                <w:sz w:val="24"/>
                <w:szCs w:val="24"/>
                <w:highlight w:val="none"/>
              </w:rPr>
            </w:pPr>
            <w:r>
              <w:rPr>
                <w:rFonts w:ascii="宋体" w:hAnsi="宋体" w:eastAsia="宋体"/>
                <w:color w:val="auto"/>
                <w:kern w:val="0"/>
                <w:sz w:val="24"/>
                <w:szCs w:val="24"/>
                <w:highlight w:val="none"/>
              </w:rPr>
              <w:t>磋商小组成员为3人，</w:t>
            </w:r>
            <w:r>
              <w:rPr>
                <w:rFonts w:hint="eastAsia" w:ascii="宋体" w:hAnsi="宋体" w:eastAsia="宋体"/>
                <w:color w:val="auto"/>
                <w:kern w:val="0"/>
                <w:sz w:val="24"/>
                <w:szCs w:val="24"/>
                <w:highlight w:val="none"/>
              </w:rPr>
              <w:t>由</w:t>
            </w:r>
            <w:r>
              <w:rPr>
                <w:rFonts w:ascii="宋体" w:hAnsi="宋体" w:eastAsia="宋体"/>
                <w:color w:val="auto"/>
                <w:kern w:val="0"/>
                <w:sz w:val="24"/>
                <w:szCs w:val="24"/>
                <w:highlight w:val="none"/>
              </w:rPr>
              <w:t>采购人代表1人，其余</w:t>
            </w:r>
            <w:r>
              <w:rPr>
                <w:rFonts w:hint="eastAsia" w:ascii="宋体" w:hAnsi="宋体" w:eastAsia="宋体"/>
                <w:color w:val="auto"/>
                <w:kern w:val="0"/>
                <w:sz w:val="24"/>
                <w:szCs w:val="24"/>
                <w:highlight w:val="none"/>
              </w:rPr>
              <w:t>技术、经济类</w:t>
            </w:r>
            <w:r>
              <w:rPr>
                <w:rFonts w:ascii="宋体" w:hAnsi="宋体" w:eastAsia="宋体"/>
                <w:color w:val="auto"/>
                <w:kern w:val="0"/>
                <w:sz w:val="24"/>
                <w:szCs w:val="24"/>
                <w:highlight w:val="none"/>
              </w:rPr>
              <w:t>专家</w:t>
            </w:r>
            <w:r>
              <w:rPr>
                <w:rFonts w:hint="eastAsia" w:ascii="宋体" w:hAnsi="宋体" w:eastAsia="宋体"/>
                <w:color w:val="auto"/>
                <w:kern w:val="0"/>
                <w:sz w:val="24"/>
                <w:szCs w:val="24"/>
                <w:highlight w:val="none"/>
                <w:lang w:val="en-US" w:eastAsia="zh-CN"/>
              </w:rPr>
              <w:t>2</w:t>
            </w:r>
            <w:r>
              <w:rPr>
                <w:rFonts w:ascii="宋体" w:hAnsi="宋体" w:eastAsia="宋体"/>
                <w:color w:val="auto"/>
                <w:kern w:val="0"/>
                <w:sz w:val="24"/>
                <w:szCs w:val="24"/>
                <w:highlight w:val="none"/>
              </w:rPr>
              <w:t>人</w:t>
            </w:r>
            <w:r>
              <w:rPr>
                <w:rFonts w:hint="eastAsia" w:ascii="宋体" w:hAnsi="宋体" w:eastAsia="宋体"/>
                <w:color w:val="auto"/>
                <w:kern w:val="0"/>
                <w:sz w:val="24"/>
                <w:szCs w:val="24"/>
                <w:highlight w:val="none"/>
              </w:rPr>
              <w:t>组成；</w:t>
            </w:r>
            <w:r>
              <w:rPr>
                <w:rFonts w:hint="eastAsia" w:ascii="宋体" w:hAnsi="宋体" w:eastAsia="宋体"/>
                <w:color w:val="auto"/>
                <w:kern w:val="0"/>
                <w:sz w:val="24"/>
                <w:szCs w:val="24"/>
                <w:highlight w:val="none"/>
                <w:lang w:val="en-US" w:eastAsia="zh-CN"/>
              </w:rPr>
              <w:t>开标后</w:t>
            </w:r>
            <w:r>
              <w:rPr>
                <w:rFonts w:ascii="宋体" w:hAnsi="宋体" w:eastAsia="宋体"/>
                <w:color w:val="auto"/>
                <w:kern w:val="0"/>
                <w:sz w:val="24"/>
                <w:szCs w:val="24"/>
                <w:highlight w:val="none"/>
              </w:rPr>
              <w:t>从</w:t>
            </w:r>
            <w:r>
              <w:rPr>
                <w:rFonts w:hint="eastAsia" w:ascii="宋体" w:hAnsi="宋体"/>
                <w:color w:val="auto"/>
                <w:kern w:val="0"/>
                <w:sz w:val="24"/>
                <w:szCs w:val="24"/>
                <w:highlight w:val="none"/>
                <w:lang w:val="en-US" w:eastAsia="zh-CN"/>
              </w:rPr>
              <w:t>河南省财政厅政府采购</w:t>
            </w:r>
            <w:r>
              <w:rPr>
                <w:rFonts w:ascii="宋体" w:hAnsi="宋体" w:eastAsia="宋体"/>
                <w:color w:val="auto"/>
                <w:kern w:val="0"/>
                <w:sz w:val="24"/>
                <w:szCs w:val="24"/>
                <w:highlight w:val="none"/>
              </w:rPr>
              <w:t>评标专家库中随机抽取。</w:t>
            </w:r>
          </w:p>
        </w:tc>
      </w:tr>
      <w:tr w14:paraId="72076599">
        <w:tblPrEx>
          <w:tblCellMar>
            <w:top w:w="0" w:type="dxa"/>
            <w:left w:w="108" w:type="dxa"/>
            <w:bottom w:w="0" w:type="dxa"/>
            <w:right w:w="108" w:type="dxa"/>
          </w:tblCellMar>
        </w:tblPrEx>
        <w:trPr>
          <w:trHeight w:val="3446"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4733C205">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14</w:t>
            </w:r>
          </w:p>
        </w:tc>
        <w:tc>
          <w:tcPr>
            <w:tcW w:w="1759" w:type="dxa"/>
            <w:tcBorders>
              <w:top w:val="single" w:color="000000" w:sz="4" w:space="0"/>
              <w:left w:val="nil"/>
              <w:bottom w:val="single" w:color="000000" w:sz="4" w:space="0"/>
              <w:right w:val="single" w:color="000000" w:sz="4" w:space="0"/>
            </w:tcBorders>
            <w:vAlign w:val="center"/>
          </w:tcPr>
          <w:p w14:paraId="7D63E7AE">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签字或盖章</w:t>
            </w:r>
          </w:p>
          <w:p w14:paraId="22F435F8">
            <w:pPr>
              <w:spacing w:beforeAutospacing="0" w:afterAutospacing="0" w:line="360" w:lineRule="auto"/>
              <w:jc w:val="center"/>
              <w:rPr>
                <w:rFonts w:ascii="宋体" w:hAnsi="宋体" w:eastAsia="宋体"/>
                <w:color w:val="auto"/>
                <w:kern w:val="0"/>
                <w:sz w:val="24"/>
                <w:szCs w:val="24"/>
                <w:highlight w:val="none"/>
              </w:rPr>
            </w:pPr>
            <w:r>
              <w:rPr>
                <w:rFonts w:hint="eastAsia" w:ascii="宋体" w:hAnsi="宋体" w:eastAsia="宋体"/>
                <w:color w:val="auto"/>
                <w:kern w:val="0"/>
                <w:sz w:val="24"/>
                <w:szCs w:val="24"/>
                <w:highlight w:val="none"/>
              </w:rPr>
              <w:t>要求</w:t>
            </w:r>
          </w:p>
        </w:tc>
        <w:tc>
          <w:tcPr>
            <w:tcW w:w="7528" w:type="dxa"/>
            <w:tcBorders>
              <w:top w:val="single" w:color="000000" w:sz="4" w:space="0"/>
              <w:left w:val="nil"/>
              <w:bottom w:val="single" w:color="000000" w:sz="4" w:space="0"/>
              <w:right w:val="single" w:color="000000" w:sz="4" w:space="0"/>
            </w:tcBorders>
            <w:shd w:val="clear" w:color="auto" w:fill="auto"/>
            <w:vAlign w:val="center"/>
          </w:tcPr>
          <w:p w14:paraId="7F5E693A">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1、投标人在生成电子化投标文件后，应对电子化投标文件进行签章，未进行签章的视为无效投标。</w:t>
            </w:r>
          </w:p>
          <w:p w14:paraId="425856A6">
            <w:pPr>
              <w:spacing w:beforeAutospacing="0" w:afterAutospacing="0" w:line="360" w:lineRule="auto"/>
              <w:jc w:val="left"/>
              <w:rPr>
                <w:rFonts w:hint="eastAsia"/>
                <w:color w:val="auto"/>
                <w:highlight w:val="none"/>
                <w:lang w:val="en-US" w:eastAsia="zh-CN"/>
              </w:rPr>
            </w:pPr>
            <w:r>
              <w:rPr>
                <w:rFonts w:hint="eastAsia" w:ascii="宋体" w:hAnsi="宋体" w:eastAsia="宋体"/>
                <w:color w:val="auto"/>
                <w:kern w:val="0"/>
                <w:sz w:val="24"/>
                <w:szCs w:val="24"/>
                <w:highlight w:val="none"/>
              </w:rPr>
              <w:t>2、</w:t>
            </w:r>
            <w:r>
              <w:rPr>
                <w:rFonts w:hint="eastAsia" w:ascii="宋体" w:hAnsi="宋体" w:eastAsia="宋体"/>
                <w:color w:val="auto"/>
                <w:kern w:val="0"/>
                <w:sz w:val="24"/>
                <w:szCs w:val="24"/>
                <w:highlight w:val="none"/>
                <w:lang w:val="en-US"/>
              </w:rPr>
              <w:t>竞争性磋商文件</w:t>
            </w:r>
            <w:r>
              <w:rPr>
                <w:rFonts w:hint="eastAsia" w:ascii="宋体" w:hAnsi="宋体" w:eastAsia="宋体"/>
                <w:color w:val="auto"/>
                <w:kern w:val="0"/>
                <w:sz w:val="24"/>
                <w:szCs w:val="24"/>
                <w:highlight w:val="none"/>
                <w:lang w:val="en-US" w:eastAsia="zh-CN"/>
              </w:rPr>
              <w:t>中</w:t>
            </w:r>
            <w:r>
              <w:rPr>
                <w:rFonts w:hint="eastAsia" w:ascii="宋体" w:hAnsi="宋体" w:eastAsia="宋体"/>
                <w:color w:val="auto"/>
                <w:kern w:val="0"/>
                <w:sz w:val="24"/>
                <w:szCs w:val="24"/>
                <w:highlight w:val="none"/>
              </w:rPr>
              <w:t>要求盖单位章的地方，投标人均应使用CA数字证书加盖</w:t>
            </w:r>
            <w:r>
              <w:rPr>
                <w:rFonts w:hint="eastAsia" w:ascii="宋体" w:hAnsi="宋体" w:eastAsia="宋体"/>
                <w:color w:val="auto"/>
                <w:kern w:val="0"/>
                <w:sz w:val="24"/>
                <w:szCs w:val="24"/>
                <w:highlight w:val="none"/>
                <w:lang w:val="en-US" w:eastAsia="zh-CN"/>
              </w:rPr>
              <w:t>投标人的</w:t>
            </w:r>
            <w:r>
              <w:rPr>
                <w:rFonts w:hint="eastAsia" w:ascii="宋体" w:hAnsi="宋体" w:eastAsia="宋体"/>
                <w:color w:val="auto"/>
                <w:kern w:val="0"/>
                <w:sz w:val="24"/>
                <w:szCs w:val="24"/>
                <w:highlight w:val="none"/>
              </w:rPr>
              <w:t>单位电子签章；要求投标人法定代表人或其委托代理人签字或签章的，投标人在进行电子化投标文件签章时，除</w:t>
            </w:r>
            <w:r>
              <w:rPr>
                <w:rFonts w:hint="eastAsia" w:ascii="宋体" w:hAnsi="宋体" w:eastAsia="宋体"/>
                <w:color w:val="auto"/>
                <w:kern w:val="0"/>
                <w:sz w:val="24"/>
                <w:szCs w:val="24"/>
                <w:highlight w:val="none"/>
                <w:lang w:val="en-US" w:eastAsia="zh-CN"/>
              </w:rPr>
              <w:t>磋商文件规定加盖联合体成员单位公章外</w:t>
            </w:r>
            <w:r>
              <w:rPr>
                <w:rFonts w:hint="eastAsia" w:ascii="宋体" w:hAnsi="宋体" w:eastAsia="宋体"/>
                <w:color w:val="auto"/>
                <w:kern w:val="0"/>
                <w:sz w:val="24"/>
                <w:szCs w:val="24"/>
                <w:highlight w:val="none"/>
              </w:rPr>
              <w:t>，以投标人（联合体牵头人）的公章电子签章、法定代表人签章为准。</w:t>
            </w:r>
          </w:p>
        </w:tc>
      </w:tr>
      <w:tr w14:paraId="3C797EBA">
        <w:tblPrEx>
          <w:tblCellMar>
            <w:top w:w="0" w:type="dxa"/>
            <w:left w:w="108" w:type="dxa"/>
            <w:bottom w:w="0" w:type="dxa"/>
            <w:right w:w="108" w:type="dxa"/>
          </w:tblCellMar>
        </w:tblPrEx>
        <w:trPr>
          <w:trHeight w:val="2102"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43806124">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15</w:t>
            </w:r>
          </w:p>
        </w:tc>
        <w:tc>
          <w:tcPr>
            <w:tcW w:w="1759" w:type="dxa"/>
            <w:tcBorders>
              <w:top w:val="single" w:color="000000" w:sz="4" w:space="0"/>
              <w:left w:val="nil"/>
              <w:bottom w:val="single" w:color="000000" w:sz="4" w:space="0"/>
              <w:right w:val="single" w:color="000000" w:sz="4" w:space="0"/>
            </w:tcBorders>
            <w:vAlign w:val="center"/>
          </w:tcPr>
          <w:p w14:paraId="036F5F90">
            <w:pPr>
              <w:spacing w:beforeAutospacing="0" w:afterAutospacing="0" w:line="360" w:lineRule="auto"/>
              <w:jc w:val="center"/>
              <w:rPr>
                <w:rFonts w:ascii="宋体" w:hAnsi="宋体" w:eastAsia="宋体"/>
                <w:color w:val="auto"/>
                <w:kern w:val="0"/>
                <w:sz w:val="24"/>
                <w:szCs w:val="24"/>
                <w:highlight w:val="none"/>
              </w:rPr>
            </w:pPr>
            <w:r>
              <w:rPr>
                <w:rFonts w:ascii="宋体" w:hAnsi="宋体" w:eastAsia="宋体"/>
                <w:color w:val="auto"/>
                <w:kern w:val="0"/>
                <w:sz w:val="24"/>
                <w:szCs w:val="24"/>
                <w:highlight w:val="none"/>
              </w:rPr>
              <w:t>评标标</w:t>
            </w:r>
          </w:p>
          <w:p w14:paraId="14B77C02">
            <w:pPr>
              <w:spacing w:beforeAutospacing="0" w:afterAutospacing="0" w:line="360" w:lineRule="auto"/>
              <w:jc w:val="center"/>
              <w:rPr>
                <w:rFonts w:ascii="宋体" w:hAnsi="宋体" w:eastAsia="宋体"/>
                <w:color w:val="auto"/>
                <w:kern w:val="0"/>
                <w:sz w:val="24"/>
                <w:szCs w:val="24"/>
                <w:highlight w:val="none"/>
              </w:rPr>
            </w:pPr>
            <w:r>
              <w:rPr>
                <w:rFonts w:ascii="宋体" w:hAnsi="宋体" w:eastAsia="宋体"/>
                <w:color w:val="auto"/>
                <w:kern w:val="0"/>
                <w:sz w:val="24"/>
                <w:szCs w:val="24"/>
                <w:highlight w:val="none"/>
              </w:rPr>
              <w:t>准及方法</w:t>
            </w:r>
          </w:p>
        </w:tc>
        <w:tc>
          <w:tcPr>
            <w:tcW w:w="7528" w:type="dxa"/>
            <w:tcBorders>
              <w:top w:val="single" w:color="000000" w:sz="4" w:space="0"/>
              <w:left w:val="nil"/>
              <w:bottom w:val="single" w:color="000000" w:sz="4" w:space="0"/>
              <w:right w:val="single" w:color="000000" w:sz="4" w:space="0"/>
            </w:tcBorders>
            <w:vAlign w:val="center"/>
          </w:tcPr>
          <w:p w14:paraId="38B5379B">
            <w:pPr>
              <w:spacing w:beforeAutospacing="0" w:afterAutospacing="0" w:line="360" w:lineRule="auto"/>
              <w:jc w:val="left"/>
              <w:rPr>
                <w:rFonts w:ascii="宋体" w:hAnsi="宋体" w:eastAsia="宋体"/>
                <w:color w:val="auto"/>
                <w:kern w:val="0"/>
                <w:sz w:val="24"/>
                <w:szCs w:val="24"/>
                <w:highlight w:val="none"/>
              </w:rPr>
            </w:pPr>
            <w:r>
              <w:rPr>
                <w:rFonts w:ascii="宋体" w:hAnsi="宋体" w:eastAsia="宋体"/>
                <w:color w:val="auto"/>
                <w:kern w:val="0"/>
                <w:sz w:val="24"/>
                <w:szCs w:val="24"/>
                <w:highlight w:val="none"/>
              </w:rPr>
              <w:t>评定办法：由磋商小组采用综合评分法对提交最后报价的磋商供应商的响应文件和最后报价进行综合评分。综合评分法，是指响应文件满足磋商文件全部实质性要求且按评审因素的量化指标评审得分最高的磋商供应商为成交候选磋商供应商的评审方法。</w:t>
            </w:r>
          </w:p>
        </w:tc>
      </w:tr>
      <w:tr w14:paraId="06DCD1E9">
        <w:tblPrEx>
          <w:tblCellMar>
            <w:top w:w="0" w:type="dxa"/>
            <w:left w:w="108" w:type="dxa"/>
            <w:bottom w:w="0" w:type="dxa"/>
            <w:right w:w="108" w:type="dxa"/>
          </w:tblCellMar>
        </w:tblPrEx>
        <w:trPr>
          <w:trHeight w:val="1932"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2637327A">
            <w:pPr>
              <w:spacing w:beforeAutospacing="0" w:afterAutospacing="0" w:line="360" w:lineRule="auto"/>
              <w:jc w:val="left"/>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16</w:t>
            </w:r>
          </w:p>
        </w:tc>
        <w:tc>
          <w:tcPr>
            <w:tcW w:w="1759" w:type="dxa"/>
            <w:tcBorders>
              <w:top w:val="single" w:color="000000" w:sz="4" w:space="0"/>
              <w:left w:val="nil"/>
              <w:bottom w:val="single" w:color="000000" w:sz="4" w:space="0"/>
              <w:right w:val="single" w:color="000000" w:sz="4" w:space="0"/>
            </w:tcBorders>
            <w:vAlign w:val="center"/>
          </w:tcPr>
          <w:p w14:paraId="3DA0C778">
            <w:pPr>
              <w:spacing w:line="500" w:lineRule="exact"/>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付款方式</w:t>
            </w:r>
          </w:p>
        </w:tc>
        <w:tc>
          <w:tcPr>
            <w:tcW w:w="7528" w:type="dxa"/>
            <w:tcBorders>
              <w:top w:val="single" w:color="000000" w:sz="4" w:space="0"/>
              <w:left w:val="nil"/>
              <w:right w:val="single" w:color="000000" w:sz="4" w:space="0"/>
            </w:tcBorders>
            <w:vAlign w:val="top"/>
          </w:tcPr>
          <w:p w14:paraId="004C7213">
            <w:pPr>
              <w:spacing w:beforeAutospacing="0" w:afterAutospacing="0" w:line="360" w:lineRule="auto"/>
              <w:jc w:val="left"/>
              <w:rPr>
                <w:rFonts w:hint="eastAsia" w:ascii="宋体" w:hAnsi="宋体" w:eastAsia="宋体"/>
                <w:color w:val="auto"/>
                <w:kern w:val="0"/>
                <w:sz w:val="24"/>
                <w:szCs w:val="24"/>
                <w:highlight w:val="none"/>
                <w:lang w:val="en-US" w:eastAsia="zh-CN"/>
              </w:rPr>
            </w:pPr>
            <w:r>
              <w:rPr>
                <w:rFonts w:ascii="宋体" w:hAnsi="宋体" w:eastAsia="宋体" w:cs="宋体"/>
                <w:color w:val="auto"/>
                <w:sz w:val="24"/>
                <w:szCs w:val="24"/>
                <w:highlight w:val="none"/>
              </w:rPr>
              <w:t>合同签订后，</w:t>
            </w:r>
            <w:r>
              <w:rPr>
                <w:rFonts w:hint="eastAsia" w:ascii="宋体" w:hAnsi="宋体" w:cs="宋体"/>
                <w:color w:val="auto"/>
                <w:sz w:val="24"/>
                <w:szCs w:val="24"/>
                <w:highlight w:val="none"/>
                <w:lang w:val="en-US" w:eastAsia="zh-CN"/>
              </w:rPr>
              <w:t>乙方</w:t>
            </w:r>
            <w:r>
              <w:rPr>
                <w:rFonts w:ascii="宋体" w:hAnsi="宋体" w:eastAsia="宋体"/>
                <w:color w:val="auto"/>
                <w:kern w:val="0"/>
                <w:sz w:val="24"/>
                <w:szCs w:val="24"/>
                <w:highlight w:val="none"/>
              </w:rPr>
              <w:t>完成总任务量</w:t>
            </w:r>
            <w:r>
              <w:rPr>
                <w:rFonts w:hint="eastAsia" w:ascii="宋体" w:hAnsi="宋体"/>
                <w:color w:val="auto"/>
                <w:kern w:val="0"/>
                <w:sz w:val="24"/>
                <w:szCs w:val="24"/>
                <w:highlight w:val="none"/>
                <w:lang w:val="en-US" w:eastAsia="zh-CN"/>
              </w:rPr>
              <w:t>的</w:t>
            </w:r>
            <w:r>
              <w:rPr>
                <w:rFonts w:ascii="宋体" w:hAnsi="宋体" w:eastAsia="宋体"/>
                <w:color w:val="auto"/>
                <w:kern w:val="0"/>
                <w:sz w:val="24"/>
                <w:szCs w:val="24"/>
                <w:highlight w:val="none"/>
              </w:rPr>
              <w:t>50%，支付合同总价款</w:t>
            </w:r>
            <w:r>
              <w:rPr>
                <w:rFonts w:hint="eastAsia" w:ascii="宋体" w:hAnsi="宋体"/>
                <w:color w:val="auto"/>
                <w:kern w:val="0"/>
                <w:sz w:val="24"/>
                <w:szCs w:val="24"/>
                <w:highlight w:val="none"/>
                <w:lang w:val="en-US" w:eastAsia="zh-CN"/>
              </w:rPr>
              <w:t>的</w:t>
            </w:r>
            <w:r>
              <w:rPr>
                <w:rFonts w:ascii="宋体" w:hAnsi="宋体" w:eastAsia="宋体"/>
                <w:color w:val="auto"/>
                <w:kern w:val="0"/>
                <w:sz w:val="24"/>
                <w:szCs w:val="24"/>
                <w:highlight w:val="none"/>
              </w:rPr>
              <w:t>30%；完成总任务量</w:t>
            </w:r>
            <w:r>
              <w:rPr>
                <w:rFonts w:hint="eastAsia" w:ascii="宋体" w:hAnsi="宋体"/>
                <w:color w:val="auto"/>
                <w:kern w:val="0"/>
                <w:sz w:val="24"/>
                <w:szCs w:val="24"/>
                <w:highlight w:val="none"/>
                <w:lang w:val="en-US" w:eastAsia="zh-CN"/>
              </w:rPr>
              <w:t>的</w:t>
            </w:r>
            <w:r>
              <w:rPr>
                <w:rFonts w:ascii="宋体" w:hAnsi="宋体" w:eastAsia="宋体"/>
                <w:color w:val="auto"/>
                <w:kern w:val="0"/>
                <w:sz w:val="24"/>
                <w:szCs w:val="24"/>
                <w:highlight w:val="none"/>
              </w:rPr>
              <w:t>80%，支付至合同总价款</w:t>
            </w:r>
            <w:r>
              <w:rPr>
                <w:rFonts w:hint="eastAsia" w:ascii="宋体" w:hAnsi="宋体"/>
                <w:color w:val="auto"/>
                <w:kern w:val="0"/>
                <w:sz w:val="24"/>
                <w:szCs w:val="24"/>
                <w:highlight w:val="none"/>
                <w:lang w:val="en-US" w:eastAsia="zh-CN"/>
              </w:rPr>
              <w:t>的80</w:t>
            </w:r>
            <w:r>
              <w:rPr>
                <w:rFonts w:ascii="宋体" w:hAnsi="宋体" w:eastAsia="宋体"/>
                <w:color w:val="auto"/>
                <w:kern w:val="0"/>
                <w:sz w:val="24"/>
                <w:szCs w:val="24"/>
                <w:highlight w:val="none"/>
              </w:rPr>
              <w:t>%；全部任务100%完成，成果</w:t>
            </w:r>
            <w:r>
              <w:rPr>
                <w:rFonts w:hint="eastAsia" w:ascii="宋体" w:hAnsi="宋体"/>
                <w:color w:val="auto"/>
                <w:kern w:val="0"/>
                <w:sz w:val="24"/>
                <w:szCs w:val="24"/>
                <w:highlight w:val="none"/>
                <w:lang w:val="en-US" w:eastAsia="zh-CN"/>
              </w:rPr>
              <w:t>文件</w:t>
            </w:r>
            <w:r>
              <w:rPr>
                <w:rFonts w:ascii="宋体" w:hAnsi="宋体" w:eastAsia="宋体"/>
                <w:color w:val="auto"/>
                <w:kern w:val="0"/>
                <w:sz w:val="24"/>
                <w:szCs w:val="24"/>
                <w:highlight w:val="none"/>
              </w:rPr>
              <w:t>交付并经甲方审核通过后支付剩余全部合同价款。</w:t>
            </w:r>
            <w:r>
              <w:rPr>
                <w:rFonts w:hint="eastAsia" w:ascii="宋体" w:hAnsi="宋体" w:eastAsia="宋体"/>
                <w:color w:val="auto"/>
                <w:kern w:val="0"/>
                <w:sz w:val="24"/>
                <w:szCs w:val="24"/>
                <w:highlight w:val="none"/>
                <w:lang w:val="en-US" w:eastAsia="zh-CN"/>
              </w:rPr>
              <w:t>（具体以双方签订合同为准）</w:t>
            </w:r>
          </w:p>
        </w:tc>
      </w:tr>
      <w:tr w14:paraId="76052226">
        <w:tblPrEx>
          <w:tblCellMar>
            <w:top w:w="0" w:type="dxa"/>
            <w:left w:w="108" w:type="dxa"/>
            <w:bottom w:w="0" w:type="dxa"/>
            <w:right w:w="108" w:type="dxa"/>
          </w:tblCellMar>
        </w:tblPrEx>
        <w:trPr>
          <w:trHeight w:val="699"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54E0CC76">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17</w:t>
            </w:r>
          </w:p>
        </w:tc>
        <w:tc>
          <w:tcPr>
            <w:tcW w:w="1759" w:type="dxa"/>
            <w:tcBorders>
              <w:top w:val="single" w:color="000000" w:sz="4" w:space="0"/>
              <w:left w:val="nil"/>
              <w:bottom w:val="single" w:color="000000" w:sz="4" w:space="0"/>
              <w:right w:val="single" w:color="000000" w:sz="4" w:space="0"/>
            </w:tcBorders>
            <w:vAlign w:val="center"/>
          </w:tcPr>
          <w:p w14:paraId="513AFB59">
            <w:pPr>
              <w:spacing w:line="500" w:lineRule="exact"/>
              <w:jc w:val="center"/>
              <w:rPr>
                <w:rFonts w:ascii="宋体" w:hAnsi="宋体" w:eastAsia="宋体" w:cs="宋体"/>
                <w:color w:val="auto"/>
                <w:spacing w:val="6"/>
                <w:sz w:val="24"/>
                <w:szCs w:val="24"/>
                <w:highlight w:val="none"/>
              </w:rPr>
            </w:pPr>
            <w:r>
              <w:rPr>
                <w:rFonts w:ascii="宋体" w:hAnsi="宋体" w:eastAsia="宋体" w:cs="宋体"/>
                <w:color w:val="auto"/>
                <w:spacing w:val="6"/>
                <w:sz w:val="24"/>
                <w:szCs w:val="24"/>
                <w:highlight w:val="none"/>
              </w:rPr>
              <w:t>偏离</w:t>
            </w:r>
          </w:p>
        </w:tc>
        <w:tc>
          <w:tcPr>
            <w:tcW w:w="7528" w:type="dxa"/>
            <w:tcBorders>
              <w:top w:val="single" w:color="000000" w:sz="4" w:space="0"/>
              <w:left w:val="nil"/>
              <w:right w:val="single" w:color="000000" w:sz="4" w:space="0"/>
            </w:tcBorders>
            <w:vAlign w:val="center"/>
          </w:tcPr>
          <w:p w14:paraId="2F81BDB4">
            <w:pPr>
              <w:spacing w:beforeAutospacing="0" w:afterAutospacing="0" w:line="360" w:lineRule="auto"/>
              <w:jc w:val="left"/>
              <w:rPr>
                <w:rFonts w:ascii="宋体" w:hAnsi="宋体" w:eastAsia="宋体"/>
                <w:color w:val="auto"/>
                <w:kern w:val="0"/>
                <w:sz w:val="24"/>
                <w:szCs w:val="24"/>
                <w:highlight w:val="none"/>
                <w:lang w:val="en-US" w:eastAsia="zh-CN"/>
              </w:rPr>
            </w:pPr>
            <w:r>
              <w:rPr>
                <w:rFonts w:hint="eastAsia" w:ascii="宋体" w:hAnsi="宋体" w:eastAsia="宋体"/>
                <w:color w:val="auto"/>
                <w:kern w:val="0"/>
                <w:sz w:val="24"/>
                <w:szCs w:val="24"/>
                <w:highlight w:val="none"/>
              </w:rPr>
              <w:t>允许正偏离</w:t>
            </w:r>
          </w:p>
        </w:tc>
      </w:tr>
      <w:tr w14:paraId="49973069">
        <w:tblPrEx>
          <w:tblCellMar>
            <w:top w:w="0" w:type="dxa"/>
            <w:left w:w="108" w:type="dxa"/>
            <w:bottom w:w="0" w:type="dxa"/>
            <w:right w:w="108" w:type="dxa"/>
          </w:tblCellMar>
        </w:tblPrEx>
        <w:trPr>
          <w:trHeight w:val="2037" w:hRule="atLeast"/>
          <w:jc w:val="center"/>
        </w:trPr>
        <w:tc>
          <w:tcPr>
            <w:tcW w:w="754" w:type="dxa"/>
            <w:tcBorders>
              <w:top w:val="single" w:color="000000" w:sz="4" w:space="0"/>
              <w:left w:val="single" w:color="000000" w:sz="4" w:space="0"/>
              <w:bottom w:val="single" w:color="auto" w:sz="4" w:space="0"/>
              <w:right w:val="single" w:color="000000" w:sz="4" w:space="0"/>
            </w:tcBorders>
            <w:vAlign w:val="center"/>
          </w:tcPr>
          <w:p w14:paraId="2C779BA8">
            <w:pPr>
              <w:spacing w:beforeAutospacing="0" w:afterAutospacing="0" w:line="360" w:lineRule="auto"/>
              <w:jc w:val="center"/>
              <w:rPr>
                <w:rFonts w:hint="default"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18</w:t>
            </w:r>
          </w:p>
        </w:tc>
        <w:tc>
          <w:tcPr>
            <w:tcW w:w="1759" w:type="dxa"/>
            <w:tcBorders>
              <w:top w:val="single" w:color="000000" w:sz="4" w:space="0"/>
              <w:left w:val="nil"/>
              <w:bottom w:val="single" w:color="auto" w:sz="4" w:space="0"/>
              <w:right w:val="single" w:color="000000" w:sz="4" w:space="0"/>
            </w:tcBorders>
            <w:vAlign w:val="center"/>
          </w:tcPr>
          <w:p w14:paraId="05B377E6">
            <w:pPr>
              <w:spacing w:line="500" w:lineRule="exact"/>
              <w:jc w:val="center"/>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分包</w:t>
            </w:r>
          </w:p>
        </w:tc>
        <w:tc>
          <w:tcPr>
            <w:tcW w:w="7528" w:type="dxa"/>
            <w:tcBorders>
              <w:top w:val="single" w:color="000000" w:sz="4" w:space="0"/>
              <w:left w:val="nil"/>
              <w:bottom w:val="single" w:color="auto" w:sz="4" w:space="0"/>
              <w:right w:val="single" w:color="000000" w:sz="4" w:space="0"/>
            </w:tcBorders>
            <w:vAlign w:val="center"/>
          </w:tcPr>
          <w:p w14:paraId="0E023DD8">
            <w:pPr>
              <w:spacing w:beforeAutospacing="0" w:afterAutospacing="0" w:line="360" w:lineRule="auto"/>
              <w:jc w:val="left"/>
              <w:rPr>
                <w:rFonts w:ascii="宋体" w:hAnsi="宋体" w:eastAsia="宋体"/>
                <w:color w:val="auto"/>
                <w:kern w:val="0"/>
                <w:sz w:val="24"/>
                <w:szCs w:val="24"/>
                <w:highlight w:val="none"/>
              </w:rPr>
            </w:pPr>
            <w:r>
              <w:rPr>
                <w:rFonts w:hint="eastAsia" w:ascii="宋体" w:hAnsi="宋体" w:eastAsia="宋体"/>
                <w:color w:val="auto"/>
                <w:kern w:val="0"/>
                <w:sz w:val="24"/>
                <w:szCs w:val="24"/>
                <w:highlight w:val="none"/>
                <w:lang w:val="en-US" w:eastAsia="zh-CN"/>
              </w:rPr>
              <w:t xml:space="preserve">不允许违法分包 </w:t>
            </w:r>
          </w:p>
          <w:p w14:paraId="425D62E9">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lang w:val="en-US" w:eastAsia="zh-CN"/>
              </w:rPr>
              <w:t>注：分包内容要求非主体、非关键工作允许分包，供应商须严格按照国家相关法律、法规及相关规定执行，拟分包的专业工作须事先经发包人书面认可后可进行分包</w:t>
            </w:r>
          </w:p>
        </w:tc>
      </w:tr>
      <w:tr w14:paraId="78C78531">
        <w:tblPrEx>
          <w:tblCellMar>
            <w:top w:w="0" w:type="dxa"/>
            <w:left w:w="108" w:type="dxa"/>
            <w:bottom w:w="0" w:type="dxa"/>
            <w:right w:w="108" w:type="dxa"/>
          </w:tblCellMar>
        </w:tblPrEx>
        <w:trPr>
          <w:trHeight w:val="699" w:hRule="atLeast"/>
          <w:jc w:val="center"/>
        </w:trPr>
        <w:tc>
          <w:tcPr>
            <w:tcW w:w="754" w:type="dxa"/>
            <w:tcBorders>
              <w:top w:val="single" w:color="auto" w:sz="4" w:space="0"/>
              <w:left w:val="single" w:color="auto" w:sz="4" w:space="0"/>
              <w:bottom w:val="single" w:color="auto" w:sz="4" w:space="0"/>
              <w:right w:val="single" w:color="000000" w:sz="4" w:space="0"/>
            </w:tcBorders>
            <w:vAlign w:val="center"/>
          </w:tcPr>
          <w:p w14:paraId="3252C5C2">
            <w:pPr>
              <w:spacing w:beforeAutospacing="0" w:afterAutospacing="0" w:line="360" w:lineRule="auto"/>
              <w:jc w:val="center"/>
              <w:rPr>
                <w:rFonts w:hint="default"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19</w:t>
            </w:r>
          </w:p>
        </w:tc>
        <w:tc>
          <w:tcPr>
            <w:tcW w:w="1759" w:type="dxa"/>
            <w:tcBorders>
              <w:top w:val="single" w:color="auto" w:sz="4" w:space="0"/>
              <w:left w:val="nil"/>
              <w:bottom w:val="single" w:color="auto" w:sz="4" w:space="0"/>
              <w:right w:val="single" w:color="000000" w:sz="4" w:space="0"/>
            </w:tcBorders>
            <w:vAlign w:val="center"/>
          </w:tcPr>
          <w:p w14:paraId="0B908882">
            <w:pPr>
              <w:spacing w:line="500" w:lineRule="exact"/>
              <w:jc w:val="center"/>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采购标的所属行业</w:t>
            </w:r>
          </w:p>
        </w:tc>
        <w:tc>
          <w:tcPr>
            <w:tcW w:w="7528" w:type="dxa"/>
            <w:tcBorders>
              <w:top w:val="single" w:color="auto" w:sz="4" w:space="0"/>
              <w:left w:val="nil"/>
              <w:bottom w:val="single" w:color="auto" w:sz="4" w:space="0"/>
              <w:right w:val="single" w:color="auto" w:sz="4" w:space="0"/>
            </w:tcBorders>
            <w:vAlign w:val="center"/>
          </w:tcPr>
          <w:p w14:paraId="4704D2FF">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本项目为服务类采购项目</w:t>
            </w:r>
          </w:p>
          <w:p w14:paraId="72A3CE11">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采购标的所属行业:其他未列明行业</w:t>
            </w:r>
          </w:p>
          <w:p w14:paraId="797F1AE9">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划定标准为:《工业和信息化部、国家统计局、国家发展和改革委员会、财政部关于印发&lt;中小企业划型标准规定的通知&gt;(工信部联企业(2011)300号)规定的划分标准为依据。</w:t>
            </w:r>
          </w:p>
        </w:tc>
      </w:tr>
      <w:tr w14:paraId="4AFAB85F">
        <w:tblPrEx>
          <w:tblCellMar>
            <w:top w:w="0" w:type="dxa"/>
            <w:left w:w="108" w:type="dxa"/>
            <w:bottom w:w="0" w:type="dxa"/>
            <w:right w:w="108" w:type="dxa"/>
          </w:tblCellMar>
        </w:tblPrEx>
        <w:trPr>
          <w:trHeight w:val="699" w:hRule="atLeast"/>
          <w:jc w:val="center"/>
        </w:trPr>
        <w:tc>
          <w:tcPr>
            <w:tcW w:w="754" w:type="dxa"/>
            <w:tcBorders>
              <w:top w:val="single" w:color="auto" w:sz="4" w:space="0"/>
              <w:left w:val="single" w:color="000000" w:sz="4" w:space="0"/>
              <w:bottom w:val="single" w:color="000000" w:sz="4" w:space="0"/>
              <w:right w:val="single" w:color="000000" w:sz="4" w:space="0"/>
            </w:tcBorders>
            <w:vAlign w:val="center"/>
          </w:tcPr>
          <w:p w14:paraId="09125B10">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20</w:t>
            </w:r>
          </w:p>
        </w:tc>
        <w:tc>
          <w:tcPr>
            <w:tcW w:w="1759" w:type="dxa"/>
            <w:tcBorders>
              <w:top w:val="single" w:color="auto" w:sz="4" w:space="0"/>
              <w:left w:val="nil"/>
              <w:bottom w:val="single" w:color="000000" w:sz="4" w:space="0"/>
              <w:right w:val="single" w:color="000000" w:sz="4" w:space="0"/>
            </w:tcBorders>
            <w:vAlign w:val="center"/>
          </w:tcPr>
          <w:p w14:paraId="06446511">
            <w:pPr>
              <w:widowControl w:val="0"/>
              <w:adjustRightInd w:val="0"/>
              <w:spacing w:line="500" w:lineRule="exact"/>
              <w:jc w:val="center"/>
              <w:rPr>
                <w:rFonts w:ascii="宋体" w:hAnsi="宋体" w:eastAsia="宋体"/>
                <w:color w:val="auto"/>
                <w:kern w:val="0"/>
                <w:sz w:val="24"/>
                <w:szCs w:val="24"/>
                <w:highlight w:val="none"/>
              </w:rPr>
            </w:pPr>
            <w:r>
              <w:rPr>
                <w:rFonts w:hint="eastAsia" w:ascii="宋体" w:hAnsi="宋体" w:cs="宋体"/>
                <w:color w:val="auto"/>
                <w:spacing w:val="6"/>
                <w:sz w:val="24"/>
                <w:szCs w:val="24"/>
                <w:highlight w:val="none"/>
              </w:rPr>
              <w:t>履约保证金</w:t>
            </w:r>
          </w:p>
        </w:tc>
        <w:tc>
          <w:tcPr>
            <w:tcW w:w="7528" w:type="dxa"/>
            <w:tcBorders>
              <w:top w:val="single" w:color="auto" w:sz="4" w:space="0"/>
              <w:left w:val="nil"/>
              <w:right w:val="single" w:color="000000" w:sz="4" w:space="0"/>
            </w:tcBorders>
            <w:vAlign w:val="center"/>
          </w:tcPr>
          <w:p w14:paraId="3B4B10A3">
            <w:pPr>
              <w:widowControl w:val="0"/>
              <w:snapToGrid w:val="0"/>
              <w:spacing w:line="500" w:lineRule="exact"/>
              <w:jc w:val="both"/>
              <w:rPr>
                <w:rFonts w:ascii="宋体" w:hAnsi="宋体" w:eastAsia="宋体"/>
                <w:color w:val="auto"/>
                <w:sz w:val="24"/>
                <w:szCs w:val="24"/>
                <w:highlight w:val="none"/>
                <w:lang w:val="en-US" w:eastAsia="zh-CN"/>
              </w:rPr>
            </w:pPr>
            <w:r>
              <w:rPr>
                <w:rFonts w:hint="eastAsia" w:ascii="宋体" w:hAnsi="宋体" w:cs="宋体"/>
                <w:color w:val="auto"/>
                <w:sz w:val="24"/>
                <w:highlight w:val="none"/>
              </w:rPr>
              <w:t>无</w:t>
            </w:r>
          </w:p>
        </w:tc>
      </w:tr>
      <w:tr w14:paraId="4975DBD4">
        <w:tblPrEx>
          <w:tblCellMar>
            <w:top w:w="0" w:type="dxa"/>
            <w:left w:w="108" w:type="dxa"/>
            <w:bottom w:w="0" w:type="dxa"/>
            <w:right w:w="108" w:type="dxa"/>
          </w:tblCellMar>
        </w:tblPrEx>
        <w:trPr>
          <w:trHeight w:val="699"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03D79B54">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21</w:t>
            </w:r>
          </w:p>
        </w:tc>
        <w:tc>
          <w:tcPr>
            <w:tcW w:w="1759" w:type="dxa"/>
            <w:tcBorders>
              <w:top w:val="single" w:color="000000" w:sz="4" w:space="0"/>
              <w:left w:val="nil"/>
              <w:bottom w:val="single" w:color="000000" w:sz="4" w:space="0"/>
              <w:right w:val="single" w:color="000000" w:sz="4" w:space="0"/>
            </w:tcBorders>
            <w:vAlign w:val="center"/>
          </w:tcPr>
          <w:p w14:paraId="6ED5B635">
            <w:pPr>
              <w:jc w:val="center"/>
              <w:rPr>
                <w:rFonts w:ascii="宋体" w:hAnsi="宋体" w:eastAsia="宋体"/>
                <w:color w:val="auto"/>
                <w:kern w:val="0"/>
                <w:sz w:val="24"/>
                <w:szCs w:val="24"/>
                <w:highlight w:val="none"/>
              </w:rPr>
            </w:pPr>
            <w:r>
              <w:rPr>
                <w:rFonts w:hint="eastAsia" w:ascii="宋体" w:hAnsi="宋体" w:cs="宋体"/>
                <w:color w:val="auto"/>
                <w:sz w:val="24"/>
                <w:szCs w:val="24"/>
                <w:highlight w:val="none"/>
              </w:rPr>
              <w:t>重新招标的其他情形</w:t>
            </w:r>
          </w:p>
        </w:tc>
        <w:tc>
          <w:tcPr>
            <w:tcW w:w="7528" w:type="dxa"/>
            <w:tcBorders>
              <w:top w:val="single" w:color="000000" w:sz="4" w:space="0"/>
              <w:left w:val="nil"/>
              <w:right w:val="single" w:color="000000" w:sz="4" w:space="0"/>
            </w:tcBorders>
            <w:vAlign w:val="center"/>
          </w:tcPr>
          <w:p w14:paraId="498F6675">
            <w:pPr>
              <w:spacing w:line="360" w:lineRule="auto"/>
              <w:rPr>
                <w:rFonts w:ascii="宋体" w:hAnsi="宋体" w:eastAsia="宋体"/>
                <w:color w:val="auto"/>
                <w:sz w:val="24"/>
                <w:szCs w:val="24"/>
                <w:highlight w:val="none"/>
                <w:lang w:val="en-US" w:eastAsia="zh-CN"/>
              </w:rPr>
            </w:pPr>
            <w:r>
              <w:rPr>
                <w:rFonts w:hint="eastAsia" w:ascii="宋体" w:hAnsi="宋体" w:cs="宋体"/>
                <w:color w:val="auto"/>
                <w:sz w:val="24"/>
                <w:szCs w:val="24"/>
                <w:highlight w:val="none"/>
              </w:rPr>
              <w:t>除投标人须知正文规定的情形外，除非已经产生中标候选人，在投标有效期内同意延长投标有效期的投标人少于三个的，招标人应当依法重新招标。</w:t>
            </w:r>
          </w:p>
        </w:tc>
      </w:tr>
      <w:tr w14:paraId="61F4E5F5">
        <w:tblPrEx>
          <w:tblCellMar>
            <w:top w:w="0" w:type="dxa"/>
            <w:left w:w="108" w:type="dxa"/>
            <w:bottom w:w="0" w:type="dxa"/>
            <w:right w:w="108" w:type="dxa"/>
          </w:tblCellMar>
        </w:tblPrEx>
        <w:trPr>
          <w:trHeight w:val="699"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EF71A4B">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22</w:t>
            </w:r>
          </w:p>
        </w:tc>
        <w:tc>
          <w:tcPr>
            <w:tcW w:w="1759" w:type="dxa"/>
            <w:tcBorders>
              <w:top w:val="single" w:color="000000" w:sz="4" w:space="0"/>
              <w:left w:val="nil"/>
              <w:bottom w:val="single" w:color="000000" w:sz="4" w:space="0"/>
              <w:right w:val="single" w:color="000000" w:sz="4" w:space="0"/>
            </w:tcBorders>
            <w:vAlign w:val="center"/>
          </w:tcPr>
          <w:p w14:paraId="4C95E61B">
            <w:pPr>
              <w:widowControl w:val="0"/>
              <w:adjustRightInd w:val="0"/>
              <w:spacing w:line="500" w:lineRule="exact"/>
              <w:jc w:val="center"/>
              <w:rPr>
                <w:rFonts w:ascii="宋体" w:hAnsi="宋体" w:eastAsia="宋体"/>
                <w:color w:val="auto"/>
                <w:kern w:val="0"/>
                <w:sz w:val="24"/>
                <w:szCs w:val="24"/>
                <w:highlight w:val="none"/>
              </w:rPr>
            </w:pPr>
            <w:r>
              <w:rPr>
                <w:rFonts w:hint="eastAsia" w:ascii="宋体" w:hAnsi="宋体" w:cs="宋体"/>
                <w:color w:val="auto"/>
                <w:spacing w:val="6"/>
                <w:sz w:val="24"/>
                <w:szCs w:val="24"/>
                <w:highlight w:val="none"/>
              </w:rPr>
              <w:t>代理费收取</w:t>
            </w:r>
          </w:p>
        </w:tc>
        <w:tc>
          <w:tcPr>
            <w:tcW w:w="7528" w:type="dxa"/>
            <w:tcBorders>
              <w:top w:val="single" w:color="000000" w:sz="4" w:space="0"/>
              <w:left w:val="nil"/>
              <w:right w:val="single" w:color="000000" w:sz="4" w:space="0"/>
            </w:tcBorders>
            <w:vAlign w:val="center"/>
          </w:tcPr>
          <w:p w14:paraId="2287CD2E">
            <w:pPr>
              <w:spacing w:line="360" w:lineRule="auto"/>
              <w:rPr>
                <w:rFonts w:hint="eastAsia" w:ascii="宋体" w:hAnsi="宋体" w:eastAsia="宋体" w:cs="宋体"/>
                <w:color w:val="auto"/>
                <w:sz w:val="24"/>
                <w:szCs w:val="24"/>
                <w:highlight w:val="none"/>
              </w:rPr>
            </w:pPr>
            <w:r>
              <w:rPr>
                <w:rFonts w:hint="eastAsia" w:ascii="宋体" w:hAnsi="宋体"/>
                <w:color w:val="auto"/>
                <w:sz w:val="24"/>
                <w:szCs w:val="24"/>
                <w:highlight w:val="none"/>
              </w:rPr>
              <w:t>招标代理服务收费参照豫招协[2023]002号河南省招标投标协会关于印发《河南省招标代理服务收费指导意见》规定的收费标准收取中标服务费。由中标人领取中标通知书时支付。</w:t>
            </w:r>
            <w:r>
              <w:rPr>
                <w:rFonts w:hint="eastAsia"/>
                <w:color w:val="auto"/>
                <w:sz w:val="24"/>
                <w:highlight w:val="none"/>
              </w:rPr>
              <w:t>本项目为政府采购</w:t>
            </w:r>
            <w:r>
              <w:rPr>
                <w:rFonts w:hint="eastAsia"/>
                <w:color w:val="auto"/>
                <w:sz w:val="24"/>
                <w:highlight w:val="none"/>
                <w:lang w:eastAsia="zh-CN"/>
              </w:rPr>
              <w:t>服务</w:t>
            </w:r>
            <w:r>
              <w:rPr>
                <w:rFonts w:hint="eastAsia" w:ascii="宋体" w:hAnsi="宋体" w:eastAsia="宋体" w:cs="宋体"/>
                <w:color w:val="auto"/>
                <w:sz w:val="24"/>
                <w:szCs w:val="24"/>
                <w:highlight w:val="none"/>
              </w:rPr>
              <w:t>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收费标准</w:t>
            </w:r>
            <w:r>
              <w:rPr>
                <w:rFonts w:hint="eastAsia" w:ascii="宋体" w:hAnsi="宋体" w:eastAsia="宋体" w:cs="宋体"/>
                <w:color w:val="auto"/>
                <w:sz w:val="24"/>
                <w:szCs w:val="24"/>
                <w:highlight w:val="none"/>
                <w:lang w:val="en-US" w:eastAsia="zh-CN"/>
              </w:rPr>
              <w:t>计算方式详见第二章供应商须知第33条</w:t>
            </w:r>
            <w:r>
              <w:rPr>
                <w:rFonts w:hint="eastAsia" w:ascii="宋体" w:hAnsi="宋体" w:eastAsia="宋体" w:cs="宋体"/>
                <w:color w:val="auto"/>
                <w:sz w:val="24"/>
                <w:szCs w:val="24"/>
                <w:highlight w:val="none"/>
              </w:rPr>
              <w:t>。</w:t>
            </w:r>
          </w:p>
          <w:p w14:paraId="46788906">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收取方式：转账</w:t>
            </w:r>
          </w:p>
          <w:p w14:paraId="7B64BAFF">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账户名称：河南高誉工程咨询有限公司</w:t>
            </w:r>
          </w:p>
          <w:p w14:paraId="422EB30E">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账    号：41050169610800000925</w:t>
            </w:r>
          </w:p>
          <w:p w14:paraId="49C78B8C">
            <w:pPr>
              <w:spacing w:line="360" w:lineRule="auto"/>
              <w:rPr>
                <w:color w:val="auto"/>
                <w:highlight w:val="none"/>
                <w:lang w:val="en-US" w:eastAsia="zh-CN"/>
              </w:rPr>
            </w:pPr>
            <w:r>
              <w:rPr>
                <w:rFonts w:hint="eastAsia" w:ascii="宋体" w:hAnsi="宋体" w:eastAsia="宋体" w:cs="宋体"/>
                <w:color w:val="auto"/>
                <w:sz w:val="24"/>
                <w:szCs w:val="24"/>
                <w:highlight w:val="none"/>
                <w:lang w:val="en-US" w:eastAsia="zh-CN"/>
              </w:rPr>
              <w:t>开户银行：中国建设银行股份有限公司三门峡崤山路支行</w:t>
            </w:r>
          </w:p>
        </w:tc>
      </w:tr>
      <w:tr w14:paraId="5EC284C7">
        <w:tblPrEx>
          <w:tblCellMar>
            <w:top w:w="0" w:type="dxa"/>
            <w:left w:w="108" w:type="dxa"/>
            <w:bottom w:w="0" w:type="dxa"/>
            <w:right w:w="108" w:type="dxa"/>
          </w:tblCellMar>
        </w:tblPrEx>
        <w:trPr>
          <w:trHeight w:val="66"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04F0633E">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23</w:t>
            </w:r>
          </w:p>
        </w:tc>
        <w:tc>
          <w:tcPr>
            <w:tcW w:w="1759" w:type="dxa"/>
            <w:tcBorders>
              <w:top w:val="single" w:color="000000" w:sz="4" w:space="0"/>
              <w:left w:val="nil"/>
              <w:bottom w:val="single" w:color="000000" w:sz="4" w:space="0"/>
              <w:right w:val="single" w:color="000000" w:sz="4" w:space="0"/>
            </w:tcBorders>
            <w:vAlign w:val="center"/>
          </w:tcPr>
          <w:p w14:paraId="1FC96376">
            <w:pPr>
              <w:spacing w:beforeAutospacing="0" w:afterAutospacing="0" w:line="360" w:lineRule="auto"/>
              <w:jc w:val="center"/>
              <w:rPr>
                <w:rFonts w:hint="eastAsia" w:ascii="宋体" w:hAnsi="宋体" w:eastAsia="宋体"/>
                <w:color w:val="auto"/>
                <w:kern w:val="0"/>
                <w:sz w:val="24"/>
                <w:szCs w:val="24"/>
                <w:highlight w:val="none"/>
                <w:lang w:val="en-US" w:eastAsia="zh-CN"/>
              </w:rPr>
            </w:pPr>
            <w:r>
              <w:rPr>
                <w:rFonts w:hint="eastAsia" w:ascii="宋体" w:hAnsi="宋体" w:eastAsia="宋体"/>
                <w:color w:val="auto"/>
                <w:kern w:val="0"/>
                <w:sz w:val="24"/>
                <w:szCs w:val="24"/>
                <w:highlight w:val="none"/>
                <w:lang w:val="en-US" w:eastAsia="zh-CN"/>
              </w:rPr>
              <w:t>近年完成的类似项目的业绩年份要求</w:t>
            </w:r>
          </w:p>
        </w:tc>
        <w:tc>
          <w:tcPr>
            <w:tcW w:w="7528" w:type="dxa"/>
            <w:tcBorders>
              <w:top w:val="single" w:color="000000" w:sz="4" w:space="0"/>
              <w:left w:val="nil"/>
              <w:bottom w:val="single" w:color="000000" w:sz="4" w:space="0"/>
              <w:right w:val="single" w:color="000000" w:sz="4" w:space="0"/>
            </w:tcBorders>
            <w:vAlign w:val="center"/>
          </w:tcPr>
          <w:p w14:paraId="1FF42E78">
            <w:pPr>
              <w:spacing w:beforeAutospacing="0" w:afterAutospacing="0" w:line="360" w:lineRule="auto"/>
              <w:jc w:val="both"/>
              <w:rPr>
                <w:rFonts w:hint="eastAsia" w:ascii="宋体" w:hAnsi="宋体" w:eastAsia="宋体"/>
                <w:color w:val="auto"/>
                <w:kern w:val="0"/>
                <w:sz w:val="24"/>
                <w:szCs w:val="24"/>
                <w:highlight w:val="none"/>
                <w:lang w:val="en-US" w:eastAsia="zh-CN"/>
              </w:rPr>
            </w:pPr>
            <w:r>
              <w:rPr>
                <w:rFonts w:hint="eastAsia" w:ascii="宋体" w:hAnsi="宋体" w:eastAsia="宋体"/>
                <w:color w:val="auto"/>
                <w:kern w:val="0"/>
                <w:sz w:val="24"/>
                <w:szCs w:val="24"/>
                <w:highlight w:val="none"/>
                <w:lang w:val="en-US" w:eastAsia="zh-CN"/>
              </w:rPr>
              <w:t>202</w:t>
            </w:r>
            <w:r>
              <w:rPr>
                <w:rFonts w:hint="eastAsia" w:ascii="宋体" w:hAnsi="宋体"/>
                <w:color w:val="auto"/>
                <w:kern w:val="0"/>
                <w:sz w:val="24"/>
                <w:szCs w:val="24"/>
                <w:highlight w:val="none"/>
                <w:lang w:val="en-US" w:eastAsia="zh-CN"/>
              </w:rPr>
              <w:t>2</w:t>
            </w:r>
            <w:r>
              <w:rPr>
                <w:rFonts w:hint="eastAsia" w:ascii="宋体" w:hAnsi="宋体" w:eastAsia="宋体"/>
                <w:color w:val="auto"/>
                <w:kern w:val="0"/>
                <w:sz w:val="24"/>
                <w:szCs w:val="24"/>
                <w:highlight w:val="none"/>
                <w:lang w:val="en-US" w:eastAsia="zh-CN"/>
              </w:rPr>
              <w:t>年1月1日以来</w:t>
            </w:r>
          </w:p>
        </w:tc>
      </w:tr>
      <w:tr w14:paraId="18B86D3B">
        <w:tblPrEx>
          <w:tblCellMar>
            <w:top w:w="0" w:type="dxa"/>
            <w:left w:w="108" w:type="dxa"/>
            <w:bottom w:w="0" w:type="dxa"/>
            <w:right w:w="108" w:type="dxa"/>
          </w:tblCellMar>
        </w:tblPrEx>
        <w:trPr>
          <w:trHeight w:val="90"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1DB6A34F">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24</w:t>
            </w:r>
          </w:p>
        </w:tc>
        <w:tc>
          <w:tcPr>
            <w:tcW w:w="1759" w:type="dxa"/>
            <w:tcBorders>
              <w:top w:val="single" w:color="000000" w:sz="4" w:space="0"/>
              <w:left w:val="nil"/>
              <w:bottom w:val="single" w:color="000000" w:sz="4" w:space="0"/>
              <w:right w:val="single" w:color="000000" w:sz="4" w:space="0"/>
            </w:tcBorders>
            <w:vAlign w:val="center"/>
          </w:tcPr>
          <w:p w14:paraId="0E9228D7">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预算资金</w:t>
            </w:r>
          </w:p>
        </w:tc>
        <w:tc>
          <w:tcPr>
            <w:tcW w:w="7528" w:type="dxa"/>
            <w:tcBorders>
              <w:top w:val="single" w:color="000000" w:sz="4" w:space="0"/>
              <w:left w:val="nil"/>
              <w:bottom w:val="single" w:color="000000" w:sz="4" w:space="0"/>
              <w:right w:val="single" w:color="000000" w:sz="4" w:space="0"/>
            </w:tcBorders>
            <w:vAlign w:val="center"/>
          </w:tcPr>
          <w:p w14:paraId="45AC476E">
            <w:pPr>
              <w:spacing w:beforeAutospacing="0" w:afterAutospacing="0" w:line="360" w:lineRule="auto"/>
              <w:jc w:val="left"/>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项目总预算：</w:t>
            </w:r>
            <w:r>
              <w:rPr>
                <w:rFonts w:hint="eastAsia" w:ascii="宋体" w:hAnsi="宋体"/>
                <w:color w:val="auto"/>
                <w:sz w:val="24"/>
                <w:szCs w:val="24"/>
                <w:highlight w:val="none"/>
                <w:lang w:val="en-US" w:eastAsia="zh-CN"/>
              </w:rPr>
              <w:t>983654.00</w:t>
            </w:r>
            <w:r>
              <w:rPr>
                <w:rFonts w:hint="eastAsia" w:ascii="宋体" w:hAnsi="宋体" w:eastAsia="宋体"/>
                <w:color w:val="auto"/>
                <w:sz w:val="24"/>
                <w:szCs w:val="24"/>
                <w:highlight w:val="none"/>
              </w:rPr>
              <w:t>元</w:t>
            </w:r>
          </w:p>
          <w:p w14:paraId="45BA09D1">
            <w:pPr>
              <w:spacing w:beforeAutospacing="0" w:afterAutospacing="0" w:line="360" w:lineRule="auto"/>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注：</w:t>
            </w:r>
            <w:r>
              <w:rPr>
                <w:rFonts w:hint="eastAsia" w:ascii="宋体" w:hAnsi="宋体"/>
                <w:color w:val="auto"/>
                <w:sz w:val="24"/>
                <w:highlight w:val="none"/>
              </w:rPr>
              <w:t>供应商的磋商</w:t>
            </w:r>
            <w:r>
              <w:rPr>
                <w:rFonts w:hint="eastAsia" w:ascii="宋体" w:hAnsi="宋体"/>
                <w:color w:val="auto"/>
                <w:sz w:val="24"/>
                <w:highlight w:val="none"/>
                <w:lang w:val="en-US" w:eastAsia="zh-CN"/>
              </w:rPr>
              <w:t>报</w:t>
            </w:r>
            <w:r>
              <w:rPr>
                <w:rFonts w:hint="eastAsia" w:ascii="宋体" w:hAnsi="宋体"/>
                <w:color w:val="auto"/>
                <w:sz w:val="24"/>
                <w:highlight w:val="none"/>
              </w:rPr>
              <w:t>价大于或等于采购预算价的磋商报价为无效报价</w:t>
            </w:r>
          </w:p>
        </w:tc>
      </w:tr>
      <w:tr w14:paraId="26E53635">
        <w:tblPrEx>
          <w:tblCellMar>
            <w:top w:w="0" w:type="dxa"/>
            <w:left w:w="108" w:type="dxa"/>
            <w:bottom w:w="0" w:type="dxa"/>
            <w:right w:w="108" w:type="dxa"/>
          </w:tblCellMar>
        </w:tblPrEx>
        <w:trPr>
          <w:trHeight w:val="434"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31606A46">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25</w:t>
            </w:r>
          </w:p>
        </w:tc>
        <w:tc>
          <w:tcPr>
            <w:tcW w:w="1759" w:type="dxa"/>
            <w:tcBorders>
              <w:top w:val="single" w:color="000000" w:sz="4" w:space="0"/>
              <w:left w:val="nil"/>
              <w:bottom w:val="single" w:color="000000" w:sz="4" w:space="0"/>
              <w:right w:val="single" w:color="000000" w:sz="4" w:space="0"/>
            </w:tcBorders>
            <w:vAlign w:val="center"/>
          </w:tcPr>
          <w:p w14:paraId="203F860E">
            <w:pPr>
              <w:spacing w:beforeAutospacing="0" w:afterAutospacing="0" w:line="360" w:lineRule="auto"/>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是否授权</w:t>
            </w:r>
            <w:r>
              <w:rPr>
                <w:rFonts w:hint="eastAsia" w:ascii="宋体" w:hAnsi="宋体"/>
                <w:color w:val="auto"/>
                <w:kern w:val="0"/>
                <w:sz w:val="24"/>
                <w:szCs w:val="24"/>
                <w:highlight w:val="none"/>
                <w:lang w:eastAsia="zh-CN"/>
              </w:rPr>
              <w:t>磋商小组</w:t>
            </w:r>
            <w:r>
              <w:rPr>
                <w:rFonts w:hint="eastAsia" w:ascii="宋体" w:hAnsi="宋体" w:eastAsia="宋体"/>
                <w:color w:val="auto"/>
                <w:kern w:val="0"/>
                <w:sz w:val="24"/>
                <w:szCs w:val="24"/>
                <w:highlight w:val="none"/>
              </w:rPr>
              <w:t>确定成交单位</w:t>
            </w:r>
          </w:p>
        </w:tc>
        <w:tc>
          <w:tcPr>
            <w:tcW w:w="7528" w:type="dxa"/>
            <w:tcBorders>
              <w:top w:val="single" w:color="000000" w:sz="4" w:space="0"/>
              <w:left w:val="nil"/>
              <w:bottom w:val="single" w:color="000000" w:sz="4" w:space="0"/>
              <w:right w:val="single" w:color="000000" w:sz="4" w:space="0"/>
            </w:tcBorders>
            <w:vAlign w:val="center"/>
          </w:tcPr>
          <w:p w14:paraId="38781DCF">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否。推荐3名成交候选人</w:t>
            </w:r>
          </w:p>
        </w:tc>
      </w:tr>
      <w:tr w14:paraId="6D8A9CA8">
        <w:tblPrEx>
          <w:tblCellMar>
            <w:top w:w="0" w:type="dxa"/>
            <w:left w:w="108" w:type="dxa"/>
            <w:bottom w:w="0" w:type="dxa"/>
            <w:right w:w="108" w:type="dxa"/>
          </w:tblCellMar>
        </w:tblPrEx>
        <w:trPr>
          <w:trHeight w:val="690"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153FE1BC">
            <w:pPr>
              <w:spacing w:beforeAutospacing="0" w:afterAutospacing="0" w:line="360" w:lineRule="auto"/>
              <w:jc w:val="center"/>
              <w:rPr>
                <w:rFonts w:hint="default" w:ascii="宋体" w:hAnsi="宋体" w:eastAsia="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26</w:t>
            </w:r>
          </w:p>
        </w:tc>
        <w:tc>
          <w:tcPr>
            <w:tcW w:w="1759" w:type="dxa"/>
            <w:tcBorders>
              <w:top w:val="single" w:color="000000" w:sz="4" w:space="0"/>
              <w:left w:val="nil"/>
              <w:bottom w:val="single" w:color="000000" w:sz="4" w:space="0"/>
              <w:right w:val="single" w:color="000000" w:sz="4" w:space="0"/>
            </w:tcBorders>
            <w:vAlign w:val="center"/>
          </w:tcPr>
          <w:p w14:paraId="3DA93992">
            <w:pPr>
              <w:spacing w:beforeAutospacing="0" w:afterAutospacing="0" w:line="360" w:lineRule="auto"/>
              <w:jc w:val="center"/>
              <w:rPr>
                <w:rFonts w:ascii="宋体" w:hAnsi="宋体" w:eastAsia="宋体"/>
                <w:color w:val="auto"/>
                <w:kern w:val="0"/>
                <w:sz w:val="24"/>
                <w:szCs w:val="24"/>
                <w:highlight w:val="none"/>
              </w:rPr>
            </w:pPr>
            <w:r>
              <w:rPr>
                <w:rFonts w:ascii="宋体" w:hAnsi="宋体" w:eastAsia="宋体"/>
                <w:color w:val="auto"/>
                <w:kern w:val="0"/>
                <w:sz w:val="24"/>
                <w:szCs w:val="24"/>
                <w:highlight w:val="none"/>
              </w:rPr>
              <w:t>成交结果公示媒介</w:t>
            </w:r>
          </w:p>
        </w:tc>
        <w:tc>
          <w:tcPr>
            <w:tcW w:w="7528" w:type="dxa"/>
            <w:tcBorders>
              <w:top w:val="single" w:color="000000" w:sz="4" w:space="0"/>
              <w:left w:val="nil"/>
              <w:bottom w:val="single" w:color="000000" w:sz="4" w:space="0"/>
              <w:right w:val="single" w:color="000000" w:sz="4" w:space="0"/>
            </w:tcBorders>
            <w:vAlign w:val="center"/>
          </w:tcPr>
          <w:p w14:paraId="0AF532A5">
            <w:pPr>
              <w:spacing w:beforeAutospacing="0" w:afterAutospacing="0" w:line="360" w:lineRule="auto"/>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《河南省政府采购网》、《三门峡市公共资源交易平台》、</w:t>
            </w:r>
            <w:r>
              <w:rPr>
                <w:rFonts w:hint="eastAsia" w:ascii="宋体" w:hAnsi="宋体" w:cs="宋体"/>
                <w:bCs/>
                <w:color w:val="auto"/>
                <w:szCs w:val="21"/>
                <w:highlight w:val="none"/>
              </w:rPr>
              <w:t>《</w:t>
            </w:r>
            <w:r>
              <w:rPr>
                <w:rFonts w:hint="eastAsia" w:ascii="宋体" w:hAnsi="宋体"/>
                <w:color w:val="auto"/>
                <w:sz w:val="24"/>
                <w:szCs w:val="24"/>
                <w:highlight w:val="none"/>
                <w:lang w:eastAsia="zh-CN"/>
              </w:rPr>
              <w:t>中国采购与招标网》</w:t>
            </w:r>
          </w:p>
        </w:tc>
      </w:tr>
      <w:tr w14:paraId="474B66B8">
        <w:tblPrEx>
          <w:tblCellMar>
            <w:top w:w="0" w:type="dxa"/>
            <w:left w:w="108" w:type="dxa"/>
            <w:bottom w:w="0" w:type="dxa"/>
            <w:right w:w="108" w:type="dxa"/>
          </w:tblCellMar>
        </w:tblPrEx>
        <w:trPr>
          <w:trHeight w:val="1470" w:hRule="atLeast"/>
          <w:jc w:val="center"/>
        </w:trPr>
        <w:tc>
          <w:tcPr>
            <w:tcW w:w="754" w:type="dxa"/>
            <w:tcBorders>
              <w:top w:val="single" w:color="000000" w:sz="4" w:space="0"/>
              <w:left w:val="single" w:color="000000" w:sz="4" w:space="0"/>
              <w:bottom w:val="single" w:color="000000" w:sz="4" w:space="0"/>
              <w:right w:val="single" w:color="000000" w:sz="4" w:space="0"/>
            </w:tcBorders>
            <w:vAlign w:val="center"/>
          </w:tcPr>
          <w:p w14:paraId="25DA9933">
            <w:pPr>
              <w:spacing w:beforeAutospacing="0" w:afterAutospacing="0" w:line="360" w:lineRule="auto"/>
              <w:jc w:val="center"/>
              <w:rPr>
                <w:rFonts w:hint="default"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27</w:t>
            </w:r>
          </w:p>
        </w:tc>
        <w:tc>
          <w:tcPr>
            <w:tcW w:w="1759" w:type="dxa"/>
            <w:tcBorders>
              <w:top w:val="single" w:color="000000" w:sz="4" w:space="0"/>
              <w:left w:val="nil"/>
              <w:bottom w:val="single" w:color="000000" w:sz="4" w:space="0"/>
              <w:right w:val="single" w:color="000000" w:sz="4" w:space="0"/>
            </w:tcBorders>
            <w:vAlign w:val="center"/>
          </w:tcPr>
          <w:p w14:paraId="5776B2F0">
            <w:pPr>
              <w:spacing w:beforeAutospacing="0" w:afterAutospacing="0" w:line="360" w:lineRule="auto"/>
              <w:jc w:val="center"/>
              <w:rPr>
                <w:rFonts w:ascii="宋体" w:hAnsi="宋体" w:eastAsia="宋体"/>
                <w:b/>
                <w:color w:val="auto"/>
                <w:kern w:val="0"/>
                <w:sz w:val="24"/>
                <w:szCs w:val="24"/>
                <w:highlight w:val="none"/>
              </w:rPr>
            </w:pPr>
            <w:r>
              <w:rPr>
                <w:rFonts w:ascii="宋体" w:hAnsi="宋体" w:eastAsia="宋体"/>
                <w:b/>
                <w:color w:val="auto"/>
                <w:kern w:val="0"/>
                <w:sz w:val="24"/>
                <w:szCs w:val="24"/>
                <w:highlight w:val="none"/>
              </w:rPr>
              <w:t>电子化注意事项</w:t>
            </w:r>
          </w:p>
        </w:tc>
        <w:tc>
          <w:tcPr>
            <w:tcW w:w="7528" w:type="dxa"/>
            <w:tcBorders>
              <w:top w:val="single" w:color="000000" w:sz="4" w:space="0"/>
              <w:left w:val="nil"/>
              <w:bottom w:val="single" w:color="000000" w:sz="4" w:space="0"/>
              <w:right w:val="single" w:color="000000" w:sz="4" w:space="0"/>
            </w:tcBorders>
            <w:vAlign w:val="center"/>
          </w:tcPr>
          <w:p w14:paraId="2C42D262">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本项目为电子化交易项目，响应性文件是供应商、供应商（以下简称“供应商”）通过中心响应性文件制作系统制作，并经过电子签章和加密后生成的电子版响应性文件。供应商投标时，不须提交纸质文件资料。</w:t>
            </w:r>
          </w:p>
          <w:p w14:paraId="1BB2AED5">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电子化响应性文件具体制作教材请供应商通过CA证书登录三门峡市公共资源电子化交易系统在 “交易智库”中下载操作流程</w:t>
            </w:r>
          </w:p>
          <w:p w14:paraId="7C369F6C">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温馨提示：本项目为电子化、无纸化交易项目，供应商时不接受任何纸质资料，为保证您能投标成功，请需仔细阅读以下条款。</w:t>
            </w:r>
          </w:p>
          <w:p w14:paraId="79F1E8B3">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一、电子化投标</w:t>
            </w:r>
          </w:p>
          <w:p w14:paraId="1782C0FD">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（一）电子化响应性文件的签章</w:t>
            </w:r>
          </w:p>
          <w:p w14:paraId="0D13BE09">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1、供应商在生成电子化响应性文件后，应对电子化响应性文件进行签章，未进行签章的视为无效投标。</w:t>
            </w:r>
          </w:p>
          <w:p w14:paraId="48C0FEBE">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2、响应性文件中要求法定代表人或授权委托人签字或盖章的，供应商在进行电子化响应性文件签章时，以签盖法定代表人签章为准。电子化响应性文件具体制作教材请供应商通过CA证书登录三门峡市公共资源电子化交易系统在右上角“交易智库”中查看。电子化响应性文件工具请点击http://t.cn/A6ZvtVob进行下载。</w:t>
            </w:r>
          </w:p>
          <w:p w14:paraId="128368DD">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（二）电子化响应性文件的格式及上传投标</w:t>
            </w:r>
          </w:p>
          <w:p w14:paraId="0B69F7FA">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1、供应商所上传的电子化响应性文件，应是通过中心响应性文件制作系统制作的（响应性文件制作工具下载地址：http://t.cn/A6ZvtVob），经过签章和加密后生成的电子版响应性文件。其中包含用于响应性文件上传的主文件（后缀为.smxtf）和用于应急补救的响应性文件备份文件（后缀为.nsmxtf）。备份文件主要用于电子化开标出现技术问题后的补救，请供应商随身携带。</w:t>
            </w:r>
          </w:p>
          <w:p w14:paraId="221ED481">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注：供应商投报多个标段的，需要每个标段单独制作电子响应性文件。</w:t>
            </w:r>
          </w:p>
          <w:p w14:paraId="7468FA38">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2、电子化响应性文件应在投标截止时间前成功上传至三门峡市公共资源电子化交易系统。至投标截止时间止，仍未上传成功的电子化响应性文件将不予接收。</w:t>
            </w:r>
          </w:p>
          <w:p w14:paraId="0EE397DD">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注：如按照电子化投标操作教材制作完成的电子化响应性文件无法上传的，供应商应在投标截止时间前尽早的联系中心技术人员，以便有充分的时间进行处理。供应商应充分考虑到处理技术问题和上传数据等工作所需的时间问题，响应性文件未在投标截止时间前成功上传的，其响应性文件不予接收。</w:t>
            </w:r>
          </w:p>
          <w:p w14:paraId="47067FC9">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技术联系电话：400-998-0000</w:t>
            </w:r>
          </w:p>
          <w:p w14:paraId="264E29A5">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主体库咨询电话:0398-3117815</w:t>
            </w:r>
          </w:p>
          <w:p w14:paraId="15CB19B9">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CA证书制发:0398-2181635</w:t>
            </w:r>
          </w:p>
          <w:p w14:paraId="7FB3C1A0">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科技信息科:0398-3117095</w:t>
            </w:r>
          </w:p>
          <w:p w14:paraId="190CFFF9">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（三）电子化项目开标、解密、唱标、评标</w:t>
            </w:r>
          </w:p>
          <w:p w14:paraId="5E987201">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1、本项目采用电子化、无纸化进行招标，开标当日，供应商无需到开标现场参加开标会议，供应商应当在投标截止时间前，登陆不见面开标大厅选择登陆三门峡市公共资源电子招投标系统进行登陆（网址为http://t.cn/A6huPROa）,在线准时参加开标活动并进行响应性文件解密等。</w:t>
            </w:r>
          </w:p>
          <w:p w14:paraId="34D1971D">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2、电子化响应性文件采用一次加密方式。开标时，由供应商使用CA 证书，在规定时间内对其电子化响应性文件进行解密。每位供应商的解密时间为开标时间起30 分钟内，如在规定时间内未完成解密的，其响应性文件不予开标、唱标。</w:t>
            </w:r>
          </w:p>
          <w:p w14:paraId="16D12CF4">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3、电子化响应性文件解密异常的处理</w:t>
            </w:r>
          </w:p>
          <w:p w14:paraId="4BA63712">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如出现供应商的电子响应性文件无法解密等异常情况，供应商应及时致电中介服务机构说明。响应性文件异常，按以下步骤进行处理：</w:t>
            </w:r>
          </w:p>
          <w:p w14:paraId="78388FCE">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（1）首先由技术人员进行问题排查。</w:t>
            </w:r>
          </w:p>
          <w:p w14:paraId="1301AFB4">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（2）经技术人员排查后，是供应商文件自身问题导致响应性文件无法解密的，该响应性文件将不予接收、解密和唱标。开标会议继续进行。</w:t>
            </w:r>
          </w:p>
          <w:p w14:paraId="55434FB0">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3）经技术人员排查后，如果是电子化交易系统问题造成响应性文件无法解密的，将由技术人员对问题进行处理。如短时间内问题无法解决的，将由中介服务机构向监督部门申请，经监督部门同意后，暂停开标会议，待问题解决后继续开标。</w:t>
            </w:r>
          </w:p>
          <w:p w14:paraId="39503FA0">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4、待所有供应商响应性文件解密完成后，由中介服务机构操作，对所有已解密响应性文件进行唱标。</w:t>
            </w:r>
          </w:p>
          <w:p w14:paraId="7A97A489">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供应商应保证在开标期间电话、电脑、网络能够正常工作，供应商因停电、电脑病毒、网络堵塞等原因，未在规定的解密时间内对响应性文件进行解密的，其响应性文件不予接收、唱标。</w:t>
            </w:r>
          </w:p>
          <w:p w14:paraId="08FDE5C7">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5、开标时供应商可登录到交易系统中在开标解密栏中点击报价一览表查看自己的投标报价。如对自己的唱标内容有异议的，应在供应商解密成功后10分钟内向中服务机构通过开标大厅对话框提出质疑。中介服务机构应在监督人员的监督下接受</w:t>
            </w:r>
            <w:r>
              <w:rPr>
                <w:rFonts w:hint="eastAsia" w:ascii="宋体" w:hAnsi="宋体" w:eastAsia="宋体"/>
                <w:color w:val="auto"/>
                <w:kern w:val="0"/>
                <w:sz w:val="24"/>
                <w:szCs w:val="24"/>
                <w:highlight w:val="none"/>
                <w:lang w:val="en-US" w:eastAsia="zh-CN"/>
              </w:rPr>
              <w:t>供应商</w:t>
            </w:r>
            <w:r>
              <w:rPr>
                <w:rFonts w:hint="eastAsia" w:ascii="宋体" w:hAnsi="宋体" w:eastAsia="宋体"/>
                <w:color w:val="auto"/>
                <w:kern w:val="0"/>
                <w:sz w:val="24"/>
                <w:szCs w:val="24"/>
                <w:highlight w:val="none"/>
              </w:rPr>
              <w:t>的质疑通过开标大厅对话框</w:t>
            </w:r>
            <w:r>
              <w:rPr>
                <w:rFonts w:hint="eastAsia" w:ascii="宋体" w:hAnsi="宋体" w:eastAsia="宋体"/>
                <w:color w:val="auto"/>
                <w:kern w:val="0"/>
                <w:sz w:val="24"/>
                <w:szCs w:val="24"/>
                <w:highlight w:val="none"/>
                <w:lang w:val="en-US" w:eastAsia="zh-CN"/>
              </w:rPr>
              <w:t>进行答复</w:t>
            </w:r>
            <w:r>
              <w:rPr>
                <w:rFonts w:hint="eastAsia" w:ascii="宋体" w:hAnsi="宋体" w:eastAsia="宋体"/>
                <w:color w:val="auto"/>
                <w:kern w:val="0"/>
                <w:sz w:val="24"/>
                <w:szCs w:val="24"/>
                <w:highlight w:val="none"/>
              </w:rPr>
              <w:t>并做好书面记录。</w:t>
            </w:r>
            <w:r>
              <w:rPr>
                <w:rFonts w:hint="eastAsia" w:ascii="宋体" w:hAnsi="宋体" w:eastAsia="宋体"/>
                <w:color w:val="auto"/>
                <w:kern w:val="0"/>
                <w:sz w:val="24"/>
                <w:szCs w:val="24"/>
                <w:highlight w:val="none"/>
                <w:lang w:val="en-US" w:eastAsia="zh-CN"/>
              </w:rPr>
              <w:t>供应商</w:t>
            </w:r>
            <w:r>
              <w:rPr>
                <w:rFonts w:hint="eastAsia" w:ascii="宋体" w:hAnsi="宋体" w:eastAsia="宋体"/>
                <w:color w:val="auto"/>
                <w:kern w:val="0"/>
                <w:sz w:val="24"/>
                <w:szCs w:val="24"/>
                <w:highlight w:val="none"/>
              </w:rPr>
              <w:t>未在规定时间内提出质疑的，视为认可唱标内容。</w:t>
            </w:r>
          </w:p>
          <w:p w14:paraId="26A8AE85">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6、评标时，</w:t>
            </w:r>
            <w:r>
              <w:rPr>
                <w:rFonts w:hint="eastAsia" w:ascii="宋体" w:hAnsi="宋体" w:eastAsia="宋体"/>
                <w:color w:val="auto"/>
                <w:kern w:val="0"/>
                <w:sz w:val="24"/>
                <w:szCs w:val="24"/>
                <w:highlight w:val="none"/>
                <w:lang w:val="en-US" w:eastAsia="zh-CN"/>
              </w:rPr>
              <w:t>磋商小组</w:t>
            </w:r>
            <w:r>
              <w:rPr>
                <w:rFonts w:hint="eastAsia" w:ascii="宋体" w:hAnsi="宋体" w:eastAsia="宋体"/>
                <w:color w:val="auto"/>
                <w:kern w:val="0"/>
                <w:sz w:val="24"/>
                <w:szCs w:val="24"/>
                <w:highlight w:val="none"/>
              </w:rPr>
              <w:t>对电子化投标文件有质疑的，将通过电子化交易系统</w:t>
            </w:r>
            <w:r>
              <w:rPr>
                <w:rFonts w:hint="eastAsia" w:ascii="宋体" w:hAnsi="宋体" w:eastAsia="宋体"/>
                <w:color w:val="auto"/>
                <w:kern w:val="0"/>
                <w:sz w:val="24"/>
                <w:szCs w:val="24"/>
                <w:highlight w:val="none"/>
                <w:lang w:val="en-US" w:eastAsia="zh-CN"/>
              </w:rPr>
              <w:t>向供应商</w:t>
            </w:r>
            <w:r>
              <w:rPr>
                <w:rFonts w:hint="eastAsia" w:ascii="宋体" w:hAnsi="宋体" w:eastAsia="宋体"/>
                <w:color w:val="auto"/>
                <w:kern w:val="0"/>
                <w:sz w:val="24"/>
                <w:szCs w:val="24"/>
                <w:highlight w:val="none"/>
              </w:rPr>
              <w:t>发起质疑。</w:t>
            </w:r>
            <w:r>
              <w:rPr>
                <w:rFonts w:hint="eastAsia" w:ascii="宋体" w:hAnsi="宋体" w:eastAsia="宋体"/>
                <w:color w:val="auto"/>
                <w:kern w:val="0"/>
                <w:sz w:val="24"/>
                <w:szCs w:val="24"/>
                <w:highlight w:val="none"/>
                <w:lang w:val="en-US" w:eastAsia="zh-CN"/>
              </w:rPr>
              <w:t>供应商</w:t>
            </w:r>
            <w:r>
              <w:rPr>
                <w:rFonts w:hint="eastAsia" w:ascii="宋体" w:hAnsi="宋体" w:eastAsia="宋体"/>
                <w:color w:val="auto"/>
                <w:kern w:val="0"/>
                <w:sz w:val="24"/>
                <w:szCs w:val="24"/>
                <w:highlight w:val="none"/>
              </w:rPr>
              <w:t>的回复文件必须以经过</w:t>
            </w:r>
            <w:r>
              <w:rPr>
                <w:rFonts w:hint="eastAsia" w:ascii="宋体" w:hAnsi="宋体" w:eastAsia="宋体"/>
                <w:color w:val="auto"/>
                <w:kern w:val="0"/>
                <w:sz w:val="24"/>
                <w:szCs w:val="24"/>
                <w:highlight w:val="none"/>
                <w:lang w:val="en-US" w:eastAsia="zh-CN"/>
              </w:rPr>
              <w:t>供应商</w:t>
            </w:r>
            <w:r>
              <w:rPr>
                <w:rFonts w:hint="eastAsia" w:ascii="宋体" w:hAnsi="宋体" w:eastAsia="宋体"/>
                <w:color w:val="auto"/>
                <w:kern w:val="0"/>
                <w:sz w:val="24"/>
                <w:szCs w:val="24"/>
                <w:highlight w:val="none"/>
              </w:rPr>
              <w:t>和其法定代表人签章的PDF式文件为准，并通过电子化交易系统提交至</w:t>
            </w:r>
            <w:r>
              <w:rPr>
                <w:rFonts w:hint="eastAsia" w:ascii="宋体" w:hAnsi="宋体" w:eastAsia="宋体"/>
                <w:color w:val="auto"/>
                <w:kern w:val="0"/>
                <w:sz w:val="24"/>
                <w:szCs w:val="24"/>
                <w:highlight w:val="none"/>
                <w:lang w:val="en-US" w:eastAsia="zh-CN"/>
              </w:rPr>
              <w:t>磋商小组</w:t>
            </w:r>
            <w:r>
              <w:rPr>
                <w:rFonts w:hint="eastAsia" w:ascii="宋体" w:hAnsi="宋体" w:eastAsia="宋体"/>
                <w:color w:val="auto"/>
                <w:kern w:val="0"/>
                <w:sz w:val="24"/>
                <w:szCs w:val="24"/>
                <w:highlight w:val="none"/>
              </w:rPr>
              <w:t>。</w:t>
            </w:r>
          </w:p>
          <w:p w14:paraId="7A123224">
            <w:pPr>
              <w:spacing w:beforeAutospacing="0" w:afterAutospacing="0" w:line="360" w:lineRule="auto"/>
              <w:jc w:val="left"/>
              <w:rPr>
                <w:rFonts w:hint="eastAsia" w:ascii="宋体" w:hAnsi="宋体" w:eastAsia="宋体"/>
                <w:color w:val="auto"/>
                <w:kern w:val="0"/>
                <w:sz w:val="24"/>
                <w:szCs w:val="24"/>
                <w:highlight w:val="none"/>
                <w:lang w:eastAsia="zh-CN"/>
              </w:rPr>
            </w:pPr>
            <w:r>
              <w:rPr>
                <w:rFonts w:hint="eastAsia" w:ascii="宋体" w:hAnsi="宋体" w:eastAsia="宋体"/>
                <w:color w:val="auto"/>
                <w:kern w:val="0"/>
                <w:sz w:val="24"/>
                <w:szCs w:val="24"/>
                <w:highlight w:val="none"/>
              </w:rPr>
              <w:t>7、</w:t>
            </w:r>
            <w:r>
              <w:rPr>
                <w:rFonts w:hint="eastAsia" w:ascii="宋体" w:hAnsi="宋体" w:eastAsia="宋体"/>
                <w:color w:val="auto"/>
                <w:kern w:val="0"/>
                <w:sz w:val="24"/>
                <w:szCs w:val="24"/>
                <w:highlight w:val="none"/>
                <w:lang w:val="en-US" w:eastAsia="zh-CN"/>
              </w:rPr>
              <w:t>如磋商小组</w:t>
            </w:r>
            <w:r>
              <w:rPr>
                <w:rFonts w:hint="eastAsia" w:ascii="宋体" w:hAnsi="宋体" w:eastAsia="宋体"/>
                <w:color w:val="auto"/>
                <w:kern w:val="0"/>
                <w:sz w:val="24"/>
                <w:szCs w:val="24"/>
                <w:highlight w:val="none"/>
              </w:rPr>
              <w:t>对需要回复的</w:t>
            </w:r>
            <w:r>
              <w:rPr>
                <w:rFonts w:hint="eastAsia" w:ascii="宋体" w:hAnsi="宋体" w:eastAsia="宋体"/>
                <w:color w:val="auto"/>
                <w:kern w:val="0"/>
                <w:sz w:val="24"/>
                <w:szCs w:val="24"/>
                <w:highlight w:val="none"/>
                <w:lang w:val="en-US" w:eastAsia="zh-CN"/>
              </w:rPr>
              <w:t>供应商在</w:t>
            </w:r>
            <w:r>
              <w:rPr>
                <w:rFonts w:hint="eastAsia" w:ascii="宋体" w:hAnsi="宋体" w:eastAsia="宋体"/>
                <w:color w:val="auto"/>
                <w:kern w:val="0"/>
                <w:sz w:val="24"/>
                <w:szCs w:val="24"/>
                <w:highlight w:val="none"/>
              </w:rPr>
              <w:t>规定时间内</w:t>
            </w:r>
            <w:r>
              <w:rPr>
                <w:rFonts w:hint="eastAsia" w:ascii="宋体" w:hAnsi="宋体" w:eastAsia="宋体"/>
                <w:color w:val="auto"/>
                <w:kern w:val="0"/>
                <w:sz w:val="24"/>
                <w:szCs w:val="24"/>
                <w:highlight w:val="none"/>
                <w:lang w:eastAsia="zh-CN"/>
              </w:rPr>
              <w:t>（</w:t>
            </w:r>
            <w:r>
              <w:rPr>
                <w:rFonts w:hint="eastAsia" w:ascii="宋体" w:hAnsi="宋体" w:eastAsia="宋体"/>
                <w:color w:val="auto"/>
                <w:kern w:val="0"/>
                <w:sz w:val="24"/>
                <w:szCs w:val="24"/>
                <w:highlight w:val="none"/>
                <w:lang w:val="en-US" w:eastAsia="zh-CN"/>
              </w:rPr>
              <w:t>30分钟内</w:t>
            </w:r>
            <w:r>
              <w:rPr>
                <w:rFonts w:hint="eastAsia" w:ascii="宋体" w:hAnsi="宋体" w:eastAsia="宋体"/>
                <w:color w:val="auto"/>
                <w:kern w:val="0"/>
                <w:sz w:val="24"/>
                <w:szCs w:val="24"/>
                <w:highlight w:val="none"/>
                <w:lang w:eastAsia="zh-CN"/>
              </w:rPr>
              <w:t>）</w:t>
            </w:r>
            <w:r>
              <w:rPr>
                <w:rFonts w:hint="eastAsia" w:ascii="宋体" w:hAnsi="宋体" w:eastAsia="宋体"/>
                <w:color w:val="auto"/>
                <w:kern w:val="0"/>
                <w:sz w:val="24"/>
                <w:szCs w:val="24"/>
                <w:highlight w:val="none"/>
              </w:rPr>
              <w:t>通过电子化交易系统未收到回复的，视为</w:t>
            </w:r>
            <w:r>
              <w:rPr>
                <w:rFonts w:hint="eastAsia" w:ascii="宋体" w:hAnsi="宋体" w:eastAsia="宋体"/>
                <w:color w:val="auto"/>
                <w:kern w:val="0"/>
                <w:sz w:val="24"/>
                <w:szCs w:val="24"/>
                <w:highlight w:val="none"/>
                <w:lang w:val="en-US" w:eastAsia="zh-CN"/>
              </w:rPr>
              <w:t>供应商</w:t>
            </w:r>
            <w:r>
              <w:rPr>
                <w:rFonts w:hint="eastAsia" w:ascii="宋体" w:hAnsi="宋体" w:eastAsia="宋体"/>
                <w:color w:val="auto"/>
                <w:kern w:val="0"/>
                <w:sz w:val="24"/>
                <w:szCs w:val="24"/>
                <w:highlight w:val="none"/>
              </w:rPr>
              <w:t>放弃回复</w:t>
            </w:r>
            <w:r>
              <w:rPr>
                <w:rFonts w:hint="eastAsia" w:ascii="宋体" w:hAnsi="宋体" w:eastAsia="宋体"/>
                <w:color w:val="auto"/>
                <w:kern w:val="0"/>
                <w:sz w:val="24"/>
                <w:szCs w:val="24"/>
                <w:highlight w:val="none"/>
                <w:lang w:eastAsia="zh-CN"/>
              </w:rPr>
              <w:t>。</w:t>
            </w:r>
          </w:p>
          <w:p w14:paraId="25DA6780">
            <w:pPr>
              <w:spacing w:beforeAutospacing="0" w:afterAutospacing="0" w:line="360" w:lineRule="auto"/>
              <w:jc w:val="left"/>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提示：本项目为电子化、无纸化交易项目，供应商时不再接受任何纸质资料，为保证您能投标成功，请需仔细阅读以上条款。</w:t>
            </w:r>
          </w:p>
        </w:tc>
      </w:tr>
    </w:tbl>
    <w:p w14:paraId="23D50B42">
      <w:pPr>
        <w:pStyle w:val="3"/>
        <w:spacing w:before="244"/>
        <w:ind w:left="320"/>
        <w:jc w:val="center"/>
        <w:rPr>
          <w:rFonts w:hint="eastAsia" w:ascii="宋体" w:hAnsi="宋体" w:eastAsia="宋体" w:cs="宋体"/>
          <w:color w:val="auto"/>
          <w:sz w:val="24"/>
          <w:szCs w:val="24"/>
          <w:highlight w:val="none"/>
        </w:rPr>
      </w:pPr>
      <w:bookmarkStart w:id="24" w:name="服务需求及技术要求"/>
    </w:p>
    <w:p w14:paraId="450AF4F0">
      <w:pPr>
        <w:pStyle w:val="3"/>
        <w:spacing w:before="244"/>
        <w:ind w:left="32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供应商须知</w:t>
      </w:r>
    </w:p>
    <w:p w14:paraId="587CF47F">
      <w:pPr>
        <w:pStyle w:val="30"/>
        <w:spacing w:line="360" w:lineRule="auto"/>
        <w:ind w:left="0" w:firstLine="482" w:firstLineChars="200"/>
        <w:outlineLvl w:val="0"/>
        <w:rPr>
          <w:rFonts w:hint="eastAsia" w:ascii="宋体" w:hAnsi="宋体" w:eastAsia="宋体" w:cs="宋体"/>
          <w:b/>
          <w:bCs/>
          <w:color w:val="auto"/>
          <w:sz w:val="24"/>
          <w:szCs w:val="24"/>
          <w:highlight w:val="none"/>
        </w:rPr>
      </w:pPr>
      <w:bookmarkStart w:id="25" w:name="_Toc22449"/>
      <w:bookmarkStart w:id="26" w:name="_Toc455080108"/>
      <w:bookmarkStart w:id="27" w:name="_Toc20123_WPSOffice_Level2"/>
      <w:bookmarkStart w:id="28" w:name="_Toc488504474"/>
      <w:bookmarkStart w:id="29" w:name="_Toc20844"/>
      <w:bookmarkStart w:id="30" w:name="_Toc7628"/>
      <w:bookmarkStart w:id="31" w:name="_Toc487498474"/>
      <w:r>
        <w:rPr>
          <w:rFonts w:hint="eastAsia" w:ascii="宋体" w:hAnsi="宋体" w:eastAsia="宋体" w:cs="宋体"/>
          <w:b/>
          <w:bCs/>
          <w:color w:val="auto"/>
          <w:sz w:val="24"/>
          <w:szCs w:val="24"/>
          <w:highlight w:val="none"/>
        </w:rPr>
        <w:t>1. 总则</w:t>
      </w:r>
      <w:bookmarkEnd w:id="25"/>
      <w:bookmarkEnd w:id="26"/>
      <w:bookmarkEnd w:id="27"/>
      <w:bookmarkEnd w:id="28"/>
      <w:bookmarkEnd w:id="29"/>
      <w:bookmarkEnd w:id="30"/>
      <w:bookmarkEnd w:id="31"/>
    </w:p>
    <w:p w14:paraId="4EF5441B">
      <w:pPr>
        <w:ind w:firstLine="480" w:firstLineChars="200"/>
        <w:rPr>
          <w:rFonts w:hint="eastAsia" w:ascii="宋体" w:hAnsi="宋体" w:eastAsia="宋体" w:cs="宋体"/>
          <w:color w:val="auto"/>
          <w:sz w:val="24"/>
          <w:szCs w:val="24"/>
          <w:highlight w:val="none"/>
        </w:rPr>
      </w:pPr>
      <w:bookmarkStart w:id="32" w:name="_Toc10273"/>
      <w:bookmarkStart w:id="33" w:name="_Toc455080109"/>
      <w:bookmarkStart w:id="34" w:name="_Toc1172"/>
      <w:bookmarkStart w:id="35" w:name="_Toc21496_WPSOffice_Level3"/>
      <w:bookmarkStart w:id="36" w:name="_Toc29023"/>
      <w:bookmarkStart w:id="37" w:name="_Toc463701031"/>
      <w:bookmarkStart w:id="38" w:name="_Toc31404"/>
      <w:bookmarkStart w:id="39" w:name="_Toc318450675"/>
      <w:bookmarkStart w:id="40" w:name="_Toc274409866"/>
      <w:bookmarkStart w:id="41" w:name="_Toc464035510"/>
      <w:bookmarkStart w:id="42" w:name="_Toc15709"/>
      <w:bookmarkStart w:id="43" w:name="_Toc281380952"/>
      <w:bookmarkStart w:id="44" w:name="_Toc21458"/>
      <w:bookmarkStart w:id="45" w:name="_Toc152042307"/>
      <w:bookmarkStart w:id="46" w:name="_Toc152045531"/>
      <w:bookmarkStart w:id="47" w:name="_Toc144974499"/>
      <w:r>
        <w:rPr>
          <w:rFonts w:hint="eastAsia" w:ascii="宋体" w:hAnsi="宋体" w:eastAsia="宋体" w:cs="宋体"/>
          <w:color w:val="auto"/>
          <w:sz w:val="24"/>
          <w:szCs w:val="24"/>
          <w:highlight w:val="none"/>
        </w:rPr>
        <w:t>1.1 适用范围</w:t>
      </w:r>
      <w:bookmarkEnd w:id="32"/>
      <w:bookmarkEnd w:id="33"/>
      <w:bookmarkEnd w:id="34"/>
      <w:bookmarkEnd w:id="35"/>
      <w:bookmarkEnd w:id="36"/>
      <w:bookmarkEnd w:id="37"/>
      <w:bookmarkEnd w:id="38"/>
      <w:bookmarkEnd w:id="39"/>
      <w:bookmarkEnd w:id="40"/>
      <w:bookmarkEnd w:id="41"/>
      <w:bookmarkEnd w:id="42"/>
      <w:bookmarkEnd w:id="43"/>
      <w:bookmarkEnd w:id="44"/>
    </w:p>
    <w:p w14:paraId="71552CA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1.1.1根据《中华人民共和国政府采购法》等有关法律、法规和规章的规定，编制本项目磋商文件。</w:t>
      </w:r>
    </w:p>
    <w:p w14:paraId="627CC975">
      <w:pPr>
        <w:ind w:firstLine="480" w:firstLineChars="200"/>
        <w:rPr>
          <w:rFonts w:hint="eastAsia" w:ascii="宋体" w:hAnsi="宋体" w:eastAsia="宋体" w:cs="宋体"/>
          <w:color w:val="auto"/>
          <w:sz w:val="24"/>
          <w:szCs w:val="24"/>
          <w:highlight w:val="none"/>
        </w:rPr>
      </w:pPr>
      <w:bookmarkStart w:id="48" w:name="_Toc464035511"/>
      <w:bookmarkStart w:id="49" w:name="_Toc455080110"/>
      <w:bookmarkStart w:id="50" w:name="_Toc25399_WPSOffice_Level3"/>
      <w:bookmarkStart w:id="51" w:name="_Toc318450676"/>
      <w:bookmarkStart w:id="52" w:name="_Toc25773"/>
      <w:bookmarkStart w:id="53" w:name="_Toc463701032"/>
      <w:bookmarkStart w:id="54" w:name="_Toc32619"/>
      <w:bookmarkStart w:id="55" w:name="_Toc710"/>
      <w:bookmarkStart w:id="56" w:name="_Toc2929"/>
      <w:bookmarkStart w:id="57" w:name="_Toc30891"/>
      <w:bookmarkStart w:id="58" w:name="_Toc281405468"/>
      <w:bookmarkStart w:id="59" w:name="_Toc274409867"/>
      <w:bookmarkStart w:id="60" w:name="_Toc3336"/>
      <w:r>
        <w:rPr>
          <w:rFonts w:hint="eastAsia" w:ascii="宋体" w:hAnsi="宋体" w:eastAsia="宋体" w:cs="宋体"/>
          <w:color w:val="auto"/>
          <w:sz w:val="24"/>
          <w:szCs w:val="24"/>
          <w:highlight w:val="none"/>
        </w:rPr>
        <w:t>1.2 采购项目说明</w:t>
      </w:r>
      <w:bookmarkEnd w:id="48"/>
      <w:bookmarkEnd w:id="49"/>
      <w:bookmarkEnd w:id="50"/>
      <w:bookmarkEnd w:id="51"/>
      <w:bookmarkEnd w:id="52"/>
      <w:bookmarkEnd w:id="53"/>
      <w:bookmarkEnd w:id="54"/>
      <w:bookmarkEnd w:id="55"/>
      <w:bookmarkEnd w:id="56"/>
      <w:bookmarkEnd w:id="57"/>
      <w:bookmarkEnd w:id="58"/>
      <w:bookmarkEnd w:id="59"/>
      <w:bookmarkEnd w:id="60"/>
    </w:p>
    <w:p w14:paraId="3DA4A25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本项目采购人：见供应商须知前附表。</w:t>
      </w:r>
    </w:p>
    <w:p w14:paraId="704D1E3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本项目采购代理机构：见供应商须知前附表。</w:t>
      </w:r>
    </w:p>
    <w:p w14:paraId="29124D4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 本项目名称：见供应商须知前附表。</w:t>
      </w:r>
    </w:p>
    <w:p w14:paraId="358EB83F">
      <w:pPr>
        <w:ind w:firstLine="480" w:firstLineChars="200"/>
        <w:rPr>
          <w:rFonts w:hint="eastAsia" w:ascii="宋体" w:hAnsi="宋体" w:eastAsia="宋体" w:cs="宋体"/>
          <w:color w:val="auto"/>
          <w:sz w:val="24"/>
          <w:szCs w:val="24"/>
          <w:highlight w:val="none"/>
        </w:rPr>
      </w:pPr>
      <w:bookmarkStart w:id="61" w:name="_Toc4952"/>
      <w:bookmarkStart w:id="62" w:name="_Toc17016"/>
      <w:bookmarkStart w:id="63" w:name="_Toc16931"/>
      <w:bookmarkStart w:id="64" w:name="_Toc18960"/>
      <w:bookmarkStart w:id="65" w:name="_Toc31122_WPSOffice_Level3"/>
      <w:bookmarkStart w:id="66" w:name="_Toc281405469"/>
      <w:bookmarkStart w:id="67" w:name="_Toc274409868"/>
      <w:bookmarkStart w:id="68" w:name="_Toc455080111"/>
      <w:bookmarkStart w:id="69" w:name="_Toc464035512"/>
      <w:bookmarkStart w:id="70" w:name="_Toc463701033"/>
      <w:bookmarkStart w:id="71" w:name="_Toc318450677"/>
      <w:bookmarkStart w:id="72" w:name="_Toc3477"/>
      <w:bookmarkStart w:id="73" w:name="_Toc1373"/>
      <w:r>
        <w:rPr>
          <w:rFonts w:hint="eastAsia" w:ascii="宋体" w:hAnsi="宋体" w:eastAsia="宋体" w:cs="宋体"/>
          <w:color w:val="auto"/>
          <w:sz w:val="24"/>
          <w:szCs w:val="24"/>
          <w:highlight w:val="none"/>
        </w:rPr>
        <w:t>1.3 定义及解释</w:t>
      </w:r>
      <w:bookmarkEnd w:id="61"/>
      <w:bookmarkEnd w:id="62"/>
      <w:bookmarkEnd w:id="63"/>
      <w:bookmarkEnd w:id="64"/>
      <w:bookmarkEnd w:id="65"/>
      <w:bookmarkEnd w:id="66"/>
      <w:bookmarkEnd w:id="67"/>
      <w:bookmarkEnd w:id="68"/>
      <w:bookmarkEnd w:id="69"/>
      <w:bookmarkEnd w:id="70"/>
      <w:bookmarkEnd w:id="71"/>
      <w:bookmarkEnd w:id="72"/>
      <w:bookmarkEnd w:id="73"/>
    </w:p>
    <w:p w14:paraId="4F0728C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1.3.1采购人：依法进行政府采购的国家机关、事业单位、团体组织。</w:t>
      </w:r>
    </w:p>
    <w:p w14:paraId="56F2C6D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1.3.2采购代理机构：取得政府采购招标代理资质，受采购人委托组织招标活动的社会中介组织。</w:t>
      </w:r>
    </w:p>
    <w:p w14:paraId="7EA3CDD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1.3.3服务：系指根据本磋商文件规定供应商须承担的方案编制以及其他类似的义务等。</w:t>
      </w:r>
    </w:p>
    <w:p w14:paraId="26517AC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1.3.4供应商：供应商是响应磋商文件、参加磋商竞争的中华人民共和国境内的法人、其它组织。</w:t>
      </w:r>
    </w:p>
    <w:p w14:paraId="28279DD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1.3.5响应文件：指供应商根据磋商文件提交的所有文件。</w:t>
      </w:r>
    </w:p>
    <w:p w14:paraId="6D802DB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1.3.6磋商小组：依据</w:t>
      </w:r>
      <w:r>
        <w:rPr>
          <w:rFonts w:hint="eastAsia" w:ascii="宋体" w:hAnsi="宋体" w:eastAsia="宋体" w:cs="宋体"/>
          <w:color w:val="auto"/>
          <w:sz w:val="24"/>
          <w:szCs w:val="24"/>
          <w:highlight w:val="none"/>
          <w:lang w:bidi="en-US"/>
        </w:rPr>
        <w:t>《中华人民共和国政府采购法》及有关法律、法规的规定依法组建的专门负责本次评标工作的临时机构</w:t>
      </w:r>
      <w:r>
        <w:rPr>
          <w:rFonts w:hint="eastAsia" w:ascii="宋体" w:hAnsi="宋体" w:eastAsia="宋体" w:cs="宋体"/>
          <w:color w:val="auto"/>
          <w:sz w:val="24"/>
          <w:szCs w:val="24"/>
          <w:highlight w:val="none"/>
        </w:rPr>
        <w:t>。</w:t>
      </w:r>
    </w:p>
    <w:p w14:paraId="79EF192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1.3.7偏离：响应文件的响应相对于磋商文件要求的偏差，该偏差优于磋商文件要求的为正偏离；劣于的，为负偏离。</w:t>
      </w:r>
    </w:p>
    <w:p w14:paraId="4177D20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1.3.8“日期”或“天”：指日历天。</w:t>
      </w:r>
    </w:p>
    <w:p w14:paraId="1485995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1.3.9合同：指依据本次采购招标结果签订的协议或合约文件。</w:t>
      </w:r>
    </w:p>
    <w:p w14:paraId="513090E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1.3.10磋商文件中的标题或题名仅起引导作用，而不应视为对磋商文件内容的理解和解释。</w:t>
      </w:r>
    </w:p>
    <w:bookmarkEnd w:id="45"/>
    <w:bookmarkEnd w:id="46"/>
    <w:bookmarkEnd w:id="47"/>
    <w:p w14:paraId="42C536E7">
      <w:pPr>
        <w:spacing w:line="360" w:lineRule="auto"/>
        <w:ind w:firstLine="480" w:firstLineChars="200"/>
        <w:rPr>
          <w:rFonts w:hint="eastAsia" w:ascii="宋体" w:hAnsi="宋体" w:eastAsia="宋体" w:cs="宋体"/>
          <w:color w:val="auto"/>
          <w:sz w:val="24"/>
          <w:szCs w:val="24"/>
          <w:highlight w:val="none"/>
        </w:rPr>
      </w:pPr>
      <w:bookmarkStart w:id="74" w:name="_Toc144974500"/>
      <w:bookmarkStart w:id="75" w:name="_Toc152042308"/>
      <w:bookmarkStart w:id="76" w:name="_Toc455080112"/>
      <w:bookmarkStart w:id="77" w:name="_Toc21766"/>
      <w:bookmarkStart w:id="78" w:name="_Toc463701034"/>
      <w:bookmarkStart w:id="79" w:name="_Toc464035513"/>
      <w:bookmarkStart w:id="80" w:name="_Toc19363"/>
      <w:bookmarkStart w:id="81" w:name="_Toc14043"/>
      <w:bookmarkStart w:id="82" w:name="_Toc27407"/>
      <w:bookmarkStart w:id="83" w:name="_Toc16470"/>
      <w:bookmarkStart w:id="84" w:name="_Toc318450678"/>
      <w:bookmarkStart w:id="85" w:name="_Toc12752"/>
      <w:bookmarkStart w:id="86" w:name="_Toc152045532"/>
      <w:bookmarkStart w:id="87" w:name="_Toc3626_WPSOffice_Level3"/>
      <w:r>
        <w:rPr>
          <w:rFonts w:hint="eastAsia" w:ascii="宋体" w:hAnsi="宋体" w:eastAsia="宋体" w:cs="宋体"/>
          <w:color w:val="auto"/>
          <w:sz w:val="24"/>
          <w:szCs w:val="24"/>
          <w:highlight w:val="none"/>
        </w:rPr>
        <w:t xml:space="preserve">1.4 </w:t>
      </w:r>
      <w:r>
        <w:rPr>
          <w:rFonts w:hint="eastAsia" w:ascii="宋体" w:hAnsi="宋体" w:cs="宋体"/>
          <w:color w:val="auto"/>
          <w:sz w:val="24"/>
          <w:szCs w:val="24"/>
          <w:highlight w:val="none"/>
          <w:lang w:eastAsia="zh-CN"/>
        </w:rPr>
        <w:t>服务</w:t>
      </w:r>
      <w:r>
        <w:rPr>
          <w:rFonts w:hint="eastAsia" w:ascii="宋体" w:hAnsi="宋体" w:eastAsia="宋体" w:cs="宋体"/>
          <w:color w:val="auto"/>
          <w:sz w:val="24"/>
          <w:szCs w:val="24"/>
          <w:highlight w:val="none"/>
        </w:rPr>
        <w:t>内容、</w:t>
      </w:r>
      <w:r>
        <w:rPr>
          <w:rFonts w:hint="eastAsia" w:ascii="宋体" w:hAnsi="宋体" w:cs="宋体"/>
          <w:color w:val="auto"/>
          <w:sz w:val="24"/>
          <w:szCs w:val="24"/>
          <w:highlight w:val="none"/>
          <w:lang w:eastAsia="zh-CN"/>
        </w:rPr>
        <w:t>服务期限</w:t>
      </w:r>
      <w:r>
        <w:rPr>
          <w:rFonts w:hint="eastAsia" w:ascii="宋体" w:hAnsi="宋体" w:eastAsia="宋体" w:cs="宋体"/>
          <w:color w:val="auto"/>
          <w:sz w:val="24"/>
          <w:szCs w:val="24"/>
          <w:highlight w:val="none"/>
        </w:rPr>
        <w:t>和质量要求</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777E9EE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本</w:t>
      </w:r>
      <w:r>
        <w:rPr>
          <w:rFonts w:hint="eastAsia" w:ascii="宋体" w:hAnsi="宋体" w:cs="宋体"/>
          <w:color w:val="auto"/>
          <w:sz w:val="24"/>
          <w:szCs w:val="24"/>
          <w:highlight w:val="none"/>
          <w:lang w:eastAsia="zh-CN"/>
        </w:rPr>
        <w:t>项目服务内容</w:t>
      </w:r>
      <w:r>
        <w:rPr>
          <w:rFonts w:hint="eastAsia" w:ascii="宋体" w:hAnsi="宋体" w:eastAsia="宋体" w:cs="宋体"/>
          <w:color w:val="auto"/>
          <w:sz w:val="24"/>
          <w:szCs w:val="24"/>
          <w:highlight w:val="none"/>
        </w:rPr>
        <w:t>：见供应商须知前附表。</w:t>
      </w:r>
    </w:p>
    <w:p w14:paraId="316F09A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本项目的</w:t>
      </w:r>
      <w:r>
        <w:rPr>
          <w:rFonts w:hint="eastAsia" w:ascii="宋体" w:hAnsi="宋体" w:cs="宋体"/>
          <w:color w:val="auto"/>
          <w:sz w:val="24"/>
          <w:szCs w:val="24"/>
          <w:highlight w:val="none"/>
          <w:lang w:eastAsia="zh-CN"/>
        </w:rPr>
        <w:t>服务期限</w:t>
      </w:r>
      <w:r>
        <w:rPr>
          <w:rFonts w:hint="eastAsia" w:ascii="宋体" w:hAnsi="宋体" w:eastAsia="宋体" w:cs="宋体"/>
          <w:color w:val="auto"/>
          <w:sz w:val="24"/>
          <w:szCs w:val="24"/>
          <w:highlight w:val="none"/>
        </w:rPr>
        <w:t>：见供应商须知前附表。</w:t>
      </w:r>
    </w:p>
    <w:p w14:paraId="1964C9E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本项目的质量要求：见供应商须知前附表。</w:t>
      </w:r>
    </w:p>
    <w:p w14:paraId="363E716F">
      <w:pPr>
        <w:ind w:firstLine="480" w:firstLineChars="200"/>
        <w:rPr>
          <w:rFonts w:hint="eastAsia" w:ascii="宋体" w:hAnsi="宋体" w:eastAsia="宋体" w:cs="宋体"/>
          <w:color w:val="auto"/>
          <w:sz w:val="24"/>
          <w:szCs w:val="24"/>
          <w:highlight w:val="none"/>
        </w:rPr>
      </w:pPr>
      <w:bookmarkStart w:id="88" w:name="_Toc318450681"/>
      <w:bookmarkStart w:id="89" w:name="_Toc32053"/>
      <w:bookmarkStart w:id="90" w:name="_Toc8055"/>
      <w:bookmarkStart w:id="91" w:name="_Toc7579_WPSOffice_Level3"/>
      <w:bookmarkStart w:id="92" w:name="_Toc144974504"/>
      <w:bookmarkStart w:id="93" w:name="_Toc464035516"/>
      <w:bookmarkStart w:id="94" w:name="_Toc2622"/>
      <w:bookmarkStart w:id="95" w:name="_Toc463701037"/>
      <w:bookmarkStart w:id="96" w:name="_Toc152045536"/>
      <w:bookmarkStart w:id="97" w:name="_Toc455080115"/>
      <w:bookmarkStart w:id="98" w:name="_Toc6014"/>
      <w:bookmarkStart w:id="99" w:name="_Toc5402"/>
      <w:bookmarkStart w:id="100" w:name="_Toc20145"/>
      <w:bookmarkStart w:id="101" w:name="_Toc152042312"/>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rPr>
        <w:t>5</w:t>
      </w:r>
      <w:r>
        <w:rPr>
          <w:rFonts w:hint="eastAsia" w:ascii="宋体" w:hAnsi="宋体" w:eastAsia="宋体" w:cs="宋体"/>
          <w:color w:val="auto"/>
          <w:sz w:val="24"/>
          <w:szCs w:val="24"/>
          <w:highlight w:val="none"/>
        </w:rPr>
        <w:t>保密</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1078C7B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参与磋商活动的各方应对磋商文件和响应文件中的商业和技术等秘密保密，违者应对由此造成的后果承担法律责任。 </w:t>
      </w:r>
    </w:p>
    <w:p w14:paraId="14AE5471">
      <w:pPr>
        <w:ind w:firstLine="480" w:firstLineChars="200"/>
        <w:rPr>
          <w:rFonts w:hint="eastAsia" w:ascii="宋体" w:hAnsi="宋体" w:eastAsia="宋体" w:cs="宋体"/>
          <w:color w:val="auto"/>
          <w:sz w:val="24"/>
          <w:szCs w:val="24"/>
          <w:highlight w:val="none"/>
        </w:rPr>
      </w:pPr>
      <w:bookmarkStart w:id="102" w:name="_Toc144974505"/>
      <w:bookmarkStart w:id="103" w:name="_Toc464035517"/>
      <w:bookmarkStart w:id="104" w:name="_Toc19210_WPSOffice_Level3"/>
      <w:bookmarkStart w:id="105" w:name="_Toc455080116"/>
      <w:bookmarkStart w:id="106" w:name="_Toc318450682"/>
      <w:bookmarkStart w:id="107" w:name="_Toc25517"/>
      <w:bookmarkStart w:id="108" w:name="_Toc463701038"/>
      <w:bookmarkStart w:id="109" w:name="_Toc21089"/>
      <w:bookmarkStart w:id="110" w:name="_Toc30583"/>
      <w:bookmarkStart w:id="111" w:name="_Toc152042313"/>
      <w:bookmarkStart w:id="112" w:name="_Toc3628"/>
      <w:bookmarkStart w:id="113" w:name="_Toc30747"/>
      <w:bookmarkStart w:id="114" w:name="_Toc14775"/>
      <w:bookmarkStart w:id="115" w:name="_Toc152045537"/>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rPr>
        <w:t>6</w:t>
      </w:r>
      <w:r>
        <w:rPr>
          <w:rFonts w:hint="eastAsia" w:ascii="宋体" w:hAnsi="宋体" w:eastAsia="宋体" w:cs="宋体"/>
          <w:color w:val="auto"/>
          <w:sz w:val="24"/>
          <w:szCs w:val="24"/>
          <w:highlight w:val="none"/>
        </w:rPr>
        <w:t>语言</w:t>
      </w:r>
      <w:bookmarkEnd w:id="102"/>
      <w:r>
        <w:rPr>
          <w:rFonts w:hint="eastAsia" w:ascii="宋体" w:hAnsi="宋体" w:eastAsia="宋体" w:cs="宋体"/>
          <w:color w:val="auto"/>
          <w:sz w:val="24"/>
          <w:szCs w:val="24"/>
          <w:highlight w:val="none"/>
        </w:rPr>
        <w:t>文字</w:t>
      </w:r>
      <w:bookmarkEnd w:id="103"/>
      <w:bookmarkEnd w:id="104"/>
      <w:bookmarkEnd w:id="105"/>
      <w:bookmarkEnd w:id="106"/>
      <w:bookmarkEnd w:id="107"/>
      <w:bookmarkEnd w:id="108"/>
      <w:bookmarkEnd w:id="109"/>
      <w:bookmarkEnd w:id="110"/>
      <w:bookmarkEnd w:id="111"/>
      <w:bookmarkEnd w:id="112"/>
      <w:bookmarkEnd w:id="113"/>
      <w:bookmarkEnd w:id="114"/>
      <w:bookmarkEnd w:id="115"/>
    </w:p>
    <w:p w14:paraId="456F8AF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除专用术语外，与磋商有关的语言均使用中文。必要时专用术语应附有中文注释，</w:t>
      </w:r>
      <w:r>
        <w:rPr>
          <w:rFonts w:hint="eastAsia" w:ascii="宋体" w:hAnsi="宋体" w:eastAsia="宋体" w:cs="宋体"/>
          <w:color w:val="auto"/>
          <w:sz w:val="24"/>
          <w:szCs w:val="24"/>
          <w:highlight w:val="none"/>
          <w:lang w:bidi="en-US"/>
        </w:rPr>
        <w:t>对不同文字文本响应文件的解释发生异议的，以中文文本为准。</w:t>
      </w:r>
    </w:p>
    <w:p w14:paraId="1954EAEB">
      <w:pPr>
        <w:spacing w:line="360" w:lineRule="auto"/>
        <w:ind w:firstLine="480" w:firstLineChars="200"/>
        <w:rPr>
          <w:rFonts w:hint="eastAsia" w:ascii="宋体" w:hAnsi="宋体" w:eastAsia="宋体" w:cs="宋体"/>
          <w:color w:val="auto"/>
          <w:sz w:val="24"/>
          <w:szCs w:val="24"/>
          <w:highlight w:val="none"/>
        </w:rPr>
      </w:pPr>
      <w:bookmarkStart w:id="116" w:name="_Toc464035518"/>
      <w:bookmarkStart w:id="117" w:name="_Toc9511_WPSOffice_Level3"/>
      <w:bookmarkStart w:id="118" w:name="_Toc24337"/>
      <w:bookmarkStart w:id="119" w:name="_Toc455080117"/>
      <w:bookmarkStart w:id="120" w:name="_Toc318450683"/>
      <w:bookmarkStart w:id="121" w:name="_Toc152045538"/>
      <w:bookmarkStart w:id="122" w:name="_Toc152042314"/>
      <w:bookmarkStart w:id="123" w:name="_Toc9446"/>
      <w:bookmarkStart w:id="124" w:name="_Toc4237"/>
      <w:bookmarkStart w:id="125" w:name="_Toc2702"/>
      <w:bookmarkStart w:id="126" w:name="_Toc144974506"/>
      <w:bookmarkStart w:id="127" w:name="_Toc463701039"/>
      <w:bookmarkStart w:id="128" w:name="_Toc22378"/>
      <w:bookmarkStart w:id="129" w:name="_Toc32507"/>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rPr>
        <w:t>7</w:t>
      </w:r>
      <w:r>
        <w:rPr>
          <w:rFonts w:hint="eastAsia" w:ascii="宋体" w:hAnsi="宋体" w:eastAsia="宋体" w:cs="宋体"/>
          <w:color w:val="auto"/>
          <w:sz w:val="24"/>
          <w:szCs w:val="24"/>
          <w:highlight w:val="none"/>
        </w:rPr>
        <w:t xml:space="preserve"> 计量单位</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6966A5C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所有计量均采用中华人民共和国法定计量单位。</w:t>
      </w:r>
    </w:p>
    <w:p w14:paraId="349F1229">
      <w:pPr>
        <w:pStyle w:val="3"/>
        <w:spacing w:before="161"/>
        <w:ind w:left="320"/>
        <w:rPr>
          <w:rFonts w:hint="eastAsia" w:ascii="宋体" w:hAnsi="宋体" w:eastAsia="宋体" w:cs="宋体"/>
          <w:color w:val="auto"/>
          <w:sz w:val="24"/>
          <w:szCs w:val="24"/>
          <w:highlight w:val="none"/>
        </w:rPr>
      </w:pPr>
      <w:bookmarkStart w:id="130" w:name="_Toc12366_WPSOffice_Level2"/>
      <w:r>
        <w:rPr>
          <w:rFonts w:hint="eastAsia" w:ascii="宋体" w:hAnsi="宋体" w:eastAsia="宋体" w:cs="宋体"/>
          <w:color w:val="auto"/>
          <w:sz w:val="24"/>
          <w:szCs w:val="24"/>
          <w:highlight w:val="none"/>
        </w:rPr>
        <w:t>2、合格的磋商响应供应商</w:t>
      </w:r>
      <w:bookmarkEnd w:id="130"/>
    </w:p>
    <w:p w14:paraId="3C75CC77">
      <w:pPr>
        <w:pStyle w:val="3"/>
        <w:spacing w:before="161"/>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见供应商须知前附表</w:t>
      </w:r>
    </w:p>
    <w:p w14:paraId="13C90036">
      <w:pPr>
        <w:pStyle w:val="3"/>
        <w:spacing w:before="161"/>
        <w:ind w:left="320"/>
        <w:rPr>
          <w:rFonts w:hint="eastAsia" w:ascii="宋体" w:hAnsi="宋体" w:eastAsia="宋体" w:cs="宋体"/>
          <w:color w:val="auto"/>
          <w:sz w:val="24"/>
          <w:szCs w:val="24"/>
          <w:highlight w:val="none"/>
        </w:rPr>
      </w:pPr>
      <w:bookmarkStart w:id="131" w:name="_Toc8655_WPSOffice_Level2"/>
      <w:r>
        <w:rPr>
          <w:rFonts w:hint="eastAsia" w:ascii="宋体" w:hAnsi="宋体" w:eastAsia="宋体" w:cs="宋体"/>
          <w:color w:val="auto"/>
          <w:sz w:val="24"/>
          <w:szCs w:val="24"/>
          <w:highlight w:val="none"/>
        </w:rPr>
        <w:t>3、费用</w:t>
      </w:r>
      <w:bookmarkEnd w:id="131"/>
    </w:p>
    <w:p w14:paraId="4DE23520">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磋商响应供应商应自行承担参加磋商活动有关的全部费用，采购人在任何情况下均无义务和责任承担上述费用。</w:t>
      </w:r>
    </w:p>
    <w:p w14:paraId="5634D49F">
      <w:pPr>
        <w:keepNext w:val="0"/>
        <w:keepLines w:val="0"/>
        <w:pageBreakBefore w:val="0"/>
        <w:widowControl w:val="0"/>
        <w:kinsoku/>
        <w:wordWrap/>
        <w:overflowPunct/>
        <w:topLinePunct w:val="0"/>
        <w:autoSpaceDE/>
        <w:autoSpaceDN/>
        <w:bidi w:val="0"/>
        <w:adjustRightInd/>
        <w:snapToGrid/>
        <w:spacing w:line="600" w:lineRule="exact"/>
        <w:ind w:left="0" w:right="0" w:firstLine="0"/>
        <w:textAlignment w:val="auto"/>
        <w:rPr>
          <w:rFonts w:hint="eastAsia" w:ascii="宋体" w:hAnsi="宋体" w:eastAsia="宋体" w:cs="宋体"/>
          <w:b/>
          <w:color w:val="auto"/>
          <w:spacing w:val="-2"/>
          <w:sz w:val="24"/>
          <w:szCs w:val="24"/>
          <w:highlight w:val="none"/>
          <w:lang w:eastAsia="zh-CN"/>
        </w:rPr>
      </w:pPr>
      <w:bookmarkStart w:id="132" w:name="_Toc4976_WPSOffice_Level2"/>
      <w:r>
        <w:rPr>
          <w:rFonts w:hint="eastAsia" w:ascii="宋体" w:hAnsi="宋体" w:eastAsia="宋体" w:cs="宋体"/>
          <w:b/>
          <w:bCs/>
          <w:color w:val="auto"/>
          <w:kern w:val="2"/>
          <w:sz w:val="24"/>
          <w:szCs w:val="24"/>
          <w:highlight w:val="none"/>
          <w:lang w:val="en-US" w:eastAsia="zh-CN" w:bidi="ar-SA"/>
        </w:rPr>
        <w:t>4、竞争性磋商文件的</w:t>
      </w:r>
      <w:r>
        <w:rPr>
          <w:rFonts w:hint="eastAsia" w:ascii="宋体" w:hAnsi="宋体" w:cs="宋体"/>
          <w:b/>
          <w:bCs/>
          <w:color w:val="auto"/>
          <w:kern w:val="2"/>
          <w:sz w:val="24"/>
          <w:szCs w:val="24"/>
          <w:highlight w:val="none"/>
          <w:lang w:val="en-US" w:eastAsia="zh-CN" w:bidi="ar-SA"/>
        </w:rPr>
        <w:t>构成</w:t>
      </w:r>
    </w:p>
    <w:p w14:paraId="2CF8592F">
      <w:pPr>
        <w:pStyle w:val="6"/>
        <w:spacing w:before="2" w:line="364" w:lineRule="auto"/>
        <w:ind w:left="555" w:right="5329"/>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第一章 竞争性磋商公告</w:t>
      </w:r>
      <w:bookmarkEnd w:id="132"/>
    </w:p>
    <w:p w14:paraId="4DC166C3">
      <w:pPr>
        <w:pStyle w:val="6"/>
        <w:spacing w:before="2" w:line="364" w:lineRule="auto"/>
        <w:ind w:left="555" w:right="5329"/>
        <w:rPr>
          <w:rFonts w:hint="eastAsia" w:ascii="宋体" w:hAnsi="宋体" w:eastAsia="宋体" w:cs="宋体"/>
          <w:color w:val="auto"/>
          <w:spacing w:val="-2"/>
          <w:sz w:val="24"/>
          <w:szCs w:val="24"/>
          <w:highlight w:val="none"/>
        </w:rPr>
      </w:pPr>
      <w:bookmarkStart w:id="133" w:name="_Toc25399_WPSOffice_Level1"/>
      <w:r>
        <w:rPr>
          <w:rFonts w:hint="eastAsia" w:ascii="宋体" w:hAnsi="宋体" w:eastAsia="宋体" w:cs="宋体"/>
          <w:color w:val="auto"/>
          <w:spacing w:val="-2"/>
          <w:sz w:val="24"/>
          <w:szCs w:val="24"/>
          <w:highlight w:val="none"/>
        </w:rPr>
        <w:t>第二章 供应商须知</w:t>
      </w:r>
    </w:p>
    <w:p w14:paraId="5543E726">
      <w:pPr>
        <w:pStyle w:val="6"/>
        <w:spacing w:before="2" w:line="364" w:lineRule="auto"/>
        <w:ind w:left="555" w:right="5329"/>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 xml:space="preserve">第三章 </w:t>
      </w:r>
      <w:r>
        <w:rPr>
          <w:rFonts w:hint="eastAsia" w:ascii="宋体" w:hAnsi="宋体" w:cs="宋体"/>
          <w:color w:val="auto"/>
          <w:spacing w:val="-2"/>
          <w:sz w:val="24"/>
          <w:szCs w:val="24"/>
          <w:highlight w:val="none"/>
          <w:lang w:eastAsia="zh-CN"/>
        </w:rPr>
        <w:t>服务</w:t>
      </w:r>
      <w:r>
        <w:rPr>
          <w:rFonts w:hint="eastAsia" w:ascii="宋体" w:hAnsi="宋体" w:eastAsia="宋体" w:cs="宋体"/>
          <w:color w:val="auto"/>
          <w:spacing w:val="-2"/>
          <w:sz w:val="24"/>
          <w:szCs w:val="24"/>
          <w:highlight w:val="none"/>
        </w:rPr>
        <w:t>要求</w:t>
      </w:r>
      <w:bookmarkEnd w:id="133"/>
    </w:p>
    <w:p w14:paraId="5C8BB448">
      <w:pPr>
        <w:pStyle w:val="6"/>
        <w:spacing w:before="2" w:line="364" w:lineRule="auto"/>
        <w:ind w:left="555" w:right="5329"/>
        <w:rPr>
          <w:rFonts w:hint="eastAsia" w:ascii="宋体" w:hAnsi="宋体" w:eastAsia="宋体" w:cs="宋体"/>
          <w:color w:val="auto"/>
          <w:spacing w:val="-2"/>
          <w:sz w:val="24"/>
          <w:szCs w:val="24"/>
          <w:highlight w:val="none"/>
          <w:lang w:eastAsia="zh-CN"/>
        </w:rPr>
      </w:pPr>
      <w:bookmarkStart w:id="134" w:name="_Toc3669_WPSOffice_Level2"/>
      <w:r>
        <w:rPr>
          <w:rFonts w:hint="eastAsia" w:ascii="宋体" w:hAnsi="宋体" w:eastAsia="宋体" w:cs="宋体"/>
          <w:color w:val="auto"/>
          <w:spacing w:val="-2"/>
          <w:sz w:val="24"/>
          <w:szCs w:val="24"/>
          <w:highlight w:val="none"/>
        </w:rPr>
        <w:t>第四章 评审</w:t>
      </w:r>
      <w:bookmarkEnd w:id="134"/>
      <w:r>
        <w:rPr>
          <w:rFonts w:hint="eastAsia" w:ascii="宋体" w:hAnsi="宋体" w:cs="宋体"/>
          <w:color w:val="auto"/>
          <w:spacing w:val="-2"/>
          <w:sz w:val="24"/>
          <w:szCs w:val="24"/>
          <w:highlight w:val="none"/>
          <w:lang w:eastAsia="zh-CN"/>
        </w:rPr>
        <w:t>标准</w:t>
      </w:r>
    </w:p>
    <w:p w14:paraId="2E34007A">
      <w:pPr>
        <w:pStyle w:val="6"/>
        <w:spacing w:before="160"/>
        <w:ind w:left="555"/>
        <w:rPr>
          <w:rFonts w:hint="eastAsia" w:ascii="宋体" w:hAnsi="宋体" w:eastAsia="宋体" w:cs="宋体"/>
          <w:color w:val="auto"/>
          <w:sz w:val="24"/>
          <w:szCs w:val="24"/>
          <w:highlight w:val="none"/>
        </w:rPr>
      </w:pPr>
      <w:bookmarkStart w:id="135" w:name="_Toc1982_WPSOffice_Level2"/>
      <w:r>
        <w:rPr>
          <w:rFonts w:hint="eastAsia" w:ascii="宋体" w:hAnsi="宋体" w:eastAsia="宋体" w:cs="宋体"/>
          <w:color w:val="auto"/>
          <w:sz w:val="24"/>
          <w:szCs w:val="24"/>
          <w:highlight w:val="none"/>
        </w:rPr>
        <w:t>第五章 合同条款及格式</w:t>
      </w:r>
      <w:bookmarkEnd w:id="135"/>
    </w:p>
    <w:p w14:paraId="17459E34">
      <w:pPr>
        <w:pStyle w:val="6"/>
        <w:spacing w:before="161"/>
        <w:ind w:left="555"/>
        <w:rPr>
          <w:rFonts w:hint="eastAsia" w:ascii="宋体" w:hAnsi="宋体" w:eastAsia="宋体" w:cs="宋体"/>
          <w:color w:val="auto"/>
          <w:sz w:val="24"/>
          <w:szCs w:val="24"/>
          <w:highlight w:val="none"/>
        </w:rPr>
      </w:pPr>
      <w:bookmarkStart w:id="136" w:name="_Toc4328_WPSOffice_Level2"/>
      <w:r>
        <w:rPr>
          <w:rFonts w:hint="eastAsia" w:ascii="宋体" w:hAnsi="宋体" w:eastAsia="宋体" w:cs="宋体"/>
          <w:color w:val="auto"/>
          <w:sz w:val="24"/>
          <w:szCs w:val="24"/>
          <w:highlight w:val="none"/>
        </w:rPr>
        <w:t xml:space="preserve">第六章 </w:t>
      </w:r>
      <w:r>
        <w:rPr>
          <w:rFonts w:hint="eastAsia" w:ascii="宋体" w:hAnsi="宋体" w:cs="宋体"/>
          <w:color w:val="auto"/>
          <w:sz w:val="24"/>
          <w:szCs w:val="24"/>
          <w:highlight w:val="none"/>
          <w:lang w:eastAsia="zh-CN"/>
        </w:rPr>
        <w:t>磋商响应文件</w:t>
      </w:r>
      <w:r>
        <w:rPr>
          <w:rFonts w:hint="eastAsia" w:ascii="宋体" w:hAnsi="宋体" w:eastAsia="宋体" w:cs="宋体"/>
          <w:color w:val="auto"/>
          <w:sz w:val="24"/>
          <w:szCs w:val="24"/>
          <w:highlight w:val="none"/>
        </w:rPr>
        <w:t>格式</w:t>
      </w:r>
      <w:bookmarkEnd w:id="136"/>
    </w:p>
    <w:p w14:paraId="5058AB5D">
      <w:pPr>
        <w:pStyle w:val="3"/>
        <w:spacing w:before="160"/>
        <w:ind w:left="320"/>
        <w:rPr>
          <w:rFonts w:hint="eastAsia" w:ascii="宋体" w:hAnsi="宋体" w:eastAsia="宋体" w:cs="宋体"/>
          <w:color w:val="auto"/>
          <w:sz w:val="24"/>
          <w:szCs w:val="24"/>
          <w:highlight w:val="none"/>
        </w:rPr>
      </w:pPr>
      <w:bookmarkStart w:id="137" w:name="_Toc20095_WPSOffice_Level3"/>
      <w:r>
        <w:rPr>
          <w:rFonts w:hint="eastAsia" w:ascii="宋体" w:hAnsi="宋体" w:eastAsia="宋体" w:cs="宋体"/>
          <w:color w:val="auto"/>
          <w:sz w:val="24"/>
          <w:szCs w:val="24"/>
          <w:highlight w:val="none"/>
        </w:rPr>
        <w:t>5、竞争性磋商文件的澄清</w:t>
      </w:r>
      <w:bookmarkEnd w:id="137"/>
    </w:p>
    <w:p w14:paraId="5F121105">
      <w:pPr>
        <w:pStyle w:val="31"/>
        <w:numPr>
          <w:ilvl w:val="1"/>
          <w:numId w:val="2"/>
        </w:numPr>
        <w:tabs>
          <w:tab w:val="left" w:pos="1101"/>
        </w:tabs>
        <w:spacing w:before="161" w:line="364" w:lineRule="auto"/>
        <w:ind w:right="338"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可主动地或在解答供应商提出的澄清问题时对采购文件进行澄清或修改。采购代理机构将以发布澄清（更正）公告的方式，澄清或修改采购文件，澄清或修改的内容作为采购文件的组成部分。澄清或者修改的内容可能影响响应文件编制的，应当在递交首次响应文件截止时间至少3个工作日前，在原公告发布媒体上发布变更公告（或澄清公告），不足3个工作日的，应当顺延首次递交响应文件截止时间。</w:t>
      </w:r>
    </w:p>
    <w:p w14:paraId="7F700921">
      <w:pPr>
        <w:pStyle w:val="31"/>
        <w:numPr>
          <w:ilvl w:val="1"/>
          <w:numId w:val="2"/>
        </w:numPr>
        <w:tabs>
          <w:tab w:val="left" w:pos="1101"/>
        </w:tabs>
        <w:spacing w:before="161" w:line="364" w:lineRule="auto"/>
        <w:ind w:right="338"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采购文件的澄清将在供应商须知前附表规定的时间在</w:t>
      </w:r>
      <w:r>
        <w:rPr>
          <w:rFonts w:hint="eastAsia" w:ascii="宋体" w:hAnsi="宋体" w:eastAsia="宋体" w:cs="宋体"/>
          <w:color w:val="auto"/>
          <w:sz w:val="24"/>
          <w:szCs w:val="24"/>
          <w:highlight w:val="none"/>
          <w:lang w:val="en-US" w:eastAsia="zh-CN"/>
        </w:rPr>
        <w:t>三门峡市</w:t>
      </w:r>
      <w:r>
        <w:rPr>
          <w:rFonts w:hint="eastAsia" w:ascii="宋体" w:hAnsi="宋体" w:eastAsia="宋体" w:cs="宋体"/>
          <w:color w:val="auto"/>
          <w:sz w:val="24"/>
          <w:szCs w:val="24"/>
          <w:highlight w:val="none"/>
        </w:rPr>
        <w:t>公共资源交易平台上公布给供应商，但不指明澄清问题的来源</w:t>
      </w:r>
      <w:r>
        <w:rPr>
          <w:rFonts w:hint="eastAsia" w:ascii="宋体" w:hAnsi="宋体" w:eastAsia="宋体" w:cs="宋体"/>
          <w:color w:val="auto"/>
          <w:sz w:val="24"/>
          <w:szCs w:val="24"/>
          <w:highlight w:val="none"/>
          <w:lang w:eastAsia="zh-CN"/>
        </w:rPr>
        <w:t>。</w:t>
      </w:r>
    </w:p>
    <w:p w14:paraId="771AF0F3">
      <w:pPr>
        <w:pStyle w:val="31"/>
        <w:numPr>
          <w:ilvl w:val="1"/>
          <w:numId w:val="2"/>
        </w:numPr>
        <w:tabs>
          <w:tab w:val="left" w:pos="1101"/>
        </w:tabs>
        <w:spacing w:before="161" w:line="364" w:lineRule="auto"/>
        <w:ind w:right="338"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采购人、采购代理机构对已发出的采购文件进行的澄清、更正或修改，澄清、更正或修改的内容将作为采购文件的组成部分。采购代理机构将通过</w:t>
      </w:r>
      <w:r>
        <w:rPr>
          <w:rFonts w:hint="eastAsia" w:ascii="宋体" w:hAnsi="宋体" w:eastAsia="宋体" w:cs="宋体"/>
          <w:color w:val="auto"/>
          <w:sz w:val="24"/>
          <w:szCs w:val="24"/>
          <w:highlight w:val="none"/>
          <w:lang w:val="en-US" w:eastAsia="zh-CN"/>
        </w:rPr>
        <w:t>三门峡市</w:t>
      </w:r>
      <w:r>
        <w:rPr>
          <w:rFonts w:hint="eastAsia" w:ascii="宋体" w:hAnsi="宋体" w:eastAsia="宋体" w:cs="宋体"/>
          <w:color w:val="auto"/>
          <w:sz w:val="24"/>
          <w:szCs w:val="24"/>
          <w:highlight w:val="none"/>
        </w:rPr>
        <w:t>公共资源交易中心交易平台“变更（澄清或更正）公告”和系统内部“答疑文件”告知供应商，各供应商须重新下载最新的答疑、变更（澄清或更正）文件，以此编制响应文件。</w:t>
      </w:r>
    </w:p>
    <w:p w14:paraId="02F08E5D">
      <w:pPr>
        <w:pStyle w:val="31"/>
        <w:numPr>
          <w:ilvl w:val="1"/>
          <w:numId w:val="2"/>
        </w:numPr>
        <w:tabs>
          <w:tab w:val="left" w:pos="1101"/>
        </w:tabs>
        <w:spacing w:before="161" w:line="364" w:lineRule="auto"/>
        <w:ind w:right="338" w:firstLine="36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采购人将视情况在认为必要时于采购截止时间前答疑。</w:t>
      </w:r>
    </w:p>
    <w:p w14:paraId="4C5492DC">
      <w:pPr>
        <w:pStyle w:val="3"/>
        <w:spacing w:before="160"/>
        <w:ind w:left="320"/>
        <w:rPr>
          <w:rFonts w:hint="eastAsia" w:ascii="宋体" w:hAnsi="宋体" w:eastAsia="宋体" w:cs="宋体"/>
          <w:color w:val="auto"/>
          <w:sz w:val="24"/>
          <w:szCs w:val="24"/>
          <w:highlight w:val="none"/>
        </w:rPr>
      </w:pPr>
      <w:bookmarkStart w:id="138" w:name="_Toc20123_WPSOffice_Level3"/>
      <w:r>
        <w:rPr>
          <w:rFonts w:hint="eastAsia" w:ascii="宋体" w:hAnsi="宋体" w:eastAsia="宋体" w:cs="宋体"/>
          <w:color w:val="auto"/>
          <w:sz w:val="24"/>
          <w:szCs w:val="24"/>
          <w:highlight w:val="none"/>
        </w:rPr>
        <w:t>6、竞争性磋商文件的修改</w:t>
      </w:r>
      <w:bookmarkEnd w:id="138"/>
    </w:p>
    <w:p w14:paraId="0441F2CB">
      <w:pPr>
        <w:pStyle w:val="6"/>
        <w:keepNext w:val="0"/>
        <w:keepLines w:val="0"/>
        <w:pageBreakBefore w:val="0"/>
        <w:widowControl w:val="0"/>
        <w:kinsoku/>
        <w:wordWrap/>
        <w:overflowPunct/>
        <w:topLinePunct w:val="0"/>
        <w:autoSpaceDE/>
        <w:autoSpaceDN/>
        <w:bidi w:val="0"/>
        <w:adjustRightInd/>
        <w:snapToGrid/>
        <w:spacing w:before="160" w:line="365" w:lineRule="auto"/>
        <w:ind w:right="340" w:firstLine="472" w:firstLineChars="200"/>
        <w:jc w:val="both"/>
        <w:textAlignment w:val="auto"/>
        <w:rPr>
          <w:rFonts w:hint="eastAsia" w:ascii="宋体" w:hAnsi="宋体" w:eastAsia="宋体" w:cs="宋体"/>
          <w:color w:val="auto"/>
          <w:spacing w:val="-2"/>
          <w:sz w:val="24"/>
          <w:szCs w:val="24"/>
          <w:highlight w:val="none"/>
          <w:lang w:val="en-US" w:eastAsia="zh-CN"/>
        </w:rPr>
      </w:pPr>
      <w:r>
        <w:rPr>
          <w:rFonts w:hint="eastAsia" w:ascii="宋体" w:hAnsi="宋体" w:eastAsia="宋体" w:cs="宋体"/>
          <w:color w:val="auto"/>
          <w:spacing w:val="-2"/>
          <w:sz w:val="24"/>
          <w:szCs w:val="24"/>
          <w:highlight w:val="none"/>
        </w:rPr>
        <w:t>6.1</w:t>
      </w:r>
      <w:r>
        <w:rPr>
          <w:rFonts w:hint="eastAsia" w:ascii="宋体" w:hAnsi="宋体" w:eastAsia="宋体" w:cs="宋体"/>
          <w:color w:val="auto"/>
          <w:spacing w:val="-2"/>
          <w:sz w:val="24"/>
          <w:szCs w:val="24"/>
          <w:highlight w:val="none"/>
          <w:lang w:val="en-US" w:eastAsia="zh-CN"/>
        </w:rPr>
        <w:t xml:space="preserve"> 三门峡市</w:t>
      </w:r>
      <w:r>
        <w:rPr>
          <w:rFonts w:hint="eastAsia" w:ascii="宋体" w:hAnsi="宋体" w:eastAsia="宋体" w:cs="宋体"/>
          <w:color w:val="auto"/>
          <w:spacing w:val="-2"/>
          <w:sz w:val="24"/>
          <w:szCs w:val="24"/>
          <w:highlight w:val="none"/>
        </w:rPr>
        <w:t>公共资源交易中心平台供应商信息在磋商开始前具有保密性，供应商在响应文件提交截止时间前应当自行查看项目进展、答疑、变更（澄清或更正）通知、澄清及回复，因供应商未及时查看而造成的后果自负</w:t>
      </w:r>
      <w:r>
        <w:rPr>
          <w:rFonts w:hint="eastAsia" w:ascii="宋体" w:hAnsi="宋体" w:eastAsia="宋体" w:cs="宋体"/>
          <w:color w:val="auto"/>
          <w:spacing w:val="-2"/>
          <w:sz w:val="24"/>
          <w:szCs w:val="24"/>
          <w:highlight w:val="none"/>
          <w:lang w:val="en-US" w:eastAsia="zh-CN"/>
        </w:rPr>
        <w:t>.</w:t>
      </w:r>
    </w:p>
    <w:p w14:paraId="42888DD8">
      <w:pPr>
        <w:pStyle w:val="6"/>
        <w:keepNext w:val="0"/>
        <w:keepLines w:val="0"/>
        <w:pageBreakBefore w:val="0"/>
        <w:widowControl w:val="0"/>
        <w:kinsoku/>
        <w:wordWrap/>
        <w:overflowPunct/>
        <w:topLinePunct w:val="0"/>
        <w:autoSpaceDE/>
        <w:autoSpaceDN/>
        <w:bidi w:val="0"/>
        <w:adjustRightInd/>
        <w:snapToGrid/>
        <w:spacing w:before="160" w:line="365" w:lineRule="auto"/>
        <w:ind w:right="340" w:firstLine="472" w:firstLineChars="20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val="en-US" w:eastAsia="zh-CN"/>
        </w:rPr>
        <w:t>6.2</w:t>
      </w:r>
      <w:r>
        <w:rPr>
          <w:rFonts w:hint="eastAsia" w:ascii="宋体" w:hAnsi="宋体" w:eastAsia="宋体" w:cs="宋体"/>
          <w:color w:val="auto"/>
          <w:spacing w:val="-2"/>
          <w:sz w:val="24"/>
          <w:szCs w:val="24"/>
          <w:highlight w:val="none"/>
        </w:rPr>
        <w:t>竞争性磋商文件的修改书将构成磋商响应文件的一部分，对所有磋商响应供应商均有约束力。</w:t>
      </w:r>
    </w:p>
    <w:p w14:paraId="014A4DCD">
      <w:pPr>
        <w:pStyle w:val="31"/>
        <w:tabs>
          <w:tab w:val="left" w:pos="1101"/>
        </w:tabs>
        <w:spacing w:before="161" w:line="364" w:lineRule="auto"/>
        <w:ind w:left="0" w:right="338" w:firstLine="241" w:firstLineChars="100"/>
        <w:jc w:val="both"/>
        <w:rPr>
          <w:rFonts w:hint="eastAsia" w:ascii="宋体" w:hAnsi="宋体" w:eastAsia="宋体" w:cs="宋体"/>
          <w:b/>
          <w:bCs/>
          <w:color w:val="auto"/>
          <w:sz w:val="24"/>
          <w:szCs w:val="24"/>
          <w:highlight w:val="none"/>
        </w:rPr>
      </w:pPr>
      <w:bookmarkStart w:id="139" w:name="_Toc12366_WPSOffice_Level3"/>
      <w:r>
        <w:rPr>
          <w:rFonts w:hint="eastAsia" w:ascii="宋体" w:hAnsi="宋体" w:eastAsia="宋体" w:cs="宋体"/>
          <w:b/>
          <w:bCs/>
          <w:color w:val="auto"/>
          <w:sz w:val="24"/>
          <w:szCs w:val="24"/>
          <w:highlight w:val="none"/>
        </w:rPr>
        <w:t>7、要求</w:t>
      </w:r>
      <w:bookmarkEnd w:id="139"/>
    </w:p>
    <w:p w14:paraId="725FE1EB">
      <w:pPr>
        <w:pStyle w:val="6"/>
        <w:spacing w:before="160" w:line="364" w:lineRule="auto"/>
        <w:ind w:right="338" w:firstLine="24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7.1 磋商响应供应商应仔细阅读竞争性磋商文件的所有内容，按竞争性磋商文件的要求提供磋商响应文件，并保证所提供资料的真实性，以使其磋商响应文件对竞争性磋商文件作出实质性响应，否则，其磋商响应文件不予接受。</w:t>
      </w:r>
    </w:p>
    <w:p w14:paraId="4018FAD6">
      <w:pPr>
        <w:pStyle w:val="31"/>
        <w:tabs>
          <w:tab w:val="left" w:pos="1101"/>
        </w:tabs>
        <w:spacing w:line="500" w:lineRule="exact"/>
        <w:ind w:left="0" w:firstLine="482" w:firstLineChars="200"/>
        <w:jc w:val="both"/>
        <w:rPr>
          <w:rFonts w:hint="eastAsia" w:ascii="宋体" w:hAnsi="宋体" w:eastAsia="宋体" w:cs="宋体"/>
          <w:b/>
          <w:bCs/>
          <w:color w:val="auto"/>
          <w:sz w:val="24"/>
          <w:szCs w:val="24"/>
          <w:highlight w:val="none"/>
        </w:rPr>
      </w:pPr>
      <w:bookmarkStart w:id="140" w:name="_Toc8655_WPSOffice_Level3"/>
      <w:r>
        <w:rPr>
          <w:rFonts w:hint="eastAsia" w:ascii="宋体" w:hAnsi="宋体" w:eastAsia="宋体" w:cs="宋体"/>
          <w:b/>
          <w:bCs/>
          <w:color w:val="auto"/>
          <w:sz w:val="24"/>
          <w:szCs w:val="24"/>
          <w:highlight w:val="none"/>
        </w:rPr>
        <w:t>8、电子化磋商响应文件的组成</w:t>
      </w:r>
      <w:bookmarkEnd w:id="140"/>
    </w:p>
    <w:p w14:paraId="762D1836">
      <w:pPr>
        <w:pStyle w:val="31"/>
        <w:tabs>
          <w:tab w:val="left" w:pos="1101"/>
        </w:tabs>
        <w:spacing w:line="500" w:lineRule="exact"/>
        <w:ind w:left="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详见第六章响应文件内容及格式</w:t>
      </w:r>
    </w:p>
    <w:p w14:paraId="42C0CD34">
      <w:pPr>
        <w:pStyle w:val="31"/>
        <w:tabs>
          <w:tab w:val="left" w:pos="1101"/>
        </w:tabs>
        <w:spacing w:line="500" w:lineRule="exact"/>
        <w:ind w:left="0" w:firstLine="482" w:firstLineChars="200"/>
        <w:jc w:val="both"/>
        <w:rPr>
          <w:rFonts w:hint="eastAsia" w:ascii="宋体" w:hAnsi="宋体" w:eastAsia="宋体" w:cs="宋体"/>
          <w:b/>
          <w:bCs/>
          <w:color w:val="auto"/>
          <w:sz w:val="24"/>
          <w:szCs w:val="24"/>
          <w:highlight w:val="none"/>
        </w:rPr>
      </w:pPr>
      <w:bookmarkStart w:id="141" w:name="_Toc4976_WPSOffice_Level3"/>
      <w:r>
        <w:rPr>
          <w:rFonts w:hint="eastAsia" w:ascii="宋体" w:hAnsi="宋体" w:eastAsia="宋体" w:cs="宋体"/>
          <w:b/>
          <w:bCs/>
          <w:color w:val="auto"/>
          <w:sz w:val="24"/>
          <w:szCs w:val="24"/>
          <w:highlight w:val="none"/>
        </w:rPr>
        <w:t>9、电子化磋商响应文件的格式</w:t>
      </w:r>
      <w:bookmarkEnd w:id="141"/>
    </w:p>
    <w:p w14:paraId="5939F1A9">
      <w:pPr>
        <w:pStyle w:val="6"/>
        <w:spacing w:before="161" w:line="364" w:lineRule="auto"/>
        <w:ind w:right="337"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w:t>
      </w:r>
      <w:r>
        <w:rPr>
          <w:rFonts w:hint="eastAsia" w:ascii="宋体" w:hAnsi="宋体" w:eastAsia="宋体" w:cs="宋体"/>
          <w:color w:val="auto"/>
          <w:spacing w:val="-12"/>
          <w:sz w:val="24"/>
          <w:szCs w:val="24"/>
          <w:highlight w:val="none"/>
        </w:rPr>
        <w:t>投标供应商所上传的电子化响应文件，应是通过中心响应文件制作系统制作的，经过签章和加密后生成的电子版响应文件。上传投标文件格式后缀为SMXTF。上传完后，为了验证CA锁是否正常，建议模拟解密下</w:t>
      </w:r>
      <w:r>
        <w:rPr>
          <w:rFonts w:hint="eastAsia" w:ascii="宋体" w:hAnsi="宋体" w:eastAsia="宋体" w:cs="宋体"/>
          <w:color w:val="auto"/>
          <w:sz w:val="24"/>
          <w:szCs w:val="24"/>
          <w:highlight w:val="none"/>
        </w:rPr>
        <w:t>。</w:t>
      </w:r>
    </w:p>
    <w:p w14:paraId="43C80227">
      <w:pPr>
        <w:pStyle w:val="31"/>
        <w:tabs>
          <w:tab w:val="left" w:pos="1101"/>
        </w:tabs>
        <w:spacing w:line="500" w:lineRule="exact"/>
        <w:ind w:left="0" w:firstLine="482" w:firstLineChars="200"/>
        <w:jc w:val="both"/>
        <w:rPr>
          <w:rFonts w:hint="eastAsia" w:ascii="宋体" w:hAnsi="宋体" w:eastAsia="宋体" w:cs="宋体"/>
          <w:b/>
          <w:bCs/>
          <w:color w:val="auto"/>
          <w:sz w:val="24"/>
          <w:szCs w:val="24"/>
          <w:highlight w:val="none"/>
        </w:rPr>
      </w:pPr>
      <w:bookmarkStart w:id="142" w:name="_Toc3669_WPSOffice_Level3"/>
      <w:r>
        <w:rPr>
          <w:rFonts w:hint="eastAsia" w:ascii="宋体" w:hAnsi="宋体" w:eastAsia="宋体" w:cs="宋体"/>
          <w:b/>
          <w:bCs/>
          <w:color w:val="auto"/>
          <w:sz w:val="24"/>
          <w:szCs w:val="24"/>
          <w:highlight w:val="none"/>
        </w:rPr>
        <w:t>10、电子化磋商响应文件的签署</w:t>
      </w:r>
      <w:bookmarkEnd w:id="142"/>
    </w:p>
    <w:p w14:paraId="4979F148">
      <w:pPr>
        <w:pStyle w:val="6"/>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rPr>
        <w:t>10.1 磋商响应供应商在进行电子化磋商响应文件签章时，竞争性磋商文件中要求磋商响应供应商盖章的，以签盖单位章为准；要求法定代表人签章的，以签盖法定代表人签章为准。电子化磋商响应文件具体制作教材请供应商通过三门峡市公共资源交易平台网首页“下载专区”中查看。</w:t>
      </w:r>
    </w:p>
    <w:p w14:paraId="2659AE89">
      <w:pPr>
        <w:pStyle w:val="3"/>
        <w:tabs>
          <w:tab w:val="left" w:pos="687"/>
        </w:tabs>
        <w:spacing w:before="1"/>
        <w:ind w:left="0" w:firstLine="482" w:firstLineChars="200"/>
        <w:rPr>
          <w:rFonts w:hint="eastAsia" w:ascii="宋体" w:hAnsi="宋体" w:eastAsia="宋体" w:cs="宋体"/>
          <w:color w:val="auto"/>
          <w:sz w:val="24"/>
          <w:szCs w:val="24"/>
          <w:highlight w:val="none"/>
        </w:rPr>
      </w:pPr>
      <w:bookmarkStart w:id="143" w:name="_Toc1982_WPSOffice_Level3"/>
      <w:r>
        <w:rPr>
          <w:rFonts w:hint="eastAsia" w:ascii="宋体" w:hAnsi="宋体" w:eastAsia="宋体" w:cs="宋体"/>
          <w:color w:val="auto"/>
          <w:sz w:val="24"/>
          <w:szCs w:val="24"/>
          <w:highlight w:val="none"/>
        </w:rPr>
        <w:t>11、电子化磋商响应文件的上传</w:t>
      </w:r>
      <w:bookmarkEnd w:id="143"/>
    </w:p>
    <w:p w14:paraId="184822C8">
      <w:pPr>
        <w:pStyle w:val="6"/>
        <w:spacing w:before="161" w:line="364" w:lineRule="auto"/>
        <w:ind w:right="403"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r>
        <w:rPr>
          <w:rFonts w:hint="eastAsia" w:ascii="宋体" w:hAnsi="宋体" w:eastAsia="宋体" w:cs="宋体"/>
          <w:color w:val="auto"/>
          <w:spacing w:val="-9"/>
          <w:sz w:val="24"/>
          <w:szCs w:val="24"/>
          <w:highlight w:val="none"/>
        </w:rPr>
        <w:t xml:space="preserve"> 电子化磋商响应文件应在磋商截止时间前成功上传至三门峡市公共资源电子化</w:t>
      </w:r>
      <w:r>
        <w:rPr>
          <w:rFonts w:hint="eastAsia" w:ascii="宋体" w:hAnsi="宋体" w:eastAsia="宋体" w:cs="宋体"/>
          <w:color w:val="auto"/>
          <w:sz w:val="24"/>
          <w:szCs w:val="24"/>
          <w:highlight w:val="none"/>
        </w:rPr>
        <w:t>交易系统。至磋商截止时间止，仍未上传成功的电子化磋商响应文件将不予接收。</w:t>
      </w:r>
    </w:p>
    <w:p w14:paraId="45E0EB61">
      <w:pPr>
        <w:pStyle w:val="6"/>
        <w:spacing w:before="1"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b/>
          <w:color w:val="auto"/>
          <w:spacing w:val="-29"/>
          <w:sz w:val="24"/>
          <w:szCs w:val="24"/>
          <w:highlight w:val="none"/>
        </w:rPr>
        <w:t>注：</w:t>
      </w:r>
      <w:r>
        <w:rPr>
          <w:rFonts w:hint="eastAsia" w:ascii="宋体" w:hAnsi="宋体" w:eastAsia="宋体" w:cs="宋体"/>
          <w:color w:val="auto"/>
          <w:spacing w:val="-3"/>
          <w:sz w:val="24"/>
          <w:szCs w:val="24"/>
          <w:highlight w:val="none"/>
        </w:rPr>
        <w:t>如按照电子化投标操作教材制作完成的电子化磋商响应文件无法上传的，磋商响</w:t>
      </w:r>
      <w:r>
        <w:rPr>
          <w:rFonts w:hint="eastAsia" w:ascii="宋体" w:hAnsi="宋体" w:eastAsia="宋体" w:cs="宋体"/>
          <w:color w:val="auto"/>
          <w:sz w:val="24"/>
          <w:szCs w:val="24"/>
          <w:highlight w:val="none"/>
        </w:rPr>
        <w:t>应供应商应在磋商截止时间前尽早的联系中心技术人员，以便有充分的时间进行处理。磋商响应供应商应充分考虑到处理技术问题和上传数据等工作的时间问题，磋商响应文件未在磋商截止时间前成功上传的，其磋商响应文件不予接收。</w:t>
      </w:r>
    </w:p>
    <w:p w14:paraId="5B394055">
      <w:pPr>
        <w:pStyle w:val="3"/>
        <w:spacing w:before="3"/>
        <w:ind w:left="0" w:firstLine="482" w:firstLineChars="200"/>
        <w:rPr>
          <w:rFonts w:hint="eastAsia" w:ascii="宋体" w:hAnsi="宋体" w:eastAsia="宋体" w:cs="宋体"/>
          <w:color w:val="auto"/>
          <w:sz w:val="24"/>
          <w:szCs w:val="24"/>
          <w:highlight w:val="none"/>
        </w:rPr>
      </w:pPr>
      <w:bookmarkStart w:id="144" w:name="_Toc4328_WPSOffice_Level3"/>
      <w:r>
        <w:rPr>
          <w:rFonts w:hint="eastAsia" w:ascii="宋体" w:hAnsi="宋体" w:eastAsia="宋体" w:cs="宋体"/>
          <w:color w:val="auto"/>
          <w:sz w:val="24"/>
          <w:szCs w:val="24"/>
          <w:highlight w:val="none"/>
        </w:rPr>
        <w:t>12、磋商截止时间</w:t>
      </w:r>
      <w:bookmarkEnd w:id="144"/>
    </w:p>
    <w:p w14:paraId="251FEF3E">
      <w:pPr>
        <w:pStyle w:val="6"/>
        <w:spacing w:before="160"/>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电子化磋商响应文件的截止时间见本须知前附表规定。</w:t>
      </w:r>
    </w:p>
    <w:p w14:paraId="623A69DA">
      <w:pPr>
        <w:pStyle w:val="3"/>
        <w:spacing w:before="3"/>
        <w:ind w:left="0" w:firstLine="482" w:firstLineChars="200"/>
        <w:rPr>
          <w:rFonts w:hint="eastAsia" w:ascii="宋体" w:hAnsi="宋体" w:eastAsia="宋体" w:cs="宋体"/>
          <w:color w:val="auto"/>
          <w:sz w:val="24"/>
          <w:szCs w:val="24"/>
          <w:highlight w:val="none"/>
        </w:rPr>
      </w:pPr>
      <w:bookmarkStart w:id="145" w:name="_Toc14892_WPSOffice_Level3"/>
      <w:r>
        <w:rPr>
          <w:rFonts w:hint="eastAsia" w:ascii="宋体" w:hAnsi="宋体" w:eastAsia="宋体" w:cs="宋体"/>
          <w:color w:val="auto"/>
          <w:sz w:val="24"/>
          <w:szCs w:val="24"/>
          <w:highlight w:val="none"/>
        </w:rPr>
        <w:t>13、电子化磋商响应文件的补充、修改与撤回</w:t>
      </w:r>
      <w:bookmarkEnd w:id="145"/>
    </w:p>
    <w:p w14:paraId="305D9606">
      <w:pPr>
        <w:pStyle w:val="6"/>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rPr>
        <w:t>13.1 在磋商截止时间之后，磋商响应供应商不得补充、修改电子化磋商响应文件。</w:t>
      </w:r>
    </w:p>
    <w:p w14:paraId="6032FFCF">
      <w:pPr>
        <w:pStyle w:val="6"/>
        <w:spacing w:before="161" w:line="364" w:lineRule="auto"/>
        <w:ind w:right="337"/>
        <w:jc w:val="both"/>
        <w:rPr>
          <w:rFonts w:hint="eastAsia" w:ascii="宋体" w:hAnsi="宋体" w:eastAsia="宋体" w:cs="宋体"/>
          <w:b/>
          <w:bCs/>
          <w:color w:val="auto"/>
          <w:sz w:val="24"/>
          <w:szCs w:val="24"/>
          <w:highlight w:val="none"/>
        </w:rPr>
      </w:pPr>
      <w:bookmarkStart w:id="146" w:name="_Toc16713_WPSOffice_Level3"/>
      <w:r>
        <w:rPr>
          <w:rFonts w:hint="eastAsia" w:ascii="宋体" w:hAnsi="宋体" w:eastAsia="宋体" w:cs="宋体"/>
          <w:b/>
          <w:bCs/>
          <w:color w:val="auto"/>
          <w:sz w:val="24"/>
          <w:szCs w:val="24"/>
          <w:highlight w:val="none"/>
        </w:rPr>
        <w:t>14、磋商报价</w:t>
      </w:r>
      <w:bookmarkEnd w:id="146"/>
    </w:p>
    <w:p w14:paraId="24433C9B">
      <w:pPr>
        <w:pStyle w:val="6"/>
        <w:spacing w:before="161" w:line="364" w:lineRule="auto"/>
        <w:ind w:right="337" w:firstLine="420"/>
        <w:jc w:val="both"/>
        <w:rPr>
          <w:rFonts w:hint="eastAsia" w:ascii="宋体" w:hAnsi="宋体" w:eastAsia="宋体" w:cs="宋体"/>
          <w:b/>
          <w:bCs/>
          <w:color w:val="auto"/>
          <w:sz w:val="24"/>
          <w:szCs w:val="24"/>
          <w:highlight w:val="none"/>
        </w:rPr>
      </w:pPr>
      <w:r>
        <w:rPr>
          <w:rFonts w:hint="eastAsia" w:ascii="宋体" w:hAnsi="宋体" w:eastAsia="宋体" w:cs="宋体"/>
          <w:color w:val="auto"/>
          <w:spacing w:val="-12"/>
          <w:sz w:val="24"/>
          <w:szCs w:val="24"/>
          <w:highlight w:val="none"/>
          <w:lang w:val="en-US"/>
        </w:rPr>
        <w:t xml:space="preserve">14.1 </w:t>
      </w:r>
      <w:r>
        <w:rPr>
          <w:rFonts w:hint="eastAsia" w:ascii="宋体" w:hAnsi="宋体" w:eastAsia="宋体" w:cs="宋体"/>
          <w:color w:val="auto"/>
          <w:spacing w:val="-12"/>
          <w:sz w:val="24"/>
          <w:szCs w:val="24"/>
          <w:highlight w:val="none"/>
        </w:rPr>
        <w:t>本次采购的均须以人民币为计算单位。</w:t>
      </w:r>
    </w:p>
    <w:p w14:paraId="58C2F8F9">
      <w:pPr>
        <w:pStyle w:val="6"/>
        <w:spacing w:before="161" w:line="364" w:lineRule="auto"/>
        <w:ind w:right="337" w:firstLine="420"/>
        <w:jc w:val="both"/>
        <w:rPr>
          <w:rFonts w:hint="eastAsia" w:ascii="宋体" w:hAnsi="宋体" w:eastAsia="宋体" w:cs="宋体"/>
          <w:color w:val="auto"/>
          <w:spacing w:val="-12"/>
          <w:sz w:val="24"/>
          <w:szCs w:val="24"/>
          <w:highlight w:val="yellow"/>
        </w:rPr>
      </w:pPr>
      <w:r>
        <w:rPr>
          <w:rFonts w:hint="eastAsia" w:ascii="宋体" w:hAnsi="宋体" w:eastAsia="宋体" w:cs="宋体"/>
          <w:color w:val="auto"/>
          <w:spacing w:val="-12"/>
          <w:sz w:val="24"/>
          <w:szCs w:val="24"/>
          <w:highlight w:val="none"/>
          <w:lang w:val="en-US"/>
        </w:rPr>
        <w:t xml:space="preserve">14.2 </w:t>
      </w:r>
      <w:r>
        <w:rPr>
          <w:rFonts w:hint="eastAsia" w:ascii="宋体" w:hAnsi="宋体" w:eastAsia="宋体" w:cs="宋体"/>
          <w:color w:val="auto"/>
          <w:spacing w:val="-12"/>
          <w:sz w:val="24"/>
          <w:szCs w:val="24"/>
          <w:highlight w:val="none"/>
        </w:rPr>
        <w:t>供应商应包含验收合格正式交付使用前所发生的一切费用。</w:t>
      </w:r>
    </w:p>
    <w:p w14:paraId="227272A3">
      <w:pPr>
        <w:pStyle w:val="6"/>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 xml:space="preserve">14.3 </w:t>
      </w:r>
      <w:r>
        <w:rPr>
          <w:rFonts w:hint="eastAsia" w:ascii="宋体" w:hAnsi="宋体" w:eastAsia="宋体" w:cs="宋体"/>
          <w:color w:val="auto"/>
          <w:spacing w:val="-12"/>
          <w:sz w:val="24"/>
          <w:szCs w:val="24"/>
          <w:highlight w:val="none"/>
        </w:rPr>
        <w:t>磋商响应供应商应充分考虑市场风险和国家政策性风险系数，根据企业具体情况在合理的范围内自主报价，但不得低于企业实际成本。</w:t>
      </w:r>
    </w:p>
    <w:p w14:paraId="62B20F31">
      <w:pPr>
        <w:pStyle w:val="6"/>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 xml:space="preserve">14.4 </w:t>
      </w:r>
      <w:r>
        <w:rPr>
          <w:rFonts w:hint="eastAsia" w:ascii="宋体" w:hAnsi="宋体" w:eastAsia="宋体" w:cs="宋体"/>
          <w:color w:val="auto"/>
          <w:spacing w:val="-12"/>
          <w:sz w:val="24"/>
          <w:szCs w:val="24"/>
          <w:highlight w:val="none"/>
        </w:rPr>
        <w:t>磋商响应供应商的磋商报价应包含验收合格正式交付使用前所发生的一切费用，且磋商响应供应商只能提出一个报价，采购人不接受任何有选择的报价，最后报价不得超过项目采购预算。</w:t>
      </w:r>
    </w:p>
    <w:p w14:paraId="38B01987">
      <w:pPr>
        <w:pStyle w:val="6"/>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 xml:space="preserve">14.5 </w:t>
      </w:r>
      <w:r>
        <w:rPr>
          <w:rFonts w:hint="eastAsia" w:ascii="宋体" w:hAnsi="宋体" w:eastAsia="宋体" w:cs="宋体"/>
          <w:color w:val="auto"/>
          <w:spacing w:val="-12"/>
          <w:sz w:val="24"/>
          <w:szCs w:val="24"/>
          <w:highlight w:val="none"/>
        </w:rPr>
        <w:t>磋商响应供应商的报价明显低于其他报价，使得其报价可能低于其个别成本的， 有可能影响商品质量和不能诚信履约的，应当要求该报价人作出书面说明并提供相关证明材料。报价人不能合理说明或者不能提供相关证明材料的，由磋商小组认定该报价人以低于成本报价，其报价应作无效报价处理。</w:t>
      </w:r>
    </w:p>
    <w:p w14:paraId="6D24D7AD">
      <w:pPr>
        <w:pStyle w:val="6"/>
        <w:spacing w:before="161" w:line="364" w:lineRule="auto"/>
        <w:ind w:right="337" w:firstLine="42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14.6</w:t>
      </w:r>
      <w:r>
        <w:rPr>
          <w:rFonts w:hint="eastAsia" w:ascii="宋体" w:hAnsi="宋体" w:eastAsia="宋体" w:cs="宋体"/>
          <w:color w:val="auto"/>
          <w:spacing w:val="-12"/>
          <w:sz w:val="24"/>
          <w:szCs w:val="24"/>
          <w:highlight w:val="none"/>
        </w:rPr>
        <w:t>本次采购为竞争性磋商采购，允许二次报价。</w:t>
      </w:r>
    </w:p>
    <w:p w14:paraId="35BD6E53">
      <w:pPr>
        <w:pStyle w:val="6"/>
        <w:spacing w:before="161" w:line="364" w:lineRule="auto"/>
        <w:ind w:right="337" w:firstLine="241" w:firstLineChars="100"/>
        <w:jc w:val="both"/>
        <w:rPr>
          <w:rFonts w:hint="eastAsia" w:ascii="宋体" w:hAnsi="宋体" w:eastAsia="宋体" w:cs="宋体"/>
          <w:b/>
          <w:bCs/>
          <w:color w:val="auto"/>
          <w:sz w:val="24"/>
          <w:szCs w:val="24"/>
          <w:highlight w:val="none"/>
        </w:rPr>
      </w:pPr>
      <w:bookmarkStart w:id="147" w:name="_Toc28583_WPSOffice_Level3"/>
      <w:r>
        <w:rPr>
          <w:rFonts w:hint="eastAsia" w:ascii="宋体" w:hAnsi="宋体" w:eastAsia="宋体" w:cs="宋体"/>
          <w:b/>
          <w:bCs/>
          <w:color w:val="auto"/>
          <w:sz w:val="24"/>
          <w:szCs w:val="24"/>
          <w:highlight w:val="none"/>
          <w:lang w:val="en-US"/>
        </w:rPr>
        <w:t>15、</w:t>
      </w:r>
      <w:r>
        <w:rPr>
          <w:rFonts w:hint="eastAsia" w:ascii="宋体" w:hAnsi="宋体" w:eastAsia="宋体" w:cs="宋体"/>
          <w:b/>
          <w:bCs/>
          <w:color w:val="auto"/>
          <w:sz w:val="24"/>
          <w:szCs w:val="24"/>
          <w:highlight w:val="none"/>
        </w:rPr>
        <w:t>磋商响应供应商资格的证明文件</w:t>
      </w:r>
      <w:bookmarkEnd w:id="147"/>
    </w:p>
    <w:p w14:paraId="14494D33">
      <w:pPr>
        <w:pStyle w:val="6"/>
        <w:spacing w:before="161" w:line="364" w:lineRule="auto"/>
        <w:ind w:left="0" w:right="337" w:firstLine="432" w:firstLineChars="20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15.1</w:t>
      </w:r>
      <w:r>
        <w:rPr>
          <w:rFonts w:hint="eastAsia" w:ascii="宋体" w:hAnsi="宋体" w:eastAsia="宋体" w:cs="宋体"/>
          <w:color w:val="auto"/>
          <w:spacing w:val="-12"/>
          <w:sz w:val="24"/>
          <w:szCs w:val="24"/>
          <w:highlight w:val="none"/>
        </w:rPr>
        <w:t>证明磋商响应供应商是有资格参加磋商的。</w:t>
      </w:r>
    </w:p>
    <w:p w14:paraId="7DFFB0A5">
      <w:pPr>
        <w:pStyle w:val="6"/>
        <w:spacing w:before="161" w:line="364" w:lineRule="auto"/>
        <w:ind w:right="337" w:firstLine="432" w:firstLineChars="200"/>
        <w:jc w:val="both"/>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lang w:val="en-US"/>
        </w:rPr>
        <w:t>15.2</w:t>
      </w:r>
      <w:r>
        <w:rPr>
          <w:rFonts w:hint="eastAsia" w:ascii="宋体" w:hAnsi="宋体" w:eastAsia="宋体" w:cs="宋体"/>
          <w:color w:val="auto"/>
          <w:spacing w:val="-12"/>
          <w:sz w:val="24"/>
          <w:szCs w:val="24"/>
          <w:highlight w:val="none"/>
        </w:rPr>
        <w:t>证明磋商响应供应商有能力履行竞争性磋商文件中合同条款和技术要求规定的由磋商响应供应商提供的服务等义务。</w:t>
      </w:r>
    </w:p>
    <w:p w14:paraId="675F7CEC">
      <w:pPr>
        <w:pStyle w:val="3"/>
        <w:spacing w:before="1"/>
        <w:ind w:left="0" w:firstLine="723" w:firstLineChars="300"/>
        <w:rPr>
          <w:rFonts w:hint="eastAsia" w:ascii="宋体" w:hAnsi="宋体" w:eastAsia="宋体" w:cs="宋体"/>
          <w:color w:val="auto"/>
          <w:sz w:val="24"/>
          <w:szCs w:val="24"/>
          <w:highlight w:val="none"/>
        </w:rPr>
      </w:pPr>
      <w:bookmarkStart w:id="148" w:name="_Toc29721_WPSOffice_Level3"/>
      <w:r>
        <w:rPr>
          <w:rFonts w:hint="eastAsia" w:ascii="宋体" w:hAnsi="宋体" w:eastAsia="宋体" w:cs="宋体"/>
          <w:color w:val="auto"/>
          <w:sz w:val="24"/>
          <w:szCs w:val="24"/>
          <w:highlight w:val="none"/>
        </w:rPr>
        <w:t>16、磋商保证金</w:t>
      </w:r>
      <w:bookmarkEnd w:id="148"/>
    </w:p>
    <w:p w14:paraId="13E038ED">
      <w:pPr>
        <w:pStyle w:val="6"/>
        <w:spacing w:before="161" w:line="364" w:lineRule="auto"/>
        <w:ind w:right="337" w:firstLine="420"/>
        <w:jc w:val="both"/>
        <w:rPr>
          <w:rFonts w:hint="eastAsia" w:ascii="宋体" w:hAnsi="宋体" w:eastAsia="宋体" w:cs="宋体"/>
          <w:color w:val="auto"/>
          <w:spacing w:val="-12"/>
          <w:sz w:val="24"/>
          <w:szCs w:val="24"/>
          <w:highlight w:val="none"/>
          <w:lang w:val="en-US" w:eastAsia="zh-CN"/>
        </w:rPr>
      </w:pPr>
      <w:bookmarkStart w:id="149" w:name="_Toc26640_WPSOffice_Level3"/>
      <w:r>
        <w:rPr>
          <w:rFonts w:hint="eastAsia" w:ascii="宋体" w:hAnsi="宋体" w:eastAsia="宋体" w:cs="宋体"/>
          <w:color w:val="auto"/>
          <w:spacing w:val="-12"/>
          <w:sz w:val="24"/>
          <w:szCs w:val="24"/>
          <w:highlight w:val="none"/>
          <w:lang w:val="en-US"/>
        </w:rPr>
        <w:t>根据《河南省财政厅关于优化政府采购营商环境有关问题的通知》（豫财购【2019】4号）第6条的规定，本项目磋商保证金不再收取</w:t>
      </w:r>
      <w:r>
        <w:rPr>
          <w:rFonts w:hint="eastAsia" w:ascii="宋体" w:hAnsi="宋体" w:eastAsia="宋体" w:cs="宋体"/>
          <w:color w:val="auto"/>
          <w:spacing w:val="-12"/>
          <w:sz w:val="24"/>
          <w:szCs w:val="24"/>
          <w:highlight w:val="none"/>
          <w:lang w:val="en-US" w:eastAsia="zh-CN"/>
        </w:rPr>
        <w:t>。</w:t>
      </w:r>
    </w:p>
    <w:p w14:paraId="7CDD09EF">
      <w:pPr>
        <w:pStyle w:val="3"/>
        <w:spacing w:before="1"/>
        <w:ind w:left="0" w:firstLine="723"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17、磋商响应文件有效期</w:t>
      </w:r>
      <w:bookmarkEnd w:id="149"/>
    </w:p>
    <w:p w14:paraId="324E0E48">
      <w:pPr>
        <w:pStyle w:val="31"/>
        <w:numPr>
          <w:ilvl w:val="1"/>
          <w:numId w:val="3"/>
        </w:numPr>
        <w:tabs>
          <w:tab w:val="left" w:pos="1281"/>
        </w:tabs>
        <w:spacing w:before="161" w:line="364" w:lineRule="auto"/>
        <w:ind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响应性文件从首次递交竞争性磋商响应文件截止时间之日起开始生效，磋商有</w:t>
      </w:r>
      <w:r>
        <w:rPr>
          <w:rFonts w:hint="eastAsia" w:ascii="宋体" w:hAnsi="宋体" w:eastAsia="宋体" w:cs="宋体"/>
          <w:color w:val="auto"/>
          <w:spacing w:val="-15"/>
          <w:sz w:val="24"/>
          <w:szCs w:val="24"/>
          <w:highlight w:val="none"/>
        </w:rPr>
        <w:t xml:space="preserve">效期为 </w:t>
      </w:r>
      <w:r>
        <w:rPr>
          <w:rFonts w:hint="eastAsia" w:ascii="宋体" w:hAnsi="宋体" w:eastAsia="宋体" w:cs="宋体"/>
          <w:color w:val="auto"/>
          <w:sz w:val="24"/>
          <w:szCs w:val="24"/>
          <w:highlight w:val="none"/>
        </w:rPr>
        <w:t>60</w:t>
      </w:r>
      <w:r>
        <w:rPr>
          <w:rFonts w:hint="eastAsia" w:ascii="宋体" w:hAnsi="宋体" w:eastAsia="宋体" w:cs="宋体"/>
          <w:color w:val="auto"/>
          <w:spacing w:val="-8"/>
          <w:sz w:val="24"/>
          <w:szCs w:val="24"/>
          <w:highlight w:val="none"/>
        </w:rPr>
        <w:t xml:space="preserve"> 日历天，有效期短于此规定的响应文件将被视为无效文件。</w:t>
      </w:r>
    </w:p>
    <w:p w14:paraId="6AF679E6">
      <w:pPr>
        <w:pStyle w:val="31"/>
        <w:numPr>
          <w:ilvl w:val="1"/>
          <w:numId w:val="3"/>
        </w:numPr>
        <w:tabs>
          <w:tab w:val="left" w:pos="1281"/>
        </w:tabs>
        <w:spacing w:before="1"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殊情况下，采购人可于磋商响应文件有效期满之前要求磋商响应供应商同意延长有效期，要求与答复均为书面形式。磋商响应供应商可以拒绝上述要求，对于同意该要求的磋商响应供应商，不允许其修改磋商响应文件。</w:t>
      </w:r>
    </w:p>
    <w:p w14:paraId="0DA58CF8">
      <w:pPr>
        <w:pStyle w:val="3"/>
        <w:spacing w:before="2"/>
        <w:rPr>
          <w:rFonts w:hint="eastAsia" w:ascii="宋体" w:hAnsi="宋体" w:eastAsia="宋体" w:cs="宋体"/>
          <w:color w:val="auto"/>
          <w:sz w:val="24"/>
          <w:szCs w:val="24"/>
          <w:highlight w:val="none"/>
        </w:rPr>
      </w:pPr>
      <w:bookmarkStart w:id="150" w:name="_Toc14449_WPSOffice_Level3"/>
      <w:r>
        <w:rPr>
          <w:rFonts w:hint="eastAsia" w:ascii="宋体" w:hAnsi="宋体" w:eastAsia="宋体" w:cs="宋体"/>
          <w:color w:val="auto"/>
          <w:sz w:val="24"/>
          <w:szCs w:val="24"/>
          <w:highlight w:val="none"/>
        </w:rPr>
        <w:t>18、磋商</w:t>
      </w:r>
      <w:bookmarkEnd w:id="150"/>
    </w:p>
    <w:p w14:paraId="48778FA8">
      <w:pPr>
        <w:pStyle w:val="31"/>
        <w:keepNext w:val="0"/>
        <w:keepLines w:val="0"/>
        <w:pageBreakBefore w:val="0"/>
        <w:widowControl/>
        <w:numPr>
          <w:ilvl w:val="1"/>
          <w:numId w:val="4"/>
        </w:numPr>
        <w:tabs>
          <w:tab w:val="left" w:pos="1281"/>
        </w:tabs>
        <w:kinsoku/>
        <w:wordWrap/>
        <w:overflowPunct/>
        <w:topLinePunct w:val="0"/>
        <w:autoSpaceDE/>
        <w:autoSpaceDN/>
        <w:bidi w:val="0"/>
        <w:adjustRightInd/>
        <w:snapToGrid/>
        <w:spacing w:before="160"/>
        <w:ind w:left="118" w:leftChars="56" w:right="126" w:rightChars="60"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采购人按本须知前附表规定的时间和地点磋商。</w:t>
      </w:r>
    </w:p>
    <w:p w14:paraId="4349F881">
      <w:pPr>
        <w:pStyle w:val="31"/>
        <w:keepNext w:val="0"/>
        <w:keepLines w:val="0"/>
        <w:pageBreakBefore w:val="0"/>
        <w:widowControl/>
        <w:numPr>
          <w:ilvl w:val="1"/>
          <w:numId w:val="4"/>
        </w:numPr>
        <w:tabs>
          <w:tab w:val="left" w:pos="1222"/>
        </w:tabs>
        <w:kinsoku/>
        <w:wordWrap/>
        <w:overflowPunct/>
        <w:topLinePunct w:val="0"/>
        <w:autoSpaceDE/>
        <w:autoSpaceDN/>
        <w:bidi w:val="0"/>
        <w:adjustRightInd/>
        <w:snapToGrid/>
        <w:spacing w:before="161"/>
        <w:ind w:left="118" w:leftChars="56" w:right="126" w:rightChars="60"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磋商会议由采购代理机构主持；</w:t>
      </w:r>
    </w:p>
    <w:p w14:paraId="4F0DEE08">
      <w:pPr>
        <w:pStyle w:val="31"/>
        <w:keepNext w:val="0"/>
        <w:keepLines w:val="0"/>
        <w:pageBreakBefore w:val="0"/>
        <w:widowControl/>
        <w:numPr>
          <w:ilvl w:val="1"/>
          <w:numId w:val="4"/>
        </w:numPr>
        <w:tabs>
          <w:tab w:val="left" w:pos="1222"/>
        </w:tabs>
        <w:kinsoku/>
        <w:wordWrap/>
        <w:overflowPunct/>
        <w:topLinePunct w:val="0"/>
        <w:autoSpaceDE/>
        <w:autoSpaceDN/>
        <w:bidi w:val="0"/>
        <w:adjustRightInd/>
        <w:snapToGrid/>
        <w:spacing w:before="160"/>
        <w:ind w:left="118" w:leftChars="56" w:right="126" w:rightChars="60"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宣布磋商会议纪律；</w:t>
      </w:r>
    </w:p>
    <w:p w14:paraId="3E26DF07">
      <w:pPr>
        <w:pStyle w:val="31"/>
        <w:keepNext w:val="0"/>
        <w:keepLines w:val="0"/>
        <w:pageBreakBefore w:val="0"/>
        <w:widowControl/>
        <w:numPr>
          <w:ilvl w:val="1"/>
          <w:numId w:val="4"/>
        </w:numPr>
        <w:tabs>
          <w:tab w:val="left" w:pos="1222"/>
        </w:tabs>
        <w:kinsoku/>
        <w:wordWrap/>
        <w:overflowPunct/>
        <w:topLinePunct w:val="0"/>
        <w:autoSpaceDE/>
        <w:autoSpaceDN/>
        <w:bidi w:val="0"/>
        <w:adjustRightInd/>
        <w:snapToGrid/>
        <w:spacing w:before="160"/>
        <w:ind w:left="118" w:leftChars="56" w:right="126" w:rightChars="60" w:firstLine="545"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磋商时，电子招标投标交易平台自动提取所有电子化磋商响应文件，按时在线解</w:t>
      </w:r>
      <w:r>
        <w:rPr>
          <w:rFonts w:hint="eastAsia" w:ascii="宋体" w:hAnsi="宋体" w:eastAsia="宋体" w:cs="宋体"/>
          <w:color w:val="auto"/>
          <w:sz w:val="24"/>
          <w:szCs w:val="24"/>
          <w:highlight w:val="none"/>
        </w:rPr>
        <w:t>密；</w:t>
      </w:r>
    </w:p>
    <w:p w14:paraId="2D111F2C">
      <w:pPr>
        <w:pStyle w:val="31"/>
        <w:keepNext w:val="0"/>
        <w:keepLines w:val="0"/>
        <w:pageBreakBefore w:val="0"/>
        <w:widowControl/>
        <w:numPr>
          <w:ilvl w:val="1"/>
          <w:numId w:val="4"/>
        </w:numPr>
        <w:tabs>
          <w:tab w:val="left" w:pos="1222"/>
        </w:tabs>
        <w:kinsoku/>
        <w:wordWrap/>
        <w:overflowPunct/>
        <w:topLinePunct w:val="0"/>
        <w:autoSpaceDE/>
        <w:autoSpaceDN/>
        <w:bidi w:val="0"/>
        <w:adjustRightInd/>
        <w:snapToGrid/>
        <w:spacing w:before="161"/>
        <w:ind w:left="118" w:leftChars="56" w:right="126" w:rightChars="60"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电子化磋商响应文件的有效性</w:t>
      </w:r>
    </w:p>
    <w:p w14:paraId="7A88F556">
      <w:pPr>
        <w:pStyle w:val="31"/>
        <w:tabs>
          <w:tab w:val="left" w:pos="1222"/>
        </w:tabs>
        <w:spacing w:before="161" w:line="500" w:lineRule="exact"/>
        <w:ind w:left="743"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18.5.1</w:t>
      </w:r>
      <w:r>
        <w:rPr>
          <w:rFonts w:hint="eastAsia" w:ascii="宋体" w:hAnsi="宋体" w:eastAsia="宋体" w:cs="宋体"/>
          <w:color w:val="auto"/>
          <w:sz w:val="24"/>
          <w:szCs w:val="24"/>
          <w:highlight w:val="none"/>
        </w:rPr>
        <w:t>电子化磋商响应文件有下列情形的为无效电子化磋商响应文件，采购人不予受理：因磋商响应供应商原因造成磋商响应文件未解密的，视为撤销其磋商响应文件； 因磋商响应供应商之外的原因造成电子化磋商响应文件未解密的，视为撤回其磋商响应文件，磋商响应供应商有权要求责任方赔偿因此遭受的直接损失。部分电子化磋商响应文件未解密的，其他电子化磋商可以继续进行。</w:t>
      </w:r>
    </w:p>
    <w:p w14:paraId="6B5367F6">
      <w:pPr>
        <w:pStyle w:val="3"/>
        <w:spacing w:before="3" w:line="500" w:lineRule="exact"/>
        <w:rPr>
          <w:rFonts w:hint="eastAsia" w:ascii="宋体" w:hAnsi="宋体" w:eastAsia="宋体" w:cs="宋体"/>
          <w:color w:val="auto"/>
          <w:sz w:val="24"/>
          <w:szCs w:val="24"/>
          <w:highlight w:val="none"/>
        </w:rPr>
      </w:pPr>
      <w:bookmarkStart w:id="151" w:name="_Toc29167_WPSOffice_Level3"/>
      <w:r>
        <w:rPr>
          <w:rFonts w:hint="eastAsia" w:ascii="宋体" w:hAnsi="宋体" w:eastAsia="宋体" w:cs="宋体"/>
          <w:color w:val="auto"/>
          <w:sz w:val="24"/>
          <w:szCs w:val="24"/>
          <w:highlight w:val="none"/>
        </w:rPr>
        <w:t>19、磋商小组</w:t>
      </w:r>
      <w:bookmarkEnd w:id="151"/>
    </w:p>
    <w:p w14:paraId="3D4A3D87">
      <w:pPr>
        <w:pStyle w:val="31"/>
        <w:numPr>
          <w:ilvl w:val="1"/>
          <w:numId w:val="5"/>
        </w:numPr>
        <w:tabs>
          <w:tab w:val="left" w:pos="1281"/>
        </w:tabs>
        <w:spacing w:before="161"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 xml:space="preserve">磋商小组由 </w:t>
      </w:r>
      <w:r>
        <w:rPr>
          <w:rFonts w:hint="eastAsia" w:ascii="宋体" w:hAnsi="宋体" w:eastAsia="宋体" w:cs="宋体"/>
          <w:color w:val="auto"/>
          <w:sz w:val="24"/>
          <w:szCs w:val="24"/>
          <w:highlight w:val="none"/>
        </w:rPr>
        <w:t>3</w:t>
      </w:r>
      <w:r>
        <w:rPr>
          <w:rFonts w:hint="eastAsia" w:ascii="宋体" w:hAnsi="宋体" w:eastAsia="宋体" w:cs="宋体"/>
          <w:color w:val="auto"/>
          <w:spacing w:val="-12"/>
          <w:sz w:val="24"/>
          <w:szCs w:val="24"/>
          <w:highlight w:val="none"/>
        </w:rPr>
        <w:t xml:space="preserve"> 人构成：采购人代表 </w:t>
      </w:r>
      <w:r>
        <w:rPr>
          <w:rFonts w:hint="eastAsia" w:ascii="宋体" w:hAnsi="宋体" w:eastAsia="宋体" w:cs="宋体"/>
          <w:color w:val="auto"/>
          <w:sz w:val="24"/>
          <w:szCs w:val="24"/>
          <w:highlight w:val="none"/>
        </w:rPr>
        <w:t>1</w:t>
      </w:r>
      <w:r>
        <w:rPr>
          <w:rFonts w:hint="eastAsia" w:ascii="宋体" w:hAnsi="宋体" w:eastAsia="宋体" w:cs="宋体"/>
          <w:color w:val="auto"/>
          <w:spacing w:val="-12"/>
          <w:sz w:val="24"/>
          <w:szCs w:val="24"/>
          <w:highlight w:val="none"/>
        </w:rPr>
        <w:t xml:space="preserve"> 人，经济、技术方面专家 </w:t>
      </w:r>
      <w:r>
        <w:rPr>
          <w:rFonts w:hint="eastAsia" w:ascii="宋体" w:hAnsi="宋体" w:eastAsia="宋体" w:cs="宋体"/>
          <w:color w:val="auto"/>
          <w:sz w:val="24"/>
          <w:szCs w:val="24"/>
          <w:highlight w:val="none"/>
        </w:rPr>
        <w:t>2</w:t>
      </w:r>
      <w:r>
        <w:rPr>
          <w:rFonts w:hint="eastAsia" w:ascii="宋体" w:hAnsi="宋体" w:eastAsia="宋体" w:cs="宋体"/>
          <w:color w:val="auto"/>
          <w:spacing w:val="-9"/>
          <w:sz w:val="24"/>
          <w:szCs w:val="24"/>
          <w:highlight w:val="none"/>
        </w:rPr>
        <w:t xml:space="preserve"> 人，在磋商会议开始前从</w:t>
      </w:r>
      <w:r>
        <w:rPr>
          <w:rFonts w:hint="eastAsia" w:ascii="宋体" w:hAnsi="宋体" w:eastAsia="宋体" w:cs="宋体"/>
          <w:color w:val="auto"/>
          <w:spacing w:val="-9"/>
          <w:sz w:val="24"/>
          <w:szCs w:val="24"/>
          <w:highlight w:val="none"/>
          <w:lang w:val="en-US" w:eastAsia="zh-CN"/>
        </w:rPr>
        <w:t>相关</w:t>
      </w:r>
      <w:r>
        <w:rPr>
          <w:rFonts w:hint="eastAsia" w:ascii="宋体" w:hAnsi="宋体" w:eastAsia="宋体" w:cs="宋体"/>
          <w:color w:val="auto"/>
          <w:spacing w:val="-9"/>
          <w:sz w:val="24"/>
          <w:szCs w:val="24"/>
          <w:highlight w:val="none"/>
        </w:rPr>
        <w:t>评标专家库随机抽取。</w:t>
      </w:r>
    </w:p>
    <w:p w14:paraId="1807DC7D">
      <w:pPr>
        <w:pStyle w:val="31"/>
        <w:numPr>
          <w:ilvl w:val="1"/>
          <w:numId w:val="5"/>
        </w:numPr>
        <w:tabs>
          <w:tab w:val="left" w:pos="1281"/>
        </w:tabs>
        <w:spacing w:before="1" w:line="364" w:lineRule="auto"/>
        <w:ind w:right="341"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磋商小组对所有磋商响应供应商的磋商响应文件进行评审，按评审后得分由高到低顺序排列，递交给采购人。</w:t>
      </w:r>
    </w:p>
    <w:p w14:paraId="413F92EB">
      <w:pPr>
        <w:pStyle w:val="31"/>
        <w:numPr>
          <w:ilvl w:val="1"/>
          <w:numId w:val="5"/>
        </w:numPr>
        <w:tabs>
          <w:tab w:val="left" w:pos="1281"/>
        </w:tabs>
        <w:spacing w:before="1"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50DA15FB">
      <w:pPr>
        <w:pStyle w:val="31"/>
        <w:numPr>
          <w:ilvl w:val="1"/>
          <w:numId w:val="5"/>
        </w:numPr>
        <w:tabs>
          <w:tab w:val="left" w:pos="1281"/>
        </w:tabs>
        <w:spacing w:before="2" w:line="364"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资格性审查认定错误或价格计算错误需依法重新评审的除外。应在评审报告中明确记载。</w:t>
      </w:r>
    </w:p>
    <w:p w14:paraId="2CCFFE9E">
      <w:pPr>
        <w:pStyle w:val="3"/>
        <w:spacing w:before="3"/>
        <w:rPr>
          <w:rFonts w:hint="eastAsia" w:ascii="宋体" w:hAnsi="宋体" w:eastAsia="宋体" w:cs="宋体"/>
          <w:color w:val="auto"/>
          <w:sz w:val="24"/>
          <w:szCs w:val="24"/>
          <w:highlight w:val="none"/>
        </w:rPr>
      </w:pPr>
      <w:bookmarkStart w:id="152" w:name="_Toc30532_WPSOffice_Level3"/>
      <w:r>
        <w:rPr>
          <w:rFonts w:hint="eastAsia" w:ascii="宋体" w:hAnsi="宋体" w:eastAsia="宋体" w:cs="宋体"/>
          <w:color w:val="auto"/>
          <w:sz w:val="24"/>
          <w:szCs w:val="24"/>
          <w:highlight w:val="none"/>
        </w:rPr>
        <w:t>20、磋商程序</w:t>
      </w:r>
      <w:bookmarkEnd w:id="152"/>
    </w:p>
    <w:p w14:paraId="472E24AF">
      <w:pPr>
        <w:pStyle w:val="31"/>
        <w:numPr>
          <w:ilvl w:val="1"/>
          <w:numId w:val="0"/>
        </w:numPr>
        <w:tabs>
          <w:tab w:val="left" w:pos="1281"/>
        </w:tabs>
        <w:spacing w:before="161" w:line="364" w:lineRule="auto"/>
        <w:ind w:left="320" w:leftChars="0" w:right="341"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20.1</w:t>
      </w:r>
      <w:r>
        <w:rPr>
          <w:rFonts w:hint="eastAsia" w:ascii="宋体" w:hAnsi="宋体" w:eastAsia="宋体" w:cs="宋体"/>
          <w:color w:val="auto"/>
          <w:sz w:val="24"/>
          <w:szCs w:val="24"/>
          <w:highlight w:val="none"/>
        </w:rPr>
        <w:t>磋商小组所有成员集中评审磋商响应文件及集中与磋商响应供应商分别进行磋商。</w:t>
      </w:r>
    </w:p>
    <w:p w14:paraId="63C1CBA8">
      <w:pPr>
        <w:pStyle w:val="31"/>
        <w:numPr>
          <w:ilvl w:val="1"/>
          <w:numId w:val="0"/>
        </w:numPr>
        <w:tabs>
          <w:tab w:val="left" w:pos="1281"/>
        </w:tabs>
        <w:spacing w:before="1" w:line="364" w:lineRule="auto"/>
        <w:ind w:left="320" w:leftChars="0" w:right="218" w:rightChars="0" w:firstLine="480" w:firstLineChars="200"/>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20.2</w:t>
      </w:r>
      <w:r>
        <w:rPr>
          <w:rFonts w:hint="eastAsia" w:ascii="宋体" w:hAnsi="宋体" w:eastAsia="宋体" w:cs="宋体"/>
          <w:color w:val="auto"/>
          <w:spacing w:val="-4"/>
          <w:sz w:val="24"/>
          <w:szCs w:val="24"/>
          <w:highlight w:val="none"/>
        </w:rPr>
        <w:t xml:space="preserve">磋商小组首先对所有磋商响应文件进行资格性和初步审查。资格性审查是指： </w:t>
      </w:r>
      <w:r>
        <w:rPr>
          <w:rFonts w:hint="eastAsia" w:ascii="宋体" w:hAnsi="宋体" w:eastAsia="宋体" w:cs="宋体"/>
          <w:color w:val="auto"/>
          <w:spacing w:val="-2"/>
          <w:sz w:val="24"/>
          <w:szCs w:val="24"/>
          <w:highlight w:val="none"/>
        </w:rPr>
        <w:t>磋商小组按照竞争性磋商文件第四章评审办法</w:t>
      </w:r>
      <w:r>
        <w:rPr>
          <w:rFonts w:hint="eastAsia" w:ascii="宋体" w:hAnsi="宋体" w:eastAsia="宋体" w:cs="宋体"/>
          <w:color w:val="auto"/>
          <w:spacing w:val="-9"/>
          <w:sz w:val="24"/>
          <w:szCs w:val="24"/>
          <w:highlight w:val="none"/>
        </w:rPr>
        <w:t>的要求， 对磋商响应供应商进行资格审查，有一项不符合的，视为未通过资格审查，不得进入下一评</w:t>
      </w:r>
      <w:r>
        <w:rPr>
          <w:rFonts w:hint="eastAsia" w:ascii="宋体" w:hAnsi="宋体" w:eastAsia="宋体" w:cs="宋体"/>
          <w:color w:val="auto"/>
          <w:spacing w:val="-10"/>
          <w:sz w:val="24"/>
          <w:szCs w:val="24"/>
          <w:highlight w:val="none"/>
        </w:rPr>
        <w:t>审过程。磋商小组按照竞争性磋商文件及第四章评审办法中形式、响应性评审的要求，对磋商响应供应商进行审查，有一项不符合的，视为未通过初步审查。未通过资格性和初步审查的磋商响应文件按无效响应处理，磋商小组应当告知提交磋商响应文件的磋商响</w:t>
      </w:r>
      <w:r>
        <w:rPr>
          <w:rFonts w:hint="eastAsia" w:ascii="宋体" w:hAnsi="宋体" w:eastAsia="宋体" w:cs="宋体"/>
          <w:color w:val="auto"/>
          <w:sz w:val="24"/>
          <w:szCs w:val="24"/>
          <w:highlight w:val="none"/>
        </w:rPr>
        <w:t>应供应商。</w:t>
      </w:r>
    </w:p>
    <w:p w14:paraId="1D84F7D4">
      <w:pPr>
        <w:pStyle w:val="31"/>
        <w:numPr>
          <w:ilvl w:val="2"/>
          <w:numId w:val="0"/>
        </w:numPr>
        <w:tabs>
          <w:tab w:val="left" w:pos="1521"/>
        </w:tabs>
        <w:spacing w:before="160" w:line="364" w:lineRule="auto"/>
        <w:ind w:left="320" w:leftChars="0" w:right="341" w:rightChars="0" w:firstLine="480" w:firstLineChars="200"/>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20.2.1</w:t>
      </w:r>
      <w:r>
        <w:rPr>
          <w:rFonts w:hint="eastAsia" w:ascii="宋体" w:hAnsi="宋体" w:eastAsia="宋体" w:cs="宋体"/>
          <w:color w:val="auto"/>
          <w:sz w:val="24"/>
          <w:szCs w:val="24"/>
          <w:highlight w:val="none"/>
        </w:rPr>
        <w:t>允许修正磋商响应文件中不构成重大偏离的、微小的、非正规的、不一致或不规则的地方。</w:t>
      </w:r>
    </w:p>
    <w:p w14:paraId="36F802D6">
      <w:pPr>
        <w:pStyle w:val="31"/>
        <w:numPr>
          <w:ilvl w:val="2"/>
          <w:numId w:val="0"/>
        </w:numPr>
        <w:tabs>
          <w:tab w:val="left" w:pos="1581"/>
        </w:tabs>
        <w:spacing w:before="1" w:line="364" w:lineRule="auto"/>
        <w:ind w:left="320" w:leftChars="0" w:right="338" w:rightChars="0" w:firstLine="480" w:firstLineChars="200"/>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20.2.2</w:t>
      </w:r>
      <w:r>
        <w:rPr>
          <w:rFonts w:hint="eastAsia" w:ascii="宋体" w:hAnsi="宋体" w:eastAsia="宋体" w:cs="宋体"/>
          <w:color w:val="auto"/>
          <w:spacing w:val="-1"/>
          <w:sz w:val="24"/>
          <w:szCs w:val="24"/>
          <w:highlight w:val="none"/>
        </w:rPr>
        <w:t>磋商小组判断磋商响应文件的响应性仅基于磋商响应文件本身内容而不靠外</w:t>
      </w:r>
      <w:r>
        <w:rPr>
          <w:rFonts w:hint="eastAsia" w:ascii="宋体" w:hAnsi="宋体" w:eastAsia="宋体" w:cs="宋体"/>
          <w:color w:val="auto"/>
          <w:sz w:val="24"/>
          <w:szCs w:val="24"/>
          <w:highlight w:val="none"/>
        </w:rPr>
        <w:t>部证据。</w:t>
      </w:r>
    </w:p>
    <w:p w14:paraId="2073208F">
      <w:pPr>
        <w:pStyle w:val="31"/>
        <w:numPr>
          <w:ilvl w:val="2"/>
          <w:numId w:val="0"/>
        </w:numPr>
        <w:tabs>
          <w:tab w:val="left" w:pos="1521"/>
        </w:tabs>
        <w:spacing w:before="2" w:line="364" w:lineRule="auto"/>
        <w:ind w:left="320" w:leftChars="0" w:right="341" w:rightChars="0" w:firstLine="480" w:firstLineChars="200"/>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20.2.3</w:t>
      </w:r>
      <w:r>
        <w:rPr>
          <w:rFonts w:hint="eastAsia" w:ascii="宋体" w:hAnsi="宋体" w:eastAsia="宋体" w:cs="宋体"/>
          <w:color w:val="auto"/>
          <w:sz w:val="24"/>
          <w:szCs w:val="24"/>
          <w:highlight w:val="none"/>
        </w:rPr>
        <w:t>实质性未响应磋商文件要求的响应将被拒绝，磋商响应供应商不得通过修正或撤消不符之处而使其响应成为实质性响应。</w:t>
      </w:r>
    </w:p>
    <w:p w14:paraId="27C1DC05">
      <w:pPr>
        <w:pStyle w:val="31"/>
        <w:numPr>
          <w:ilvl w:val="2"/>
          <w:numId w:val="0"/>
        </w:numPr>
        <w:tabs>
          <w:tab w:val="left" w:pos="1521"/>
        </w:tabs>
        <w:spacing w:before="1" w:line="364" w:lineRule="auto"/>
        <w:ind w:left="320" w:leftChars="0" w:right="341" w:rightChars="0" w:firstLine="480" w:firstLineChars="200"/>
        <w:rPr>
          <w:rFonts w:hint="eastAsia" w:ascii="宋体" w:hAnsi="宋体" w:eastAsia="宋体" w:cs="宋体"/>
          <w:color w:val="auto"/>
          <w:sz w:val="24"/>
          <w:szCs w:val="24"/>
          <w:highlight w:val="yellow"/>
        </w:rPr>
      </w:pPr>
      <w:r>
        <w:rPr>
          <w:rFonts w:hint="default" w:ascii="宋体" w:hAnsi="宋体" w:eastAsia="宋体" w:cs="宋体"/>
          <w:color w:val="auto"/>
          <w:w w:val="100"/>
          <w:kern w:val="2"/>
          <w:sz w:val="24"/>
          <w:szCs w:val="24"/>
          <w:lang w:val="zh-CN" w:eastAsia="zh-CN" w:bidi="zh-CN"/>
        </w:rPr>
        <w:t>20.2.4</w:t>
      </w:r>
      <w:r>
        <w:rPr>
          <w:rFonts w:hint="eastAsia" w:ascii="宋体" w:hAnsi="宋体" w:eastAsia="宋体" w:cs="宋体"/>
          <w:color w:val="auto"/>
          <w:spacing w:val="-1"/>
          <w:sz w:val="24"/>
          <w:szCs w:val="24"/>
          <w:highlight w:val="none"/>
        </w:rPr>
        <w:t>实质性未响应是指磋商响应文件中提出了超出磋商文件中采购标的、预算金</w:t>
      </w:r>
      <w:r>
        <w:rPr>
          <w:rFonts w:hint="eastAsia" w:ascii="宋体" w:hAnsi="宋体" w:eastAsia="宋体" w:cs="宋体"/>
          <w:color w:val="auto"/>
          <w:sz w:val="24"/>
          <w:szCs w:val="24"/>
          <w:highlight w:val="none"/>
        </w:rPr>
        <w:t>额、</w:t>
      </w:r>
      <w:r>
        <w:rPr>
          <w:rFonts w:hint="eastAsia" w:ascii="宋体" w:hAnsi="宋体" w:cs="宋体"/>
          <w:color w:val="auto"/>
          <w:sz w:val="24"/>
          <w:szCs w:val="24"/>
          <w:highlight w:val="none"/>
          <w:lang w:val="en-US" w:eastAsia="zh-CN"/>
        </w:rPr>
        <w:t>服务期限</w:t>
      </w:r>
      <w:r>
        <w:rPr>
          <w:rFonts w:hint="eastAsia" w:ascii="宋体" w:hAnsi="宋体" w:eastAsia="宋体" w:cs="宋体"/>
          <w:color w:val="auto"/>
          <w:sz w:val="24"/>
          <w:szCs w:val="24"/>
          <w:highlight w:val="none"/>
        </w:rPr>
        <w:t>、技术和服务要求等内容。</w:t>
      </w:r>
    </w:p>
    <w:p w14:paraId="7C71826E">
      <w:pPr>
        <w:pStyle w:val="3"/>
        <w:spacing w:before="81" w:line="500" w:lineRule="exact"/>
        <w:rPr>
          <w:rFonts w:hint="eastAsia" w:ascii="宋体" w:hAnsi="宋体" w:eastAsia="宋体" w:cs="宋体"/>
          <w:color w:val="auto"/>
          <w:sz w:val="24"/>
          <w:szCs w:val="24"/>
          <w:highlight w:val="none"/>
        </w:rPr>
      </w:pPr>
      <w:bookmarkStart w:id="153" w:name="_Toc31948_WPSOffice_Level3"/>
      <w:r>
        <w:rPr>
          <w:rFonts w:hint="eastAsia" w:ascii="宋体" w:hAnsi="宋体" w:eastAsia="宋体" w:cs="宋体"/>
          <w:color w:val="auto"/>
          <w:sz w:val="24"/>
          <w:szCs w:val="24"/>
          <w:highlight w:val="none"/>
        </w:rPr>
        <w:t>21、对磋商响应供应商的评价</w:t>
      </w:r>
      <w:bookmarkEnd w:id="153"/>
    </w:p>
    <w:p w14:paraId="1C6FF237">
      <w:pPr>
        <w:pStyle w:val="31"/>
        <w:numPr>
          <w:ilvl w:val="1"/>
          <w:numId w:val="0"/>
        </w:numPr>
        <w:tabs>
          <w:tab w:val="left" w:pos="1281"/>
        </w:tabs>
        <w:spacing w:before="160" w:line="364" w:lineRule="auto"/>
        <w:ind w:left="320" w:leftChars="0" w:right="341" w:rightChars="0" w:firstLine="480" w:firstLineChars="200"/>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21.1</w:t>
      </w:r>
      <w:r>
        <w:rPr>
          <w:rFonts w:hint="eastAsia" w:ascii="宋体" w:hAnsi="宋体" w:eastAsia="宋体" w:cs="宋体"/>
          <w:color w:val="auto"/>
          <w:sz w:val="24"/>
          <w:szCs w:val="24"/>
          <w:highlight w:val="none"/>
        </w:rPr>
        <w:t>磋商小组只对已判定为实质性响应且通过资格审查的磋商响应文件进行详细评价和比较。</w:t>
      </w:r>
    </w:p>
    <w:p w14:paraId="7A673C2E">
      <w:pPr>
        <w:pStyle w:val="31"/>
        <w:numPr>
          <w:ilvl w:val="1"/>
          <w:numId w:val="0"/>
        </w:numPr>
        <w:tabs>
          <w:tab w:val="left" w:pos="1281"/>
        </w:tabs>
        <w:spacing w:before="2" w:line="364" w:lineRule="auto"/>
        <w:ind w:left="320" w:leftChars="0" w:right="338" w:rightChars="0" w:firstLine="480" w:firstLineChars="200"/>
        <w:jc w:val="both"/>
        <w:rPr>
          <w:rFonts w:hint="eastAsia" w:ascii="宋体" w:hAnsi="宋体" w:eastAsia="宋体" w:cs="宋体"/>
          <w:color w:val="auto"/>
          <w:sz w:val="24"/>
          <w:szCs w:val="24"/>
          <w:highlight w:val="yellow"/>
        </w:rPr>
      </w:pPr>
      <w:r>
        <w:rPr>
          <w:rFonts w:hint="default" w:ascii="宋体" w:hAnsi="宋体" w:eastAsia="宋体" w:cs="宋体"/>
          <w:color w:val="auto"/>
          <w:w w:val="100"/>
          <w:kern w:val="2"/>
          <w:sz w:val="24"/>
          <w:szCs w:val="24"/>
          <w:lang w:val="zh-CN" w:eastAsia="zh-CN" w:bidi="zh-CN"/>
        </w:rPr>
        <w:t>21.2</w:t>
      </w:r>
      <w:r>
        <w:rPr>
          <w:rFonts w:hint="eastAsia" w:ascii="宋体" w:hAnsi="宋体" w:eastAsia="宋体" w:cs="宋体"/>
          <w:color w:val="auto"/>
          <w:sz w:val="24"/>
          <w:szCs w:val="24"/>
          <w:highlight w:val="none"/>
        </w:rPr>
        <w:t>磋商小组所有成员应当集中与单一磋商响应供应商分别进行磋商，并给予所有参加磋商的磋商响应供应商平等的磋商机会。磋商完成后，要求其在规定时间内（（一般为30分钟）通过交易中心系统以电子形式提交最后报价。凡是二轮报价没提交的，</w:t>
      </w:r>
      <w:r>
        <w:rPr>
          <w:rFonts w:hint="eastAsia" w:ascii="宋体" w:hAnsi="宋体" w:eastAsia="宋体" w:cs="宋体"/>
          <w:bCs/>
          <w:color w:val="auto"/>
          <w:sz w:val="24"/>
        </w:rPr>
        <w:t>其一轮报价视为二轮报价，提交最后报价的投标人可以为两家。</w:t>
      </w:r>
    </w:p>
    <w:p w14:paraId="1DE9D330">
      <w:pPr>
        <w:pStyle w:val="31"/>
        <w:numPr>
          <w:ilvl w:val="1"/>
          <w:numId w:val="0"/>
        </w:numPr>
        <w:tabs>
          <w:tab w:val="left" w:pos="1281"/>
        </w:tabs>
        <w:spacing w:before="1" w:line="364"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21.3</w:t>
      </w:r>
      <w:r>
        <w:rPr>
          <w:rFonts w:hint="eastAsia" w:ascii="宋体" w:hAnsi="宋体" w:eastAsia="宋体" w:cs="宋体"/>
          <w:color w:val="auto"/>
          <w:sz w:val="24"/>
          <w:szCs w:val="24"/>
          <w:highlight w:val="none"/>
        </w:rPr>
        <w:t>经磋商确定最终采购需求和提交最后报价的磋商响应供应商后，磋商小组采用</w:t>
      </w:r>
      <w:r>
        <w:rPr>
          <w:rFonts w:hint="eastAsia" w:ascii="宋体" w:hAnsi="宋体" w:eastAsia="宋体" w:cs="宋体"/>
          <w:color w:val="auto"/>
          <w:spacing w:val="6"/>
          <w:sz w:val="24"/>
          <w:szCs w:val="24"/>
          <w:highlight w:val="none"/>
        </w:rPr>
        <w:t>综合评分法对提交最后报价的磋商响应供应商的磋商响应文件和最后报价进行综合评分。</w:t>
      </w:r>
    </w:p>
    <w:p w14:paraId="07BF54FF">
      <w:pPr>
        <w:pStyle w:val="6"/>
        <w:spacing w:before="43" w:line="365" w:lineRule="auto"/>
        <w:ind w:left="318" w:right="340" w:firstLine="45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 xml:space="preserve">21.4磋商小组根据综合评分情况，按评审得分由高到低的顺序确定成交候选供应商， </w:t>
      </w:r>
      <w:r>
        <w:rPr>
          <w:rFonts w:hint="eastAsia" w:ascii="宋体" w:hAnsi="宋体" w:eastAsia="宋体" w:cs="宋体"/>
          <w:color w:val="auto"/>
          <w:sz w:val="24"/>
          <w:szCs w:val="24"/>
          <w:highlight w:val="none"/>
        </w:rPr>
        <w:t>确定排名第一的为成交供应商，并编写评审报告。评审得分相同的，按照最后报价由低到高的顺序确定，评审得分且最后报价相同的，按照技术指标优劣顺序确定成交候选供应商。评审报告由磋商小组全体人员签字。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973CE96">
      <w:pPr>
        <w:pStyle w:val="6"/>
        <w:spacing w:before="43" w:line="365" w:lineRule="auto"/>
        <w:ind w:left="318" w:right="34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21.5如果第一名供应商放弃成交资格或因不可抗力提出不能履行合同、竞争性磋商文件规定应当提交履约担保而在规定的期限内未能提交的，采购人将依序确定排名第二名的供应商为成交供应商，也可以重新开展政府采购活动。</w:t>
      </w:r>
    </w:p>
    <w:p w14:paraId="337E9F16">
      <w:pPr>
        <w:pStyle w:val="3"/>
        <w:spacing w:before="2"/>
        <w:rPr>
          <w:rFonts w:hint="eastAsia" w:ascii="宋体" w:hAnsi="宋体" w:eastAsia="宋体" w:cs="宋体"/>
          <w:color w:val="auto"/>
          <w:sz w:val="24"/>
          <w:szCs w:val="24"/>
          <w:highlight w:val="none"/>
        </w:rPr>
      </w:pPr>
      <w:bookmarkStart w:id="154" w:name="_Toc27346_WPSOffice_Level3"/>
      <w:r>
        <w:rPr>
          <w:rFonts w:hint="eastAsia" w:ascii="宋体" w:hAnsi="宋体" w:eastAsia="宋体" w:cs="宋体"/>
          <w:color w:val="auto"/>
          <w:sz w:val="24"/>
          <w:szCs w:val="24"/>
          <w:highlight w:val="none"/>
        </w:rPr>
        <w:t>22、磋商响应文件的澄清</w:t>
      </w:r>
      <w:bookmarkEnd w:id="154"/>
    </w:p>
    <w:p w14:paraId="60D630A2">
      <w:pPr>
        <w:pStyle w:val="31"/>
        <w:numPr>
          <w:ilvl w:val="1"/>
          <w:numId w:val="6"/>
        </w:numPr>
        <w:tabs>
          <w:tab w:val="left" w:pos="1281"/>
        </w:tabs>
        <w:spacing w:before="160" w:line="364" w:lineRule="auto"/>
        <w:ind w:right="34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有助于对磋商响应文件进行审查、评估和比较，磋商小组有权向磋商响应供应商质疑。请磋商响应供应商澄清其磋商内容。磋商响应供应商有责任按照磋商小组通知的时间、地点、方式指派委托代理人进行答疑和澄清。</w:t>
      </w:r>
    </w:p>
    <w:p w14:paraId="6B1B599F">
      <w:pPr>
        <w:pStyle w:val="31"/>
        <w:numPr>
          <w:ilvl w:val="1"/>
          <w:numId w:val="6"/>
        </w:numPr>
        <w:tabs>
          <w:tab w:val="left" w:pos="1281"/>
        </w:tabs>
        <w:spacing w:before="160" w:line="364" w:lineRule="auto"/>
        <w:ind w:right="34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重要澄清的答复应是书面的，并由法定代表人或其委托代理人签字。</w:t>
      </w:r>
    </w:p>
    <w:p w14:paraId="1E5E61B9">
      <w:pPr>
        <w:pStyle w:val="31"/>
        <w:numPr>
          <w:ilvl w:val="1"/>
          <w:numId w:val="6"/>
        </w:numPr>
        <w:tabs>
          <w:tab w:val="left" w:pos="1281"/>
        </w:tabs>
        <w:spacing w:before="161" w:line="364" w:lineRule="auto"/>
        <w:ind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磋商响应供应商的澄清文件是磋商响应文件的组成部分，并取代磋商响应文件中被澄清的部分。</w:t>
      </w:r>
    </w:p>
    <w:p w14:paraId="6C6C4068">
      <w:pPr>
        <w:pStyle w:val="31"/>
        <w:numPr>
          <w:ilvl w:val="1"/>
          <w:numId w:val="6"/>
        </w:numPr>
        <w:tabs>
          <w:tab w:val="left" w:pos="1281"/>
        </w:tabs>
        <w:spacing w:before="160" w:line="364" w:lineRule="auto"/>
        <w:ind w:right="340"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磋商响应文件澄清部分不得对磋商内容进行实质性修改。</w:t>
      </w:r>
    </w:p>
    <w:p w14:paraId="3EA83433">
      <w:pPr>
        <w:pStyle w:val="3"/>
        <w:spacing w:before="160"/>
        <w:rPr>
          <w:rFonts w:hint="eastAsia" w:ascii="宋体" w:hAnsi="宋体" w:eastAsia="宋体" w:cs="宋体"/>
          <w:color w:val="auto"/>
          <w:sz w:val="24"/>
          <w:szCs w:val="24"/>
          <w:highlight w:val="none"/>
        </w:rPr>
      </w:pPr>
      <w:bookmarkStart w:id="155" w:name="_Toc10070_WPSOffice_Level3"/>
      <w:r>
        <w:rPr>
          <w:rFonts w:hint="eastAsia" w:ascii="宋体" w:hAnsi="宋体" w:eastAsia="宋体" w:cs="宋体"/>
          <w:color w:val="auto"/>
          <w:sz w:val="24"/>
          <w:szCs w:val="24"/>
          <w:highlight w:val="none"/>
        </w:rPr>
        <w:t>23、磋商原则和方法</w:t>
      </w:r>
      <w:bookmarkEnd w:id="155"/>
    </w:p>
    <w:p w14:paraId="111D2908">
      <w:pPr>
        <w:pStyle w:val="31"/>
        <w:numPr>
          <w:ilvl w:val="1"/>
          <w:numId w:val="7"/>
        </w:numPr>
        <w:tabs>
          <w:tab w:val="left" w:pos="1281"/>
        </w:tabs>
        <w:spacing w:before="160" w:line="364" w:lineRule="auto"/>
        <w:ind w:left="320"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坚持公开、公平、公正的原则。</w:t>
      </w:r>
    </w:p>
    <w:p w14:paraId="276AEF81">
      <w:pPr>
        <w:pStyle w:val="31"/>
        <w:numPr>
          <w:ilvl w:val="1"/>
          <w:numId w:val="7"/>
        </w:numPr>
        <w:tabs>
          <w:tab w:val="left" w:pos="1281"/>
        </w:tabs>
        <w:spacing w:before="160" w:line="364" w:lineRule="auto"/>
        <w:ind w:left="320"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磋商在磋商小组应当集中与单一磋商响应供应商分别进行磋商，磋商小组将遵照磋商原则，公正、平等地对待所有磋商响应供应商。</w:t>
      </w:r>
    </w:p>
    <w:p w14:paraId="5A43F420">
      <w:pPr>
        <w:pStyle w:val="31"/>
        <w:numPr>
          <w:ilvl w:val="2"/>
          <w:numId w:val="0"/>
        </w:numPr>
        <w:tabs>
          <w:tab w:val="left" w:pos="1521"/>
        </w:tabs>
        <w:spacing w:before="160" w:line="364" w:lineRule="auto"/>
        <w:ind w:left="320" w:leftChars="0" w:right="341"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w w:val="100"/>
          <w:sz w:val="24"/>
          <w:szCs w:val="24"/>
          <w:highlight w:val="none"/>
          <w:lang w:val="zh-CN" w:eastAsia="zh-CN" w:bidi="zh-CN"/>
        </w:rPr>
        <w:t>23.</w:t>
      </w:r>
      <w:r>
        <w:rPr>
          <w:rFonts w:hint="eastAsia" w:ascii="宋体" w:hAnsi="宋体" w:eastAsia="宋体" w:cs="宋体"/>
          <w:color w:val="auto"/>
          <w:w w:val="100"/>
          <w:sz w:val="24"/>
          <w:szCs w:val="24"/>
          <w:highlight w:val="none"/>
          <w:lang w:val="en-US" w:eastAsia="zh-CN" w:bidi="zh-CN"/>
        </w:rPr>
        <w:t>3</w:t>
      </w:r>
      <w:r>
        <w:rPr>
          <w:rFonts w:hint="eastAsia" w:ascii="宋体" w:hAnsi="宋体" w:eastAsia="宋体" w:cs="宋体"/>
          <w:color w:val="auto"/>
          <w:w w:val="100"/>
          <w:sz w:val="24"/>
          <w:szCs w:val="24"/>
          <w:highlight w:val="none"/>
          <w:lang w:val="zh-CN" w:eastAsia="zh-CN" w:bidi="zh-CN"/>
        </w:rPr>
        <w:t>.1</w:t>
      </w:r>
      <w:r>
        <w:rPr>
          <w:rFonts w:hint="eastAsia" w:ascii="宋体" w:hAnsi="宋体" w:eastAsia="宋体" w:cs="宋体"/>
          <w:color w:val="auto"/>
          <w:sz w:val="24"/>
          <w:szCs w:val="24"/>
          <w:highlight w:val="none"/>
        </w:rPr>
        <w:t>评审方法</w:t>
      </w:r>
    </w:p>
    <w:p w14:paraId="4C31F779">
      <w:pPr>
        <w:pStyle w:val="31"/>
        <w:numPr>
          <w:ilvl w:val="2"/>
          <w:numId w:val="0"/>
        </w:numPr>
        <w:tabs>
          <w:tab w:val="left" w:pos="1521"/>
        </w:tabs>
        <w:spacing w:before="160" w:line="364" w:lineRule="auto"/>
        <w:ind w:left="320" w:leftChars="0" w:right="341"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w w:val="100"/>
          <w:sz w:val="24"/>
          <w:szCs w:val="24"/>
          <w:highlight w:val="none"/>
          <w:lang w:val="zh-CN" w:eastAsia="zh-CN" w:bidi="zh-CN"/>
        </w:rPr>
        <w:t>23.</w:t>
      </w:r>
      <w:r>
        <w:rPr>
          <w:rFonts w:hint="eastAsia" w:ascii="宋体" w:hAnsi="宋体" w:eastAsia="宋体" w:cs="宋体"/>
          <w:color w:val="auto"/>
          <w:w w:val="100"/>
          <w:sz w:val="24"/>
          <w:szCs w:val="24"/>
          <w:highlight w:val="none"/>
          <w:lang w:val="en-US" w:eastAsia="zh-CN" w:bidi="zh-CN"/>
        </w:rPr>
        <w:t>3</w:t>
      </w:r>
      <w:r>
        <w:rPr>
          <w:rFonts w:hint="eastAsia" w:ascii="宋体" w:hAnsi="宋体" w:eastAsia="宋体" w:cs="宋体"/>
          <w:color w:val="auto"/>
          <w:w w:val="100"/>
          <w:sz w:val="24"/>
          <w:szCs w:val="24"/>
          <w:highlight w:val="none"/>
          <w:lang w:val="zh-CN" w:eastAsia="zh-CN" w:bidi="zh-CN"/>
        </w:rPr>
        <w:t>.2</w:t>
      </w:r>
      <w:r>
        <w:rPr>
          <w:rFonts w:hint="eastAsia" w:ascii="宋体" w:hAnsi="宋体" w:eastAsia="宋体" w:cs="宋体"/>
          <w:color w:val="auto"/>
          <w:sz w:val="24"/>
          <w:szCs w:val="24"/>
          <w:highlight w:val="none"/>
        </w:rPr>
        <w:t>初步评审（是否响应竞争性磋商文件的要求），确定合格的磋商响应供应商。</w:t>
      </w:r>
    </w:p>
    <w:p w14:paraId="5D7EF40D">
      <w:pPr>
        <w:pStyle w:val="31"/>
        <w:numPr>
          <w:ilvl w:val="2"/>
          <w:numId w:val="0"/>
        </w:numPr>
        <w:tabs>
          <w:tab w:val="left" w:pos="1521"/>
        </w:tabs>
        <w:spacing w:before="160" w:line="364" w:lineRule="auto"/>
        <w:ind w:left="320" w:leftChars="0" w:right="341"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w w:val="100"/>
          <w:sz w:val="24"/>
          <w:szCs w:val="24"/>
          <w:highlight w:val="none"/>
          <w:lang w:val="zh-CN" w:eastAsia="zh-CN" w:bidi="zh-CN"/>
        </w:rPr>
        <w:t>23.</w:t>
      </w:r>
      <w:r>
        <w:rPr>
          <w:rFonts w:hint="eastAsia" w:ascii="宋体" w:hAnsi="宋体" w:eastAsia="宋体" w:cs="宋体"/>
          <w:color w:val="auto"/>
          <w:w w:val="100"/>
          <w:sz w:val="24"/>
          <w:szCs w:val="24"/>
          <w:highlight w:val="none"/>
          <w:lang w:val="en-US" w:eastAsia="zh-CN" w:bidi="zh-CN"/>
        </w:rPr>
        <w:t>3</w:t>
      </w:r>
      <w:r>
        <w:rPr>
          <w:rFonts w:hint="eastAsia" w:ascii="宋体" w:hAnsi="宋体" w:eastAsia="宋体" w:cs="宋体"/>
          <w:color w:val="auto"/>
          <w:w w:val="100"/>
          <w:sz w:val="24"/>
          <w:szCs w:val="24"/>
          <w:highlight w:val="none"/>
          <w:lang w:val="zh-CN" w:eastAsia="zh-CN" w:bidi="zh-CN"/>
        </w:rPr>
        <w:t>.3</w:t>
      </w:r>
      <w:r>
        <w:rPr>
          <w:rFonts w:hint="eastAsia" w:ascii="宋体" w:hAnsi="宋体" w:eastAsia="宋体" w:cs="宋体"/>
          <w:color w:val="auto"/>
          <w:sz w:val="24"/>
          <w:szCs w:val="24"/>
          <w:highlight w:val="none"/>
        </w:rPr>
        <w:t>各磋商响应供应商依据各自情况进行最后报价。</w:t>
      </w:r>
    </w:p>
    <w:p w14:paraId="2B8C8176">
      <w:pPr>
        <w:pStyle w:val="31"/>
        <w:numPr>
          <w:ilvl w:val="2"/>
          <w:numId w:val="0"/>
        </w:numPr>
        <w:tabs>
          <w:tab w:val="left" w:pos="1521"/>
        </w:tabs>
        <w:spacing w:before="160" w:line="364" w:lineRule="auto"/>
        <w:ind w:left="320" w:leftChars="0" w:right="341"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w w:val="100"/>
          <w:sz w:val="24"/>
          <w:szCs w:val="24"/>
          <w:highlight w:val="none"/>
          <w:lang w:val="zh-CN" w:eastAsia="zh-CN" w:bidi="zh-CN"/>
        </w:rPr>
        <w:t>23.</w:t>
      </w:r>
      <w:r>
        <w:rPr>
          <w:rFonts w:hint="eastAsia" w:ascii="宋体" w:hAnsi="宋体" w:eastAsia="宋体" w:cs="宋体"/>
          <w:color w:val="auto"/>
          <w:w w:val="100"/>
          <w:sz w:val="24"/>
          <w:szCs w:val="24"/>
          <w:highlight w:val="none"/>
          <w:lang w:val="en-US" w:eastAsia="zh-CN" w:bidi="zh-CN"/>
        </w:rPr>
        <w:t>3</w:t>
      </w:r>
      <w:r>
        <w:rPr>
          <w:rFonts w:hint="eastAsia" w:ascii="宋体" w:hAnsi="宋体" w:eastAsia="宋体" w:cs="宋体"/>
          <w:color w:val="auto"/>
          <w:w w:val="100"/>
          <w:sz w:val="24"/>
          <w:szCs w:val="24"/>
          <w:highlight w:val="none"/>
          <w:lang w:val="zh-CN" w:eastAsia="zh-CN" w:bidi="zh-CN"/>
        </w:rPr>
        <w:t>.4</w:t>
      </w:r>
      <w:r>
        <w:rPr>
          <w:rFonts w:hint="eastAsia" w:ascii="宋体" w:hAnsi="宋体" w:eastAsia="宋体" w:cs="宋体"/>
          <w:color w:val="auto"/>
          <w:sz w:val="24"/>
          <w:szCs w:val="24"/>
          <w:highlight w:val="none"/>
        </w:rPr>
        <w:t>经磋商确定最终采购需求和提交最后报价的磋商响应供应商，有磋商小组采用综合评分法对提交最后报价的磋商响应供应商的响应文件和最后报价进行综合评分。</w:t>
      </w:r>
    </w:p>
    <w:p w14:paraId="3FCDE854">
      <w:pPr>
        <w:pStyle w:val="3"/>
        <w:spacing w:before="2"/>
        <w:rPr>
          <w:rFonts w:hint="eastAsia" w:ascii="宋体" w:hAnsi="宋体" w:eastAsia="宋体" w:cs="宋体"/>
          <w:color w:val="auto"/>
          <w:sz w:val="24"/>
          <w:szCs w:val="24"/>
          <w:highlight w:val="none"/>
        </w:rPr>
      </w:pPr>
      <w:bookmarkStart w:id="156" w:name="_Toc5813_WPSOffice_Level3"/>
      <w:r>
        <w:rPr>
          <w:rFonts w:hint="eastAsia" w:ascii="宋体" w:hAnsi="宋体" w:eastAsia="宋体" w:cs="宋体"/>
          <w:color w:val="auto"/>
          <w:sz w:val="24"/>
          <w:szCs w:val="24"/>
          <w:highlight w:val="none"/>
        </w:rPr>
        <w:t>24、推荐成交供应商</w:t>
      </w:r>
      <w:bookmarkEnd w:id="156"/>
      <w:r>
        <w:rPr>
          <w:rFonts w:hint="eastAsia" w:ascii="宋体" w:hAnsi="宋体" w:eastAsia="宋体" w:cs="宋体"/>
          <w:color w:val="auto"/>
          <w:sz w:val="24"/>
          <w:szCs w:val="24"/>
          <w:highlight w:val="none"/>
        </w:rPr>
        <w:t>候选人</w:t>
      </w:r>
    </w:p>
    <w:p w14:paraId="0CD0F3E2">
      <w:pPr>
        <w:pStyle w:val="6"/>
        <w:spacing w:before="160" w:line="364" w:lineRule="auto"/>
        <w:ind w:right="338" w:firstLine="741" w:firstLineChars="309"/>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24.1 磋商小组应当根据综合评分情况，按照评审有高到低的顺序推荐3名成交候选供应商，并向采购人提供书面评审报告。</w:t>
      </w:r>
    </w:p>
    <w:p w14:paraId="1E8B16DE">
      <w:pPr>
        <w:pStyle w:val="3"/>
        <w:spacing w:before="2"/>
        <w:rPr>
          <w:rFonts w:hint="eastAsia" w:ascii="宋体" w:hAnsi="宋体" w:eastAsia="宋体" w:cs="宋体"/>
          <w:color w:val="auto"/>
          <w:sz w:val="24"/>
          <w:szCs w:val="24"/>
          <w:highlight w:val="none"/>
        </w:rPr>
      </w:pPr>
      <w:bookmarkStart w:id="157" w:name="_Toc28609_WPSOffice_Level3"/>
      <w:r>
        <w:rPr>
          <w:rFonts w:hint="eastAsia" w:ascii="宋体" w:hAnsi="宋体" w:eastAsia="宋体" w:cs="宋体"/>
          <w:color w:val="auto"/>
          <w:sz w:val="24"/>
          <w:szCs w:val="24"/>
          <w:highlight w:val="none"/>
        </w:rPr>
        <w:t>25、保密及其它注意事项</w:t>
      </w:r>
      <w:bookmarkEnd w:id="157"/>
    </w:p>
    <w:p w14:paraId="3B3E1F36">
      <w:pPr>
        <w:pStyle w:val="31"/>
        <w:numPr>
          <w:ilvl w:val="1"/>
          <w:numId w:val="8"/>
        </w:numPr>
        <w:tabs>
          <w:tab w:val="left" w:pos="1281"/>
        </w:tabs>
        <w:spacing w:before="160" w:line="364" w:lineRule="auto"/>
        <w:ind w:left="320"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评审工作是磋商工作的重要环节，评审工作在磋商小组内独立进行。在评审期间，磋商响应供应商不得向磋商小组成员询问评审情况，不得进行影响评审结果的活动。否则其响应将会被拒绝。</w:t>
      </w:r>
    </w:p>
    <w:p w14:paraId="59F514F2">
      <w:pPr>
        <w:pStyle w:val="31"/>
        <w:numPr>
          <w:ilvl w:val="1"/>
          <w:numId w:val="8"/>
        </w:numPr>
        <w:tabs>
          <w:tab w:val="left" w:pos="1281"/>
        </w:tabs>
        <w:spacing w:before="160" w:line="364" w:lineRule="auto"/>
        <w:ind w:left="320"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为保证评审的公正性，磋商开始后直至授予成交供应商合同，磋商小组成员不得与供应商私下交换意见。</w:t>
      </w:r>
    </w:p>
    <w:p w14:paraId="2E694CC7">
      <w:pPr>
        <w:pStyle w:val="31"/>
        <w:numPr>
          <w:ilvl w:val="1"/>
          <w:numId w:val="8"/>
        </w:numPr>
        <w:tabs>
          <w:tab w:val="left" w:pos="1281"/>
        </w:tabs>
        <w:spacing w:before="1" w:line="364" w:lineRule="auto"/>
        <w:ind w:left="320"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在评审工作结束后，凡与评审情况有接触的任何人不得擅自将评审情况扩散出评审人员之外。</w:t>
      </w:r>
    </w:p>
    <w:p w14:paraId="00F661B2">
      <w:pPr>
        <w:pStyle w:val="3"/>
        <w:spacing w:before="2"/>
        <w:rPr>
          <w:rFonts w:hint="eastAsia" w:ascii="宋体" w:hAnsi="宋体" w:eastAsia="宋体" w:cs="宋体"/>
          <w:color w:val="auto"/>
          <w:sz w:val="24"/>
          <w:szCs w:val="24"/>
          <w:highlight w:val="none"/>
        </w:rPr>
      </w:pPr>
      <w:bookmarkStart w:id="158" w:name="_Toc27984_WPSOffice_Level3"/>
      <w:r>
        <w:rPr>
          <w:rFonts w:hint="eastAsia" w:ascii="宋体" w:hAnsi="宋体" w:eastAsia="宋体" w:cs="宋体"/>
          <w:color w:val="auto"/>
          <w:sz w:val="24"/>
          <w:szCs w:val="24"/>
          <w:highlight w:val="none"/>
        </w:rPr>
        <w:t>26、定标、成交通知</w:t>
      </w:r>
      <w:bookmarkEnd w:id="158"/>
    </w:p>
    <w:p w14:paraId="4A45B40B">
      <w:pPr>
        <w:pStyle w:val="3"/>
        <w:spacing w:before="2" w:line="520" w:lineRule="exact"/>
        <w:ind w:left="0" w:leftChars="0" w:firstLine="654" w:firstLineChars="300"/>
        <w:rPr>
          <w:rFonts w:hint="eastAsia" w:ascii="宋体" w:hAnsi="宋体" w:eastAsia="宋体" w:cs="宋体"/>
          <w:b w:val="0"/>
          <w:bCs w:val="0"/>
          <w:color w:val="auto"/>
          <w:spacing w:val="-11"/>
          <w:sz w:val="24"/>
          <w:szCs w:val="24"/>
          <w:highlight w:val="none"/>
        </w:rPr>
      </w:pPr>
      <w:r>
        <w:rPr>
          <w:rFonts w:hint="eastAsia" w:ascii="宋体" w:hAnsi="宋体" w:eastAsia="宋体" w:cs="宋体"/>
          <w:b w:val="0"/>
          <w:bCs w:val="0"/>
          <w:color w:val="auto"/>
          <w:spacing w:val="-11"/>
          <w:sz w:val="24"/>
          <w:szCs w:val="24"/>
          <w:highlight w:val="none"/>
        </w:rPr>
        <w:t>26.1采购人依据磋商小组推荐的成交候选人确定成交人，磋商小组推荐3名成交候选人。采购人将依序确定排名第一的供应商为成交人，若排名第一的成交候选人放弃中标、因不可抗力不能履行合同，或者被查实存在影响成交结果的违法行为等情形，不符合成交条件的，采购人可以按照磋商小组提出的成交候选人名单排序依次确定其他成交候选人为成交人，也可以重新招标。</w:t>
      </w:r>
    </w:p>
    <w:p w14:paraId="52D1960D">
      <w:pPr>
        <w:pStyle w:val="31"/>
        <w:tabs>
          <w:tab w:val="left" w:pos="1281"/>
        </w:tabs>
        <w:spacing w:before="160" w:line="364" w:lineRule="auto"/>
        <w:ind w:left="0" w:leftChars="0" w:right="338" w:firstLine="43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26.2成交供应商确定后，采购人向成交供应商签发《成交通知书》，并将成交结果通</w:t>
      </w:r>
      <w:r>
        <w:rPr>
          <w:rFonts w:hint="eastAsia" w:ascii="宋体" w:hAnsi="宋体" w:eastAsia="宋体" w:cs="宋体"/>
          <w:color w:val="auto"/>
          <w:sz w:val="24"/>
          <w:szCs w:val="24"/>
          <w:highlight w:val="none"/>
        </w:rPr>
        <w:t>知所有未成交的磋商响应供应商。</w:t>
      </w:r>
    </w:p>
    <w:p w14:paraId="225ABDDB">
      <w:pPr>
        <w:pStyle w:val="31"/>
        <w:tabs>
          <w:tab w:val="left" w:pos="1281"/>
        </w:tabs>
        <w:spacing w:before="160" w:line="364" w:lineRule="auto"/>
        <w:ind w:left="0" w:leftChars="0" w:right="338" w:firstLine="47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 xml:space="preserve">26.3《成交通知书》作为签订合同的依据，对采购人和成交供应商均具有法律效力， </w:t>
      </w:r>
      <w:r>
        <w:rPr>
          <w:rFonts w:hint="eastAsia" w:ascii="宋体" w:hAnsi="宋体" w:eastAsia="宋体" w:cs="宋体"/>
          <w:color w:val="auto"/>
          <w:sz w:val="24"/>
          <w:szCs w:val="24"/>
          <w:highlight w:val="none"/>
        </w:rPr>
        <w:t>成交通知书发出后，采购人改变成交结果或者成交供应商放弃项目，应依法承担法律责任。</w:t>
      </w:r>
    </w:p>
    <w:p w14:paraId="371FB0B1">
      <w:pPr>
        <w:pStyle w:val="3"/>
        <w:spacing w:before="2"/>
        <w:rPr>
          <w:rFonts w:hint="eastAsia" w:ascii="宋体" w:hAnsi="宋体" w:eastAsia="宋体" w:cs="宋体"/>
          <w:color w:val="auto"/>
          <w:sz w:val="24"/>
          <w:szCs w:val="24"/>
          <w:highlight w:val="none"/>
        </w:rPr>
      </w:pPr>
      <w:bookmarkStart w:id="159" w:name="_Toc8188_WPSOffice_Level3"/>
      <w:r>
        <w:rPr>
          <w:rFonts w:hint="eastAsia" w:ascii="宋体" w:hAnsi="宋体" w:eastAsia="宋体" w:cs="宋体"/>
          <w:color w:val="auto"/>
          <w:sz w:val="24"/>
          <w:szCs w:val="24"/>
          <w:highlight w:val="none"/>
        </w:rPr>
        <w:t>27、授予合同时变更数量的权力</w:t>
      </w:r>
      <w:bookmarkEnd w:id="159"/>
    </w:p>
    <w:p w14:paraId="2B49FF61">
      <w:pPr>
        <w:pStyle w:val="6"/>
        <w:spacing w:before="177" w:line="328" w:lineRule="auto"/>
        <w:ind w:right="341"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 采购人在授予合同时，保留对</w:t>
      </w:r>
      <w:r>
        <w:rPr>
          <w:rFonts w:hint="eastAsia" w:ascii="宋体" w:hAnsi="宋体" w:cs="宋体"/>
          <w:color w:val="auto"/>
          <w:sz w:val="24"/>
          <w:szCs w:val="24"/>
          <w:highlight w:val="none"/>
          <w:lang w:eastAsia="zh-CN"/>
        </w:rPr>
        <w:t>服务内容</w:t>
      </w:r>
      <w:r>
        <w:rPr>
          <w:rFonts w:hint="eastAsia" w:ascii="宋体" w:hAnsi="宋体" w:eastAsia="宋体" w:cs="宋体"/>
          <w:color w:val="auto"/>
          <w:sz w:val="24"/>
          <w:szCs w:val="24"/>
          <w:highlight w:val="none"/>
        </w:rPr>
        <w:t>予以适当增减的权利。成交供应商不得在此情况下对磋商响应文件做出修改，如价格、服务承诺等。</w:t>
      </w:r>
    </w:p>
    <w:p w14:paraId="66BB444C">
      <w:pPr>
        <w:pStyle w:val="3"/>
        <w:spacing w:line="305" w:lineRule="exact"/>
        <w:rPr>
          <w:rFonts w:hint="eastAsia" w:ascii="宋体" w:hAnsi="宋体" w:eastAsia="宋体" w:cs="宋体"/>
          <w:color w:val="auto"/>
          <w:sz w:val="24"/>
          <w:szCs w:val="24"/>
          <w:highlight w:val="none"/>
        </w:rPr>
      </w:pPr>
      <w:bookmarkStart w:id="160" w:name="_Toc30112_WPSOffice_Level3"/>
      <w:r>
        <w:rPr>
          <w:rFonts w:hint="eastAsia" w:ascii="宋体" w:hAnsi="宋体" w:eastAsia="宋体" w:cs="宋体"/>
          <w:color w:val="auto"/>
          <w:sz w:val="24"/>
          <w:szCs w:val="24"/>
          <w:highlight w:val="none"/>
        </w:rPr>
        <w:t>28、签订合同</w:t>
      </w:r>
      <w:bookmarkEnd w:id="160"/>
    </w:p>
    <w:p w14:paraId="21EE7589">
      <w:pPr>
        <w:pStyle w:val="31"/>
        <w:numPr>
          <w:ilvl w:val="1"/>
          <w:numId w:val="9"/>
        </w:numPr>
        <w:tabs>
          <w:tab w:val="left" w:pos="1281"/>
        </w:tabs>
        <w:spacing w:before="113" w:line="328" w:lineRule="auto"/>
        <w:ind w:right="218" w:firstLine="42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lang w:val="zh-CN" w:eastAsia="zh-CN"/>
        </w:rPr>
        <w:t>成交供应商接到《成交通知书》后</w:t>
      </w:r>
      <w:r>
        <w:rPr>
          <w:rFonts w:hint="eastAsia" w:ascii="宋体" w:hAnsi="宋体" w:eastAsia="宋体" w:cs="宋体"/>
          <w:color w:val="auto"/>
          <w:spacing w:val="-1"/>
          <w:sz w:val="24"/>
          <w:szCs w:val="24"/>
          <w:highlight w:val="none"/>
          <w:lang w:val="en-US" w:eastAsia="zh-CN"/>
        </w:rPr>
        <w:t>1个工作</w:t>
      </w:r>
      <w:r>
        <w:rPr>
          <w:rFonts w:hint="eastAsia" w:ascii="宋体" w:hAnsi="宋体" w:eastAsia="宋体" w:cs="宋体"/>
          <w:color w:val="auto"/>
          <w:spacing w:val="-1"/>
          <w:sz w:val="24"/>
          <w:szCs w:val="24"/>
          <w:highlight w:val="none"/>
          <w:lang w:val="zh-CN" w:eastAsia="zh-CN"/>
        </w:rPr>
        <w:t>日内按指定地点与采购人签订采购合</w:t>
      </w:r>
      <w:r>
        <w:rPr>
          <w:rFonts w:hint="eastAsia" w:ascii="宋体" w:hAnsi="宋体" w:eastAsia="宋体" w:cs="宋体"/>
          <w:color w:val="auto"/>
          <w:spacing w:val="-1"/>
          <w:sz w:val="24"/>
          <w:szCs w:val="24"/>
          <w:highlight w:val="none"/>
        </w:rPr>
        <w:t>；</w:t>
      </w:r>
    </w:p>
    <w:p w14:paraId="4ABE7987">
      <w:pPr>
        <w:pStyle w:val="31"/>
        <w:numPr>
          <w:ilvl w:val="1"/>
          <w:numId w:val="9"/>
        </w:numPr>
        <w:tabs>
          <w:tab w:val="left" w:pos="1281"/>
        </w:tabs>
        <w:spacing w:line="328" w:lineRule="auto"/>
        <w:ind w:right="341"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采购人签发的成交通知书、竞争性磋商文件、成交供应商的磋商响应文件及其澄清文件等，均为签订合同的依据。</w:t>
      </w:r>
    </w:p>
    <w:p w14:paraId="3D7A3318">
      <w:pPr>
        <w:pStyle w:val="31"/>
        <w:numPr>
          <w:ilvl w:val="1"/>
          <w:numId w:val="9"/>
        </w:numPr>
        <w:tabs>
          <w:tab w:val="left" w:pos="1281"/>
        </w:tabs>
        <w:spacing w:line="328" w:lineRule="auto"/>
        <w:ind w:right="340" w:firstLine="4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 xml:space="preserve">如成交供应商拒签合同，则按违约处理，采购人对违约方收取成交金额 </w:t>
      </w:r>
      <w:r>
        <w:rPr>
          <w:rFonts w:hint="eastAsia" w:ascii="宋体" w:hAnsi="宋体" w:eastAsia="宋体" w:cs="宋体"/>
          <w:color w:val="auto"/>
          <w:sz w:val="24"/>
          <w:szCs w:val="24"/>
          <w:highlight w:val="none"/>
        </w:rPr>
        <w:t>2%</w:t>
      </w:r>
      <w:r>
        <w:rPr>
          <w:rFonts w:hint="eastAsia" w:ascii="宋体" w:hAnsi="宋体" w:eastAsia="宋体" w:cs="宋体"/>
          <w:color w:val="auto"/>
          <w:spacing w:val="-8"/>
          <w:sz w:val="24"/>
          <w:szCs w:val="24"/>
          <w:highlight w:val="none"/>
        </w:rPr>
        <w:t>的违</w:t>
      </w:r>
      <w:r>
        <w:rPr>
          <w:rFonts w:hint="eastAsia" w:ascii="宋体" w:hAnsi="宋体" w:eastAsia="宋体" w:cs="宋体"/>
          <w:color w:val="auto"/>
          <w:sz w:val="24"/>
          <w:szCs w:val="24"/>
          <w:highlight w:val="none"/>
        </w:rPr>
        <w:t>约金。</w:t>
      </w:r>
    </w:p>
    <w:p w14:paraId="2862656C">
      <w:pPr>
        <w:pStyle w:val="3"/>
        <w:spacing w:line="305" w:lineRule="exact"/>
        <w:rPr>
          <w:rFonts w:hint="eastAsia" w:ascii="宋体" w:hAnsi="宋体" w:eastAsia="宋体" w:cs="宋体"/>
          <w:color w:val="auto"/>
          <w:sz w:val="24"/>
          <w:szCs w:val="24"/>
          <w:highlight w:val="none"/>
        </w:rPr>
      </w:pPr>
      <w:bookmarkStart w:id="161" w:name="_Toc7342_WPSOffice_Level3"/>
      <w:r>
        <w:rPr>
          <w:rFonts w:hint="eastAsia" w:ascii="宋体" w:hAnsi="宋体" w:eastAsia="宋体" w:cs="宋体"/>
          <w:color w:val="auto"/>
          <w:sz w:val="24"/>
          <w:szCs w:val="24"/>
          <w:highlight w:val="none"/>
          <w:lang w:val="en-US"/>
        </w:rPr>
        <w:t>29、</w:t>
      </w:r>
      <w:r>
        <w:rPr>
          <w:rFonts w:hint="eastAsia" w:ascii="宋体" w:hAnsi="宋体" w:eastAsia="宋体" w:cs="宋体"/>
          <w:color w:val="auto"/>
          <w:sz w:val="24"/>
          <w:szCs w:val="24"/>
          <w:highlight w:val="none"/>
        </w:rPr>
        <w:t>特别注意事项：</w:t>
      </w:r>
      <w:bookmarkEnd w:id="161"/>
    </w:p>
    <w:p w14:paraId="455B2187">
      <w:pPr>
        <w:pStyle w:val="31"/>
        <w:keepNext w:val="0"/>
        <w:keepLines w:val="0"/>
        <w:pageBreakBefore w:val="0"/>
        <w:numPr>
          <w:ilvl w:val="1"/>
          <w:numId w:val="0"/>
        </w:numPr>
        <w:tabs>
          <w:tab w:val="left" w:pos="1341"/>
        </w:tabs>
        <w:kinsoku/>
        <w:wordWrap/>
        <w:overflowPunct/>
        <w:topLinePunct w:val="0"/>
        <w:autoSpaceDE/>
        <w:autoSpaceDN/>
        <w:bidi w:val="0"/>
        <w:adjustRightInd/>
        <w:snapToGrid/>
        <w:spacing w:before="113"/>
        <w:ind w:left="118" w:leftChars="56" w:firstLine="480" w:firstLineChars="200"/>
        <w:textAlignment w:val="auto"/>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29.1</w:t>
      </w:r>
      <w:r>
        <w:rPr>
          <w:rFonts w:hint="eastAsia" w:ascii="宋体" w:hAnsi="宋体" w:eastAsia="宋体" w:cs="宋体"/>
          <w:color w:val="auto"/>
          <w:sz w:val="24"/>
          <w:szCs w:val="24"/>
          <w:highlight w:val="none"/>
        </w:rPr>
        <w:t>磋商响应供应商出现下列情形之一的，磋商小组可取消其磋商资格：</w:t>
      </w:r>
    </w:p>
    <w:p w14:paraId="3C55F0AC">
      <w:pPr>
        <w:pStyle w:val="31"/>
        <w:keepNext w:val="0"/>
        <w:keepLines w:val="0"/>
        <w:pageBreakBefore w:val="0"/>
        <w:numPr>
          <w:ilvl w:val="0"/>
          <w:numId w:val="10"/>
        </w:numPr>
        <w:tabs>
          <w:tab w:val="left" w:pos="1342"/>
        </w:tabs>
        <w:kinsoku/>
        <w:wordWrap/>
        <w:overflowPunct/>
        <w:topLinePunct w:val="0"/>
        <w:autoSpaceDE/>
        <w:autoSpaceDN/>
        <w:bidi w:val="0"/>
        <w:adjustRightInd/>
        <w:snapToGrid/>
        <w:spacing w:before="112"/>
        <w:ind w:left="118" w:leftChars="5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未按磋商文件要求和规定提交实质性响应材料的；</w:t>
      </w:r>
    </w:p>
    <w:p w14:paraId="4E6DAD42">
      <w:pPr>
        <w:pStyle w:val="31"/>
        <w:keepNext w:val="0"/>
        <w:keepLines w:val="0"/>
        <w:pageBreakBefore w:val="0"/>
        <w:numPr>
          <w:ilvl w:val="0"/>
          <w:numId w:val="10"/>
        </w:numPr>
        <w:tabs>
          <w:tab w:val="left" w:pos="1342"/>
        </w:tabs>
        <w:kinsoku/>
        <w:wordWrap/>
        <w:overflowPunct/>
        <w:topLinePunct w:val="0"/>
        <w:autoSpaceDE/>
        <w:autoSpaceDN/>
        <w:bidi w:val="0"/>
        <w:adjustRightInd/>
        <w:snapToGrid/>
        <w:spacing w:before="113"/>
        <w:ind w:left="118" w:leftChars="5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相互串通磋商的（有下列情形之一的，视为磋商响应供应商相互串通磋商</w:t>
      </w:r>
      <w:r>
        <w:rPr>
          <w:rFonts w:hint="eastAsia" w:ascii="宋体" w:hAnsi="宋体" w:eastAsia="宋体" w:cs="宋体"/>
          <w:color w:val="auto"/>
          <w:spacing w:val="-120"/>
          <w:sz w:val="24"/>
          <w:szCs w:val="24"/>
          <w:highlight w:val="none"/>
        </w:rPr>
        <w:t>）</w:t>
      </w:r>
      <w:r>
        <w:rPr>
          <w:rFonts w:hint="eastAsia" w:ascii="宋体" w:hAnsi="宋体" w:eastAsia="宋体" w:cs="宋体"/>
          <w:color w:val="auto"/>
          <w:sz w:val="24"/>
          <w:szCs w:val="24"/>
          <w:highlight w:val="none"/>
        </w:rPr>
        <w:t>；</w:t>
      </w:r>
    </w:p>
    <w:p w14:paraId="593362F5">
      <w:pPr>
        <w:pStyle w:val="6"/>
        <w:keepNext w:val="0"/>
        <w:keepLines w:val="0"/>
        <w:pageBreakBefore w:val="0"/>
        <w:widowControl w:val="0"/>
        <w:kinsoku/>
        <w:wordWrap/>
        <w:overflowPunct/>
        <w:topLinePunct w:val="0"/>
        <w:autoSpaceDE/>
        <w:autoSpaceDN/>
        <w:bidi w:val="0"/>
        <w:adjustRightInd/>
        <w:snapToGrid/>
        <w:spacing w:before="112"/>
        <w:ind w:left="118" w:leftChars="56"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A、不同磋商响应供应商的响应文件由同一单位或者个人编制</w:t>
      </w:r>
    </w:p>
    <w:p w14:paraId="1E5BFF95">
      <w:pPr>
        <w:pStyle w:val="6"/>
        <w:keepNext w:val="0"/>
        <w:keepLines w:val="0"/>
        <w:pageBreakBefore w:val="0"/>
        <w:widowControl w:val="0"/>
        <w:kinsoku/>
        <w:wordWrap/>
        <w:overflowPunct/>
        <w:topLinePunct w:val="0"/>
        <w:autoSpaceDE/>
        <w:autoSpaceDN/>
        <w:bidi w:val="0"/>
        <w:adjustRightInd/>
        <w:snapToGrid/>
        <w:spacing w:before="113"/>
        <w:ind w:left="118" w:leftChars="56"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B、不同磋商响应供应商委托同一单位或者个人办理磋商事宜</w:t>
      </w:r>
    </w:p>
    <w:p w14:paraId="33B7C9FE">
      <w:pPr>
        <w:pStyle w:val="6"/>
        <w:keepNext w:val="0"/>
        <w:keepLines w:val="0"/>
        <w:pageBreakBefore w:val="0"/>
        <w:widowControl w:val="0"/>
        <w:kinsoku/>
        <w:wordWrap/>
        <w:overflowPunct/>
        <w:topLinePunct w:val="0"/>
        <w:autoSpaceDE/>
        <w:autoSpaceDN/>
        <w:bidi w:val="0"/>
        <w:adjustRightInd/>
        <w:snapToGrid/>
        <w:spacing w:before="112"/>
        <w:ind w:left="118" w:leftChars="56"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C、不同磋商响应供应商的响应文件载明的项目管理成员为同一人</w:t>
      </w:r>
    </w:p>
    <w:p w14:paraId="78C2E933">
      <w:pPr>
        <w:pStyle w:val="6"/>
        <w:keepNext w:val="0"/>
        <w:keepLines w:val="0"/>
        <w:pageBreakBefore w:val="0"/>
        <w:widowControl w:val="0"/>
        <w:kinsoku/>
        <w:wordWrap/>
        <w:overflowPunct/>
        <w:topLinePunct w:val="0"/>
        <w:autoSpaceDE/>
        <w:autoSpaceDN/>
        <w:bidi w:val="0"/>
        <w:adjustRightInd/>
        <w:snapToGrid/>
        <w:spacing w:before="113"/>
        <w:ind w:left="118" w:leftChars="56" w:firstLine="600" w:firstLineChars="2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D、不同磋商响应供应商的响应文件异常一致或者磋商报价呈规律性差异</w:t>
      </w:r>
    </w:p>
    <w:p w14:paraId="4396D3B7">
      <w:pPr>
        <w:pStyle w:val="31"/>
        <w:keepNext w:val="0"/>
        <w:keepLines w:val="0"/>
        <w:pageBreakBefore w:val="0"/>
        <w:numPr>
          <w:ilvl w:val="1"/>
          <w:numId w:val="0"/>
        </w:numPr>
        <w:tabs>
          <w:tab w:val="left" w:pos="1341"/>
        </w:tabs>
        <w:kinsoku/>
        <w:wordWrap/>
        <w:overflowPunct/>
        <w:topLinePunct w:val="0"/>
        <w:autoSpaceDE/>
        <w:autoSpaceDN/>
        <w:bidi w:val="0"/>
        <w:adjustRightInd/>
        <w:snapToGrid/>
        <w:spacing w:before="112"/>
        <w:ind w:left="118" w:leftChars="56" w:firstLine="480" w:firstLineChars="200"/>
        <w:textAlignment w:val="auto"/>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29.2</w:t>
      </w:r>
      <w:r>
        <w:rPr>
          <w:rFonts w:hint="eastAsia" w:ascii="宋体" w:hAnsi="宋体" w:eastAsia="宋体" w:cs="宋体"/>
          <w:color w:val="auto"/>
          <w:sz w:val="24"/>
          <w:szCs w:val="24"/>
          <w:highlight w:val="none"/>
        </w:rPr>
        <w:t>磋商响应供应商出现下列情形之一的，将被视为非实质性响应磋商文件要求：</w:t>
      </w:r>
    </w:p>
    <w:p w14:paraId="749FDE0A">
      <w:pPr>
        <w:pStyle w:val="31"/>
        <w:keepNext w:val="0"/>
        <w:keepLines w:val="0"/>
        <w:pageBreakBefore w:val="0"/>
        <w:numPr>
          <w:ilvl w:val="0"/>
          <w:numId w:val="11"/>
        </w:numPr>
        <w:tabs>
          <w:tab w:val="left" w:pos="1221"/>
        </w:tabs>
        <w:kinsoku/>
        <w:wordWrap/>
        <w:overflowPunct/>
        <w:topLinePunct w:val="0"/>
        <w:autoSpaceDE/>
        <w:autoSpaceDN/>
        <w:bidi w:val="0"/>
        <w:adjustRightInd/>
        <w:snapToGrid/>
        <w:spacing w:before="113"/>
        <w:ind w:left="118" w:leftChars="56"/>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服务</w:t>
      </w:r>
      <w:r>
        <w:rPr>
          <w:rFonts w:hint="eastAsia" w:ascii="宋体" w:hAnsi="宋体" w:eastAsia="宋体" w:cs="宋体"/>
          <w:color w:val="auto"/>
          <w:sz w:val="24"/>
          <w:szCs w:val="24"/>
          <w:highlight w:val="none"/>
        </w:rPr>
        <w:t>（完成）期限不确切或不符合磋商文件要求的；</w:t>
      </w:r>
    </w:p>
    <w:p w14:paraId="7C197C07">
      <w:pPr>
        <w:pStyle w:val="31"/>
        <w:keepNext w:val="0"/>
        <w:keepLines w:val="0"/>
        <w:pageBreakBefore w:val="0"/>
        <w:numPr>
          <w:ilvl w:val="0"/>
          <w:numId w:val="11"/>
        </w:numPr>
        <w:tabs>
          <w:tab w:val="left" w:pos="1221"/>
        </w:tabs>
        <w:kinsoku/>
        <w:wordWrap/>
        <w:overflowPunct/>
        <w:topLinePunct w:val="0"/>
        <w:autoSpaceDE/>
        <w:autoSpaceDN/>
        <w:bidi w:val="0"/>
        <w:adjustRightInd/>
        <w:snapToGrid/>
        <w:spacing w:before="112"/>
        <w:ind w:left="118" w:leftChars="5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最后报价有选择性的；</w:t>
      </w:r>
    </w:p>
    <w:p w14:paraId="59B04F97">
      <w:pPr>
        <w:pStyle w:val="31"/>
        <w:keepNext w:val="0"/>
        <w:keepLines w:val="0"/>
        <w:pageBreakBefore w:val="0"/>
        <w:numPr>
          <w:ilvl w:val="0"/>
          <w:numId w:val="11"/>
        </w:numPr>
        <w:tabs>
          <w:tab w:val="left" w:pos="1221"/>
        </w:tabs>
        <w:kinsoku/>
        <w:wordWrap/>
        <w:overflowPunct/>
        <w:topLinePunct w:val="0"/>
        <w:autoSpaceDE/>
        <w:autoSpaceDN/>
        <w:bidi w:val="0"/>
        <w:adjustRightInd/>
        <w:snapToGrid/>
        <w:spacing w:before="113"/>
        <w:ind w:left="118" w:leftChars="5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最后报价超过采购预算金额的；</w:t>
      </w:r>
    </w:p>
    <w:p w14:paraId="6E49A8C9">
      <w:pPr>
        <w:pStyle w:val="31"/>
        <w:keepNext w:val="0"/>
        <w:keepLines w:val="0"/>
        <w:pageBreakBefore w:val="0"/>
        <w:widowControl/>
        <w:numPr>
          <w:ilvl w:val="0"/>
          <w:numId w:val="11"/>
        </w:numPr>
        <w:tabs>
          <w:tab w:val="left" w:pos="1221"/>
        </w:tabs>
        <w:kinsoku/>
        <w:wordWrap/>
        <w:overflowPunct/>
        <w:topLinePunct w:val="0"/>
        <w:autoSpaceDE/>
        <w:autoSpaceDN/>
        <w:bidi w:val="0"/>
        <w:adjustRightInd/>
        <w:snapToGrid/>
        <w:spacing w:before="112"/>
        <w:ind w:left="105" w:left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被磋商小组认定存在重大负偏离的；</w:t>
      </w:r>
    </w:p>
    <w:p w14:paraId="6E8F9647">
      <w:pPr>
        <w:pStyle w:val="6"/>
        <w:spacing w:before="113" w:line="328" w:lineRule="auto"/>
        <w:ind w:right="338" w:firstLine="420"/>
        <w:jc w:val="both"/>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注：所谓重大负偏离是指磋商响应供应商对磋商文件的响应在范围、质量、数量和交</w:t>
      </w:r>
      <w:r>
        <w:rPr>
          <w:rFonts w:hint="eastAsia" w:ascii="宋体" w:hAnsi="宋体" w:eastAsia="宋体" w:cs="宋体"/>
          <w:color w:val="auto"/>
          <w:sz w:val="24"/>
          <w:szCs w:val="24"/>
          <w:highlight w:val="none"/>
        </w:rPr>
        <w:t>货（完成）期限、技术规格要求等方面明显不能满足采购需求的。重大负偏离的认定须经磋商小组三分之二以上同意。</w:t>
      </w:r>
    </w:p>
    <w:p w14:paraId="5B30A2F3">
      <w:pPr>
        <w:pStyle w:val="3"/>
        <w:numPr>
          <w:ilvl w:val="0"/>
          <w:numId w:val="0"/>
        </w:numPr>
        <w:tabs>
          <w:tab w:val="left" w:pos="1222"/>
        </w:tabs>
        <w:spacing w:line="304" w:lineRule="exact"/>
        <w:ind w:left="1221" w:leftChars="0" w:hanging="481" w:firstLineChars="0"/>
        <w:rPr>
          <w:rFonts w:hint="eastAsia" w:ascii="宋体" w:hAnsi="宋体" w:eastAsia="宋体" w:cs="宋体"/>
          <w:color w:val="auto"/>
          <w:sz w:val="24"/>
          <w:szCs w:val="24"/>
          <w:highlight w:val="none"/>
        </w:rPr>
      </w:pPr>
      <w:bookmarkStart w:id="162" w:name="_Toc7366_WPSOffice_Level3"/>
      <w:r>
        <w:rPr>
          <w:rFonts w:hint="default" w:ascii="宋体" w:hAnsi="宋体" w:eastAsia="宋体" w:cs="宋体"/>
          <w:b/>
          <w:bCs/>
          <w:color w:val="auto"/>
          <w:w w:val="100"/>
          <w:kern w:val="2"/>
          <w:sz w:val="24"/>
          <w:szCs w:val="24"/>
          <w:lang w:val="zh-CN" w:eastAsia="zh-CN" w:bidi="zh-CN"/>
        </w:rPr>
        <w:t>30.</w:t>
      </w:r>
      <w:r>
        <w:rPr>
          <w:rFonts w:hint="eastAsia" w:ascii="宋体" w:hAnsi="宋体" w:eastAsia="宋体" w:cs="宋体"/>
          <w:color w:val="auto"/>
          <w:sz w:val="24"/>
          <w:szCs w:val="24"/>
          <w:highlight w:val="none"/>
        </w:rPr>
        <w:t>询问</w:t>
      </w:r>
      <w:bookmarkEnd w:id="162"/>
    </w:p>
    <w:p w14:paraId="359289BA">
      <w:pPr>
        <w:pStyle w:val="31"/>
        <w:numPr>
          <w:ilvl w:val="1"/>
          <w:numId w:val="0"/>
        </w:numPr>
        <w:tabs>
          <w:tab w:val="left" w:pos="1341"/>
        </w:tabs>
        <w:spacing w:before="112" w:line="328" w:lineRule="auto"/>
        <w:ind w:left="320" w:leftChars="0" w:right="338" w:rightChars="0" w:firstLine="480" w:firstLineChars="200"/>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30.1</w:t>
      </w:r>
      <w:r>
        <w:rPr>
          <w:rFonts w:hint="eastAsia" w:ascii="宋体" w:hAnsi="宋体" w:eastAsia="宋体" w:cs="宋体"/>
          <w:color w:val="auto"/>
          <w:spacing w:val="-1"/>
          <w:sz w:val="24"/>
          <w:szCs w:val="24"/>
          <w:highlight w:val="none"/>
        </w:rPr>
        <w:t>磋商响应供应商对采购事项有疑问，可以按照《政府采购法》的相关规定向采</w:t>
      </w:r>
    </w:p>
    <w:p w14:paraId="04E73B42">
      <w:pPr>
        <w:pStyle w:val="31"/>
        <w:numPr>
          <w:ilvl w:val="0"/>
          <w:numId w:val="0"/>
        </w:numPr>
        <w:tabs>
          <w:tab w:val="left" w:pos="1341"/>
        </w:tabs>
        <w:spacing w:before="112" w:line="328" w:lineRule="auto"/>
        <w:ind w:right="338"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购人或采购机构提出询问。</w:t>
      </w:r>
    </w:p>
    <w:p w14:paraId="18450C96">
      <w:pPr>
        <w:pStyle w:val="3"/>
        <w:numPr>
          <w:ilvl w:val="0"/>
          <w:numId w:val="0"/>
        </w:numPr>
        <w:tabs>
          <w:tab w:val="left" w:pos="1222"/>
        </w:tabs>
        <w:spacing w:line="304" w:lineRule="exact"/>
        <w:ind w:left="1221" w:leftChars="0" w:hanging="481" w:firstLineChars="0"/>
        <w:rPr>
          <w:rFonts w:hint="eastAsia" w:ascii="宋体" w:hAnsi="宋体" w:eastAsia="宋体" w:cs="宋体"/>
          <w:color w:val="auto"/>
          <w:sz w:val="24"/>
          <w:szCs w:val="24"/>
          <w:highlight w:val="none"/>
        </w:rPr>
      </w:pPr>
      <w:r>
        <w:rPr>
          <w:rFonts w:hint="default" w:ascii="宋体" w:hAnsi="宋体" w:eastAsia="宋体" w:cs="宋体"/>
          <w:b/>
          <w:bCs/>
          <w:color w:val="auto"/>
          <w:w w:val="100"/>
          <w:kern w:val="2"/>
          <w:sz w:val="24"/>
          <w:szCs w:val="24"/>
          <w:lang w:val="zh-CN" w:eastAsia="zh-CN" w:bidi="zh-CN"/>
        </w:rPr>
        <w:t>31.</w:t>
      </w:r>
      <w:r>
        <w:rPr>
          <w:rFonts w:hint="eastAsia" w:ascii="宋体" w:hAnsi="宋体" w:eastAsia="宋体" w:cs="宋体"/>
          <w:color w:val="auto"/>
          <w:sz w:val="24"/>
          <w:szCs w:val="24"/>
          <w:highlight w:val="none"/>
        </w:rPr>
        <w:t>重新招标</w:t>
      </w:r>
    </w:p>
    <w:p w14:paraId="7AAECF18">
      <w:pPr>
        <w:pageBreakBefore w:val="0"/>
        <w:widowControl w:val="0"/>
        <w:kinsoku/>
        <w:wordWrap/>
        <w:overflowPunct/>
        <w:topLinePunct w:val="0"/>
        <w:autoSpaceDE/>
        <w:autoSpaceDN/>
        <w:bidi w:val="0"/>
        <w:adjustRightInd/>
        <w:snapToGrid/>
        <w:spacing w:line="440" w:lineRule="exact"/>
        <w:ind w:left="0" w:leftChars="0" w:firstLine="720" w:firstLineChars="300"/>
        <w:textAlignment w:val="auto"/>
        <w:rPr>
          <w:rFonts w:hint="eastAsia" w:ascii="宋体" w:hAnsi="宋体" w:eastAsia="宋体" w:cs="宋体"/>
          <w:b w:val="0"/>
          <w:bCs w:val="0"/>
          <w:color w:val="auto"/>
          <w:kern w:val="1"/>
          <w:sz w:val="24"/>
          <w:szCs w:val="24"/>
          <w:highlight w:val="none"/>
          <w:lang w:val="en-US" w:eastAsia="zh-CN" w:bidi="ar-SA"/>
        </w:rPr>
      </w:pPr>
      <w:bookmarkStart w:id="163" w:name="_Toc391284777"/>
      <w:bookmarkStart w:id="164" w:name="_Toc438797215"/>
      <w:bookmarkStart w:id="165" w:name="_Toc438797980"/>
      <w:r>
        <w:rPr>
          <w:rFonts w:hint="eastAsia" w:ascii="宋体" w:hAnsi="宋体" w:eastAsia="宋体" w:cs="宋体"/>
          <w:b w:val="0"/>
          <w:bCs w:val="0"/>
          <w:color w:val="auto"/>
          <w:kern w:val="1"/>
          <w:sz w:val="24"/>
          <w:szCs w:val="24"/>
          <w:highlight w:val="none"/>
          <w:lang w:val="en-US" w:eastAsia="zh-CN" w:bidi="ar-SA"/>
        </w:rPr>
        <w:t xml:space="preserve">出现下列情形之一的，将终止竞争性磋商磋商活动，发布项目终止公告并说明原因，重新开展磋商活动： </w:t>
      </w:r>
    </w:p>
    <w:p w14:paraId="65C315A4">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b w:val="0"/>
          <w:bCs w:val="0"/>
          <w:color w:val="auto"/>
          <w:kern w:val="1"/>
          <w:sz w:val="24"/>
          <w:szCs w:val="24"/>
          <w:highlight w:val="none"/>
          <w:lang w:val="en-US" w:eastAsia="zh-CN" w:bidi="ar-SA"/>
        </w:rPr>
      </w:pPr>
      <w:r>
        <w:rPr>
          <w:rFonts w:hint="eastAsia" w:ascii="宋体" w:hAnsi="宋体" w:eastAsia="宋体" w:cs="宋体"/>
          <w:b w:val="0"/>
          <w:bCs w:val="0"/>
          <w:color w:val="auto"/>
          <w:kern w:val="1"/>
          <w:sz w:val="24"/>
          <w:szCs w:val="24"/>
          <w:highlight w:val="none"/>
          <w:lang w:val="en-US" w:eastAsia="zh-CN" w:bidi="ar-SA"/>
        </w:rPr>
        <w:t xml:space="preserve">（1）因情况变化，不再符合规定的竞争性磋商磋商方式,适用情形的；出现影响磋商公正的违法、违规行为的； </w:t>
      </w:r>
    </w:p>
    <w:p w14:paraId="2FCD517D">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b w:val="0"/>
          <w:bCs w:val="0"/>
          <w:color w:val="auto"/>
          <w:kern w:val="1"/>
          <w:sz w:val="24"/>
          <w:szCs w:val="24"/>
          <w:highlight w:val="none"/>
          <w:lang w:val="en-US" w:eastAsia="zh-CN" w:bidi="ar-SA"/>
        </w:rPr>
      </w:pPr>
      <w:r>
        <w:rPr>
          <w:rFonts w:hint="eastAsia" w:ascii="宋体" w:hAnsi="宋体" w:eastAsia="宋体" w:cs="宋体"/>
          <w:b w:val="0"/>
          <w:bCs w:val="0"/>
          <w:color w:val="auto"/>
          <w:kern w:val="1"/>
          <w:sz w:val="24"/>
          <w:szCs w:val="24"/>
          <w:highlight w:val="none"/>
          <w:lang w:val="en-US" w:eastAsia="zh-CN" w:bidi="ar-SA"/>
        </w:rPr>
        <w:t xml:space="preserve">（2）不符合法律、法规和竞争性磋商文件规定的其他实质性要求的； </w:t>
      </w:r>
    </w:p>
    <w:p w14:paraId="1B882247">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b w:val="0"/>
          <w:bCs w:val="0"/>
          <w:color w:val="auto"/>
          <w:kern w:val="1"/>
          <w:sz w:val="24"/>
          <w:szCs w:val="24"/>
          <w:highlight w:val="none"/>
          <w:lang w:val="en-US" w:eastAsia="zh-CN" w:bidi="ar-SA"/>
        </w:rPr>
      </w:pPr>
      <w:r>
        <w:rPr>
          <w:rFonts w:hint="eastAsia" w:ascii="宋体" w:hAnsi="宋体" w:eastAsia="宋体" w:cs="宋体"/>
          <w:b w:val="0"/>
          <w:bCs w:val="0"/>
          <w:color w:val="auto"/>
          <w:kern w:val="1"/>
          <w:sz w:val="24"/>
          <w:szCs w:val="24"/>
          <w:highlight w:val="none"/>
          <w:lang w:val="en-US" w:eastAsia="zh-CN" w:bidi="ar-SA"/>
        </w:rPr>
        <w:t>（3）其他法律、法规及本竞争性磋商文件规定的属响应无效的情形，终止竞争性磋商磋商活动的条款等；</w:t>
      </w:r>
    </w:p>
    <w:p w14:paraId="71A05BEF">
      <w:pPr>
        <w:pageBreakBefore w:val="0"/>
        <w:widowControl w:val="0"/>
        <w:kinsoku/>
        <w:wordWrap/>
        <w:overflowPunct/>
        <w:topLinePunct w:val="0"/>
        <w:autoSpaceDE/>
        <w:autoSpaceDN/>
        <w:bidi w:val="0"/>
        <w:adjustRightInd/>
        <w:snapToGrid/>
        <w:spacing w:line="44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kern w:val="1"/>
          <w:sz w:val="24"/>
          <w:szCs w:val="24"/>
          <w:highlight w:val="none"/>
          <w:lang w:val="en-US" w:eastAsia="zh-CN" w:bidi="ar-SA"/>
        </w:rPr>
        <w:t>（4）磋商截止时间后参加开标的供应商不足3家的，应重新组织采购，评审期间通过资格审查的供应商或者对磋商响应文件作出实质响应的供应商不足3家的，应重新组织采购。</w:t>
      </w:r>
      <w:bookmarkEnd w:id="163"/>
      <w:bookmarkEnd w:id="164"/>
      <w:bookmarkEnd w:id="165"/>
    </w:p>
    <w:p w14:paraId="31BD86C4">
      <w:pPr>
        <w:pStyle w:val="3"/>
        <w:numPr>
          <w:ilvl w:val="0"/>
          <w:numId w:val="0"/>
        </w:numPr>
        <w:tabs>
          <w:tab w:val="left" w:pos="1105"/>
        </w:tabs>
        <w:spacing w:line="305" w:lineRule="exact"/>
        <w:ind w:left="1104" w:leftChars="0" w:hanging="364" w:firstLineChars="0"/>
        <w:rPr>
          <w:rFonts w:hint="eastAsia" w:ascii="宋体" w:hAnsi="宋体" w:eastAsia="宋体" w:cs="宋体"/>
          <w:color w:val="auto"/>
          <w:sz w:val="24"/>
          <w:szCs w:val="24"/>
          <w:highlight w:val="none"/>
        </w:rPr>
      </w:pPr>
      <w:bookmarkStart w:id="166" w:name="_Toc13604_WPSOffice_Level3"/>
      <w:r>
        <w:rPr>
          <w:rFonts w:hint="default" w:ascii="宋体" w:hAnsi="宋体" w:eastAsia="宋体" w:cs="宋体"/>
          <w:b/>
          <w:bCs/>
          <w:color w:val="auto"/>
          <w:w w:val="100"/>
          <w:kern w:val="2"/>
          <w:sz w:val="24"/>
          <w:szCs w:val="24"/>
          <w:lang w:val="zh-CN" w:eastAsia="zh-CN" w:bidi="zh-CN"/>
        </w:rPr>
        <w:t>32.</w:t>
      </w:r>
      <w:r>
        <w:rPr>
          <w:rFonts w:hint="eastAsia" w:ascii="宋体" w:hAnsi="宋体" w:eastAsia="宋体" w:cs="宋体"/>
          <w:color w:val="auto"/>
          <w:sz w:val="24"/>
          <w:szCs w:val="24"/>
          <w:highlight w:val="none"/>
        </w:rPr>
        <w:t>质疑程序及处理</w:t>
      </w:r>
      <w:bookmarkEnd w:id="166"/>
    </w:p>
    <w:p w14:paraId="0099B6AE">
      <w:pPr>
        <w:pStyle w:val="31"/>
        <w:numPr>
          <w:ilvl w:val="1"/>
          <w:numId w:val="0"/>
        </w:numPr>
        <w:tabs>
          <w:tab w:val="left" w:pos="1341"/>
        </w:tabs>
        <w:spacing w:before="113" w:line="328"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32.1</w:t>
      </w:r>
      <w:r>
        <w:rPr>
          <w:rFonts w:hint="eastAsia" w:ascii="宋体" w:hAnsi="宋体" w:eastAsia="宋体" w:cs="宋体"/>
          <w:color w:val="auto"/>
          <w:spacing w:val="-1"/>
          <w:sz w:val="24"/>
          <w:szCs w:val="24"/>
          <w:highlight w:val="none"/>
        </w:rPr>
        <w:t>若竞争性磋商响应人认为其磋商未获公平评审或磋商文件、采购过程和成交结</w:t>
      </w:r>
      <w:r>
        <w:rPr>
          <w:rFonts w:hint="eastAsia" w:ascii="宋体" w:hAnsi="宋体" w:eastAsia="宋体" w:cs="宋体"/>
          <w:color w:val="auto"/>
          <w:spacing w:val="-4"/>
          <w:sz w:val="24"/>
          <w:szCs w:val="24"/>
          <w:highlight w:val="none"/>
        </w:rPr>
        <w:t xml:space="preserve">果使自己的合法权益受到损害，可以在知道或者应知其权益受到损害之日起 </w:t>
      </w:r>
      <w:r>
        <w:rPr>
          <w:rFonts w:hint="eastAsia" w:ascii="宋体" w:hAnsi="宋体" w:eastAsia="宋体" w:cs="宋体"/>
          <w:color w:val="auto"/>
          <w:sz w:val="24"/>
          <w:szCs w:val="24"/>
          <w:highlight w:val="none"/>
        </w:rPr>
        <w:t>7</w:t>
      </w:r>
      <w:r>
        <w:rPr>
          <w:rFonts w:hint="eastAsia" w:ascii="宋体" w:hAnsi="宋体" w:eastAsia="宋体" w:cs="宋体"/>
          <w:color w:val="auto"/>
          <w:spacing w:val="-4"/>
          <w:sz w:val="24"/>
          <w:szCs w:val="24"/>
          <w:highlight w:val="none"/>
        </w:rPr>
        <w:t xml:space="preserve"> 个工作日</w:t>
      </w:r>
      <w:r>
        <w:rPr>
          <w:rFonts w:hint="eastAsia" w:ascii="宋体" w:hAnsi="宋体" w:eastAsia="宋体" w:cs="宋体"/>
          <w:color w:val="auto"/>
          <w:sz w:val="24"/>
          <w:szCs w:val="24"/>
          <w:highlight w:val="none"/>
        </w:rPr>
        <w:t>内，将质疑书原件送达采购人或采购代理机构。提出质疑期限的计算，依照下列规定办理：</w:t>
      </w:r>
    </w:p>
    <w:p w14:paraId="03F95751">
      <w:pPr>
        <w:pStyle w:val="6"/>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（一）对可以质疑的磋商文件提出质疑的，为收到磋商文件之日或者磋商文件公告期限届满之日；</w:t>
      </w:r>
    </w:p>
    <w:p w14:paraId="399519B3">
      <w:pPr>
        <w:pStyle w:val="6"/>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（二）对采购过程提出质疑的，为各采购程序环节结束之日；</w:t>
      </w:r>
    </w:p>
    <w:p w14:paraId="666B6949">
      <w:pPr>
        <w:pStyle w:val="6"/>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（三）对成交结果提出质疑的，为成交结果公告期限届满之日。</w:t>
      </w:r>
    </w:p>
    <w:p w14:paraId="5F9A13C8">
      <w:pPr>
        <w:pStyle w:val="31"/>
        <w:numPr>
          <w:ilvl w:val="1"/>
          <w:numId w:val="0"/>
        </w:numPr>
        <w:tabs>
          <w:tab w:val="left" w:pos="1341"/>
        </w:tabs>
        <w:spacing w:before="113" w:line="328" w:lineRule="auto"/>
        <w:ind w:left="320" w:leftChars="0" w:right="340" w:rightChars="0" w:firstLine="480" w:firstLineChars="200"/>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32.2</w:t>
      </w:r>
      <w:r>
        <w:rPr>
          <w:rFonts w:hint="eastAsia" w:ascii="宋体" w:hAnsi="宋体" w:eastAsia="宋体" w:cs="宋体"/>
          <w:color w:val="auto"/>
          <w:spacing w:val="-1"/>
          <w:sz w:val="24"/>
          <w:szCs w:val="24"/>
          <w:highlight w:val="none"/>
        </w:rPr>
        <w:t>质疑书应当包括下列主要内容，并按照“谁主张、谁举证”的原则，附上相关</w:t>
      </w:r>
      <w:r>
        <w:rPr>
          <w:rFonts w:hint="eastAsia" w:ascii="宋体" w:hAnsi="宋体" w:eastAsia="宋体" w:cs="宋体"/>
          <w:color w:val="auto"/>
          <w:sz w:val="24"/>
          <w:szCs w:val="24"/>
          <w:highlight w:val="none"/>
        </w:rPr>
        <w:t>证明材料。否则，采购人不予受理：</w:t>
      </w:r>
    </w:p>
    <w:p w14:paraId="5BB7B2F4">
      <w:pPr>
        <w:pStyle w:val="6"/>
        <w:spacing w:line="328" w:lineRule="auto"/>
        <w:ind w:right="337"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w:t>
      </w:r>
      <w:r>
        <w:rPr>
          <w:rFonts w:hint="eastAsia" w:ascii="宋体" w:hAnsi="宋体" w:eastAsia="宋体" w:cs="宋体"/>
          <w:color w:val="auto"/>
          <w:spacing w:val="-24"/>
          <w:sz w:val="24"/>
          <w:szCs w:val="24"/>
          <w:highlight w:val="none"/>
        </w:rPr>
        <w:t>）</w:t>
      </w:r>
      <w:r>
        <w:rPr>
          <w:rFonts w:hint="eastAsia" w:ascii="宋体" w:hAnsi="宋体" w:eastAsia="宋体" w:cs="宋体"/>
          <w:color w:val="auto"/>
          <w:spacing w:val="-7"/>
          <w:sz w:val="24"/>
          <w:szCs w:val="24"/>
          <w:highlight w:val="none"/>
        </w:rPr>
        <w:t>质疑磋商响应供应商全称、地址、法定代表人、联系人及联系电话、邮政编码</w:t>
      </w:r>
      <w:r>
        <w:rPr>
          <w:rFonts w:hint="eastAsia" w:ascii="宋体" w:hAnsi="宋体" w:eastAsia="宋体" w:cs="宋体"/>
          <w:color w:val="auto"/>
          <w:sz w:val="24"/>
          <w:szCs w:val="24"/>
          <w:highlight w:val="none"/>
        </w:rPr>
        <w:t>等；</w:t>
      </w:r>
    </w:p>
    <w:p w14:paraId="6109DC9D">
      <w:pPr>
        <w:pStyle w:val="6"/>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（二）被质疑采购项目的名称、编号；</w:t>
      </w:r>
    </w:p>
    <w:p w14:paraId="22342F5E">
      <w:pPr>
        <w:pStyle w:val="6"/>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（三）质疑的具体事项、明确的请求和主张；</w:t>
      </w:r>
    </w:p>
    <w:p w14:paraId="54F869EE">
      <w:pPr>
        <w:pStyle w:val="6"/>
        <w:spacing w:before="112" w:line="328" w:lineRule="auto"/>
        <w:ind w:right="338"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（四）质疑所依据的法律依据（具体条款</w:t>
      </w:r>
      <w:r>
        <w:rPr>
          <w:rFonts w:hint="eastAsia" w:ascii="宋体" w:hAnsi="宋体" w:eastAsia="宋体" w:cs="宋体"/>
          <w:color w:val="auto"/>
          <w:spacing w:val="-120"/>
          <w:sz w:val="24"/>
          <w:szCs w:val="24"/>
          <w:highlight w:val="none"/>
        </w:rPr>
        <w:t>）</w:t>
      </w:r>
      <w:r>
        <w:rPr>
          <w:rFonts w:hint="eastAsia" w:ascii="宋体" w:hAnsi="宋体" w:eastAsia="宋体" w:cs="宋体"/>
          <w:color w:val="auto"/>
          <w:spacing w:val="-1"/>
          <w:sz w:val="24"/>
          <w:szCs w:val="24"/>
          <w:highlight w:val="none"/>
        </w:rPr>
        <w:t>、具体事实和具体理由。质疑书依据理由</w:t>
      </w:r>
      <w:r>
        <w:rPr>
          <w:rFonts w:hint="eastAsia" w:ascii="宋体" w:hAnsi="宋体" w:eastAsia="宋体" w:cs="宋体"/>
          <w:color w:val="auto"/>
          <w:sz w:val="24"/>
          <w:szCs w:val="24"/>
          <w:highlight w:val="none"/>
        </w:rPr>
        <w:t>部分只有主观陈述、推理、猜测等，而没有提供客观事实依据、法律依据的；</w:t>
      </w:r>
    </w:p>
    <w:p w14:paraId="58C6B31E">
      <w:pPr>
        <w:pStyle w:val="6"/>
        <w:spacing w:line="328" w:lineRule="auto"/>
        <w:ind w:right="337"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质疑事项按照有关法律、法规和规章规定及竞争性磋商文件要求属于保密或者处于保密阶段的事项，磋商响应供应商必须提供正常的信息来源或有效证据，磋商响应供应商不能提供或者拒绝提供合法的信息来源或有效证据的；</w:t>
      </w:r>
    </w:p>
    <w:p w14:paraId="19F17F27">
      <w:pPr>
        <w:pStyle w:val="6"/>
        <w:spacing w:line="328" w:lineRule="auto"/>
        <w:ind w:right="337"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（六）充足有效的相关证明材料；如果涉及到产品功能或技术指标的，应出具相关制造商的证明文件；</w:t>
      </w:r>
    </w:p>
    <w:p w14:paraId="2CE1CEC9">
      <w:pPr>
        <w:pStyle w:val="6"/>
        <w:spacing w:line="328" w:lineRule="auto"/>
        <w:ind w:right="337"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（七）质疑材料中有外文资料的，应一并附上中文译本，并以中文译本为准。</w:t>
      </w:r>
    </w:p>
    <w:p w14:paraId="77C6A063">
      <w:pPr>
        <w:pStyle w:val="6"/>
        <w:spacing w:line="328" w:lineRule="auto"/>
        <w:ind w:right="337"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（八）提起质疑的日期</w:t>
      </w:r>
    </w:p>
    <w:p w14:paraId="2D1C12F2">
      <w:pPr>
        <w:pStyle w:val="6"/>
        <w:keepNext w:val="0"/>
        <w:keepLines w:val="0"/>
        <w:pageBreakBefore w:val="0"/>
        <w:widowControl w:val="0"/>
        <w:kinsoku/>
        <w:wordWrap/>
        <w:overflowPunct/>
        <w:topLinePunct w:val="0"/>
        <w:autoSpaceDE/>
        <w:autoSpaceDN/>
        <w:bidi w:val="0"/>
        <w:adjustRightInd/>
        <w:snapToGrid/>
        <w:spacing w:line="329" w:lineRule="auto"/>
        <w:ind w:left="115" w:leftChars="55" w:right="126" w:rightChars="6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响应供应商质疑实行实名制并须在质疑书上署名。磋商响应供应商不得进行虚假、恶意质疑，不得以质疑为手段获取不当得利、实现非法目的。磋商响应供应商为自然人的，应当由本人签字；磋商响应供应商为法人的，应当由法定代表人签字或盖章并加盖公章；磋商响应供应商为其他组织的，应当由主要负责人签字或盖章并加盖公章。磋商响应供应商其他工作人员或代理人员在质疑书上的署名不具有法律效力。</w:t>
      </w:r>
    </w:p>
    <w:p w14:paraId="32AEE4E6">
      <w:pPr>
        <w:pStyle w:val="31"/>
        <w:numPr>
          <w:ilvl w:val="1"/>
          <w:numId w:val="0"/>
        </w:numPr>
        <w:tabs>
          <w:tab w:val="left" w:pos="1341"/>
        </w:tabs>
        <w:spacing w:line="328"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32.3</w:t>
      </w:r>
      <w:r>
        <w:rPr>
          <w:rFonts w:hint="eastAsia" w:ascii="宋体" w:hAnsi="宋体" w:eastAsia="宋体" w:cs="宋体"/>
          <w:color w:val="auto"/>
          <w:spacing w:val="-1"/>
          <w:sz w:val="24"/>
          <w:szCs w:val="24"/>
          <w:highlight w:val="none"/>
        </w:rPr>
        <w:t>磋商响应供应商委托代理人办理质疑事宜，应当提交授权委托书，并载明委托</w:t>
      </w:r>
      <w:r>
        <w:rPr>
          <w:rFonts w:hint="eastAsia" w:ascii="宋体" w:hAnsi="宋体" w:eastAsia="宋体" w:cs="宋体"/>
          <w:color w:val="auto"/>
          <w:sz w:val="24"/>
          <w:szCs w:val="24"/>
          <w:highlight w:val="none"/>
        </w:rPr>
        <w:t>代理的具体权限和事项。授权委托书应当由委托人签字并加盖单位公章。</w:t>
      </w:r>
    </w:p>
    <w:p w14:paraId="14109032">
      <w:pPr>
        <w:pStyle w:val="31"/>
        <w:numPr>
          <w:ilvl w:val="1"/>
          <w:numId w:val="0"/>
        </w:numPr>
        <w:tabs>
          <w:tab w:val="left" w:pos="1341"/>
        </w:tabs>
        <w:spacing w:line="328"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32.4</w:t>
      </w:r>
      <w:r>
        <w:rPr>
          <w:rFonts w:hint="eastAsia" w:ascii="宋体" w:hAnsi="宋体" w:eastAsia="宋体" w:cs="宋体"/>
          <w:color w:val="auto"/>
          <w:spacing w:val="-1"/>
          <w:sz w:val="24"/>
          <w:szCs w:val="24"/>
          <w:highlight w:val="none"/>
        </w:rPr>
        <w:t>提交质疑书时，磋商响应供应商应同时提交本人身份证，委托他人代理质疑事</w:t>
      </w:r>
      <w:r>
        <w:rPr>
          <w:rFonts w:hint="eastAsia" w:ascii="宋体" w:hAnsi="宋体" w:eastAsia="宋体" w:cs="宋体"/>
          <w:color w:val="auto"/>
          <w:sz w:val="24"/>
          <w:szCs w:val="24"/>
          <w:highlight w:val="none"/>
        </w:rPr>
        <w:t>宜的，还应提交被委托人的身份证。磋商响应供应商是法人的，应一并提交法人营业执照和法定代表人身份证；磋商响应供应商是其他组织的，应一并提交其他组织经营许可证和主要负责人身份证。磋商响应供应商应当提供上述证明材料的原件及复印件，原件经采购人核对无误后返还。</w:t>
      </w:r>
    </w:p>
    <w:p w14:paraId="4BFF6692">
      <w:pPr>
        <w:pStyle w:val="31"/>
        <w:numPr>
          <w:ilvl w:val="1"/>
          <w:numId w:val="0"/>
        </w:numPr>
        <w:tabs>
          <w:tab w:val="left" w:pos="1341"/>
        </w:tabs>
        <w:spacing w:line="328" w:lineRule="auto"/>
        <w:ind w:left="320" w:leftChars="0" w:right="338" w:rightChars="0" w:firstLine="480" w:firstLineChars="200"/>
        <w:jc w:val="left"/>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32.5</w:t>
      </w:r>
      <w:r>
        <w:rPr>
          <w:rFonts w:hint="eastAsia" w:ascii="宋体" w:hAnsi="宋体" w:eastAsia="宋体" w:cs="宋体"/>
          <w:color w:val="auto"/>
          <w:spacing w:val="-1"/>
          <w:sz w:val="24"/>
          <w:szCs w:val="24"/>
          <w:highlight w:val="none"/>
        </w:rPr>
        <w:t>质疑书提交方式。磋商响应供应商或者</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其委托代理人应当当面提交质疑书及相</w:t>
      </w:r>
      <w:r>
        <w:rPr>
          <w:rFonts w:hint="eastAsia" w:ascii="宋体" w:hAnsi="宋体" w:eastAsia="宋体" w:cs="宋体"/>
          <w:color w:val="auto"/>
          <w:sz w:val="24"/>
          <w:szCs w:val="24"/>
          <w:highlight w:val="none"/>
        </w:rPr>
        <w:t>关证明材料。磋商响应供应商以电子邮件、传真等其他方式提交质疑书及相关证明材料的，或者不是磋商响应供应商或者其委托代理人提交质疑书及相关证明材料的，采购人或采购机构可以拒收。</w:t>
      </w:r>
    </w:p>
    <w:p w14:paraId="35F73AA6">
      <w:pPr>
        <w:pStyle w:val="31"/>
        <w:numPr>
          <w:ilvl w:val="1"/>
          <w:numId w:val="0"/>
        </w:numPr>
        <w:tabs>
          <w:tab w:val="left" w:pos="1341"/>
        </w:tabs>
        <w:spacing w:line="328"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32.6</w:t>
      </w:r>
      <w:r>
        <w:rPr>
          <w:rFonts w:hint="eastAsia" w:ascii="宋体" w:hAnsi="宋体" w:eastAsia="宋体" w:cs="宋体"/>
          <w:color w:val="auto"/>
          <w:spacing w:val="-1"/>
          <w:sz w:val="24"/>
          <w:szCs w:val="24"/>
          <w:highlight w:val="none"/>
        </w:rPr>
        <w:t>磋商响应供应商不得虚假质疑和恶意质疑，并对质疑内容的真实性承担责任。</w:t>
      </w:r>
      <w:r>
        <w:rPr>
          <w:rFonts w:hint="eastAsia" w:ascii="宋体" w:hAnsi="宋体" w:eastAsia="宋体" w:cs="宋体"/>
          <w:color w:val="auto"/>
          <w:sz w:val="24"/>
          <w:szCs w:val="24"/>
          <w:highlight w:val="none"/>
        </w:rPr>
        <w:t>磋商响应供应商或者其他利害关系人通过捏造事实、伪造证明材料等方式提出异议或投诉，阻碍招磋商活动正常进行的，属于严重不良行为，采购人将提请财政部门将其列入不良行为记录名单，并依法予以处罚。</w:t>
      </w:r>
    </w:p>
    <w:p w14:paraId="7B498DE6">
      <w:pPr>
        <w:pStyle w:val="31"/>
        <w:numPr>
          <w:ilvl w:val="1"/>
          <w:numId w:val="0"/>
        </w:numPr>
        <w:tabs>
          <w:tab w:val="left" w:pos="1341"/>
        </w:tabs>
        <w:spacing w:line="328" w:lineRule="auto"/>
        <w:ind w:left="320" w:leftChars="0" w:right="21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32.7</w:t>
      </w:r>
      <w:r>
        <w:rPr>
          <w:rFonts w:hint="eastAsia" w:ascii="宋体" w:hAnsi="宋体" w:eastAsia="宋体" w:cs="宋体"/>
          <w:color w:val="auto"/>
          <w:sz w:val="24"/>
          <w:szCs w:val="24"/>
          <w:highlight w:val="none"/>
        </w:rPr>
        <w:t>采购人将在收到符合上述条件的书面质疑后 7</w:t>
      </w:r>
      <w:r>
        <w:rPr>
          <w:rFonts w:hint="eastAsia" w:ascii="宋体" w:hAnsi="宋体" w:eastAsia="宋体" w:cs="宋体"/>
          <w:color w:val="auto"/>
          <w:spacing w:val="-9"/>
          <w:sz w:val="24"/>
          <w:szCs w:val="24"/>
          <w:highlight w:val="none"/>
        </w:rPr>
        <w:t xml:space="preserve"> 个工作日内审查质疑事项，作出答复或相关处理决定，并以书面形式通知质疑磋商响应供应商和其他有关磋商响应供应商，但答复的内容不涉及商业秘密。若质疑涉及磋商制度或程序，将被转交政府采购的</w:t>
      </w:r>
      <w:r>
        <w:rPr>
          <w:rFonts w:hint="eastAsia" w:ascii="宋体" w:hAnsi="宋体" w:eastAsia="宋体" w:cs="宋体"/>
          <w:color w:val="auto"/>
          <w:spacing w:val="-12"/>
          <w:sz w:val="24"/>
          <w:szCs w:val="24"/>
          <w:highlight w:val="none"/>
        </w:rPr>
        <w:t>管理部门审查。采购人遵循“谁过错谁负担”的原则，有过错的一方承担调查论证费用。</w:t>
      </w:r>
    </w:p>
    <w:p w14:paraId="3FF09FD6">
      <w:pPr>
        <w:pStyle w:val="31"/>
        <w:numPr>
          <w:ilvl w:val="1"/>
          <w:numId w:val="0"/>
        </w:numPr>
        <w:tabs>
          <w:tab w:val="left" w:pos="1341"/>
        </w:tabs>
        <w:spacing w:line="328" w:lineRule="auto"/>
        <w:ind w:left="320" w:leftChars="0" w:right="338" w:rightChars="0" w:firstLine="480" w:firstLineChars="200"/>
        <w:jc w:val="both"/>
        <w:rPr>
          <w:rFonts w:hint="eastAsia" w:ascii="宋体" w:hAnsi="宋体" w:eastAsia="宋体" w:cs="宋体"/>
          <w:color w:val="auto"/>
          <w:sz w:val="24"/>
          <w:szCs w:val="24"/>
          <w:highlight w:val="none"/>
        </w:rPr>
      </w:pPr>
      <w:r>
        <w:rPr>
          <w:rFonts w:hint="default" w:ascii="宋体" w:hAnsi="宋体" w:eastAsia="宋体" w:cs="宋体"/>
          <w:color w:val="auto"/>
          <w:w w:val="100"/>
          <w:kern w:val="2"/>
          <w:sz w:val="24"/>
          <w:szCs w:val="24"/>
          <w:lang w:val="zh-CN" w:eastAsia="zh-CN" w:bidi="zh-CN"/>
        </w:rPr>
        <w:t>32.8</w:t>
      </w:r>
      <w:r>
        <w:rPr>
          <w:rFonts w:hint="eastAsia" w:ascii="宋体" w:hAnsi="宋体" w:eastAsia="宋体" w:cs="宋体"/>
          <w:color w:val="auto"/>
          <w:spacing w:val="-1"/>
          <w:sz w:val="24"/>
          <w:szCs w:val="24"/>
          <w:highlight w:val="none"/>
        </w:rPr>
        <w:t xml:space="preserve">质疑供应商对采购人的答复不满意以及采购人未在规定的时间内做出答复的， </w:t>
      </w:r>
      <w:r>
        <w:rPr>
          <w:rFonts w:hint="eastAsia" w:ascii="宋体" w:hAnsi="宋体" w:eastAsia="宋体" w:cs="宋体"/>
          <w:color w:val="auto"/>
          <w:spacing w:val="-7"/>
          <w:sz w:val="24"/>
          <w:szCs w:val="24"/>
          <w:highlight w:val="none"/>
        </w:rPr>
        <w:t xml:space="preserve">可以在答复期满后 </w:t>
      </w:r>
      <w:r>
        <w:rPr>
          <w:rFonts w:hint="eastAsia" w:ascii="宋体" w:hAnsi="宋体" w:eastAsia="宋体" w:cs="宋体"/>
          <w:color w:val="auto"/>
          <w:sz w:val="24"/>
          <w:szCs w:val="24"/>
          <w:highlight w:val="none"/>
        </w:rPr>
        <w:t>15</w:t>
      </w:r>
      <w:r>
        <w:rPr>
          <w:rFonts w:hint="eastAsia" w:ascii="宋体" w:hAnsi="宋体" w:eastAsia="宋体" w:cs="宋体"/>
          <w:color w:val="auto"/>
          <w:spacing w:val="-8"/>
          <w:sz w:val="24"/>
          <w:szCs w:val="24"/>
          <w:highlight w:val="none"/>
        </w:rPr>
        <w:t xml:space="preserve"> 个工作日内向财政部门投诉。</w:t>
      </w:r>
    </w:p>
    <w:p w14:paraId="694D5BB5">
      <w:pPr>
        <w:pStyle w:val="31"/>
        <w:widowControl w:val="0"/>
        <w:numPr>
          <w:ilvl w:val="0"/>
          <w:numId w:val="0"/>
        </w:numPr>
        <w:tabs>
          <w:tab w:val="left" w:pos="1341"/>
        </w:tabs>
        <w:autoSpaceDE w:val="0"/>
        <w:autoSpaceDN w:val="0"/>
        <w:spacing w:line="240" w:lineRule="auto"/>
        <w:ind w:right="0" w:rightChars="0" w:firstLine="717" w:firstLineChars="300"/>
        <w:jc w:val="both"/>
        <w:rPr>
          <w:rFonts w:hint="eastAsia" w:ascii="宋体" w:hAnsi="宋体" w:eastAsia="宋体" w:cs="宋体"/>
          <w:b/>
          <w:bCs/>
          <w:color w:val="auto"/>
          <w:spacing w:val="-1"/>
          <w:sz w:val="24"/>
          <w:highlight w:val="none"/>
          <w:lang w:val="en-US" w:eastAsia="zh-CN"/>
        </w:rPr>
      </w:pPr>
      <w:r>
        <w:rPr>
          <w:rFonts w:hint="eastAsia" w:ascii="宋体" w:hAnsi="宋体" w:eastAsia="宋体" w:cs="宋体"/>
          <w:b/>
          <w:bCs/>
          <w:color w:val="auto"/>
          <w:spacing w:val="-1"/>
          <w:sz w:val="24"/>
          <w:highlight w:val="none"/>
          <w:lang w:val="en-US" w:eastAsia="zh-CN"/>
        </w:rPr>
        <w:t>33.招标代理服务收费参照豫招协[2023]002号河南省招标投标协会关于印发《河南省招标代理服务收费指导意见》规定的收费标准收取中标服务费。</w:t>
      </w:r>
    </w:p>
    <w:p w14:paraId="5D8EA3D0">
      <w:pPr>
        <w:pStyle w:val="31"/>
        <w:widowControl w:val="0"/>
        <w:numPr>
          <w:ilvl w:val="0"/>
          <w:numId w:val="0"/>
        </w:numPr>
        <w:tabs>
          <w:tab w:val="left" w:pos="1341"/>
        </w:tabs>
        <w:autoSpaceDE w:val="0"/>
        <w:autoSpaceDN w:val="0"/>
        <w:spacing w:line="240" w:lineRule="auto"/>
        <w:ind w:left="0" w:leftChars="0" w:right="0" w:rightChars="0"/>
        <w:jc w:val="both"/>
        <w:rPr>
          <w:rFonts w:hint="default" w:ascii="宋体" w:hAnsi="宋体" w:eastAsia="宋体" w:cs="宋体"/>
          <w:b/>
          <w:bCs/>
          <w:color w:val="auto"/>
          <w:spacing w:val="-1"/>
          <w:sz w:val="24"/>
          <w:highlight w:val="none"/>
          <w:lang w:val="en-US" w:eastAsia="zh-CN"/>
        </w:rPr>
      </w:pPr>
    </w:p>
    <w:p w14:paraId="187F97CA">
      <w:pPr>
        <w:pStyle w:val="31"/>
        <w:widowControl w:val="0"/>
        <w:numPr>
          <w:ilvl w:val="0"/>
          <w:numId w:val="0"/>
        </w:numPr>
        <w:tabs>
          <w:tab w:val="left" w:pos="1341"/>
        </w:tabs>
        <w:autoSpaceDE w:val="0"/>
        <w:autoSpaceDN w:val="0"/>
        <w:spacing w:line="240" w:lineRule="auto"/>
        <w:ind w:right="0" w:rightChars="0" w:firstLine="717" w:firstLineChars="300"/>
        <w:jc w:val="both"/>
        <w:rPr>
          <w:rFonts w:hint="default" w:ascii="宋体" w:hAnsi="宋体" w:eastAsia="宋体" w:cs="宋体"/>
          <w:b/>
          <w:bCs/>
          <w:color w:val="auto"/>
          <w:spacing w:val="-1"/>
          <w:sz w:val="24"/>
          <w:highlight w:val="none"/>
          <w:lang w:val="en-US" w:eastAsia="zh-CN"/>
        </w:rPr>
      </w:pPr>
      <w:r>
        <w:rPr>
          <w:rFonts w:hint="eastAsia" w:ascii="宋体" w:hAnsi="宋体" w:eastAsia="宋体" w:cs="宋体"/>
          <w:b/>
          <w:bCs/>
          <w:color w:val="auto"/>
          <w:spacing w:val="-1"/>
          <w:sz w:val="24"/>
          <w:highlight w:val="none"/>
          <w:lang w:val="en-US" w:eastAsia="zh-CN"/>
        </w:rPr>
        <w:t>河南省招标代理服务费计算标准</w:t>
      </w:r>
    </w:p>
    <w:tbl>
      <w:tblPr>
        <w:tblStyle w:val="14"/>
        <w:tblpPr w:leftFromText="180" w:rightFromText="180" w:vertAnchor="text" w:horzAnchor="page" w:tblpX="1421" w:tblpY="481"/>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4075"/>
        <w:gridCol w:w="1675"/>
        <w:gridCol w:w="1462"/>
        <w:gridCol w:w="1746"/>
      </w:tblGrid>
      <w:tr w14:paraId="4B700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66859D4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项目类型/（金额万元）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2700FF0C">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工程</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2D694FD9">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货物</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81CF67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服务</w:t>
            </w:r>
          </w:p>
        </w:tc>
      </w:tr>
      <w:tr w14:paraId="33140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7AF974B3">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100万元以下（含100万元）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24B4CDC8">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5502A378">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1.70%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19A73B9">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1.70%</w:t>
            </w:r>
          </w:p>
        </w:tc>
      </w:tr>
      <w:tr w14:paraId="559A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622D85E2">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100-500万元（含500万元）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3E0AA0A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53C6581E">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E74A2DE">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1.20%</w:t>
            </w:r>
          </w:p>
        </w:tc>
      </w:tr>
      <w:tr w14:paraId="7A339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151BDBF6">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500-1000万元（含1000万元）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30A0319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0.70%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5272D4D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0.80%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186D6D4">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0.70%</w:t>
            </w:r>
          </w:p>
        </w:tc>
      </w:tr>
      <w:tr w14:paraId="31834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796BC53F">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1000-5000万元（含5000万元）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28861AE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0.40%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1FC4434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0.50%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05374C9">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0.40%</w:t>
            </w:r>
          </w:p>
        </w:tc>
      </w:tr>
      <w:tr w14:paraId="360CD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024C4B19">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5000万元--1亿元（含1亿元）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20DA02AE">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0.25%</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05A6E60C">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0.30%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32EB9F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0.25%</w:t>
            </w:r>
          </w:p>
        </w:tc>
      </w:tr>
      <w:tr w14:paraId="4DF49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7F1EA791">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1亿--5亿元（含5亿元）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242C586C">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0973D45A">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10F76E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0.10%</w:t>
            </w:r>
          </w:p>
        </w:tc>
      </w:tr>
      <w:tr w14:paraId="039F9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right w:val="single" w:color="000000" w:sz="4" w:space="0"/>
            </w:tcBorders>
            <w:noWrap w:val="0"/>
            <w:vAlign w:val="center"/>
          </w:tcPr>
          <w:p w14:paraId="371D6786">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5亿--10亿元（含10亿元）</w:t>
            </w:r>
          </w:p>
        </w:tc>
        <w:tc>
          <w:tcPr>
            <w:tcW w:w="1675" w:type="dxa"/>
            <w:tcBorders>
              <w:top w:val="single" w:color="000000" w:sz="4" w:space="0"/>
              <w:left w:val="single" w:color="000000" w:sz="4" w:space="0"/>
              <w:right w:val="single" w:color="000000" w:sz="4" w:space="0"/>
            </w:tcBorders>
            <w:noWrap w:val="0"/>
            <w:vAlign w:val="center"/>
          </w:tcPr>
          <w:p w14:paraId="04AF9634">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c>
          <w:tcPr>
            <w:tcW w:w="1462" w:type="dxa"/>
            <w:tcBorders>
              <w:top w:val="single" w:color="000000" w:sz="4" w:space="0"/>
              <w:left w:val="single" w:color="000000" w:sz="4" w:space="0"/>
              <w:right w:val="single" w:color="000000" w:sz="4" w:space="0"/>
            </w:tcBorders>
            <w:noWrap w:val="0"/>
            <w:vAlign w:val="center"/>
          </w:tcPr>
          <w:p w14:paraId="10A2108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c>
          <w:tcPr>
            <w:tcW w:w="1746" w:type="dxa"/>
            <w:tcBorders>
              <w:top w:val="single" w:color="000000" w:sz="4" w:space="0"/>
              <w:left w:val="single" w:color="000000" w:sz="4" w:space="0"/>
              <w:right w:val="single" w:color="000000" w:sz="4" w:space="0"/>
            </w:tcBorders>
            <w:noWrap w:val="0"/>
            <w:vAlign w:val="center"/>
          </w:tcPr>
          <w:p w14:paraId="1FB15EDA">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0.045%</w:t>
            </w:r>
          </w:p>
        </w:tc>
      </w:tr>
      <w:tr w14:paraId="4106D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57773400">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10亿--50亿元（含50亿元）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7068AFED">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61691C17">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4D3899C">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0.010%</w:t>
            </w:r>
          </w:p>
        </w:tc>
      </w:tr>
      <w:tr w14:paraId="6C36E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60FB5C01">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50亿--100亿元（含</w:t>
            </w:r>
            <w:r>
              <w:rPr>
                <w:rFonts w:hint="eastAsia" w:ascii="宋体" w:hAnsi="宋体"/>
                <w:b w:val="0"/>
                <w:i w:val="0"/>
                <w:snapToGrid/>
                <w:color w:val="auto"/>
                <w:sz w:val="24"/>
                <w:szCs w:val="18"/>
                <w:highlight w:val="none"/>
                <w:u w:val="none"/>
                <w:lang w:val="en-US" w:eastAsia="zh-CN"/>
              </w:rPr>
              <w:t>100</w:t>
            </w:r>
            <w:r>
              <w:rPr>
                <w:rFonts w:hint="default" w:ascii="宋体" w:hAnsi="宋体" w:eastAsia="宋体"/>
                <w:b w:val="0"/>
                <w:i w:val="0"/>
                <w:snapToGrid/>
                <w:color w:val="auto"/>
                <w:sz w:val="24"/>
                <w:szCs w:val="18"/>
                <w:highlight w:val="none"/>
                <w:u w:val="none"/>
                <w:lang w:eastAsia="zh-CN"/>
              </w:rPr>
              <w:t>亿元）</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7D29CC7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1E81831F">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04EC246">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0.008%</w:t>
            </w:r>
          </w:p>
        </w:tc>
      </w:tr>
      <w:tr w14:paraId="60784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4" w:hRule="atLeast"/>
        </w:trPr>
        <w:tc>
          <w:tcPr>
            <w:tcW w:w="4075" w:type="dxa"/>
            <w:tcBorders>
              <w:top w:val="single" w:color="000000" w:sz="4" w:space="0"/>
              <w:left w:val="single" w:color="000000" w:sz="4" w:space="0"/>
              <w:bottom w:val="single" w:color="000000" w:sz="4" w:space="0"/>
              <w:right w:val="single" w:color="000000" w:sz="4" w:space="0"/>
            </w:tcBorders>
            <w:noWrap w:val="0"/>
            <w:vAlign w:val="center"/>
          </w:tcPr>
          <w:p w14:paraId="42909FD5">
            <w:pPr>
              <w:kinsoku/>
              <w:autoSpaceDE/>
              <w:autoSpaceDN w:val="0"/>
              <w:jc w:val="left"/>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100亿元以上</w:t>
            </w:r>
          </w:p>
        </w:tc>
        <w:tc>
          <w:tcPr>
            <w:tcW w:w="1675" w:type="dxa"/>
            <w:tcBorders>
              <w:top w:val="single" w:color="000000" w:sz="4" w:space="0"/>
              <w:left w:val="single" w:color="000000" w:sz="4" w:space="0"/>
              <w:bottom w:val="single" w:color="000000" w:sz="4" w:space="0"/>
              <w:right w:val="single" w:color="000000" w:sz="4" w:space="0"/>
            </w:tcBorders>
            <w:noWrap w:val="0"/>
            <w:vAlign w:val="center"/>
          </w:tcPr>
          <w:p w14:paraId="0CA9989B">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4AA27B91">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0117792">
            <w:pPr>
              <w:kinsoku/>
              <w:autoSpaceDE/>
              <w:autoSpaceDN w:val="0"/>
              <w:jc w:val="center"/>
              <w:textAlignment w:val="center"/>
              <w:rPr>
                <w:rFonts w:hint="default" w:ascii="宋体" w:hAnsi="宋体" w:eastAsia="宋体"/>
                <w:b w:val="0"/>
                <w:i w:val="0"/>
                <w:snapToGrid/>
                <w:color w:val="auto"/>
                <w:sz w:val="24"/>
                <w:szCs w:val="18"/>
                <w:highlight w:val="none"/>
                <w:u w:val="none"/>
                <w:lang w:eastAsia="zh-CN"/>
              </w:rPr>
            </w:pPr>
            <w:r>
              <w:rPr>
                <w:rFonts w:hint="default" w:ascii="宋体" w:hAnsi="宋体" w:eastAsia="宋体"/>
                <w:b w:val="0"/>
                <w:i w:val="0"/>
                <w:snapToGrid/>
                <w:color w:val="auto"/>
                <w:sz w:val="24"/>
                <w:szCs w:val="18"/>
                <w:highlight w:val="none"/>
                <w:u w:val="none"/>
                <w:lang w:eastAsia="zh-CN"/>
              </w:rPr>
              <w:t>0.004%</w:t>
            </w:r>
          </w:p>
        </w:tc>
      </w:tr>
      <w:tr w14:paraId="2A8E3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5631" w:hRule="atLeast"/>
        </w:trPr>
        <w:tc>
          <w:tcPr>
            <w:tcW w:w="8958" w:type="dxa"/>
            <w:gridSpan w:val="4"/>
            <w:noWrap w:val="0"/>
            <w:vAlign w:val="center"/>
          </w:tcPr>
          <w:p w14:paraId="7DDC7A4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注：1.按本表费率计算的收费金额为招标代理服务费的基准价格，不含工程量清单、最高投标限价（招标控制价）或标底的编制费用。</w:t>
            </w:r>
          </w:p>
          <w:p w14:paraId="63DB4FC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val="en-US" w:eastAsia="zh-CN"/>
              </w:rPr>
            </w:pPr>
            <w:r>
              <w:rPr>
                <w:rFonts w:hint="eastAsia" w:ascii="宋体" w:hAnsi="宋体" w:eastAsia="宋体"/>
                <w:b w:val="0"/>
                <w:i w:val="0"/>
                <w:snapToGrid/>
                <w:color w:val="auto"/>
                <w:sz w:val="24"/>
                <w:szCs w:val="24"/>
                <w:highlight w:val="none"/>
                <w:u w:val="none"/>
                <w:lang w:val="en-US" w:eastAsia="zh-CN"/>
              </w:rPr>
              <w:t>2.招标代理服务收费按差额定率累进法计算。</w:t>
            </w:r>
          </w:p>
          <w:p w14:paraId="71E7F433">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例如: 某工程招标代理业务，项目预算金额（招标控制价）为10000 万元，招标代理服务收费计算如下:</w:t>
            </w:r>
          </w:p>
          <w:p w14:paraId="25258C9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eastAsia" w:ascii="宋体" w:hAnsi="宋体"/>
                <w:b w:val="0"/>
                <w:i w:val="0"/>
                <w:snapToGrid/>
                <w:color w:val="auto"/>
                <w:sz w:val="24"/>
                <w:szCs w:val="24"/>
                <w:highlight w:val="none"/>
                <w:u w:val="none"/>
                <w:lang w:val="en-US" w:eastAsia="zh-CN"/>
              </w:rPr>
              <w:t xml:space="preserve"> </w:t>
            </w:r>
            <w:r>
              <w:rPr>
                <w:rFonts w:hint="default" w:ascii="宋体" w:hAnsi="宋体" w:eastAsia="宋体"/>
                <w:b w:val="0"/>
                <w:i w:val="0"/>
                <w:snapToGrid/>
                <w:color w:val="auto"/>
                <w:sz w:val="24"/>
                <w:szCs w:val="24"/>
                <w:highlight w:val="none"/>
                <w:u w:val="none"/>
                <w:lang w:eastAsia="zh-CN"/>
              </w:rPr>
              <w:t>100万元×1.2%=1.2万元</w:t>
            </w:r>
          </w:p>
          <w:p w14:paraId="3343A79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（500-100）万元×1.0%=4万元</w:t>
            </w:r>
          </w:p>
          <w:p w14:paraId="0C6AC4AF">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（1000-500）×0.7%=3.5万元</w:t>
            </w:r>
          </w:p>
          <w:p w14:paraId="5240ADAA">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（5000-1000）×0.4%=16万元</w:t>
            </w:r>
          </w:p>
          <w:p w14:paraId="7FD39D0C">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auto"/>
                <w:sz w:val="24"/>
                <w:szCs w:val="24"/>
                <w:highlight w:val="none"/>
                <w:u w:val="none"/>
                <w:lang w:eastAsia="zh-CN"/>
              </w:rPr>
            </w:pPr>
            <w:r>
              <w:rPr>
                <w:rFonts w:hint="default" w:ascii="宋体" w:hAnsi="宋体" w:eastAsia="宋体"/>
                <w:b w:val="0"/>
                <w:i w:val="0"/>
                <w:snapToGrid/>
                <w:color w:val="auto"/>
                <w:sz w:val="24"/>
                <w:szCs w:val="24"/>
                <w:highlight w:val="none"/>
                <w:u w:val="none"/>
                <w:lang w:eastAsia="zh-CN"/>
              </w:rPr>
              <w:t>（10000-5000）×0.25%=12.5万元合计收费=1.2+4+3.5+16+12.5=37.2万元</w:t>
            </w:r>
          </w:p>
          <w:p w14:paraId="036E08EF">
            <w:pPr>
              <w:pStyle w:val="32"/>
              <w:widowControl w:val="0"/>
              <w:numPr>
                <w:ilvl w:val="0"/>
                <w:numId w:val="0"/>
              </w:numPr>
              <w:shd w:val="clear" w:color="auto" w:fill="auto"/>
              <w:tabs>
                <w:tab w:val="left" w:pos="992"/>
              </w:tabs>
              <w:spacing w:after="40" w:line="360" w:lineRule="auto"/>
              <w:jc w:val="both"/>
              <w:rPr>
                <w:rFonts w:hint="default" w:ascii="宋体" w:hAnsi="宋体" w:eastAsia="宋体" w:cs="宋体"/>
                <w:b/>
                <w:bCs/>
                <w:color w:val="auto"/>
                <w:sz w:val="24"/>
                <w:szCs w:val="24"/>
                <w:highlight w:val="none"/>
                <w:lang w:val="en-US" w:eastAsia="zh-CN"/>
              </w:rPr>
            </w:pPr>
          </w:p>
        </w:tc>
      </w:tr>
      <w:bookmarkEnd w:id="24"/>
    </w:tbl>
    <w:p w14:paraId="1A936D72">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bookmarkStart w:id="167" w:name="_Toc7567"/>
      <w:bookmarkStart w:id="168" w:name="_Toc19399"/>
      <w:bookmarkStart w:id="169" w:name="_Toc18333"/>
    </w:p>
    <w:p w14:paraId="311A097A">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217563A3">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30ECE77C">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074B9D05">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13F78333">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0828A9CA">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4A5B42F0">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35F98436">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108A7EDD">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759AA54C">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7F7747FA">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0F2F9F68">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4CC50805">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2A63A389">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73CE93D3">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28669D40">
      <w:pPr>
        <w:pStyle w:val="32"/>
        <w:numPr>
          <w:ilvl w:val="0"/>
          <w:numId w:val="0"/>
        </w:numPr>
        <w:shd w:val="clear" w:color="auto" w:fill="auto"/>
        <w:tabs>
          <w:tab w:val="left" w:pos="992"/>
        </w:tabs>
        <w:spacing w:after="40" w:line="360" w:lineRule="auto"/>
        <w:jc w:val="both"/>
        <w:rPr>
          <w:rFonts w:hint="eastAsia" w:ascii="宋体" w:hAnsi="宋体" w:eastAsia="宋体" w:cs="宋体"/>
          <w:b/>
          <w:bCs/>
          <w:color w:val="auto"/>
          <w:kern w:val="2"/>
          <w:sz w:val="24"/>
          <w:szCs w:val="24"/>
          <w:shd w:val="clear" w:fill="auto"/>
          <w:lang w:val="en-US" w:eastAsia="zh-CN" w:bidi="zh-TW"/>
        </w:rPr>
      </w:pPr>
    </w:p>
    <w:p w14:paraId="6252DF43">
      <w:pPr>
        <w:pStyle w:val="31"/>
        <w:widowControl w:val="0"/>
        <w:numPr>
          <w:ilvl w:val="0"/>
          <w:numId w:val="0"/>
        </w:numPr>
        <w:tabs>
          <w:tab w:val="left" w:pos="1341"/>
        </w:tabs>
        <w:autoSpaceDE w:val="0"/>
        <w:autoSpaceDN w:val="0"/>
        <w:spacing w:line="240" w:lineRule="auto"/>
        <w:ind w:right="0" w:rightChars="0" w:firstLine="717" w:firstLineChars="300"/>
        <w:jc w:val="both"/>
        <w:rPr>
          <w:rFonts w:hint="eastAsia" w:ascii="宋体" w:hAnsi="宋体" w:eastAsia="宋体" w:cs="宋体"/>
          <w:b/>
          <w:bCs/>
          <w:color w:val="auto"/>
          <w:spacing w:val="-1"/>
          <w:sz w:val="24"/>
          <w:highlight w:val="none"/>
          <w:lang w:val="en-US" w:eastAsia="zh-CN"/>
        </w:rPr>
      </w:pPr>
      <w:r>
        <w:rPr>
          <w:rFonts w:hint="eastAsia" w:ascii="宋体" w:hAnsi="宋体" w:eastAsia="宋体" w:cs="宋体"/>
          <w:b/>
          <w:bCs/>
          <w:color w:val="auto"/>
          <w:spacing w:val="-1"/>
          <w:sz w:val="24"/>
          <w:highlight w:val="none"/>
          <w:lang w:val="en-US" w:eastAsia="zh-CN"/>
        </w:rPr>
        <w:t>34.本项目支持河南省政府采购合同融资政策，告知函如下：</w:t>
      </w:r>
    </w:p>
    <w:p w14:paraId="6C0A9C17">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p>
    <w:p w14:paraId="5C71682C">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附件1：河南省政府采购合同融资政策告知函</w:t>
      </w:r>
    </w:p>
    <w:bookmarkEnd w:id="167"/>
    <w:bookmarkEnd w:id="168"/>
    <w:p w14:paraId="5A87307C">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sz w:val="24"/>
          <w:szCs w:val="24"/>
          <w:highlight w:val="none"/>
          <w:lang w:eastAsia="en-US"/>
        </w:rPr>
      </w:pPr>
    </w:p>
    <w:p w14:paraId="448C6A2B">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sz w:val="24"/>
          <w:szCs w:val="24"/>
          <w:highlight w:val="none"/>
          <w:lang w:eastAsia="en-US"/>
        </w:rPr>
      </w:pPr>
    </w:p>
    <w:p w14:paraId="23364C1D">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河南省政府采购合同融资政策告知函</w:t>
      </w:r>
    </w:p>
    <w:p w14:paraId="47FC079D">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各投标人：</w:t>
      </w:r>
    </w:p>
    <w:p w14:paraId="0936DF88">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欢迎贵公司参与河南省政府采购活动！</w:t>
      </w:r>
    </w:p>
    <w:p w14:paraId="3BFBAE25">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政府采购合同融资是河南省财政厅支持中小微企业发展，针对参与政府采购活动的投标人融资难、融资贵问题推出的一项融资政策。贵公司若成为本次政府采购项目的中标供应商，可持政府采购合同向金融机构申请贷款，无需抵押、担保，融资机构将根据《河南省政府采购合同融资工作实施方案》（豫财购〔2017〕10号），按照双方自愿的原则提供便捷、优惠的贷款服务。</w:t>
      </w:r>
    </w:p>
    <w:p w14:paraId="24532457">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bookmarkStart w:id="170" w:name="_Toc15196"/>
      <w:r>
        <w:rPr>
          <w:rFonts w:hint="eastAsia" w:ascii="宋体" w:hAnsi="宋体" w:eastAsia="宋体" w:cs="宋体"/>
          <w:b w:val="0"/>
          <w:bCs w:val="0"/>
          <w:color w:val="auto"/>
          <w:sz w:val="24"/>
          <w:szCs w:val="24"/>
          <w:highlight w:val="none"/>
          <w:lang w:eastAsia="en-US"/>
        </w:rPr>
        <w:t>贷款渠道和提供贷款的金融机构，可在河南省政府采购网“河南省政府采购合同融资平</w:t>
      </w:r>
    </w:p>
    <w:p w14:paraId="290EC3AF">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台”查询联系。</w:t>
      </w:r>
      <w:bookmarkEnd w:id="170"/>
    </w:p>
    <w:p w14:paraId="0445FB9D">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br w:type="page"/>
      </w:r>
    </w:p>
    <w:p w14:paraId="53428DFE">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附件2</w:t>
      </w:r>
    </w:p>
    <w:p w14:paraId="7417F3E6">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卢氏县政府采购合同融资政策告知书各供应商:</w:t>
      </w:r>
    </w:p>
    <w:p w14:paraId="738FAD46">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欢迎贵公司参与卢氏县政府采购活动!近年来，卢氏县积极发挥政府采购政策功能，加大对中小企业支持力度，创新运用“政采贷”信贷产品，畅通中小企业融资“绿色通道”，为企业发展提质增效注入金融活水为更好满足中小微供应商短、频、急的资金需求，帮助中小微企业解决融资难题，提升金融服务实体经济能力，服务市场主体推动经济稳健发展，我县各金融机构着力优化产品服务、无需抵押担保、简化审贷程序、缩短审贷周期，为供应商合同融资贷款提供便利条件，现编制《卢氏县政府采购合同融资政策告知书》，方便中小企业</w:t>
      </w:r>
    </w:p>
    <w:p w14:paraId="51EE3EED">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供应商朋友们进一步了解政府采购融资政策和获取贷款的流程.</w:t>
      </w:r>
    </w:p>
    <w:p w14:paraId="65120537">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en-US"/>
        </w:rPr>
      </w:pPr>
      <w:r>
        <w:rPr>
          <w:rFonts w:hint="eastAsia" w:ascii="宋体" w:hAnsi="宋体" w:eastAsia="宋体" w:cs="宋体"/>
          <w:b w:val="0"/>
          <w:bCs w:val="0"/>
          <w:color w:val="auto"/>
          <w:sz w:val="24"/>
          <w:szCs w:val="24"/>
          <w:highlight w:val="none"/>
          <w:lang w:eastAsia="en-US"/>
        </w:rPr>
        <w:t>特别提醒:该告知书仅统计了我县部分可以提供线上融资的金融机构，凡参与我县政府采购项目，有融资需求的本地或外地中标(中标)供应商，均可通过“河南省政府采购网:进入“河南省政府采购合同融资平台”，申请融资服务，凡在政府采购合同融资平台登记的金融机构均可开展融资贷款业务。对“政采贷”工作开展过程中发现的新问题、新情况或者建议意见，及时向我县财政部门反馈。</w:t>
      </w:r>
    </w:p>
    <w:p w14:paraId="60DABDF5">
      <w:pPr>
        <w:pStyle w:val="32"/>
        <w:keepNext w:val="0"/>
        <w:keepLines w:val="0"/>
        <w:pageBreakBefore w:val="0"/>
        <w:widowControl w:val="0"/>
        <w:shd w:val="clear" w:color="auto" w:fill="auto"/>
        <w:tabs>
          <w:tab w:val="left" w:pos="992"/>
        </w:tabs>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联系电话:0398-7863556</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3"/>
        <w:gridCol w:w="3304"/>
        <w:gridCol w:w="3304"/>
      </w:tblGrid>
      <w:tr w14:paraId="3D10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303" w:type="dxa"/>
            <w:vAlign w:val="center"/>
          </w:tcPr>
          <w:p w14:paraId="45E85592">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单位名称</w:t>
            </w:r>
          </w:p>
        </w:tc>
        <w:tc>
          <w:tcPr>
            <w:tcW w:w="3304" w:type="dxa"/>
            <w:vAlign w:val="center"/>
          </w:tcPr>
          <w:p w14:paraId="7E5D3A1A">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联系人</w:t>
            </w:r>
          </w:p>
        </w:tc>
        <w:tc>
          <w:tcPr>
            <w:tcW w:w="3304" w:type="dxa"/>
            <w:vAlign w:val="center"/>
          </w:tcPr>
          <w:p w14:paraId="0BAD409F">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联系方式</w:t>
            </w:r>
          </w:p>
        </w:tc>
      </w:tr>
      <w:tr w14:paraId="417B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303" w:type="dxa"/>
            <w:vAlign w:val="center"/>
          </w:tcPr>
          <w:p w14:paraId="575E0C58">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中国建设银行股份有限公司卢氏支行</w:t>
            </w:r>
          </w:p>
        </w:tc>
        <w:tc>
          <w:tcPr>
            <w:tcW w:w="3304" w:type="dxa"/>
            <w:vAlign w:val="center"/>
          </w:tcPr>
          <w:p w14:paraId="435EE9BA">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张江涛</w:t>
            </w:r>
          </w:p>
        </w:tc>
        <w:tc>
          <w:tcPr>
            <w:tcW w:w="3304" w:type="dxa"/>
            <w:vAlign w:val="center"/>
          </w:tcPr>
          <w:p w14:paraId="048F1400">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18739850204</w:t>
            </w:r>
          </w:p>
        </w:tc>
      </w:tr>
      <w:tr w14:paraId="4165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303" w:type="dxa"/>
            <w:vAlign w:val="center"/>
          </w:tcPr>
          <w:p w14:paraId="537BC380">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中国农业银行股份有限公司卢氏县支行</w:t>
            </w:r>
          </w:p>
        </w:tc>
        <w:tc>
          <w:tcPr>
            <w:tcW w:w="3304" w:type="dxa"/>
            <w:vAlign w:val="center"/>
          </w:tcPr>
          <w:p w14:paraId="34815B34">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代仁旺</w:t>
            </w:r>
          </w:p>
        </w:tc>
        <w:tc>
          <w:tcPr>
            <w:tcW w:w="3304" w:type="dxa"/>
            <w:vAlign w:val="center"/>
          </w:tcPr>
          <w:p w14:paraId="7A506E1F">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18939062604</w:t>
            </w:r>
          </w:p>
        </w:tc>
      </w:tr>
      <w:tr w14:paraId="2A90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3303" w:type="dxa"/>
            <w:vAlign w:val="center"/>
          </w:tcPr>
          <w:p w14:paraId="4B8D26EF">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中原银行股份有限公司卢氏支行</w:t>
            </w:r>
          </w:p>
        </w:tc>
        <w:tc>
          <w:tcPr>
            <w:tcW w:w="3304" w:type="dxa"/>
            <w:vAlign w:val="center"/>
          </w:tcPr>
          <w:p w14:paraId="752072B4">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李 博</w:t>
            </w:r>
          </w:p>
        </w:tc>
        <w:tc>
          <w:tcPr>
            <w:tcW w:w="3304" w:type="dxa"/>
            <w:vAlign w:val="center"/>
          </w:tcPr>
          <w:p w14:paraId="5A336943">
            <w:pPr>
              <w:pStyle w:val="32"/>
              <w:shd w:val="clear" w:color="auto" w:fill="auto"/>
              <w:tabs>
                <w:tab w:val="left" w:pos="992"/>
              </w:tabs>
              <w:spacing w:after="40" w:line="360" w:lineRule="auto"/>
              <w:ind w:left="0" w:leftChars="0" w:firstLine="0" w:firstLineChars="0"/>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15839857887</w:t>
            </w:r>
          </w:p>
        </w:tc>
      </w:tr>
    </w:tbl>
    <w:p w14:paraId="626364D8">
      <w:pPr>
        <w:snapToGrid w:val="0"/>
        <w:spacing w:beforeAutospacing="0" w:afterAutospacing="0" w:line="360" w:lineRule="auto"/>
        <w:jc w:val="center"/>
        <w:outlineLvl w:val="0"/>
        <w:rPr>
          <w:rFonts w:hint="eastAsia" w:ascii="宋体" w:hAnsi="宋体"/>
          <w:b/>
          <w:bCs/>
          <w:color w:val="auto"/>
          <w:kern w:val="0"/>
          <w:sz w:val="44"/>
          <w:szCs w:val="44"/>
          <w:highlight w:val="none"/>
          <w:lang w:eastAsia="zh-CN"/>
        </w:rPr>
      </w:pPr>
    </w:p>
    <w:p w14:paraId="11BEA9C9">
      <w:pPr>
        <w:snapToGrid w:val="0"/>
        <w:spacing w:beforeAutospacing="0" w:afterAutospacing="0" w:line="360" w:lineRule="auto"/>
        <w:jc w:val="center"/>
        <w:outlineLvl w:val="0"/>
        <w:rPr>
          <w:rFonts w:hint="eastAsia" w:ascii="宋体" w:hAnsi="宋体"/>
          <w:b/>
          <w:bCs/>
          <w:color w:val="auto"/>
          <w:kern w:val="0"/>
          <w:sz w:val="44"/>
          <w:szCs w:val="44"/>
          <w:highlight w:val="none"/>
          <w:lang w:eastAsia="zh-CN"/>
        </w:rPr>
      </w:pPr>
    </w:p>
    <w:p w14:paraId="5D2E71DA">
      <w:pPr>
        <w:snapToGrid w:val="0"/>
        <w:spacing w:beforeAutospacing="0" w:afterAutospacing="0" w:line="360" w:lineRule="auto"/>
        <w:jc w:val="center"/>
        <w:outlineLvl w:val="0"/>
        <w:rPr>
          <w:rFonts w:hint="eastAsia" w:ascii="宋体" w:hAnsi="宋体"/>
          <w:b/>
          <w:bCs/>
          <w:color w:val="auto"/>
          <w:kern w:val="0"/>
          <w:sz w:val="44"/>
          <w:szCs w:val="44"/>
          <w:highlight w:val="none"/>
          <w:lang w:eastAsia="zh-CN"/>
        </w:rPr>
      </w:pPr>
    </w:p>
    <w:p w14:paraId="2D5F7488">
      <w:pPr>
        <w:snapToGrid w:val="0"/>
        <w:spacing w:beforeAutospacing="0" w:afterAutospacing="0" w:line="360" w:lineRule="auto"/>
        <w:jc w:val="center"/>
        <w:outlineLvl w:val="0"/>
        <w:rPr>
          <w:rFonts w:hint="eastAsia" w:ascii="宋体" w:hAnsi="宋体"/>
          <w:b/>
          <w:bCs/>
          <w:color w:val="auto"/>
          <w:kern w:val="0"/>
          <w:sz w:val="44"/>
          <w:szCs w:val="44"/>
          <w:highlight w:val="none"/>
          <w:lang w:eastAsia="zh-CN"/>
        </w:rPr>
      </w:pPr>
    </w:p>
    <w:p w14:paraId="32174E63">
      <w:pPr>
        <w:snapToGrid w:val="0"/>
        <w:spacing w:beforeAutospacing="0" w:afterAutospacing="0" w:line="360" w:lineRule="auto"/>
        <w:jc w:val="center"/>
        <w:outlineLvl w:val="0"/>
        <w:rPr>
          <w:rFonts w:hint="eastAsia" w:ascii="宋体" w:hAnsi="宋体" w:eastAsia="宋体"/>
          <w:b/>
          <w:bCs/>
          <w:color w:val="auto"/>
          <w:sz w:val="36"/>
          <w:szCs w:val="36"/>
          <w:highlight w:val="none"/>
        </w:rPr>
      </w:pPr>
      <w:bookmarkStart w:id="171" w:name="_Toc13540"/>
      <w:r>
        <w:rPr>
          <w:rFonts w:hint="eastAsia" w:ascii="宋体" w:hAnsi="宋体" w:eastAsia="宋体"/>
          <w:b/>
          <w:bCs/>
          <w:color w:val="auto"/>
          <w:sz w:val="36"/>
          <w:szCs w:val="36"/>
          <w:highlight w:val="none"/>
          <w:lang w:eastAsia="zh-CN"/>
        </w:rPr>
        <w:t>第三章</w:t>
      </w:r>
      <w:r>
        <w:rPr>
          <w:rFonts w:hint="eastAsia" w:ascii="宋体" w:hAnsi="宋体" w:eastAsia="宋体"/>
          <w:b/>
          <w:bCs/>
          <w:color w:val="auto"/>
          <w:sz w:val="36"/>
          <w:szCs w:val="36"/>
          <w:highlight w:val="none"/>
          <w:lang w:val="en-US" w:eastAsia="zh-CN"/>
        </w:rPr>
        <w:t xml:space="preserve">  </w:t>
      </w:r>
      <w:r>
        <w:rPr>
          <w:rFonts w:hint="eastAsia" w:ascii="宋体" w:hAnsi="宋体" w:eastAsia="宋体"/>
          <w:b/>
          <w:bCs/>
          <w:color w:val="auto"/>
          <w:sz w:val="36"/>
          <w:szCs w:val="36"/>
          <w:highlight w:val="none"/>
        </w:rPr>
        <w:t>服务要求</w:t>
      </w:r>
      <w:bookmarkEnd w:id="169"/>
      <w:bookmarkEnd w:id="171"/>
    </w:p>
    <w:p w14:paraId="47A65FDC">
      <w:pPr>
        <w:spacing w:line="360" w:lineRule="auto"/>
        <w:ind w:firstLine="480" w:firstLineChars="200"/>
        <w:jc w:val="left"/>
        <w:rPr>
          <w:rFonts w:hint="eastAsia" w:ascii="宋体" w:hAnsi="宋体" w:eastAsia="宋体" w:cs="宋体"/>
          <w:snapToGrid w:val="0"/>
          <w:color w:val="auto"/>
          <w:kern w:val="21"/>
          <w:sz w:val="24"/>
          <w:szCs w:val="24"/>
          <w:highlight w:val="none"/>
          <w:lang w:val="en-US" w:eastAsia="zh-CN"/>
        </w:rPr>
      </w:pPr>
      <w:r>
        <w:rPr>
          <w:rFonts w:hint="eastAsia" w:ascii="宋体" w:hAnsi="宋体" w:eastAsia="宋体" w:cs="宋体"/>
          <w:snapToGrid w:val="0"/>
          <w:color w:val="auto"/>
          <w:kern w:val="21"/>
          <w:sz w:val="24"/>
          <w:szCs w:val="24"/>
          <w:highlight w:val="none"/>
          <w:lang w:val="en-US" w:eastAsia="zh-CN"/>
        </w:rPr>
        <w:t>一，项目概况</w:t>
      </w:r>
    </w:p>
    <w:p w14:paraId="7504E1B3">
      <w:pPr>
        <w:spacing w:line="360" w:lineRule="auto"/>
        <w:ind w:firstLine="480" w:firstLineChars="200"/>
        <w:jc w:val="left"/>
        <w:rPr>
          <w:rFonts w:hint="eastAsia" w:ascii="宋体" w:hAnsi="宋体" w:eastAsia="宋体" w:cs="宋体"/>
          <w:snapToGrid w:val="0"/>
          <w:color w:val="auto"/>
          <w:kern w:val="21"/>
          <w:sz w:val="24"/>
          <w:szCs w:val="24"/>
          <w:highlight w:val="none"/>
          <w:lang w:val="en-US" w:eastAsia="zh-CN"/>
        </w:rPr>
      </w:pPr>
      <w:r>
        <w:rPr>
          <w:rFonts w:hint="eastAsia" w:ascii="宋体" w:hAnsi="宋体" w:eastAsia="宋体" w:cs="宋体"/>
          <w:snapToGrid w:val="0"/>
          <w:color w:val="auto"/>
          <w:kern w:val="21"/>
          <w:sz w:val="24"/>
          <w:szCs w:val="24"/>
          <w:highlight w:val="none"/>
          <w:lang w:val="en-US" w:eastAsia="zh-CN"/>
        </w:rPr>
        <w:t>1、采购人：三门峡市生态环境局卢氏分局</w:t>
      </w:r>
    </w:p>
    <w:p w14:paraId="7DAED43F">
      <w:pPr>
        <w:spacing w:line="360" w:lineRule="auto"/>
        <w:ind w:firstLine="480" w:firstLineChars="200"/>
        <w:jc w:val="left"/>
        <w:rPr>
          <w:rFonts w:hint="eastAsia" w:ascii="宋体" w:hAnsi="宋体" w:eastAsia="宋体" w:cs="宋体"/>
          <w:snapToGrid w:val="0"/>
          <w:color w:val="auto"/>
          <w:kern w:val="21"/>
          <w:sz w:val="24"/>
          <w:szCs w:val="24"/>
          <w:highlight w:val="none"/>
          <w:lang w:val="en-US" w:eastAsia="zh-CN"/>
        </w:rPr>
      </w:pPr>
      <w:r>
        <w:rPr>
          <w:rFonts w:hint="eastAsia" w:ascii="宋体" w:hAnsi="宋体" w:eastAsia="宋体" w:cs="宋体"/>
          <w:snapToGrid w:val="0"/>
          <w:color w:val="auto"/>
          <w:kern w:val="21"/>
          <w:sz w:val="24"/>
          <w:szCs w:val="24"/>
          <w:highlight w:val="none"/>
          <w:lang w:val="en-US" w:eastAsia="zh-CN"/>
        </w:rPr>
        <w:t>2、项目名称：</w:t>
      </w:r>
      <w:r>
        <w:rPr>
          <w:rFonts w:hint="eastAsia" w:ascii="宋体" w:hAnsi="宋体" w:cs="宋体"/>
          <w:snapToGrid w:val="0"/>
          <w:color w:val="auto"/>
          <w:kern w:val="21"/>
          <w:sz w:val="24"/>
          <w:szCs w:val="24"/>
          <w:highlight w:val="none"/>
          <w:lang w:val="en-US" w:eastAsia="zh-CN"/>
        </w:rPr>
        <w:t>卢氏县五里川河流域历史遗留冶炼废渣勘察设计项目（二次）</w:t>
      </w:r>
    </w:p>
    <w:p w14:paraId="439C4DE0">
      <w:pPr>
        <w:spacing w:line="360" w:lineRule="auto"/>
        <w:ind w:firstLine="480" w:firstLineChars="200"/>
        <w:jc w:val="left"/>
        <w:rPr>
          <w:rFonts w:hint="default" w:ascii="宋体" w:hAnsi="宋体" w:eastAsia="宋体" w:cs="宋体"/>
          <w:snapToGrid w:val="0"/>
          <w:color w:val="auto"/>
          <w:kern w:val="21"/>
          <w:sz w:val="24"/>
          <w:szCs w:val="24"/>
          <w:highlight w:val="none"/>
          <w:lang w:val="en-US" w:eastAsia="zh-CN"/>
        </w:rPr>
      </w:pPr>
      <w:r>
        <w:rPr>
          <w:rFonts w:hint="eastAsia" w:ascii="宋体" w:hAnsi="宋体" w:eastAsia="宋体" w:cs="宋体"/>
          <w:snapToGrid w:val="0"/>
          <w:color w:val="auto"/>
          <w:kern w:val="21"/>
          <w:sz w:val="24"/>
          <w:szCs w:val="24"/>
          <w:highlight w:val="none"/>
          <w:lang w:val="en-US" w:eastAsia="zh-CN"/>
        </w:rPr>
        <w:t>3、服务内容：对2处历史遗留冶炼废渣清运处置（废渣开挖、吨包包装、废渣运输、场地平整、采样检测、附属工程以及对清理废渣后裸露场地及阻隔区进行生态恢复等）开展勘察设计工作。</w:t>
      </w:r>
    </w:p>
    <w:p w14:paraId="652E6A37">
      <w:pPr>
        <w:spacing w:line="360" w:lineRule="auto"/>
        <w:ind w:firstLine="480" w:firstLineChars="200"/>
        <w:jc w:val="left"/>
        <w:rPr>
          <w:rFonts w:hint="eastAsia" w:ascii="宋体" w:hAnsi="宋体" w:eastAsia="宋体" w:cs="宋体"/>
          <w:snapToGrid w:val="0"/>
          <w:color w:val="auto"/>
          <w:kern w:val="21"/>
          <w:sz w:val="24"/>
          <w:szCs w:val="24"/>
          <w:highlight w:val="none"/>
          <w:lang w:val="en-US" w:eastAsia="zh-CN"/>
        </w:rPr>
      </w:pPr>
      <w:r>
        <w:rPr>
          <w:rFonts w:hint="eastAsia" w:ascii="宋体" w:hAnsi="宋体" w:eastAsia="宋体" w:cs="宋体"/>
          <w:snapToGrid w:val="0"/>
          <w:color w:val="auto"/>
          <w:kern w:val="21"/>
          <w:sz w:val="24"/>
          <w:szCs w:val="24"/>
          <w:highlight w:val="none"/>
          <w:lang w:val="en-US" w:eastAsia="zh-CN"/>
        </w:rPr>
        <w:t>4、采购预算：983654.00元</w:t>
      </w:r>
    </w:p>
    <w:p w14:paraId="0857F578">
      <w:pPr>
        <w:spacing w:line="360" w:lineRule="auto"/>
        <w:ind w:firstLine="480" w:firstLineChars="200"/>
        <w:jc w:val="left"/>
        <w:rPr>
          <w:rFonts w:hint="eastAsia" w:ascii="宋体" w:hAnsi="宋体" w:eastAsia="宋体" w:cs="宋体"/>
          <w:snapToGrid w:val="0"/>
          <w:color w:val="auto"/>
          <w:kern w:val="21"/>
          <w:sz w:val="24"/>
          <w:szCs w:val="24"/>
          <w:highlight w:val="none"/>
          <w:lang w:val="en-US" w:eastAsia="zh-CN"/>
        </w:rPr>
      </w:pPr>
      <w:r>
        <w:rPr>
          <w:rFonts w:hint="eastAsia" w:ascii="宋体" w:hAnsi="宋体" w:eastAsia="宋体" w:cs="宋体"/>
          <w:snapToGrid w:val="0"/>
          <w:color w:val="auto"/>
          <w:kern w:val="21"/>
          <w:sz w:val="24"/>
          <w:szCs w:val="24"/>
          <w:highlight w:val="none"/>
          <w:lang w:val="en-US" w:eastAsia="zh-CN"/>
        </w:rPr>
        <w:t>5、资金来源：财政资金，已落实。</w:t>
      </w:r>
    </w:p>
    <w:p w14:paraId="02FE0F50">
      <w:pPr>
        <w:spacing w:line="360" w:lineRule="auto"/>
        <w:ind w:firstLine="480" w:firstLineChars="200"/>
        <w:jc w:val="left"/>
        <w:rPr>
          <w:rFonts w:hint="eastAsia" w:ascii="宋体" w:hAnsi="宋体" w:eastAsia="宋体" w:cs="宋体"/>
          <w:snapToGrid w:val="0"/>
          <w:color w:val="auto"/>
          <w:kern w:val="21"/>
          <w:sz w:val="24"/>
          <w:szCs w:val="24"/>
          <w:highlight w:val="none"/>
          <w:lang w:val="en-US" w:eastAsia="zh-CN"/>
        </w:rPr>
      </w:pPr>
      <w:r>
        <w:rPr>
          <w:rFonts w:hint="eastAsia" w:ascii="宋体" w:hAnsi="宋体" w:eastAsia="宋体" w:cs="宋体"/>
          <w:snapToGrid w:val="0"/>
          <w:color w:val="auto"/>
          <w:kern w:val="21"/>
          <w:sz w:val="24"/>
          <w:szCs w:val="24"/>
          <w:highlight w:val="none"/>
          <w:lang w:val="en-US" w:eastAsia="zh-CN"/>
        </w:rPr>
        <w:t>6、标段划分：一个标段。</w:t>
      </w:r>
    </w:p>
    <w:p w14:paraId="59C0F71C">
      <w:pPr>
        <w:spacing w:line="360" w:lineRule="auto"/>
        <w:ind w:firstLine="480" w:firstLineChars="200"/>
        <w:jc w:val="left"/>
        <w:rPr>
          <w:rFonts w:hint="eastAsia" w:ascii="宋体" w:hAnsi="宋体" w:eastAsia="宋体" w:cs="宋体"/>
          <w:snapToGrid w:val="0"/>
          <w:color w:val="auto"/>
          <w:kern w:val="21"/>
          <w:sz w:val="24"/>
          <w:szCs w:val="24"/>
          <w:highlight w:val="none"/>
          <w:lang w:val="en-US" w:eastAsia="zh-CN"/>
        </w:rPr>
      </w:pPr>
      <w:r>
        <w:rPr>
          <w:rFonts w:hint="eastAsia" w:ascii="宋体" w:hAnsi="宋体" w:eastAsia="宋体" w:cs="宋体"/>
          <w:snapToGrid w:val="0"/>
          <w:color w:val="auto"/>
          <w:kern w:val="21"/>
          <w:sz w:val="24"/>
          <w:szCs w:val="24"/>
          <w:highlight w:val="none"/>
          <w:lang w:val="en-US" w:eastAsia="zh-CN"/>
        </w:rPr>
        <w:t>7、质量要求：符合现行</w:t>
      </w:r>
      <w:r>
        <w:rPr>
          <w:rFonts w:hint="eastAsia" w:ascii="宋体" w:hAnsi="宋体" w:cs="宋体"/>
          <w:snapToGrid w:val="0"/>
          <w:color w:val="auto"/>
          <w:kern w:val="21"/>
          <w:sz w:val="24"/>
          <w:szCs w:val="24"/>
          <w:highlight w:val="none"/>
          <w:lang w:val="en-US" w:eastAsia="zh-CN"/>
        </w:rPr>
        <w:t>勘察</w:t>
      </w:r>
      <w:r>
        <w:rPr>
          <w:rFonts w:hint="eastAsia" w:ascii="宋体" w:hAnsi="宋体" w:eastAsia="宋体" w:cs="宋体"/>
          <w:snapToGrid w:val="0"/>
          <w:color w:val="auto"/>
          <w:kern w:val="21"/>
          <w:sz w:val="24"/>
          <w:szCs w:val="24"/>
          <w:highlight w:val="none"/>
          <w:lang w:val="en-US" w:eastAsia="zh-CN"/>
        </w:rPr>
        <w:t>设计规范、规程、规定、标准的要求，并通过相关主管部门的审批。</w:t>
      </w:r>
    </w:p>
    <w:p w14:paraId="53DEE165">
      <w:pPr>
        <w:keepNext w:val="0"/>
        <w:keepLines w:val="0"/>
        <w:pageBreakBefore w:val="0"/>
        <w:widowControl w:val="0"/>
        <w:kinsoku/>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bCs/>
          <w:color w:val="auto"/>
          <w:sz w:val="24"/>
          <w:szCs w:val="21"/>
          <w:highlight w:val="none"/>
          <w:lang w:val="en-US" w:eastAsia="zh-CN"/>
        </w:rPr>
      </w:pPr>
      <w:r>
        <w:rPr>
          <w:rFonts w:hint="eastAsia" w:ascii="宋体" w:hAnsi="宋体"/>
          <w:bCs/>
          <w:color w:val="auto"/>
          <w:sz w:val="24"/>
          <w:szCs w:val="21"/>
          <w:highlight w:val="none"/>
          <w:lang w:val="en-US" w:eastAsia="zh-CN"/>
        </w:rPr>
        <w:t>8</w:t>
      </w:r>
      <w:r>
        <w:rPr>
          <w:rFonts w:hint="eastAsia" w:ascii="宋体" w:hAnsi="宋体"/>
          <w:bCs/>
          <w:color w:val="auto"/>
          <w:sz w:val="24"/>
          <w:szCs w:val="21"/>
          <w:highlight w:val="none"/>
        </w:rPr>
        <w:t>、</w:t>
      </w:r>
      <w:r>
        <w:rPr>
          <w:rFonts w:hint="eastAsia" w:ascii="宋体" w:hAnsi="宋体"/>
          <w:bCs/>
          <w:color w:val="auto"/>
          <w:sz w:val="24"/>
          <w:szCs w:val="21"/>
          <w:highlight w:val="none"/>
          <w:lang w:eastAsia="zh-CN"/>
        </w:rPr>
        <w:t>服务期限：合同签订后90日历天完成</w:t>
      </w:r>
      <w:r>
        <w:rPr>
          <w:rFonts w:hint="eastAsia" w:ascii="宋体" w:hAnsi="宋体" w:cs="宋体"/>
          <w:color w:val="auto"/>
          <w:sz w:val="24"/>
          <w:szCs w:val="24"/>
          <w:highlight w:val="none"/>
          <w:lang w:val="en-US" w:eastAsia="zh-CN"/>
        </w:rPr>
        <w:t>；</w:t>
      </w:r>
    </w:p>
    <w:p w14:paraId="513D486A">
      <w:pPr>
        <w:spacing w:line="360" w:lineRule="auto"/>
        <w:ind w:firstLine="480" w:firstLineChars="200"/>
        <w:jc w:val="left"/>
        <w:rPr>
          <w:rFonts w:hint="eastAsia" w:ascii="宋体" w:hAnsi="宋体" w:eastAsia="宋体" w:cs="宋体"/>
          <w:snapToGrid w:val="0"/>
          <w:color w:val="auto"/>
          <w:kern w:val="21"/>
          <w:sz w:val="24"/>
          <w:szCs w:val="24"/>
          <w:highlight w:val="none"/>
          <w:lang w:val="en-US" w:eastAsia="zh-CN"/>
        </w:rPr>
      </w:pPr>
      <w:r>
        <w:rPr>
          <w:rFonts w:hint="eastAsia" w:ascii="宋体" w:hAnsi="宋体" w:eastAsia="宋体" w:cs="宋体"/>
          <w:snapToGrid w:val="0"/>
          <w:color w:val="auto"/>
          <w:kern w:val="21"/>
          <w:sz w:val="24"/>
          <w:szCs w:val="24"/>
          <w:highlight w:val="none"/>
          <w:lang w:val="en-US" w:eastAsia="zh-CN"/>
        </w:rPr>
        <w:t>9、项目地点：卢氏县境内。</w:t>
      </w:r>
    </w:p>
    <w:p w14:paraId="44D6248A">
      <w:pPr>
        <w:spacing w:line="360" w:lineRule="auto"/>
        <w:ind w:firstLine="480" w:firstLineChars="200"/>
        <w:jc w:val="left"/>
        <w:rPr>
          <w:rFonts w:hint="default" w:ascii="宋体" w:hAnsi="宋体" w:eastAsia="宋体" w:cs="宋体"/>
          <w:snapToGrid w:val="0"/>
          <w:color w:val="auto"/>
          <w:kern w:val="21"/>
          <w:sz w:val="24"/>
          <w:szCs w:val="24"/>
          <w:highlight w:val="none"/>
          <w:lang w:val="en-US" w:eastAsia="zh-CN"/>
        </w:rPr>
      </w:pPr>
      <w:r>
        <w:rPr>
          <w:rFonts w:hint="eastAsia" w:ascii="宋体" w:hAnsi="宋体" w:cs="宋体"/>
          <w:snapToGrid w:val="0"/>
          <w:color w:val="auto"/>
          <w:kern w:val="21"/>
          <w:sz w:val="24"/>
          <w:szCs w:val="24"/>
          <w:highlight w:val="none"/>
          <w:lang w:val="en-US" w:eastAsia="zh-CN"/>
        </w:rPr>
        <w:t>二</w:t>
      </w:r>
      <w:r>
        <w:rPr>
          <w:rFonts w:hint="default" w:ascii="宋体" w:hAnsi="宋体" w:eastAsia="宋体" w:cs="宋体"/>
          <w:snapToGrid w:val="0"/>
          <w:color w:val="auto"/>
          <w:kern w:val="21"/>
          <w:sz w:val="24"/>
          <w:szCs w:val="24"/>
          <w:highlight w:val="none"/>
          <w:lang w:val="en-US" w:eastAsia="zh-CN"/>
        </w:rPr>
        <w:t xml:space="preserve">、项目目标 </w:t>
      </w:r>
    </w:p>
    <w:p w14:paraId="6E03E5CD">
      <w:pPr>
        <w:spacing w:line="360" w:lineRule="auto"/>
        <w:ind w:firstLine="480" w:firstLineChars="200"/>
        <w:jc w:val="left"/>
        <w:rPr>
          <w:rFonts w:hint="default" w:ascii="宋体" w:hAnsi="宋体" w:eastAsia="宋体" w:cs="宋体"/>
          <w:snapToGrid w:val="0"/>
          <w:color w:val="auto"/>
          <w:kern w:val="21"/>
          <w:sz w:val="24"/>
          <w:szCs w:val="24"/>
          <w:highlight w:val="none"/>
          <w:lang w:val="en-US" w:eastAsia="zh-CN"/>
        </w:rPr>
      </w:pPr>
      <w:r>
        <w:rPr>
          <w:rFonts w:hint="default" w:ascii="宋体" w:hAnsi="宋体" w:eastAsia="宋体" w:cs="宋体"/>
          <w:snapToGrid w:val="0"/>
          <w:color w:val="auto"/>
          <w:kern w:val="21"/>
          <w:sz w:val="24"/>
          <w:szCs w:val="24"/>
          <w:highlight w:val="none"/>
          <w:lang w:val="en-US" w:eastAsia="zh-CN"/>
        </w:rPr>
        <w:t>清运处置历史遗留冶炼废渣（危险废物）3430.31m3</w:t>
      </w:r>
      <w:r>
        <w:rPr>
          <w:rFonts w:hint="eastAsia" w:ascii="宋体" w:hAnsi="宋体" w:eastAsia="宋体" w:cs="宋体"/>
          <w:snapToGrid w:val="0"/>
          <w:color w:val="auto"/>
          <w:kern w:val="21"/>
          <w:sz w:val="24"/>
          <w:szCs w:val="24"/>
          <w:highlight w:val="none"/>
          <w:lang w:val="en-US" w:eastAsia="zh-CN"/>
        </w:rPr>
        <w:t>，</w:t>
      </w:r>
      <w:r>
        <w:rPr>
          <w:rFonts w:hint="default" w:ascii="宋体" w:hAnsi="宋体" w:eastAsia="宋体" w:cs="宋体"/>
          <w:snapToGrid w:val="0"/>
          <w:color w:val="auto"/>
          <w:kern w:val="21"/>
          <w:sz w:val="24"/>
          <w:szCs w:val="24"/>
          <w:highlight w:val="none"/>
          <w:lang w:val="en-US" w:eastAsia="zh-CN"/>
        </w:rPr>
        <w:t>源头上消除历史污染源以及污染物渗入土壤层的途径，改善土壤环境状况，从源头控制上保障周边土壤环境安全，保障农用地及农产品质量安全，保障人居环境安全。</w:t>
      </w:r>
    </w:p>
    <w:p w14:paraId="6ACDA3F6">
      <w:pPr>
        <w:spacing w:line="360" w:lineRule="auto"/>
        <w:ind w:firstLine="480" w:firstLineChars="200"/>
        <w:jc w:val="left"/>
        <w:rPr>
          <w:rFonts w:hint="default" w:ascii="宋体" w:hAnsi="宋体" w:eastAsia="宋体" w:cs="宋体"/>
          <w:snapToGrid w:val="0"/>
          <w:color w:val="auto"/>
          <w:kern w:val="21"/>
          <w:sz w:val="24"/>
          <w:szCs w:val="24"/>
          <w:highlight w:val="none"/>
          <w:lang w:val="en-US" w:eastAsia="zh-CN"/>
        </w:rPr>
      </w:pPr>
      <w:r>
        <w:rPr>
          <w:rFonts w:hint="eastAsia" w:ascii="宋体" w:hAnsi="宋体" w:cs="宋体"/>
          <w:snapToGrid w:val="0"/>
          <w:color w:val="auto"/>
          <w:kern w:val="21"/>
          <w:sz w:val="24"/>
          <w:szCs w:val="24"/>
          <w:highlight w:val="none"/>
          <w:lang w:val="en-US" w:eastAsia="zh-CN"/>
        </w:rPr>
        <w:t>三、项目任务</w:t>
      </w:r>
    </w:p>
    <w:p w14:paraId="4A02007F">
      <w:pPr>
        <w:spacing w:line="360" w:lineRule="auto"/>
        <w:ind w:firstLine="480" w:firstLineChars="200"/>
        <w:jc w:val="left"/>
        <w:rPr>
          <w:rFonts w:hint="eastAsia" w:ascii="宋体" w:hAnsi="宋体" w:eastAsia="宋体"/>
          <w:color w:val="auto"/>
          <w:sz w:val="24"/>
          <w:szCs w:val="24"/>
          <w:highlight w:val="none"/>
          <w:lang w:val="en-US" w:eastAsia="zh-CN"/>
        </w:rPr>
      </w:pPr>
      <w:r>
        <w:rPr>
          <w:rFonts w:hint="eastAsia" w:ascii="宋体" w:hAnsi="宋体" w:eastAsia="宋体" w:cs="宋体"/>
          <w:snapToGrid w:val="0"/>
          <w:color w:val="auto"/>
          <w:kern w:val="21"/>
          <w:sz w:val="24"/>
          <w:szCs w:val="24"/>
          <w:highlight w:val="none"/>
          <w:lang w:val="en-US" w:eastAsia="zh-CN"/>
        </w:rPr>
        <w:t>对</w:t>
      </w:r>
      <w:r>
        <w:rPr>
          <w:rFonts w:hint="default" w:ascii="宋体" w:hAnsi="宋体" w:eastAsia="宋体" w:cs="宋体"/>
          <w:snapToGrid w:val="0"/>
          <w:color w:val="auto"/>
          <w:kern w:val="21"/>
          <w:sz w:val="24"/>
          <w:szCs w:val="24"/>
          <w:highlight w:val="none"/>
          <w:lang w:val="en-US" w:eastAsia="zh-CN"/>
        </w:rPr>
        <w:t>2处历史遗留冶炼废渣</w:t>
      </w:r>
      <w:r>
        <w:rPr>
          <w:rFonts w:hint="eastAsia" w:ascii="宋体" w:hAnsi="宋体" w:eastAsia="宋体" w:cs="宋体"/>
          <w:snapToGrid w:val="0"/>
          <w:color w:val="auto"/>
          <w:kern w:val="21"/>
          <w:sz w:val="24"/>
          <w:szCs w:val="24"/>
          <w:highlight w:val="none"/>
          <w:lang w:val="en-US" w:eastAsia="zh-CN"/>
        </w:rPr>
        <w:t>清运处置（废渣开挖、吨包包装、废渣运输、场地平整、采样检测、附属工程以及</w:t>
      </w:r>
      <w:r>
        <w:rPr>
          <w:rFonts w:hint="default" w:ascii="宋体" w:hAnsi="宋体" w:eastAsia="宋体" w:cs="宋体"/>
          <w:snapToGrid w:val="0"/>
          <w:color w:val="auto"/>
          <w:kern w:val="21"/>
          <w:sz w:val="24"/>
          <w:szCs w:val="24"/>
          <w:highlight w:val="none"/>
          <w:lang w:val="en-US" w:eastAsia="zh-CN"/>
        </w:rPr>
        <w:t>对清理废渣后裸露场地及阻隔区进行生态恢复</w:t>
      </w:r>
      <w:r>
        <w:rPr>
          <w:rFonts w:hint="eastAsia" w:ascii="宋体" w:hAnsi="宋体" w:eastAsia="宋体" w:cs="宋体"/>
          <w:snapToGrid w:val="0"/>
          <w:color w:val="auto"/>
          <w:kern w:val="21"/>
          <w:sz w:val="24"/>
          <w:szCs w:val="24"/>
          <w:highlight w:val="none"/>
          <w:lang w:val="en-US" w:eastAsia="zh-CN"/>
        </w:rPr>
        <w:t>等）开展勘察设计工作，为后续项目实施提供技术支撑。</w:t>
      </w:r>
    </w:p>
    <w:p w14:paraId="6C007AF4">
      <w:pPr>
        <w:spacing w:line="600" w:lineRule="exact"/>
        <w:ind w:firstLine="480" w:firstLineChars="200"/>
        <w:rPr>
          <w:rFonts w:hint="eastAsia" w:ascii="Times New Roman" w:hAnsi="Times New Roman" w:cs="Times New Roman" w:eastAsiaTheme="minorEastAsia"/>
          <w:color w:val="auto"/>
          <w:sz w:val="24"/>
          <w:highlight w:val="none"/>
          <w:lang w:eastAsia="zh-CN"/>
        </w:rPr>
      </w:pPr>
      <w:r>
        <w:rPr>
          <w:rFonts w:hint="eastAsia" w:ascii="宋体" w:hAnsi="宋体" w:eastAsia="宋体" w:cs="宋体"/>
          <w:snapToGrid w:val="0"/>
          <w:color w:val="auto"/>
          <w:kern w:val="21"/>
          <w:sz w:val="24"/>
          <w:szCs w:val="24"/>
          <w:highlight w:val="none"/>
          <w:lang w:val="en-US" w:eastAsia="zh-CN"/>
        </w:rPr>
        <w:t>四、工作要求</w:t>
      </w:r>
      <w:r>
        <w:rPr>
          <w:rFonts w:hint="eastAsia" w:ascii="宋体" w:hAnsi="宋体" w:cs="宋体"/>
          <w:snapToGrid w:val="0"/>
          <w:color w:val="auto"/>
          <w:kern w:val="21"/>
          <w:sz w:val="24"/>
          <w:szCs w:val="24"/>
          <w:highlight w:val="none"/>
          <w:lang w:val="en-US" w:eastAsia="zh-CN"/>
        </w:rPr>
        <w:t>及</w:t>
      </w:r>
      <w:r>
        <w:rPr>
          <w:rFonts w:hint="eastAsia" w:ascii="Times New Roman" w:hAnsi="Times New Roman" w:cs="Times New Roman" w:eastAsiaTheme="minorEastAsia"/>
          <w:color w:val="auto"/>
          <w:sz w:val="24"/>
          <w:highlight w:val="none"/>
          <w:lang w:eastAsia="zh-CN"/>
        </w:rPr>
        <w:t>勘察</w:t>
      </w:r>
      <w:r>
        <w:rPr>
          <w:rFonts w:hint="eastAsia" w:ascii="Times New Roman" w:hAnsi="Times New Roman" w:cs="Times New Roman" w:eastAsiaTheme="minorEastAsia"/>
          <w:color w:val="auto"/>
          <w:sz w:val="24"/>
          <w:highlight w:val="none"/>
        </w:rPr>
        <w:t>设计</w:t>
      </w:r>
      <w:r>
        <w:rPr>
          <w:rFonts w:hint="eastAsia" w:ascii="Times New Roman" w:hAnsi="Times New Roman" w:cs="Times New Roman" w:eastAsiaTheme="minorEastAsia"/>
          <w:color w:val="auto"/>
          <w:sz w:val="24"/>
          <w:highlight w:val="none"/>
          <w:lang w:val="en-US" w:eastAsia="zh-CN"/>
        </w:rPr>
        <w:t>规范</w:t>
      </w:r>
    </w:p>
    <w:p w14:paraId="2754DA49">
      <w:pPr>
        <w:spacing w:line="600" w:lineRule="exact"/>
        <w:ind w:firstLine="480" w:firstLineChars="200"/>
        <w:rPr>
          <w:rFonts w:ascii="Times New Roman" w:hAnsi="Times New Roman" w:cs="Times New Roman" w:eastAsiaTheme="minorEastAsia"/>
          <w:color w:val="auto"/>
          <w:sz w:val="24"/>
          <w:highlight w:val="none"/>
        </w:rPr>
      </w:pPr>
      <w:r>
        <w:rPr>
          <w:rFonts w:hint="eastAsia" w:ascii="宋体" w:hAnsi="宋体" w:eastAsia="宋体" w:cs="宋体"/>
          <w:snapToGrid w:val="0"/>
          <w:color w:val="auto"/>
          <w:kern w:val="21"/>
          <w:sz w:val="24"/>
          <w:szCs w:val="24"/>
          <w:highlight w:val="none"/>
          <w:lang w:val="en-US" w:eastAsia="zh-CN"/>
        </w:rPr>
        <w:t>1、在充分收集</w:t>
      </w:r>
      <w:r>
        <w:rPr>
          <w:rFonts w:hint="eastAsia" w:ascii="宋体" w:hAnsi="宋体" w:cs="宋体"/>
          <w:snapToGrid w:val="0"/>
          <w:color w:val="auto"/>
          <w:kern w:val="21"/>
          <w:sz w:val="24"/>
          <w:szCs w:val="24"/>
          <w:highlight w:val="none"/>
          <w:lang w:val="en-US" w:eastAsia="zh-CN"/>
        </w:rPr>
        <w:t>项目</w:t>
      </w:r>
      <w:r>
        <w:rPr>
          <w:rFonts w:hint="eastAsia" w:ascii="宋体" w:hAnsi="宋体" w:eastAsia="宋体" w:cs="宋体"/>
          <w:snapToGrid w:val="0"/>
          <w:color w:val="auto"/>
          <w:kern w:val="21"/>
          <w:sz w:val="24"/>
          <w:szCs w:val="24"/>
          <w:highlight w:val="none"/>
          <w:lang w:val="en-US" w:eastAsia="zh-CN"/>
        </w:rPr>
        <w:t>有关资料的基础上，通过生态环境调查、地形测绘、工程地质</w:t>
      </w:r>
      <w:r>
        <w:rPr>
          <w:rFonts w:hint="eastAsia" w:ascii="宋体" w:hAnsi="宋体" w:cs="宋体"/>
          <w:snapToGrid w:val="0"/>
          <w:color w:val="auto"/>
          <w:kern w:val="21"/>
          <w:sz w:val="24"/>
          <w:szCs w:val="24"/>
          <w:highlight w:val="none"/>
          <w:lang w:val="en-US" w:eastAsia="zh-CN"/>
        </w:rPr>
        <w:t>勘察</w:t>
      </w:r>
      <w:r>
        <w:rPr>
          <w:rFonts w:hint="eastAsia" w:ascii="宋体" w:hAnsi="宋体" w:eastAsia="宋体" w:cs="宋体"/>
          <w:snapToGrid w:val="0"/>
          <w:color w:val="auto"/>
          <w:kern w:val="21"/>
          <w:sz w:val="24"/>
          <w:szCs w:val="24"/>
          <w:highlight w:val="none"/>
          <w:lang w:val="en-US" w:eastAsia="zh-CN"/>
        </w:rPr>
        <w:t>、分析测试等手段，查明历史遗留冶炼废渣分布情况、生态环境问题、影响因素及危害程度。</w:t>
      </w:r>
    </w:p>
    <w:p w14:paraId="196E8249">
      <w:pPr>
        <w:spacing w:line="600" w:lineRule="exact"/>
        <w:ind w:firstLine="480" w:firstLineChars="200"/>
        <w:rPr>
          <w:rFonts w:ascii="Times New Roman" w:hAnsi="Times New Roman" w:cs="Times New Roman" w:eastAsiaTheme="minorEastAsia"/>
          <w:color w:val="auto"/>
          <w:sz w:val="24"/>
          <w:highlight w:val="none"/>
        </w:rPr>
      </w:pPr>
      <w:r>
        <w:rPr>
          <w:rFonts w:hint="eastAsia" w:ascii="Times New Roman" w:hAnsi="Times New Roman" w:cs="Times New Roman" w:eastAsiaTheme="minorEastAsia"/>
          <w:color w:val="auto"/>
          <w:sz w:val="24"/>
          <w:highlight w:val="none"/>
          <w:lang w:val="en-US" w:eastAsia="zh-CN"/>
        </w:rPr>
        <w:t>2</w:t>
      </w:r>
      <w:r>
        <w:rPr>
          <w:rFonts w:ascii="Times New Roman" w:hAnsi="Times New Roman" w:cs="Times New Roman" w:eastAsiaTheme="minorEastAsia"/>
          <w:color w:val="auto"/>
          <w:sz w:val="24"/>
          <w:highlight w:val="none"/>
        </w:rPr>
        <w:t>、</w:t>
      </w:r>
      <w:r>
        <w:rPr>
          <w:rFonts w:hint="eastAsia" w:ascii="Times New Roman" w:hAnsi="Times New Roman" w:cs="Times New Roman" w:eastAsiaTheme="minorEastAsia"/>
          <w:color w:val="auto"/>
          <w:sz w:val="24"/>
          <w:highlight w:val="none"/>
          <w:lang w:val="en-US" w:eastAsia="zh-CN"/>
        </w:rPr>
        <w:t>投标供应商</w:t>
      </w:r>
      <w:r>
        <w:rPr>
          <w:rFonts w:ascii="Times New Roman" w:hAnsi="Times New Roman" w:cs="Times New Roman" w:eastAsiaTheme="minorEastAsia"/>
          <w:color w:val="auto"/>
          <w:sz w:val="24"/>
          <w:highlight w:val="none"/>
        </w:rPr>
        <w:t>应遵循国家现行技术标准</w:t>
      </w:r>
      <w:r>
        <w:rPr>
          <w:rFonts w:hint="default" w:ascii="Times New Roman" w:hAnsi="Times New Roman" w:cs="Times New Roman" w:eastAsiaTheme="minorEastAsia"/>
          <w:color w:val="auto"/>
          <w:sz w:val="24"/>
          <w:highlight w:val="none"/>
        </w:rPr>
        <w:t>、</w:t>
      </w:r>
      <w:r>
        <w:rPr>
          <w:rFonts w:ascii="Times New Roman" w:hAnsi="Times New Roman" w:cs="Times New Roman" w:eastAsiaTheme="minorEastAsia"/>
          <w:color w:val="auto"/>
          <w:sz w:val="24"/>
          <w:highlight w:val="none"/>
        </w:rPr>
        <w:t>规范、规程为本项目使用规范的组成部分，应遵循</w:t>
      </w:r>
      <w:r>
        <w:rPr>
          <w:rFonts w:hint="default" w:ascii="Times New Roman" w:hAnsi="Times New Roman" w:cs="Times New Roman" w:eastAsiaTheme="minorEastAsia"/>
          <w:color w:val="auto"/>
          <w:sz w:val="24"/>
          <w:highlight w:val="none"/>
        </w:rPr>
        <w:t>项目使用</w:t>
      </w:r>
      <w:r>
        <w:rPr>
          <w:rFonts w:ascii="Times New Roman" w:hAnsi="Times New Roman" w:cs="Times New Roman" w:eastAsiaTheme="minorEastAsia"/>
          <w:color w:val="auto"/>
          <w:sz w:val="24"/>
          <w:highlight w:val="none"/>
        </w:rPr>
        <w:t>规范进行项目有关内容的</w:t>
      </w:r>
      <w:r>
        <w:rPr>
          <w:rFonts w:hint="eastAsia" w:ascii="Times New Roman" w:hAnsi="Times New Roman" w:cs="Times New Roman" w:eastAsiaTheme="minorEastAsia"/>
          <w:color w:val="auto"/>
          <w:sz w:val="24"/>
          <w:highlight w:val="none"/>
          <w:lang w:eastAsia="zh-CN"/>
        </w:rPr>
        <w:t>勘察设计</w:t>
      </w:r>
      <w:r>
        <w:rPr>
          <w:rFonts w:ascii="Times New Roman" w:hAnsi="Times New Roman" w:cs="Times New Roman" w:eastAsiaTheme="minorEastAsia"/>
          <w:color w:val="auto"/>
          <w:sz w:val="24"/>
          <w:highlight w:val="none"/>
        </w:rPr>
        <w:t>编制。如果</w:t>
      </w:r>
      <w:r>
        <w:rPr>
          <w:rFonts w:hint="eastAsia" w:ascii="Times New Roman" w:hAnsi="Times New Roman" w:cs="Times New Roman" w:eastAsiaTheme="minorEastAsia"/>
          <w:color w:val="auto"/>
          <w:sz w:val="24"/>
          <w:highlight w:val="none"/>
          <w:lang w:val="en-US" w:eastAsia="zh-CN"/>
        </w:rPr>
        <w:t>中标人</w:t>
      </w:r>
      <w:r>
        <w:rPr>
          <w:rFonts w:ascii="Times New Roman" w:hAnsi="Times New Roman" w:cs="Times New Roman" w:eastAsiaTheme="minorEastAsia"/>
          <w:color w:val="auto"/>
          <w:sz w:val="24"/>
          <w:highlight w:val="none"/>
        </w:rPr>
        <w:t>提出新的规范，其标准应等同于或高于现行标准，</w:t>
      </w:r>
      <w:r>
        <w:rPr>
          <w:rFonts w:hint="eastAsia" w:ascii="Times New Roman" w:hAnsi="Times New Roman" w:cs="Times New Roman" w:eastAsiaTheme="minorEastAsia"/>
          <w:color w:val="auto"/>
          <w:sz w:val="24"/>
          <w:highlight w:val="none"/>
          <w:lang w:val="en-US" w:eastAsia="zh-CN"/>
        </w:rPr>
        <w:t>中标人</w:t>
      </w:r>
      <w:r>
        <w:rPr>
          <w:rFonts w:ascii="Times New Roman" w:hAnsi="Times New Roman" w:cs="Times New Roman" w:eastAsiaTheme="minorEastAsia"/>
          <w:color w:val="auto"/>
          <w:sz w:val="24"/>
          <w:highlight w:val="none"/>
        </w:rPr>
        <w:t>建议的新标准如果不是国家有关部门发布的新标准则应取得招标人的同意。</w:t>
      </w:r>
    </w:p>
    <w:p w14:paraId="58FA2356">
      <w:pPr>
        <w:spacing w:line="600" w:lineRule="exact"/>
        <w:ind w:firstLine="480" w:firstLineChars="200"/>
        <w:rPr>
          <w:rFonts w:hint="default" w:ascii="Times New Roman" w:hAnsi="Times New Roman" w:cs="Times New Roman" w:eastAsiaTheme="minorEastAsia"/>
          <w:color w:val="auto"/>
          <w:sz w:val="24"/>
          <w:highlight w:val="none"/>
          <w:lang w:val="en-US" w:eastAsia="zh-CN"/>
        </w:rPr>
      </w:pPr>
      <w:r>
        <w:rPr>
          <w:rFonts w:hint="eastAsia" w:ascii="Times New Roman" w:hAnsi="Times New Roman" w:cs="Times New Roman" w:eastAsiaTheme="minorEastAsia"/>
          <w:color w:val="auto"/>
          <w:sz w:val="24"/>
          <w:highlight w:val="none"/>
          <w:lang w:val="en-US" w:eastAsia="zh-CN"/>
        </w:rPr>
        <w:t>3</w:t>
      </w:r>
      <w:r>
        <w:rPr>
          <w:rFonts w:ascii="Times New Roman" w:hAnsi="Times New Roman" w:cs="Times New Roman" w:eastAsiaTheme="minorEastAsia"/>
          <w:color w:val="auto"/>
          <w:sz w:val="24"/>
          <w:highlight w:val="none"/>
        </w:rPr>
        <w:t>、本项目适用现行国家所颁布的技术标准、规范</w:t>
      </w:r>
      <w:r>
        <w:rPr>
          <w:rFonts w:hint="default" w:ascii="Times New Roman" w:hAnsi="Times New Roman" w:cs="Times New Roman" w:eastAsiaTheme="minorEastAsia"/>
          <w:color w:val="auto"/>
          <w:sz w:val="24"/>
          <w:highlight w:val="none"/>
        </w:rPr>
        <w:t>和</w:t>
      </w:r>
      <w:r>
        <w:rPr>
          <w:rFonts w:ascii="Times New Roman" w:hAnsi="Times New Roman" w:cs="Times New Roman" w:eastAsiaTheme="minorEastAsia"/>
          <w:color w:val="auto"/>
          <w:sz w:val="24"/>
          <w:highlight w:val="none"/>
        </w:rPr>
        <w:t>规程。</w:t>
      </w:r>
      <w:r>
        <w:rPr>
          <w:rFonts w:hint="eastAsia" w:ascii="Times New Roman" w:hAnsi="Times New Roman" w:cs="Times New Roman" w:eastAsiaTheme="minorEastAsia"/>
          <w:color w:val="auto"/>
          <w:sz w:val="24"/>
          <w:highlight w:val="none"/>
          <w:lang w:val="en-US" w:eastAsia="zh-CN"/>
        </w:rPr>
        <w:t>如有新的规定，以最新国家、省、市规定规范为准。</w:t>
      </w:r>
    </w:p>
    <w:p w14:paraId="6B77614C">
      <w:pPr>
        <w:spacing w:line="360" w:lineRule="auto"/>
        <w:ind w:firstLine="480" w:firstLineChars="200"/>
        <w:jc w:val="left"/>
        <w:rPr>
          <w:rFonts w:hint="eastAsia" w:ascii="宋体" w:hAnsi="宋体" w:eastAsia="宋体" w:cs="宋体"/>
          <w:snapToGrid w:val="0"/>
          <w:color w:val="auto"/>
          <w:kern w:val="21"/>
          <w:sz w:val="24"/>
          <w:szCs w:val="24"/>
          <w:highlight w:val="none"/>
          <w:lang w:val="en-US" w:eastAsia="zh-CN"/>
        </w:rPr>
      </w:pPr>
      <w:r>
        <w:rPr>
          <w:rFonts w:hint="eastAsia" w:ascii="Times New Roman" w:hAnsi="Times New Roman" w:cs="Times New Roman" w:eastAsiaTheme="minorEastAsia"/>
          <w:color w:val="auto"/>
          <w:sz w:val="24"/>
          <w:highlight w:val="none"/>
          <w:lang w:val="en-US" w:eastAsia="zh-CN"/>
        </w:rPr>
        <w:t>4</w:t>
      </w:r>
      <w:r>
        <w:rPr>
          <w:rFonts w:ascii="Times New Roman" w:hAnsi="Times New Roman" w:cs="Times New Roman" w:eastAsiaTheme="minorEastAsia"/>
          <w:color w:val="auto"/>
          <w:sz w:val="24"/>
          <w:highlight w:val="none"/>
        </w:rPr>
        <w:t>、</w:t>
      </w:r>
      <w:r>
        <w:rPr>
          <w:rFonts w:hint="eastAsia" w:ascii="Times New Roman" w:hAnsi="Times New Roman" w:cs="Times New Roman" w:eastAsiaTheme="minorEastAsia"/>
          <w:color w:val="auto"/>
          <w:sz w:val="24"/>
          <w:highlight w:val="none"/>
          <w:lang w:val="en-US" w:eastAsia="zh-CN"/>
        </w:rPr>
        <w:t>采购</w:t>
      </w:r>
      <w:r>
        <w:rPr>
          <w:rFonts w:ascii="Times New Roman" w:hAnsi="Times New Roman" w:cs="Times New Roman" w:eastAsiaTheme="minorEastAsia"/>
          <w:color w:val="auto"/>
          <w:sz w:val="24"/>
          <w:highlight w:val="none"/>
        </w:rPr>
        <w:t>人及主管部门要求及其它。</w:t>
      </w:r>
    </w:p>
    <w:p w14:paraId="23F23204">
      <w:pPr>
        <w:keepNext w:val="0"/>
        <w:keepLines w:val="0"/>
        <w:pageBreakBefore w:val="0"/>
        <w:widowControl w:val="0"/>
        <w:numPr>
          <w:ilvl w:val="0"/>
          <w:numId w:val="0"/>
        </w:numPr>
        <w:kinsoku/>
        <w:overflowPunct/>
        <w:topLinePunct w:val="0"/>
        <w:bidi w:val="0"/>
        <w:spacing w:beforeAutospacing="0" w:afterAutospacing="0" w:line="360" w:lineRule="auto"/>
        <w:ind w:left="630" w:leftChars="0"/>
        <w:jc w:val="left"/>
        <w:rPr>
          <w:rFonts w:hint="eastAsia" w:ascii="仿宋" w:hAnsi="仿宋" w:eastAsia="仿宋"/>
          <w:b/>
          <w:bCs/>
          <w:color w:val="auto"/>
          <w:sz w:val="36"/>
          <w:szCs w:val="36"/>
          <w:highlight w:val="none"/>
          <w:lang w:val="en-US" w:eastAsia="zh-CN"/>
        </w:rPr>
      </w:pPr>
    </w:p>
    <w:p w14:paraId="25BE6C32">
      <w:pPr>
        <w:pStyle w:val="33"/>
        <w:rPr>
          <w:rFonts w:hint="eastAsia" w:ascii="仿宋" w:hAnsi="仿宋" w:eastAsia="仿宋"/>
          <w:b/>
          <w:bCs/>
          <w:color w:val="auto"/>
          <w:sz w:val="36"/>
          <w:szCs w:val="36"/>
          <w:highlight w:val="none"/>
          <w:lang w:val="en-US" w:eastAsia="zh-CN"/>
        </w:rPr>
      </w:pPr>
    </w:p>
    <w:p w14:paraId="67FD74EB">
      <w:pPr>
        <w:pStyle w:val="33"/>
        <w:rPr>
          <w:rFonts w:hint="eastAsia" w:ascii="仿宋" w:hAnsi="仿宋" w:eastAsia="仿宋"/>
          <w:b/>
          <w:bCs/>
          <w:color w:val="auto"/>
          <w:sz w:val="36"/>
          <w:szCs w:val="36"/>
          <w:highlight w:val="none"/>
          <w:lang w:val="en-US" w:eastAsia="zh-CN"/>
        </w:rPr>
      </w:pPr>
    </w:p>
    <w:p w14:paraId="5FC846B4">
      <w:pPr>
        <w:pStyle w:val="33"/>
        <w:rPr>
          <w:rFonts w:hint="eastAsia" w:ascii="仿宋" w:hAnsi="仿宋" w:eastAsia="仿宋"/>
          <w:b/>
          <w:bCs/>
          <w:color w:val="auto"/>
          <w:sz w:val="36"/>
          <w:szCs w:val="36"/>
          <w:highlight w:val="none"/>
          <w:lang w:val="en-US" w:eastAsia="zh-CN"/>
        </w:rPr>
      </w:pPr>
    </w:p>
    <w:p w14:paraId="0BDF8DAD">
      <w:pPr>
        <w:pStyle w:val="33"/>
        <w:rPr>
          <w:rFonts w:hint="eastAsia" w:ascii="仿宋" w:hAnsi="仿宋" w:eastAsia="仿宋"/>
          <w:b/>
          <w:bCs/>
          <w:color w:val="auto"/>
          <w:sz w:val="36"/>
          <w:szCs w:val="36"/>
          <w:highlight w:val="none"/>
          <w:lang w:val="en-US" w:eastAsia="zh-CN"/>
        </w:rPr>
      </w:pPr>
    </w:p>
    <w:p w14:paraId="74B868EE">
      <w:pPr>
        <w:pStyle w:val="33"/>
        <w:rPr>
          <w:rFonts w:hint="eastAsia" w:ascii="仿宋" w:hAnsi="仿宋" w:eastAsia="仿宋"/>
          <w:b/>
          <w:bCs/>
          <w:color w:val="auto"/>
          <w:sz w:val="36"/>
          <w:szCs w:val="36"/>
          <w:highlight w:val="none"/>
          <w:lang w:val="en-US" w:eastAsia="zh-CN"/>
        </w:rPr>
      </w:pPr>
    </w:p>
    <w:p w14:paraId="3053E80E">
      <w:pPr>
        <w:pStyle w:val="33"/>
        <w:ind w:left="0" w:leftChars="0" w:firstLine="0" w:firstLineChars="0"/>
        <w:rPr>
          <w:rFonts w:hint="eastAsia" w:ascii="仿宋" w:hAnsi="仿宋" w:eastAsia="仿宋"/>
          <w:b/>
          <w:bCs/>
          <w:color w:val="auto"/>
          <w:sz w:val="36"/>
          <w:szCs w:val="36"/>
          <w:highlight w:val="none"/>
          <w:lang w:val="en-US" w:eastAsia="zh-CN"/>
        </w:rPr>
        <w:sectPr>
          <w:footerReference r:id="rId11" w:type="default"/>
          <w:pgSz w:w="11906" w:h="16838"/>
          <w:pgMar w:top="1361" w:right="1077" w:bottom="1361" w:left="1077" w:header="851" w:footer="964" w:gutter="0"/>
          <w:pgNumType w:fmt="decimal" w:start="1"/>
          <w:cols w:space="720" w:num="1"/>
          <w:docGrid w:type="lines" w:linePitch="312" w:charSpace="0"/>
        </w:sectPr>
      </w:pPr>
    </w:p>
    <w:p w14:paraId="54C199D0">
      <w:pPr>
        <w:snapToGrid w:val="0"/>
        <w:spacing w:beforeAutospacing="0" w:afterAutospacing="0" w:line="360" w:lineRule="auto"/>
        <w:jc w:val="center"/>
        <w:outlineLvl w:val="0"/>
        <w:rPr>
          <w:rFonts w:hint="eastAsia" w:ascii="宋体" w:hAnsi="宋体" w:eastAsia="宋体"/>
          <w:b/>
          <w:bCs/>
          <w:color w:val="auto"/>
          <w:sz w:val="36"/>
          <w:szCs w:val="36"/>
          <w:highlight w:val="none"/>
        </w:rPr>
      </w:pPr>
      <w:bookmarkStart w:id="172" w:name="评审标准"/>
      <w:bookmarkEnd w:id="172"/>
      <w:bookmarkStart w:id="173" w:name="_Toc19915"/>
      <w:bookmarkStart w:id="174" w:name="_Toc14719"/>
      <w:r>
        <w:rPr>
          <w:rFonts w:hint="eastAsia" w:ascii="宋体" w:hAnsi="宋体" w:eastAsia="宋体"/>
          <w:b/>
          <w:bCs/>
          <w:color w:val="auto"/>
          <w:sz w:val="36"/>
          <w:szCs w:val="36"/>
          <w:highlight w:val="none"/>
        </w:rPr>
        <w:t>第</w:t>
      </w:r>
      <w:r>
        <w:rPr>
          <w:rFonts w:hint="eastAsia" w:ascii="宋体" w:hAnsi="宋体" w:eastAsia="宋体"/>
          <w:b/>
          <w:bCs/>
          <w:color w:val="auto"/>
          <w:sz w:val="36"/>
          <w:szCs w:val="36"/>
          <w:highlight w:val="none"/>
          <w:lang w:eastAsia="zh-CN"/>
        </w:rPr>
        <w:t>四</w:t>
      </w:r>
      <w:r>
        <w:rPr>
          <w:rFonts w:hint="eastAsia" w:ascii="宋体" w:hAnsi="宋体" w:eastAsia="宋体"/>
          <w:b/>
          <w:bCs/>
          <w:color w:val="auto"/>
          <w:sz w:val="36"/>
          <w:szCs w:val="36"/>
          <w:highlight w:val="none"/>
        </w:rPr>
        <w:t>章  评审标准</w:t>
      </w:r>
      <w:bookmarkEnd w:id="173"/>
      <w:bookmarkEnd w:id="174"/>
    </w:p>
    <w:p w14:paraId="6BEEBE27">
      <w:pPr>
        <w:spacing w:beforeAutospacing="0" w:afterAutospacing="0" w:line="360" w:lineRule="auto"/>
        <w:ind w:firstLine="480"/>
        <w:rPr>
          <w:rFonts w:ascii="宋体" w:hAnsi="宋体" w:eastAsia="宋体"/>
          <w:b/>
          <w:bCs/>
          <w:color w:val="auto"/>
          <w:kern w:val="0"/>
          <w:sz w:val="24"/>
          <w:szCs w:val="24"/>
          <w:highlight w:val="none"/>
        </w:rPr>
      </w:pPr>
    </w:p>
    <w:p w14:paraId="3305063D">
      <w:pPr>
        <w:spacing w:beforeAutospacing="0" w:afterAutospacing="0" w:line="360" w:lineRule="auto"/>
        <w:ind w:firstLine="480"/>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 xml:space="preserve">1. </w:t>
      </w:r>
      <w:r>
        <w:rPr>
          <w:rFonts w:hint="eastAsia" w:ascii="宋体" w:hAnsi="宋体" w:eastAsia="宋体"/>
          <w:b/>
          <w:bCs/>
          <w:color w:val="auto"/>
          <w:sz w:val="24"/>
          <w:szCs w:val="24"/>
          <w:highlight w:val="none"/>
        </w:rPr>
        <w:t>磋商文件的评审、比较和否决</w:t>
      </w:r>
    </w:p>
    <w:p w14:paraId="7FFC6248">
      <w:pPr>
        <w:spacing w:beforeAutospacing="0" w:afterAutospacing="0" w:line="360" w:lineRule="auto"/>
        <w:ind w:firstLine="480"/>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1.1</w:t>
      </w:r>
      <w:r>
        <w:rPr>
          <w:rFonts w:hint="eastAsia" w:ascii="宋体" w:hAnsi="宋体"/>
          <w:b w:val="0"/>
          <w:bCs w:val="0"/>
          <w:color w:val="auto"/>
          <w:sz w:val="24"/>
          <w:szCs w:val="24"/>
          <w:highlight w:val="none"/>
          <w:lang w:eastAsia="zh-CN"/>
        </w:rPr>
        <w:t>磋商小组</w:t>
      </w:r>
      <w:r>
        <w:rPr>
          <w:rFonts w:hint="eastAsia" w:ascii="宋体" w:hAnsi="宋体" w:eastAsia="宋体"/>
          <w:b w:val="0"/>
          <w:bCs w:val="0"/>
          <w:color w:val="auto"/>
          <w:sz w:val="24"/>
          <w:szCs w:val="24"/>
          <w:highlight w:val="none"/>
        </w:rPr>
        <w:t>将按照竞争性磋商文件的规定，仅对在实质上响应竞争性磋商文件要求的磋商文件进行评估和比较。</w:t>
      </w:r>
    </w:p>
    <w:p w14:paraId="1B1C2EE6">
      <w:pPr>
        <w:spacing w:beforeAutospacing="0" w:afterAutospacing="0" w:line="360" w:lineRule="auto"/>
        <w:ind w:firstLine="480"/>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1.2根据相关法律法规及有关招磋商文件规定，结合本项目具体情况，制定本次招标评审标准。并按照“公平、公正、科学、择优”的原则进行评标。采用百分制综合评估法进行评比。</w:t>
      </w:r>
    </w:p>
    <w:p w14:paraId="2D7ECBA6">
      <w:pPr>
        <w:autoSpaceDE w:val="0"/>
        <w:autoSpaceDN w:val="0"/>
        <w:spacing w:beforeAutospacing="0" w:afterAutospacing="0" w:line="360" w:lineRule="auto"/>
        <w:ind w:firstLine="480" w:firstLineChars="200"/>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1.3在评审过程中，</w:t>
      </w:r>
      <w:r>
        <w:rPr>
          <w:rFonts w:hint="eastAsia" w:ascii="宋体" w:hAnsi="宋体"/>
          <w:b w:val="0"/>
          <w:bCs w:val="0"/>
          <w:color w:val="auto"/>
          <w:sz w:val="24"/>
          <w:szCs w:val="24"/>
          <w:highlight w:val="none"/>
          <w:lang w:eastAsia="zh-CN"/>
        </w:rPr>
        <w:t>磋商小组</w:t>
      </w:r>
      <w:r>
        <w:rPr>
          <w:rFonts w:hint="eastAsia" w:ascii="宋体" w:hAnsi="宋体" w:eastAsia="宋体"/>
          <w:b w:val="0"/>
          <w:bCs w:val="0"/>
          <w:color w:val="auto"/>
          <w:sz w:val="24"/>
          <w:szCs w:val="24"/>
          <w:highlight w:val="none"/>
        </w:rPr>
        <w:t>可以以书面形式要求磋商供应商就磋商文件中含义不明确的内容进行书面说明并提供相关材料；</w:t>
      </w:r>
      <w:r>
        <w:rPr>
          <w:rFonts w:hint="eastAsia" w:ascii="宋体" w:hAnsi="宋体" w:eastAsia="宋体"/>
          <w:b w:val="0"/>
          <w:bCs w:val="0"/>
          <w:color w:val="auto"/>
          <w:spacing w:val="-6"/>
          <w:sz w:val="24"/>
          <w:szCs w:val="24"/>
          <w:highlight w:val="none"/>
        </w:rPr>
        <w:t>凡遇到竞争性磋商文件中无界定或界定不清、前后不一致使</w:t>
      </w:r>
      <w:r>
        <w:rPr>
          <w:rFonts w:hint="eastAsia" w:ascii="宋体" w:hAnsi="宋体"/>
          <w:b w:val="0"/>
          <w:bCs w:val="0"/>
          <w:color w:val="auto"/>
          <w:sz w:val="24"/>
          <w:szCs w:val="24"/>
          <w:highlight w:val="none"/>
          <w:lang w:eastAsia="zh-CN"/>
        </w:rPr>
        <w:t>磋商小组</w:t>
      </w:r>
      <w:r>
        <w:rPr>
          <w:rFonts w:hint="eastAsia" w:ascii="宋体" w:hAnsi="宋体" w:eastAsia="宋体"/>
          <w:b w:val="0"/>
          <w:bCs w:val="0"/>
          <w:color w:val="auto"/>
          <w:spacing w:val="-6"/>
          <w:sz w:val="24"/>
          <w:szCs w:val="24"/>
          <w:highlight w:val="none"/>
        </w:rPr>
        <w:t>成员</w:t>
      </w:r>
      <w:r>
        <w:rPr>
          <w:rFonts w:hint="eastAsia" w:ascii="宋体" w:hAnsi="宋体" w:eastAsia="宋体"/>
          <w:b w:val="0"/>
          <w:bCs w:val="0"/>
          <w:color w:val="auto"/>
          <w:sz w:val="24"/>
          <w:szCs w:val="24"/>
          <w:highlight w:val="none"/>
        </w:rPr>
        <w:t>意见</w:t>
      </w:r>
      <w:r>
        <w:rPr>
          <w:rFonts w:hint="eastAsia" w:ascii="宋体" w:hAnsi="宋体" w:eastAsia="宋体"/>
          <w:b w:val="0"/>
          <w:bCs w:val="0"/>
          <w:color w:val="auto"/>
          <w:spacing w:val="-6"/>
          <w:sz w:val="24"/>
          <w:szCs w:val="24"/>
          <w:highlight w:val="none"/>
        </w:rPr>
        <w:t>有分歧且又难于协商一致的问题，均由</w:t>
      </w:r>
      <w:r>
        <w:rPr>
          <w:rFonts w:hint="eastAsia" w:ascii="宋体" w:hAnsi="宋体"/>
          <w:b w:val="0"/>
          <w:bCs w:val="0"/>
          <w:color w:val="auto"/>
          <w:sz w:val="24"/>
          <w:szCs w:val="24"/>
          <w:highlight w:val="none"/>
          <w:lang w:eastAsia="zh-CN"/>
        </w:rPr>
        <w:t>磋商小组</w:t>
      </w:r>
      <w:r>
        <w:rPr>
          <w:rFonts w:hint="eastAsia" w:ascii="宋体" w:hAnsi="宋体" w:eastAsia="宋体"/>
          <w:b w:val="0"/>
          <w:bCs w:val="0"/>
          <w:color w:val="auto"/>
          <w:spacing w:val="-6"/>
          <w:sz w:val="24"/>
          <w:szCs w:val="24"/>
          <w:highlight w:val="none"/>
        </w:rPr>
        <w:t>予以表决，获半数以上同意的即为通过，未获半数同意的即为否决</w:t>
      </w:r>
      <w:r>
        <w:rPr>
          <w:rFonts w:hint="eastAsia" w:ascii="宋体" w:hAnsi="宋体" w:eastAsia="宋体"/>
          <w:b w:val="0"/>
          <w:bCs w:val="0"/>
          <w:color w:val="auto"/>
          <w:sz w:val="24"/>
          <w:szCs w:val="24"/>
          <w:highlight w:val="none"/>
        </w:rPr>
        <w:t>。</w:t>
      </w:r>
    </w:p>
    <w:p w14:paraId="63C3E272">
      <w:pPr>
        <w:spacing w:beforeAutospacing="0" w:afterAutospacing="0" w:line="360" w:lineRule="auto"/>
        <w:ind w:firstLine="480"/>
        <w:rPr>
          <w:rFonts w:hint="eastAsia" w:ascii="宋体" w:hAnsi="宋体" w:eastAsia="宋体"/>
          <w:b w:val="0"/>
          <w:bCs w:val="0"/>
          <w:color w:val="auto"/>
          <w:kern w:val="0"/>
          <w:sz w:val="24"/>
          <w:szCs w:val="24"/>
          <w:highlight w:val="none"/>
        </w:rPr>
      </w:pPr>
      <w:r>
        <w:rPr>
          <w:rFonts w:hint="eastAsia" w:ascii="宋体" w:hAnsi="宋体" w:eastAsia="宋体"/>
          <w:b w:val="0"/>
          <w:bCs w:val="0"/>
          <w:color w:val="auto"/>
          <w:kern w:val="0"/>
          <w:sz w:val="24"/>
          <w:szCs w:val="24"/>
          <w:highlight w:val="none"/>
        </w:rPr>
        <w:t>1.4评标时，投标报价是评标的重要依据，但不是唯一依据，</w:t>
      </w:r>
      <w:r>
        <w:rPr>
          <w:rFonts w:hint="eastAsia" w:ascii="宋体" w:hAnsi="宋体" w:eastAsia="宋体"/>
          <w:b w:val="0"/>
          <w:bCs w:val="0"/>
          <w:color w:val="auto"/>
          <w:sz w:val="24"/>
          <w:szCs w:val="24"/>
          <w:highlight w:val="none"/>
        </w:rPr>
        <w:t>采购人不承诺将合同授予报价最低或最高的磋商供应商。</w:t>
      </w:r>
    </w:p>
    <w:p w14:paraId="15E6AEAA">
      <w:pPr>
        <w:spacing w:beforeAutospacing="0" w:afterAutospacing="0" w:line="360" w:lineRule="auto"/>
        <w:ind w:firstLine="480"/>
        <w:rPr>
          <w:rFonts w:hint="eastAsia" w:ascii="宋体" w:hAnsi="宋体" w:eastAsia="宋体"/>
          <w:b/>
          <w:bCs/>
          <w:color w:val="auto"/>
          <w:sz w:val="24"/>
          <w:szCs w:val="24"/>
          <w:highlight w:val="none"/>
        </w:rPr>
      </w:pPr>
      <w:r>
        <w:rPr>
          <w:rFonts w:hint="eastAsia" w:ascii="宋体" w:hAnsi="宋体" w:eastAsia="宋体"/>
          <w:b w:val="0"/>
          <w:bCs w:val="0"/>
          <w:color w:val="auto"/>
          <w:sz w:val="24"/>
          <w:szCs w:val="24"/>
          <w:highlight w:val="none"/>
        </w:rPr>
        <w:t>1.5</w:t>
      </w:r>
      <w:r>
        <w:rPr>
          <w:rFonts w:hint="eastAsia" w:ascii="宋体" w:hAnsi="宋体"/>
          <w:b w:val="0"/>
          <w:bCs w:val="0"/>
          <w:color w:val="auto"/>
          <w:sz w:val="24"/>
          <w:szCs w:val="24"/>
          <w:highlight w:val="none"/>
          <w:lang w:eastAsia="zh-CN"/>
        </w:rPr>
        <w:t>磋商小组</w:t>
      </w:r>
      <w:r>
        <w:rPr>
          <w:rFonts w:hint="eastAsia" w:ascii="宋体" w:hAnsi="宋体" w:eastAsia="宋体"/>
          <w:b w:val="0"/>
          <w:bCs w:val="0"/>
          <w:color w:val="auto"/>
          <w:sz w:val="24"/>
          <w:szCs w:val="24"/>
          <w:highlight w:val="none"/>
        </w:rPr>
        <w:t>依据竞争性磋商文件中规定的评标标准和方法，对磋商文件进行评审和比较，向采购人提出书面评标报告，并推荐合格的成交候选人。采购人根据</w:t>
      </w:r>
      <w:r>
        <w:rPr>
          <w:rFonts w:hint="eastAsia" w:ascii="宋体" w:hAnsi="宋体"/>
          <w:b w:val="0"/>
          <w:bCs w:val="0"/>
          <w:color w:val="auto"/>
          <w:sz w:val="24"/>
          <w:szCs w:val="24"/>
          <w:highlight w:val="none"/>
          <w:lang w:eastAsia="zh-CN"/>
        </w:rPr>
        <w:t>磋商小组</w:t>
      </w:r>
      <w:r>
        <w:rPr>
          <w:rFonts w:hint="eastAsia" w:ascii="宋体" w:hAnsi="宋体" w:eastAsia="宋体"/>
          <w:b w:val="0"/>
          <w:bCs w:val="0"/>
          <w:color w:val="auto"/>
          <w:sz w:val="24"/>
          <w:szCs w:val="24"/>
          <w:highlight w:val="none"/>
        </w:rPr>
        <w:t>提出的书面评标报告和推荐的成交候选人按序确</w:t>
      </w:r>
      <w:r>
        <w:rPr>
          <w:rFonts w:hint="eastAsia" w:ascii="宋体" w:hAnsi="宋体" w:eastAsia="宋体"/>
          <w:color w:val="auto"/>
          <w:sz w:val="24"/>
          <w:szCs w:val="24"/>
          <w:highlight w:val="none"/>
        </w:rPr>
        <w:t>定成交人。</w:t>
      </w:r>
    </w:p>
    <w:p w14:paraId="4BB39AC9">
      <w:pPr>
        <w:spacing w:beforeAutospacing="0" w:after="120" w:afterAutospacing="0"/>
        <w:ind w:left="1" w:firstLine="482" w:firstLineChars="200"/>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2. 评审程序</w:t>
      </w:r>
    </w:p>
    <w:p w14:paraId="5BCEDE68">
      <w:pPr>
        <w:autoSpaceDE w:val="0"/>
        <w:autoSpaceDN w:val="0"/>
        <w:spacing w:beforeAutospacing="0" w:afterAutospacing="0" w:line="360" w:lineRule="auto"/>
        <w:ind w:firstLine="480" w:firstLineChars="200"/>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2.1 资格审查</w:t>
      </w:r>
    </w:p>
    <w:p w14:paraId="449B2ACD">
      <w:pPr>
        <w:autoSpaceDE w:val="0"/>
        <w:autoSpaceDN w:val="0"/>
        <w:spacing w:beforeAutospacing="0" w:afterAutospacing="0" w:line="360" w:lineRule="auto"/>
        <w:ind w:firstLine="480" w:firstLineChars="200"/>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本项目采用资格后审</w:t>
      </w:r>
    </w:p>
    <w:p w14:paraId="78D90809">
      <w:pPr>
        <w:spacing w:beforeAutospacing="0" w:afterAutospacing="0" w:line="360" w:lineRule="auto"/>
        <w:ind w:firstLine="480"/>
        <w:rPr>
          <w:rFonts w:hint="eastAsia" w:ascii="宋体" w:hAnsi="宋体" w:eastAsia="宋体"/>
          <w:b w:val="0"/>
          <w:bCs w:val="0"/>
          <w:color w:val="auto"/>
          <w:sz w:val="24"/>
          <w:szCs w:val="24"/>
          <w:highlight w:val="none"/>
          <w:lang w:eastAsia="zh-CN"/>
        </w:rPr>
      </w:pPr>
      <w:r>
        <w:rPr>
          <w:rFonts w:hint="eastAsia" w:ascii="宋体" w:hAnsi="宋体"/>
          <w:b w:val="0"/>
          <w:bCs w:val="0"/>
          <w:color w:val="auto"/>
          <w:sz w:val="24"/>
          <w:szCs w:val="24"/>
          <w:highlight w:val="none"/>
          <w:lang w:eastAsia="zh-CN"/>
        </w:rPr>
        <w:t>磋商小组</w:t>
      </w:r>
      <w:r>
        <w:rPr>
          <w:rFonts w:hint="eastAsia" w:ascii="宋体" w:hAnsi="宋体" w:eastAsia="宋体"/>
          <w:b w:val="0"/>
          <w:bCs w:val="0"/>
          <w:color w:val="auto"/>
          <w:sz w:val="24"/>
          <w:szCs w:val="24"/>
          <w:highlight w:val="none"/>
        </w:rPr>
        <w:t>按照竞争性磋商文件第二章磋商供应商须知前附表要求，对磋商供应商的磋商文件进行资格评审，有一项不符合的，视为未通过资格审查，按废标处理，符合的进入下一评标程序。</w:t>
      </w:r>
      <w:r>
        <w:rPr>
          <w:rFonts w:hint="eastAsia" w:ascii="宋体" w:hAnsi="宋体" w:eastAsia="宋体"/>
          <w:b w:val="0"/>
          <w:bCs w:val="0"/>
          <w:color w:val="auto"/>
          <w:sz w:val="24"/>
          <w:szCs w:val="24"/>
          <w:highlight w:val="none"/>
          <w:lang w:eastAsia="zh-CN"/>
        </w:rPr>
        <w:t>资格评审以响应文件为准，其上传资料真实性由供应商自行承担，同时，供应商要完善主体库。</w:t>
      </w:r>
    </w:p>
    <w:p w14:paraId="6E787C09">
      <w:pPr>
        <w:spacing w:beforeAutospacing="0" w:afterAutospacing="0" w:line="360" w:lineRule="auto"/>
        <w:ind w:firstLine="480"/>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3</w:t>
      </w:r>
      <w:r>
        <w:rPr>
          <w:rFonts w:hint="eastAsia" w:ascii="宋体" w:hAnsi="宋体" w:eastAsia="宋体"/>
          <w:b/>
          <w:bCs/>
          <w:color w:val="auto"/>
          <w:kern w:val="0"/>
          <w:sz w:val="24"/>
          <w:szCs w:val="24"/>
          <w:highlight w:val="none"/>
          <w:lang w:val="en-US" w:eastAsia="zh-CN"/>
        </w:rPr>
        <w:t>.</w:t>
      </w:r>
      <w:r>
        <w:rPr>
          <w:rFonts w:hint="eastAsia" w:ascii="宋体" w:hAnsi="宋体" w:eastAsia="宋体"/>
          <w:b/>
          <w:bCs/>
          <w:color w:val="auto"/>
          <w:kern w:val="0"/>
          <w:sz w:val="24"/>
          <w:szCs w:val="24"/>
          <w:highlight w:val="none"/>
        </w:rPr>
        <w:t>评标具体方法和标准</w:t>
      </w:r>
    </w:p>
    <w:p w14:paraId="263391F6">
      <w:pPr>
        <w:autoSpaceDE w:val="0"/>
        <w:autoSpaceDN w:val="0"/>
        <w:spacing w:beforeAutospacing="0" w:afterAutospacing="0" w:line="360" w:lineRule="auto"/>
        <w:ind w:firstLine="480" w:firstLineChars="200"/>
        <w:rPr>
          <w:rFonts w:hint="eastAsia"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lang w:eastAsia="zh-CN"/>
        </w:rPr>
        <w:t>本次评审采用综合评分法，即在通过资格性审查及初步审查的供应商最大限度地满足采购文件实质性要求的前提下，按照采购文件规定的评分办法表中的各项因素，由各专家独立评审打分，汇总专家各项评审结果即为供应商的最终得分；磋商小组按照供应商的得分从高到低的顺序推荐3 名成交候选供应商；若最终得分相同，报价低的优先，报价相同技术标得分高的优先，技术标得分也相同，由采购人自主决定。</w:t>
      </w:r>
    </w:p>
    <w:p w14:paraId="02E628D8">
      <w:pPr>
        <w:autoSpaceDE w:val="0"/>
        <w:autoSpaceDN w:val="0"/>
        <w:spacing w:beforeAutospacing="0" w:afterAutospacing="0" w:line="360" w:lineRule="auto"/>
        <w:ind w:firstLine="480" w:firstLineChars="200"/>
        <w:rPr>
          <w:rFonts w:hint="eastAsia" w:ascii="宋体" w:hAnsi="宋体" w:eastAsia="宋体"/>
          <w:b w:val="0"/>
          <w:bCs w:val="0"/>
          <w:color w:val="auto"/>
          <w:sz w:val="24"/>
          <w:szCs w:val="24"/>
          <w:highlight w:val="none"/>
        </w:rPr>
      </w:pPr>
    </w:p>
    <w:p w14:paraId="35C05EEE">
      <w:pPr>
        <w:spacing w:beforeAutospacing="0" w:afterAutospacing="0" w:line="360" w:lineRule="auto"/>
        <w:jc w:val="center"/>
        <w:rPr>
          <w:rFonts w:hint="eastAsia" w:ascii="宋体" w:hAnsi="宋体" w:eastAsia="宋体"/>
          <w:b/>
          <w:bCs/>
          <w:color w:val="auto"/>
          <w:sz w:val="28"/>
          <w:szCs w:val="28"/>
          <w:highlight w:val="none"/>
        </w:rPr>
      </w:pPr>
      <w:r>
        <w:rPr>
          <w:rFonts w:hint="eastAsia" w:ascii="宋体" w:hAnsi="宋体" w:eastAsia="宋体"/>
          <w:b/>
          <w:bCs/>
          <w:color w:val="auto"/>
          <w:sz w:val="28"/>
          <w:szCs w:val="28"/>
          <w:highlight w:val="none"/>
        </w:rPr>
        <w:t>评分办法前附表</w:t>
      </w:r>
    </w:p>
    <w:tbl>
      <w:tblPr>
        <w:tblStyle w:val="14"/>
        <w:tblW w:w="0" w:type="auto"/>
        <w:jc w:val="center"/>
        <w:tblLayout w:type="fixed"/>
        <w:tblCellMar>
          <w:top w:w="0" w:type="dxa"/>
          <w:left w:w="108" w:type="dxa"/>
          <w:bottom w:w="0" w:type="dxa"/>
          <w:right w:w="108" w:type="dxa"/>
        </w:tblCellMar>
      </w:tblPr>
      <w:tblGrid>
        <w:gridCol w:w="1202"/>
        <w:gridCol w:w="2176"/>
        <w:gridCol w:w="6266"/>
      </w:tblGrid>
      <w:tr w14:paraId="63A064BF">
        <w:tblPrEx>
          <w:tblCellMar>
            <w:top w:w="0" w:type="dxa"/>
            <w:left w:w="108" w:type="dxa"/>
            <w:bottom w:w="0" w:type="dxa"/>
            <w:right w:w="108" w:type="dxa"/>
          </w:tblCellMar>
        </w:tblPrEx>
        <w:trPr>
          <w:trHeight w:val="566" w:hRule="atLeast"/>
          <w:jc w:val="center"/>
        </w:trPr>
        <w:tc>
          <w:tcPr>
            <w:tcW w:w="1202" w:type="dxa"/>
            <w:tcBorders>
              <w:top w:val="single" w:color="000000" w:sz="4" w:space="0"/>
              <w:left w:val="single" w:color="000000" w:sz="4" w:space="0"/>
              <w:bottom w:val="single" w:color="000000" w:sz="4" w:space="0"/>
              <w:right w:val="single" w:color="000000" w:sz="4" w:space="0"/>
            </w:tcBorders>
            <w:vAlign w:val="center"/>
          </w:tcPr>
          <w:p w14:paraId="5611376E">
            <w:pPr>
              <w:spacing w:beforeAutospacing="0" w:afterAutospacing="0" w:line="360" w:lineRule="auto"/>
              <w:jc w:val="center"/>
              <w:rPr>
                <w:rFonts w:hint="eastAsia" w:ascii="宋体" w:hAnsi="宋体" w:eastAsia="宋体"/>
                <w:b/>
                <w:bCs/>
                <w:color w:val="auto"/>
                <w:szCs w:val="20"/>
                <w:highlight w:val="none"/>
              </w:rPr>
            </w:pPr>
            <w:r>
              <w:rPr>
                <w:rFonts w:hint="eastAsia" w:ascii="宋体" w:hAnsi="宋体" w:eastAsia="宋体"/>
                <w:b/>
                <w:bCs/>
                <w:color w:val="auto"/>
                <w:szCs w:val="20"/>
                <w:highlight w:val="none"/>
              </w:rPr>
              <w:t>条款</w:t>
            </w:r>
          </w:p>
        </w:tc>
        <w:tc>
          <w:tcPr>
            <w:tcW w:w="2176" w:type="dxa"/>
            <w:tcBorders>
              <w:top w:val="single" w:color="000000" w:sz="4" w:space="0"/>
              <w:left w:val="nil"/>
              <w:bottom w:val="single" w:color="000000" w:sz="4" w:space="0"/>
              <w:right w:val="single" w:color="000000" w:sz="4" w:space="0"/>
            </w:tcBorders>
            <w:vAlign w:val="center"/>
          </w:tcPr>
          <w:p w14:paraId="72D61B47">
            <w:pPr>
              <w:spacing w:beforeAutospacing="0" w:afterAutospacing="0" w:line="360" w:lineRule="auto"/>
              <w:jc w:val="center"/>
              <w:rPr>
                <w:rFonts w:hint="eastAsia" w:ascii="宋体" w:hAnsi="宋体" w:eastAsia="宋体"/>
                <w:b/>
                <w:bCs/>
                <w:color w:val="auto"/>
                <w:szCs w:val="20"/>
                <w:highlight w:val="none"/>
              </w:rPr>
            </w:pPr>
            <w:r>
              <w:rPr>
                <w:rFonts w:hint="eastAsia" w:ascii="宋体" w:hAnsi="宋体" w:eastAsia="宋体"/>
                <w:b/>
                <w:bCs/>
                <w:color w:val="auto"/>
                <w:szCs w:val="20"/>
                <w:highlight w:val="none"/>
              </w:rPr>
              <w:t>评审因素</w:t>
            </w:r>
          </w:p>
        </w:tc>
        <w:tc>
          <w:tcPr>
            <w:tcW w:w="6266" w:type="dxa"/>
            <w:tcBorders>
              <w:top w:val="single" w:color="000000" w:sz="4" w:space="0"/>
              <w:left w:val="nil"/>
              <w:bottom w:val="single" w:color="000000" w:sz="4" w:space="0"/>
              <w:right w:val="single" w:color="000000" w:sz="4" w:space="0"/>
            </w:tcBorders>
            <w:vAlign w:val="center"/>
          </w:tcPr>
          <w:p w14:paraId="202BE64A">
            <w:pPr>
              <w:spacing w:beforeAutospacing="0" w:afterAutospacing="0" w:line="360" w:lineRule="auto"/>
              <w:jc w:val="center"/>
              <w:rPr>
                <w:rFonts w:hint="eastAsia" w:ascii="宋体" w:hAnsi="宋体" w:eastAsia="宋体"/>
                <w:b/>
                <w:bCs/>
                <w:color w:val="auto"/>
                <w:szCs w:val="20"/>
                <w:highlight w:val="none"/>
              </w:rPr>
            </w:pPr>
            <w:r>
              <w:rPr>
                <w:rFonts w:hint="eastAsia" w:ascii="宋体" w:hAnsi="宋体" w:eastAsia="宋体"/>
                <w:b/>
                <w:bCs/>
                <w:color w:val="auto"/>
                <w:szCs w:val="20"/>
                <w:highlight w:val="none"/>
              </w:rPr>
              <w:t>评审标准</w:t>
            </w:r>
          </w:p>
        </w:tc>
      </w:tr>
      <w:tr w14:paraId="76DBC3DA">
        <w:tblPrEx>
          <w:tblCellMar>
            <w:top w:w="0" w:type="dxa"/>
            <w:left w:w="108" w:type="dxa"/>
            <w:bottom w:w="0" w:type="dxa"/>
            <w:right w:w="108" w:type="dxa"/>
          </w:tblCellMar>
        </w:tblPrEx>
        <w:trPr>
          <w:trHeight w:val="566" w:hRule="atLeast"/>
          <w:jc w:val="center"/>
        </w:trPr>
        <w:tc>
          <w:tcPr>
            <w:tcW w:w="1202" w:type="dxa"/>
            <w:vMerge w:val="restart"/>
            <w:tcBorders>
              <w:top w:val="single" w:color="000000" w:sz="4" w:space="0"/>
              <w:left w:val="single" w:color="000000" w:sz="4" w:space="0"/>
              <w:right w:val="single" w:color="000000" w:sz="4" w:space="0"/>
            </w:tcBorders>
            <w:vAlign w:val="center"/>
          </w:tcPr>
          <w:p w14:paraId="3F3973A4">
            <w:pPr>
              <w:spacing w:beforeAutospacing="0" w:afterAutospacing="0" w:line="360" w:lineRule="auto"/>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形式评审标准</w:t>
            </w:r>
          </w:p>
        </w:tc>
        <w:tc>
          <w:tcPr>
            <w:tcW w:w="2176" w:type="dxa"/>
            <w:tcBorders>
              <w:top w:val="single" w:color="000000" w:sz="4" w:space="0"/>
              <w:left w:val="nil"/>
              <w:bottom w:val="single" w:color="000000" w:sz="4" w:space="0"/>
              <w:right w:val="single" w:color="000000" w:sz="4" w:space="0"/>
            </w:tcBorders>
            <w:vAlign w:val="center"/>
          </w:tcPr>
          <w:p w14:paraId="38FEDA55">
            <w:pPr>
              <w:spacing w:line="500" w:lineRule="exact"/>
              <w:jc w:val="left"/>
              <w:rPr>
                <w:rFonts w:hint="eastAsia" w:ascii="宋体" w:hAnsi="宋体" w:eastAsia="宋体"/>
                <w:b/>
                <w:bCs/>
                <w:color w:val="auto"/>
                <w:szCs w:val="20"/>
                <w:highlight w:val="none"/>
              </w:rPr>
            </w:pPr>
            <w:r>
              <w:rPr>
                <w:rFonts w:hint="eastAsia" w:asciiTheme="majorEastAsia" w:hAnsiTheme="majorEastAsia" w:eastAsiaTheme="majorEastAsia" w:cstheme="majorEastAsia"/>
                <w:bCs/>
                <w:color w:val="auto"/>
                <w:sz w:val="24"/>
                <w:szCs w:val="24"/>
                <w:highlight w:val="none"/>
              </w:rPr>
              <w:t>供应商名称</w:t>
            </w:r>
          </w:p>
        </w:tc>
        <w:tc>
          <w:tcPr>
            <w:tcW w:w="6266" w:type="dxa"/>
            <w:tcBorders>
              <w:top w:val="single" w:color="000000" w:sz="4" w:space="0"/>
              <w:left w:val="nil"/>
              <w:bottom w:val="single" w:color="000000" w:sz="4" w:space="0"/>
              <w:right w:val="single" w:color="000000" w:sz="4" w:space="0"/>
            </w:tcBorders>
            <w:vAlign w:val="center"/>
          </w:tcPr>
          <w:p w14:paraId="7655B18A">
            <w:pPr>
              <w:spacing w:line="500" w:lineRule="exact"/>
              <w:jc w:val="both"/>
              <w:rPr>
                <w:rFonts w:hint="eastAsia" w:ascii="宋体" w:hAnsi="宋体" w:eastAsia="宋体"/>
                <w:b/>
                <w:bCs/>
                <w:color w:val="auto"/>
                <w:szCs w:val="20"/>
                <w:highlight w:val="none"/>
              </w:rPr>
            </w:pPr>
            <w:r>
              <w:rPr>
                <w:rFonts w:hint="eastAsia" w:asciiTheme="majorEastAsia" w:hAnsiTheme="majorEastAsia" w:eastAsiaTheme="majorEastAsia" w:cstheme="majorEastAsia"/>
                <w:bCs/>
                <w:color w:val="auto"/>
                <w:sz w:val="24"/>
                <w:szCs w:val="24"/>
                <w:highlight w:val="none"/>
              </w:rPr>
              <w:t>与营业执照一致</w:t>
            </w:r>
          </w:p>
        </w:tc>
      </w:tr>
      <w:tr w14:paraId="36B82742">
        <w:tblPrEx>
          <w:tblCellMar>
            <w:top w:w="0" w:type="dxa"/>
            <w:left w:w="108" w:type="dxa"/>
            <w:bottom w:w="0" w:type="dxa"/>
            <w:right w:w="108" w:type="dxa"/>
          </w:tblCellMar>
        </w:tblPrEx>
        <w:trPr>
          <w:trHeight w:val="695" w:hRule="atLeast"/>
          <w:jc w:val="center"/>
        </w:trPr>
        <w:tc>
          <w:tcPr>
            <w:tcW w:w="1202" w:type="dxa"/>
            <w:vMerge w:val="continue"/>
            <w:tcBorders>
              <w:left w:val="single" w:color="000000" w:sz="4" w:space="0"/>
              <w:right w:val="single" w:color="000000" w:sz="4" w:space="0"/>
            </w:tcBorders>
            <w:vAlign w:val="center"/>
          </w:tcPr>
          <w:p w14:paraId="7AF57109">
            <w:pPr>
              <w:widowControl w:val="0"/>
              <w:spacing w:line="500" w:lineRule="exact"/>
              <w:jc w:val="both"/>
              <w:rPr>
                <w:rFonts w:hint="eastAsia" w:asciiTheme="majorEastAsia" w:hAnsiTheme="majorEastAsia" w:eastAsiaTheme="majorEastAsia" w:cstheme="majorEastAsia"/>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1F0D479D">
            <w:pPr>
              <w:spacing w:line="500" w:lineRule="exact"/>
              <w:jc w:val="left"/>
              <w:rPr>
                <w:rFonts w:hint="eastAsia" w:asciiTheme="majorEastAsia" w:hAnsiTheme="majorEastAsia" w:eastAsiaTheme="majorEastAsia" w:cstheme="majorEastAsia"/>
                <w:bCs/>
                <w:color w:val="auto"/>
                <w:sz w:val="24"/>
                <w:szCs w:val="24"/>
                <w:highlight w:val="none"/>
              </w:rPr>
            </w:pPr>
            <w:r>
              <w:rPr>
                <w:rFonts w:hint="eastAsia" w:asciiTheme="majorEastAsia" w:hAnsiTheme="majorEastAsia" w:eastAsiaTheme="majorEastAsia" w:cstheme="majorEastAsia"/>
                <w:bCs/>
                <w:color w:val="auto"/>
                <w:sz w:val="24"/>
                <w:szCs w:val="24"/>
                <w:highlight w:val="none"/>
              </w:rPr>
              <w:t>响应文件签字盖章</w:t>
            </w:r>
          </w:p>
        </w:tc>
        <w:tc>
          <w:tcPr>
            <w:tcW w:w="6266" w:type="dxa"/>
            <w:tcBorders>
              <w:top w:val="single" w:color="000000" w:sz="4" w:space="0"/>
              <w:left w:val="nil"/>
              <w:bottom w:val="single" w:color="000000" w:sz="4" w:space="0"/>
              <w:right w:val="single" w:color="000000" w:sz="4" w:space="0"/>
            </w:tcBorders>
            <w:vAlign w:val="center"/>
          </w:tcPr>
          <w:p w14:paraId="35600FC4">
            <w:pPr>
              <w:spacing w:line="500" w:lineRule="exact"/>
              <w:jc w:val="both"/>
              <w:rPr>
                <w:rFonts w:hint="eastAsia" w:asciiTheme="majorEastAsia" w:hAnsiTheme="majorEastAsia" w:eastAsiaTheme="majorEastAsia" w:cstheme="majorEastAsia"/>
                <w:bCs/>
                <w:color w:val="auto"/>
                <w:sz w:val="24"/>
                <w:szCs w:val="24"/>
                <w:highlight w:val="none"/>
                <w:lang w:eastAsia="zh-CN"/>
              </w:rPr>
            </w:pPr>
            <w:r>
              <w:rPr>
                <w:rFonts w:hint="eastAsia" w:ascii="宋体" w:hAnsi="宋体"/>
                <w:color w:val="auto"/>
                <w:sz w:val="24"/>
                <w:highlight w:val="none"/>
                <w:lang w:eastAsia="zh-CN"/>
              </w:rPr>
              <w:t>符合</w:t>
            </w:r>
            <w:r>
              <w:rPr>
                <w:rFonts w:hint="eastAsia" w:ascii="宋体" w:hAnsi="宋体"/>
                <w:color w:val="auto"/>
                <w:sz w:val="24"/>
                <w:highlight w:val="none"/>
                <w:lang w:val="en-US" w:eastAsia="zh-CN"/>
              </w:rPr>
              <w:t>磋商</w:t>
            </w:r>
            <w:r>
              <w:rPr>
                <w:rFonts w:hint="eastAsia" w:ascii="宋体" w:hAnsi="宋体"/>
                <w:color w:val="auto"/>
                <w:sz w:val="24"/>
                <w:highlight w:val="none"/>
                <w:lang w:eastAsia="zh-CN"/>
              </w:rPr>
              <w:t>文件签字、盖章的要求</w:t>
            </w:r>
          </w:p>
        </w:tc>
      </w:tr>
      <w:tr w14:paraId="1C482413">
        <w:tblPrEx>
          <w:tblCellMar>
            <w:top w:w="0" w:type="dxa"/>
            <w:left w:w="108" w:type="dxa"/>
            <w:bottom w:w="0" w:type="dxa"/>
            <w:right w:w="108" w:type="dxa"/>
          </w:tblCellMar>
        </w:tblPrEx>
        <w:trPr>
          <w:trHeight w:val="566" w:hRule="atLeast"/>
          <w:jc w:val="center"/>
        </w:trPr>
        <w:tc>
          <w:tcPr>
            <w:tcW w:w="1202" w:type="dxa"/>
            <w:vMerge w:val="continue"/>
            <w:tcBorders>
              <w:left w:val="single" w:color="000000" w:sz="4" w:space="0"/>
              <w:right w:val="single" w:color="000000" w:sz="4" w:space="0"/>
            </w:tcBorders>
            <w:vAlign w:val="center"/>
          </w:tcPr>
          <w:p w14:paraId="47408F93">
            <w:pPr>
              <w:widowControl w:val="0"/>
              <w:spacing w:line="500" w:lineRule="exact"/>
              <w:jc w:val="both"/>
              <w:rPr>
                <w:rFonts w:hint="eastAsia" w:asciiTheme="majorEastAsia" w:hAnsiTheme="majorEastAsia" w:eastAsiaTheme="majorEastAsia" w:cstheme="majorEastAsia"/>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5684AEE7">
            <w:pPr>
              <w:spacing w:line="500" w:lineRule="exact"/>
              <w:jc w:val="left"/>
              <w:rPr>
                <w:rFonts w:hint="eastAsia" w:asciiTheme="majorEastAsia" w:hAnsiTheme="majorEastAsia" w:eastAsiaTheme="majorEastAsia" w:cstheme="majorEastAsia"/>
                <w:bCs/>
                <w:color w:val="auto"/>
                <w:sz w:val="24"/>
                <w:szCs w:val="24"/>
                <w:highlight w:val="none"/>
              </w:rPr>
            </w:pPr>
            <w:r>
              <w:rPr>
                <w:rFonts w:hint="eastAsia" w:asciiTheme="majorEastAsia" w:hAnsiTheme="majorEastAsia" w:eastAsiaTheme="majorEastAsia" w:cstheme="majorEastAsia"/>
                <w:bCs/>
                <w:color w:val="auto"/>
                <w:sz w:val="24"/>
                <w:szCs w:val="24"/>
                <w:highlight w:val="none"/>
              </w:rPr>
              <w:t>响应文件格式</w:t>
            </w:r>
          </w:p>
        </w:tc>
        <w:tc>
          <w:tcPr>
            <w:tcW w:w="6266" w:type="dxa"/>
            <w:tcBorders>
              <w:top w:val="single" w:color="000000" w:sz="4" w:space="0"/>
              <w:left w:val="nil"/>
              <w:bottom w:val="single" w:color="000000" w:sz="4" w:space="0"/>
              <w:right w:val="single" w:color="000000" w:sz="4" w:space="0"/>
            </w:tcBorders>
            <w:vAlign w:val="center"/>
          </w:tcPr>
          <w:p w14:paraId="18CDD93F">
            <w:pPr>
              <w:spacing w:line="500" w:lineRule="exact"/>
              <w:jc w:val="both"/>
              <w:rPr>
                <w:rFonts w:hint="eastAsia" w:asciiTheme="majorEastAsia" w:hAnsiTheme="majorEastAsia" w:eastAsiaTheme="majorEastAsia" w:cstheme="majorEastAsia"/>
                <w:bCs/>
                <w:color w:val="auto"/>
                <w:sz w:val="24"/>
                <w:szCs w:val="24"/>
                <w:highlight w:val="none"/>
              </w:rPr>
            </w:pPr>
            <w:r>
              <w:rPr>
                <w:rFonts w:hint="eastAsia" w:asciiTheme="majorEastAsia" w:hAnsiTheme="majorEastAsia" w:eastAsiaTheme="majorEastAsia" w:cstheme="majorEastAsia"/>
                <w:bCs/>
                <w:color w:val="auto"/>
                <w:sz w:val="24"/>
                <w:szCs w:val="24"/>
                <w:highlight w:val="none"/>
              </w:rPr>
              <w:t>符合“响应文件格式”的要求</w:t>
            </w:r>
          </w:p>
        </w:tc>
      </w:tr>
      <w:tr w14:paraId="0FDD3F30">
        <w:tblPrEx>
          <w:tblCellMar>
            <w:top w:w="0" w:type="dxa"/>
            <w:left w:w="108" w:type="dxa"/>
            <w:bottom w:w="0" w:type="dxa"/>
            <w:right w:w="108" w:type="dxa"/>
          </w:tblCellMar>
        </w:tblPrEx>
        <w:trPr>
          <w:trHeight w:val="566" w:hRule="atLeast"/>
          <w:jc w:val="center"/>
        </w:trPr>
        <w:tc>
          <w:tcPr>
            <w:tcW w:w="1202" w:type="dxa"/>
            <w:vMerge w:val="continue"/>
            <w:tcBorders>
              <w:left w:val="single" w:color="000000" w:sz="4" w:space="0"/>
              <w:bottom w:val="single" w:color="000000" w:sz="4" w:space="0"/>
              <w:right w:val="single" w:color="000000" w:sz="4" w:space="0"/>
            </w:tcBorders>
            <w:vAlign w:val="center"/>
          </w:tcPr>
          <w:p w14:paraId="485587AE">
            <w:pPr>
              <w:widowControl w:val="0"/>
              <w:spacing w:line="500" w:lineRule="exact"/>
              <w:jc w:val="both"/>
              <w:rPr>
                <w:rFonts w:hint="eastAsia" w:asciiTheme="majorEastAsia" w:hAnsiTheme="majorEastAsia" w:eastAsiaTheme="majorEastAsia" w:cstheme="majorEastAsia"/>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38C67B78">
            <w:pPr>
              <w:spacing w:line="500" w:lineRule="exact"/>
              <w:jc w:val="left"/>
              <w:rPr>
                <w:rFonts w:hint="eastAsia" w:asciiTheme="majorEastAsia" w:hAnsiTheme="majorEastAsia" w:eastAsiaTheme="majorEastAsia" w:cstheme="majorEastAsia"/>
                <w:bCs/>
                <w:color w:val="auto"/>
                <w:sz w:val="24"/>
                <w:szCs w:val="24"/>
                <w:highlight w:val="none"/>
              </w:rPr>
            </w:pPr>
            <w:r>
              <w:rPr>
                <w:rFonts w:hint="eastAsia" w:asciiTheme="majorEastAsia" w:hAnsiTheme="majorEastAsia" w:eastAsiaTheme="majorEastAsia" w:cstheme="majorEastAsia"/>
                <w:bCs/>
                <w:color w:val="auto"/>
                <w:sz w:val="24"/>
                <w:szCs w:val="24"/>
                <w:highlight w:val="none"/>
              </w:rPr>
              <w:t>报价唯一</w:t>
            </w:r>
          </w:p>
        </w:tc>
        <w:tc>
          <w:tcPr>
            <w:tcW w:w="6266" w:type="dxa"/>
            <w:tcBorders>
              <w:top w:val="single" w:color="000000" w:sz="4" w:space="0"/>
              <w:left w:val="nil"/>
              <w:bottom w:val="single" w:color="000000" w:sz="4" w:space="0"/>
              <w:right w:val="single" w:color="000000" w:sz="4" w:space="0"/>
            </w:tcBorders>
            <w:vAlign w:val="center"/>
          </w:tcPr>
          <w:p w14:paraId="5C1C84D5">
            <w:pPr>
              <w:spacing w:line="500" w:lineRule="exact"/>
              <w:jc w:val="both"/>
              <w:rPr>
                <w:rFonts w:hint="eastAsia" w:asciiTheme="majorEastAsia" w:hAnsiTheme="majorEastAsia" w:eastAsiaTheme="majorEastAsia" w:cstheme="majorEastAsia"/>
                <w:bCs/>
                <w:color w:val="auto"/>
                <w:sz w:val="24"/>
                <w:szCs w:val="24"/>
                <w:highlight w:val="none"/>
              </w:rPr>
            </w:pPr>
            <w:r>
              <w:rPr>
                <w:rFonts w:hint="eastAsia" w:asciiTheme="majorEastAsia" w:hAnsiTheme="majorEastAsia" w:eastAsiaTheme="majorEastAsia" w:cstheme="majorEastAsia"/>
                <w:bCs/>
                <w:color w:val="auto"/>
                <w:sz w:val="24"/>
                <w:szCs w:val="24"/>
                <w:highlight w:val="none"/>
                <w:lang w:val="en-US"/>
              </w:rPr>
              <w:t>只能有一个有效报价</w:t>
            </w:r>
          </w:p>
        </w:tc>
      </w:tr>
      <w:tr w14:paraId="59B3C79D">
        <w:tblPrEx>
          <w:tblCellMar>
            <w:top w:w="0" w:type="dxa"/>
            <w:left w:w="108" w:type="dxa"/>
            <w:bottom w:w="0" w:type="dxa"/>
            <w:right w:w="108" w:type="dxa"/>
          </w:tblCellMar>
        </w:tblPrEx>
        <w:trPr>
          <w:trHeight w:val="1253" w:hRule="atLeast"/>
          <w:jc w:val="center"/>
        </w:trPr>
        <w:tc>
          <w:tcPr>
            <w:tcW w:w="1202" w:type="dxa"/>
            <w:vMerge w:val="restart"/>
            <w:tcBorders>
              <w:top w:val="nil"/>
              <w:left w:val="single" w:color="000000" w:sz="4" w:space="0"/>
              <w:right w:val="single" w:color="000000" w:sz="4" w:space="0"/>
            </w:tcBorders>
            <w:vAlign w:val="center"/>
          </w:tcPr>
          <w:p w14:paraId="3842BD77">
            <w:pPr>
              <w:spacing w:beforeAutospacing="0" w:afterAutospacing="0" w:line="360" w:lineRule="auto"/>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资格评审标准</w:t>
            </w:r>
          </w:p>
        </w:tc>
        <w:tc>
          <w:tcPr>
            <w:tcW w:w="2176" w:type="dxa"/>
            <w:tcBorders>
              <w:top w:val="single" w:color="000000" w:sz="4" w:space="0"/>
              <w:left w:val="nil"/>
              <w:bottom w:val="single" w:color="000000" w:sz="4" w:space="0"/>
              <w:right w:val="single" w:color="000000" w:sz="4" w:space="0"/>
            </w:tcBorders>
            <w:vAlign w:val="center"/>
          </w:tcPr>
          <w:p w14:paraId="7B006DFB">
            <w:pPr>
              <w:spacing w:beforeAutospacing="0" w:afterAutospacing="0" w:line="360" w:lineRule="auto"/>
              <w:jc w:val="left"/>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营业执照</w:t>
            </w:r>
          </w:p>
        </w:tc>
        <w:tc>
          <w:tcPr>
            <w:tcW w:w="6266" w:type="dxa"/>
            <w:tcBorders>
              <w:top w:val="single" w:color="000000" w:sz="4" w:space="0"/>
              <w:left w:val="nil"/>
              <w:bottom w:val="single" w:color="000000" w:sz="4" w:space="0"/>
              <w:right w:val="single" w:color="000000" w:sz="4" w:space="0"/>
            </w:tcBorders>
            <w:vAlign w:val="center"/>
          </w:tcPr>
          <w:p w14:paraId="11083CD3">
            <w:pPr>
              <w:spacing w:beforeAutospacing="0" w:afterAutospacing="0" w:line="360" w:lineRule="auto"/>
              <w:jc w:val="left"/>
              <w:rPr>
                <w:rFonts w:hint="eastAsia" w:ascii="宋体" w:hAnsi="宋体" w:eastAsia="宋体"/>
                <w:color w:val="auto"/>
                <w:sz w:val="24"/>
                <w:szCs w:val="24"/>
                <w:highlight w:val="none"/>
                <w:lang w:val="en-US" w:eastAsia="zh-CN"/>
              </w:rPr>
            </w:pPr>
            <w:r>
              <w:rPr>
                <w:rFonts w:hint="eastAsia" w:ascii="宋体" w:hAnsi="宋体" w:eastAsia="宋体"/>
                <w:bCs/>
                <w:color w:val="auto"/>
                <w:sz w:val="24"/>
                <w:szCs w:val="21"/>
                <w:highlight w:val="none"/>
              </w:rPr>
              <w:t>供应商</w:t>
            </w:r>
            <w:r>
              <w:rPr>
                <w:rFonts w:hint="eastAsia" w:ascii="宋体" w:hAnsi="宋体" w:eastAsia="宋体" w:cs="Tahoma"/>
                <w:color w:val="auto"/>
                <w:kern w:val="0"/>
                <w:sz w:val="24"/>
                <w:szCs w:val="24"/>
                <w:highlight w:val="none"/>
                <w:lang w:val="en-US" w:eastAsia="zh-CN"/>
              </w:rPr>
              <w:t>具有独立承担民事责任的能力（提供有效的企业营业执照或其他证明材料）；</w:t>
            </w:r>
          </w:p>
        </w:tc>
      </w:tr>
      <w:tr w14:paraId="2DABD60A">
        <w:tblPrEx>
          <w:tblCellMar>
            <w:top w:w="0" w:type="dxa"/>
            <w:left w:w="108" w:type="dxa"/>
            <w:bottom w:w="0" w:type="dxa"/>
            <w:right w:w="108" w:type="dxa"/>
          </w:tblCellMar>
        </w:tblPrEx>
        <w:trPr>
          <w:trHeight w:val="886" w:hRule="atLeast"/>
          <w:jc w:val="center"/>
        </w:trPr>
        <w:tc>
          <w:tcPr>
            <w:tcW w:w="1202" w:type="dxa"/>
            <w:vMerge w:val="continue"/>
            <w:tcBorders>
              <w:left w:val="single" w:color="000000" w:sz="4" w:space="0"/>
              <w:right w:val="single" w:color="000000" w:sz="4" w:space="0"/>
            </w:tcBorders>
            <w:vAlign w:val="center"/>
          </w:tcPr>
          <w:p w14:paraId="6F26C451">
            <w:pPr>
              <w:spacing w:beforeAutospacing="0" w:afterAutospacing="0" w:line="360" w:lineRule="auto"/>
              <w:jc w:val="center"/>
              <w:rPr>
                <w:rFonts w:hint="eastAsia" w:ascii="宋体" w:hAnsi="宋体" w:eastAsia="宋体"/>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7FB69B88">
            <w:pPr>
              <w:spacing w:beforeAutospacing="0" w:afterAutospacing="0" w:line="360" w:lineRule="auto"/>
              <w:jc w:val="left"/>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资质证书</w:t>
            </w:r>
          </w:p>
        </w:tc>
        <w:tc>
          <w:tcPr>
            <w:tcW w:w="6266" w:type="dxa"/>
            <w:tcBorders>
              <w:top w:val="single" w:color="000000" w:sz="4" w:space="0"/>
              <w:left w:val="nil"/>
              <w:bottom w:val="single" w:color="000000" w:sz="4" w:space="0"/>
              <w:right w:val="single" w:color="000000" w:sz="4" w:space="0"/>
            </w:tcBorders>
            <w:vAlign w:val="center"/>
          </w:tcPr>
          <w:p w14:paraId="28E79795">
            <w:pPr>
              <w:tabs>
                <w:tab w:val="left" w:pos="712"/>
              </w:tabs>
              <w:spacing w:beforeAutospacing="0" w:afterAutospacing="0" w:line="360" w:lineRule="auto"/>
              <w:jc w:val="left"/>
              <w:rPr>
                <w:rFonts w:hint="eastAsia" w:ascii="宋体" w:hAnsi="宋体" w:eastAsia="宋体"/>
                <w:color w:val="auto"/>
                <w:sz w:val="24"/>
                <w:szCs w:val="24"/>
                <w:highlight w:val="none"/>
                <w:lang w:val="en-US" w:eastAsia="zh-CN"/>
              </w:rPr>
            </w:pPr>
            <w:r>
              <w:rPr>
                <w:rFonts w:hint="eastAsia" w:ascii="宋体" w:hAnsi="宋体"/>
                <w:bCs/>
                <w:color w:val="auto"/>
                <w:sz w:val="24"/>
                <w:szCs w:val="21"/>
                <w:highlight w:val="none"/>
                <w:lang w:eastAsia="zh-CN"/>
              </w:rPr>
              <w:t>供应商须具有环境工程设计专项（污染修复工程）乙级及以上资质或环境污染治理能力评价证书（环境生态治理）乙级</w:t>
            </w:r>
            <w:r>
              <w:rPr>
                <w:rFonts w:hint="eastAsia" w:ascii="宋体" w:hAnsi="宋体"/>
                <w:bCs/>
                <w:color w:val="auto"/>
                <w:sz w:val="24"/>
                <w:szCs w:val="21"/>
                <w:highlight w:val="none"/>
                <w:lang w:val="en-US" w:eastAsia="zh-CN"/>
              </w:rPr>
              <w:t>及</w:t>
            </w:r>
            <w:r>
              <w:rPr>
                <w:rFonts w:hint="eastAsia" w:ascii="宋体" w:hAnsi="宋体"/>
                <w:bCs/>
                <w:color w:val="auto"/>
                <w:sz w:val="24"/>
                <w:szCs w:val="21"/>
                <w:highlight w:val="none"/>
                <w:lang w:eastAsia="zh-CN"/>
              </w:rPr>
              <w:t>以上</w:t>
            </w:r>
            <w:r>
              <w:rPr>
                <w:rFonts w:hint="eastAsia" w:ascii="宋体" w:hAnsi="宋体"/>
                <w:bCs/>
                <w:color w:val="auto"/>
                <w:sz w:val="24"/>
                <w:szCs w:val="21"/>
                <w:highlight w:val="none"/>
                <w:lang w:val="en-US" w:eastAsia="zh-CN"/>
              </w:rPr>
              <w:t>资质</w:t>
            </w:r>
            <w:r>
              <w:rPr>
                <w:rFonts w:hint="eastAsia" w:ascii="宋体" w:hAnsi="宋体"/>
                <w:bCs/>
                <w:color w:val="auto"/>
                <w:sz w:val="24"/>
                <w:szCs w:val="21"/>
                <w:highlight w:val="none"/>
                <w:lang w:eastAsia="zh-CN"/>
              </w:rPr>
              <w:t>，并同时具有检验检测机构资质认定（CMA）证书，CMA能力附表至少包含《危险废物鉴别标准浸出毒性鉴别》（GB 5085.3-2007）浸出毒性铅、镉、铬、汞、砷检测项目</w:t>
            </w:r>
            <w:r>
              <w:rPr>
                <w:rFonts w:hint="eastAsia" w:ascii="宋体" w:hAnsi="宋体" w:eastAsia="宋体" w:cs="Tahoma"/>
                <w:color w:val="auto"/>
                <w:kern w:val="0"/>
                <w:sz w:val="24"/>
                <w:szCs w:val="24"/>
                <w:highlight w:val="none"/>
                <w:lang w:val="en-US" w:eastAsia="zh-CN"/>
              </w:rPr>
              <w:t>；</w:t>
            </w:r>
          </w:p>
        </w:tc>
      </w:tr>
      <w:tr w14:paraId="614288F7">
        <w:tblPrEx>
          <w:tblCellMar>
            <w:top w:w="0" w:type="dxa"/>
            <w:left w:w="108" w:type="dxa"/>
            <w:bottom w:w="0" w:type="dxa"/>
            <w:right w:w="108" w:type="dxa"/>
          </w:tblCellMar>
        </w:tblPrEx>
        <w:trPr>
          <w:trHeight w:val="838" w:hRule="atLeast"/>
          <w:jc w:val="center"/>
        </w:trPr>
        <w:tc>
          <w:tcPr>
            <w:tcW w:w="1202" w:type="dxa"/>
            <w:vMerge w:val="continue"/>
            <w:tcBorders>
              <w:left w:val="single" w:color="000000" w:sz="4" w:space="0"/>
              <w:right w:val="single" w:color="000000" w:sz="4" w:space="0"/>
            </w:tcBorders>
            <w:vAlign w:val="center"/>
          </w:tcPr>
          <w:p w14:paraId="09993F8C">
            <w:pPr>
              <w:spacing w:beforeAutospacing="0" w:afterAutospacing="0" w:line="360" w:lineRule="auto"/>
              <w:jc w:val="center"/>
              <w:rPr>
                <w:rFonts w:hint="eastAsia" w:ascii="宋体" w:hAnsi="宋体" w:eastAsia="宋体"/>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1A82598C">
            <w:pPr>
              <w:spacing w:beforeAutospacing="0" w:afterAutospacing="0" w:line="360" w:lineRule="auto"/>
              <w:jc w:val="left"/>
              <w:rPr>
                <w:rFonts w:hint="eastAsia" w:ascii="宋体" w:hAnsi="宋体"/>
                <w:color w:val="auto"/>
                <w:sz w:val="24"/>
                <w:szCs w:val="24"/>
                <w:highlight w:val="none"/>
                <w:lang w:val="en-US" w:eastAsia="zh-CN"/>
              </w:rPr>
            </w:pPr>
            <w:r>
              <w:rPr>
                <w:rFonts w:hint="eastAsia" w:ascii="宋体" w:hAnsi="宋体" w:eastAsia="宋体" w:cs="Tahoma"/>
                <w:color w:val="auto"/>
                <w:kern w:val="0"/>
                <w:sz w:val="24"/>
                <w:szCs w:val="24"/>
                <w:highlight w:val="none"/>
                <w:lang w:val="en-US" w:eastAsia="zh-CN"/>
              </w:rPr>
              <w:t>勘</w:t>
            </w:r>
            <w:r>
              <w:rPr>
                <w:rFonts w:hint="eastAsia" w:ascii="宋体" w:hAnsi="宋体" w:cs="Tahoma"/>
                <w:color w:val="auto"/>
                <w:kern w:val="0"/>
                <w:sz w:val="24"/>
                <w:szCs w:val="24"/>
                <w:highlight w:val="none"/>
                <w:lang w:val="en-US" w:eastAsia="zh-CN"/>
              </w:rPr>
              <w:t>察</w:t>
            </w:r>
            <w:r>
              <w:rPr>
                <w:rFonts w:hint="eastAsia" w:ascii="宋体" w:hAnsi="宋体" w:eastAsia="宋体" w:cs="Tahoma"/>
                <w:color w:val="auto"/>
                <w:kern w:val="0"/>
                <w:sz w:val="24"/>
                <w:szCs w:val="24"/>
                <w:highlight w:val="none"/>
                <w:lang w:val="en-US" w:eastAsia="zh-CN"/>
              </w:rPr>
              <w:t>设计能力</w:t>
            </w:r>
          </w:p>
        </w:tc>
        <w:tc>
          <w:tcPr>
            <w:tcW w:w="6266" w:type="dxa"/>
            <w:tcBorders>
              <w:top w:val="single" w:color="000000" w:sz="4" w:space="0"/>
              <w:left w:val="nil"/>
              <w:bottom w:val="single" w:color="000000" w:sz="4" w:space="0"/>
              <w:right w:val="single" w:color="000000" w:sz="4" w:space="0"/>
            </w:tcBorders>
            <w:vAlign w:val="center"/>
          </w:tcPr>
          <w:p w14:paraId="1632C0D7">
            <w:pPr>
              <w:tabs>
                <w:tab w:val="left" w:pos="712"/>
              </w:tabs>
              <w:spacing w:beforeAutospacing="0" w:afterAutospacing="0" w:line="360" w:lineRule="auto"/>
              <w:jc w:val="left"/>
              <w:rPr>
                <w:rFonts w:hint="eastAsia" w:ascii="宋体" w:hAnsi="宋体"/>
                <w:color w:val="auto"/>
                <w:sz w:val="24"/>
                <w:szCs w:val="24"/>
                <w:highlight w:val="none"/>
                <w:lang w:val="en-US" w:eastAsia="zh-CN"/>
              </w:rPr>
            </w:pPr>
            <w:r>
              <w:rPr>
                <w:rFonts w:hint="eastAsia" w:ascii="宋体" w:hAnsi="宋体" w:eastAsia="宋体"/>
                <w:bCs/>
                <w:color w:val="auto"/>
                <w:sz w:val="24"/>
                <w:szCs w:val="21"/>
                <w:highlight w:val="none"/>
              </w:rPr>
              <w:t>供应商</w:t>
            </w:r>
            <w:r>
              <w:rPr>
                <w:rFonts w:hint="eastAsia" w:ascii="宋体" w:hAnsi="宋体" w:eastAsia="宋体" w:cs="Tahoma"/>
                <w:color w:val="auto"/>
                <w:kern w:val="0"/>
                <w:sz w:val="24"/>
                <w:szCs w:val="24"/>
                <w:highlight w:val="none"/>
                <w:lang w:val="en-US" w:eastAsia="zh-CN"/>
              </w:rPr>
              <w:t>在人员、设备、资金等方面具有相应的勘</w:t>
            </w:r>
            <w:r>
              <w:rPr>
                <w:rFonts w:hint="eastAsia" w:ascii="宋体" w:hAnsi="宋体" w:cs="Tahoma"/>
                <w:color w:val="auto"/>
                <w:kern w:val="0"/>
                <w:sz w:val="24"/>
                <w:szCs w:val="24"/>
                <w:highlight w:val="none"/>
                <w:lang w:val="en-US" w:eastAsia="zh-CN"/>
              </w:rPr>
              <w:t>察</w:t>
            </w:r>
            <w:r>
              <w:rPr>
                <w:rFonts w:hint="eastAsia" w:ascii="宋体" w:hAnsi="宋体" w:eastAsia="宋体" w:cs="Tahoma"/>
                <w:color w:val="auto"/>
                <w:kern w:val="0"/>
                <w:sz w:val="24"/>
                <w:szCs w:val="24"/>
                <w:highlight w:val="none"/>
                <w:lang w:val="en-US" w:eastAsia="zh-CN"/>
              </w:rPr>
              <w:t>设计能力（提供承诺书或证明材料，格式自拟）；</w:t>
            </w:r>
          </w:p>
        </w:tc>
      </w:tr>
      <w:tr w14:paraId="7D077258">
        <w:tblPrEx>
          <w:tblCellMar>
            <w:top w:w="0" w:type="dxa"/>
            <w:left w:w="108" w:type="dxa"/>
            <w:bottom w:w="0" w:type="dxa"/>
            <w:right w:w="108" w:type="dxa"/>
          </w:tblCellMar>
        </w:tblPrEx>
        <w:trPr>
          <w:trHeight w:val="1615" w:hRule="atLeast"/>
          <w:jc w:val="center"/>
        </w:trPr>
        <w:tc>
          <w:tcPr>
            <w:tcW w:w="1202" w:type="dxa"/>
            <w:vMerge w:val="continue"/>
            <w:tcBorders>
              <w:left w:val="single" w:color="000000" w:sz="4" w:space="0"/>
              <w:right w:val="single" w:color="000000" w:sz="4" w:space="0"/>
            </w:tcBorders>
            <w:vAlign w:val="center"/>
          </w:tcPr>
          <w:p w14:paraId="158CD970">
            <w:pPr>
              <w:jc w:val="center"/>
              <w:rPr>
                <w:rFonts w:ascii="宋体" w:hAnsi="宋体" w:eastAsia="宋体"/>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25CDD25A">
            <w:pPr>
              <w:spacing w:beforeAutospacing="0" w:afterAutospacing="0" w:line="273" w:lineRule="auto"/>
              <w:jc w:val="left"/>
              <w:rPr>
                <w:rFonts w:hint="eastAsia" w:ascii="宋体" w:hAnsi="宋体" w:eastAsia="宋体"/>
                <w:color w:val="auto"/>
                <w:sz w:val="24"/>
                <w:szCs w:val="24"/>
                <w:highlight w:val="none"/>
              </w:rPr>
            </w:pPr>
            <w:r>
              <w:rPr>
                <w:rFonts w:hint="eastAsia" w:ascii="宋体" w:hAnsi="宋体" w:eastAsia="宋体" w:cs="Tahoma"/>
                <w:color w:val="auto"/>
                <w:kern w:val="0"/>
                <w:sz w:val="24"/>
                <w:szCs w:val="24"/>
                <w:highlight w:val="none"/>
                <w:lang w:val="en-US" w:eastAsia="zh-CN"/>
              </w:rPr>
              <w:t>项目负责人</w:t>
            </w:r>
          </w:p>
        </w:tc>
        <w:tc>
          <w:tcPr>
            <w:tcW w:w="6266" w:type="dxa"/>
            <w:tcBorders>
              <w:top w:val="single" w:color="000000" w:sz="4" w:space="0"/>
              <w:left w:val="nil"/>
              <w:bottom w:val="single" w:color="000000" w:sz="4" w:space="0"/>
              <w:right w:val="single" w:color="000000" w:sz="4" w:space="0"/>
            </w:tcBorders>
            <w:vAlign w:val="center"/>
          </w:tcPr>
          <w:p w14:paraId="471CD2CC">
            <w:pPr>
              <w:keepNext w:val="0"/>
              <w:keepLines w:val="0"/>
              <w:pageBreakBefore w:val="0"/>
              <w:widowControl w:val="0"/>
              <w:kinsoku/>
              <w:overflowPunct/>
              <w:topLinePunct w:val="0"/>
              <w:autoSpaceDE/>
              <w:autoSpaceDN/>
              <w:bidi w:val="0"/>
              <w:adjustRightInd/>
              <w:snapToGrid/>
              <w:spacing w:beforeAutospacing="0" w:afterAutospacing="0" w:line="360" w:lineRule="auto"/>
              <w:textAlignment w:val="auto"/>
              <w:rPr>
                <w:rFonts w:hint="eastAsia" w:ascii="宋体" w:hAnsi="宋体" w:eastAsia="宋体"/>
                <w:bCs/>
                <w:color w:val="auto"/>
                <w:sz w:val="24"/>
                <w:szCs w:val="21"/>
                <w:highlight w:val="none"/>
                <w:lang w:eastAsia="zh-CN"/>
              </w:rPr>
            </w:pPr>
            <w:r>
              <w:rPr>
                <w:rFonts w:hint="eastAsia"/>
                <w:bCs/>
                <w:color w:val="auto"/>
                <w:sz w:val="24"/>
                <w:szCs w:val="24"/>
                <w:highlight w:val="none"/>
                <w:lang w:val="en-US" w:eastAsia="zh-CN"/>
              </w:rPr>
              <w:t>供应商拟派项目负责人具有环境类或地质类相关专业高级工程师及以上职称（若联合体投标，须为联合体牵头人正式人员），为本单位员工且已参加社会保险，需提供职称证及投标截止日前由社保机构出具的养老保险缴费证明。</w:t>
            </w:r>
          </w:p>
        </w:tc>
      </w:tr>
      <w:tr w14:paraId="68D8633E">
        <w:tblPrEx>
          <w:tblCellMar>
            <w:top w:w="0" w:type="dxa"/>
            <w:left w:w="108" w:type="dxa"/>
            <w:bottom w:w="0" w:type="dxa"/>
            <w:right w:w="108" w:type="dxa"/>
          </w:tblCellMar>
        </w:tblPrEx>
        <w:trPr>
          <w:trHeight w:val="1396" w:hRule="atLeast"/>
          <w:jc w:val="center"/>
        </w:trPr>
        <w:tc>
          <w:tcPr>
            <w:tcW w:w="1202" w:type="dxa"/>
            <w:vMerge w:val="continue"/>
            <w:tcBorders>
              <w:left w:val="single" w:color="000000" w:sz="4" w:space="0"/>
              <w:right w:val="single" w:color="000000" w:sz="4" w:space="0"/>
            </w:tcBorders>
            <w:vAlign w:val="center"/>
          </w:tcPr>
          <w:p w14:paraId="0BF9D85D">
            <w:pPr>
              <w:jc w:val="center"/>
              <w:rPr>
                <w:rFonts w:ascii="宋体" w:hAnsi="宋体" w:eastAsia="宋体"/>
                <w:color w:val="auto"/>
                <w:sz w:val="24"/>
                <w:szCs w:val="24"/>
                <w:highlight w:val="none"/>
              </w:rPr>
            </w:pPr>
          </w:p>
        </w:tc>
        <w:tc>
          <w:tcPr>
            <w:tcW w:w="2176" w:type="dxa"/>
            <w:tcBorders>
              <w:top w:val="single" w:color="000000" w:sz="4" w:space="0"/>
              <w:left w:val="nil"/>
              <w:bottom w:val="single" w:color="auto" w:sz="4" w:space="0"/>
              <w:right w:val="single" w:color="000000" w:sz="4" w:space="0"/>
            </w:tcBorders>
            <w:vAlign w:val="center"/>
          </w:tcPr>
          <w:p w14:paraId="078CEDBA">
            <w:pPr>
              <w:spacing w:beforeAutospacing="0" w:afterAutospacing="0" w:line="273" w:lineRule="auto"/>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财务状况</w:t>
            </w:r>
          </w:p>
        </w:tc>
        <w:tc>
          <w:tcPr>
            <w:tcW w:w="6266" w:type="dxa"/>
            <w:tcBorders>
              <w:top w:val="single" w:color="000000" w:sz="4" w:space="0"/>
              <w:left w:val="nil"/>
              <w:bottom w:val="single" w:color="auto" w:sz="4" w:space="0"/>
              <w:right w:val="single" w:color="000000" w:sz="4" w:space="0"/>
            </w:tcBorders>
            <w:vAlign w:val="center"/>
          </w:tcPr>
          <w:p w14:paraId="2EA8F95B">
            <w:pPr>
              <w:spacing w:beforeAutospacing="0" w:afterAutospacing="0" w:line="360" w:lineRule="auto"/>
              <w:rPr>
                <w:rFonts w:hint="eastAsia" w:eastAsia="宋体"/>
                <w:bCs/>
                <w:color w:val="auto"/>
                <w:sz w:val="24"/>
                <w:szCs w:val="24"/>
                <w:highlight w:val="none"/>
                <w:lang w:val="en-US" w:eastAsia="zh-CN"/>
              </w:rPr>
            </w:pPr>
            <w:r>
              <w:rPr>
                <w:rFonts w:hint="eastAsia" w:ascii="宋体" w:hAnsi="宋体"/>
                <w:bCs/>
                <w:color w:val="auto"/>
                <w:sz w:val="24"/>
                <w:szCs w:val="21"/>
                <w:highlight w:val="none"/>
                <w:lang w:eastAsia="zh-CN"/>
              </w:rPr>
              <w:t>供应商具有良好的商业信誉和健全的财务会计制度(提供近三年任意一年度财务审计报告或承诺书)；</w:t>
            </w:r>
          </w:p>
        </w:tc>
      </w:tr>
      <w:tr w14:paraId="33BE9D2E">
        <w:tblPrEx>
          <w:tblCellMar>
            <w:top w:w="0" w:type="dxa"/>
            <w:left w:w="108" w:type="dxa"/>
            <w:bottom w:w="0" w:type="dxa"/>
            <w:right w:w="108" w:type="dxa"/>
          </w:tblCellMar>
        </w:tblPrEx>
        <w:trPr>
          <w:trHeight w:val="575" w:hRule="atLeast"/>
          <w:jc w:val="center"/>
        </w:trPr>
        <w:tc>
          <w:tcPr>
            <w:tcW w:w="1202" w:type="dxa"/>
            <w:vMerge w:val="continue"/>
            <w:tcBorders>
              <w:left w:val="single" w:color="000000" w:sz="4" w:space="0"/>
              <w:right w:val="single" w:color="auto" w:sz="4" w:space="0"/>
            </w:tcBorders>
            <w:vAlign w:val="center"/>
          </w:tcPr>
          <w:p w14:paraId="1A61D277">
            <w:pPr>
              <w:jc w:val="center"/>
              <w:rPr>
                <w:rFonts w:ascii="宋体" w:hAnsi="宋体" w:eastAsia="宋体"/>
                <w:color w:val="auto"/>
                <w:sz w:val="24"/>
                <w:szCs w:val="24"/>
                <w:highlight w:val="none"/>
              </w:rPr>
            </w:pPr>
          </w:p>
        </w:tc>
        <w:tc>
          <w:tcPr>
            <w:tcW w:w="2176" w:type="dxa"/>
            <w:tcBorders>
              <w:top w:val="single" w:color="auto" w:sz="4" w:space="0"/>
              <w:left w:val="single" w:color="auto" w:sz="4" w:space="0"/>
              <w:bottom w:val="single" w:color="auto" w:sz="4" w:space="0"/>
              <w:right w:val="single" w:color="000000" w:sz="4" w:space="0"/>
            </w:tcBorders>
            <w:vAlign w:val="center"/>
          </w:tcPr>
          <w:p w14:paraId="29E45B6F">
            <w:pPr>
              <w:spacing w:beforeAutospacing="0" w:afterAutospacing="0" w:line="273" w:lineRule="auto"/>
              <w:jc w:val="left"/>
              <w:rPr>
                <w:rFonts w:hint="eastAsia" w:ascii="宋体" w:hAnsi="宋体" w:eastAsia="宋体"/>
                <w:color w:val="auto"/>
                <w:sz w:val="24"/>
                <w:szCs w:val="24"/>
                <w:highlight w:val="none"/>
              </w:rPr>
            </w:pPr>
            <w:r>
              <w:rPr>
                <w:rFonts w:hint="eastAsia"/>
                <w:bCs/>
                <w:color w:val="auto"/>
                <w:sz w:val="24"/>
                <w:szCs w:val="24"/>
                <w:highlight w:val="none"/>
                <w:lang w:val="en-US"/>
              </w:rPr>
              <w:t>依法缴纳税收</w:t>
            </w:r>
          </w:p>
        </w:tc>
        <w:tc>
          <w:tcPr>
            <w:tcW w:w="6266" w:type="dxa"/>
            <w:tcBorders>
              <w:top w:val="single" w:color="auto" w:sz="4" w:space="0"/>
              <w:left w:val="nil"/>
              <w:bottom w:val="single" w:color="auto" w:sz="4" w:space="0"/>
              <w:right w:val="single" w:color="auto" w:sz="4" w:space="0"/>
            </w:tcBorders>
            <w:vAlign w:val="center"/>
          </w:tcPr>
          <w:p w14:paraId="76A8B964">
            <w:pPr>
              <w:spacing w:beforeAutospacing="0" w:afterAutospacing="0" w:line="360" w:lineRule="auto"/>
              <w:rPr>
                <w:rFonts w:hint="eastAsia"/>
                <w:bCs/>
                <w:color w:val="auto"/>
                <w:sz w:val="24"/>
                <w:szCs w:val="24"/>
                <w:highlight w:val="none"/>
                <w:lang w:val="en-US"/>
              </w:rPr>
            </w:pPr>
            <w:r>
              <w:rPr>
                <w:rFonts w:hint="eastAsia"/>
                <w:bCs/>
                <w:color w:val="auto"/>
                <w:spacing w:val="11"/>
                <w:sz w:val="24"/>
                <w:szCs w:val="24"/>
                <w:highlight w:val="none"/>
                <w:lang w:val="en-US" w:eastAsia="zh-CN"/>
              </w:rPr>
              <w:t>提供2026年任意一个月依法缴纳税收的证明资料（新成立的企业从成立之日起计算）主要是指缴纳增值税或企业所得税或企业附加税的缴费证明</w:t>
            </w:r>
            <w:r>
              <w:rPr>
                <w:rFonts w:hint="eastAsia"/>
                <w:bCs/>
                <w:color w:val="auto"/>
                <w:sz w:val="24"/>
                <w:szCs w:val="24"/>
                <w:highlight w:val="none"/>
                <w:lang w:val="en-US" w:eastAsia="zh-CN"/>
              </w:rPr>
              <w:t>，依法免税的投标响应人，应提供相应文件证明其依法免税；</w:t>
            </w:r>
          </w:p>
        </w:tc>
      </w:tr>
      <w:tr w14:paraId="3F037E9B">
        <w:tblPrEx>
          <w:tblCellMar>
            <w:top w:w="0" w:type="dxa"/>
            <w:left w:w="108" w:type="dxa"/>
            <w:bottom w:w="0" w:type="dxa"/>
            <w:right w:w="108" w:type="dxa"/>
          </w:tblCellMar>
        </w:tblPrEx>
        <w:trPr>
          <w:trHeight w:val="1396" w:hRule="atLeast"/>
          <w:jc w:val="center"/>
        </w:trPr>
        <w:tc>
          <w:tcPr>
            <w:tcW w:w="1202" w:type="dxa"/>
            <w:vMerge w:val="continue"/>
            <w:tcBorders>
              <w:left w:val="single" w:color="000000" w:sz="4" w:space="0"/>
              <w:right w:val="single" w:color="000000" w:sz="4" w:space="0"/>
            </w:tcBorders>
            <w:vAlign w:val="center"/>
          </w:tcPr>
          <w:p w14:paraId="43B85CFF">
            <w:pPr>
              <w:jc w:val="center"/>
              <w:rPr>
                <w:rFonts w:ascii="宋体" w:hAnsi="宋体" w:eastAsia="宋体"/>
                <w:color w:val="auto"/>
                <w:sz w:val="24"/>
                <w:szCs w:val="24"/>
                <w:highlight w:val="none"/>
              </w:rPr>
            </w:pPr>
          </w:p>
        </w:tc>
        <w:tc>
          <w:tcPr>
            <w:tcW w:w="2176" w:type="dxa"/>
            <w:tcBorders>
              <w:top w:val="single" w:color="auto" w:sz="4" w:space="0"/>
              <w:left w:val="nil"/>
              <w:right w:val="single" w:color="000000" w:sz="4" w:space="0"/>
            </w:tcBorders>
            <w:vAlign w:val="center"/>
          </w:tcPr>
          <w:p w14:paraId="159761BE">
            <w:pPr>
              <w:spacing w:beforeAutospacing="0" w:afterAutospacing="0" w:line="273" w:lineRule="auto"/>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无行贿犯罪记录、商业贿赂、不正当竞争行为、骗取中标、严重违约及重大工程质量等问题</w:t>
            </w:r>
          </w:p>
        </w:tc>
        <w:tc>
          <w:tcPr>
            <w:tcW w:w="6266" w:type="dxa"/>
            <w:tcBorders>
              <w:top w:val="single" w:color="auto" w:sz="4" w:space="0"/>
              <w:left w:val="nil"/>
              <w:bottom w:val="single" w:color="000000" w:sz="4" w:space="0"/>
              <w:right w:val="single" w:color="000000" w:sz="4" w:space="0"/>
            </w:tcBorders>
            <w:vAlign w:val="center"/>
          </w:tcPr>
          <w:p w14:paraId="190A6D79">
            <w:pPr>
              <w:spacing w:beforeAutospacing="0" w:afterAutospacing="0" w:line="360" w:lineRule="auto"/>
              <w:rPr>
                <w:rFonts w:hint="eastAsia"/>
                <w:bCs/>
                <w:color w:val="auto"/>
                <w:sz w:val="24"/>
                <w:szCs w:val="24"/>
                <w:highlight w:val="none"/>
                <w:lang w:val="en-US"/>
              </w:rPr>
            </w:pPr>
            <w:r>
              <w:rPr>
                <w:rFonts w:hint="eastAsia"/>
                <w:bCs/>
                <w:color w:val="auto"/>
                <w:sz w:val="24"/>
                <w:szCs w:val="24"/>
                <w:highlight w:val="none"/>
                <w:lang w:val="en-US"/>
              </w:rPr>
              <w:t>参加政府采购活动前3年内无行贿犯罪记录商业贿赂、不正当竞争行为、骗取中标、严重违约及重大工程质量等问题；开标时提供投标企业出具无行贿犯罪记录在中国裁判文书网自行查询或自行承诺（查询对象为企业、法定代表人）及企业注册地工商管理部门出具的无商业贿赂和不正当竞争证明（开具时间在有效期内），若当地工商管理部门不办理此项业务，供应商须自行出具本企业无商业贿赂和不正当竞争行为承诺书；</w:t>
            </w:r>
          </w:p>
        </w:tc>
      </w:tr>
      <w:tr w14:paraId="6D22E0E6">
        <w:tblPrEx>
          <w:tblCellMar>
            <w:top w:w="0" w:type="dxa"/>
            <w:left w:w="108" w:type="dxa"/>
            <w:bottom w:w="0" w:type="dxa"/>
            <w:right w:w="108" w:type="dxa"/>
          </w:tblCellMar>
        </w:tblPrEx>
        <w:trPr>
          <w:trHeight w:val="4154" w:hRule="atLeast"/>
          <w:jc w:val="center"/>
        </w:trPr>
        <w:tc>
          <w:tcPr>
            <w:tcW w:w="1202" w:type="dxa"/>
            <w:vMerge w:val="restart"/>
            <w:tcBorders>
              <w:left w:val="single" w:color="000000" w:sz="4" w:space="0"/>
              <w:right w:val="single" w:color="000000" w:sz="4" w:space="0"/>
            </w:tcBorders>
            <w:vAlign w:val="center"/>
          </w:tcPr>
          <w:p w14:paraId="5C9AA2CC">
            <w:pPr>
              <w:jc w:val="center"/>
              <w:rPr>
                <w:rFonts w:ascii="宋体" w:hAnsi="宋体" w:eastAsia="宋体"/>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3004FB79">
            <w:pPr>
              <w:spacing w:beforeAutospacing="0" w:afterAutospacing="0" w:line="273" w:lineRule="auto"/>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信用中国</w:t>
            </w:r>
          </w:p>
        </w:tc>
        <w:tc>
          <w:tcPr>
            <w:tcW w:w="6266" w:type="dxa"/>
            <w:tcBorders>
              <w:top w:val="single" w:color="000000" w:sz="4" w:space="0"/>
              <w:left w:val="nil"/>
              <w:bottom w:val="single" w:color="000000" w:sz="4" w:space="0"/>
              <w:right w:val="single" w:color="000000" w:sz="4" w:space="0"/>
            </w:tcBorders>
            <w:vAlign w:val="center"/>
          </w:tcPr>
          <w:p w14:paraId="5A4B6827">
            <w:pPr>
              <w:spacing w:beforeAutospacing="0" w:afterAutospacing="0" w:line="360" w:lineRule="auto"/>
              <w:rPr>
                <w:rFonts w:hint="eastAsia"/>
                <w:bCs/>
                <w:color w:val="auto"/>
                <w:sz w:val="24"/>
                <w:szCs w:val="24"/>
                <w:highlight w:val="none"/>
                <w:lang w:val="en-US"/>
              </w:rPr>
            </w:pPr>
            <w:r>
              <w:rPr>
                <w:rFonts w:hint="eastAsia"/>
                <w:bCs/>
                <w:color w:val="auto"/>
                <w:sz w:val="24"/>
                <w:szCs w:val="24"/>
                <w:highlight w:val="none"/>
                <w:lang w:val="en-US"/>
              </w:rPr>
              <w:t>根据《关于在政府采购活动中查询及使用信用记录有关问题的通知》(财库[2016]125号)和豫财购【2016】15号的规定，对列入失信被执行人、重大税收违法失信主体、政府采购严重违法失信行为记录名单的投标人，拒绝参与本项目采购活动；查询渠道：“信用中国”网站（www.creditchina.gov.cn），查询内容：重大税收违法失信主体、政府采购严重违法失信行为、失信被执行人（查询网站：http://zxgk.court.gov.cn中国执行信息公开网查询截图）。中国政府采购网（www.ccgp.gov.cn）查询内容：政府采购严重违法失信行为记录名单）。</w:t>
            </w:r>
            <w:r>
              <w:rPr>
                <w:rFonts w:hint="eastAsia"/>
                <w:bCs/>
                <w:color w:val="auto"/>
                <w:sz w:val="24"/>
                <w:szCs w:val="24"/>
                <w:highlight w:val="none"/>
                <w:lang w:val="en-US" w:eastAsia="zh-CN"/>
              </w:rPr>
              <w:t>供应商</w:t>
            </w:r>
            <w:r>
              <w:rPr>
                <w:rFonts w:hint="eastAsia"/>
                <w:bCs/>
                <w:color w:val="auto"/>
                <w:sz w:val="24"/>
                <w:szCs w:val="24"/>
                <w:highlight w:val="none"/>
                <w:lang w:val="en-US"/>
              </w:rPr>
              <w:t>须提供加盖公章的信用中国查询页、中国政府采购网查询页、中国执行信息公开网查询截图；查询日期为本公告发布之日起；截图附日期</w:t>
            </w:r>
          </w:p>
        </w:tc>
      </w:tr>
      <w:tr w14:paraId="69E0C96D">
        <w:tblPrEx>
          <w:tblCellMar>
            <w:top w:w="0" w:type="dxa"/>
            <w:left w:w="108" w:type="dxa"/>
            <w:bottom w:w="0" w:type="dxa"/>
            <w:right w:w="108" w:type="dxa"/>
          </w:tblCellMar>
        </w:tblPrEx>
        <w:trPr>
          <w:trHeight w:val="651" w:hRule="atLeast"/>
          <w:jc w:val="center"/>
        </w:trPr>
        <w:tc>
          <w:tcPr>
            <w:tcW w:w="1202" w:type="dxa"/>
            <w:vMerge w:val="continue"/>
            <w:tcBorders>
              <w:left w:val="single" w:color="000000" w:sz="4" w:space="0"/>
              <w:right w:val="single" w:color="000000" w:sz="4" w:space="0"/>
            </w:tcBorders>
            <w:vAlign w:val="center"/>
          </w:tcPr>
          <w:p w14:paraId="6EEAC071">
            <w:pPr>
              <w:jc w:val="center"/>
              <w:rPr>
                <w:rFonts w:ascii="宋体" w:hAnsi="宋体" w:eastAsia="宋体"/>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7978A420">
            <w:pPr>
              <w:spacing w:beforeAutospacing="0" w:afterAutospacing="0" w:line="240" w:lineRule="auto"/>
              <w:jc w:val="center"/>
              <w:rPr>
                <w:rFonts w:hint="default" w:ascii="宋体" w:hAnsi="宋体" w:eastAsia="宋体"/>
                <w:color w:val="auto"/>
                <w:sz w:val="24"/>
                <w:szCs w:val="24"/>
                <w:highlight w:val="none"/>
                <w:lang w:val="en-US" w:eastAsia="zh-CN"/>
              </w:rPr>
            </w:pPr>
            <w:r>
              <w:rPr>
                <w:rFonts w:hint="eastAsia" w:ascii="宋体" w:hAnsi="宋体" w:eastAsia="宋体"/>
                <w:bCs/>
                <w:color w:val="auto"/>
                <w:sz w:val="24"/>
                <w:szCs w:val="21"/>
                <w:highlight w:val="none"/>
                <w:lang w:val="en-US" w:eastAsia="zh-CN"/>
              </w:rPr>
              <w:t>控股、管理关系</w:t>
            </w:r>
          </w:p>
        </w:tc>
        <w:tc>
          <w:tcPr>
            <w:tcW w:w="6266" w:type="dxa"/>
            <w:tcBorders>
              <w:top w:val="single" w:color="000000" w:sz="4" w:space="0"/>
              <w:left w:val="nil"/>
              <w:bottom w:val="single" w:color="000000" w:sz="4" w:space="0"/>
              <w:right w:val="single" w:color="000000" w:sz="4" w:space="0"/>
            </w:tcBorders>
            <w:vAlign w:val="center"/>
          </w:tcPr>
          <w:p w14:paraId="5943D5AD">
            <w:pPr>
              <w:spacing w:beforeAutospacing="0" w:afterAutospacing="0" w:line="360" w:lineRule="auto"/>
              <w:rPr>
                <w:rFonts w:ascii="宋体" w:hAnsi="宋体" w:eastAsia="宋体"/>
                <w:color w:val="auto"/>
                <w:sz w:val="24"/>
                <w:szCs w:val="24"/>
                <w:highlight w:val="none"/>
              </w:rPr>
            </w:pPr>
            <w:r>
              <w:rPr>
                <w:rFonts w:hint="eastAsia" w:ascii="宋体" w:hAnsi="宋体" w:eastAsia="宋体"/>
                <w:bCs/>
                <w:color w:val="auto"/>
                <w:sz w:val="24"/>
                <w:szCs w:val="21"/>
                <w:highlight w:val="none"/>
                <w:lang w:val="en-US" w:eastAsia="zh-CN"/>
              </w:rPr>
              <w:t>单位负责人为同一人或者存在直接控股、管理关系的不同投标人，</w:t>
            </w:r>
            <w:r>
              <w:rPr>
                <w:rFonts w:hint="eastAsia" w:ascii="宋体" w:hAnsi="宋体" w:eastAsia="宋体" w:cs="Tahoma"/>
                <w:color w:val="auto"/>
                <w:kern w:val="0"/>
                <w:sz w:val="24"/>
                <w:szCs w:val="24"/>
                <w:highlight w:val="none"/>
                <w:lang w:val="en-US" w:eastAsia="zh-CN"/>
              </w:rPr>
              <w:t>不得参加同一合同项下的采购活动</w:t>
            </w:r>
            <w:r>
              <w:rPr>
                <w:rFonts w:hint="eastAsia" w:ascii="宋体" w:hAnsi="宋体" w:eastAsia="宋体"/>
                <w:bCs/>
                <w:color w:val="auto"/>
                <w:sz w:val="24"/>
                <w:szCs w:val="21"/>
                <w:highlight w:val="none"/>
                <w:lang w:val="en-US" w:eastAsia="zh-CN"/>
              </w:rPr>
              <w:t>；提供国家企业信用信息公示系统（网址http://www.gsxt.gov.cn/）公示的企业信息网页截图，</w:t>
            </w:r>
            <w:r>
              <w:rPr>
                <w:rFonts w:hint="eastAsia" w:ascii="宋体" w:hAnsi="宋体" w:eastAsia="宋体" w:cs="Tahoma"/>
                <w:color w:val="auto"/>
                <w:kern w:val="0"/>
                <w:sz w:val="24"/>
                <w:szCs w:val="24"/>
                <w:highlight w:val="none"/>
                <w:lang w:val="en-US" w:eastAsia="zh-CN"/>
              </w:rPr>
              <w:t>查询信息需包含公司基本信息、股东信息及股权变更信息等相关</w:t>
            </w:r>
            <w:r>
              <w:rPr>
                <w:rFonts w:hint="eastAsia" w:ascii="宋体" w:hAnsi="宋体" w:eastAsia="宋体" w:cs="Tahoma"/>
                <w:b w:val="0"/>
                <w:bCs w:val="0"/>
                <w:color w:val="auto"/>
                <w:kern w:val="0"/>
                <w:sz w:val="24"/>
                <w:szCs w:val="24"/>
                <w:highlight w:val="none"/>
                <w:lang w:val="en-US" w:eastAsia="zh-CN"/>
              </w:rPr>
              <w:t>信息，查询日期为本项目公告发布之后至开标截止时间止</w:t>
            </w:r>
            <w:r>
              <w:rPr>
                <w:rFonts w:hint="eastAsia" w:ascii="宋体" w:hAnsi="宋体" w:cs="Tahoma"/>
                <w:b w:val="0"/>
                <w:bCs w:val="0"/>
                <w:color w:val="auto"/>
                <w:kern w:val="0"/>
                <w:sz w:val="24"/>
                <w:szCs w:val="24"/>
                <w:highlight w:val="none"/>
                <w:lang w:val="en-US" w:eastAsia="zh-CN"/>
              </w:rPr>
              <w:t>；也可提供加盖单位公章的承诺书替代上述截图。</w:t>
            </w:r>
          </w:p>
        </w:tc>
      </w:tr>
      <w:tr w14:paraId="493C7E89">
        <w:tblPrEx>
          <w:tblCellMar>
            <w:top w:w="0" w:type="dxa"/>
            <w:left w:w="108" w:type="dxa"/>
            <w:bottom w:w="0" w:type="dxa"/>
            <w:right w:w="108" w:type="dxa"/>
          </w:tblCellMar>
        </w:tblPrEx>
        <w:trPr>
          <w:trHeight w:val="895" w:hRule="atLeast"/>
          <w:jc w:val="center"/>
        </w:trPr>
        <w:tc>
          <w:tcPr>
            <w:tcW w:w="1202" w:type="dxa"/>
            <w:vMerge w:val="continue"/>
            <w:tcBorders>
              <w:left w:val="single" w:color="000000" w:sz="4" w:space="0"/>
              <w:bottom w:val="single" w:color="auto" w:sz="4" w:space="0"/>
              <w:right w:val="single" w:color="000000" w:sz="4" w:space="0"/>
            </w:tcBorders>
            <w:vAlign w:val="center"/>
          </w:tcPr>
          <w:p w14:paraId="53523D18">
            <w:pPr>
              <w:jc w:val="center"/>
              <w:rPr>
                <w:rFonts w:ascii="宋体" w:hAnsi="宋体" w:eastAsia="宋体"/>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0E5E0903">
            <w:pPr>
              <w:keepNext w:val="0"/>
              <w:keepLines w:val="0"/>
              <w:pageBreakBefore w:val="0"/>
              <w:widowControl w:val="0"/>
              <w:kinsoku/>
              <w:overflowPunct/>
              <w:topLinePunct w:val="0"/>
              <w:autoSpaceDE/>
              <w:autoSpaceDN/>
              <w:bidi w:val="0"/>
              <w:adjustRightInd/>
              <w:snapToGrid/>
              <w:spacing w:beforeAutospacing="0" w:afterAutospacing="0" w:line="360" w:lineRule="auto"/>
              <w:jc w:val="center"/>
              <w:textAlignment w:val="auto"/>
              <w:rPr>
                <w:rFonts w:hint="eastAsia" w:ascii="宋体" w:hAnsi="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若为联合体投标</w:t>
            </w:r>
          </w:p>
        </w:tc>
        <w:tc>
          <w:tcPr>
            <w:tcW w:w="6266" w:type="dxa"/>
            <w:tcBorders>
              <w:top w:val="single" w:color="000000" w:sz="4" w:space="0"/>
              <w:left w:val="nil"/>
              <w:bottom w:val="single" w:color="000000" w:sz="4" w:space="0"/>
              <w:right w:val="single" w:color="000000" w:sz="4" w:space="0"/>
            </w:tcBorders>
            <w:vAlign w:val="center"/>
          </w:tcPr>
          <w:p w14:paraId="13337FDC">
            <w:pPr>
              <w:spacing w:beforeAutospacing="0" w:afterAutospacing="0" w:line="360" w:lineRule="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 xml:space="preserve">1）联合体成员不超过2家（含联合体牵头人）； </w:t>
            </w:r>
          </w:p>
          <w:p w14:paraId="4141EF51">
            <w:pPr>
              <w:spacing w:beforeAutospacing="0" w:afterAutospacing="0" w:line="360" w:lineRule="auto"/>
              <w:rPr>
                <w:rFonts w:hint="default"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2）以联合体形式参加本项目的，联合体各方应当满足供应商资格要求第1-9项；（注：联合体各方按承揽工作匹配对应专项资质；联合体成员中承担检测工作的单位，须具备本项目要求的CMA检验检测机构资质认定证书及附表对应的检测能力；承担设计工作的单位须具有环境工程设计专项（污染修复工程）乙级及以上资质或</w:t>
            </w:r>
            <w:r>
              <w:rPr>
                <w:rFonts w:hint="eastAsia" w:ascii="宋体" w:hAnsi="宋体"/>
                <w:bCs/>
                <w:color w:val="auto"/>
                <w:sz w:val="24"/>
                <w:szCs w:val="21"/>
                <w:highlight w:val="none"/>
                <w:lang w:eastAsia="zh-CN"/>
              </w:rPr>
              <w:t>环境污染治理能力评价证书（环境生态治理）乙级</w:t>
            </w:r>
            <w:r>
              <w:rPr>
                <w:rFonts w:hint="eastAsia" w:ascii="宋体" w:hAnsi="宋体"/>
                <w:bCs/>
                <w:color w:val="auto"/>
                <w:sz w:val="24"/>
                <w:szCs w:val="21"/>
                <w:highlight w:val="none"/>
                <w:lang w:val="en-US" w:eastAsia="zh-CN"/>
              </w:rPr>
              <w:t>及</w:t>
            </w:r>
            <w:r>
              <w:rPr>
                <w:rFonts w:hint="eastAsia" w:ascii="宋体" w:hAnsi="宋体"/>
                <w:bCs/>
                <w:color w:val="auto"/>
                <w:sz w:val="24"/>
                <w:szCs w:val="21"/>
                <w:highlight w:val="none"/>
                <w:lang w:eastAsia="zh-CN"/>
              </w:rPr>
              <w:t>以上</w:t>
            </w:r>
            <w:r>
              <w:rPr>
                <w:rFonts w:hint="eastAsia" w:ascii="宋体" w:hAnsi="宋体"/>
                <w:bCs/>
                <w:color w:val="auto"/>
                <w:sz w:val="24"/>
                <w:szCs w:val="21"/>
                <w:highlight w:val="none"/>
                <w:lang w:val="en-US" w:eastAsia="zh-CN"/>
              </w:rPr>
              <w:t>资质</w:t>
            </w:r>
            <w:r>
              <w:rPr>
                <w:rFonts w:hint="eastAsia" w:ascii="宋体" w:hAnsi="宋体" w:eastAsia="宋体"/>
                <w:bCs/>
                <w:color w:val="auto"/>
                <w:sz w:val="24"/>
                <w:szCs w:val="21"/>
                <w:highlight w:val="none"/>
                <w:lang w:val="en-US" w:eastAsia="zh-CN"/>
              </w:rPr>
              <w:t>，各成员按照实际分工具备对应履约能力。）</w:t>
            </w:r>
          </w:p>
          <w:p w14:paraId="1F6D5C86">
            <w:pPr>
              <w:spacing w:beforeAutospacing="0" w:afterAutospacing="0" w:line="360" w:lineRule="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 xml:space="preserve">3）联合体各方应签订联合体协议书明确各方权利义务； </w:t>
            </w:r>
          </w:p>
          <w:p w14:paraId="5B5C6608">
            <w:pPr>
              <w:spacing w:beforeAutospacing="0" w:afterAutospacing="0" w:line="360" w:lineRule="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4）联合体各方签订共同投标协议后，联合体各方不得再以自己名义单独（或与其他单位组成新的联合体）参与同一标段下的投标；</w:t>
            </w:r>
          </w:p>
          <w:p w14:paraId="4091C727">
            <w:pPr>
              <w:spacing w:beforeAutospacing="0" w:afterAutospacing="0" w:line="360" w:lineRule="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5）联合体中标后联合体各方应当共同与采购人签订合同，</w:t>
            </w:r>
            <w:r>
              <w:rPr>
                <w:rFonts w:hint="eastAsia" w:ascii="宋体" w:hAnsi="宋体"/>
                <w:bCs/>
                <w:color w:val="auto"/>
                <w:sz w:val="24"/>
                <w:szCs w:val="21"/>
                <w:highlight w:val="none"/>
                <w:lang w:val="en-US" w:eastAsia="zh-CN"/>
              </w:rPr>
              <w:t>未</w:t>
            </w:r>
            <w:r>
              <w:rPr>
                <w:rFonts w:hint="eastAsia" w:ascii="宋体" w:hAnsi="宋体" w:eastAsia="宋体"/>
                <w:bCs/>
                <w:color w:val="auto"/>
                <w:sz w:val="24"/>
                <w:szCs w:val="21"/>
                <w:highlight w:val="none"/>
                <w:lang w:val="en-US" w:eastAsia="zh-CN"/>
              </w:rPr>
              <w:t>履行合同向招标人承担连带责任；</w:t>
            </w:r>
          </w:p>
          <w:p w14:paraId="49C36BCE">
            <w:pPr>
              <w:spacing w:beforeAutospacing="0" w:afterAutospacing="0" w:line="360" w:lineRule="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 xml:space="preserve">6）联合体的牵头人应被授权作为联合体各方的代表，承担责任和接受指令； </w:t>
            </w:r>
          </w:p>
          <w:p w14:paraId="6A938F38">
            <w:pPr>
              <w:spacing w:beforeAutospacing="0" w:afterAutospacing="0" w:line="360" w:lineRule="auto"/>
              <w:rPr>
                <w:rFonts w:hint="eastAsia" w:ascii="宋体" w:hAnsi="宋体" w:eastAsia="宋体"/>
                <w:bCs/>
                <w:color w:val="auto"/>
                <w:sz w:val="24"/>
                <w:szCs w:val="21"/>
                <w:highlight w:val="none"/>
                <w:lang w:val="en-US" w:eastAsia="zh-CN"/>
              </w:rPr>
            </w:pPr>
            <w:r>
              <w:rPr>
                <w:rFonts w:hint="eastAsia" w:ascii="宋体" w:hAnsi="宋体" w:eastAsia="宋体"/>
                <w:bCs/>
                <w:color w:val="auto"/>
                <w:sz w:val="24"/>
                <w:szCs w:val="21"/>
                <w:highlight w:val="none"/>
                <w:lang w:val="en-US" w:eastAsia="zh-CN"/>
              </w:rPr>
              <w:t>7）获取磋商文件时，应以联合体牵头人的名义获取，并以联合体牵头人的名义递交相应文件；联合体牵头人法定代表人或其授权代表负责签署本次投标相关资料，其他联合体成员必须予以认可。</w:t>
            </w:r>
          </w:p>
        </w:tc>
      </w:tr>
      <w:tr w14:paraId="45BF2646">
        <w:tblPrEx>
          <w:tblCellMar>
            <w:top w:w="0" w:type="dxa"/>
            <w:left w:w="108" w:type="dxa"/>
            <w:bottom w:w="0" w:type="dxa"/>
            <w:right w:w="108" w:type="dxa"/>
          </w:tblCellMar>
        </w:tblPrEx>
        <w:trPr>
          <w:trHeight w:val="895" w:hRule="atLeast"/>
          <w:jc w:val="center"/>
        </w:trPr>
        <w:tc>
          <w:tcPr>
            <w:tcW w:w="1202" w:type="dxa"/>
            <w:vMerge w:val="continue"/>
            <w:tcBorders>
              <w:left w:val="single" w:color="000000" w:sz="4" w:space="0"/>
              <w:bottom w:val="single" w:color="auto" w:sz="4" w:space="0"/>
              <w:right w:val="single" w:color="000000" w:sz="4" w:space="0"/>
            </w:tcBorders>
            <w:vAlign w:val="center"/>
          </w:tcPr>
          <w:p w14:paraId="7EAED598">
            <w:pPr>
              <w:jc w:val="center"/>
              <w:rPr>
                <w:rFonts w:ascii="宋体" w:hAnsi="宋体" w:eastAsia="宋体"/>
                <w:color w:val="auto"/>
                <w:sz w:val="24"/>
                <w:szCs w:val="24"/>
                <w:highlight w:val="none"/>
              </w:rPr>
            </w:pPr>
          </w:p>
        </w:tc>
        <w:tc>
          <w:tcPr>
            <w:tcW w:w="2176" w:type="dxa"/>
            <w:tcBorders>
              <w:top w:val="single" w:color="000000" w:sz="4" w:space="0"/>
              <w:left w:val="nil"/>
              <w:bottom w:val="single" w:color="000000" w:sz="4" w:space="0"/>
              <w:right w:val="single" w:color="000000" w:sz="4" w:space="0"/>
            </w:tcBorders>
            <w:vAlign w:val="center"/>
          </w:tcPr>
          <w:p w14:paraId="53697EFE">
            <w:pPr>
              <w:keepNext w:val="0"/>
              <w:keepLines w:val="0"/>
              <w:pageBreakBefore w:val="0"/>
              <w:widowControl w:val="0"/>
              <w:kinsoku/>
              <w:overflowPunct/>
              <w:topLinePunct w:val="0"/>
              <w:autoSpaceDE/>
              <w:autoSpaceDN/>
              <w:bidi w:val="0"/>
              <w:adjustRightInd/>
              <w:snapToGrid/>
              <w:spacing w:beforeAutospacing="0" w:afterAutospacing="0" w:line="360" w:lineRule="auto"/>
              <w:jc w:val="center"/>
              <w:textAlignment w:val="auto"/>
              <w:rPr>
                <w:rFonts w:hint="default" w:ascii="宋体" w:hAnsi="宋体"/>
                <w:color w:val="auto"/>
                <w:sz w:val="24"/>
                <w:szCs w:val="24"/>
                <w:highlight w:val="none"/>
                <w:lang w:val="en-US" w:eastAsia="zh-CN"/>
              </w:rPr>
            </w:pPr>
            <w:r>
              <w:rPr>
                <w:rFonts w:hint="eastAsia" w:ascii="宋体" w:hAnsi="宋体"/>
                <w:color w:val="auto"/>
                <w:sz w:val="24"/>
                <w:szCs w:val="24"/>
                <w:highlight w:val="none"/>
                <w:lang w:val="en-US" w:eastAsia="zh-CN"/>
              </w:rPr>
              <w:t>其它</w:t>
            </w:r>
          </w:p>
        </w:tc>
        <w:tc>
          <w:tcPr>
            <w:tcW w:w="6266" w:type="dxa"/>
            <w:tcBorders>
              <w:top w:val="single" w:color="000000" w:sz="4" w:space="0"/>
              <w:left w:val="nil"/>
              <w:bottom w:val="single" w:color="000000" w:sz="4" w:space="0"/>
              <w:right w:val="single" w:color="000000" w:sz="4" w:space="0"/>
            </w:tcBorders>
            <w:vAlign w:val="center"/>
          </w:tcPr>
          <w:p w14:paraId="503452B8">
            <w:pPr>
              <w:snapToGrid w:val="0"/>
              <w:spacing w:line="500" w:lineRule="exact"/>
              <w:jc w:val="both"/>
              <w:textAlignment w:val="baseline"/>
              <w:rPr>
                <w:rFonts w:hint="default" w:ascii="宋体" w:hAnsi="宋体" w:eastAsiaTheme="minorEastAsia"/>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本项目磋商实行资格后审。</w:t>
            </w:r>
            <w:r>
              <w:rPr>
                <w:rFonts w:hint="eastAsia" w:asciiTheme="minorEastAsia" w:hAnsiTheme="minorEastAsia" w:eastAsiaTheme="minorEastAsia" w:cstheme="minorEastAsia"/>
                <w:bCs/>
                <w:color w:val="auto"/>
                <w:sz w:val="24"/>
                <w:szCs w:val="24"/>
                <w:highlight w:val="none"/>
                <w:lang w:val="en-US" w:eastAsia="zh-CN"/>
              </w:rPr>
              <w:t xml:space="preserve">           </w:t>
            </w:r>
          </w:p>
        </w:tc>
      </w:tr>
      <w:tr w14:paraId="30CC1C9C">
        <w:tblPrEx>
          <w:tblCellMar>
            <w:top w:w="0" w:type="dxa"/>
            <w:left w:w="108" w:type="dxa"/>
            <w:bottom w:w="0" w:type="dxa"/>
            <w:right w:w="108" w:type="dxa"/>
          </w:tblCellMar>
        </w:tblPrEx>
        <w:trPr>
          <w:trHeight w:val="613" w:hRule="atLeast"/>
          <w:jc w:val="center"/>
        </w:trPr>
        <w:tc>
          <w:tcPr>
            <w:tcW w:w="1202" w:type="dxa"/>
            <w:vMerge w:val="restart"/>
            <w:tcBorders>
              <w:top w:val="single" w:color="auto" w:sz="4" w:space="0"/>
              <w:left w:val="single" w:color="auto" w:sz="4" w:space="0"/>
              <w:right w:val="single" w:color="auto" w:sz="4" w:space="0"/>
            </w:tcBorders>
            <w:vAlign w:val="center"/>
          </w:tcPr>
          <w:p w14:paraId="66A4E049">
            <w:pPr>
              <w:jc w:val="both"/>
              <w:rPr>
                <w:rFonts w:ascii="宋体" w:hAnsi="宋体" w:eastAsia="宋体"/>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响应性评审标准</w:t>
            </w:r>
          </w:p>
        </w:tc>
        <w:tc>
          <w:tcPr>
            <w:tcW w:w="2176" w:type="dxa"/>
            <w:tcBorders>
              <w:top w:val="single" w:color="000000" w:sz="4" w:space="0"/>
              <w:left w:val="single" w:color="auto" w:sz="4" w:space="0"/>
              <w:bottom w:val="single" w:color="000000" w:sz="4" w:space="0"/>
              <w:right w:val="single" w:color="000000" w:sz="4" w:space="0"/>
            </w:tcBorders>
            <w:vAlign w:val="center"/>
          </w:tcPr>
          <w:p w14:paraId="693546CD">
            <w:pPr>
              <w:widowControl w:val="0"/>
              <w:spacing w:line="500" w:lineRule="exact"/>
              <w:jc w:val="center"/>
              <w:rPr>
                <w:rFonts w:hint="eastAsia" w:ascii="宋体" w:hAnsi="宋体"/>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rPr>
              <w:t>服务内容</w:t>
            </w:r>
          </w:p>
        </w:tc>
        <w:tc>
          <w:tcPr>
            <w:tcW w:w="6266" w:type="dxa"/>
            <w:tcBorders>
              <w:top w:val="single" w:color="000000" w:sz="4" w:space="0"/>
              <w:left w:val="nil"/>
              <w:bottom w:val="single" w:color="000000" w:sz="4" w:space="0"/>
              <w:right w:val="single" w:color="000000" w:sz="4" w:space="0"/>
            </w:tcBorders>
            <w:vAlign w:val="center"/>
          </w:tcPr>
          <w:p w14:paraId="37A61BEE">
            <w:pPr>
              <w:widowControl w:val="0"/>
              <w:spacing w:line="500" w:lineRule="exact"/>
              <w:jc w:val="both"/>
              <w:rPr>
                <w:rFonts w:hint="eastAsia" w:asciiTheme="minorEastAsia" w:hAnsiTheme="minorEastAsia" w:eastAsiaTheme="minorEastAsia" w:cstheme="minorEastAsia"/>
                <w:bCs/>
                <w:color w:val="auto"/>
                <w:sz w:val="24"/>
                <w:szCs w:val="24"/>
                <w:highlight w:val="none"/>
              </w:rPr>
            </w:pPr>
            <w:r>
              <w:rPr>
                <w:rFonts w:hint="eastAsia" w:asciiTheme="majorEastAsia" w:hAnsiTheme="majorEastAsia" w:eastAsiaTheme="majorEastAsia" w:cstheme="majorEastAsia"/>
                <w:color w:val="auto"/>
                <w:sz w:val="24"/>
                <w:szCs w:val="24"/>
                <w:highlight w:val="none"/>
              </w:rPr>
              <w:t>符合磋商文件要求</w:t>
            </w:r>
          </w:p>
        </w:tc>
      </w:tr>
      <w:tr w14:paraId="3871F667">
        <w:tblPrEx>
          <w:tblCellMar>
            <w:top w:w="0" w:type="dxa"/>
            <w:left w:w="108" w:type="dxa"/>
            <w:bottom w:w="0" w:type="dxa"/>
            <w:right w:w="108" w:type="dxa"/>
          </w:tblCellMar>
        </w:tblPrEx>
        <w:trPr>
          <w:trHeight w:val="613" w:hRule="atLeast"/>
          <w:jc w:val="center"/>
        </w:trPr>
        <w:tc>
          <w:tcPr>
            <w:tcW w:w="1202" w:type="dxa"/>
            <w:vMerge w:val="continue"/>
            <w:tcBorders>
              <w:left w:val="single" w:color="auto" w:sz="4" w:space="0"/>
              <w:right w:val="single" w:color="auto" w:sz="4" w:space="0"/>
            </w:tcBorders>
            <w:vAlign w:val="center"/>
          </w:tcPr>
          <w:p w14:paraId="47EA59FC">
            <w:pPr>
              <w:jc w:val="both"/>
              <w:rPr>
                <w:rFonts w:ascii="宋体" w:hAnsi="宋体" w:eastAsia="宋体"/>
                <w:color w:val="auto"/>
                <w:sz w:val="24"/>
                <w:szCs w:val="24"/>
                <w:highlight w:val="none"/>
              </w:rPr>
            </w:pPr>
          </w:p>
        </w:tc>
        <w:tc>
          <w:tcPr>
            <w:tcW w:w="2176" w:type="dxa"/>
            <w:tcBorders>
              <w:top w:val="single" w:color="000000" w:sz="4" w:space="0"/>
              <w:left w:val="single" w:color="auto" w:sz="4" w:space="0"/>
              <w:bottom w:val="single" w:color="000000" w:sz="4" w:space="0"/>
              <w:right w:val="single" w:color="000000" w:sz="4" w:space="0"/>
            </w:tcBorders>
            <w:vAlign w:val="center"/>
          </w:tcPr>
          <w:p w14:paraId="46F31660">
            <w:pPr>
              <w:widowControl w:val="0"/>
              <w:spacing w:line="500" w:lineRule="exact"/>
              <w:jc w:val="center"/>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eastAsia="zh-CN"/>
              </w:rPr>
              <w:t>服务期限</w:t>
            </w:r>
          </w:p>
        </w:tc>
        <w:tc>
          <w:tcPr>
            <w:tcW w:w="6266" w:type="dxa"/>
            <w:tcBorders>
              <w:top w:val="single" w:color="000000" w:sz="4" w:space="0"/>
              <w:left w:val="nil"/>
              <w:bottom w:val="single" w:color="000000" w:sz="4" w:space="0"/>
              <w:right w:val="single" w:color="000000" w:sz="4" w:space="0"/>
            </w:tcBorders>
            <w:vAlign w:val="center"/>
          </w:tcPr>
          <w:p w14:paraId="22A0DEDB">
            <w:pPr>
              <w:widowControl w:val="0"/>
              <w:spacing w:line="500" w:lineRule="exact"/>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符合磋商文件要求</w:t>
            </w:r>
          </w:p>
        </w:tc>
      </w:tr>
      <w:tr w14:paraId="7F273B06">
        <w:tblPrEx>
          <w:tblCellMar>
            <w:top w:w="0" w:type="dxa"/>
            <w:left w:w="108" w:type="dxa"/>
            <w:bottom w:w="0" w:type="dxa"/>
            <w:right w:w="108" w:type="dxa"/>
          </w:tblCellMar>
        </w:tblPrEx>
        <w:trPr>
          <w:trHeight w:val="613" w:hRule="atLeast"/>
          <w:jc w:val="center"/>
        </w:trPr>
        <w:tc>
          <w:tcPr>
            <w:tcW w:w="1202" w:type="dxa"/>
            <w:vMerge w:val="continue"/>
            <w:tcBorders>
              <w:left w:val="single" w:color="auto" w:sz="4" w:space="0"/>
              <w:right w:val="single" w:color="auto" w:sz="4" w:space="0"/>
            </w:tcBorders>
            <w:vAlign w:val="center"/>
          </w:tcPr>
          <w:p w14:paraId="6BDCB276">
            <w:pPr>
              <w:jc w:val="both"/>
              <w:rPr>
                <w:rFonts w:ascii="宋体" w:hAnsi="宋体" w:eastAsia="宋体"/>
                <w:color w:val="auto"/>
                <w:sz w:val="24"/>
                <w:szCs w:val="24"/>
                <w:highlight w:val="none"/>
              </w:rPr>
            </w:pPr>
          </w:p>
        </w:tc>
        <w:tc>
          <w:tcPr>
            <w:tcW w:w="2176" w:type="dxa"/>
            <w:tcBorders>
              <w:top w:val="single" w:color="000000" w:sz="4" w:space="0"/>
              <w:left w:val="single" w:color="auto" w:sz="4" w:space="0"/>
              <w:bottom w:val="single" w:color="000000" w:sz="4" w:space="0"/>
              <w:right w:val="single" w:color="000000" w:sz="4" w:space="0"/>
            </w:tcBorders>
            <w:vAlign w:val="center"/>
          </w:tcPr>
          <w:p w14:paraId="792B655C">
            <w:pPr>
              <w:widowControl w:val="0"/>
              <w:spacing w:line="500" w:lineRule="exact"/>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质量要求</w:t>
            </w:r>
          </w:p>
        </w:tc>
        <w:tc>
          <w:tcPr>
            <w:tcW w:w="6266" w:type="dxa"/>
            <w:tcBorders>
              <w:top w:val="single" w:color="000000" w:sz="4" w:space="0"/>
              <w:left w:val="nil"/>
              <w:bottom w:val="single" w:color="000000" w:sz="4" w:space="0"/>
              <w:right w:val="single" w:color="000000" w:sz="4" w:space="0"/>
            </w:tcBorders>
            <w:vAlign w:val="center"/>
          </w:tcPr>
          <w:p w14:paraId="047BCB9D">
            <w:pPr>
              <w:widowControl w:val="0"/>
              <w:spacing w:line="500" w:lineRule="exact"/>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符合磋商文件要求</w:t>
            </w:r>
          </w:p>
        </w:tc>
      </w:tr>
      <w:tr w14:paraId="1331E1B1">
        <w:tblPrEx>
          <w:tblCellMar>
            <w:top w:w="0" w:type="dxa"/>
            <w:left w:w="108" w:type="dxa"/>
            <w:bottom w:w="0" w:type="dxa"/>
            <w:right w:w="108" w:type="dxa"/>
          </w:tblCellMar>
        </w:tblPrEx>
        <w:trPr>
          <w:trHeight w:val="613" w:hRule="atLeast"/>
          <w:jc w:val="center"/>
        </w:trPr>
        <w:tc>
          <w:tcPr>
            <w:tcW w:w="1202" w:type="dxa"/>
            <w:vMerge w:val="continue"/>
            <w:tcBorders>
              <w:left w:val="single" w:color="auto" w:sz="4" w:space="0"/>
              <w:right w:val="single" w:color="auto" w:sz="4" w:space="0"/>
            </w:tcBorders>
            <w:vAlign w:val="center"/>
          </w:tcPr>
          <w:p w14:paraId="183998CD">
            <w:pPr>
              <w:jc w:val="both"/>
              <w:rPr>
                <w:rFonts w:ascii="宋体" w:hAnsi="宋体" w:eastAsia="宋体"/>
                <w:color w:val="auto"/>
                <w:sz w:val="24"/>
                <w:szCs w:val="24"/>
                <w:highlight w:val="none"/>
              </w:rPr>
            </w:pPr>
          </w:p>
        </w:tc>
        <w:tc>
          <w:tcPr>
            <w:tcW w:w="2176" w:type="dxa"/>
            <w:tcBorders>
              <w:top w:val="single" w:color="000000" w:sz="4" w:space="0"/>
              <w:left w:val="single" w:color="auto" w:sz="4" w:space="0"/>
              <w:bottom w:val="single" w:color="000000" w:sz="4" w:space="0"/>
              <w:right w:val="single" w:color="000000" w:sz="4" w:space="0"/>
            </w:tcBorders>
            <w:vAlign w:val="center"/>
          </w:tcPr>
          <w:p w14:paraId="2D49A69D">
            <w:pPr>
              <w:widowControl w:val="0"/>
              <w:spacing w:line="500" w:lineRule="exact"/>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磋商有效期</w:t>
            </w:r>
          </w:p>
        </w:tc>
        <w:tc>
          <w:tcPr>
            <w:tcW w:w="6266" w:type="dxa"/>
            <w:tcBorders>
              <w:top w:val="single" w:color="000000" w:sz="4" w:space="0"/>
              <w:left w:val="nil"/>
              <w:bottom w:val="single" w:color="000000" w:sz="4" w:space="0"/>
              <w:right w:val="single" w:color="000000" w:sz="4" w:space="0"/>
            </w:tcBorders>
            <w:vAlign w:val="center"/>
          </w:tcPr>
          <w:p w14:paraId="2DAF8B06">
            <w:pPr>
              <w:widowControl w:val="0"/>
              <w:spacing w:line="500" w:lineRule="exact"/>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符合磋商文件要求</w:t>
            </w:r>
          </w:p>
        </w:tc>
      </w:tr>
      <w:tr w14:paraId="7AAC980B">
        <w:tblPrEx>
          <w:tblCellMar>
            <w:top w:w="0" w:type="dxa"/>
            <w:left w:w="108" w:type="dxa"/>
            <w:bottom w:w="0" w:type="dxa"/>
            <w:right w:w="108" w:type="dxa"/>
          </w:tblCellMar>
        </w:tblPrEx>
        <w:trPr>
          <w:trHeight w:val="621" w:hRule="atLeast"/>
          <w:jc w:val="center"/>
        </w:trPr>
        <w:tc>
          <w:tcPr>
            <w:tcW w:w="1202" w:type="dxa"/>
            <w:vMerge w:val="continue"/>
            <w:tcBorders>
              <w:left w:val="single" w:color="auto" w:sz="4" w:space="0"/>
              <w:bottom w:val="single" w:color="auto" w:sz="4" w:space="0"/>
              <w:right w:val="single" w:color="auto" w:sz="4" w:space="0"/>
            </w:tcBorders>
            <w:vAlign w:val="center"/>
          </w:tcPr>
          <w:p w14:paraId="4259359C">
            <w:pPr>
              <w:jc w:val="both"/>
              <w:rPr>
                <w:rFonts w:ascii="宋体" w:hAnsi="宋体" w:eastAsia="宋体"/>
                <w:color w:val="auto"/>
                <w:sz w:val="24"/>
                <w:szCs w:val="24"/>
                <w:highlight w:val="none"/>
              </w:rPr>
            </w:pPr>
          </w:p>
        </w:tc>
        <w:tc>
          <w:tcPr>
            <w:tcW w:w="2176" w:type="dxa"/>
            <w:tcBorders>
              <w:top w:val="single" w:color="000000" w:sz="4" w:space="0"/>
              <w:left w:val="single" w:color="auto" w:sz="4" w:space="0"/>
              <w:bottom w:val="single" w:color="000000" w:sz="4" w:space="0"/>
              <w:right w:val="single" w:color="000000" w:sz="4" w:space="0"/>
            </w:tcBorders>
            <w:vAlign w:val="center"/>
          </w:tcPr>
          <w:p w14:paraId="311F3C33">
            <w:pPr>
              <w:widowControl w:val="0"/>
              <w:spacing w:line="500" w:lineRule="exact"/>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磋商报价</w:t>
            </w:r>
          </w:p>
        </w:tc>
        <w:tc>
          <w:tcPr>
            <w:tcW w:w="6266" w:type="dxa"/>
            <w:tcBorders>
              <w:top w:val="single" w:color="000000" w:sz="4" w:space="0"/>
              <w:left w:val="nil"/>
              <w:bottom w:val="single" w:color="000000" w:sz="4" w:space="0"/>
              <w:right w:val="single" w:color="000000" w:sz="4" w:space="0"/>
            </w:tcBorders>
            <w:vAlign w:val="center"/>
          </w:tcPr>
          <w:p w14:paraId="11DBCA4C">
            <w:pPr>
              <w:widowControl w:val="0"/>
              <w:spacing w:line="500" w:lineRule="exact"/>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磋商供应商的报价不能超出磋商预算价</w:t>
            </w:r>
          </w:p>
        </w:tc>
      </w:tr>
    </w:tbl>
    <w:p w14:paraId="6BA3834F">
      <w:pPr>
        <w:rPr>
          <w:rFonts w:ascii="Times New Roman" w:hAnsi="Times New Roman" w:eastAsia="宋体"/>
          <w:vanish/>
          <w:color w:val="auto"/>
          <w:szCs w:val="20"/>
          <w:highlight w:val="none"/>
        </w:rPr>
      </w:pPr>
    </w:p>
    <w:p w14:paraId="6256D627">
      <w:pPr>
        <w:spacing w:beforeAutospacing="0" w:afterAutospacing="0" w:line="360" w:lineRule="auto"/>
        <w:ind w:firstLine="562" w:firstLineChars="200"/>
        <w:jc w:val="center"/>
        <w:rPr>
          <w:rFonts w:ascii="宋体" w:hAnsi="宋体" w:eastAsia="宋体"/>
          <w:b/>
          <w:bCs/>
          <w:color w:val="auto"/>
          <w:sz w:val="28"/>
          <w:szCs w:val="28"/>
          <w:highlight w:val="none"/>
        </w:rPr>
      </w:pPr>
    </w:p>
    <w:p w14:paraId="192A2DFE">
      <w:pPr>
        <w:spacing w:line="600" w:lineRule="exact"/>
        <w:ind w:firstLine="562" w:firstLineChars="200"/>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4.评分标准</w:t>
      </w:r>
    </w:p>
    <w:p w14:paraId="3B610A95">
      <w:pPr>
        <w:spacing w:line="6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4.1政策落实</w:t>
      </w:r>
    </w:p>
    <w:p w14:paraId="218D81A5">
      <w:pPr>
        <w:spacing w:line="6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价格扣除：本项目非专门面向中小企业、监狱企业及残疾人福利性单位采购项目。财政部关于进一步加大政府采购支持中小企业力度的通知(财库〔2022〕19号)、《政府采购促进中小企业发展管理办法》（财库﹝2020﹞46号）、财政部、司法部关于政府采购支持监狱企业发展有关问题的通知（财库[2014]68号）、《三部门联合发布关于促进残疾人就业政府采购政策的通知》（财库[2017]141号）的要求，对小型、微型企业、监狱企业及残疾人福利性单位的价格给予20%的扣除，用扣除后的价格参与评审，本项目的扣除比例为：小型企业扣除20%，微型企业扣除20%，监狱企业扣除20%，残疾人福利性单位扣除20%。监狱企业和残疾人福利性单位属于小型、微型企业的，不重复享受政策。</w:t>
      </w:r>
    </w:p>
    <w:p w14:paraId="7603CAE4">
      <w:pPr>
        <w:wordWrap w:val="0"/>
        <w:spacing w:beforeAutospacing="0" w:afterAutospacing="0" w:line="6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w:t>
      </w:r>
      <w:r>
        <w:rPr>
          <w:rFonts w:hint="eastAsia" w:ascii="宋体" w:hAnsi="宋体" w:eastAsia="宋体" w:cs="宋体"/>
          <w:color w:val="auto"/>
          <w:sz w:val="24"/>
          <w:szCs w:val="24"/>
          <w:highlight w:val="none"/>
          <w:lang w:val="en-US" w:eastAsia="zh-CN"/>
        </w:rPr>
        <w:t>参加政府采购活动的中小企业应当提供《中小企业声明函》；监狱企业应当提供由省级以上监狱管理局、戒毒管理局（含新疆生产建设兵团）出具的属于监狱企业的证明文件；残疾人福利性单位应当提供《残疾人福利性单位声明函》。</w:t>
      </w:r>
    </w:p>
    <w:p w14:paraId="49DF4EE7">
      <w:pPr>
        <w:wordWrap w:val="0"/>
        <w:spacing w:beforeAutospacing="0" w:afterAutospacing="0" w:line="600" w:lineRule="exact"/>
        <w:ind w:firstLine="480" w:firstLineChars="200"/>
        <w:rPr>
          <w:rFonts w:hint="eastAsia" w:ascii="宋体" w:hAnsi="宋体"/>
          <w:bCs/>
          <w:color w:val="auto"/>
          <w:kern w:val="0"/>
          <w:sz w:val="24"/>
          <w:szCs w:val="28"/>
          <w:highlight w:val="none"/>
          <w:lang w:val="en-US" w:eastAsia="zh-CN"/>
        </w:rPr>
      </w:pPr>
      <w:r>
        <w:rPr>
          <w:rFonts w:hint="eastAsia" w:ascii="宋体" w:hAnsi="宋体"/>
          <w:bCs/>
          <w:color w:val="auto"/>
          <w:kern w:val="0"/>
          <w:sz w:val="24"/>
          <w:szCs w:val="28"/>
          <w:highlight w:val="none"/>
          <w:lang w:val="en-US" w:eastAsia="zh-CN"/>
        </w:rPr>
        <w:t>4.2</w:t>
      </w:r>
      <w:r>
        <w:rPr>
          <w:rFonts w:hint="eastAsia" w:ascii="宋体" w:hAnsi="宋体" w:eastAsia="宋体"/>
          <w:bCs/>
          <w:color w:val="auto"/>
          <w:kern w:val="0"/>
          <w:sz w:val="24"/>
          <w:szCs w:val="28"/>
          <w:highlight w:val="none"/>
        </w:rPr>
        <w:t>满足</w:t>
      </w:r>
      <w:r>
        <w:rPr>
          <w:rFonts w:hint="eastAsia" w:ascii="宋体" w:hAnsi="宋体"/>
          <w:bCs/>
          <w:color w:val="auto"/>
          <w:kern w:val="0"/>
          <w:sz w:val="24"/>
          <w:szCs w:val="28"/>
          <w:highlight w:val="none"/>
          <w:lang w:eastAsia="zh-CN"/>
        </w:rPr>
        <w:t>磋商</w:t>
      </w:r>
      <w:r>
        <w:rPr>
          <w:rFonts w:hint="eastAsia" w:ascii="宋体" w:hAnsi="宋体" w:eastAsia="宋体"/>
          <w:bCs/>
          <w:color w:val="auto"/>
          <w:kern w:val="0"/>
          <w:sz w:val="24"/>
          <w:szCs w:val="28"/>
          <w:highlight w:val="none"/>
        </w:rPr>
        <w:t>文件要求且</w:t>
      </w:r>
      <w:r>
        <w:rPr>
          <w:rFonts w:hint="eastAsia" w:ascii="宋体" w:hAnsi="宋体" w:eastAsia="宋体"/>
          <w:bCs/>
          <w:color w:val="auto"/>
          <w:kern w:val="0"/>
          <w:sz w:val="24"/>
          <w:szCs w:val="28"/>
          <w:highlight w:val="none"/>
          <w:lang w:val="en-US" w:eastAsia="zh-CN"/>
        </w:rPr>
        <w:t>单价</w:t>
      </w:r>
      <w:r>
        <w:rPr>
          <w:rFonts w:hint="eastAsia" w:ascii="宋体" w:hAnsi="宋体" w:eastAsia="宋体"/>
          <w:bCs/>
          <w:color w:val="auto"/>
          <w:kern w:val="0"/>
          <w:sz w:val="24"/>
          <w:szCs w:val="28"/>
          <w:highlight w:val="none"/>
        </w:rPr>
        <w:t>价格最低的报价（含小微企业评标价）为评标基准价，其价格分为满分（即</w:t>
      </w:r>
      <w:r>
        <w:rPr>
          <w:rFonts w:hint="eastAsia" w:ascii="宋体" w:hAnsi="宋体"/>
          <w:bCs/>
          <w:color w:val="auto"/>
          <w:kern w:val="0"/>
          <w:sz w:val="24"/>
          <w:szCs w:val="28"/>
          <w:highlight w:val="none"/>
          <w:lang w:val="en-US" w:eastAsia="zh-CN"/>
        </w:rPr>
        <w:t>20</w:t>
      </w:r>
      <w:r>
        <w:rPr>
          <w:rFonts w:hint="eastAsia" w:ascii="宋体" w:hAnsi="宋体" w:eastAsia="宋体"/>
          <w:bCs/>
          <w:color w:val="auto"/>
          <w:kern w:val="0"/>
          <w:sz w:val="24"/>
          <w:szCs w:val="28"/>
          <w:highlight w:val="none"/>
        </w:rPr>
        <w:t>分）。其他投标人的价格分统一按照下列公式计算：报价得分=(评标基准价／报价)×价格权值（</w:t>
      </w:r>
      <w:r>
        <w:rPr>
          <w:rFonts w:hint="eastAsia" w:ascii="宋体" w:hAnsi="宋体"/>
          <w:bCs/>
          <w:color w:val="auto"/>
          <w:kern w:val="0"/>
          <w:sz w:val="24"/>
          <w:szCs w:val="28"/>
          <w:highlight w:val="none"/>
          <w:lang w:val="en-US" w:eastAsia="zh-CN"/>
        </w:rPr>
        <w:t>20</w:t>
      </w:r>
      <w:r>
        <w:rPr>
          <w:rFonts w:hint="eastAsia" w:ascii="宋体" w:hAnsi="宋体" w:eastAsia="宋体"/>
          <w:bCs/>
          <w:color w:val="auto"/>
          <w:kern w:val="0"/>
          <w:sz w:val="24"/>
          <w:szCs w:val="28"/>
          <w:highlight w:val="none"/>
        </w:rPr>
        <w:t>分）</w:t>
      </w:r>
    </w:p>
    <w:p w14:paraId="3ADA61FF">
      <w:pPr>
        <w:wordWrap w:val="0"/>
        <w:spacing w:beforeAutospacing="0" w:afterAutospacing="0" w:line="600" w:lineRule="exact"/>
        <w:ind w:firstLine="480" w:firstLineChars="200"/>
        <w:rPr>
          <w:rFonts w:ascii="宋体" w:hAnsi="宋体" w:eastAsia="宋体"/>
          <w:bCs/>
          <w:color w:val="auto"/>
          <w:kern w:val="0"/>
          <w:sz w:val="24"/>
          <w:szCs w:val="28"/>
          <w:highlight w:val="none"/>
        </w:rPr>
      </w:pPr>
      <w:r>
        <w:rPr>
          <w:rFonts w:hint="eastAsia" w:ascii="宋体" w:hAnsi="宋体"/>
          <w:bCs/>
          <w:color w:val="auto"/>
          <w:kern w:val="0"/>
          <w:sz w:val="24"/>
          <w:szCs w:val="28"/>
          <w:highlight w:val="none"/>
          <w:lang w:val="en-US" w:eastAsia="zh-CN"/>
        </w:rPr>
        <w:t>4.3</w:t>
      </w:r>
      <w:r>
        <w:rPr>
          <w:rFonts w:ascii="宋体" w:hAnsi="宋体" w:eastAsia="宋体"/>
          <w:bCs/>
          <w:color w:val="auto"/>
          <w:kern w:val="0"/>
          <w:sz w:val="24"/>
          <w:szCs w:val="28"/>
          <w:highlight w:val="none"/>
        </w:rPr>
        <w:t>本次招标采用综合评分法评标，评标因素和所占权重为：</w:t>
      </w:r>
    </w:p>
    <w:tbl>
      <w:tblPr>
        <w:tblStyle w:val="1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
      <w:tblGrid>
        <w:gridCol w:w="1292"/>
        <w:gridCol w:w="1741"/>
        <w:gridCol w:w="5772"/>
        <w:gridCol w:w="951"/>
      </w:tblGrid>
      <w:tr w14:paraId="75127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jc w:val="center"/>
        </w:trPr>
        <w:tc>
          <w:tcPr>
            <w:tcW w:w="1292" w:type="dxa"/>
            <w:shd w:val="clear" w:color="auto" w:fill="FFFFFF"/>
            <w:vAlign w:val="center"/>
          </w:tcPr>
          <w:p w14:paraId="3AB11A58">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评分</w:t>
            </w:r>
          </w:p>
          <w:p w14:paraId="3145023C">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因素</w:t>
            </w:r>
          </w:p>
        </w:tc>
        <w:tc>
          <w:tcPr>
            <w:tcW w:w="1741" w:type="dxa"/>
            <w:shd w:val="clear" w:color="auto" w:fill="FFFFFF"/>
            <w:vAlign w:val="center"/>
          </w:tcPr>
          <w:p w14:paraId="1DB4A86A">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评分内容</w:t>
            </w:r>
          </w:p>
        </w:tc>
        <w:tc>
          <w:tcPr>
            <w:tcW w:w="5772" w:type="dxa"/>
            <w:shd w:val="clear" w:color="auto" w:fill="FFFFFF"/>
            <w:vAlign w:val="center"/>
          </w:tcPr>
          <w:p w14:paraId="3FC7A878">
            <w:pPr>
              <w:keepNext w:val="0"/>
              <w:keepLines w:val="0"/>
              <w:pageBreakBefore w:val="0"/>
              <w:widowControl w:val="0"/>
              <w:kinsoku/>
              <w:wordWrap/>
              <w:overflowPunct/>
              <w:topLinePunct w:val="0"/>
              <w:autoSpaceDE/>
              <w:autoSpaceDN/>
              <w:bidi w:val="0"/>
              <w:adjustRightInd/>
              <w:snapToGrid/>
              <w:spacing w:beforeAutospacing="0" w:afterAutospacing="0" w:line="420" w:lineRule="exact"/>
              <w:jc w:val="center"/>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评分标准</w:t>
            </w:r>
          </w:p>
        </w:tc>
        <w:tc>
          <w:tcPr>
            <w:tcW w:w="951" w:type="dxa"/>
            <w:shd w:val="clear" w:color="auto" w:fill="FFFFFF"/>
            <w:vAlign w:val="center"/>
          </w:tcPr>
          <w:p w14:paraId="5AFE3B61">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分值</w:t>
            </w:r>
          </w:p>
        </w:tc>
      </w:tr>
      <w:tr w14:paraId="70E97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385" w:hRule="atLeast"/>
          <w:jc w:val="center"/>
        </w:trPr>
        <w:tc>
          <w:tcPr>
            <w:tcW w:w="1292" w:type="dxa"/>
            <w:shd w:val="clear" w:color="auto" w:fill="FFFFFF"/>
            <w:vAlign w:val="center"/>
          </w:tcPr>
          <w:p w14:paraId="31788AE6">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报价</w:t>
            </w:r>
          </w:p>
          <w:p w14:paraId="4F30EA89">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w:t>
            </w:r>
            <w:r>
              <w:rPr>
                <w:rFonts w:hint="eastAsia" w:ascii="宋体" w:hAnsi="宋体"/>
                <w:bCs/>
                <w:color w:val="auto"/>
                <w:kern w:val="0"/>
                <w:sz w:val="24"/>
                <w:szCs w:val="24"/>
                <w:highlight w:val="none"/>
                <w:lang w:val="en-US" w:eastAsia="zh-CN"/>
              </w:rPr>
              <w:t>20</w:t>
            </w:r>
            <w:r>
              <w:rPr>
                <w:rFonts w:hint="eastAsia" w:ascii="宋体" w:hAnsi="宋体" w:eastAsia="宋体"/>
                <w:bCs/>
                <w:color w:val="auto"/>
                <w:kern w:val="0"/>
                <w:sz w:val="24"/>
                <w:szCs w:val="24"/>
                <w:highlight w:val="none"/>
              </w:rPr>
              <w:t>分)</w:t>
            </w:r>
          </w:p>
        </w:tc>
        <w:tc>
          <w:tcPr>
            <w:tcW w:w="1741" w:type="dxa"/>
            <w:shd w:val="clear" w:color="auto" w:fill="FFFFFF"/>
            <w:vAlign w:val="center"/>
          </w:tcPr>
          <w:p w14:paraId="32841E9C">
            <w:pPr>
              <w:jc w:val="center"/>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磋商报价的评审（</w:t>
            </w:r>
            <w:r>
              <w:rPr>
                <w:rFonts w:hint="eastAsia" w:ascii="宋体" w:hAnsi="宋体" w:eastAsia="宋体"/>
                <w:bCs/>
                <w:color w:val="auto"/>
                <w:kern w:val="0"/>
                <w:sz w:val="24"/>
                <w:szCs w:val="24"/>
                <w:highlight w:val="none"/>
                <w:lang w:val="en-US" w:eastAsia="zh-CN"/>
              </w:rPr>
              <w:t>2</w:t>
            </w:r>
            <w:r>
              <w:rPr>
                <w:rFonts w:hint="eastAsia" w:ascii="宋体" w:hAnsi="宋体" w:eastAsia="宋体"/>
                <w:bCs/>
                <w:color w:val="auto"/>
                <w:kern w:val="0"/>
                <w:sz w:val="24"/>
                <w:szCs w:val="24"/>
                <w:highlight w:val="none"/>
              </w:rPr>
              <w:t>0分）</w:t>
            </w:r>
          </w:p>
        </w:tc>
        <w:tc>
          <w:tcPr>
            <w:tcW w:w="5772" w:type="dxa"/>
            <w:shd w:val="clear" w:color="auto" w:fill="FFFFFF"/>
            <w:vAlign w:val="center"/>
          </w:tcPr>
          <w:p w14:paraId="1350290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1、价格分采用低价优先法计算，即通过资格性和初步审查且第二轮投标价格最低的投标报价为评标基准价，其价格得分为满分</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en-US" w:eastAsia="zh-CN"/>
              </w:rPr>
              <w:t>分。</w:t>
            </w:r>
          </w:p>
          <w:p w14:paraId="015E301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其他投标供应商的价格分统一按照下列公式计算：</w:t>
            </w:r>
          </w:p>
          <w:p w14:paraId="6E4DB884">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磋商</w:t>
            </w:r>
            <w:r>
              <w:rPr>
                <w:rFonts w:hint="eastAsia" w:ascii="宋体" w:hAnsi="宋体" w:eastAsia="宋体" w:cs="宋体"/>
                <w:color w:val="auto"/>
                <w:sz w:val="24"/>
                <w:szCs w:val="24"/>
                <w:highlight w:val="none"/>
                <w:lang w:val="en-US" w:eastAsia="zh-CN"/>
              </w:rPr>
              <w:t>报价得分＝（评标基准价/投标报价）×</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en-US" w:eastAsia="zh-CN"/>
              </w:rPr>
              <w:t>×100％</w:t>
            </w:r>
          </w:p>
          <w:p w14:paraId="0EABC67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磋商小组认为响应人的报价明显低于其他通过符合性审查响应人的报价，有可能影响产品质量或者不能诚信履约的，应当要求其在评标现场合理的时间内提供书面说明，必要时提交相关证明材料；响应人不能证明其报价合理性的，磋商小组应当将其作为无效投标处理。</w:t>
            </w:r>
          </w:p>
          <w:p w14:paraId="7594E7E0">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3、超出采购人预算价的响应报价为无效报价。</w:t>
            </w:r>
          </w:p>
          <w:p w14:paraId="1D7D168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cs="宋体"/>
                <w:color w:val="auto"/>
                <w:sz w:val="24"/>
                <w:szCs w:val="24"/>
                <w:highlight w:val="none"/>
                <w:lang w:val="en-US" w:eastAsia="zh-CN"/>
              </w:rPr>
              <w:t>注：价格分计算保留小数点后二位。</w:t>
            </w:r>
          </w:p>
        </w:tc>
        <w:tc>
          <w:tcPr>
            <w:tcW w:w="951" w:type="dxa"/>
            <w:shd w:val="clear" w:color="auto" w:fill="FFFFFF"/>
            <w:vAlign w:val="center"/>
          </w:tcPr>
          <w:p w14:paraId="2FDE02B3">
            <w:pPr>
              <w:keepNext w:val="0"/>
              <w:keepLines w:val="0"/>
              <w:pageBreakBefore w:val="0"/>
              <w:kinsoku/>
              <w:overflowPunct/>
              <w:topLinePunct w:val="0"/>
              <w:bidi w:val="0"/>
              <w:spacing w:beforeAutospacing="0" w:afterAutospacing="0" w:line="240" w:lineRule="auto"/>
              <w:jc w:val="center"/>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0-</w:t>
            </w:r>
            <w:r>
              <w:rPr>
                <w:rFonts w:hint="eastAsia" w:ascii="宋体" w:hAnsi="宋体"/>
                <w:bCs/>
                <w:color w:val="auto"/>
                <w:kern w:val="0"/>
                <w:sz w:val="24"/>
                <w:szCs w:val="24"/>
                <w:highlight w:val="none"/>
                <w:lang w:val="en-US" w:eastAsia="zh-CN"/>
              </w:rPr>
              <w:t>20</w:t>
            </w:r>
            <w:r>
              <w:rPr>
                <w:rFonts w:hint="eastAsia" w:ascii="宋体" w:hAnsi="宋体" w:eastAsia="宋体"/>
                <w:bCs/>
                <w:color w:val="auto"/>
                <w:kern w:val="0"/>
                <w:sz w:val="24"/>
                <w:szCs w:val="24"/>
                <w:highlight w:val="none"/>
              </w:rPr>
              <w:t>分</w:t>
            </w:r>
          </w:p>
        </w:tc>
      </w:tr>
      <w:tr w14:paraId="0A03B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385" w:hRule="atLeast"/>
          <w:jc w:val="center"/>
        </w:trPr>
        <w:tc>
          <w:tcPr>
            <w:tcW w:w="1292" w:type="dxa"/>
            <w:vMerge w:val="restart"/>
            <w:shd w:val="clear" w:color="auto" w:fill="FFFFFF"/>
            <w:vAlign w:val="center"/>
          </w:tcPr>
          <w:p w14:paraId="639E5D64">
            <w:pPr>
              <w:jc w:val="center"/>
              <w:rPr>
                <w:rFonts w:hint="eastAsia"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rPr>
              <w:t>技术</w:t>
            </w:r>
            <w:r>
              <w:rPr>
                <w:rFonts w:hint="eastAsia" w:ascii="宋体" w:hAnsi="宋体"/>
                <w:bCs/>
                <w:color w:val="auto"/>
                <w:kern w:val="0"/>
                <w:sz w:val="24"/>
                <w:szCs w:val="24"/>
                <w:highlight w:val="none"/>
                <w:lang w:val="en-US" w:eastAsia="zh-CN"/>
              </w:rPr>
              <w:t>部分</w:t>
            </w:r>
            <w:r>
              <w:rPr>
                <w:rFonts w:ascii="宋体" w:hAnsi="宋体"/>
                <w:bCs/>
                <w:color w:val="auto"/>
                <w:kern w:val="0"/>
                <w:sz w:val="24"/>
                <w:szCs w:val="24"/>
                <w:highlight w:val="none"/>
              </w:rPr>
              <w:br w:type="textWrapping"/>
            </w:r>
            <w:r>
              <w:rPr>
                <w:rFonts w:hint="eastAsia" w:ascii="宋体" w:hAnsi="宋体"/>
                <w:bCs/>
                <w:color w:val="auto"/>
                <w:kern w:val="0"/>
                <w:sz w:val="24"/>
                <w:szCs w:val="24"/>
                <w:highlight w:val="none"/>
              </w:rPr>
              <w:t>（4</w:t>
            </w:r>
            <w:r>
              <w:rPr>
                <w:rFonts w:hint="eastAsia" w:ascii="宋体" w:hAnsi="宋体"/>
                <w:bCs/>
                <w:color w:val="auto"/>
                <w:kern w:val="0"/>
                <w:sz w:val="24"/>
                <w:szCs w:val="24"/>
                <w:highlight w:val="none"/>
                <w:lang w:val="en-US" w:eastAsia="zh-CN"/>
              </w:rPr>
              <w:t>5</w:t>
            </w:r>
            <w:r>
              <w:rPr>
                <w:rFonts w:hint="eastAsia" w:ascii="宋体" w:hAnsi="宋体"/>
                <w:bCs/>
                <w:color w:val="auto"/>
                <w:kern w:val="0"/>
                <w:sz w:val="24"/>
                <w:szCs w:val="24"/>
                <w:highlight w:val="none"/>
              </w:rPr>
              <w:t>分）</w:t>
            </w:r>
          </w:p>
        </w:tc>
        <w:tc>
          <w:tcPr>
            <w:tcW w:w="1741" w:type="dxa"/>
            <w:shd w:val="clear" w:color="auto" w:fill="FFFFFF"/>
            <w:vAlign w:val="center"/>
          </w:tcPr>
          <w:p w14:paraId="2B7CF77B">
            <w:pPr>
              <w:jc w:val="center"/>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rPr>
              <w:t>服务方案</w:t>
            </w:r>
            <w:r>
              <w:rPr>
                <w:rFonts w:hint="eastAsia" w:ascii="宋体" w:hAnsi="宋体" w:eastAsia="宋体"/>
                <w:bCs/>
                <w:color w:val="auto"/>
                <w:kern w:val="0"/>
                <w:sz w:val="24"/>
                <w:szCs w:val="24"/>
                <w:highlight w:val="none"/>
              </w:rPr>
              <w:br w:type="textWrapping"/>
            </w:r>
            <w:r>
              <w:rPr>
                <w:rFonts w:hint="eastAsia" w:ascii="宋体" w:hAnsi="宋体" w:eastAsia="宋体"/>
                <w:bCs/>
                <w:color w:val="auto"/>
                <w:kern w:val="0"/>
                <w:sz w:val="24"/>
                <w:szCs w:val="24"/>
                <w:highlight w:val="none"/>
              </w:rPr>
              <w:t>（</w:t>
            </w:r>
            <w:r>
              <w:rPr>
                <w:rFonts w:hint="eastAsia" w:ascii="宋体" w:hAnsi="宋体" w:eastAsia="宋体"/>
                <w:bCs/>
                <w:color w:val="auto"/>
                <w:kern w:val="0"/>
                <w:sz w:val="24"/>
                <w:szCs w:val="24"/>
                <w:highlight w:val="none"/>
                <w:lang w:val="en-US" w:eastAsia="zh-CN"/>
              </w:rPr>
              <w:t>15</w:t>
            </w:r>
            <w:r>
              <w:rPr>
                <w:rFonts w:hint="eastAsia" w:ascii="宋体" w:hAnsi="宋体" w:eastAsia="宋体"/>
                <w:bCs/>
                <w:color w:val="auto"/>
                <w:kern w:val="0"/>
                <w:sz w:val="24"/>
                <w:szCs w:val="24"/>
                <w:highlight w:val="none"/>
              </w:rPr>
              <w:t>分）</w:t>
            </w:r>
          </w:p>
        </w:tc>
        <w:tc>
          <w:tcPr>
            <w:tcW w:w="5772" w:type="dxa"/>
            <w:shd w:val="clear" w:color="auto" w:fill="FFFFFF"/>
            <w:vAlign w:val="center"/>
          </w:tcPr>
          <w:p w14:paraId="3BB250D1">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rPr>
              <w:t>根据本项目采购需求，</w:t>
            </w:r>
            <w:r>
              <w:rPr>
                <w:rFonts w:hint="eastAsia" w:ascii="宋体" w:hAnsi="宋体" w:eastAsia="宋体"/>
                <w:bCs/>
                <w:color w:val="auto"/>
                <w:kern w:val="0"/>
                <w:sz w:val="24"/>
                <w:szCs w:val="24"/>
                <w:highlight w:val="none"/>
                <w:lang w:val="en-US" w:eastAsia="zh-CN"/>
              </w:rPr>
              <w:t>从工作方法、技术路线、实施流程等方面制定服务方案:</w:t>
            </w:r>
          </w:p>
          <w:p w14:paraId="259883B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lang w:val="en-US" w:eastAsia="zh-CN"/>
              </w:rPr>
              <w:t>1.</w:t>
            </w:r>
            <w:r>
              <w:rPr>
                <w:rFonts w:hint="eastAsia" w:ascii="宋体" w:hAnsi="宋体" w:eastAsia="宋体"/>
                <w:bCs/>
                <w:color w:val="auto"/>
                <w:kern w:val="0"/>
                <w:sz w:val="24"/>
                <w:szCs w:val="24"/>
                <w:highlight w:val="none"/>
              </w:rPr>
              <w:t>方案完全符合要求，思路非常清晰完整，阐述详实具体，能够准确认识本项目工作的重点、难点，并进行分析，提出解决方案，方案内容全面清晰，具有很强的科学性，合理性和针对性的得</w:t>
            </w:r>
            <w:r>
              <w:rPr>
                <w:rFonts w:hint="eastAsia" w:ascii="宋体" w:hAnsi="宋体"/>
                <w:bCs/>
                <w:color w:val="auto"/>
                <w:kern w:val="0"/>
                <w:sz w:val="24"/>
                <w:szCs w:val="24"/>
                <w:highlight w:val="none"/>
                <w:lang w:val="en-US" w:eastAsia="zh-CN"/>
              </w:rPr>
              <w:t>15</w:t>
            </w:r>
            <w:r>
              <w:rPr>
                <w:rFonts w:hint="eastAsia" w:ascii="宋体" w:hAnsi="宋体" w:eastAsia="宋体"/>
                <w:bCs/>
                <w:color w:val="auto"/>
                <w:kern w:val="0"/>
                <w:sz w:val="24"/>
                <w:szCs w:val="24"/>
                <w:highlight w:val="none"/>
              </w:rPr>
              <w:t>分；</w:t>
            </w:r>
          </w:p>
          <w:p w14:paraId="4C5E68E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lang w:val="en-US" w:eastAsia="zh-CN"/>
              </w:rPr>
              <w:t>2.</w:t>
            </w:r>
            <w:r>
              <w:rPr>
                <w:rFonts w:hint="eastAsia" w:ascii="宋体" w:hAnsi="宋体" w:eastAsia="宋体"/>
                <w:bCs/>
                <w:color w:val="auto"/>
                <w:kern w:val="0"/>
                <w:sz w:val="24"/>
                <w:szCs w:val="24"/>
                <w:highlight w:val="none"/>
              </w:rPr>
              <w:t>方案内容一般，具有一定的科学性合理性和针对性得10分；</w:t>
            </w:r>
          </w:p>
          <w:p w14:paraId="26CD0D7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lang w:val="en-US" w:eastAsia="zh-CN"/>
              </w:rPr>
              <w:t>3.</w:t>
            </w:r>
            <w:r>
              <w:rPr>
                <w:rFonts w:hint="eastAsia" w:ascii="宋体" w:hAnsi="宋体" w:eastAsia="宋体"/>
                <w:bCs/>
                <w:color w:val="auto"/>
                <w:kern w:val="0"/>
                <w:sz w:val="24"/>
                <w:szCs w:val="24"/>
                <w:highlight w:val="none"/>
              </w:rPr>
              <w:t>方案不够全面清晰的得5分，方案内容差，</w:t>
            </w:r>
          </w:p>
          <w:p w14:paraId="4FB4ABD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4.不提供</w:t>
            </w:r>
            <w:r>
              <w:rPr>
                <w:rFonts w:hint="eastAsia" w:ascii="宋体" w:hAnsi="宋体" w:eastAsia="宋体"/>
                <w:bCs/>
                <w:color w:val="auto"/>
                <w:kern w:val="0"/>
                <w:sz w:val="24"/>
                <w:szCs w:val="24"/>
                <w:highlight w:val="none"/>
              </w:rPr>
              <w:t>不得分。</w:t>
            </w:r>
          </w:p>
        </w:tc>
        <w:tc>
          <w:tcPr>
            <w:tcW w:w="951" w:type="dxa"/>
            <w:shd w:val="clear" w:color="auto" w:fill="FFFFFF"/>
            <w:vAlign w:val="center"/>
          </w:tcPr>
          <w:p w14:paraId="7FB36BEB">
            <w:pPr>
              <w:jc w:val="center"/>
              <w:rPr>
                <w:rFonts w:hint="default"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rPr>
              <w:t>0-</w:t>
            </w:r>
            <w:r>
              <w:rPr>
                <w:rFonts w:hint="eastAsia" w:ascii="宋体" w:hAnsi="宋体"/>
                <w:bCs/>
                <w:color w:val="auto"/>
                <w:kern w:val="0"/>
                <w:sz w:val="24"/>
                <w:szCs w:val="24"/>
                <w:highlight w:val="none"/>
                <w:lang w:val="en-US" w:eastAsia="zh-CN"/>
              </w:rPr>
              <w:t>15</w:t>
            </w:r>
            <w:r>
              <w:rPr>
                <w:rFonts w:hint="eastAsia" w:ascii="宋体" w:hAnsi="宋体"/>
                <w:bCs/>
                <w:color w:val="auto"/>
                <w:kern w:val="0"/>
                <w:sz w:val="24"/>
                <w:szCs w:val="24"/>
                <w:highlight w:val="none"/>
              </w:rPr>
              <w:t>分</w:t>
            </w:r>
          </w:p>
        </w:tc>
      </w:tr>
      <w:tr w14:paraId="4262B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5" w:hRule="atLeast"/>
          <w:jc w:val="center"/>
        </w:trPr>
        <w:tc>
          <w:tcPr>
            <w:tcW w:w="1292" w:type="dxa"/>
            <w:vMerge w:val="continue"/>
            <w:shd w:val="clear" w:color="auto" w:fill="FFFFFF"/>
            <w:vAlign w:val="center"/>
          </w:tcPr>
          <w:p w14:paraId="36EA9133">
            <w:pPr>
              <w:jc w:val="center"/>
              <w:rPr>
                <w:rFonts w:hint="eastAsia" w:ascii="宋体" w:hAnsi="宋体"/>
                <w:bCs/>
                <w:color w:val="auto"/>
                <w:kern w:val="0"/>
                <w:sz w:val="24"/>
                <w:szCs w:val="24"/>
                <w:highlight w:val="none"/>
              </w:rPr>
            </w:pPr>
          </w:p>
        </w:tc>
        <w:tc>
          <w:tcPr>
            <w:tcW w:w="1741" w:type="dxa"/>
            <w:shd w:val="clear" w:color="auto" w:fill="FFFFFF"/>
            <w:vAlign w:val="center"/>
          </w:tcPr>
          <w:p w14:paraId="4998C7DD">
            <w:pPr>
              <w:jc w:val="center"/>
              <w:rPr>
                <w:rFonts w:hint="eastAsia" w:ascii="宋体" w:hAnsi="宋体" w:eastAsia="宋体"/>
                <w:bCs/>
                <w:color w:val="auto"/>
                <w:kern w:val="0"/>
                <w:sz w:val="24"/>
                <w:szCs w:val="24"/>
                <w:highlight w:val="none"/>
                <w:lang w:val="en-US" w:eastAsia="zh-CN"/>
              </w:rPr>
            </w:pPr>
            <w:r>
              <w:rPr>
                <w:rFonts w:ascii="宋体" w:hAnsi="宋体" w:eastAsia="宋体" w:cs="宋体"/>
                <w:color w:val="auto"/>
                <w:sz w:val="24"/>
                <w:szCs w:val="24"/>
                <w:highlight w:val="none"/>
              </w:rPr>
              <w:t>项目实施中设计图纸质量、设计深度保证措施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6分</w:t>
            </w:r>
            <w:r>
              <w:rPr>
                <w:rFonts w:hint="eastAsia" w:ascii="宋体" w:hAnsi="宋体" w:cs="宋体"/>
                <w:color w:val="auto"/>
                <w:sz w:val="24"/>
                <w:szCs w:val="24"/>
                <w:highlight w:val="none"/>
                <w:lang w:eastAsia="zh-CN"/>
              </w:rPr>
              <w:t>）</w:t>
            </w:r>
          </w:p>
        </w:tc>
        <w:tc>
          <w:tcPr>
            <w:tcW w:w="5772" w:type="dxa"/>
            <w:shd w:val="clear" w:color="auto" w:fill="FFFFFF"/>
            <w:vAlign w:val="center"/>
          </w:tcPr>
          <w:p w14:paraId="132D0AA4">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ascii="宋体" w:hAnsi="宋体" w:eastAsia="宋体" w:cs="宋体"/>
                <w:color w:val="auto"/>
                <w:sz w:val="24"/>
                <w:szCs w:val="24"/>
                <w:highlight w:val="none"/>
              </w:rPr>
            </w:pPr>
            <w:r>
              <w:rPr>
                <w:rFonts w:ascii="宋体" w:hAnsi="宋体" w:eastAsia="宋体" w:cs="宋体"/>
                <w:color w:val="auto"/>
                <w:kern w:val="2"/>
                <w:sz w:val="24"/>
                <w:szCs w:val="24"/>
                <w:highlight w:val="none"/>
                <w:lang w:val="en-US" w:eastAsia="zh-CN" w:bidi="ar-SA"/>
              </w:rPr>
              <w:t>1.</w:t>
            </w:r>
            <w:r>
              <w:rPr>
                <w:rFonts w:ascii="宋体" w:hAnsi="宋体" w:eastAsia="宋体" w:cs="宋体"/>
                <w:color w:val="auto"/>
                <w:sz w:val="24"/>
                <w:szCs w:val="24"/>
                <w:highlight w:val="none"/>
              </w:rPr>
              <w:t>措施完整、针对性强，图纸质量管控、各专业深度把控、内部校审流程完备，完全满足项目需求</w:t>
            </w:r>
            <w:r>
              <w:rPr>
                <w:rFonts w:hint="eastAsia" w:ascii="宋体" w:hAnsi="宋体" w:eastAsia="宋体" w:cs="宋体"/>
                <w:color w:val="auto"/>
                <w:sz w:val="24"/>
                <w:szCs w:val="24"/>
                <w:highlight w:val="none"/>
                <w:lang w:eastAsia="zh-CN"/>
              </w:rPr>
              <w:t>的得</w:t>
            </w:r>
            <w:r>
              <w:rPr>
                <w:rFonts w:ascii="宋体" w:hAnsi="宋体" w:eastAsia="宋体" w:cs="宋体"/>
                <w:color w:val="auto"/>
                <w:sz w:val="24"/>
                <w:szCs w:val="24"/>
                <w:highlight w:val="none"/>
              </w:rPr>
              <w:t>6 分；</w:t>
            </w:r>
          </w:p>
          <w:p w14:paraId="5713A78D">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rPr>
              <w:t>措施基本齐全，有常规校审管控，但针对性一般</w:t>
            </w:r>
            <w:r>
              <w:rPr>
                <w:rFonts w:hint="eastAsia" w:ascii="宋体" w:hAnsi="宋体" w:eastAsia="宋体" w:cs="宋体"/>
                <w:color w:val="auto"/>
                <w:sz w:val="24"/>
                <w:szCs w:val="24"/>
                <w:highlight w:val="none"/>
                <w:lang w:eastAsia="zh-CN"/>
              </w:rPr>
              <w:t>的得</w:t>
            </w:r>
            <w:r>
              <w:rPr>
                <w:rFonts w:ascii="宋体" w:hAnsi="宋体" w:eastAsia="宋体" w:cs="宋体"/>
                <w:color w:val="auto"/>
                <w:sz w:val="24"/>
                <w:szCs w:val="24"/>
                <w:highlight w:val="none"/>
              </w:rPr>
              <w:t>4分；</w:t>
            </w:r>
          </w:p>
          <w:p w14:paraId="0EE3CB76">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rPr>
              <w:t>措施简单笼统，缺少关键管控环节</w:t>
            </w:r>
            <w:r>
              <w:rPr>
                <w:rFonts w:hint="eastAsia" w:ascii="宋体" w:hAnsi="宋体" w:eastAsia="宋体" w:cs="宋体"/>
                <w:color w:val="auto"/>
                <w:sz w:val="24"/>
                <w:szCs w:val="24"/>
                <w:highlight w:val="none"/>
                <w:lang w:eastAsia="zh-CN"/>
              </w:rPr>
              <w:t>得</w:t>
            </w:r>
            <w:r>
              <w:rPr>
                <w:rFonts w:ascii="宋体" w:hAnsi="宋体" w:eastAsia="宋体" w:cs="宋体"/>
                <w:color w:val="auto"/>
                <w:sz w:val="24"/>
                <w:szCs w:val="24"/>
                <w:highlight w:val="none"/>
              </w:rPr>
              <w:t>2 分；</w:t>
            </w:r>
          </w:p>
          <w:p w14:paraId="26ADF6E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4.不提供</w:t>
            </w:r>
            <w:r>
              <w:rPr>
                <w:rFonts w:hint="eastAsia" w:ascii="宋体" w:hAnsi="宋体" w:eastAsia="宋体"/>
                <w:bCs/>
                <w:color w:val="auto"/>
                <w:kern w:val="0"/>
                <w:sz w:val="24"/>
                <w:szCs w:val="24"/>
                <w:highlight w:val="none"/>
              </w:rPr>
              <w:t>不得分。</w:t>
            </w:r>
          </w:p>
        </w:tc>
        <w:tc>
          <w:tcPr>
            <w:tcW w:w="951" w:type="dxa"/>
            <w:shd w:val="clear" w:color="auto" w:fill="FFFFFF"/>
            <w:vAlign w:val="center"/>
          </w:tcPr>
          <w:p w14:paraId="28FD3B41">
            <w:pPr>
              <w:jc w:val="center"/>
              <w:rPr>
                <w:rFonts w:hint="eastAsia" w:ascii="宋体" w:hAnsi="宋体"/>
                <w:bCs/>
                <w:color w:val="auto"/>
                <w:kern w:val="0"/>
                <w:sz w:val="24"/>
                <w:szCs w:val="24"/>
                <w:highlight w:val="none"/>
              </w:rPr>
            </w:pPr>
            <w:r>
              <w:rPr>
                <w:rFonts w:hint="eastAsia" w:ascii="宋体" w:hAnsi="宋体"/>
                <w:bCs/>
                <w:color w:val="auto"/>
                <w:kern w:val="0"/>
                <w:sz w:val="24"/>
                <w:szCs w:val="24"/>
                <w:highlight w:val="none"/>
              </w:rPr>
              <w:t>0-</w:t>
            </w:r>
            <w:r>
              <w:rPr>
                <w:rFonts w:hint="eastAsia" w:ascii="宋体" w:hAnsi="宋体"/>
                <w:bCs/>
                <w:color w:val="auto"/>
                <w:kern w:val="0"/>
                <w:sz w:val="24"/>
                <w:szCs w:val="24"/>
                <w:highlight w:val="none"/>
                <w:lang w:val="en-US" w:eastAsia="zh-CN"/>
              </w:rPr>
              <w:t>6</w:t>
            </w:r>
            <w:r>
              <w:rPr>
                <w:rFonts w:hint="eastAsia" w:ascii="宋体" w:hAnsi="宋体"/>
                <w:bCs/>
                <w:color w:val="auto"/>
                <w:kern w:val="0"/>
                <w:sz w:val="24"/>
                <w:szCs w:val="24"/>
                <w:highlight w:val="none"/>
              </w:rPr>
              <w:t>分</w:t>
            </w:r>
          </w:p>
        </w:tc>
      </w:tr>
      <w:tr w14:paraId="62338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1292" w:type="dxa"/>
            <w:vMerge w:val="continue"/>
            <w:shd w:val="clear" w:color="auto" w:fill="FFFFFF"/>
            <w:vAlign w:val="center"/>
          </w:tcPr>
          <w:p w14:paraId="5951154F">
            <w:pPr>
              <w:jc w:val="center"/>
              <w:rPr>
                <w:rFonts w:hint="eastAsia" w:ascii="宋体" w:hAnsi="宋体" w:eastAsia="宋体"/>
                <w:bCs/>
                <w:color w:val="auto"/>
                <w:kern w:val="0"/>
                <w:sz w:val="24"/>
                <w:szCs w:val="24"/>
                <w:highlight w:val="none"/>
              </w:rPr>
            </w:pPr>
          </w:p>
        </w:tc>
        <w:tc>
          <w:tcPr>
            <w:tcW w:w="1741" w:type="dxa"/>
            <w:shd w:val="clear" w:color="auto" w:fill="FFFFFF"/>
            <w:vAlign w:val="center"/>
          </w:tcPr>
          <w:p w14:paraId="67A983D2">
            <w:pPr>
              <w:jc w:val="center"/>
              <w:rPr>
                <w:rFonts w:hint="default" w:ascii="宋体" w:hAnsi="宋体" w:eastAsia="宋体"/>
                <w:bCs/>
                <w:color w:val="auto"/>
                <w:kern w:val="0"/>
                <w:sz w:val="24"/>
                <w:szCs w:val="24"/>
                <w:highlight w:val="none"/>
                <w:lang w:val="en-US"/>
              </w:rPr>
            </w:pPr>
            <w:r>
              <w:rPr>
                <w:rFonts w:hint="eastAsia" w:ascii="宋体" w:hAnsi="宋体" w:eastAsia="宋体"/>
                <w:bCs/>
                <w:color w:val="auto"/>
                <w:kern w:val="0"/>
                <w:sz w:val="24"/>
                <w:szCs w:val="24"/>
                <w:highlight w:val="none"/>
                <w:lang w:val="en-US" w:eastAsia="zh-CN"/>
              </w:rPr>
              <w:t>工作进度计划（5分）</w:t>
            </w:r>
          </w:p>
        </w:tc>
        <w:tc>
          <w:tcPr>
            <w:tcW w:w="5772" w:type="dxa"/>
            <w:shd w:val="clear" w:color="auto" w:fill="FFFFFF"/>
            <w:vAlign w:val="center"/>
          </w:tcPr>
          <w:p w14:paraId="2CA6096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提供工作进度计划安排和进度控制措施:</w:t>
            </w:r>
          </w:p>
          <w:p w14:paraId="1D57758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eastAsia="zh-CN"/>
              </w:rPr>
            </w:pPr>
            <w:r>
              <w:rPr>
                <w:rFonts w:hint="eastAsia" w:ascii="宋体" w:hAnsi="宋体" w:eastAsia="宋体"/>
                <w:bCs/>
                <w:color w:val="auto"/>
                <w:kern w:val="0"/>
                <w:sz w:val="24"/>
                <w:szCs w:val="24"/>
                <w:highlight w:val="none"/>
              </w:rPr>
              <w:t>1.工作进度计划安排合理有序，进度控制措施详细可行，得5分</w:t>
            </w:r>
            <w:r>
              <w:rPr>
                <w:rFonts w:hint="eastAsia" w:ascii="宋体" w:hAnsi="宋体" w:eastAsia="宋体"/>
                <w:bCs/>
                <w:color w:val="auto"/>
                <w:kern w:val="0"/>
                <w:sz w:val="24"/>
                <w:szCs w:val="24"/>
                <w:highlight w:val="none"/>
                <w:lang w:eastAsia="zh-CN"/>
              </w:rPr>
              <w:t>；</w:t>
            </w:r>
          </w:p>
          <w:p w14:paraId="48A1240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2.工作进度计划安排基本合理，进度控制措施具有一定的可行性，得3分</w:t>
            </w:r>
            <w:r>
              <w:rPr>
                <w:rFonts w:hint="eastAsia" w:ascii="宋体" w:hAnsi="宋体" w:eastAsia="宋体"/>
                <w:bCs/>
                <w:color w:val="auto"/>
                <w:kern w:val="0"/>
                <w:sz w:val="24"/>
                <w:szCs w:val="24"/>
                <w:highlight w:val="none"/>
                <w:lang w:eastAsia="zh-CN"/>
              </w:rPr>
              <w:t>；</w:t>
            </w:r>
          </w:p>
          <w:p w14:paraId="7F5B0B9B">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eastAsia="zh-CN"/>
              </w:rPr>
            </w:pPr>
            <w:r>
              <w:rPr>
                <w:rFonts w:hint="eastAsia" w:ascii="宋体" w:hAnsi="宋体" w:eastAsia="宋体"/>
                <w:bCs/>
                <w:color w:val="auto"/>
                <w:kern w:val="0"/>
                <w:sz w:val="24"/>
                <w:szCs w:val="24"/>
                <w:highlight w:val="none"/>
              </w:rPr>
              <w:t>3.工作进度计划安排欠合理，进度控制措施可行性差，得1分</w:t>
            </w:r>
            <w:r>
              <w:rPr>
                <w:rFonts w:hint="eastAsia" w:ascii="宋体" w:hAnsi="宋体" w:eastAsia="宋体"/>
                <w:bCs/>
                <w:color w:val="auto"/>
                <w:kern w:val="0"/>
                <w:sz w:val="24"/>
                <w:szCs w:val="24"/>
                <w:highlight w:val="none"/>
                <w:lang w:eastAsia="zh-CN"/>
              </w:rPr>
              <w:t>；</w:t>
            </w:r>
          </w:p>
          <w:p w14:paraId="301FEB1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4.不提供则不得分。</w:t>
            </w:r>
          </w:p>
        </w:tc>
        <w:tc>
          <w:tcPr>
            <w:tcW w:w="951" w:type="dxa"/>
            <w:shd w:val="clear" w:color="auto" w:fill="FFFFFF"/>
            <w:vAlign w:val="center"/>
          </w:tcPr>
          <w:p w14:paraId="752C6936">
            <w:pPr>
              <w:jc w:val="center"/>
              <w:rPr>
                <w:rFonts w:hint="eastAsia" w:ascii="宋体" w:hAnsi="宋体"/>
                <w:bCs/>
                <w:color w:val="auto"/>
                <w:kern w:val="0"/>
                <w:sz w:val="24"/>
                <w:szCs w:val="24"/>
                <w:highlight w:val="none"/>
              </w:rPr>
            </w:pPr>
            <w:r>
              <w:rPr>
                <w:rFonts w:hint="eastAsia" w:ascii="宋体" w:hAnsi="宋体"/>
                <w:bCs/>
                <w:color w:val="auto"/>
                <w:kern w:val="0"/>
                <w:sz w:val="24"/>
                <w:szCs w:val="24"/>
                <w:highlight w:val="none"/>
              </w:rPr>
              <w:t>0-</w:t>
            </w:r>
            <w:r>
              <w:rPr>
                <w:rFonts w:hint="eastAsia" w:ascii="宋体" w:hAnsi="宋体"/>
                <w:bCs/>
                <w:color w:val="auto"/>
                <w:kern w:val="0"/>
                <w:sz w:val="24"/>
                <w:szCs w:val="24"/>
                <w:highlight w:val="none"/>
                <w:lang w:val="en-US" w:eastAsia="zh-CN"/>
              </w:rPr>
              <w:t>5</w:t>
            </w:r>
            <w:r>
              <w:rPr>
                <w:rFonts w:hint="eastAsia" w:ascii="宋体" w:hAnsi="宋体"/>
                <w:bCs/>
                <w:color w:val="auto"/>
                <w:kern w:val="0"/>
                <w:sz w:val="24"/>
                <w:szCs w:val="24"/>
                <w:highlight w:val="none"/>
              </w:rPr>
              <w:t>分</w:t>
            </w:r>
          </w:p>
        </w:tc>
      </w:tr>
      <w:tr w14:paraId="5CE7A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1292" w:type="dxa"/>
            <w:vMerge w:val="continue"/>
            <w:shd w:val="clear" w:color="auto" w:fill="FFFFFF"/>
            <w:vAlign w:val="center"/>
          </w:tcPr>
          <w:p w14:paraId="48743AFB">
            <w:pPr>
              <w:jc w:val="center"/>
              <w:rPr>
                <w:rFonts w:hint="eastAsia" w:ascii="宋体" w:hAnsi="宋体" w:eastAsia="宋体"/>
                <w:bCs/>
                <w:color w:val="auto"/>
                <w:kern w:val="0"/>
                <w:sz w:val="24"/>
                <w:szCs w:val="24"/>
                <w:highlight w:val="none"/>
              </w:rPr>
            </w:pPr>
          </w:p>
        </w:tc>
        <w:tc>
          <w:tcPr>
            <w:tcW w:w="1741" w:type="dxa"/>
            <w:shd w:val="clear" w:color="auto" w:fill="FFFFFF"/>
            <w:vAlign w:val="center"/>
          </w:tcPr>
          <w:p w14:paraId="2C24EE4F">
            <w:pPr>
              <w:jc w:val="center"/>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rPr>
              <w:t>质量</w:t>
            </w:r>
            <w:r>
              <w:rPr>
                <w:rFonts w:hint="eastAsia" w:ascii="宋体" w:hAnsi="宋体" w:eastAsia="宋体"/>
                <w:bCs/>
                <w:color w:val="auto"/>
                <w:kern w:val="0"/>
                <w:sz w:val="24"/>
                <w:szCs w:val="24"/>
                <w:highlight w:val="none"/>
                <w:lang w:eastAsia="zh-CN"/>
              </w:rPr>
              <w:t>保证措施</w:t>
            </w:r>
            <w:r>
              <w:rPr>
                <w:rFonts w:hint="eastAsia" w:ascii="宋体" w:hAnsi="宋体" w:eastAsia="宋体"/>
                <w:bCs/>
                <w:color w:val="auto"/>
                <w:kern w:val="0"/>
                <w:sz w:val="24"/>
                <w:szCs w:val="24"/>
                <w:highlight w:val="none"/>
              </w:rPr>
              <w:t xml:space="preserve"> （</w:t>
            </w:r>
            <w:r>
              <w:rPr>
                <w:rFonts w:hint="eastAsia" w:ascii="宋体" w:hAnsi="宋体"/>
                <w:bCs/>
                <w:color w:val="auto"/>
                <w:kern w:val="0"/>
                <w:sz w:val="24"/>
                <w:szCs w:val="24"/>
                <w:highlight w:val="none"/>
                <w:lang w:val="en-US" w:eastAsia="zh-CN"/>
              </w:rPr>
              <w:t>8</w:t>
            </w:r>
            <w:r>
              <w:rPr>
                <w:rFonts w:hint="eastAsia" w:ascii="宋体" w:hAnsi="宋体" w:eastAsia="宋体"/>
                <w:bCs/>
                <w:color w:val="auto"/>
                <w:kern w:val="0"/>
                <w:sz w:val="24"/>
                <w:szCs w:val="24"/>
                <w:highlight w:val="none"/>
              </w:rPr>
              <w:t>分）</w:t>
            </w:r>
          </w:p>
        </w:tc>
        <w:tc>
          <w:tcPr>
            <w:tcW w:w="5772" w:type="dxa"/>
            <w:shd w:val="clear" w:color="auto" w:fill="FFFFFF"/>
            <w:vAlign w:val="center"/>
          </w:tcPr>
          <w:p w14:paraId="0EB99A7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针对本项目制定有详细的质量保证措施:</w:t>
            </w:r>
          </w:p>
          <w:p w14:paraId="41E2A82D">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1.措施具体可行、具有针对性、切合实际，可操作性强得</w:t>
            </w:r>
            <w:r>
              <w:rPr>
                <w:rFonts w:hint="eastAsia" w:ascii="宋体" w:hAnsi="宋体"/>
                <w:bCs/>
                <w:color w:val="auto"/>
                <w:kern w:val="0"/>
                <w:sz w:val="24"/>
                <w:szCs w:val="24"/>
                <w:highlight w:val="none"/>
                <w:lang w:val="en-US" w:eastAsia="zh-CN"/>
              </w:rPr>
              <w:t>8</w:t>
            </w:r>
            <w:r>
              <w:rPr>
                <w:rFonts w:hint="eastAsia" w:ascii="宋体" w:hAnsi="宋体" w:eastAsia="宋体"/>
                <w:bCs/>
                <w:color w:val="auto"/>
                <w:kern w:val="0"/>
                <w:sz w:val="24"/>
                <w:szCs w:val="24"/>
                <w:highlight w:val="none"/>
              </w:rPr>
              <w:t>分;</w:t>
            </w:r>
          </w:p>
          <w:p w14:paraId="7E7603C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2.措施基本可行、具有一定针对性、基本切合实际、</w:t>
            </w:r>
          </w:p>
          <w:p w14:paraId="4FA1D14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eastAsia="zh-CN"/>
              </w:rPr>
            </w:pPr>
            <w:r>
              <w:rPr>
                <w:rFonts w:hint="eastAsia" w:ascii="宋体" w:hAnsi="宋体" w:eastAsia="宋体"/>
                <w:bCs/>
                <w:color w:val="auto"/>
                <w:kern w:val="0"/>
                <w:sz w:val="24"/>
                <w:szCs w:val="24"/>
                <w:highlight w:val="none"/>
              </w:rPr>
              <w:t>具有可操作性得</w:t>
            </w:r>
            <w:r>
              <w:rPr>
                <w:rFonts w:hint="eastAsia" w:ascii="宋体" w:hAnsi="宋体"/>
                <w:bCs/>
                <w:color w:val="auto"/>
                <w:kern w:val="0"/>
                <w:sz w:val="24"/>
                <w:szCs w:val="24"/>
                <w:highlight w:val="none"/>
                <w:lang w:val="en-US" w:eastAsia="zh-CN"/>
              </w:rPr>
              <w:t>6</w:t>
            </w:r>
            <w:r>
              <w:rPr>
                <w:rFonts w:hint="eastAsia" w:ascii="宋体" w:hAnsi="宋体" w:eastAsia="宋体"/>
                <w:bCs/>
                <w:color w:val="auto"/>
                <w:kern w:val="0"/>
                <w:sz w:val="24"/>
                <w:szCs w:val="24"/>
                <w:highlight w:val="none"/>
              </w:rPr>
              <w:t>分</w:t>
            </w:r>
            <w:r>
              <w:rPr>
                <w:rFonts w:hint="eastAsia" w:ascii="宋体" w:hAnsi="宋体"/>
                <w:bCs/>
                <w:color w:val="auto"/>
                <w:kern w:val="0"/>
                <w:sz w:val="24"/>
                <w:szCs w:val="24"/>
                <w:highlight w:val="none"/>
                <w:lang w:eastAsia="zh-CN"/>
              </w:rPr>
              <w:t>；</w:t>
            </w:r>
          </w:p>
          <w:p w14:paraId="1C2B08F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rPr>
            </w:pPr>
            <w:r>
              <w:rPr>
                <w:rFonts w:hint="eastAsia" w:ascii="宋体" w:hAnsi="宋体" w:eastAsia="宋体"/>
                <w:bCs/>
                <w:color w:val="auto"/>
                <w:kern w:val="0"/>
                <w:sz w:val="24"/>
                <w:szCs w:val="24"/>
                <w:highlight w:val="none"/>
              </w:rPr>
              <w:t>3.措施勉强可行、针对性较差、不够切合实际、可操作性差得2分;</w:t>
            </w:r>
          </w:p>
          <w:p w14:paraId="60E06B94">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rPr>
              <w:t>4.不提供则不得分。</w:t>
            </w:r>
          </w:p>
        </w:tc>
        <w:tc>
          <w:tcPr>
            <w:tcW w:w="951" w:type="dxa"/>
            <w:shd w:val="clear" w:color="auto" w:fill="FFFFFF"/>
            <w:vAlign w:val="center"/>
          </w:tcPr>
          <w:p w14:paraId="0E49F4C0">
            <w:pPr>
              <w:jc w:val="center"/>
              <w:rPr>
                <w:rFonts w:hint="eastAsia" w:ascii="宋体" w:hAnsi="宋体" w:eastAsia="宋体"/>
                <w:bCs/>
                <w:color w:val="auto"/>
                <w:kern w:val="0"/>
                <w:sz w:val="24"/>
                <w:szCs w:val="24"/>
                <w:highlight w:val="none"/>
              </w:rPr>
            </w:pPr>
            <w:r>
              <w:rPr>
                <w:rFonts w:hint="eastAsia" w:ascii="宋体" w:hAnsi="宋体"/>
                <w:bCs/>
                <w:color w:val="auto"/>
                <w:kern w:val="0"/>
                <w:sz w:val="24"/>
                <w:szCs w:val="24"/>
                <w:highlight w:val="none"/>
              </w:rPr>
              <w:t>0-</w:t>
            </w:r>
            <w:r>
              <w:rPr>
                <w:rFonts w:hint="eastAsia" w:ascii="宋体" w:hAnsi="宋体"/>
                <w:bCs/>
                <w:color w:val="auto"/>
                <w:kern w:val="0"/>
                <w:sz w:val="24"/>
                <w:szCs w:val="24"/>
                <w:highlight w:val="none"/>
                <w:lang w:val="en-US" w:eastAsia="zh-CN"/>
              </w:rPr>
              <w:t>8</w:t>
            </w:r>
            <w:r>
              <w:rPr>
                <w:rFonts w:hint="eastAsia" w:ascii="宋体" w:hAnsi="宋体"/>
                <w:bCs/>
                <w:color w:val="auto"/>
                <w:kern w:val="0"/>
                <w:sz w:val="24"/>
                <w:szCs w:val="24"/>
                <w:highlight w:val="none"/>
              </w:rPr>
              <w:t>分</w:t>
            </w:r>
          </w:p>
        </w:tc>
      </w:tr>
      <w:tr w14:paraId="7D671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1292" w:type="dxa"/>
            <w:vMerge w:val="continue"/>
            <w:shd w:val="clear" w:color="auto" w:fill="FFFFFF"/>
            <w:vAlign w:val="center"/>
          </w:tcPr>
          <w:p w14:paraId="065E4942">
            <w:pPr>
              <w:jc w:val="center"/>
              <w:rPr>
                <w:rFonts w:hint="eastAsia" w:ascii="宋体" w:hAnsi="宋体" w:eastAsia="宋体"/>
                <w:bCs/>
                <w:color w:val="auto"/>
                <w:kern w:val="0"/>
                <w:sz w:val="24"/>
                <w:szCs w:val="24"/>
                <w:highlight w:val="none"/>
              </w:rPr>
            </w:pPr>
          </w:p>
        </w:tc>
        <w:tc>
          <w:tcPr>
            <w:tcW w:w="1741" w:type="dxa"/>
            <w:shd w:val="clear" w:color="auto" w:fill="FFFFFF"/>
            <w:vAlign w:val="center"/>
          </w:tcPr>
          <w:p w14:paraId="7BC0E54F">
            <w:pPr>
              <w:jc w:val="center"/>
              <w:rPr>
                <w:rFonts w:hint="eastAsia" w:ascii="宋体" w:hAnsi="宋体"/>
                <w:bCs/>
                <w:color w:val="auto"/>
                <w:kern w:val="0"/>
                <w:sz w:val="24"/>
                <w:szCs w:val="24"/>
                <w:highlight w:val="none"/>
              </w:rPr>
            </w:pPr>
            <w:r>
              <w:rPr>
                <w:rFonts w:hint="eastAsia" w:ascii="宋体" w:hAnsi="宋体" w:cs="宋体"/>
                <w:color w:val="auto"/>
                <w:sz w:val="24"/>
                <w:szCs w:val="24"/>
                <w:highlight w:val="none"/>
                <w:lang w:eastAsia="zh-CN"/>
              </w:rPr>
              <w:t>勘察</w:t>
            </w:r>
            <w:r>
              <w:rPr>
                <w:rFonts w:ascii="宋体" w:hAnsi="宋体" w:eastAsia="宋体" w:cs="宋体"/>
                <w:color w:val="auto"/>
                <w:sz w:val="24"/>
                <w:szCs w:val="24"/>
                <w:highlight w:val="none"/>
              </w:rPr>
              <w:t>设计工作重点、难点分析</w:t>
            </w:r>
            <w:r>
              <w:rPr>
                <w:rFonts w:hint="eastAsia" w:ascii="宋体" w:hAnsi="宋体" w:eastAsia="宋体"/>
                <w:bCs/>
                <w:color w:val="auto"/>
                <w:kern w:val="0"/>
                <w:sz w:val="24"/>
                <w:szCs w:val="24"/>
                <w:highlight w:val="none"/>
                <w:lang w:val="en-US" w:eastAsia="zh-CN"/>
              </w:rPr>
              <w:t>（6分</w:t>
            </w:r>
            <w:r>
              <w:rPr>
                <w:rFonts w:hint="eastAsia" w:cstheme="minorBidi"/>
                <w:color w:val="auto"/>
                <w:kern w:val="0"/>
                <w:sz w:val="24"/>
                <w:szCs w:val="22"/>
                <w:highlight w:val="none"/>
                <w:lang w:val="en-US" w:eastAsia="zh-CN" w:bidi="ar"/>
              </w:rPr>
              <w:t>）</w:t>
            </w:r>
          </w:p>
        </w:tc>
        <w:tc>
          <w:tcPr>
            <w:tcW w:w="5772" w:type="dxa"/>
            <w:shd w:val="clear" w:color="auto" w:fill="FFFFFF"/>
            <w:vAlign w:val="center"/>
          </w:tcPr>
          <w:p w14:paraId="7FCC809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ascii="宋体" w:hAnsi="宋体" w:eastAsia="宋体" w:cs="宋体"/>
                <w:color w:val="auto"/>
                <w:sz w:val="24"/>
                <w:szCs w:val="24"/>
                <w:highlight w:val="none"/>
              </w:rPr>
            </w:pPr>
            <w:r>
              <w:rPr>
                <w:rFonts w:ascii="宋体" w:hAnsi="宋体" w:eastAsia="宋体" w:cs="宋体"/>
                <w:color w:val="auto"/>
                <w:kern w:val="2"/>
                <w:sz w:val="24"/>
                <w:szCs w:val="24"/>
                <w:highlight w:val="none"/>
                <w:lang w:val="en-US" w:eastAsia="zh-CN" w:bidi="ar-SA"/>
              </w:rPr>
              <w:t>1.</w:t>
            </w:r>
            <w:r>
              <w:rPr>
                <w:rFonts w:ascii="宋体" w:hAnsi="宋体" w:eastAsia="宋体" w:cs="宋体"/>
                <w:color w:val="auto"/>
                <w:sz w:val="24"/>
                <w:szCs w:val="24"/>
                <w:highlight w:val="none"/>
              </w:rPr>
              <w:t>对本项目勘察设计重难点识别全面准确，分析透彻，对应处置思路科学合理：6 分；</w:t>
            </w:r>
          </w:p>
          <w:p w14:paraId="25018C0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firstLine="0" w:firstLineChars="0"/>
              <w:textAlignment w:val="auto"/>
              <w:rPr>
                <w:rFonts w:ascii="宋体" w:hAnsi="宋体" w:eastAsia="宋体" w:cs="宋体"/>
                <w:color w:val="auto"/>
                <w:sz w:val="24"/>
                <w:szCs w:val="24"/>
                <w:highlight w:val="none"/>
              </w:rPr>
            </w:pPr>
            <w:r>
              <w:rPr>
                <w:rFonts w:ascii="宋体" w:hAnsi="宋体" w:eastAsia="宋体" w:cs="宋体"/>
                <w:color w:val="auto"/>
                <w:kern w:val="2"/>
                <w:sz w:val="24"/>
                <w:szCs w:val="24"/>
                <w:highlight w:val="none"/>
                <w:lang w:val="en-US" w:eastAsia="zh-CN" w:bidi="ar-SA"/>
              </w:rPr>
              <w:t>2.</w:t>
            </w:r>
            <w:r>
              <w:rPr>
                <w:rFonts w:ascii="宋体" w:hAnsi="宋体" w:eastAsia="宋体" w:cs="宋体"/>
                <w:color w:val="auto"/>
                <w:sz w:val="24"/>
                <w:szCs w:val="24"/>
                <w:highlight w:val="none"/>
              </w:rPr>
              <w:t>识别出大部分重难点，分析基本到位，应对思路常规：</w:t>
            </w:r>
            <w:r>
              <w:rPr>
                <w:rFonts w:hint="eastAsia" w:ascii="宋体" w:hAnsi="宋体" w:cs="宋体"/>
                <w:color w:val="auto"/>
                <w:sz w:val="24"/>
                <w:szCs w:val="24"/>
                <w:highlight w:val="none"/>
                <w:lang w:val="en-US" w:eastAsia="zh-CN"/>
              </w:rPr>
              <w:t>4</w:t>
            </w:r>
            <w:r>
              <w:rPr>
                <w:rFonts w:ascii="宋体" w:hAnsi="宋体" w:eastAsia="宋体" w:cs="宋体"/>
                <w:color w:val="auto"/>
                <w:sz w:val="24"/>
                <w:szCs w:val="24"/>
                <w:highlight w:val="none"/>
              </w:rPr>
              <w:t>分；</w:t>
            </w:r>
          </w:p>
          <w:p w14:paraId="71CCBE3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bCs/>
                <w:color w:val="auto"/>
                <w:kern w:val="0"/>
                <w:sz w:val="24"/>
                <w:szCs w:val="24"/>
                <w:highlight w:val="none"/>
              </w:rPr>
            </w:pPr>
            <w:r>
              <w:rPr>
                <w:rFonts w:hint="eastAsia" w:ascii="宋体" w:hAnsi="宋体" w:eastAsia="宋体" w:cstheme="minorBidi"/>
                <w:bCs/>
                <w:color w:val="auto"/>
                <w:kern w:val="0"/>
                <w:sz w:val="24"/>
                <w:szCs w:val="24"/>
                <w:highlight w:val="none"/>
                <w:lang w:val="en-US" w:eastAsia="zh-CN" w:bidi="ar-SA"/>
              </w:rPr>
              <w:t>3.</w:t>
            </w:r>
            <w:r>
              <w:rPr>
                <w:rFonts w:ascii="宋体" w:hAnsi="宋体" w:eastAsia="宋体" w:cs="宋体"/>
                <w:color w:val="auto"/>
                <w:sz w:val="24"/>
                <w:szCs w:val="24"/>
                <w:highlight w:val="none"/>
              </w:rPr>
              <w:t>重难点识别不全，分析较浅显，对策薄弱：</w:t>
            </w:r>
            <w:r>
              <w:rPr>
                <w:rFonts w:hint="eastAsia" w:ascii="宋体" w:hAnsi="宋体" w:cs="宋体"/>
                <w:color w:val="auto"/>
                <w:sz w:val="24"/>
                <w:szCs w:val="24"/>
                <w:highlight w:val="none"/>
                <w:lang w:val="en-US" w:eastAsia="zh-CN"/>
              </w:rPr>
              <w:t>2</w:t>
            </w:r>
            <w:r>
              <w:rPr>
                <w:rFonts w:ascii="宋体" w:hAnsi="宋体" w:eastAsia="宋体" w:cs="宋体"/>
                <w:color w:val="auto"/>
                <w:sz w:val="24"/>
                <w:szCs w:val="24"/>
                <w:highlight w:val="none"/>
              </w:rPr>
              <w:t xml:space="preserve"> 分；</w:t>
            </w:r>
          </w:p>
          <w:p w14:paraId="462202A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firstLine="0" w:firstLineChars="0"/>
              <w:textAlignment w:val="auto"/>
              <w:rPr>
                <w:rFonts w:hint="eastAsia" w:ascii="宋体" w:hAnsi="宋体"/>
                <w:bCs/>
                <w:color w:val="auto"/>
                <w:kern w:val="0"/>
                <w:sz w:val="24"/>
                <w:szCs w:val="24"/>
                <w:highlight w:val="none"/>
              </w:rPr>
            </w:pPr>
            <w:r>
              <w:rPr>
                <w:rFonts w:hint="eastAsia" w:ascii="宋体" w:hAnsi="宋体" w:eastAsia="宋体" w:cstheme="minorBidi"/>
                <w:bCs/>
                <w:color w:val="auto"/>
                <w:kern w:val="0"/>
                <w:sz w:val="24"/>
                <w:szCs w:val="24"/>
                <w:highlight w:val="none"/>
                <w:lang w:val="en-US" w:eastAsia="zh-CN" w:bidi="ar-SA"/>
              </w:rPr>
              <w:t>4.</w:t>
            </w:r>
            <w:r>
              <w:rPr>
                <w:rFonts w:hint="eastAsia" w:ascii="宋体" w:hAnsi="宋体" w:eastAsia="宋体"/>
                <w:bCs/>
                <w:color w:val="auto"/>
                <w:kern w:val="0"/>
                <w:sz w:val="24"/>
                <w:szCs w:val="24"/>
                <w:highlight w:val="none"/>
              </w:rPr>
              <w:t>不提供则不得分。</w:t>
            </w:r>
          </w:p>
        </w:tc>
        <w:tc>
          <w:tcPr>
            <w:tcW w:w="951" w:type="dxa"/>
            <w:shd w:val="clear" w:color="auto" w:fill="FFFFFF"/>
            <w:vAlign w:val="center"/>
          </w:tcPr>
          <w:p w14:paraId="6ED3269E">
            <w:pPr>
              <w:jc w:val="center"/>
              <w:rPr>
                <w:rFonts w:hint="default"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lang w:val="en-US" w:eastAsia="zh-CN"/>
              </w:rPr>
              <w:t>0-6分</w:t>
            </w:r>
          </w:p>
        </w:tc>
      </w:tr>
      <w:tr w14:paraId="4618E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6" w:hRule="atLeast"/>
          <w:jc w:val="center"/>
        </w:trPr>
        <w:tc>
          <w:tcPr>
            <w:tcW w:w="1292" w:type="dxa"/>
            <w:vMerge w:val="continue"/>
            <w:shd w:val="clear" w:color="auto" w:fill="FFFFFF"/>
            <w:vAlign w:val="center"/>
          </w:tcPr>
          <w:p w14:paraId="45D1BA25">
            <w:pPr>
              <w:jc w:val="center"/>
              <w:rPr>
                <w:rFonts w:hint="eastAsia" w:ascii="宋体" w:hAnsi="宋体" w:eastAsia="宋体"/>
                <w:bCs/>
                <w:color w:val="auto"/>
                <w:kern w:val="0"/>
                <w:sz w:val="24"/>
                <w:szCs w:val="24"/>
                <w:highlight w:val="none"/>
              </w:rPr>
            </w:pPr>
          </w:p>
        </w:tc>
        <w:tc>
          <w:tcPr>
            <w:tcW w:w="1741" w:type="dxa"/>
            <w:shd w:val="clear" w:color="auto" w:fill="FFFFFF"/>
            <w:vAlign w:val="center"/>
          </w:tcPr>
          <w:p w14:paraId="2F075142">
            <w:pPr>
              <w:jc w:val="center"/>
              <w:rPr>
                <w:rFonts w:hint="eastAsia"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rPr>
              <w:t>人员配置</w:t>
            </w:r>
            <w:r>
              <w:rPr>
                <w:rFonts w:ascii="宋体" w:hAnsi="宋体"/>
                <w:bCs/>
                <w:color w:val="auto"/>
                <w:kern w:val="0"/>
                <w:sz w:val="24"/>
                <w:szCs w:val="24"/>
                <w:highlight w:val="none"/>
              </w:rPr>
              <w:br w:type="textWrapping"/>
            </w:r>
            <w:r>
              <w:rPr>
                <w:rFonts w:hint="eastAsia" w:ascii="宋体" w:hAnsi="宋体"/>
                <w:bCs/>
                <w:color w:val="auto"/>
                <w:kern w:val="0"/>
                <w:sz w:val="24"/>
                <w:szCs w:val="24"/>
                <w:highlight w:val="none"/>
              </w:rPr>
              <w:t>（5分）</w:t>
            </w:r>
          </w:p>
        </w:tc>
        <w:tc>
          <w:tcPr>
            <w:tcW w:w="5772" w:type="dxa"/>
            <w:shd w:val="clear" w:color="auto" w:fill="FFFFFF"/>
            <w:vAlign w:val="center"/>
          </w:tcPr>
          <w:p w14:paraId="5C34D925">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rPr>
              <w:t>依据服务团队的组织分工安排、详细的人员组成等情况进行横向比较，全面的得5分，相对全面的得3分，一般的得1分，</w:t>
            </w:r>
            <w:r>
              <w:rPr>
                <w:rFonts w:hint="eastAsia" w:ascii="宋体" w:hAnsi="宋体"/>
                <w:color w:val="auto"/>
                <w:sz w:val="24"/>
                <w:szCs w:val="24"/>
                <w:highlight w:val="none"/>
              </w:rPr>
              <w:t>缺项不得分</w:t>
            </w:r>
            <w:r>
              <w:rPr>
                <w:rFonts w:hint="eastAsia" w:ascii="宋体" w:hAnsi="宋体"/>
                <w:bCs/>
                <w:color w:val="auto"/>
                <w:kern w:val="0"/>
                <w:sz w:val="24"/>
                <w:szCs w:val="24"/>
                <w:highlight w:val="none"/>
              </w:rPr>
              <w:t>。</w:t>
            </w:r>
          </w:p>
        </w:tc>
        <w:tc>
          <w:tcPr>
            <w:tcW w:w="951" w:type="dxa"/>
            <w:shd w:val="clear" w:color="auto" w:fill="FFFFFF"/>
            <w:vAlign w:val="center"/>
          </w:tcPr>
          <w:p w14:paraId="6457611E">
            <w:pPr>
              <w:jc w:val="center"/>
              <w:rPr>
                <w:rFonts w:hint="eastAsia"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rPr>
              <w:t>0-5分</w:t>
            </w:r>
          </w:p>
        </w:tc>
      </w:tr>
      <w:tr w14:paraId="0D21E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jc w:val="center"/>
        </w:trPr>
        <w:tc>
          <w:tcPr>
            <w:tcW w:w="1292" w:type="dxa"/>
            <w:vMerge w:val="restart"/>
            <w:shd w:val="clear" w:color="auto" w:fill="FFFFFF"/>
            <w:vAlign w:val="center"/>
          </w:tcPr>
          <w:p w14:paraId="55CE81B4">
            <w:pPr>
              <w:jc w:val="center"/>
              <w:rPr>
                <w:rFonts w:hint="eastAsia" w:ascii="宋体" w:hAnsi="宋体" w:eastAsia="宋体"/>
                <w:color w:val="auto"/>
                <w:kern w:val="0"/>
                <w:sz w:val="24"/>
                <w:szCs w:val="24"/>
                <w:highlight w:val="none"/>
              </w:rPr>
            </w:pPr>
            <w:r>
              <w:rPr>
                <w:rFonts w:hint="eastAsia" w:ascii="宋体" w:hAnsi="宋体"/>
                <w:color w:val="auto"/>
                <w:kern w:val="0"/>
                <w:sz w:val="24"/>
                <w:szCs w:val="24"/>
                <w:highlight w:val="none"/>
                <w:lang w:val="en-US" w:eastAsia="zh-CN"/>
              </w:rPr>
              <w:t>综合部分</w:t>
            </w:r>
            <w:r>
              <w:rPr>
                <w:rFonts w:hint="eastAsia" w:ascii="宋体" w:hAnsi="宋体"/>
                <w:color w:val="auto"/>
                <w:kern w:val="0"/>
                <w:sz w:val="24"/>
                <w:szCs w:val="24"/>
                <w:highlight w:val="none"/>
              </w:rPr>
              <w:t>（</w:t>
            </w:r>
            <w:r>
              <w:rPr>
                <w:rFonts w:hint="eastAsia" w:ascii="宋体" w:hAnsi="宋体"/>
                <w:color w:val="auto"/>
                <w:kern w:val="0"/>
                <w:sz w:val="24"/>
                <w:szCs w:val="24"/>
                <w:highlight w:val="none"/>
                <w:lang w:val="en-US" w:eastAsia="zh-CN"/>
              </w:rPr>
              <w:t>35</w:t>
            </w:r>
            <w:r>
              <w:rPr>
                <w:rFonts w:hint="eastAsia" w:ascii="宋体" w:hAnsi="宋体"/>
                <w:color w:val="auto"/>
                <w:kern w:val="0"/>
                <w:sz w:val="24"/>
                <w:szCs w:val="24"/>
                <w:highlight w:val="none"/>
              </w:rPr>
              <w:t>分）</w:t>
            </w:r>
          </w:p>
        </w:tc>
        <w:tc>
          <w:tcPr>
            <w:tcW w:w="1741" w:type="dxa"/>
            <w:shd w:val="clear" w:color="auto" w:fill="FFFFFF"/>
            <w:vAlign w:val="center"/>
          </w:tcPr>
          <w:p w14:paraId="5D1C3C7F">
            <w:pPr>
              <w:rPr>
                <w:rFonts w:hint="eastAsia" w:ascii="宋体" w:hAnsi="宋体" w:eastAsia="宋体"/>
                <w:bCs/>
                <w:color w:val="auto"/>
                <w:kern w:val="0"/>
                <w:sz w:val="24"/>
                <w:szCs w:val="24"/>
                <w:highlight w:val="none"/>
              </w:rPr>
            </w:pPr>
            <w:r>
              <w:rPr>
                <w:rFonts w:hint="eastAsia" w:ascii="宋体" w:hAnsi="宋体"/>
                <w:bCs/>
                <w:color w:val="auto"/>
                <w:kern w:val="0"/>
                <w:sz w:val="24"/>
                <w:szCs w:val="24"/>
                <w:highlight w:val="none"/>
              </w:rPr>
              <w:t>业绩（</w:t>
            </w:r>
            <w:r>
              <w:rPr>
                <w:rFonts w:hint="eastAsia" w:ascii="宋体" w:hAnsi="宋体"/>
                <w:bCs/>
                <w:color w:val="auto"/>
                <w:kern w:val="0"/>
                <w:sz w:val="24"/>
                <w:szCs w:val="24"/>
                <w:highlight w:val="none"/>
                <w:lang w:val="en-US" w:eastAsia="zh-CN"/>
              </w:rPr>
              <w:t>12</w:t>
            </w:r>
            <w:r>
              <w:rPr>
                <w:rFonts w:hint="eastAsia" w:ascii="宋体" w:hAnsi="宋体"/>
                <w:bCs/>
                <w:color w:val="auto"/>
                <w:kern w:val="0"/>
                <w:sz w:val="24"/>
                <w:szCs w:val="24"/>
                <w:highlight w:val="none"/>
              </w:rPr>
              <w:t>分）</w:t>
            </w:r>
          </w:p>
        </w:tc>
        <w:tc>
          <w:tcPr>
            <w:tcW w:w="5772" w:type="dxa"/>
            <w:shd w:val="clear" w:color="auto" w:fill="FFFFFF"/>
            <w:vAlign w:val="center"/>
          </w:tcPr>
          <w:p w14:paraId="661BB92F">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1、提供自2022年1月1日起承接过固体废物鉴别、污染物性质鉴定类项目，每提供1项业绩得2分，本项最高得6分。</w:t>
            </w:r>
          </w:p>
          <w:p w14:paraId="49D93D8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val="en-US" w:eastAsia="zh-CN"/>
              </w:rPr>
            </w:pPr>
            <w:r>
              <w:rPr>
                <w:rFonts w:hint="default" w:ascii="宋体" w:hAnsi="宋体" w:eastAsia="宋体"/>
                <w:bCs/>
                <w:color w:val="auto"/>
                <w:kern w:val="0"/>
                <w:sz w:val="24"/>
                <w:szCs w:val="24"/>
                <w:highlight w:val="none"/>
                <w:lang w:val="en-US" w:eastAsia="zh-CN"/>
              </w:rPr>
              <w:t>2、</w:t>
            </w:r>
            <w:r>
              <w:rPr>
                <w:rFonts w:hint="eastAsia" w:ascii="宋体" w:hAnsi="宋体" w:eastAsia="宋体"/>
                <w:bCs/>
                <w:color w:val="auto"/>
                <w:kern w:val="0"/>
                <w:sz w:val="24"/>
                <w:szCs w:val="24"/>
                <w:highlight w:val="none"/>
                <w:lang w:val="en-US" w:eastAsia="zh-CN"/>
              </w:rPr>
              <w:t>提供自2022年1月1日起承接过污染防治、生态修复类设计或EPC总承包项目，每提供1项业绩得2分，本项最高得6分。</w:t>
            </w:r>
          </w:p>
          <w:p w14:paraId="56FB9B1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color w:val="auto"/>
                <w:highlight w:val="none"/>
                <w:lang w:eastAsia="zh-CN"/>
              </w:rPr>
            </w:pPr>
            <w:r>
              <w:rPr>
                <w:rFonts w:hint="eastAsia" w:ascii="宋体" w:hAnsi="宋体" w:eastAsia="宋体"/>
                <w:bCs/>
                <w:color w:val="auto"/>
                <w:kern w:val="0"/>
                <w:sz w:val="24"/>
                <w:szCs w:val="24"/>
                <w:highlight w:val="none"/>
                <w:lang w:val="en-US" w:eastAsia="zh-CN"/>
              </w:rPr>
              <w:t>（</w:t>
            </w:r>
            <w:r>
              <w:rPr>
                <w:rFonts w:hint="eastAsia" w:ascii="宋体" w:hAnsi="宋体"/>
                <w:bCs/>
                <w:color w:val="auto"/>
                <w:kern w:val="0"/>
                <w:sz w:val="24"/>
                <w:szCs w:val="24"/>
                <w:highlight w:val="none"/>
                <w:lang w:val="en-US" w:eastAsia="zh-CN"/>
              </w:rPr>
              <w:t>注：上述业绩需</w:t>
            </w:r>
            <w:r>
              <w:rPr>
                <w:rFonts w:hint="eastAsia" w:ascii="宋体" w:hAnsi="宋体" w:eastAsia="宋体"/>
                <w:bCs/>
                <w:color w:val="auto"/>
                <w:kern w:val="0"/>
                <w:sz w:val="24"/>
                <w:szCs w:val="24"/>
                <w:highlight w:val="none"/>
                <w:lang w:val="en-US" w:eastAsia="zh-CN"/>
              </w:rPr>
              <w:t>提供中标通知书</w:t>
            </w:r>
            <w:r>
              <w:rPr>
                <w:rFonts w:hint="eastAsia" w:ascii="宋体" w:hAnsi="宋体"/>
                <w:bCs/>
                <w:color w:val="auto"/>
                <w:kern w:val="0"/>
                <w:sz w:val="24"/>
                <w:szCs w:val="24"/>
                <w:highlight w:val="none"/>
                <w:lang w:val="en-US" w:eastAsia="zh-CN"/>
              </w:rPr>
              <w:t>或</w:t>
            </w:r>
            <w:r>
              <w:rPr>
                <w:rFonts w:hint="eastAsia" w:ascii="宋体" w:hAnsi="宋体" w:eastAsia="宋体"/>
                <w:bCs/>
                <w:color w:val="auto"/>
                <w:kern w:val="0"/>
                <w:sz w:val="24"/>
                <w:szCs w:val="24"/>
                <w:highlight w:val="none"/>
                <w:lang w:val="en-US" w:eastAsia="zh-CN"/>
              </w:rPr>
              <w:t>合同协议书</w:t>
            </w:r>
            <w:r>
              <w:rPr>
                <w:rFonts w:hint="eastAsia" w:ascii="宋体" w:hAnsi="宋体"/>
                <w:bCs/>
                <w:color w:val="auto"/>
                <w:kern w:val="0"/>
                <w:sz w:val="24"/>
                <w:szCs w:val="24"/>
                <w:highlight w:val="none"/>
                <w:lang w:val="en-US" w:eastAsia="zh-CN"/>
              </w:rPr>
              <w:t>关键页</w:t>
            </w:r>
            <w:r>
              <w:rPr>
                <w:rFonts w:hint="eastAsia" w:ascii="宋体" w:hAnsi="宋体" w:eastAsia="宋体"/>
                <w:bCs/>
                <w:color w:val="auto"/>
                <w:kern w:val="0"/>
                <w:sz w:val="24"/>
                <w:szCs w:val="24"/>
                <w:highlight w:val="none"/>
                <w:lang w:val="en-US" w:eastAsia="zh-CN"/>
              </w:rPr>
              <w:t>扫描件，</w:t>
            </w:r>
            <w:r>
              <w:rPr>
                <w:rFonts w:hint="eastAsia" w:ascii="宋体" w:hAnsi="宋体" w:eastAsia="宋体"/>
                <w:bCs/>
                <w:color w:val="auto"/>
                <w:kern w:val="0"/>
                <w:sz w:val="24"/>
                <w:szCs w:val="24"/>
                <w:highlight w:val="none"/>
              </w:rPr>
              <w:t>以合同签订时间为准，</w:t>
            </w:r>
            <w:r>
              <w:rPr>
                <w:rFonts w:hint="eastAsia" w:ascii="宋体" w:hAnsi="宋体" w:eastAsia="宋体"/>
                <w:bCs/>
                <w:color w:val="auto"/>
                <w:kern w:val="0"/>
                <w:sz w:val="24"/>
                <w:szCs w:val="24"/>
                <w:highlight w:val="none"/>
                <w:lang w:eastAsia="zh-CN"/>
              </w:rPr>
              <w:t>同一项目不重复计分，</w:t>
            </w:r>
            <w:r>
              <w:rPr>
                <w:rFonts w:ascii="宋体" w:hAnsi="宋体" w:eastAsia="宋体" w:cs="宋体"/>
                <w:color w:val="auto"/>
                <w:sz w:val="24"/>
                <w:szCs w:val="24"/>
              </w:rPr>
              <w:t>未按要求提供材料的不得分</w:t>
            </w:r>
            <w:r>
              <w:rPr>
                <w:rFonts w:hint="eastAsia" w:ascii="宋体" w:hAnsi="宋体" w:eastAsia="宋体"/>
                <w:bCs/>
                <w:color w:val="auto"/>
                <w:kern w:val="0"/>
                <w:sz w:val="24"/>
                <w:szCs w:val="24"/>
                <w:highlight w:val="none"/>
                <w:lang w:eastAsia="zh-CN"/>
              </w:rPr>
              <w:t>；</w:t>
            </w:r>
            <w:r>
              <w:rPr>
                <w:rFonts w:hint="eastAsia" w:ascii="宋体" w:hAnsi="宋体" w:eastAsia="宋体"/>
                <w:bCs/>
                <w:color w:val="auto"/>
                <w:kern w:val="0"/>
                <w:sz w:val="24"/>
                <w:szCs w:val="24"/>
                <w:highlight w:val="none"/>
                <w:lang w:val="en-US" w:eastAsia="zh-CN"/>
              </w:rPr>
              <w:t>）</w:t>
            </w:r>
          </w:p>
        </w:tc>
        <w:tc>
          <w:tcPr>
            <w:tcW w:w="951" w:type="dxa"/>
            <w:shd w:val="clear" w:color="auto" w:fill="FFFFFF"/>
            <w:vAlign w:val="center"/>
          </w:tcPr>
          <w:p w14:paraId="11F20864">
            <w:pPr>
              <w:jc w:val="center"/>
              <w:rPr>
                <w:rFonts w:hint="eastAsia" w:ascii="宋体" w:hAnsi="宋体" w:eastAsia="宋体"/>
                <w:bCs/>
                <w:color w:val="auto"/>
                <w:kern w:val="0"/>
                <w:sz w:val="24"/>
                <w:szCs w:val="24"/>
                <w:highlight w:val="none"/>
              </w:rPr>
            </w:pPr>
            <w:r>
              <w:rPr>
                <w:rFonts w:hint="eastAsia" w:ascii="宋体" w:hAnsi="宋体"/>
                <w:bCs/>
                <w:color w:val="auto"/>
                <w:kern w:val="0"/>
                <w:sz w:val="24"/>
                <w:szCs w:val="24"/>
                <w:highlight w:val="none"/>
              </w:rPr>
              <w:t>0-1</w:t>
            </w:r>
            <w:r>
              <w:rPr>
                <w:rFonts w:hint="eastAsia" w:ascii="宋体" w:hAnsi="宋体"/>
                <w:bCs/>
                <w:color w:val="auto"/>
                <w:kern w:val="0"/>
                <w:sz w:val="24"/>
                <w:szCs w:val="24"/>
                <w:highlight w:val="none"/>
                <w:lang w:val="en-US" w:eastAsia="zh-CN"/>
              </w:rPr>
              <w:t>2</w:t>
            </w:r>
            <w:r>
              <w:rPr>
                <w:rFonts w:hint="eastAsia" w:ascii="宋体" w:hAnsi="宋体"/>
                <w:bCs/>
                <w:color w:val="auto"/>
                <w:kern w:val="0"/>
                <w:sz w:val="24"/>
                <w:szCs w:val="24"/>
                <w:highlight w:val="none"/>
              </w:rPr>
              <w:t>分</w:t>
            </w:r>
          </w:p>
        </w:tc>
      </w:tr>
      <w:tr w14:paraId="63943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3" w:hRule="atLeast"/>
          <w:jc w:val="center"/>
        </w:trPr>
        <w:tc>
          <w:tcPr>
            <w:tcW w:w="1292" w:type="dxa"/>
            <w:vMerge w:val="continue"/>
            <w:shd w:val="clear" w:color="auto" w:fill="FFFFFF"/>
            <w:vAlign w:val="center"/>
          </w:tcPr>
          <w:p w14:paraId="0BECD720">
            <w:pPr>
              <w:jc w:val="center"/>
              <w:rPr>
                <w:rFonts w:hint="eastAsia" w:ascii="宋体" w:hAnsi="宋体" w:eastAsia="宋体"/>
                <w:color w:val="auto"/>
                <w:kern w:val="0"/>
                <w:sz w:val="24"/>
                <w:szCs w:val="24"/>
                <w:highlight w:val="none"/>
              </w:rPr>
            </w:pPr>
          </w:p>
        </w:tc>
        <w:tc>
          <w:tcPr>
            <w:tcW w:w="1741" w:type="dxa"/>
            <w:shd w:val="clear" w:color="auto" w:fill="FFFFFF"/>
            <w:vAlign w:val="center"/>
          </w:tcPr>
          <w:p w14:paraId="058888C4">
            <w:pPr>
              <w:jc w:val="center"/>
              <w:rPr>
                <w:rFonts w:hint="eastAsia"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rPr>
              <w:t>项目</w:t>
            </w:r>
            <w:r>
              <w:rPr>
                <w:rFonts w:hint="eastAsia" w:ascii="宋体" w:hAnsi="宋体"/>
                <w:bCs/>
                <w:color w:val="auto"/>
                <w:kern w:val="0"/>
                <w:sz w:val="24"/>
                <w:szCs w:val="24"/>
                <w:highlight w:val="none"/>
                <w:lang w:eastAsia="zh-CN"/>
              </w:rPr>
              <w:t>团队</w:t>
            </w:r>
            <w:r>
              <w:rPr>
                <w:rFonts w:ascii="宋体" w:hAnsi="宋体"/>
                <w:bCs/>
                <w:color w:val="auto"/>
                <w:kern w:val="0"/>
                <w:sz w:val="24"/>
                <w:szCs w:val="24"/>
                <w:highlight w:val="none"/>
              </w:rPr>
              <w:br w:type="textWrapping"/>
            </w:r>
            <w:r>
              <w:rPr>
                <w:rFonts w:hint="eastAsia" w:ascii="宋体" w:hAnsi="宋体"/>
                <w:bCs/>
                <w:color w:val="auto"/>
                <w:kern w:val="0"/>
                <w:sz w:val="24"/>
                <w:szCs w:val="24"/>
                <w:highlight w:val="none"/>
              </w:rPr>
              <w:t>（</w:t>
            </w:r>
            <w:r>
              <w:rPr>
                <w:rFonts w:hint="eastAsia" w:ascii="宋体" w:hAnsi="宋体"/>
                <w:bCs/>
                <w:color w:val="auto"/>
                <w:kern w:val="0"/>
                <w:sz w:val="24"/>
                <w:szCs w:val="24"/>
                <w:highlight w:val="none"/>
                <w:lang w:val="en-US" w:eastAsia="zh-CN"/>
              </w:rPr>
              <w:t>13</w:t>
            </w:r>
            <w:r>
              <w:rPr>
                <w:rFonts w:hint="eastAsia" w:ascii="宋体" w:hAnsi="宋体"/>
                <w:bCs/>
                <w:color w:val="auto"/>
                <w:kern w:val="0"/>
                <w:sz w:val="24"/>
                <w:szCs w:val="24"/>
                <w:highlight w:val="none"/>
              </w:rPr>
              <w:t>分）</w:t>
            </w:r>
          </w:p>
        </w:tc>
        <w:tc>
          <w:tcPr>
            <w:tcW w:w="5772" w:type="dxa"/>
            <w:shd w:val="clear" w:color="auto" w:fill="FFFFFF"/>
            <w:vAlign w:val="center"/>
          </w:tcPr>
          <w:p w14:paraId="14F572C8">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lang w:eastAsia="zh-CN"/>
              </w:rPr>
              <w:t>除项目负责人外的项目团队成员，每有</w:t>
            </w:r>
            <w:r>
              <w:rPr>
                <w:rFonts w:hint="eastAsia" w:ascii="宋体" w:hAnsi="宋体"/>
                <w:bCs/>
                <w:color w:val="auto"/>
                <w:kern w:val="0"/>
                <w:sz w:val="24"/>
                <w:szCs w:val="24"/>
                <w:highlight w:val="none"/>
                <w:lang w:val="en-US" w:eastAsia="zh-CN"/>
              </w:rPr>
              <w:t>1人具备环境类或地质类等相关专业高级及以上工程师职称的得2分；</w:t>
            </w:r>
            <w:r>
              <w:rPr>
                <w:rFonts w:hint="eastAsia" w:ascii="宋体" w:hAnsi="宋体"/>
                <w:bCs/>
                <w:color w:val="auto"/>
                <w:kern w:val="0"/>
                <w:sz w:val="24"/>
                <w:szCs w:val="24"/>
                <w:highlight w:val="none"/>
                <w:lang w:eastAsia="zh-CN"/>
              </w:rPr>
              <w:t>每有</w:t>
            </w:r>
            <w:r>
              <w:rPr>
                <w:rFonts w:hint="eastAsia" w:ascii="宋体" w:hAnsi="宋体"/>
                <w:bCs/>
                <w:color w:val="auto"/>
                <w:kern w:val="0"/>
                <w:sz w:val="24"/>
                <w:szCs w:val="24"/>
                <w:highlight w:val="none"/>
                <w:lang w:val="en-US" w:eastAsia="zh-CN"/>
              </w:rPr>
              <w:t>1人具备环境类或地质类等相关专业中级及以上职称的得1分，本项最高得13分。</w:t>
            </w:r>
          </w:p>
          <w:p w14:paraId="4526216F">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eastAsia="zh-CN"/>
              </w:rPr>
            </w:pPr>
            <w:r>
              <w:rPr>
                <w:rFonts w:hint="eastAsia" w:ascii="宋体" w:hAnsi="宋体"/>
                <w:bCs/>
                <w:color w:val="auto"/>
                <w:kern w:val="0"/>
                <w:sz w:val="24"/>
                <w:szCs w:val="24"/>
                <w:highlight w:val="none"/>
                <w:lang w:eastAsia="zh-CN"/>
              </w:rPr>
              <w:t>（注：</w:t>
            </w:r>
            <w:r>
              <w:rPr>
                <w:rFonts w:hint="eastAsia" w:ascii="宋体" w:hAnsi="宋体"/>
                <w:bCs/>
                <w:color w:val="auto"/>
                <w:kern w:val="0"/>
                <w:sz w:val="24"/>
                <w:szCs w:val="24"/>
                <w:highlight w:val="none"/>
                <w:lang w:val="en-US" w:eastAsia="zh-CN"/>
              </w:rPr>
              <w:t>1.</w:t>
            </w:r>
            <w:r>
              <w:rPr>
                <w:rFonts w:hint="eastAsia" w:ascii="宋体" w:hAnsi="宋体"/>
                <w:bCs/>
                <w:color w:val="auto"/>
                <w:kern w:val="0"/>
                <w:sz w:val="24"/>
                <w:szCs w:val="24"/>
                <w:highlight w:val="none"/>
              </w:rPr>
              <w:t>需提供人员职称证、</w:t>
            </w:r>
            <w:r>
              <w:rPr>
                <w:rFonts w:hint="eastAsia" w:ascii="宋体" w:hAnsi="宋体"/>
                <w:bCs/>
                <w:color w:val="auto"/>
                <w:kern w:val="0"/>
                <w:sz w:val="24"/>
                <w:szCs w:val="24"/>
                <w:highlight w:val="none"/>
                <w:lang w:eastAsia="zh-CN"/>
              </w:rPr>
              <w:t>以及近半年内任意连续三个月</w:t>
            </w:r>
            <w:r>
              <w:rPr>
                <w:rFonts w:hint="eastAsia" w:ascii="宋体" w:hAnsi="宋体"/>
                <w:bCs/>
                <w:color w:val="auto"/>
                <w:kern w:val="0"/>
                <w:sz w:val="24"/>
                <w:szCs w:val="24"/>
                <w:highlight w:val="none"/>
              </w:rPr>
              <w:t>单位</w:t>
            </w:r>
            <w:r>
              <w:rPr>
                <w:rFonts w:hint="eastAsia" w:ascii="宋体" w:hAnsi="宋体"/>
                <w:bCs/>
                <w:color w:val="auto"/>
                <w:kern w:val="0"/>
                <w:sz w:val="24"/>
                <w:szCs w:val="24"/>
                <w:highlight w:val="none"/>
                <w:lang w:eastAsia="zh-CN"/>
              </w:rPr>
              <w:t>为其</w:t>
            </w:r>
            <w:r>
              <w:rPr>
                <w:rFonts w:hint="eastAsia" w:ascii="宋体" w:hAnsi="宋体"/>
                <w:bCs/>
                <w:color w:val="auto"/>
                <w:kern w:val="0"/>
                <w:sz w:val="24"/>
                <w:szCs w:val="24"/>
                <w:highlight w:val="none"/>
              </w:rPr>
              <w:t>缴纳社保证明的复印件，</w:t>
            </w:r>
            <w:r>
              <w:rPr>
                <w:rFonts w:hint="eastAsia" w:ascii="宋体" w:hAnsi="宋体"/>
                <w:bCs/>
                <w:color w:val="auto"/>
                <w:kern w:val="0"/>
                <w:sz w:val="24"/>
                <w:szCs w:val="24"/>
                <w:highlight w:val="none"/>
                <w:lang w:eastAsia="zh-CN"/>
              </w:rPr>
              <w:t>并</w:t>
            </w:r>
            <w:r>
              <w:rPr>
                <w:rFonts w:hint="eastAsia" w:ascii="宋体" w:hAnsi="宋体"/>
                <w:bCs/>
                <w:color w:val="auto"/>
                <w:kern w:val="0"/>
                <w:sz w:val="24"/>
                <w:szCs w:val="24"/>
                <w:highlight w:val="none"/>
              </w:rPr>
              <w:t>加盖公章</w:t>
            </w:r>
            <w:r>
              <w:rPr>
                <w:rFonts w:hint="eastAsia" w:ascii="宋体" w:hAnsi="宋体"/>
                <w:bCs/>
                <w:color w:val="auto"/>
                <w:kern w:val="0"/>
                <w:sz w:val="24"/>
                <w:szCs w:val="24"/>
                <w:highlight w:val="none"/>
                <w:lang w:eastAsia="zh-CN"/>
              </w:rPr>
              <w:t>；材料提供不全或</w:t>
            </w:r>
            <w:r>
              <w:rPr>
                <w:rFonts w:hint="eastAsia" w:ascii="宋体" w:hAnsi="宋体"/>
                <w:bCs/>
                <w:color w:val="auto"/>
                <w:kern w:val="0"/>
                <w:sz w:val="24"/>
                <w:szCs w:val="24"/>
                <w:highlight w:val="none"/>
              </w:rPr>
              <w:t>未提供的不得分</w:t>
            </w:r>
            <w:r>
              <w:rPr>
                <w:rFonts w:hint="eastAsia" w:ascii="宋体" w:hAnsi="宋体"/>
                <w:bCs/>
                <w:color w:val="auto"/>
                <w:kern w:val="0"/>
                <w:sz w:val="24"/>
                <w:szCs w:val="24"/>
                <w:highlight w:val="none"/>
                <w:lang w:eastAsia="zh-CN"/>
              </w:rPr>
              <w:t>；</w:t>
            </w:r>
            <w:r>
              <w:rPr>
                <w:rFonts w:hint="eastAsia" w:ascii="宋体" w:hAnsi="宋体" w:eastAsia="宋体"/>
                <w:bCs/>
                <w:color w:val="auto"/>
                <w:kern w:val="0"/>
                <w:sz w:val="24"/>
                <w:szCs w:val="24"/>
                <w:highlight w:val="none"/>
              </w:rPr>
              <w:t>)</w:t>
            </w:r>
          </w:p>
        </w:tc>
        <w:tc>
          <w:tcPr>
            <w:tcW w:w="951" w:type="dxa"/>
            <w:shd w:val="clear" w:color="auto" w:fill="FFFFFF"/>
            <w:vAlign w:val="center"/>
          </w:tcPr>
          <w:p w14:paraId="21CFCD67">
            <w:pPr>
              <w:jc w:val="center"/>
              <w:rPr>
                <w:rFonts w:hint="eastAsia" w:ascii="宋体" w:hAnsi="宋体" w:eastAsia="宋体"/>
                <w:bCs/>
                <w:color w:val="auto"/>
                <w:kern w:val="0"/>
                <w:sz w:val="24"/>
                <w:szCs w:val="24"/>
                <w:highlight w:val="none"/>
                <w:lang w:val="en-US" w:eastAsia="zh-CN"/>
              </w:rPr>
            </w:pPr>
            <w:r>
              <w:rPr>
                <w:rFonts w:hint="eastAsia" w:ascii="宋体" w:hAnsi="宋体"/>
                <w:bCs/>
                <w:color w:val="auto"/>
                <w:kern w:val="0"/>
                <w:sz w:val="24"/>
                <w:szCs w:val="24"/>
                <w:highlight w:val="none"/>
              </w:rPr>
              <w:t>0-</w:t>
            </w:r>
            <w:r>
              <w:rPr>
                <w:rFonts w:hint="eastAsia" w:ascii="宋体" w:hAnsi="宋体"/>
                <w:bCs/>
                <w:color w:val="auto"/>
                <w:kern w:val="0"/>
                <w:sz w:val="24"/>
                <w:szCs w:val="24"/>
                <w:highlight w:val="none"/>
                <w:lang w:val="en-US" w:eastAsia="zh-CN"/>
              </w:rPr>
              <w:t>13</w:t>
            </w:r>
            <w:r>
              <w:rPr>
                <w:rFonts w:hint="eastAsia" w:ascii="宋体" w:hAnsi="宋体"/>
                <w:bCs/>
                <w:color w:val="auto"/>
                <w:kern w:val="0"/>
                <w:sz w:val="24"/>
                <w:szCs w:val="24"/>
                <w:highlight w:val="none"/>
              </w:rPr>
              <w:t>分</w:t>
            </w:r>
          </w:p>
        </w:tc>
      </w:tr>
      <w:tr w14:paraId="249BF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3" w:hRule="atLeast"/>
          <w:jc w:val="center"/>
        </w:trPr>
        <w:tc>
          <w:tcPr>
            <w:tcW w:w="1292" w:type="dxa"/>
            <w:vMerge w:val="continue"/>
            <w:shd w:val="clear" w:color="auto" w:fill="FFFFFF"/>
            <w:vAlign w:val="center"/>
          </w:tcPr>
          <w:p w14:paraId="22F863C3">
            <w:pPr>
              <w:jc w:val="center"/>
              <w:rPr>
                <w:rFonts w:hint="eastAsia" w:ascii="宋体" w:hAnsi="宋体" w:eastAsia="宋体"/>
                <w:color w:val="auto"/>
                <w:kern w:val="0"/>
                <w:sz w:val="24"/>
                <w:szCs w:val="24"/>
                <w:highlight w:val="none"/>
              </w:rPr>
            </w:pPr>
          </w:p>
        </w:tc>
        <w:tc>
          <w:tcPr>
            <w:tcW w:w="1741" w:type="dxa"/>
            <w:shd w:val="clear" w:color="auto" w:fill="FFFFFF"/>
            <w:vAlign w:val="center"/>
          </w:tcPr>
          <w:p w14:paraId="44E2D3E9">
            <w:pPr>
              <w:numPr>
                <w:ilvl w:val="0"/>
                <w:numId w:val="0"/>
              </w:numPr>
              <w:jc w:val="center"/>
              <w:rPr>
                <w:rFonts w:hint="eastAsia" w:ascii="宋体" w:hAnsi="宋体" w:eastAsia="宋体"/>
                <w:bCs/>
                <w:color w:val="auto"/>
                <w:kern w:val="0"/>
                <w:sz w:val="24"/>
                <w:szCs w:val="24"/>
                <w:highlight w:val="none"/>
                <w:lang w:val="en-US" w:eastAsia="zh-CN"/>
              </w:rPr>
            </w:pPr>
            <w:r>
              <w:rPr>
                <w:rFonts w:hint="eastAsia" w:ascii="宋体" w:hAnsi="宋体" w:eastAsia="宋体"/>
                <w:bCs/>
                <w:color w:val="auto"/>
                <w:kern w:val="0"/>
                <w:sz w:val="24"/>
                <w:szCs w:val="24"/>
                <w:highlight w:val="none"/>
                <w:lang w:val="en-US" w:eastAsia="zh-CN"/>
              </w:rPr>
              <w:t>优惠服务承诺（</w:t>
            </w:r>
            <w:r>
              <w:rPr>
                <w:rFonts w:hint="eastAsia" w:ascii="宋体" w:hAnsi="宋体"/>
                <w:bCs/>
                <w:color w:val="auto"/>
                <w:kern w:val="0"/>
                <w:sz w:val="24"/>
                <w:szCs w:val="24"/>
                <w:highlight w:val="none"/>
                <w:lang w:val="en-US" w:eastAsia="zh-CN"/>
              </w:rPr>
              <w:t>6</w:t>
            </w:r>
            <w:r>
              <w:rPr>
                <w:rFonts w:hint="eastAsia" w:ascii="宋体" w:hAnsi="宋体" w:eastAsia="宋体"/>
                <w:bCs/>
                <w:color w:val="auto"/>
                <w:kern w:val="0"/>
                <w:sz w:val="24"/>
                <w:szCs w:val="24"/>
                <w:highlight w:val="none"/>
                <w:lang w:val="en-US" w:eastAsia="zh-CN"/>
              </w:rPr>
              <w:t>分）</w:t>
            </w:r>
          </w:p>
        </w:tc>
        <w:tc>
          <w:tcPr>
            <w:tcW w:w="5772" w:type="dxa"/>
            <w:shd w:val="clear" w:color="auto" w:fill="FFFFFF"/>
            <w:vAlign w:val="center"/>
          </w:tcPr>
          <w:p w14:paraId="1A494991">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Cs/>
                <w:color w:val="auto"/>
                <w:kern w:val="0"/>
                <w:sz w:val="24"/>
                <w:szCs w:val="24"/>
                <w:highlight w:val="none"/>
                <w:lang w:val="en-US" w:eastAsia="zh-CN"/>
              </w:rPr>
            </w:pPr>
            <w:r>
              <w:rPr>
                <w:rFonts w:hint="eastAsia" w:ascii="宋体" w:hAnsi="宋体"/>
                <w:bCs/>
                <w:color w:val="auto"/>
                <w:kern w:val="0"/>
                <w:sz w:val="24"/>
                <w:szCs w:val="24"/>
                <w:highlight w:val="none"/>
                <w:lang w:val="en-US" w:eastAsia="zh-CN"/>
              </w:rPr>
              <w:t>1、针对项目设计周期、协助招标人解决项目难点问题等方面做出实质性承诺得2分；</w:t>
            </w:r>
          </w:p>
          <w:p w14:paraId="1093EF11">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宋体" w:hAnsi="宋体"/>
                <w:bCs/>
                <w:color w:val="auto"/>
                <w:kern w:val="0"/>
                <w:sz w:val="24"/>
                <w:szCs w:val="24"/>
                <w:highlight w:val="none"/>
                <w:lang w:val="en-US" w:eastAsia="zh-CN"/>
              </w:rPr>
            </w:pPr>
            <w:r>
              <w:rPr>
                <w:rFonts w:hint="default" w:ascii="宋体" w:hAnsi="宋体"/>
                <w:bCs/>
                <w:color w:val="auto"/>
                <w:kern w:val="0"/>
                <w:sz w:val="24"/>
                <w:szCs w:val="24"/>
                <w:highlight w:val="none"/>
                <w:lang w:val="en-US" w:eastAsia="zh-CN"/>
              </w:rPr>
              <w:t>2、</w:t>
            </w:r>
            <w:r>
              <w:rPr>
                <w:rFonts w:hint="eastAsia" w:ascii="宋体" w:hAnsi="宋体"/>
                <w:bCs/>
                <w:color w:val="auto"/>
                <w:kern w:val="0"/>
                <w:sz w:val="24"/>
                <w:szCs w:val="24"/>
                <w:highlight w:val="none"/>
                <w:lang w:val="en-US" w:eastAsia="zh-CN"/>
              </w:rPr>
              <w:t>承诺服从采购人总体工作计划调度，主动做好各项配合工作的得2分；</w:t>
            </w:r>
          </w:p>
          <w:p w14:paraId="04377EB1">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Cs/>
                <w:color w:val="auto"/>
                <w:kern w:val="0"/>
                <w:sz w:val="24"/>
                <w:szCs w:val="24"/>
                <w:highlight w:val="none"/>
                <w:lang w:val="en-US" w:eastAsia="zh-CN"/>
              </w:rPr>
            </w:pPr>
            <w:r>
              <w:rPr>
                <w:rFonts w:hint="eastAsia" w:ascii="宋体" w:hAnsi="宋体"/>
                <w:bCs/>
                <w:color w:val="auto"/>
                <w:kern w:val="0"/>
                <w:sz w:val="24"/>
                <w:szCs w:val="24"/>
                <w:highlight w:val="none"/>
                <w:lang w:val="en-US" w:eastAsia="zh-CN"/>
              </w:rPr>
              <w:t>3、承诺设计人员全过程配合项目施工及工程验收服务保障措施的得1分；</w:t>
            </w:r>
          </w:p>
          <w:p w14:paraId="4F80081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Cs/>
                <w:color w:val="auto"/>
                <w:kern w:val="0"/>
                <w:sz w:val="24"/>
                <w:szCs w:val="24"/>
                <w:highlight w:val="none"/>
                <w:lang w:val="en-US" w:eastAsia="zh-CN"/>
              </w:rPr>
            </w:pPr>
            <w:r>
              <w:rPr>
                <w:rFonts w:hint="default" w:ascii="宋体" w:hAnsi="宋体"/>
                <w:bCs/>
                <w:color w:val="auto"/>
                <w:kern w:val="0"/>
                <w:sz w:val="24"/>
                <w:szCs w:val="24"/>
                <w:highlight w:val="none"/>
                <w:lang w:val="en-US" w:eastAsia="zh-CN"/>
              </w:rPr>
              <w:t>4、</w:t>
            </w:r>
            <w:r>
              <w:rPr>
                <w:rFonts w:hint="eastAsia" w:ascii="宋体" w:hAnsi="宋体"/>
                <w:bCs/>
                <w:color w:val="auto"/>
                <w:kern w:val="0"/>
                <w:sz w:val="24"/>
                <w:szCs w:val="24"/>
                <w:highlight w:val="none"/>
                <w:lang w:val="en-US" w:eastAsia="zh-CN"/>
              </w:rPr>
              <w:t>提供其他增值服务相关承诺的得1分；</w:t>
            </w:r>
          </w:p>
          <w:p w14:paraId="1D66C2C5">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color w:val="auto"/>
                <w:lang w:val="en-US" w:eastAsia="zh-CN"/>
              </w:rPr>
            </w:pPr>
            <w:r>
              <w:rPr>
                <w:rFonts w:hint="eastAsia" w:ascii="宋体" w:hAnsi="宋体"/>
                <w:b/>
                <w:bCs w:val="0"/>
                <w:color w:val="auto"/>
                <w:kern w:val="0"/>
                <w:sz w:val="24"/>
                <w:szCs w:val="24"/>
                <w:highlight w:val="none"/>
                <w:lang w:val="en-US" w:eastAsia="zh-CN"/>
              </w:rPr>
              <w:t>注：</w:t>
            </w:r>
            <w:r>
              <w:rPr>
                <w:rFonts w:hint="eastAsia" w:ascii="宋体" w:hAnsi="宋体" w:eastAsia="宋体" w:cstheme="minorBidi"/>
                <w:b/>
                <w:bCs w:val="0"/>
                <w:color w:val="auto"/>
                <w:kern w:val="0"/>
                <w:sz w:val="24"/>
                <w:szCs w:val="24"/>
                <w:highlight w:val="none"/>
                <w:lang w:val="en-US" w:eastAsia="zh-CN" w:bidi="ar-SA"/>
              </w:rPr>
              <w:t>以上</w:t>
            </w:r>
            <w:r>
              <w:rPr>
                <w:rFonts w:hint="eastAsia" w:ascii="宋体" w:hAnsi="宋体" w:eastAsia="宋体"/>
                <w:b/>
                <w:bCs w:val="0"/>
                <w:color w:val="auto"/>
                <w:kern w:val="0"/>
                <w:sz w:val="24"/>
                <w:szCs w:val="24"/>
                <w:highlight w:val="none"/>
              </w:rPr>
              <w:t>不提供则不得分。</w:t>
            </w:r>
          </w:p>
        </w:tc>
        <w:tc>
          <w:tcPr>
            <w:tcW w:w="951" w:type="dxa"/>
            <w:shd w:val="clear" w:color="auto" w:fill="FFFFFF"/>
            <w:vAlign w:val="center"/>
          </w:tcPr>
          <w:p w14:paraId="1CAD23C5">
            <w:pPr>
              <w:jc w:val="center"/>
              <w:rPr>
                <w:rFonts w:hint="eastAsia" w:ascii="宋体" w:hAnsi="宋体" w:eastAsia="宋体"/>
                <w:bCs/>
                <w:color w:val="auto"/>
                <w:kern w:val="0"/>
                <w:sz w:val="24"/>
                <w:szCs w:val="24"/>
                <w:highlight w:val="none"/>
              </w:rPr>
            </w:pPr>
            <w:r>
              <w:rPr>
                <w:rFonts w:hint="eastAsia" w:ascii="宋体" w:hAnsi="宋体"/>
                <w:bCs/>
                <w:color w:val="auto"/>
                <w:kern w:val="0"/>
                <w:sz w:val="24"/>
                <w:szCs w:val="24"/>
                <w:highlight w:val="none"/>
              </w:rPr>
              <w:t>0-</w:t>
            </w:r>
            <w:r>
              <w:rPr>
                <w:rFonts w:hint="eastAsia" w:ascii="宋体" w:hAnsi="宋体"/>
                <w:bCs/>
                <w:color w:val="auto"/>
                <w:kern w:val="0"/>
                <w:sz w:val="24"/>
                <w:szCs w:val="24"/>
                <w:highlight w:val="none"/>
                <w:lang w:val="en-US" w:eastAsia="zh-CN"/>
              </w:rPr>
              <w:t>6</w:t>
            </w:r>
            <w:r>
              <w:rPr>
                <w:rFonts w:hint="eastAsia" w:ascii="宋体" w:hAnsi="宋体"/>
                <w:bCs/>
                <w:color w:val="auto"/>
                <w:kern w:val="0"/>
                <w:sz w:val="24"/>
                <w:szCs w:val="24"/>
                <w:highlight w:val="none"/>
              </w:rPr>
              <w:t>分</w:t>
            </w:r>
          </w:p>
        </w:tc>
      </w:tr>
      <w:tr w14:paraId="1C600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jc w:val="center"/>
        </w:trPr>
        <w:tc>
          <w:tcPr>
            <w:tcW w:w="1292" w:type="dxa"/>
            <w:vMerge w:val="continue"/>
            <w:shd w:val="clear" w:color="auto" w:fill="FFFFFF"/>
            <w:vAlign w:val="center"/>
          </w:tcPr>
          <w:p w14:paraId="3BEACABD">
            <w:pPr>
              <w:jc w:val="center"/>
              <w:rPr>
                <w:rFonts w:hint="eastAsia" w:ascii="宋体" w:hAnsi="宋体" w:eastAsia="宋体"/>
                <w:b/>
                <w:color w:val="auto"/>
                <w:kern w:val="0"/>
                <w:sz w:val="24"/>
                <w:szCs w:val="24"/>
                <w:highlight w:val="none"/>
                <w:lang w:val="en-US" w:eastAsia="zh-CN"/>
              </w:rPr>
            </w:pPr>
          </w:p>
        </w:tc>
        <w:tc>
          <w:tcPr>
            <w:tcW w:w="1741" w:type="dxa"/>
            <w:shd w:val="clear" w:color="auto" w:fill="FFFFFF"/>
            <w:vAlign w:val="center"/>
          </w:tcPr>
          <w:p w14:paraId="6EF0A188">
            <w:pPr>
              <w:jc w:val="center"/>
              <w:rPr>
                <w:color w:val="auto"/>
                <w:highlight w:val="none"/>
              </w:rPr>
            </w:pPr>
            <w:r>
              <w:rPr>
                <w:rFonts w:hint="eastAsia" w:ascii="宋体" w:hAnsi="宋体"/>
                <w:bCs/>
                <w:color w:val="auto"/>
                <w:kern w:val="0"/>
                <w:sz w:val="24"/>
                <w:szCs w:val="24"/>
                <w:highlight w:val="none"/>
              </w:rPr>
              <w:t>拟投入设备及后备资源</w:t>
            </w:r>
            <w:r>
              <w:rPr>
                <w:rFonts w:ascii="宋体" w:hAnsi="宋体"/>
                <w:bCs/>
                <w:color w:val="auto"/>
                <w:kern w:val="0"/>
                <w:sz w:val="24"/>
                <w:szCs w:val="24"/>
                <w:highlight w:val="none"/>
              </w:rPr>
              <w:br w:type="textWrapping"/>
            </w:r>
            <w:r>
              <w:rPr>
                <w:rFonts w:hint="eastAsia" w:ascii="宋体" w:hAnsi="宋体"/>
                <w:bCs/>
                <w:color w:val="auto"/>
                <w:kern w:val="0"/>
                <w:sz w:val="24"/>
                <w:szCs w:val="24"/>
                <w:highlight w:val="none"/>
              </w:rPr>
              <w:t>（</w:t>
            </w:r>
            <w:r>
              <w:rPr>
                <w:rFonts w:hint="eastAsia" w:ascii="宋体" w:hAnsi="宋体"/>
                <w:bCs/>
                <w:color w:val="auto"/>
                <w:kern w:val="0"/>
                <w:sz w:val="24"/>
                <w:szCs w:val="24"/>
                <w:highlight w:val="none"/>
                <w:lang w:val="en-US" w:eastAsia="zh-CN"/>
              </w:rPr>
              <w:t>4</w:t>
            </w:r>
            <w:r>
              <w:rPr>
                <w:rFonts w:hint="eastAsia" w:ascii="宋体" w:hAnsi="宋体"/>
                <w:bCs/>
                <w:color w:val="auto"/>
                <w:kern w:val="0"/>
                <w:sz w:val="24"/>
                <w:szCs w:val="24"/>
                <w:highlight w:val="none"/>
              </w:rPr>
              <w:t>分）</w:t>
            </w:r>
          </w:p>
        </w:tc>
        <w:tc>
          <w:tcPr>
            <w:tcW w:w="5772" w:type="dxa"/>
            <w:shd w:val="clear" w:color="auto" w:fill="FFFFFF"/>
            <w:vAlign w:val="center"/>
          </w:tcPr>
          <w:p w14:paraId="7F880747">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eastAsia="zh-CN"/>
              </w:rPr>
            </w:pPr>
            <w:r>
              <w:rPr>
                <w:rFonts w:hint="eastAsia" w:ascii="宋体" w:hAnsi="宋体" w:eastAsia="宋体" w:cstheme="minorBidi"/>
                <w:bCs/>
                <w:color w:val="auto"/>
                <w:kern w:val="0"/>
                <w:sz w:val="24"/>
                <w:szCs w:val="24"/>
                <w:highlight w:val="none"/>
                <w:lang w:val="en-US" w:eastAsia="zh-CN" w:bidi="ar-SA"/>
              </w:rPr>
              <w:t>1、</w:t>
            </w:r>
            <w:r>
              <w:rPr>
                <w:rFonts w:hint="eastAsia" w:ascii="宋体" w:hAnsi="宋体"/>
                <w:bCs/>
                <w:color w:val="auto"/>
                <w:kern w:val="0"/>
                <w:sz w:val="24"/>
                <w:szCs w:val="24"/>
                <w:highlight w:val="none"/>
              </w:rPr>
              <w:t>拟投入</w:t>
            </w:r>
            <w:r>
              <w:rPr>
                <w:rFonts w:hint="eastAsia" w:ascii="宋体" w:hAnsi="宋体" w:eastAsia="宋体"/>
                <w:bCs/>
                <w:color w:val="auto"/>
                <w:kern w:val="0"/>
                <w:sz w:val="24"/>
                <w:szCs w:val="24"/>
                <w:highlight w:val="none"/>
                <w:lang w:eastAsia="zh-CN"/>
              </w:rPr>
              <w:t>设备配置：满足项目需求</w:t>
            </w:r>
            <w:r>
              <w:rPr>
                <w:rFonts w:hint="eastAsia" w:ascii="宋体" w:hAnsi="宋体" w:eastAsia="宋体"/>
                <w:bCs/>
                <w:color w:val="auto"/>
                <w:kern w:val="0"/>
                <w:sz w:val="24"/>
                <w:szCs w:val="24"/>
                <w:highlight w:val="none"/>
                <w:lang w:val="en-US" w:eastAsia="zh-CN"/>
              </w:rPr>
              <w:t>的</w:t>
            </w:r>
            <w:r>
              <w:rPr>
                <w:rFonts w:hint="eastAsia" w:ascii="宋体" w:hAnsi="宋体" w:eastAsia="宋体"/>
                <w:bCs/>
                <w:color w:val="auto"/>
                <w:kern w:val="0"/>
                <w:sz w:val="24"/>
                <w:szCs w:val="24"/>
                <w:highlight w:val="none"/>
                <w:lang w:eastAsia="zh-CN"/>
              </w:rPr>
              <w:t>得2分，基本满足</w:t>
            </w:r>
            <w:r>
              <w:rPr>
                <w:rFonts w:hint="eastAsia" w:ascii="宋体" w:hAnsi="宋体" w:eastAsia="宋体"/>
                <w:bCs/>
                <w:color w:val="auto"/>
                <w:kern w:val="0"/>
                <w:sz w:val="24"/>
                <w:szCs w:val="24"/>
                <w:highlight w:val="none"/>
                <w:lang w:val="en-US" w:eastAsia="zh-CN"/>
              </w:rPr>
              <w:t>的</w:t>
            </w:r>
            <w:r>
              <w:rPr>
                <w:rFonts w:hint="eastAsia" w:ascii="宋体" w:hAnsi="宋体" w:eastAsia="宋体"/>
                <w:bCs/>
                <w:color w:val="auto"/>
                <w:kern w:val="0"/>
                <w:sz w:val="24"/>
                <w:szCs w:val="24"/>
                <w:highlight w:val="none"/>
                <w:lang w:eastAsia="zh-CN"/>
              </w:rPr>
              <w:t xml:space="preserve">得1分，不满足不得分。 </w:t>
            </w:r>
          </w:p>
          <w:p w14:paraId="66E5AC8C">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宋体" w:hAnsi="宋体" w:eastAsia="宋体"/>
                <w:bCs/>
                <w:color w:val="auto"/>
                <w:kern w:val="0"/>
                <w:sz w:val="24"/>
                <w:szCs w:val="24"/>
                <w:highlight w:val="none"/>
                <w:lang w:eastAsia="zh-CN"/>
              </w:rPr>
            </w:pPr>
            <w:r>
              <w:rPr>
                <w:rFonts w:hint="eastAsia" w:ascii="宋体" w:hAnsi="宋体" w:eastAsia="宋体" w:cstheme="minorBidi"/>
                <w:bCs/>
                <w:color w:val="auto"/>
                <w:kern w:val="0"/>
                <w:sz w:val="24"/>
                <w:szCs w:val="24"/>
                <w:highlight w:val="none"/>
                <w:lang w:val="en-US" w:eastAsia="zh-CN" w:bidi="ar-SA"/>
              </w:rPr>
              <w:t>2、</w:t>
            </w:r>
            <w:r>
              <w:rPr>
                <w:rFonts w:hint="eastAsia" w:ascii="宋体" w:hAnsi="宋体" w:eastAsia="宋体"/>
                <w:bCs/>
                <w:color w:val="auto"/>
                <w:kern w:val="0"/>
                <w:sz w:val="24"/>
                <w:szCs w:val="24"/>
                <w:highlight w:val="none"/>
                <w:lang w:eastAsia="zh-CN"/>
              </w:rPr>
              <w:t>后备设备及资源：</w:t>
            </w:r>
            <w:r>
              <w:rPr>
                <w:rFonts w:ascii="宋体" w:hAnsi="宋体" w:eastAsia="宋体" w:cs="宋体"/>
                <w:sz w:val="24"/>
                <w:szCs w:val="24"/>
              </w:rPr>
              <w:t>提供书面承诺可随时调度后备设备及配套资源，保障项目不间断实施，并提交后备设备购置发票或采购合同；每提供1项得1分，最高得 2 分</w:t>
            </w:r>
            <w:r>
              <w:rPr>
                <w:rFonts w:hint="eastAsia" w:ascii="宋体" w:hAnsi="宋体" w:eastAsia="宋体" w:cs="宋体"/>
                <w:sz w:val="24"/>
                <w:szCs w:val="24"/>
                <w:lang w:eastAsia="zh-CN"/>
              </w:rPr>
              <w:t>。</w:t>
            </w:r>
            <w:r>
              <w:rPr>
                <w:rFonts w:ascii="宋体" w:hAnsi="宋体" w:eastAsia="宋体" w:cs="宋体"/>
                <w:sz w:val="24"/>
                <w:szCs w:val="24"/>
              </w:rPr>
              <w:t>未提供书面承诺或证明材料的，本项不得分。</w:t>
            </w:r>
          </w:p>
        </w:tc>
        <w:tc>
          <w:tcPr>
            <w:tcW w:w="951" w:type="dxa"/>
            <w:shd w:val="clear" w:color="auto" w:fill="FFFFFF"/>
            <w:vAlign w:val="center"/>
          </w:tcPr>
          <w:p w14:paraId="3B807168">
            <w:pPr>
              <w:jc w:val="center"/>
              <w:rPr>
                <w:color w:val="auto"/>
                <w:highlight w:val="none"/>
              </w:rPr>
            </w:pPr>
            <w:r>
              <w:rPr>
                <w:rFonts w:hint="eastAsia" w:ascii="宋体" w:hAnsi="宋体"/>
                <w:bCs/>
                <w:color w:val="auto"/>
                <w:kern w:val="0"/>
                <w:sz w:val="24"/>
                <w:szCs w:val="24"/>
                <w:highlight w:val="none"/>
              </w:rPr>
              <w:t>0-</w:t>
            </w:r>
            <w:r>
              <w:rPr>
                <w:rFonts w:hint="eastAsia" w:ascii="宋体" w:hAnsi="宋体"/>
                <w:bCs/>
                <w:color w:val="auto"/>
                <w:kern w:val="0"/>
                <w:sz w:val="24"/>
                <w:szCs w:val="24"/>
                <w:highlight w:val="none"/>
                <w:lang w:val="en-US" w:eastAsia="zh-CN"/>
              </w:rPr>
              <w:t>4</w:t>
            </w:r>
            <w:r>
              <w:rPr>
                <w:rFonts w:hint="eastAsia" w:ascii="宋体" w:hAnsi="宋体"/>
                <w:bCs/>
                <w:color w:val="auto"/>
                <w:kern w:val="0"/>
                <w:sz w:val="24"/>
                <w:szCs w:val="24"/>
                <w:highlight w:val="none"/>
              </w:rPr>
              <w:t>分</w:t>
            </w:r>
          </w:p>
        </w:tc>
      </w:tr>
    </w:tbl>
    <w:p w14:paraId="67D1AFCC">
      <w:pPr>
        <w:spacing w:beforeAutospacing="0" w:afterAutospacing="0"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注：1、所有未进入详细评审的投标作为无效投标，其报价不作为评分依据。</w:t>
      </w:r>
    </w:p>
    <w:p w14:paraId="0ABB2891">
      <w:pPr>
        <w:spacing w:beforeAutospacing="0" w:afterAutospacing="0" w:line="360" w:lineRule="auto"/>
        <w:ind w:firstLine="480"/>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5.计分办法</w:t>
      </w:r>
    </w:p>
    <w:p w14:paraId="44ED7E71">
      <w:pPr>
        <w:spacing w:beforeAutospacing="0" w:afterAutospacing="0" w:line="360" w:lineRule="auto"/>
        <w:ind w:firstLine="48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计分过程中按四舍五入的法则，取至小数点后3位，磋商供应商的最终得分为所有评委打分的算术平均值，最终结果取至小数点后2位。</w:t>
      </w:r>
      <w:r>
        <w:rPr>
          <w:rFonts w:hint="eastAsia" w:ascii="宋体" w:hAnsi="宋体"/>
          <w:color w:val="auto"/>
          <w:sz w:val="24"/>
          <w:szCs w:val="24"/>
          <w:highlight w:val="none"/>
          <w:lang w:eastAsia="zh-CN"/>
        </w:rPr>
        <w:t>磋商小组</w:t>
      </w:r>
      <w:r>
        <w:rPr>
          <w:rFonts w:hint="eastAsia" w:ascii="宋体" w:hAnsi="宋体" w:eastAsia="宋体"/>
          <w:color w:val="auto"/>
          <w:sz w:val="24"/>
          <w:szCs w:val="24"/>
          <w:highlight w:val="none"/>
        </w:rPr>
        <w:t>将按磋商供应商得分高低排序向采购人推荐前三名为成交候选人。</w:t>
      </w:r>
    </w:p>
    <w:p w14:paraId="317D414C">
      <w:pPr>
        <w:spacing w:beforeAutospacing="0" w:afterAutospacing="0" w:line="360" w:lineRule="auto"/>
        <w:ind w:firstLine="480"/>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rPr>
        <w:t xml:space="preserve">  6.定标</w:t>
      </w:r>
    </w:p>
    <w:p w14:paraId="06016BB0">
      <w:pPr>
        <w:spacing w:beforeAutospacing="0" w:afterAutospacing="0" w:line="360" w:lineRule="auto"/>
        <w:ind w:firstLine="48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按评委计分结果,</w:t>
      </w:r>
      <w:r>
        <w:rPr>
          <w:rFonts w:hint="eastAsia" w:ascii="宋体" w:hAnsi="宋体"/>
          <w:color w:val="auto"/>
          <w:sz w:val="24"/>
          <w:szCs w:val="24"/>
          <w:highlight w:val="none"/>
          <w:lang w:eastAsia="zh-CN"/>
        </w:rPr>
        <w:t>磋商小组</w:t>
      </w:r>
      <w:r>
        <w:rPr>
          <w:rFonts w:hint="eastAsia" w:ascii="宋体" w:hAnsi="宋体" w:eastAsia="宋体"/>
          <w:color w:val="auto"/>
          <w:sz w:val="24"/>
          <w:szCs w:val="24"/>
          <w:highlight w:val="none"/>
        </w:rPr>
        <w:t>按照得分由高到低的顺序推荐3名成交候选人，并向采购人提供书面评标报告，由采购人确定成交单位。</w:t>
      </w:r>
    </w:p>
    <w:p w14:paraId="4EE17082">
      <w:pPr>
        <w:pStyle w:val="2"/>
        <w:rPr>
          <w:rFonts w:hint="eastAsia"/>
        </w:rPr>
      </w:pPr>
    </w:p>
    <w:p w14:paraId="4DFAE0FA">
      <w:pPr>
        <w:snapToGrid w:val="0"/>
        <w:spacing w:beforeAutospacing="0" w:afterAutospacing="0" w:line="360" w:lineRule="auto"/>
        <w:jc w:val="both"/>
        <w:outlineLvl w:val="0"/>
        <w:rPr>
          <w:rFonts w:hint="eastAsia" w:ascii="宋体" w:hAnsi="宋体" w:eastAsia="宋体"/>
          <w:b/>
          <w:bCs/>
          <w:color w:val="auto"/>
          <w:kern w:val="44"/>
          <w:sz w:val="36"/>
          <w:szCs w:val="48"/>
          <w:highlight w:val="none"/>
        </w:rPr>
      </w:pPr>
      <w:bookmarkStart w:id="175" w:name="_Toc136676037"/>
      <w:bookmarkEnd w:id="175"/>
      <w:bookmarkStart w:id="176" w:name="_Toc247514033"/>
      <w:bookmarkEnd w:id="176"/>
      <w:bookmarkStart w:id="177" w:name="_Toc247527634"/>
      <w:bookmarkEnd w:id="177"/>
      <w:bookmarkStart w:id="178" w:name="_Toc144974577"/>
      <w:bookmarkEnd w:id="178"/>
      <w:bookmarkStart w:id="179" w:name="_Toc152045609"/>
      <w:bookmarkEnd w:id="179"/>
      <w:bookmarkStart w:id="180" w:name="_Toc300835030"/>
      <w:bookmarkEnd w:id="180"/>
      <w:bookmarkStart w:id="181" w:name="_Toc152042387"/>
      <w:bookmarkEnd w:id="181"/>
      <w:bookmarkStart w:id="182" w:name="_Toc529947769"/>
      <w:bookmarkEnd w:id="182"/>
      <w:bookmarkStart w:id="183" w:name="_Toc6997"/>
      <w:bookmarkEnd w:id="183"/>
    </w:p>
    <w:p w14:paraId="70474118">
      <w:pPr>
        <w:snapToGrid w:val="0"/>
        <w:spacing w:beforeAutospacing="0" w:afterAutospacing="0" w:line="360" w:lineRule="auto"/>
        <w:jc w:val="center"/>
        <w:outlineLvl w:val="0"/>
        <w:rPr>
          <w:rFonts w:hint="eastAsia" w:ascii="宋体" w:hAnsi="宋体" w:eastAsia="宋体"/>
          <w:b/>
          <w:bCs/>
          <w:color w:val="auto"/>
          <w:sz w:val="36"/>
          <w:szCs w:val="36"/>
          <w:highlight w:val="none"/>
        </w:rPr>
      </w:pPr>
      <w:bookmarkStart w:id="184" w:name="_Toc13911"/>
      <w:bookmarkStart w:id="185" w:name="_Toc8932"/>
    </w:p>
    <w:p w14:paraId="0567B019">
      <w:pPr>
        <w:pStyle w:val="2"/>
        <w:rPr>
          <w:rFonts w:hint="eastAsia" w:ascii="宋体" w:hAnsi="宋体" w:eastAsia="宋体"/>
          <w:b/>
          <w:bCs/>
          <w:color w:val="auto"/>
          <w:sz w:val="36"/>
          <w:szCs w:val="36"/>
          <w:highlight w:val="none"/>
        </w:rPr>
      </w:pPr>
    </w:p>
    <w:p w14:paraId="6A2A49EA">
      <w:pPr>
        <w:rPr>
          <w:rFonts w:hint="eastAsia" w:ascii="宋体" w:hAnsi="宋体" w:eastAsia="宋体"/>
          <w:b/>
          <w:bCs/>
          <w:color w:val="auto"/>
          <w:sz w:val="36"/>
          <w:szCs w:val="36"/>
          <w:highlight w:val="none"/>
        </w:rPr>
      </w:pPr>
    </w:p>
    <w:p w14:paraId="5A2A0BDE">
      <w:pPr>
        <w:snapToGrid w:val="0"/>
        <w:spacing w:beforeAutospacing="0" w:afterAutospacing="0" w:line="360" w:lineRule="auto"/>
        <w:jc w:val="center"/>
        <w:outlineLvl w:val="0"/>
        <w:rPr>
          <w:rFonts w:hint="eastAsia" w:ascii="宋体" w:hAnsi="宋体" w:eastAsia="宋体"/>
          <w:b/>
          <w:bCs/>
          <w:color w:val="auto"/>
          <w:sz w:val="36"/>
          <w:szCs w:val="36"/>
          <w:highlight w:val="none"/>
        </w:rPr>
      </w:pPr>
      <w:r>
        <w:rPr>
          <w:rFonts w:hint="eastAsia" w:ascii="宋体" w:hAnsi="宋体" w:eastAsia="宋体"/>
          <w:b/>
          <w:bCs/>
          <w:color w:val="auto"/>
          <w:sz w:val="36"/>
          <w:szCs w:val="36"/>
          <w:highlight w:val="none"/>
        </w:rPr>
        <w:t>第</w:t>
      </w:r>
      <w:r>
        <w:rPr>
          <w:rFonts w:hint="eastAsia" w:ascii="宋体" w:hAnsi="宋体" w:eastAsia="宋体"/>
          <w:b/>
          <w:bCs/>
          <w:color w:val="auto"/>
          <w:sz w:val="36"/>
          <w:szCs w:val="36"/>
          <w:highlight w:val="none"/>
          <w:lang w:eastAsia="zh-CN"/>
        </w:rPr>
        <w:t>五</w:t>
      </w:r>
      <w:r>
        <w:rPr>
          <w:rFonts w:hint="eastAsia" w:ascii="宋体" w:hAnsi="宋体" w:eastAsia="宋体"/>
          <w:b/>
          <w:bCs/>
          <w:color w:val="auto"/>
          <w:sz w:val="36"/>
          <w:szCs w:val="36"/>
          <w:highlight w:val="none"/>
        </w:rPr>
        <w:t>章 合同条款及格式</w:t>
      </w:r>
      <w:bookmarkEnd w:id="184"/>
      <w:bookmarkEnd w:id="185"/>
    </w:p>
    <w:p w14:paraId="3286E3C3">
      <w:pPr>
        <w:snapToGrid w:val="0"/>
        <w:spacing w:beforeAutospacing="0" w:afterAutospacing="0" w:line="360" w:lineRule="auto"/>
        <w:jc w:val="center"/>
        <w:outlineLvl w:val="9"/>
        <w:rPr>
          <w:rFonts w:hint="eastAsia" w:ascii="宋体" w:hAnsi="宋体" w:eastAsia="宋体"/>
          <w:b/>
          <w:bCs/>
          <w:color w:val="auto"/>
          <w:kern w:val="44"/>
          <w:sz w:val="32"/>
          <w:szCs w:val="44"/>
          <w:highlight w:val="none"/>
        </w:rPr>
      </w:pPr>
      <w:bookmarkStart w:id="186" w:name="_Toc247514245"/>
      <w:bookmarkStart w:id="187" w:name="_Toc300835208"/>
      <w:bookmarkStart w:id="188" w:name="_Toc27965"/>
      <w:bookmarkStart w:id="189" w:name="_Toc247527826"/>
      <w:r>
        <w:rPr>
          <w:rFonts w:hint="eastAsia" w:ascii="宋体" w:hAnsi="宋体" w:eastAsia="宋体"/>
          <w:b/>
          <w:bCs/>
          <w:color w:val="auto"/>
          <w:kern w:val="44"/>
          <w:sz w:val="32"/>
          <w:szCs w:val="44"/>
          <w:highlight w:val="none"/>
        </w:rPr>
        <w:t>（</w:t>
      </w:r>
      <w:r>
        <w:rPr>
          <w:rFonts w:hint="eastAsia" w:ascii="宋体" w:hAnsi="宋体"/>
          <w:b/>
          <w:bCs/>
          <w:color w:val="auto"/>
          <w:kern w:val="44"/>
          <w:sz w:val="32"/>
          <w:szCs w:val="44"/>
          <w:highlight w:val="none"/>
          <w:lang w:val="en-US" w:eastAsia="zh-CN"/>
        </w:rPr>
        <w:t>本合同</w:t>
      </w:r>
      <w:r>
        <w:rPr>
          <w:rFonts w:hint="eastAsia" w:ascii="宋体" w:hAnsi="宋体" w:eastAsia="宋体"/>
          <w:b/>
          <w:bCs/>
          <w:color w:val="auto"/>
          <w:kern w:val="44"/>
          <w:sz w:val="32"/>
          <w:szCs w:val="44"/>
          <w:highlight w:val="none"/>
        </w:rPr>
        <w:t>仅供参考）</w:t>
      </w:r>
    </w:p>
    <w:p w14:paraId="1B1B309C">
      <w:pPr>
        <w:pStyle w:val="35"/>
        <w:spacing w:beforeAutospacing="0" w:afterAutospacing="0" w:line="480" w:lineRule="auto"/>
        <w:jc w:val="both"/>
        <w:outlineLvl w:val="9"/>
        <w:rPr>
          <w:rFonts w:hint="eastAsia" w:ascii="宋体" w:hAnsi="宋体"/>
          <w:b w:val="0"/>
          <w:bCs w:val="0"/>
          <w:color w:val="auto"/>
          <w:sz w:val="24"/>
          <w:szCs w:val="24"/>
          <w:highlight w:val="none"/>
        </w:rPr>
      </w:pPr>
      <w:bookmarkStart w:id="190" w:name="_Toc25421"/>
      <w:bookmarkEnd w:id="190"/>
      <w:bookmarkStart w:id="191" w:name="_Toc19117"/>
      <w:bookmarkEnd w:id="191"/>
      <w:bookmarkStart w:id="192" w:name="_Toc27231"/>
      <w:r>
        <w:rPr>
          <w:rFonts w:hint="eastAsia" w:ascii="宋体" w:hAnsi="宋体"/>
          <w:b w:val="0"/>
          <w:bCs w:val="0"/>
          <w:color w:val="auto"/>
          <w:sz w:val="24"/>
          <w:szCs w:val="24"/>
          <w:highlight w:val="none"/>
        </w:rPr>
        <w:t>甲</w:t>
      </w:r>
      <w:r>
        <w:rPr>
          <w:rFonts w:hint="eastAsia" w:ascii="宋体" w:hAnsi="宋体"/>
          <w:b w:val="0"/>
          <w:bCs w:val="0"/>
          <w:color w:val="auto"/>
          <w:sz w:val="24"/>
          <w:szCs w:val="24"/>
          <w:highlight w:val="none"/>
          <w:lang w:val="en-US" w:eastAsia="zh-CN"/>
        </w:rPr>
        <w:t xml:space="preserve">    </w:t>
      </w:r>
      <w:r>
        <w:rPr>
          <w:rFonts w:hint="eastAsia" w:ascii="宋体" w:hAnsi="宋体"/>
          <w:b w:val="0"/>
          <w:bCs w:val="0"/>
          <w:color w:val="auto"/>
          <w:sz w:val="24"/>
          <w:szCs w:val="24"/>
          <w:highlight w:val="none"/>
        </w:rPr>
        <w:t xml:space="preserve">方： </w:t>
      </w:r>
      <w:r>
        <w:rPr>
          <w:rFonts w:hint="eastAsia" w:ascii="宋体" w:hAnsi="宋体"/>
          <w:b w:val="0"/>
          <w:bCs w:val="0"/>
          <w:color w:val="auto"/>
          <w:sz w:val="24"/>
          <w:szCs w:val="24"/>
          <w:highlight w:val="none"/>
          <w:u w:val="single"/>
        </w:rPr>
        <w:t>（</w:t>
      </w:r>
      <w:r>
        <w:rPr>
          <w:rFonts w:hint="eastAsia" w:ascii="宋体" w:hAnsi="宋体"/>
          <w:b w:val="0"/>
          <w:bCs w:val="0"/>
          <w:color w:val="auto"/>
          <w:sz w:val="24"/>
          <w:szCs w:val="24"/>
          <w:highlight w:val="none"/>
          <w:u w:val="single"/>
          <w:lang w:val="en-US" w:eastAsia="zh-CN"/>
        </w:rPr>
        <w:t>采购</w:t>
      </w:r>
      <w:r>
        <w:rPr>
          <w:rFonts w:hint="eastAsia" w:ascii="宋体" w:hAnsi="宋体"/>
          <w:b w:val="0"/>
          <w:bCs w:val="0"/>
          <w:color w:val="auto"/>
          <w:sz w:val="24"/>
          <w:szCs w:val="24"/>
          <w:highlight w:val="none"/>
          <w:u w:val="single"/>
        </w:rPr>
        <w:t>人）</w:t>
      </w:r>
      <w:bookmarkEnd w:id="192"/>
    </w:p>
    <w:p w14:paraId="40ABF4E9">
      <w:pPr>
        <w:spacing w:beforeAutospacing="0" w:afterAutospacing="0" w:line="480" w:lineRule="auto"/>
        <w:rPr>
          <w:rFonts w:hint="eastAsia" w:ascii="宋体" w:hAnsi="宋体"/>
          <w:b w:val="0"/>
          <w:bCs w:val="0"/>
          <w:color w:val="auto"/>
          <w:sz w:val="24"/>
          <w:highlight w:val="none"/>
          <w:lang w:bidi="ar"/>
        </w:rPr>
      </w:pPr>
      <w:r>
        <w:rPr>
          <w:rFonts w:hint="eastAsia" w:ascii="宋体" w:hAnsi="宋体"/>
          <w:b w:val="0"/>
          <w:bCs w:val="0"/>
          <w:color w:val="auto"/>
          <w:sz w:val="24"/>
          <w:highlight w:val="none"/>
          <w:lang w:bidi="ar"/>
        </w:rPr>
        <w:t xml:space="preserve">乙   方： </w:t>
      </w:r>
      <w:r>
        <w:rPr>
          <w:rFonts w:hint="eastAsia" w:ascii="宋体" w:hAnsi="宋体"/>
          <w:b w:val="0"/>
          <w:bCs w:val="0"/>
          <w:color w:val="auto"/>
          <w:sz w:val="24"/>
          <w:highlight w:val="none"/>
          <w:u w:val="single"/>
          <w:lang w:bidi="ar"/>
        </w:rPr>
        <w:t xml:space="preserve"> </w:t>
      </w:r>
      <w:r>
        <w:rPr>
          <w:rFonts w:hint="eastAsia" w:ascii="宋体" w:hAnsi="宋体"/>
          <w:color w:val="auto"/>
          <w:sz w:val="24"/>
          <w:highlight w:val="none"/>
          <w:u w:val="single"/>
          <w:lang w:bidi="ar"/>
        </w:rPr>
        <w:t>（中标人）</w:t>
      </w:r>
    </w:p>
    <w:p w14:paraId="0F8B0216">
      <w:pPr>
        <w:spacing w:beforeAutospacing="0" w:afterAutospacing="0" w:line="480" w:lineRule="auto"/>
        <w:rPr>
          <w:rFonts w:hint="eastAsia" w:ascii="宋体" w:hAnsi="宋体"/>
          <w:color w:val="auto"/>
          <w:sz w:val="24"/>
          <w:highlight w:val="none"/>
          <w:lang w:bidi="ar"/>
        </w:rPr>
      </w:pPr>
      <w:r>
        <w:rPr>
          <w:rFonts w:hint="eastAsia" w:ascii="宋体" w:hAnsi="宋体"/>
          <w:color w:val="auto"/>
          <w:sz w:val="24"/>
          <w:highlight w:val="none"/>
          <w:lang w:bidi="ar"/>
        </w:rPr>
        <w:t>项目名称：</w:t>
      </w:r>
    </w:p>
    <w:p w14:paraId="13A0A5F6">
      <w:pPr>
        <w:spacing w:beforeAutospacing="0" w:afterAutospacing="0" w:line="480" w:lineRule="auto"/>
        <w:rPr>
          <w:rFonts w:hint="eastAsia" w:ascii="宋体" w:hAnsi="宋体"/>
          <w:color w:val="auto"/>
          <w:sz w:val="24"/>
          <w:highlight w:val="none"/>
          <w:lang w:bidi="ar"/>
        </w:rPr>
      </w:pPr>
      <w:r>
        <w:rPr>
          <w:rFonts w:hint="eastAsia" w:ascii="宋体" w:hAnsi="宋体"/>
          <w:color w:val="auto"/>
          <w:sz w:val="24"/>
          <w:highlight w:val="none"/>
          <w:lang w:bidi="ar"/>
        </w:rPr>
        <w:t>采购编号：</w:t>
      </w:r>
    </w:p>
    <w:p w14:paraId="5B28AA04">
      <w:pPr>
        <w:spacing w:beforeAutospacing="0" w:afterAutospacing="0" w:line="480" w:lineRule="auto"/>
        <w:ind w:firstLine="595" w:firstLineChars="248"/>
        <w:rPr>
          <w:rFonts w:hint="eastAsia" w:ascii="宋体" w:hAnsi="宋体"/>
          <w:color w:val="auto"/>
          <w:sz w:val="24"/>
          <w:highlight w:val="none"/>
          <w:lang w:bidi="ar"/>
        </w:rPr>
      </w:pPr>
      <w:r>
        <w:rPr>
          <w:rFonts w:hint="eastAsia" w:ascii="宋体" w:hAnsi="宋体"/>
          <w:color w:val="auto"/>
          <w:sz w:val="24"/>
          <w:highlight w:val="none"/>
          <w:lang w:bidi="ar"/>
        </w:rPr>
        <w:t>根据</w:t>
      </w:r>
      <w:r>
        <w:rPr>
          <w:rFonts w:hint="eastAsia" w:ascii="宋体" w:hAnsi="宋体"/>
          <w:color w:val="auto"/>
          <w:sz w:val="24"/>
          <w:highlight w:val="none"/>
          <w:u w:val="single"/>
          <w:lang w:bidi="ar"/>
        </w:rPr>
        <w:t xml:space="preserve">                                 项目</w:t>
      </w:r>
      <w:r>
        <w:rPr>
          <w:rFonts w:hint="eastAsia" w:ascii="宋体" w:hAnsi="宋体"/>
          <w:color w:val="auto"/>
          <w:sz w:val="24"/>
          <w:highlight w:val="none"/>
          <w:lang w:bidi="ar"/>
        </w:rPr>
        <w:t>的采购结果 ，按照《中华人民共和国政府采购法》、《合同法》规定 ，经双方协商，本着平等互利和诚实信用的原则，一致同意签订本合同如下。</w:t>
      </w:r>
    </w:p>
    <w:p w14:paraId="15F3D3C4">
      <w:pPr>
        <w:pStyle w:val="36"/>
        <w:numPr>
          <w:ilvl w:val="0"/>
          <w:numId w:val="12"/>
        </w:numPr>
        <w:tabs>
          <w:tab w:val="clear" w:pos="0"/>
        </w:tabs>
        <w:spacing w:beforeAutospacing="0" w:afterAutospacing="0" w:line="480" w:lineRule="auto"/>
        <w:ind w:firstLineChars="0"/>
        <w:jc w:val="left"/>
        <w:rPr>
          <w:rFonts w:hint="eastAsia" w:ascii="宋体" w:hAnsi="宋体"/>
          <w:color w:val="auto"/>
          <w:sz w:val="24"/>
          <w:szCs w:val="24"/>
          <w:highlight w:val="none"/>
        </w:rPr>
      </w:pPr>
      <w:r>
        <w:rPr>
          <w:rFonts w:hint="eastAsia" w:ascii="宋体" w:hAnsi="宋体"/>
          <w:color w:val="auto"/>
          <w:sz w:val="24"/>
          <w:szCs w:val="24"/>
          <w:highlight w:val="none"/>
        </w:rPr>
        <w:t>合同金额</w:t>
      </w:r>
    </w:p>
    <w:p w14:paraId="37E39F94">
      <w:pPr>
        <w:spacing w:beforeAutospacing="0" w:afterAutospacing="0" w:line="480" w:lineRule="auto"/>
        <w:ind w:left="555"/>
        <w:rPr>
          <w:rFonts w:hint="eastAsia" w:ascii="宋体" w:hAnsi="宋体"/>
          <w:color w:val="auto"/>
          <w:sz w:val="24"/>
          <w:highlight w:val="none"/>
          <w:lang w:bidi="ar"/>
        </w:rPr>
      </w:pPr>
      <w:r>
        <w:rPr>
          <w:rFonts w:hint="eastAsia" w:ascii="宋体" w:hAnsi="宋体"/>
          <w:color w:val="auto"/>
          <w:sz w:val="24"/>
          <w:highlight w:val="none"/>
          <w:lang w:bidi="ar"/>
        </w:rPr>
        <w:t xml:space="preserve">合同金额（大写）：元（ </w:t>
      </w:r>
      <w:r>
        <w:rPr>
          <w:rStyle w:val="37"/>
          <w:rFonts w:hint="eastAsia" w:ascii="宋体" w:hAnsi="宋体"/>
          <w:b/>
          <w:color w:val="auto"/>
          <w:kern w:val="36"/>
          <w:sz w:val="24"/>
          <w:highlight w:val="none"/>
          <w:lang w:bidi="ar"/>
        </w:rPr>
        <w:t>￥</w:t>
      </w:r>
      <w:r>
        <w:rPr>
          <w:rFonts w:hint="eastAsia" w:ascii="宋体" w:hAnsi="宋体"/>
          <w:color w:val="auto"/>
          <w:sz w:val="24"/>
          <w:highlight w:val="none"/>
          <w:lang w:bidi="ar"/>
        </w:rPr>
        <w:t>元）人民币。</w:t>
      </w:r>
    </w:p>
    <w:p w14:paraId="0C4FC84F">
      <w:pPr>
        <w:pStyle w:val="36"/>
        <w:numPr>
          <w:ilvl w:val="0"/>
          <w:numId w:val="12"/>
        </w:numPr>
        <w:tabs>
          <w:tab w:val="clear" w:pos="0"/>
        </w:tabs>
        <w:spacing w:beforeAutospacing="0" w:afterAutospacing="0" w:line="480" w:lineRule="auto"/>
        <w:ind w:firstLineChars="0"/>
        <w:rPr>
          <w:rFonts w:hint="eastAsia" w:ascii="宋体" w:hAnsi="宋体"/>
          <w:color w:val="auto"/>
          <w:sz w:val="24"/>
          <w:szCs w:val="24"/>
          <w:highlight w:val="none"/>
        </w:rPr>
      </w:pPr>
      <w:r>
        <w:rPr>
          <w:rFonts w:hint="eastAsia" w:ascii="宋体" w:hAnsi="宋体"/>
          <w:color w:val="auto"/>
          <w:sz w:val="24"/>
          <w:szCs w:val="24"/>
          <w:highlight w:val="none"/>
        </w:rPr>
        <w:t>服务范围</w:t>
      </w:r>
    </w:p>
    <w:p w14:paraId="34E30D0E">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甲方聘请乙方提供以下服务：</w:t>
      </w:r>
    </w:p>
    <w:p w14:paraId="3E1C38E6">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1．本合同项下的服务指。</w:t>
      </w:r>
    </w:p>
    <w:p w14:paraId="37340EFD">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2．……</w:t>
      </w:r>
    </w:p>
    <w:p w14:paraId="6801AC0B">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3．……</w:t>
      </w:r>
    </w:p>
    <w:p w14:paraId="5DCE1A7B">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三、甲方乙方的权利和义务</w:t>
      </w:r>
    </w:p>
    <w:p w14:paraId="41D69DA8">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（一）甲方的权利和义务</w:t>
      </w:r>
    </w:p>
    <w:p w14:paraId="7C2A447B">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（二）乙方的权利和义务</w:t>
      </w:r>
    </w:p>
    <w:p w14:paraId="718AD48A">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四、服务期间（项目完成期限）</w:t>
      </w:r>
    </w:p>
    <w:p w14:paraId="35DF5A0C">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委托服务期间自年月至年月止。</w:t>
      </w:r>
    </w:p>
    <w:p w14:paraId="15F9E7BF">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五、付款方式：</w:t>
      </w:r>
    </w:p>
    <w:p w14:paraId="34E0EBA7">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由甲方按下列程序在内付款。</w:t>
      </w:r>
    </w:p>
    <w:p w14:paraId="0F4315AA">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经评审通过、项目开工后15个工作日内支付。</w:t>
      </w:r>
    </w:p>
    <w:p w14:paraId="46448169">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六、知识产权产权归属</w:t>
      </w:r>
    </w:p>
    <w:p w14:paraId="65F574F0">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七、保密</w:t>
      </w:r>
    </w:p>
    <w:p w14:paraId="337B3A2A">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八、违约责任与赔偿缺失</w:t>
      </w:r>
    </w:p>
    <w:p w14:paraId="5258446A">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1）乙方提供的服务有符合采购文件、报价文件或本合同规定的，甲方有权拒收，并且乙方须向甲方支付本合同总价5%违约金。</w:t>
      </w:r>
    </w:p>
    <w:p w14:paraId="02CADA37">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2）乙方未能合同规定的交货时间提供服务，从逾期之日起每日按本合同总价的3‰的数额向甲方支付违约金；逾期半个月以上的，甲方有权终止合同，由此造成的甲方经济损失由乙方承担。</w:t>
      </w:r>
    </w:p>
    <w:p w14:paraId="1F0B0131">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3）甲方无正当理由拒收接受服务，到期拒付服务款项的，甲方向乙方偿付本合同决的5%的违约金。甲方人逾期付款，则每日按本合同总价的3‰向乙方偿付违约金。</w:t>
      </w:r>
    </w:p>
    <w:p w14:paraId="667B632A">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4）其它违约责任按《中华人民共和国合同法》处理。</w:t>
      </w:r>
    </w:p>
    <w:p w14:paraId="5E0EFFAF">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九、争端的解决</w:t>
      </w:r>
    </w:p>
    <w:p w14:paraId="7DDD8192">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1）合同执行过程中发生的任何争议，如双方不能通过友好协商解决，按相关法律法规处理。</w:t>
      </w:r>
    </w:p>
    <w:p w14:paraId="0F9A713E">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十、不可抗力:任何一方由于不可抗力原因不能履行合同时，应在不可抗力事件结束后1日内向双方通报，以减轻可能给双方造成的损失，在取得有关机构的不可抗力证明或双方谅解确认后，允许延期履行或修订合同，并根据情况可部分或全部免于承担违约责任。</w:t>
      </w:r>
    </w:p>
    <w:p w14:paraId="34CABD56">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十一、税费：在中国境内、外发生的与本合同执行有关的一切税费均由乙方负担。</w:t>
      </w:r>
    </w:p>
    <w:p w14:paraId="038227D7">
      <w:pPr>
        <w:spacing w:beforeAutospacing="0" w:afterAutospacing="0" w:line="480" w:lineRule="auto"/>
        <w:ind w:firstLine="360" w:firstLineChars="150"/>
        <w:rPr>
          <w:rFonts w:hint="eastAsia" w:ascii="宋体" w:hAnsi="宋体"/>
          <w:color w:val="auto"/>
          <w:sz w:val="24"/>
          <w:highlight w:val="none"/>
          <w:lang w:bidi="ar"/>
        </w:rPr>
      </w:pPr>
      <w:r>
        <w:rPr>
          <w:rFonts w:hint="eastAsia" w:ascii="宋体" w:hAnsi="宋体"/>
          <w:color w:val="auto"/>
          <w:sz w:val="24"/>
          <w:highlight w:val="none"/>
          <w:lang w:bidi="ar"/>
        </w:rPr>
        <w:t>十二、其它</w:t>
      </w:r>
    </w:p>
    <w:p w14:paraId="77D82737">
      <w:pPr>
        <w:spacing w:beforeAutospacing="0" w:afterAutospacing="0" w:line="48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1）本合同所有附件、采购文件、响应文件、中标通知书均为合同的有效组成部分，与本合同具有同等法律效力。</w:t>
      </w:r>
    </w:p>
    <w:p w14:paraId="2FBB3DC9">
      <w:pPr>
        <w:spacing w:beforeAutospacing="0" w:afterAutospacing="0" w:line="48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2）在执行本合同的过程中，所有经双方签署确认的文件（包括会议纪要、补充协议、往来信函）即成为本合同的有效组成部分。</w:t>
      </w:r>
    </w:p>
    <w:p w14:paraId="1BB317CF">
      <w:pPr>
        <w:spacing w:beforeAutospacing="0" w:afterAutospacing="0" w:line="48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3）如一方地址、电话、传真号码有变更，应在变更当日内书面通知对方，否则，应承担相应责任。</w:t>
      </w:r>
    </w:p>
    <w:p w14:paraId="51089A22">
      <w:pPr>
        <w:spacing w:beforeAutospacing="0" w:afterAutospacing="0" w:line="48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4）除甲方事先书面同意外，乙方不得部分或全部转让其应履行的合同项下的义务。</w:t>
      </w:r>
    </w:p>
    <w:p w14:paraId="5DC2A5C5">
      <w:pPr>
        <w:spacing w:beforeAutospacing="0" w:afterAutospacing="0" w:line="480" w:lineRule="auto"/>
        <w:ind w:firstLine="480" w:firstLineChars="200"/>
        <w:rPr>
          <w:rFonts w:hint="eastAsia" w:ascii="宋体" w:hAnsi="宋体"/>
          <w:color w:val="auto"/>
          <w:sz w:val="24"/>
          <w:highlight w:val="none"/>
          <w:lang w:bidi="ar"/>
        </w:rPr>
      </w:pPr>
      <w:r>
        <w:rPr>
          <w:rFonts w:hint="eastAsia" w:ascii="宋体" w:hAnsi="宋体"/>
          <w:color w:val="auto"/>
          <w:sz w:val="24"/>
          <w:highlight w:val="none"/>
          <w:lang w:bidi="ar"/>
        </w:rPr>
        <w:t>十三、合同生效：</w:t>
      </w:r>
    </w:p>
    <w:p w14:paraId="65F670EC">
      <w:pPr>
        <w:pStyle w:val="36"/>
        <w:numPr>
          <w:ilvl w:val="0"/>
          <w:numId w:val="13"/>
        </w:numPr>
        <w:tabs>
          <w:tab w:val="clear" w:pos="0"/>
        </w:tabs>
        <w:spacing w:beforeAutospacing="0" w:afterAutospacing="0" w:line="480" w:lineRule="auto"/>
        <w:ind w:firstLineChars="0"/>
        <w:rPr>
          <w:rFonts w:hint="eastAsia" w:ascii="宋体" w:hAnsi="宋体"/>
          <w:color w:val="auto"/>
          <w:sz w:val="24"/>
          <w:szCs w:val="24"/>
          <w:highlight w:val="none"/>
        </w:rPr>
      </w:pPr>
      <w:r>
        <w:rPr>
          <w:rFonts w:hint="eastAsia" w:ascii="宋体" w:hAnsi="宋体"/>
          <w:color w:val="auto"/>
          <w:sz w:val="24"/>
          <w:szCs w:val="24"/>
          <w:highlight w:val="none"/>
        </w:rPr>
        <w:t>代表或其授权代表签字盖章后生效。</w:t>
      </w:r>
    </w:p>
    <w:p w14:paraId="463FF36A">
      <w:pPr>
        <w:pStyle w:val="36"/>
        <w:numPr>
          <w:ilvl w:val="0"/>
          <w:numId w:val="13"/>
        </w:numPr>
        <w:tabs>
          <w:tab w:val="clear" w:pos="0"/>
        </w:tabs>
        <w:spacing w:beforeAutospacing="0" w:afterAutospacing="0" w:line="480" w:lineRule="auto"/>
        <w:ind w:firstLineChars="0"/>
        <w:rPr>
          <w:rFonts w:hint="eastAsia" w:ascii="宋体" w:hAnsi="宋体"/>
          <w:color w:val="auto"/>
          <w:sz w:val="24"/>
          <w:szCs w:val="24"/>
          <w:highlight w:val="none"/>
        </w:rPr>
      </w:pPr>
      <w:r>
        <w:rPr>
          <w:rFonts w:hint="eastAsia" w:ascii="宋体" w:hAnsi="宋体"/>
          <w:color w:val="auto"/>
          <w:sz w:val="24"/>
          <w:szCs w:val="24"/>
          <w:highlight w:val="none"/>
        </w:rPr>
        <w:t>合同一式份。</w:t>
      </w:r>
    </w:p>
    <w:p w14:paraId="39AF1CCC">
      <w:pPr>
        <w:spacing w:beforeAutospacing="0" w:afterAutospacing="0" w:line="480" w:lineRule="auto"/>
        <w:ind w:firstLine="360" w:firstLineChars="150"/>
        <w:rPr>
          <w:rFonts w:hint="eastAsia" w:ascii="宋体" w:hAnsi="宋体"/>
          <w:color w:val="auto"/>
          <w:sz w:val="24"/>
          <w:highlight w:val="none"/>
          <w:lang w:bidi="ar"/>
        </w:rPr>
      </w:pPr>
    </w:p>
    <w:p w14:paraId="77810943">
      <w:pPr>
        <w:spacing w:beforeAutospacing="0" w:afterAutospacing="0" w:line="480" w:lineRule="auto"/>
        <w:ind w:firstLine="360" w:firstLineChars="150"/>
        <w:rPr>
          <w:rFonts w:hint="eastAsia" w:ascii="宋体" w:hAnsi="宋体"/>
          <w:color w:val="auto"/>
          <w:sz w:val="24"/>
          <w:highlight w:val="none"/>
          <w:lang w:bidi="ar"/>
        </w:rPr>
      </w:pPr>
    </w:p>
    <w:p w14:paraId="0B5EEEA4">
      <w:pPr>
        <w:spacing w:beforeAutospacing="0" w:afterAutospacing="0" w:line="480" w:lineRule="auto"/>
        <w:ind w:firstLine="360" w:firstLineChars="150"/>
        <w:rPr>
          <w:rFonts w:hint="eastAsia" w:ascii="宋体" w:hAnsi="宋体"/>
          <w:color w:val="auto"/>
          <w:sz w:val="24"/>
          <w:highlight w:val="none"/>
          <w:lang w:bidi="ar"/>
        </w:rPr>
      </w:pPr>
    </w:p>
    <w:p w14:paraId="16E9B43E">
      <w:pPr>
        <w:keepNext w:val="0"/>
        <w:keepLines w:val="0"/>
        <w:pageBreakBefore w:val="0"/>
        <w:widowControl w:val="0"/>
        <w:kinsoku/>
        <w:wordWrap/>
        <w:overflowPunct/>
        <w:topLinePunct w:val="0"/>
        <w:autoSpaceDE/>
        <w:autoSpaceDN/>
        <w:bidi w:val="0"/>
        <w:adjustRightInd/>
        <w:snapToGrid/>
        <w:spacing w:line="600" w:lineRule="exact"/>
        <w:ind w:firstLine="960" w:firstLineChars="400"/>
        <w:textAlignment w:val="auto"/>
        <w:rPr>
          <w:rFonts w:hint="eastAsia"/>
          <w:color w:val="auto"/>
          <w:sz w:val="24"/>
          <w:szCs w:val="24"/>
          <w:highlight w:val="none"/>
        </w:rPr>
      </w:pPr>
      <w:r>
        <w:rPr>
          <w:rFonts w:hint="eastAsia"/>
          <w:color w:val="auto"/>
          <w:sz w:val="24"/>
          <w:szCs w:val="24"/>
          <w:highlight w:val="none"/>
        </w:rPr>
        <w:t xml:space="preserve">甲方（盖章）：                      乙方（盖章）：  </w:t>
      </w:r>
    </w:p>
    <w:p w14:paraId="4C194B58">
      <w:pPr>
        <w:keepNext w:val="0"/>
        <w:keepLines w:val="0"/>
        <w:pageBreakBefore w:val="0"/>
        <w:widowControl w:val="0"/>
        <w:kinsoku/>
        <w:wordWrap/>
        <w:overflowPunct/>
        <w:topLinePunct w:val="0"/>
        <w:autoSpaceDE/>
        <w:autoSpaceDN/>
        <w:bidi w:val="0"/>
        <w:adjustRightInd/>
        <w:snapToGrid/>
        <w:spacing w:line="600" w:lineRule="exact"/>
        <w:ind w:firstLine="960" w:firstLineChars="400"/>
        <w:textAlignment w:val="auto"/>
        <w:rPr>
          <w:rFonts w:hint="eastAsia"/>
          <w:color w:val="auto"/>
          <w:sz w:val="24"/>
          <w:szCs w:val="24"/>
          <w:highlight w:val="none"/>
        </w:rPr>
      </w:pPr>
      <w:r>
        <w:rPr>
          <w:rFonts w:hint="eastAsia"/>
          <w:color w:val="auto"/>
          <w:sz w:val="24"/>
          <w:szCs w:val="24"/>
          <w:highlight w:val="none"/>
        </w:rPr>
        <w:t xml:space="preserve">代表：                             代表： </w:t>
      </w:r>
    </w:p>
    <w:p w14:paraId="22554016">
      <w:pPr>
        <w:keepNext w:val="0"/>
        <w:keepLines w:val="0"/>
        <w:pageBreakBefore w:val="0"/>
        <w:widowControl w:val="0"/>
        <w:kinsoku/>
        <w:wordWrap/>
        <w:overflowPunct/>
        <w:topLinePunct w:val="0"/>
        <w:autoSpaceDE/>
        <w:autoSpaceDN/>
        <w:bidi w:val="0"/>
        <w:adjustRightInd/>
        <w:snapToGrid/>
        <w:spacing w:line="600" w:lineRule="exact"/>
        <w:ind w:firstLine="960" w:firstLineChars="400"/>
        <w:textAlignment w:val="auto"/>
        <w:rPr>
          <w:rFonts w:hint="eastAsia"/>
          <w:color w:val="auto"/>
          <w:sz w:val="24"/>
          <w:szCs w:val="24"/>
          <w:highlight w:val="none"/>
        </w:rPr>
      </w:pPr>
      <w:r>
        <w:rPr>
          <w:rFonts w:hint="eastAsia"/>
          <w:color w:val="auto"/>
          <w:sz w:val="24"/>
          <w:szCs w:val="24"/>
          <w:highlight w:val="none"/>
        </w:rPr>
        <w:t>签定日期：   年   月   日          签定日期：   年   月   日</w:t>
      </w:r>
    </w:p>
    <w:p w14:paraId="74A79782">
      <w:pPr>
        <w:keepNext w:val="0"/>
        <w:keepLines w:val="0"/>
        <w:pageBreakBefore w:val="0"/>
        <w:widowControl w:val="0"/>
        <w:kinsoku/>
        <w:wordWrap/>
        <w:overflowPunct/>
        <w:topLinePunct w:val="0"/>
        <w:autoSpaceDE/>
        <w:autoSpaceDN/>
        <w:bidi w:val="0"/>
        <w:adjustRightInd/>
        <w:snapToGrid/>
        <w:spacing w:line="600" w:lineRule="exact"/>
        <w:ind w:firstLine="960" w:firstLineChars="400"/>
        <w:textAlignment w:val="auto"/>
        <w:rPr>
          <w:rFonts w:hint="eastAsia"/>
          <w:color w:val="auto"/>
          <w:sz w:val="24"/>
          <w:szCs w:val="24"/>
          <w:highlight w:val="none"/>
        </w:rPr>
      </w:pPr>
      <w:r>
        <w:rPr>
          <w:rFonts w:hint="eastAsia"/>
          <w:color w:val="auto"/>
          <w:sz w:val="24"/>
          <w:szCs w:val="24"/>
          <w:highlight w:val="none"/>
        </w:rPr>
        <w:t xml:space="preserve">开户名称：                         开户名称： </w:t>
      </w:r>
    </w:p>
    <w:p w14:paraId="46A489CC">
      <w:pPr>
        <w:keepNext w:val="0"/>
        <w:keepLines w:val="0"/>
        <w:pageBreakBefore w:val="0"/>
        <w:widowControl w:val="0"/>
        <w:kinsoku/>
        <w:wordWrap/>
        <w:overflowPunct/>
        <w:topLinePunct w:val="0"/>
        <w:autoSpaceDE/>
        <w:autoSpaceDN/>
        <w:bidi w:val="0"/>
        <w:adjustRightInd/>
        <w:snapToGrid/>
        <w:spacing w:line="600" w:lineRule="exact"/>
        <w:ind w:firstLine="960" w:firstLineChars="400"/>
        <w:textAlignment w:val="auto"/>
        <w:rPr>
          <w:rFonts w:hint="eastAsia"/>
          <w:color w:val="auto"/>
          <w:sz w:val="24"/>
          <w:szCs w:val="24"/>
          <w:highlight w:val="none"/>
        </w:rPr>
      </w:pPr>
      <w:r>
        <w:rPr>
          <w:rFonts w:hint="eastAsia"/>
          <w:color w:val="auto"/>
          <w:sz w:val="24"/>
          <w:szCs w:val="24"/>
          <w:highlight w:val="none"/>
        </w:rPr>
        <w:t xml:space="preserve">银行账号：                         银行账号： </w:t>
      </w:r>
    </w:p>
    <w:p w14:paraId="2826D3AB">
      <w:pPr>
        <w:keepNext w:val="0"/>
        <w:keepLines w:val="0"/>
        <w:pageBreakBefore w:val="0"/>
        <w:widowControl w:val="0"/>
        <w:kinsoku/>
        <w:wordWrap/>
        <w:overflowPunct/>
        <w:topLinePunct w:val="0"/>
        <w:autoSpaceDE/>
        <w:autoSpaceDN/>
        <w:bidi w:val="0"/>
        <w:adjustRightInd/>
        <w:snapToGrid/>
        <w:spacing w:line="600" w:lineRule="exact"/>
        <w:ind w:firstLine="960" w:firstLineChars="400"/>
        <w:textAlignment w:val="auto"/>
        <w:rPr>
          <w:rFonts w:hint="eastAsia"/>
          <w:color w:val="auto"/>
          <w:sz w:val="24"/>
          <w:szCs w:val="24"/>
          <w:highlight w:val="none"/>
        </w:rPr>
      </w:pPr>
      <w:r>
        <w:rPr>
          <w:rFonts w:hint="eastAsia"/>
          <w:color w:val="auto"/>
          <w:sz w:val="24"/>
          <w:szCs w:val="24"/>
          <w:highlight w:val="none"/>
        </w:rPr>
        <w:t xml:space="preserve">开户行：                           开户行： </w:t>
      </w:r>
    </w:p>
    <w:p w14:paraId="06EDA531">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textAlignment w:val="auto"/>
        <w:rPr>
          <w:rFonts w:hint="eastAsia" w:ascii="宋体" w:hAnsi="宋体"/>
          <w:color w:val="auto"/>
          <w:sz w:val="24"/>
          <w:szCs w:val="24"/>
          <w:highlight w:val="none"/>
        </w:rPr>
      </w:pPr>
      <w:r>
        <w:rPr>
          <w:rFonts w:hint="eastAsia" w:ascii="宋体" w:hAnsi="宋体"/>
          <w:color w:val="auto"/>
          <w:sz w:val="24"/>
          <w:szCs w:val="24"/>
          <w:highlight w:val="none"/>
        </w:rPr>
        <w:t xml:space="preserve"> </w:t>
      </w:r>
    </w:p>
    <w:bookmarkEnd w:id="186"/>
    <w:bookmarkEnd w:id="187"/>
    <w:bookmarkEnd w:id="188"/>
    <w:bookmarkEnd w:id="189"/>
    <w:p w14:paraId="0FED9D33">
      <w:pPr>
        <w:snapToGrid w:val="0"/>
        <w:spacing w:beforeAutospacing="0" w:afterAutospacing="0" w:line="360" w:lineRule="auto"/>
        <w:jc w:val="center"/>
        <w:outlineLvl w:val="0"/>
        <w:rPr>
          <w:rFonts w:hint="eastAsia" w:ascii="宋体" w:hAnsi="宋体" w:eastAsia="宋体"/>
          <w:b/>
          <w:bCs/>
          <w:color w:val="auto"/>
          <w:sz w:val="36"/>
          <w:szCs w:val="36"/>
          <w:highlight w:val="none"/>
        </w:rPr>
      </w:pPr>
      <w:bookmarkStart w:id="239" w:name="_GoBack"/>
      <w:bookmarkEnd w:id="239"/>
      <w:bookmarkStart w:id="193" w:name="_Toc529947772"/>
      <w:bookmarkEnd w:id="193"/>
      <w:r>
        <w:rPr>
          <w:rFonts w:hint="eastAsia" w:ascii="宋体" w:hAnsi="宋体" w:eastAsia="宋体"/>
          <w:color w:val="auto"/>
          <w:highlight w:val="none"/>
        </w:rPr>
        <w:br w:type="page"/>
      </w:r>
      <w:bookmarkStart w:id="194" w:name="_Toc6339"/>
      <w:r>
        <w:rPr>
          <w:rFonts w:hint="eastAsia" w:ascii="宋体" w:hAnsi="宋体" w:eastAsia="宋体"/>
          <w:b/>
          <w:bCs/>
          <w:color w:val="auto"/>
          <w:sz w:val="36"/>
          <w:szCs w:val="36"/>
          <w:highlight w:val="none"/>
        </w:rPr>
        <w:t>第六章  磋商响应文件格式</w:t>
      </w:r>
      <w:bookmarkEnd w:id="194"/>
    </w:p>
    <w:p w14:paraId="53637315">
      <w:pPr>
        <w:autoSpaceDE w:val="0"/>
        <w:autoSpaceDN w:val="0"/>
        <w:adjustRightInd w:val="0"/>
        <w:spacing w:line="500" w:lineRule="exact"/>
        <w:rPr>
          <w:color w:val="auto"/>
          <w:sz w:val="24"/>
          <w:highlight w:val="none"/>
        </w:rPr>
      </w:pPr>
    </w:p>
    <w:p w14:paraId="5D1BB422">
      <w:pPr>
        <w:autoSpaceDE w:val="0"/>
        <w:autoSpaceDN w:val="0"/>
        <w:adjustRightInd w:val="0"/>
        <w:spacing w:line="500" w:lineRule="exact"/>
        <w:rPr>
          <w:color w:val="auto"/>
          <w:sz w:val="24"/>
          <w:highlight w:val="none"/>
        </w:rPr>
      </w:pPr>
    </w:p>
    <w:p w14:paraId="088AC5B6">
      <w:pPr>
        <w:autoSpaceDE w:val="0"/>
        <w:autoSpaceDN w:val="0"/>
        <w:adjustRightInd w:val="0"/>
        <w:spacing w:line="500" w:lineRule="exact"/>
        <w:rPr>
          <w:color w:val="auto"/>
          <w:sz w:val="24"/>
          <w:highlight w:val="none"/>
        </w:rPr>
      </w:pPr>
    </w:p>
    <w:p w14:paraId="7D2CF471">
      <w:pPr>
        <w:autoSpaceDE w:val="0"/>
        <w:autoSpaceDN w:val="0"/>
        <w:adjustRightInd w:val="0"/>
        <w:spacing w:line="500" w:lineRule="exact"/>
        <w:jc w:val="center"/>
        <w:rPr>
          <w:color w:val="auto"/>
          <w:sz w:val="24"/>
          <w:highlight w:val="none"/>
        </w:rPr>
      </w:pPr>
      <w:r>
        <w:rPr>
          <w:rFonts w:hint="eastAsia" w:cs="宋体"/>
          <w:b/>
          <w:color w:val="auto"/>
          <w:sz w:val="32"/>
          <w:szCs w:val="32"/>
          <w:highlight w:val="none"/>
          <w:u w:val="single"/>
          <w:lang w:val="en-US" w:eastAsia="zh-CN"/>
        </w:rPr>
        <w:t xml:space="preserve">                             </w:t>
      </w:r>
      <w:r>
        <w:rPr>
          <w:rFonts w:hint="eastAsia" w:ascii="宋体" w:hAnsi="宋体" w:eastAsia="宋体" w:cs="宋体"/>
          <w:b/>
          <w:color w:val="auto"/>
          <w:sz w:val="32"/>
          <w:szCs w:val="32"/>
          <w:highlight w:val="none"/>
        </w:rPr>
        <w:t>（项目名称</w:t>
      </w:r>
      <w:r>
        <w:rPr>
          <w:rFonts w:hint="eastAsia" w:ascii="宋体" w:hAnsi="宋体" w:eastAsia="宋体" w:cs="宋体"/>
          <w:b/>
          <w:color w:val="auto"/>
          <w:spacing w:val="-4"/>
          <w:sz w:val="32"/>
          <w:szCs w:val="32"/>
          <w:highlight w:val="none"/>
        </w:rPr>
        <w:t>）</w:t>
      </w:r>
    </w:p>
    <w:p w14:paraId="02B3BACD">
      <w:pPr>
        <w:widowControl w:val="0"/>
        <w:spacing w:line="500" w:lineRule="exact"/>
        <w:ind w:firstLine="1269" w:firstLineChars="395"/>
        <w:jc w:val="both"/>
        <w:rPr>
          <w:rFonts w:ascii="宋体" w:hAnsi="宋体"/>
          <w:b/>
          <w:color w:val="auto"/>
          <w:sz w:val="32"/>
          <w:szCs w:val="32"/>
          <w:highlight w:val="none"/>
        </w:rPr>
      </w:pPr>
      <w:r>
        <w:rPr>
          <w:rFonts w:hint="eastAsia" w:ascii="宋体" w:hAnsi="宋体"/>
          <w:b/>
          <w:color w:val="auto"/>
          <w:kern w:val="2"/>
          <w:sz w:val="32"/>
          <w:szCs w:val="32"/>
          <w:highlight w:val="none"/>
        </w:rPr>
        <w:t xml:space="preserve"> </w:t>
      </w:r>
    </w:p>
    <w:p w14:paraId="798BB7E1">
      <w:pPr>
        <w:widowControl w:val="0"/>
        <w:spacing w:line="500" w:lineRule="exact"/>
        <w:ind w:firstLine="1590" w:firstLineChars="495"/>
        <w:jc w:val="both"/>
        <w:rPr>
          <w:rFonts w:ascii="宋体" w:hAnsi="宋体" w:cs="宋体"/>
          <w:b/>
          <w:color w:val="auto"/>
          <w:kern w:val="2"/>
          <w:sz w:val="32"/>
          <w:szCs w:val="32"/>
          <w:highlight w:val="none"/>
        </w:rPr>
      </w:pPr>
      <w:bookmarkStart w:id="195" w:name="_Toc453139657"/>
      <w:bookmarkEnd w:id="195"/>
    </w:p>
    <w:p w14:paraId="1A9BB73D">
      <w:pPr>
        <w:pStyle w:val="13"/>
        <w:ind w:firstLine="210"/>
        <w:rPr>
          <w:color w:val="auto"/>
          <w:highlight w:val="none"/>
        </w:rPr>
      </w:pPr>
    </w:p>
    <w:p w14:paraId="7C870FE5">
      <w:pPr>
        <w:widowControl w:val="0"/>
        <w:spacing w:line="500" w:lineRule="exact"/>
        <w:jc w:val="center"/>
        <w:rPr>
          <w:rFonts w:ascii="宋体" w:hAnsi="宋体"/>
          <w:b/>
          <w:color w:val="auto"/>
          <w:sz w:val="48"/>
          <w:szCs w:val="48"/>
          <w:highlight w:val="none"/>
        </w:rPr>
      </w:pPr>
      <w:r>
        <w:rPr>
          <w:rFonts w:hint="eastAsia" w:ascii="宋体" w:hAnsi="宋体" w:cs="宋体"/>
          <w:b/>
          <w:color w:val="auto"/>
          <w:kern w:val="2"/>
          <w:sz w:val="48"/>
          <w:szCs w:val="48"/>
          <w:highlight w:val="none"/>
        </w:rPr>
        <w:t>响应文件</w:t>
      </w:r>
    </w:p>
    <w:p w14:paraId="1D45CD64">
      <w:pPr>
        <w:widowControl w:val="0"/>
        <w:spacing w:line="500" w:lineRule="exact"/>
        <w:ind w:firstLine="1430" w:firstLineChars="445"/>
        <w:jc w:val="both"/>
        <w:rPr>
          <w:rFonts w:ascii="宋体" w:hAnsi="宋体"/>
          <w:b/>
          <w:color w:val="auto"/>
          <w:sz w:val="32"/>
          <w:szCs w:val="32"/>
          <w:highlight w:val="none"/>
        </w:rPr>
      </w:pPr>
      <w:r>
        <w:rPr>
          <w:rFonts w:hint="eastAsia" w:ascii="宋体" w:hAnsi="宋体"/>
          <w:b/>
          <w:color w:val="auto"/>
          <w:kern w:val="2"/>
          <w:sz w:val="32"/>
          <w:szCs w:val="32"/>
          <w:highlight w:val="none"/>
        </w:rPr>
        <w:t xml:space="preserve"> </w:t>
      </w:r>
    </w:p>
    <w:p w14:paraId="6ACBC528">
      <w:pPr>
        <w:widowControl w:val="0"/>
        <w:spacing w:line="500" w:lineRule="exact"/>
        <w:ind w:firstLine="1430" w:firstLineChars="445"/>
        <w:jc w:val="both"/>
        <w:rPr>
          <w:rFonts w:ascii="宋体" w:hAnsi="宋体"/>
          <w:b/>
          <w:color w:val="auto"/>
          <w:sz w:val="32"/>
          <w:szCs w:val="32"/>
          <w:highlight w:val="none"/>
        </w:rPr>
      </w:pPr>
      <w:r>
        <w:rPr>
          <w:rFonts w:hint="eastAsia" w:ascii="宋体" w:hAnsi="宋体"/>
          <w:b/>
          <w:color w:val="auto"/>
          <w:kern w:val="2"/>
          <w:sz w:val="32"/>
          <w:szCs w:val="32"/>
          <w:highlight w:val="none"/>
        </w:rPr>
        <w:t xml:space="preserve"> </w:t>
      </w:r>
    </w:p>
    <w:p w14:paraId="4C526696">
      <w:pPr>
        <w:snapToGrid w:val="0"/>
        <w:spacing w:beforeAutospacing="0" w:afterAutospacing="0" w:line="360" w:lineRule="auto"/>
        <w:ind w:firstLine="4176" w:firstLineChars="1300"/>
        <w:rPr>
          <w:rFonts w:hint="eastAsia" w:ascii="宋体" w:hAnsi="宋体" w:eastAsia="宋体"/>
          <w:b/>
          <w:bCs/>
          <w:color w:val="auto"/>
          <w:sz w:val="28"/>
          <w:szCs w:val="28"/>
          <w:highlight w:val="none"/>
        </w:rPr>
      </w:pPr>
      <w:r>
        <w:rPr>
          <w:rFonts w:hint="eastAsia" w:ascii="宋体" w:hAnsi="宋体" w:cs="宋体"/>
          <w:b/>
          <w:color w:val="auto"/>
          <w:kern w:val="2"/>
          <w:sz w:val="32"/>
          <w:szCs w:val="32"/>
          <w:highlight w:val="none"/>
        </w:rPr>
        <w:t>项目编号：</w:t>
      </w:r>
    </w:p>
    <w:p w14:paraId="745D9CB7">
      <w:pPr>
        <w:snapToGrid w:val="0"/>
        <w:spacing w:beforeAutospacing="0" w:afterAutospacing="0" w:line="360" w:lineRule="auto"/>
        <w:rPr>
          <w:rFonts w:ascii="宋体" w:hAnsi="宋体" w:eastAsia="宋体"/>
          <w:color w:val="auto"/>
          <w:sz w:val="28"/>
          <w:szCs w:val="28"/>
          <w:highlight w:val="none"/>
        </w:rPr>
      </w:pPr>
    </w:p>
    <w:p w14:paraId="64CE6286">
      <w:pPr>
        <w:snapToGrid w:val="0"/>
        <w:spacing w:beforeAutospacing="0" w:afterAutospacing="0" w:line="360" w:lineRule="auto"/>
        <w:rPr>
          <w:rFonts w:ascii="宋体" w:hAnsi="宋体" w:eastAsia="宋体"/>
          <w:color w:val="auto"/>
          <w:sz w:val="28"/>
          <w:szCs w:val="28"/>
          <w:highlight w:val="none"/>
        </w:rPr>
      </w:pPr>
    </w:p>
    <w:p w14:paraId="190E058F">
      <w:pPr>
        <w:snapToGrid w:val="0"/>
        <w:spacing w:beforeAutospacing="0" w:afterAutospacing="0" w:line="360" w:lineRule="auto"/>
        <w:rPr>
          <w:rFonts w:ascii="宋体" w:hAnsi="宋体" w:eastAsia="宋体"/>
          <w:color w:val="auto"/>
          <w:sz w:val="28"/>
          <w:szCs w:val="28"/>
          <w:highlight w:val="none"/>
        </w:rPr>
      </w:pPr>
    </w:p>
    <w:p w14:paraId="05940DB4">
      <w:pPr>
        <w:snapToGrid w:val="0"/>
        <w:spacing w:beforeAutospacing="0" w:afterAutospacing="0" w:line="360" w:lineRule="auto"/>
        <w:rPr>
          <w:rFonts w:ascii="宋体" w:hAnsi="宋体" w:eastAsia="宋体"/>
          <w:color w:val="auto"/>
          <w:sz w:val="28"/>
          <w:szCs w:val="28"/>
          <w:highlight w:val="none"/>
        </w:rPr>
      </w:pPr>
    </w:p>
    <w:p w14:paraId="6DB01B16">
      <w:pPr>
        <w:snapToGrid w:val="0"/>
        <w:spacing w:beforeAutospacing="0" w:afterAutospacing="0" w:line="360" w:lineRule="auto"/>
        <w:rPr>
          <w:rFonts w:ascii="宋体" w:hAnsi="宋体" w:eastAsia="宋体"/>
          <w:color w:val="auto"/>
          <w:sz w:val="28"/>
          <w:szCs w:val="28"/>
          <w:highlight w:val="none"/>
        </w:rPr>
      </w:pPr>
    </w:p>
    <w:p w14:paraId="364AE9A5">
      <w:pPr>
        <w:snapToGrid w:val="0"/>
        <w:spacing w:beforeAutospacing="0" w:afterAutospacing="0" w:line="360" w:lineRule="auto"/>
        <w:rPr>
          <w:rFonts w:ascii="宋体" w:hAnsi="宋体" w:eastAsia="宋体"/>
          <w:color w:val="auto"/>
          <w:sz w:val="28"/>
          <w:szCs w:val="28"/>
          <w:highlight w:val="none"/>
        </w:rPr>
      </w:pPr>
    </w:p>
    <w:p w14:paraId="1D2B10B4">
      <w:pPr>
        <w:snapToGrid w:val="0"/>
        <w:spacing w:beforeAutospacing="0" w:afterAutospacing="0" w:line="360" w:lineRule="auto"/>
        <w:rPr>
          <w:rFonts w:ascii="宋体" w:hAnsi="宋体" w:eastAsia="宋体"/>
          <w:color w:val="auto"/>
          <w:sz w:val="28"/>
          <w:szCs w:val="28"/>
          <w:highlight w:val="none"/>
        </w:rPr>
      </w:pPr>
    </w:p>
    <w:p w14:paraId="0C506CA0">
      <w:pPr>
        <w:widowControl w:val="0"/>
        <w:spacing w:line="500" w:lineRule="exact"/>
        <w:jc w:val="center"/>
        <w:rPr>
          <w:rFonts w:ascii="宋体" w:hAnsi="宋体"/>
          <w:color w:val="auto"/>
          <w:sz w:val="28"/>
          <w:szCs w:val="28"/>
          <w:highlight w:val="none"/>
        </w:rPr>
      </w:pPr>
      <w:r>
        <w:rPr>
          <w:rFonts w:hint="eastAsia" w:ascii="宋体" w:hAnsi="宋体" w:cs="宋体"/>
          <w:color w:val="auto"/>
          <w:kern w:val="2"/>
          <w:sz w:val="28"/>
          <w:szCs w:val="28"/>
          <w:highlight w:val="none"/>
          <w:lang w:val="en-GB"/>
        </w:rPr>
        <w:t>磋商供应商</w:t>
      </w:r>
      <w:r>
        <w:rPr>
          <w:rFonts w:hint="eastAsia" w:ascii="宋体" w:hAnsi="宋体" w:cs="宋体"/>
          <w:color w:val="auto"/>
          <w:kern w:val="2"/>
          <w:sz w:val="28"/>
          <w:szCs w:val="28"/>
          <w:highlight w:val="none"/>
          <w:lang w:val="en-GB" w:eastAsia="zh-CN"/>
        </w:rPr>
        <w:t>（</w:t>
      </w:r>
      <w:r>
        <w:rPr>
          <w:rFonts w:hint="eastAsia" w:ascii="宋体" w:hAnsi="宋体" w:cs="宋体"/>
          <w:color w:val="auto"/>
          <w:kern w:val="2"/>
          <w:sz w:val="28"/>
          <w:szCs w:val="28"/>
          <w:highlight w:val="none"/>
          <w:lang w:val="en-US" w:eastAsia="zh-CN"/>
        </w:rPr>
        <w:t>联合体牵头人</w:t>
      </w:r>
      <w:r>
        <w:rPr>
          <w:rFonts w:hint="eastAsia" w:ascii="宋体" w:hAnsi="宋体" w:cs="宋体"/>
          <w:color w:val="auto"/>
          <w:kern w:val="2"/>
          <w:sz w:val="28"/>
          <w:szCs w:val="28"/>
          <w:highlight w:val="none"/>
          <w:lang w:val="en-GB" w:eastAsia="zh-CN"/>
        </w:rPr>
        <w:t>）：</w:t>
      </w:r>
      <w:r>
        <w:rPr>
          <w:rFonts w:hint="eastAsia" w:ascii="宋体" w:hAnsi="宋体" w:cs="宋体"/>
          <w:color w:val="auto"/>
          <w:kern w:val="2"/>
          <w:sz w:val="28"/>
          <w:szCs w:val="28"/>
          <w:highlight w:val="none"/>
        </w:rPr>
        <w:t xml:space="preserve"> </w:t>
      </w:r>
      <w:r>
        <w:rPr>
          <w:rFonts w:hint="eastAsia" w:ascii="宋体" w:hAnsi="宋体"/>
          <w:color w:val="auto"/>
          <w:kern w:val="2"/>
          <w:sz w:val="28"/>
          <w:szCs w:val="28"/>
          <w:highlight w:val="none"/>
          <w:u w:val="single"/>
        </w:rPr>
        <w:t xml:space="preserve">               </w:t>
      </w:r>
      <w:r>
        <w:rPr>
          <w:rFonts w:hint="eastAsia" w:ascii="宋体" w:hAnsi="宋体" w:cs="宋体"/>
          <w:color w:val="auto"/>
          <w:sz w:val="28"/>
          <w:szCs w:val="28"/>
          <w:highlight w:val="none"/>
        </w:rPr>
        <w:t>（电子签章）</w:t>
      </w:r>
    </w:p>
    <w:p w14:paraId="35099FCF">
      <w:pPr>
        <w:widowControl w:val="0"/>
        <w:spacing w:line="500" w:lineRule="exact"/>
        <w:jc w:val="center"/>
        <w:rPr>
          <w:rFonts w:ascii="宋体" w:hAnsi="宋体"/>
          <w:color w:val="auto"/>
          <w:sz w:val="28"/>
          <w:szCs w:val="28"/>
          <w:highlight w:val="none"/>
        </w:rPr>
      </w:pPr>
      <w:bookmarkStart w:id="196" w:name="_Toc453139660"/>
      <w:bookmarkEnd w:id="196"/>
      <w:r>
        <w:rPr>
          <w:rFonts w:hint="eastAsia" w:ascii="宋体" w:hAnsi="宋体" w:cs="宋体"/>
          <w:color w:val="auto"/>
          <w:kern w:val="2"/>
          <w:sz w:val="28"/>
          <w:szCs w:val="28"/>
          <w:highlight w:val="none"/>
        </w:rPr>
        <w:t>法定代表人：</w:t>
      </w:r>
      <w:r>
        <w:rPr>
          <w:rFonts w:hint="eastAsia" w:ascii="宋体" w:hAnsi="宋体"/>
          <w:color w:val="auto"/>
          <w:kern w:val="2"/>
          <w:sz w:val="28"/>
          <w:szCs w:val="28"/>
          <w:highlight w:val="none"/>
          <w:u w:val="single"/>
        </w:rPr>
        <w:t xml:space="preserve">                </w:t>
      </w:r>
      <w:r>
        <w:rPr>
          <w:rFonts w:hint="eastAsia" w:ascii="宋体" w:hAnsi="宋体" w:cs="宋体"/>
          <w:color w:val="auto"/>
          <w:sz w:val="28"/>
          <w:szCs w:val="28"/>
          <w:highlight w:val="none"/>
        </w:rPr>
        <w:t>（</w:t>
      </w:r>
      <w:r>
        <w:rPr>
          <w:rFonts w:hint="eastAsia" w:ascii="宋体" w:hAnsi="宋体" w:eastAsia="宋体" w:cs="宋体"/>
          <w:color w:val="auto"/>
          <w:sz w:val="28"/>
          <w:szCs w:val="28"/>
          <w:highlight w:val="none"/>
          <w:lang w:eastAsia="zh-CN"/>
        </w:rPr>
        <w:t>法人</w:t>
      </w:r>
      <w:r>
        <w:rPr>
          <w:rFonts w:hint="eastAsia" w:ascii="宋体" w:hAnsi="宋体" w:eastAsia="宋体" w:cs="宋体"/>
          <w:color w:val="auto"/>
          <w:sz w:val="28"/>
          <w:szCs w:val="28"/>
          <w:highlight w:val="none"/>
        </w:rPr>
        <w:t>电子签章</w:t>
      </w:r>
      <w:r>
        <w:rPr>
          <w:rFonts w:hint="eastAsia" w:ascii="宋体" w:hAnsi="宋体" w:cs="宋体"/>
          <w:color w:val="auto"/>
          <w:sz w:val="28"/>
          <w:szCs w:val="28"/>
          <w:highlight w:val="none"/>
        </w:rPr>
        <w:t>）</w:t>
      </w:r>
    </w:p>
    <w:p w14:paraId="5C261FA9">
      <w:pPr>
        <w:widowControl w:val="0"/>
        <w:spacing w:line="500" w:lineRule="exact"/>
        <w:jc w:val="center"/>
        <w:rPr>
          <w:rFonts w:ascii="宋体" w:hAnsi="宋体" w:cs="宋体"/>
          <w:b/>
          <w:color w:val="auto"/>
          <w:sz w:val="28"/>
          <w:szCs w:val="28"/>
          <w:highlight w:val="none"/>
        </w:rPr>
      </w:pPr>
      <w:bookmarkStart w:id="197" w:name="_Toc453139662"/>
      <w:bookmarkEnd w:id="197"/>
      <w:r>
        <w:rPr>
          <w:rFonts w:hint="eastAsia" w:ascii="宋体" w:hAnsi="宋体" w:cs="宋体"/>
          <w:color w:val="auto"/>
          <w:kern w:val="2"/>
          <w:sz w:val="28"/>
          <w:szCs w:val="28"/>
          <w:highlight w:val="none"/>
        </w:rPr>
        <w:t>日</w:t>
      </w:r>
      <w:r>
        <w:rPr>
          <w:rFonts w:hint="eastAsia" w:ascii="宋体" w:hAnsi="宋体"/>
          <w:color w:val="auto"/>
          <w:kern w:val="2"/>
          <w:sz w:val="28"/>
          <w:szCs w:val="28"/>
          <w:highlight w:val="none"/>
        </w:rPr>
        <w:t xml:space="preserve">      </w:t>
      </w:r>
      <w:r>
        <w:rPr>
          <w:rFonts w:hint="eastAsia" w:ascii="宋体" w:hAnsi="宋体" w:cs="宋体"/>
          <w:color w:val="auto"/>
          <w:kern w:val="2"/>
          <w:sz w:val="28"/>
          <w:szCs w:val="28"/>
          <w:highlight w:val="none"/>
        </w:rPr>
        <w:t xml:space="preserve">期：  </w:t>
      </w:r>
      <w:r>
        <w:rPr>
          <w:rFonts w:hint="eastAsia" w:ascii="宋体" w:hAnsi="宋体"/>
          <w:color w:val="auto"/>
          <w:sz w:val="28"/>
          <w:szCs w:val="28"/>
          <w:highlight w:val="none"/>
        </w:rPr>
        <w:t>年    月    日</w:t>
      </w:r>
    </w:p>
    <w:p w14:paraId="3C4AAAA9">
      <w:pPr>
        <w:snapToGrid w:val="0"/>
        <w:spacing w:beforeAutospacing="0" w:afterAutospacing="0" w:line="360" w:lineRule="auto"/>
        <w:rPr>
          <w:rFonts w:ascii="宋体" w:hAnsi="宋体" w:eastAsia="宋体"/>
          <w:color w:val="auto"/>
          <w:sz w:val="20"/>
          <w:szCs w:val="20"/>
          <w:highlight w:val="none"/>
        </w:rPr>
      </w:pPr>
    </w:p>
    <w:p w14:paraId="59F90533">
      <w:pPr>
        <w:snapToGrid w:val="0"/>
        <w:spacing w:beforeAutospacing="0" w:afterAutospacing="0" w:line="360" w:lineRule="auto"/>
        <w:rPr>
          <w:rFonts w:hint="eastAsia" w:ascii="宋体" w:hAnsi="宋体" w:eastAsia="宋体"/>
          <w:color w:val="auto"/>
          <w:szCs w:val="24"/>
          <w:highlight w:val="none"/>
        </w:rPr>
      </w:pPr>
      <w:r>
        <w:rPr>
          <w:rFonts w:hint="eastAsia" w:ascii="宋体" w:hAnsi="宋体" w:eastAsia="宋体"/>
          <w:color w:val="auto"/>
          <w:szCs w:val="24"/>
          <w:highlight w:val="none"/>
        </w:rPr>
        <w:br w:type="page"/>
      </w:r>
    </w:p>
    <w:p w14:paraId="4C7174A4">
      <w:pPr>
        <w:tabs>
          <w:tab w:val="left" w:pos="425"/>
          <w:tab w:val="left" w:pos="840"/>
        </w:tabs>
        <w:wordWrap w:val="0"/>
        <w:spacing w:before="160" w:beforeAutospacing="0" w:after="160" w:afterAutospacing="0" w:line="600" w:lineRule="exact"/>
        <w:ind w:firstLine="723" w:firstLineChars="200"/>
        <w:outlineLvl w:val="1"/>
        <w:rPr>
          <w:rFonts w:ascii="宋体" w:hAnsi="宋体" w:eastAsia="宋体"/>
          <w:b/>
          <w:color w:val="auto"/>
          <w:kern w:val="0"/>
          <w:sz w:val="36"/>
          <w:szCs w:val="36"/>
          <w:highlight w:val="none"/>
        </w:rPr>
      </w:pPr>
    </w:p>
    <w:p w14:paraId="7CAB1397">
      <w:pPr>
        <w:tabs>
          <w:tab w:val="left" w:pos="425"/>
          <w:tab w:val="left" w:pos="840"/>
        </w:tabs>
        <w:wordWrap w:val="0"/>
        <w:spacing w:before="160" w:beforeAutospacing="0" w:after="160" w:afterAutospacing="0" w:line="600" w:lineRule="exact"/>
        <w:jc w:val="center"/>
        <w:outlineLvl w:val="9"/>
        <w:rPr>
          <w:rFonts w:hint="eastAsia" w:ascii="宋体" w:hAnsi="宋体" w:eastAsia="宋体"/>
          <w:b/>
          <w:color w:val="auto"/>
          <w:kern w:val="0"/>
          <w:sz w:val="36"/>
          <w:szCs w:val="36"/>
          <w:highlight w:val="none"/>
        </w:rPr>
      </w:pPr>
      <w:r>
        <w:rPr>
          <w:rFonts w:hint="eastAsia" w:ascii="宋体" w:hAnsi="宋体" w:eastAsia="宋体"/>
          <w:b/>
          <w:color w:val="auto"/>
          <w:kern w:val="0"/>
          <w:sz w:val="36"/>
          <w:szCs w:val="36"/>
          <w:highlight w:val="none"/>
        </w:rPr>
        <w:t>目</w:t>
      </w:r>
      <w:r>
        <w:rPr>
          <w:rFonts w:ascii="宋体" w:hAnsi="宋体" w:eastAsia="宋体"/>
          <w:b/>
          <w:color w:val="auto"/>
          <w:kern w:val="0"/>
          <w:sz w:val="36"/>
          <w:szCs w:val="36"/>
          <w:highlight w:val="none"/>
        </w:rPr>
        <w:t xml:space="preserve">  </w:t>
      </w:r>
      <w:r>
        <w:rPr>
          <w:rFonts w:hint="eastAsia" w:ascii="宋体" w:hAnsi="宋体" w:eastAsia="宋体"/>
          <w:b/>
          <w:color w:val="auto"/>
          <w:kern w:val="0"/>
          <w:sz w:val="36"/>
          <w:szCs w:val="36"/>
          <w:highlight w:val="none"/>
        </w:rPr>
        <w:t>录</w:t>
      </w:r>
    </w:p>
    <w:p w14:paraId="0123DF2C">
      <w:pPr>
        <w:wordWrap w:val="0"/>
        <w:spacing w:beforeAutospacing="0" w:afterAutospacing="0" w:line="600" w:lineRule="exact"/>
        <w:ind w:firstLine="560" w:firstLineChars="200"/>
        <w:jc w:val="center"/>
        <w:rPr>
          <w:rFonts w:ascii="Calibri" w:hAnsi="Calibri" w:eastAsia="宋体"/>
          <w:color w:val="auto"/>
          <w:sz w:val="28"/>
          <w:szCs w:val="28"/>
          <w:highlight w:val="none"/>
        </w:rPr>
      </w:pPr>
    </w:p>
    <w:p w14:paraId="37920127">
      <w:pPr>
        <w:wordWrap w:val="0"/>
        <w:spacing w:beforeAutospacing="0" w:afterAutospacing="0" w:line="600" w:lineRule="exact"/>
        <w:jc w:val="center"/>
        <w:rPr>
          <w:rFonts w:ascii="宋体" w:hAnsi="宋体" w:eastAsia="宋体"/>
          <w:b/>
          <w:bCs/>
          <w:color w:val="auto"/>
          <w:kern w:val="0"/>
          <w:sz w:val="28"/>
          <w:szCs w:val="28"/>
          <w:highlight w:val="none"/>
        </w:rPr>
      </w:pPr>
      <w:bookmarkStart w:id="198" w:name="_Hlt532935814"/>
      <w:bookmarkEnd w:id="198"/>
      <w:bookmarkStart w:id="199" w:name="_Hlt532935815"/>
      <w:bookmarkEnd w:id="199"/>
      <w:r>
        <w:rPr>
          <w:rFonts w:hint="eastAsia"/>
          <w:color w:val="auto"/>
          <w:highlight w:val="none"/>
          <w:lang w:eastAsia="zh-CN"/>
        </w:rPr>
        <w:t>（</w:t>
      </w:r>
      <w:r>
        <w:rPr>
          <w:rFonts w:hint="eastAsia"/>
          <w:color w:val="auto"/>
          <w:highlight w:val="none"/>
          <w:lang w:val="en-US" w:eastAsia="zh-CN"/>
        </w:rPr>
        <w:t>格式自拟</w:t>
      </w:r>
      <w:r>
        <w:rPr>
          <w:rFonts w:hint="eastAsia"/>
          <w:color w:val="auto"/>
          <w:highlight w:val="none"/>
          <w:lang w:eastAsia="zh-CN"/>
        </w:rPr>
        <w:t>）</w:t>
      </w:r>
    </w:p>
    <w:p w14:paraId="3C3E021D">
      <w:pPr>
        <w:wordWrap w:val="0"/>
        <w:spacing w:beforeAutospacing="0" w:afterAutospacing="0" w:line="600" w:lineRule="exact"/>
        <w:ind w:firstLine="562" w:firstLineChars="200"/>
        <w:jc w:val="center"/>
        <w:rPr>
          <w:rFonts w:hint="eastAsia" w:ascii="宋体" w:hAnsi="宋体" w:eastAsia="宋体"/>
          <w:b/>
          <w:bCs/>
          <w:color w:val="auto"/>
          <w:kern w:val="0"/>
          <w:sz w:val="28"/>
          <w:szCs w:val="28"/>
          <w:highlight w:val="none"/>
        </w:rPr>
      </w:pPr>
    </w:p>
    <w:p w14:paraId="5FDF126E">
      <w:pPr>
        <w:wordWrap w:val="0"/>
        <w:spacing w:beforeAutospacing="0" w:afterAutospacing="0" w:line="600" w:lineRule="exact"/>
        <w:ind w:firstLine="562" w:firstLineChars="200"/>
        <w:rPr>
          <w:rFonts w:hint="eastAsia" w:ascii="宋体" w:hAnsi="宋体" w:eastAsia="宋体"/>
          <w:b/>
          <w:bCs/>
          <w:color w:val="auto"/>
          <w:kern w:val="0"/>
          <w:sz w:val="28"/>
          <w:szCs w:val="28"/>
          <w:highlight w:val="none"/>
        </w:rPr>
      </w:pPr>
      <w:r>
        <w:rPr>
          <w:rFonts w:hint="eastAsia" w:ascii="宋体" w:hAnsi="宋体" w:eastAsia="宋体"/>
          <w:b/>
          <w:bCs/>
          <w:color w:val="auto"/>
          <w:kern w:val="0"/>
          <w:sz w:val="28"/>
          <w:szCs w:val="28"/>
          <w:highlight w:val="none"/>
        </w:rPr>
        <w:t xml:space="preserve"> </w:t>
      </w:r>
    </w:p>
    <w:p w14:paraId="14348F65">
      <w:pPr>
        <w:wordWrap w:val="0"/>
        <w:spacing w:beforeAutospacing="0" w:afterAutospacing="0" w:line="600" w:lineRule="exact"/>
        <w:ind w:firstLine="562" w:firstLineChars="200"/>
        <w:rPr>
          <w:rFonts w:hint="eastAsia" w:ascii="宋体" w:hAnsi="宋体" w:eastAsia="宋体"/>
          <w:b/>
          <w:bCs/>
          <w:color w:val="auto"/>
          <w:kern w:val="0"/>
          <w:sz w:val="28"/>
          <w:szCs w:val="28"/>
          <w:highlight w:val="none"/>
        </w:rPr>
      </w:pPr>
      <w:r>
        <w:rPr>
          <w:rFonts w:hint="eastAsia" w:ascii="宋体" w:hAnsi="宋体" w:eastAsia="宋体"/>
          <w:b/>
          <w:bCs/>
          <w:color w:val="auto"/>
          <w:kern w:val="0"/>
          <w:sz w:val="28"/>
          <w:szCs w:val="28"/>
          <w:highlight w:val="none"/>
        </w:rPr>
        <w:t xml:space="preserve"> </w:t>
      </w:r>
    </w:p>
    <w:p w14:paraId="0BCAA7D0">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0356DA39">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529F3A7D">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0B10877B">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7AE76E08">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24A28DDF">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6B82A463">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27DB4336">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58FE095A">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6C6474B3">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3CDB27B9">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3CCFE1BB">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2284AE24">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3B3853BD">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48A34C52">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0760B97D">
      <w:pPr>
        <w:wordWrap w:val="0"/>
        <w:spacing w:beforeAutospacing="0" w:afterAutospacing="0" w:line="600" w:lineRule="exact"/>
        <w:ind w:firstLine="562" w:firstLineChars="200"/>
        <w:rPr>
          <w:rFonts w:ascii="宋体" w:hAnsi="宋体" w:eastAsia="宋体"/>
          <w:b/>
          <w:bCs/>
          <w:color w:val="auto"/>
          <w:kern w:val="0"/>
          <w:sz w:val="28"/>
          <w:szCs w:val="28"/>
          <w:highlight w:val="none"/>
        </w:rPr>
      </w:pPr>
    </w:p>
    <w:p w14:paraId="40DA1D84">
      <w:pPr>
        <w:keepNext w:val="0"/>
        <w:keepLines w:val="0"/>
        <w:pageBreakBefore w:val="0"/>
        <w:kinsoku/>
        <w:overflowPunct/>
        <w:topLinePunct w:val="0"/>
        <w:bidi w:val="0"/>
        <w:spacing w:beforeAutospacing="0" w:afterAutospacing="0" w:line="560" w:lineRule="exact"/>
        <w:jc w:val="center"/>
        <w:outlineLvl w:val="0"/>
        <w:rPr>
          <w:color w:val="auto"/>
          <w:sz w:val="28"/>
          <w:szCs w:val="20"/>
          <w:highlight w:val="none"/>
          <w:lang w:val="en-US"/>
        </w:rPr>
      </w:pPr>
      <w:bookmarkStart w:id="200" w:name="_Toc152045788"/>
      <w:bookmarkStart w:id="201" w:name="_Toc152042577"/>
      <w:bookmarkStart w:id="202" w:name="_Toc144974857"/>
      <w:bookmarkStart w:id="203" w:name="_Toc2045"/>
      <w:bookmarkStart w:id="204" w:name="_Toc15315"/>
      <w:bookmarkStart w:id="205" w:name="_Toc25215"/>
      <w:bookmarkStart w:id="206" w:name="_Toc8655_WPSOffice_Level1"/>
      <w:bookmarkStart w:id="207" w:name="_Toc28978"/>
      <w:bookmarkStart w:id="208" w:name="_Toc487498495"/>
      <w:bookmarkStart w:id="209" w:name="_Toc440880272"/>
      <w:r>
        <w:rPr>
          <w:rFonts w:hint="eastAsia"/>
          <w:color w:val="auto"/>
          <w:sz w:val="28"/>
          <w:szCs w:val="20"/>
          <w:highlight w:val="none"/>
          <w:lang w:val="en-US"/>
        </w:rPr>
        <w:t>一、磋商函及</w:t>
      </w:r>
      <w:bookmarkEnd w:id="200"/>
      <w:bookmarkEnd w:id="201"/>
      <w:bookmarkEnd w:id="202"/>
      <w:r>
        <w:rPr>
          <w:rFonts w:hint="eastAsia"/>
          <w:color w:val="auto"/>
          <w:sz w:val="28"/>
          <w:szCs w:val="20"/>
          <w:highlight w:val="none"/>
          <w:lang w:val="en-US"/>
        </w:rPr>
        <w:t>磋商函附录</w:t>
      </w:r>
      <w:bookmarkEnd w:id="203"/>
      <w:bookmarkEnd w:id="204"/>
      <w:bookmarkEnd w:id="205"/>
      <w:bookmarkEnd w:id="206"/>
      <w:bookmarkEnd w:id="207"/>
      <w:bookmarkEnd w:id="208"/>
    </w:p>
    <w:p w14:paraId="1DD7ECDA">
      <w:pPr>
        <w:keepNext w:val="0"/>
        <w:keepLines w:val="0"/>
        <w:pageBreakBefore w:val="0"/>
        <w:kinsoku/>
        <w:overflowPunct/>
        <w:topLinePunct w:val="0"/>
        <w:bidi w:val="0"/>
        <w:spacing w:beforeAutospacing="0" w:afterAutospacing="0" w:line="560" w:lineRule="exact"/>
        <w:jc w:val="center"/>
        <w:outlineLvl w:val="2"/>
        <w:rPr>
          <w:color w:val="auto"/>
          <w:sz w:val="28"/>
          <w:szCs w:val="20"/>
          <w:highlight w:val="none"/>
          <w:lang w:val="en-US"/>
        </w:rPr>
      </w:pPr>
      <w:bookmarkStart w:id="210" w:name="_Toc30581"/>
      <w:bookmarkStart w:id="211" w:name="_Toc23888"/>
      <w:bookmarkStart w:id="212" w:name="_Toc152042578"/>
      <w:bookmarkStart w:id="213" w:name="_Toc7366_WPSOffice_Level2"/>
      <w:bookmarkStart w:id="214" w:name="_Toc144974858"/>
      <w:bookmarkStart w:id="215" w:name="_Toc488504497"/>
      <w:bookmarkStart w:id="216" w:name="_Toc464035571"/>
      <w:bookmarkStart w:id="217" w:name="_Toc26765"/>
      <w:bookmarkStart w:id="218" w:name="_Toc463701092"/>
      <w:bookmarkStart w:id="219" w:name="_Toc8915"/>
      <w:bookmarkStart w:id="220" w:name="_Toc487498496"/>
      <w:bookmarkStart w:id="221" w:name="_Toc455080170"/>
      <w:bookmarkStart w:id="222" w:name="_Toc152045789"/>
      <w:bookmarkStart w:id="223" w:name="_Toc11855"/>
      <w:bookmarkStart w:id="224" w:name="_Toc18705"/>
      <w:bookmarkStart w:id="225" w:name="_Toc26262"/>
      <w:bookmarkStart w:id="226" w:name="_Toc318450744"/>
      <w:r>
        <w:rPr>
          <w:rFonts w:hint="eastAsia"/>
          <w:color w:val="auto"/>
          <w:sz w:val="28"/>
          <w:szCs w:val="20"/>
          <w:highlight w:val="none"/>
          <w:lang w:val="en-US"/>
        </w:rPr>
        <w:t>（一）磋商函</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7C0AB56F">
      <w:pPr>
        <w:rPr>
          <w:rFonts w:hint="eastAsia" w:ascii="Calibri" w:hAnsi="Calibri" w:eastAsia="宋体"/>
          <w:color w:val="auto"/>
          <w:sz w:val="24"/>
          <w:highlight w:val="none"/>
        </w:rPr>
      </w:pPr>
      <w:r>
        <w:rPr>
          <w:rFonts w:hint="eastAsia" w:ascii="Calibri" w:hAnsi="Calibri" w:eastAsia="宋体"/>
          <w:color w:val="auto"/>
          <w:sz w:val="24"/>
          <w:highlight w:val="none"/>
        </w:rPr>
        <w:t xml:space="preserve">（采购人名称）: </w:t>
      </w:r>
    </w:p>
    <w:p w14:paraId="308DDDC7">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1．我方己仔细研究了</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（项目名称）</w:t>
      </w:r>
      <w:r>
        <w:rPr>
          <w:rFonts w:hint="eastAsia" w:eastAsia="宋体"/>
          <w:color w:val="auto"/>
          <w:sz w:val="24"/>
          <w:highlight w:val="none"/>
          <w:lang w:eastAsia="zh-CN"/>
        </w:rPr>
        <w:t>磋商</w:t>
      </w:r>
      <w:r>
        <w:rPr>
          <w:rFonts w:hint="eastAsia" w:ascii="Calibri" w:hAnsi="Calibri" w:eastAsia="宋体"/>
          <w:color w:val="auto"/>
          <w:sz w:val="24"/>
          <w:highlight w:val="none"/>
        </w:rPr>
        <w:t xml:space="preserve">文件的全部内容，愿意以（大写）人民币 </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元（￥</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元 ）的投标</w:t>
      </w:r>
      <w:r>
        <w:rPr>
          <w:rFonts w:hint="eastAsia" w:ascii="Calibri" w:hAnsi="Calibri" w:eastAsia="宋体"/>
          <w:color w:val="auto"/>
          <w:sz w:val="24"/>
          <w:highlight w:val="none"/>
          <w:lang w:val="en-US" w:eastAsia="zh-CN"/>
        </w:rPr>
        <w:t>报</w:t>
      </w:r>
      <w:r>
        <w:rPr>
          <w:rFonts w:hint="eastAsia" w:ascii="Calibri" w:hAnsi="Calibri" w:eastAsia="宋体"/>
          <w:color w:val="auto"/>
          <w:sz w:val="24"/>
          <w:highlight w:val="none"/>
        </w:rPr>
        <w:t>价，</w:t>
      </w:r>
      <w:r>
        <w:rPr>
          <w:rFonts w:hint="eastAsia" w:eastAsia="宋体"/>
          <w:color w:val="auto"/>
          <w:sz w:val="24"/>
          <w:highlight w:val="none"/>
          <w:lang w:eastAsia="zh-CN"/>
        </w:rPr>
        <w:t>服务期限</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，按合同约定实施和完成承包项目，质量达到</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 xml:space="preserve"> ，项目负责人</w:t>
      </w:r>
      <w:r>
        <w:rPr>
          <w:rFonts w:hint="eastAsia" w:ascii="Calibri" w:hAnsi="Calibri" w:eastAsia="宋体"/>
          <w:color w:val="auto"/>
          <w:sz w:val="24"/>
          <w:highlight w:val="none"/>
          <w:u w:val="single"/>
        </w:rPr>
        <w:t xml:space="preserve">          </w:t>
      </w:r>
      <w:r>
        <w:rPr>
          <w:rFonts w:hint="eastAsia" w:ascii="Calibri" w:hAnsi="Calibri" w:eastAsia="宋体"/>
          <w:color w:val="auto"/>
          <w:sz w:val="24"/>
          <w:highlight w:val="none"/>
        </w:rPr>
        <w:t>。</w:t>
      </w:r>
    </w:p>
    <w:p w14:paraId="4FDA2A0A">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2．我方承诺在投标有效期内不修改、撤销投标文件。</w:t>
      </w:r>
    </w:p>
    <w:p w14:paraId="2805530C">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3．如我方中标：</w:t>
      </w:r>
    </w:p>
    <w:p w14:paraId="53FA14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Calibri" w:hAnsi="Calibri" w:eastAsia="宋体"/>
          <w:color w:val="auto"/>
          <w:sz w:val="24"/>
          <w:highlight w:val="none"/>
        </w:rPr>
      </w:pPr>
      <w:r>
        <w:rPr>
          <w:rFonts w:hint="eastAsia" w:eastAsia="宋体"/>
          <w:color w:val="auto"/>
          <w:sz w:val="24"/>
          <w:highlight w:val="none"/>
          <w:lang w:eastAsia="zh-CN"/>
        </w:rPr>
        <w:t>（</w:t>
      </w:r>
      <w:r>
        <w:rPr>
          <w:rFonts w:hint="eastAsia" w:eastAsia="宋体"/>
          <w:color w:val="auto"/>
          <w:sz w:val="24"/>
          <w:highlight w:val="none"/>
          <w:lang w:val="en-US" w:eastAsia="zh-CN"/>
        </w:rPr>
        <w:t>1</w:t>
      </w:r>
      <w:r>
        <w:rPr>
          <w:rFonts w:hint="eastAsia" w:eastAsia="宋体"/>
          <w:color w:val="auto"/>
          <w:sz w:val="24"/>
          <w:highlight w:val="none"/>
          <w:lang w:eastAsia="zh-CN"/>
        </w:rPr>
        <w:t>）</w:t>
      </w:r>
      <w:r>
        <w:rPr>
          <w:rFonts w:hint="eastAsia" w:ascii="Calibri" w:hAnsi="Calibri" w:eastAsia="宋体"/>
          <w:color w:val="auto"/>
          <w:sz w:val="24"/>
          <w:highlight w:val="none"/>
        </w:rPr>
        <w:t>我方承诺在收到中标通知书后，在中标通知书规定的期限内与你方签订合同。</w:t>
      </w:r>
    </w:p>
    <w:p w14:paraId="322B7E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Calibri" w:hAnsi="Calibri" w:eastAsia="宋体"/>
          <w:color w:val="auto"/>
          <w:sz w:val="24"/>
          <w:highlight w:val="none"/>
        </w:rPr>
      </w:pPr>
      <w:r>
        <w:rPr>
          <w:rFonts w:hint="eastAsia" w:eastAsia="宋体"/>
          <w:color w:val="auto"/>
          <w:sz w:val="24"/>
          <w:highlight w:val="none"/>
          <w:lang w:eastAsia="zh-CN"/>
        </w:rPr>
        <w:t>（</w:t>
      </w:r>
      <w:r>
        <w:rPr>
          <w:rFonts w:hint="eastAsia" w:eastAsia="宋体"/>
          <w:color w:val="auto"/>
          <w:sz w:val="24"/>
          <w:highlight w:val="none"/>
          <w:lang w:val="en-US" w:eastAsia="zh-CN"/>
        </w:rPr>
        <w:t>2</w:t>
      </w:r>
      <w:r>
        <w:rPr>
          <w:rFonts w:hint="eastAsia" w:eastAsia="宋体"/>
          <w:color w:val="auto"/>
          <w:sz w:val="24"/>
          <w:highlight w:val="none"/>
          <w:lang w:eastAsia="zh-CN"/>
        </w:rPr>
        <w:t>）</w:t>
      </w:r>
      <w:r>
        <w:rPr>
          <w:rFonts w:hint="eastAsia" w:ascii="Calibri" w:hAnsi="Calibri" w:eastAsia="宋体"/>
          <w:color w:val="auto"/>
          <w:sz w:val="24"/>
          <w:highlight w:val="none"/>
        </w:rPr>
        <w:t>随同本</w:t>
      </w:r>
      <w:r>
        <w:rPr>
          <w:rFonts w:hint="eastAsia" w:eastAsia="宋体"/>
          <w:color w:val="auto"/>
          <w:sz w:val="24"/>
          <w:highlight w:val="none"/>
          <w:lang w:eastAsia="zh-CN"/>
        </w:rPr>
        <w:t>磋商</w:t>
      </w:r>
      <w:r>
        <w:rPr>
          <w:rFonts w:hint="eastAsia" w:ascii="Calibri" w:hAnsi="Calibri" w:eastAsia="宋体"/>
          <w:color w:val="auto"/>
          <w:sz w:val="24"/>
          <w:highlight w:val="none"/>
        </w:rPr>
        <w:t>函递交的</w:t>
      </w:r>
      <w:r>
        <w:rPr>
          <w:rFonts w:hint="eastAsia" w:eastAsia="宋体"/>
          <w:color w:val="auto"/>
          <w:sz w:val="24"/>
          <w:highlight w:val="none"/>
          <w:lang w:eastAsia="zh-CN"/>
        </w:rPr>
        <w:t>磋商</w:t>
      </w:r>
      <w:r>
        <w:rPr>
          <w:rFonts w:hint="eastAsia" w:ascii="Calibri" w:hAnsi="Calibri" w:eastAsia="宋体"/>
          <w:color w:val="auto"/>
          <w:sz w:val="24"/>
          <w:highlight w:val="none"/>
        </w:rPr>
        <w:t>函附录属于合同文件的组成部分。</w:t>
      </w:r>
      <w:r>
        <w:rPr>
          <w:rFonts w:hint="eastAsia" w:ascii="Calibri" w:hAnsi="Calibri" w:eastAsia="宋体"/>
          <w:color w:val="auto"/>
          <w:sz w:val="24"/>
          <w:highlight w:val="none"/>
        </w:rPr>
        <w:tab/>
      </w:r>
    </w:p>
    <w:p w14:paraId="05A8B6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Calibri" w:hAnsi="Calibri" w:eastAsia="宋体"/>
          <w:color w:val="auto"/>
          <w:sz w:val="24"/>
          <w:highlight w:val="none"/>
        </w:rPr>
      </w:pPr>
      <w:r>
        <w:rPr>
          <w:rFonts w:hint="eastAsia" w:eastAsia="宋体"/>
          <w:color w:val="auto"/>
          <w:sz w:val="24"/>
          <w:highlight w:val="none"/>
          <w:lang w:eastAsia="zh-CN"/>
        </w:rPr>
        <w:t>（</w:t>
      </w:r>
      <w:r>
        <w:rPr>
          <w:rFonts w:hint="eastAsia" w:eastAsia="宋体"/>
          <w:color w:val="auto"/>
          <w:sz w:val="24"/>
          <w:highlight w:val="none"/>
          <w:lang w:val="en-US" w:eastAsia="zh-CN"/>
        </w:rPr>
        <w:t>3</w:t>
      </w:r>
      <w:r>
        <w:rPr>
          <w:rFonts w:hint="eastAsia" w:eastAsia="宋体"/>
          <w:color w:val="auto"/>
          <w:sz w:val="24"/>
          <w:highlight w:val="none"/>
          <w:lang w:eastAsia="zh-CN"/>
        </w:rPr>
        <w:t>）</w:t>
      </w:r>
      <w:r>
        <w:rPr>
          <w:rFonts w:hint="eastAsia" w:ascii="Calibri" w:hAnsi="Calibri" w:eastAsia="宋体"/>
          <w:color w:val="auto"/>
          <w:sz w:val="24"/>
          <w:highlight w:val="none"/>
        </w:rPr>
        <w:t>我方承诺在合同约定的期限内完成全部设计文件。</w:t>
      </w:r>
    </w:p>
    <w:p w14:paraId="1EAEE24C">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4．我方在此声明，所递交的</w:t>
      </w:r>
      <w:r>
        <w:rPr>
          <w:rFonts w:hint="eastAsia" w:eastAsia="宋体"/>
          <w:color w:val="auto"/>
          <w:sz w:val="24"/>
          <w:highlight w:val="none"/>
          <w:lang w:eastAsia="zh-CN"/>
        </w:rPr>
        <w:t>响应</w:t>
      </w:r>
      <w:r>
        <w:rPr>
          <w:rFonts w:hint="eastAsia" w:ascii="Calibri" w:hAnsi="Calibri" w:eastAsia="宋体"/>
          <w:color w:val="auto"/>
          <w:sz w:val="24"/>
          <w:highlight w:val="none"/>
        </w:rPr>
        <w:t>文件及有关资料内容完整、真实和准确。</w:t>
      </w:r>
    </w:p>
    <w:p w14:paraId="5BB9BA6B">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5．如果我方中标，不更换项目负责人及项目管理机构主要人员。</w:t>
      </w:r>
    </w:p>
    <w:p w14:paraId="231600D9">
      <w:pPr>
        <w:spacing w:beforeAutospacing="0" w:afterAutospacing="0" w:line="360" w:lineRule="auto"/>
        <w:ind w:firstLine="480" w:firstLineChars="200"/>
        <w:rPr>
          <w:rFonts w:hint="eastAsia" w:ascii="Calibri" w:hAnsi="Calibri" w:eastAsia="宋体"/>
          <w:color w:val="auto"/>
          <w:sz w:val="24"/>
          <w:highlight w:val="none"/>
        </w:rPr>
      </w:pPr>
      <w:r>
        <w:rPr>
          <w:rFonts w:hint="eastAsia" w:ascii="Calibri" w:hAnsi="Calibri" w:eastAsia="宋体"/>
          <w:color w:val="auto"/>
          <w:sz w:val="24"/>
          <w:highlight w:val="none"/>
        </w:rPr>
        <w:t> </w:t>
      </w:r>
    </w:p>
    <w:p w14:paraId="0FB1A516">
      <w:pPr>
        <w:autoSpaceDE w:val="0"/>
        <w:autoSpaceDN w:val="0"/>
        <w:adjustRightInd w:val="0"/>
        <w:snapToGrid w:val="0"/>
        <w:spacing w:after="200" w:line="500" w:lineRule="exact"/>
        <w:jc w:val="right"/>
        <w:rPr>
          <w:rFonts w:cs="宋体" w:asciiTheme="minorEastAsia" w:hAnsiTheme="minorEastAsia" w:eastAsiaTheme="minorEastAsia"/>
          <w:color w:val="auto"/>
          <w:sz w:val="24"/>
          <w:szCs w:val="24"/>
          <w:highlight w:val="none"/>
          <w:lang w:val="en-GB"/>
        </w:rPr>
      </w:pPr>
      <w:r>
        <w:rPr>
          <w:rFonts w:hint="eastAsia" w:cs="宋体" w:asciiTheme="minorEastAsia" w:hAnsiTheme="minorEastAsia" w:eastAsiaTheme="minorEastAsia"/>
          <w:color w:val="auto"/>
          <w:sz w:val="24"/>
          <w:szCs w:val="24"/>
          <w:highlight w:val="none"/>
          <w:lang w:val="en-GB"/>
        </w:rPr>
        <w:t>磋商供应商</w:t>
      </w:r>
      <w:r>
        <w:rPr>
          <w:rFonts w:hint="eastAsia" w:cs="宋体" w:asciiTheme="minorEastAsia" w:hAnsiTheme="minorEastAsia" w:eastAsiaTheme="minorEastAsia"/>
          <w:color w:val="auto"/>
          <w:sz w:val="24"/>
          <w:szCs w:val="24"/>
          <w:highlight w:val="none"/>
          <w:lang w:val="en-GB" w:eastAsia="zh-CN"/>
        </w:rPr>
        <w:t>（</w:t>
      </w:r>
      <w:r>
        <w:rPr>
          <w:rFonts w:hint="eastAsia" w:cs="宋体" w:asciiTheme="minorEastAsia" w:hAnsiTheme="minorEastAsia" w:eastAsiaTheme="minorEastAsia"/>
          <w:color w:val="auto"/>
          <w:sz w:val="24"/>
          <w:szCs w:val="24"/>
          <w:highlight w:val="none"/>
          <w:lang w:val="en-US" w:eastAsia="zh-CN"/>
        </w:rPr>
        <w:t>联合体牵头人</w:t>
      </w:r>
      <w:r>
        <w:rPr>
          <w:rFonts w:hint="eastAsia" w:cs="宋体" w:asciiTheme="minorEastAsia" w:hAnsiTheme="minorEastAsia" w:eastAsiaTheme="minorEastAsia"/>
          <w:color w:val="auto"/>
          <w:sz w:val="24"/>
          <w:szCs w:val="24"/>
          <w:highlight w:val="none"/>
          <w:lang w:val="en-GB" w:eastAsia="zh-CN"/>
        </w:rPr>
        <w:t>）</w:t>
      </w:r>
      <w:r>
        <w:rPr>
          <w:rFonts w:hint="eastAsia" w:cs="宋体" w:asciiTheme="minorEastAsia" w:hAnsiTheme="minorEastAsia" w:eastAsiaTheme="minorEastAsia"/>
          <w:color w:val="auto"/>
          <w:sz w:val="24"/>
          <w:szCs w:val="24"/>
          <w:highlight w:val="none"/>
          <w:lang w:val="en-GB"/>
        </w:rPr>
        <w:t>：</w:t>
      </w:r>
      <w:r>
        <w:rPr>
          <w:rFonts w:hint="eastAsia" w:cs="宋体" w:asciiTheme="minorEastAsia" w:hAnsiTheme="minorEastAsia" w:eastAsiaTheme="minorEastAsia"/>
          <w:color w:val="auto"/>
          <w:sz w:val="24"/>
          <w:szCs w:val="24"/>
          <w:highlight w:val="none"/>
          <w:u w:val="single"/>
          <w:lang w:val="en-GB"/>
        </w:rPr>
        <w:t xml:space="preserve">                </w:t>
      </w:r>
      <w:r>
        <w:rPr>
          <w:rFonts w:hint="eastAsia" w:ascii="宋体" w:hAnsi="宋体" w:cs="宋体"/>
          <w:color w:val="auto"/>
          <w:sz w:val="24"/>
          <w:szCs w:val="24"/>
          <w:highlight w:val="none"/>
        </w:rPr>
        <w:t>（电子签章）</w:t>
      </w:r>
    </w:p>
    <w:p w14:paraId="488A22BA">
      <w:pPr>
        <w:autoSpaceDE w:val="0"/>
        <w:autoSpaceDN w:val="0"/>
        <w:adjustRightInd w:val="0"/>
        <w:snapToGrid w:val="0"/>
        <w:spacing w:after="200" w:line="500" w:lineRule="exact"/>
        <w:ind w:firstLine="2400" w:firstLineChars="1000"/>
        <w:jc w:val="right"/>
        <w:rPr>
          <w:rFonts w:cs="宋体" w:asciiTheme="minorEastAsia" w:hAnsiTheme="minorEastAsia" w:eastAsiaTheme="minorEastAsia"/>
          <w:color w:val="auto"/>
          <w:sz w:val="24"/>
          <w:szCs w:val="24"/>
          <w:highlight w:val="none"/>
          <w:lang w:val="en-GB"/>
        </w:rPr>
      </w:pPr>
      <w:r>
        <w:rPr>
          <w:rFonts w:hint="eastAsia" w:cs="宋体" w:asciiTheme="minorEastAsia" w:hAnsiTheme="minorEastAsia" w:eastAsiaTheme="minorEastAsia"/>
          <w:color w:val="auto"/>
          <w:sz w:val="24"/>
          <w:szCs w:val="24"/>
          <w:highlight w:val="none"/>
          <w:lang w:val="en-GB"/>
        </w:rPr>
        <w:t>法定代表人或授权委托人：</w:t>
      </w:r>
      <w:r>
        <w:rPr>
          <w:rFonts w:hint="eastAsia" w:cs="宋体" w:asciiTheme="minorEastAsia" w:hAnsiTheme="minorEastAsia" w:eastAsiaTheme="minorEastAsia"/>
          <w:color w:val="auto"/>
          <w:sz w:val="24"/>
          <w:szCs w:val="24"/>
          <w:highlight w:val="none"/>
          <w:u w:val="single"/>
          <w:lang w:val="en-GB"/>
        </w:rPr>
        <w:t xml:space="preserve">           </w:t>
      </w:r>
      <w:r>
        <w:rPr>
          <w:rFonts w:hint="eastAsia" w:cs="宋体" w:asciiTheme="minorEastAsia" w:hAnsiTheme="minorEastAsia" w:eastAsiaTheme="minorEastAsia"/>
          <w:color w:val="auto"/>
          <w:sz w:val="24"/>
          <w:szCs w:val="24"/>
          <w:highlight w:val="none"/>
          <w:lang w:val="en-GB"/>
        </w:rPr>
        <w:t>（</w:t>
      </w:r>
      <w:r>
        <w:rPr>
          <w:rFonts w:hint="eastAsia" w:ascii="宋体" w:hAnsi="宋体" w:eastAsia="宋体" w:cs="宋体"/>
          <w:color w:val="auto"/>
          <w:spacing w:val="-1"/>
          <w:sz w:val="24"/>
          <w:szCs w:val="24"/>
          <w:highlight w:val="none"/>
          <w:lang w:eastAsia="zh-CN"/>
        </w:rPr>
        <w:t>法人</w:t>
      </w:r>
      <w:r>
        <w:rPr>
          <w:rFonts w:hint="eastAsia" w:ascii="宋体" w:hAnsi="宋体" w:eastAsia="宋体" w:cs="宋体"/>
          <w:color w:val="auto"/>
          <w:spacing w:val="-1"/>
          <w:sz w:val="24"/>
          <w:szCs w:val="24"/>
          <w:highlight w:val="none"/>
        </w:rPr>
        <w:t>电子签章</w:t>
      </w:r>
      <w:r>
        <w:rPr>
          <w:rFonts w:hint="eastAsia" w:cs="宋体" w:asciiTheme="minorEastAsia" w:hAnsiTheme="minorEastAsia" w:eastAsiaTheme="minorEastAsia"/>
          <w:color w:val="auto"/>
          <w:sz w:val="24"/>
          <w:szCs w:val="24"/>
          <w:highlight w:val="none"/>
          <w:lang w:val="en-GB"/>
        </w:rPr>
        <w:t>）</w:t>
      </w:r>
    </w:p>
    <w:p w14:paraId="4D59EF73">
      <w:pPr>
        <w:autoSpaceDE w:val="0"/>
        <w:autoSpaceDN w:val="0"/>
        <w:adjustRightInd w:val="0"/>
        <w:snapToGrid w:val="0"/>
        <w:spacing w:after="200" w:line="500" w:lineRule="exact"/>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lang w:val="en-GB"/>
        </w:rPr>
        <w:t xml:space="preserve">                                    日</w:t>
      </w:r>
      <w:r>
        <w:rPr>
          <w:rFonts w:hint="eastAsia" w:cs="宋体" w:asciiTheme="minorEastAsia" w:hAnsiTheme="minorEastAsia" w:eastAsiaTheme="minorEastAsia"/>
          <w:color w:val="auto"/>
          <w:sz w:val="24"/>
          <w:szCs w:val="24"/>
          <w:highlight w:val="none"/>
        </w:rPr>
        <w:t xml:space="preserve">   </w:t>
      </w:r>
      <w:r>
        <w:rPr>
          <w:rFonts w:hint="eastAsia" w:cs="宋体" w:asciiTheme="minorEastAsia" w:hAnsiTheme="minorEastAsia" w:eastAsiaTheme="minorEastAsia"/>
          <w:color w:val="auto"/>
          <w:sz w:val="24"/>
          <w:szCs w:val="24"/>
          <w:highlight w:val="none"/>
          <w:lang w:val="en-GB"/>
        </w:rPr>
        <w:t>期：</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年</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月</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日</w:t>
      </w:r>
    </w:p>
    <w:p w14:paraId="35874348">
      <w:pPr>
        <w:rPr>
          <w:rFonts w:hint="eastAsia" w:ascii="Calibri" w:hAnsi="Calibri" w:eastAsia="宋体"/>
          <w:color w:val="auto"/>
          <w:highlight w:val="none"/>
        </w:rPr>
      </w:pPr>
      <w:r>
        <w:rPr>
          <w:rFonts w:hint="eastAsia" w:ascii="Calibri" w:hAnsi="Calibri" w:eastAsia="宋体"/>
          <w:color w:val="auto"/>
          <w:highlight w:val="none"/>
        </w:rPr>
        <w:t> </w:t>
      </w:r>
    </w:p>
    <w:bookmarkEnd w:id="209"/>
    <w:p w14:paraId="260F181F">
      <w:pPr>
        <w:wordWrap w:val="0"/>
        <w:spacing w:beforeAutospacing="0" w:afterAutospacing="0" w:line="600" w:lineRule="exact"/>
        <w:ind w:firstLine="420" w:firstLineChars="200"/>
        <w:jc w:val="center"/>
        <w:rPr>
          <w:rFonts w:hint="default" w:ascii="Calibri" w:hAnsi="Calibri" w:eastAsia="宋体"/>
          <w:color w:val="auto"/>
          <w:highlight w:val="none"/>
          <w:lang w:val="en-US" w:eastAsia="zh-CN"/>
        </w:rPr>
      </w:pPr>
      <w:r>
        <w:rPr>
          <w:rFonts w:hint="eastAsia" w:ascii="Calibri" w:hAnsi="Calibri" w:eastAsia="宋体"/>
          <w:color w:val="auto"/>
          <w:highlight w:val="none"/>
        </w:rPr>
        <w:br w:type="page"/>
      </w:r>
      <w:bookmarkStart w:id="227" w:name="_Toc403418354"/>
      <w:bookmarkStart w:id="228" w:name="_Toc403418420"/>
      <w:bookmarkStart w:id="229" w:name="_Toc216842529"/>
      <w:bookmarkStart w:id="230" w:name="_Toc25194"/>
      <w:bookmarkStart w:id="231" w:name="_Toc13604_WPSOffice_Level2"/>
      <w:bookmarkStart w:id="232" w:name="_Toc14822"/>
      <w:bookmarkStart w:id="233" w:name="_Toc20293"/>
      <w:r>
        <w:rPr>
          <w:rFonts w:hint="eastAsia"/>
          <w:color w:val="auto"/>
          <w:sz w:val="28"/>
          <w:szCs w:val="20"/>
          <w:highlight w:val="none"/>
          <w:lang w:val="en-US"/>
        </w:rPr>
        <w:t>（二）</w:t>
      </w:r>
      <w:bookmarkEnd w:id="227"/>
      <w:bookmarkEnd w:id="228"/>
      <w:bookmarkEnd w:id="229"/>
      <w:r>
        <w:rPr>
          <w:rFonts w:hint="eastAsia"/>
          <w:color w:val="auto"/>
          <w:sz w:val="28"/>
          <w:szCs w:val="20"/>
          <w:highlight w:val="none"/>
          <w:lang w:val="en-US"/>
        </w:rPr>
        <w:t>磋商函附录</w:t>
      </w:r>
      <w:bookmarkEnd w:id="230"/>
      <w:bookmarkEnd w:id="231"/>
      <w:bookmarkEnd w:id="232"/>
      <w:bookmarkEnd w:id="233"/>
    </w:p>
    <w:tbl>
      <w:tblPr>
        <w:tblStyle w:val="14"/>
        <w:tblpPr w:leftFromText="181" w:rightFromText="181" w:vertAnchor="text" w:horzAnchor="margin" w:tblpXSpec="center" w:tblpY="372"/>
        <w:tblOverlap w:val="neve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30"/>
        <w:gridCol w:w="2009"/>
        <w:gridCol w:w="2250"/>
        <w:gridCol w:w="2010"/>
      </w:tblGrid>
      <w:tr w14:paraId="2EF02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42" w:hRule="atLeast"/>
        </w:trPr>
        <w:tc>
          <w:tcPr>
            <w:tcW w:w="2630" w:type="dxa"/>
            <w:vAlign w:val="center"/>
          </w:tcPr>
          <w:p w14:paraId="1CC9146C">
            <w:pPr>
              <w:wordWrap w:val="0"/>
              <w:autoSpaceDE w:val="0"/>
              <w:autoSpaceDN w:val="0"/>
              <w:spacing w:beforeAutospacing="0" w:afterAutospacing="0" w:line="600" w:lineRule="exact"/>
              <w:jc w:val="center"/>
              <w:rPr>
                <w:rFonts w:hint="eastAsia" w:ascii="宋体" w:hAnsi="Times New Roman" w:eastAsia="宋体"/>
                <w:color w:val="auto"/>
                <w:kern w:val="0"/>
                <w:sz w:val="24"/>
                <w:szCs w:val="28"/>
                <w:highlight w:val="none"/>
              </w:rPr>
            </w:pPr>
            <w:r>
              <w:rPr>
                <w:rFonts w:hint="eastAsia" w:ascii="宋体" w:hAnsi="Times New Roman" w:eastAsia="宋体"/>
                <w:color w:val="auto"/>
                <w:kern w:val="0"/>
                <w:sz w:val="24"/>
                <w:szCs w:val="28"/>
                <w:highlight w:val="none"/>
              </w:rPr>
              <w:t>项目名称</w:t>
            </w:r>
          </w:p>
        </w:tc>
        <w:tc>
          <w:tcPr>
            <w:tcW w:w="6269" w:type="dxa"/>
            <w:gridSpan w:val="3"/>
            <w:vAlign w:val="center"/>
          </w:tcPr>
          <w:p w14:paraId="698DCB06">
            <w:pPr>
              <w:wordWrap w:val="0"/>
              <w:spacing w:beforeAutospacing="0" w:afterAutospacing="0" w:line="600" w:lineRule="exact"/>
              <w:ind w:firstLine="480" w:firstLineChars="200"/>
              <w:jc w:val="center"/>
              <w:rPr>
                <w:rFonts w:ascii="宋体" w:hAnsi="Calibri" w:eastAsia="宋体"/>
                <w:color w:val="auto"/>
                <w:sz w:val="24"/>
                <w:szCs w:val="28"/>
                <w:highlight w:val="none"/>
                <w:u w:val="single"/>
              </w:rPr>
            </w:pPr>
          </w:p>
        </w:tc>
      </w:tr>
      <w:tr w14:paraId="2F7FD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4" w:hRule="atLeast"/>
        </w:trPr>
        <w:tc>
          <w:tcPr>
            <w:tcW w:w="2630" w:type="dxa"/>
            <w:vAlign w:val="center"/>
          </w:tcPr>
          <w:p w14:paraId="3EA4357D">
            <w:pPr>
              <w:wordWrap w:val="0"/>
              <w:autoSpaceDE w:val="0"/>
              <w:autoSpaceDN w:val="0"/>
              <w:spacing w:beforeAutospacing="0" w:afterAutospacing="0" w:line="600" w:lineRule="exact"/>
              <w:jc w:val="center"/>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供</w:t>
            </w:r>
            <w:r>
              <w:rPr>
                <w:rFonts w:hint="eastAsia" w:ascii="宋体" w:hAnsi="宋体"/>
                <w:color w:val="auto"/>
                <w:kern w:val="0"/>
                <w:sz w:val="24"/>
                <w:szCs w:val="28"/>
                <w:highlight w:val="none"/>
                <w:lang w:val="en-US" w:eastAsia="zh-CN"/>
              </w:rPr>
              <w:t>应</w:t>
            </w:r>
            <w:r>
              <w:rPr>
                <w:rFonts w:hint="eastAsia" w:ascii="宋体" w:hAnsi="宋体" w:eastAsia="宋体"/>
                <w:color w:val="auto"/>
                <w:kern w:val="0"/>
                <w:sz w:val="24"/>
                <w:szCs w:val="28"/>
                <w:highlight w:val="none"/>
              </w:rPr>
              <w:t>商名称</w:t>
            </w:r>
          </w:p>
          <w:p w14:paraId="0486486F">
            <w:pPr>
              <w:wordWrap w:val="0"/>
              <w:autoSpaceDE w:val="0"/>
              <w:autoSpaceDN w:val="0"/>
              <w:spacing w:beforeAutospacing="0" w:afterAutospacing="0" w:line="600" w:lineRule="exact"/>
              <w:jc w:val="center"/>
              <w:rPr>
                <w:rFonts w:hint="eastAsia" w:ascii="宋体" w:hAnsi="Times New Roman" w:eastAsia="宋体"/>
                <w:color w:val="auto"/>
                <w:kern w:val="0"/>
                <w:sz w:val="24"/>
                <w:szCs w:val="28"/>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联合体牵头人</w:t>
            </w:r>
            <w:r>
              <w:rPr>
                <w:rFonts w:hint="eastAsia" w:ascii="宋体" w:hAnsi="宋体" w:eastAsia="宋体" w:cs="宋体"/>
                <w:color w:val="auto"/>
                <w:sz w:val="24"/>
                <w:szCs w:val="24"/>
                <w:highlight w:val="none"/>
                <w:lang w:eastAsia="zh-CN"/>
              </w:rPr>
              <w:t>）</w:t>
            </w:r>
          </w:p>
        </w:tc>
        <w:tc>
          <w:tcPr>
            <w:tcW w:w="6269" w:type="dxa"/>
            <w:gridSpan w:val="3"/>
            <w:vAlign w:val="center"/>
          </w:tcPr>
          <w:p w14:paraId="2AB702EC">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r>
      <w:tr w14:paraId="2B118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42" w:hRule="atLeast"/>
        </w:trPr>
        <w:tc>
          <w:tcPr>
            <w:tcW w:w="2630" w:type="dxa"/>
            <w:vAlign w:val="center"/>
          </w:tcPr>
          <w:p w14:paraId="72260A8E">
            <w:pPr>
              <w:wordWrap w:val="0"/>
              <w:autoSpaceDE w:val="0"/>
              <w:autoSpaceDN w:val="0"/>
              <w:spacing w:beforeAutospacing="0" w:afterAutospacing="0" w:line="600" w:lineRule="exact"/>
              <w:jc w:val="center"/>
              <w:rPr>
                <w:rFonts w:hint="eastAsia" w:ascii="宋体" w:hAnsi="Times New Roman" w:eastAsia="宋体"/>
                <w:color w:val="auto"/>
                <w:kern w:val="0"/>
                <w:sz w:val="24"/>
                <w:szCs w:val="28"/>
                <w:highlight w:val="none"/>
              </w:rPr>
            </w:pPr>
            <w:r>
              <w:rPr>
                <w:rFonts w:hint="eastAsia" w:ascii="宋体" w:hAnsi="Times New Roman" w:eastAsia="宋体"/>
                <w:color w:val="auto"/>
                <w:kern w:val="0"/>
                <w:sz w:val="24"/>
                <w:szCs w:val="28"/>
                <w:highlight w:val="none"/>
              </w:rPr>
              <w:t>项目编号</w:t>
            </w:r>
          </w:p>
        </w:tc>
        <w:tc>
          <w:tcPr>
            <w:tcW w:w="6269" w:type="dxa"/>
            <w:gridSpan w:val="3"/>
            <w:vAlign w:val="center"/>
          </w:tcPr>
          <w:p w14:paraId="4D691083">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r>
      <w:tr w14:paraId="766E2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4" w:hRule="atLeast"/>
        </w:trPr>
        <w:tc>
          <w:tcPr>
            <w:tcW w:w="2630" w:type="dxa"/>
            <w:vAlign w:val="center"/>
          </w:tcPr>
          <w:p w14:paraId="4D6014A0">
            <w:pPr>
              <w:wordWrap w:val="0"/>
              <w:spacing w:beforeAutospacing="0" w:afterAutospacing="0" w:line="600" w:lineRule="exact"/>
              <w:jc w:val="center"/>
              <w:rPr>
                <w:rFonts w:hint="eastAsia" w:ascii="宋体" w:hAnsi="宋体" w:eastAsia="宋体"/>
                <w:color w:val="auto"/>
                <w:sz w:val="24"/>
                <w:szCs w:val="28"/>
                <w:highlight w:val="none"/>
              </w:rPr>
            </w:pPr>
            <w:r>
              <w:rPr>
                <w:rFonts w:hint="eastAsia" w:ascii="宋体" w:hAnsi="宋体"/>
                <w:color w:val="auto"/>
                <w:sz w:val="24"/>
                <w:szCs w:val="28"/>
                <w:highlight w:val="none"/>
                <w:lang w:eastAsia="zh-CN"/>
              </w:rPr>
              <w:t>磋商</w:t>
            </w:r>
            <w:r>
              <w:rPr>
                <w:rFonts w:hint="eastAsia" w:ascii="宋体" w:hAnsi="宋体" w:eastAsia="宋体"/>
                <w:color w:val="auto"/>
                <w:sz w:val="24"/>
                <w:szCs w:val="28"/>
                <w:highlight w:val="none"/>
                <w:lang w:val="en-US" w:eastAsia="zh-CN"/>
              </w:rPr>
              <w:t>报</w:t>
            </w:r>
            <w:r>
              <w:rPr>
                <w:rFonts w:hint="eastAsia" w:ascii="宋体" w:hAnsi="宋体" w:eastAsia="宋体"/>
                <w:color w:val="auto"/>
                <w:sz w:val="24"/>
                <w:szCs w:val="28"/>
                <w:highlight w:val="none"/>
              </w:rPr>
              <w:t>价</w:t>
            </w:r>
          </w:p>
        </w:tc>
        <w:tc>
          <w:tcPr>
            <w:tcW w:w="6269" w:type="dxa"/>
            <w:gridSpan w:val="3"/>
            <w:vAlign w:val="center"/>
          </w:tcPr>
          <w:p w14:paraId="76BE0B5A">
            <w:pPr>
              <w:wordWrap w:val="0"/>
              <w:spacing w:beforeAutospacing="0" w:afterAutospacing="0" w:line="600" w:lineRule="exact"/>
              <w:ind w:firstLine="424" w:firstLineChars="200"/>
              <w:rPr>
                <w:rFonts w:hint="eastAsia" w:ascii="Calibri" w:hAnsi="Calibri" w:eastAsia="宋体"/>
                <w:color w:val="auto"/>
                <w:spacing w:val="-14"/>
                <w:sz w:val="24"/>
                <w:szCs w:val="28"/>
                <w:highlight w:val="none"/>
              </w:rPr>
            </w:pPr>
            <w:r>
              <w:rPr>
                <w:rFonts w:hint="eastAsia" w:ascii="Calibri" w:hAnsi="Calibri" w:eastAsia="宋体"/>
                <w:color w:val="auto"/>
                <w:spacing w:val="-14"/>
                <w:sz w:val="24"/>
                <w:szCs w:val="28"/>
                <w:highlight w:val="none"/>
              </w:rPr>
              <w:t>大写：</w:t>
            </w:r>
          </w:p>
          <w:p w14:paraId="38523F54">
            <w:pPr>
              <w:wordWrap w:val="0"/>
              <w:spacing w:beforeAutospacing="0" w:afterAutospacing="0" w:line="600" w:lineRule="exact"/>
              <w:ind w:firstLine="424" w:firstLineChars="200"/>
              <w:rPr>
                <w:rFonts w:hint="eastAsia" w:ascii="Calibri" w:hAnsi="Calibri" w:eastAsia="宋体"/>
                <w:color w:val="auto"/>
                <w:spacing w:val="-14"/>
                <w:sz w:val="24"/>
                <w:szCs w:val="28"/>
                <w:highlight w:val="none"/>
              </w:rPr>
            </w:pPr>
            <w:r>
              <w:rPr>
                <w:rFonts w:hint="eastAsia" w:ascii="Calibri" w:hAnsi="Calibri" w:eastAsia="宋体"/>
                <w:color w:val="auto"/>
                <w:spacing w:val="-14"/>
                <w:sz w:val="24"/>
                <w:szCs w:val="28"/>
                <w:highlight w:val="none"/>
              </w:rPr>
              <w:t>小写：</w:t>
            </w:r>
          </w:p>
        </w:tc>
      </w:tr>
      <w:tr w14:paraId="1B26C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89" w:hRule="atLeast"/>
        </w:trPr>
        <w:tc>
          <w:tcPr>
            <w:tcW w:w="2630" w:type="dxa"/>
            <w:vAlign w:val="center"/>
          </w:tcPr>
          <w:p w14:paraId="1CD1673C">
            <w:pPr>
              <w:wordWrap w:val="0"/>
              <w:spacing w:beforeAutospacing="0" w:afterAutospacing="0" w:line="600" w:lineRule="exact"/>
              <w:jc w:val="center"/>
              <w:rPr>
                <w:rFonts w:hint="eastAsia" w:ascii="宋体" w:hAnsi="宋体" w:eastAsia="宋体"/>
                <w:color w:val="auto"/>
                <w:sz w:val="24"/>
                <w:szCs w:val="28"/>
                <w:highlight w:val="none"/>
                <w:lang w:eastAsia="zh-CN"/>
              </w:rPr>
            </w:pPr>
            <w:r>
              <w:rPr>
                <w:rFonts w:hint="eastAsia" w:ascii="宋体" w:hAnsi="宋体" w:eastAsia="宋体"/>
                <w:color w:val="auto"/>
                <w:sz w:val="24"/>
                <w:szCs w:val="28"/>
                <w:highlight w:val="none"/>
                <w:lang w:eastAsia="zh-CN"/>
              </w:rPr>
              <w:t>服务期限</w:t>
            </w:r>
          </w:p>
        </w:tc>
        <w:tc>
          <w:tcPr>
            <w:tcW w:w="6269" w:type="dxa"/>
            <w:gridSpan w:val="3"/>
            <w:vAlign w:val="center"/>
          </w:tcPr>
          <w:p w14:paraId="6907B6DA">
            <w:pPr>
              <w:wordWrap w:val="0"/>
              <w:spacing w:beforeAutospacing="0" w:afterAutospacing="0" w:line="600" w:lineRule="exact"/>
              <w:ind w:firstLine="480" w:firstLineChars="200"/>
              <w:rPr>
                <w:rFonts w:ascii="宋体" w:hAnsi="Calibri" w:eastAsia="宋体"/>
                <w:color w:val="auto"/>
                <w:sz w:val="24"/>
                <w:szCs w:val="28"/>
                <w:highlight w:val="none"/>
              </w:rPr>
            </w:pPr>
          </w:p>
        </w:tc>
      </w:tr>
      <w:tr w14:paraId="1D87A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89" w:hRule="atLeast"/>
        </w:trPr>
        <w:tc>
          <w:tcPr>
            <w:tcW w:w="2630" w:type="dxa"/>
            <w:vAlign w:val="center"/>
          </w:tcPr>
          <w:p w14:paraId="47A50E83">
            <w:pPr>
              <w:wordWrap w:val="0"/>
              <w:spacing w:beforeAutospacing="0" w:afterAutospacing="0" w:line="600" w:lineRule="exact"/>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质量标准</w:t>
            </w:r>
          </w:p>
        </w:tc>
        <w:tc>
          <w:tcPr>
            <w:tcW w:w="6269" w:type="dxa"/>
            <w:gridSpan w:val="3"/>
            <w:vAlign w:val="center"/>
          </w:tcPr>
          <w:p w14:paraId="285AC857">
            <w:pPr>
              <w:wordWrap w:val="0"/>
              <w:spacing w:beforeAutospacing="0" w:afterAutospacing="0" w:line="600" w:lineRule="exact"/>
              <w:ind w:firstLine="480" w:firstLineChars="200"/>
              <w:rPr>
                <w:rFonts w:ascii="宋体" w:hAnsi="Calibri" w:eastAsia="宋体"/>
                <w:color w:val="auto"/>
                <w:sz w:val="24"/>
                <w:szCs w:val="28"/>
                <w:highlight w:val="none"/>
              </w:rPr>
            </w:pPr>
          </w:p>
        </w:tc>
      </w:tr>
      <w:tr w14:paraId="5EFCE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89" w:hRule="atLeast"/>
        </w:trPr>
        <w:tc>
          <w:tcPr>
            <w:tcW w:w="2630" w:type="dxa"/>
            <w:vAlign w:val="center"/>
          </w:tcPr>
          <w:p w14:paraId="67D7B383">
            <w:pPr>
              <w:wordWrap w:val="0"/>
              <w:spacing w:beforeAutospacing="0" w:afterAutospacing="0" w:line="600" w:lineRule="exact"/>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项目负责人</w:t>
            </w:r>
          </w:p>
        </w:tc>
        <w:tc>
          <w:tcPr>
            <w:tcW w:w="2009" w:type="dxa"/>
            <w:vAlign w:val="center"/>
          </w:tcPr>
          <w:p w14:paraId="1E054523">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c>
          <w:tcPr>
            <w:tcW w:w="2250" w:type="dxa"/>
            <w:vAlign w:val="center"/>
          </w:tcPr>
          <w:p w14:paraId="68680541">
            <w:pPr>
              <w:wordWrap w:val="0"/>
              <w:spacing w:beforeAutospacing="0" w:afterAutospacing="0" w:line="600" w:lineRule="exact"/>
              <w:jc w:val="center"/>
              <w:rPr>
                <w:rFonts w:hint="eastAsia" w:ascii="宋体" w:hAnsi="宋体" w:eastAsia="宋体"/>
                <w:color w:val="auto"/>
                <w:sz w:val="24"/>
                <w:szCs w:val="28"/>
                <w:highlight w:val="none"/>
                <w:lang w:eastAsia="zh-CN"/>
              </w:rPr>
            </w:pPr>
            <w:r>
              <w:rPr>
                <w:rFonts w:hint="eastAsia" w:ascii="宋体" w:hAnsi="宋体"/>
                <w:color w:val="auto"/>
                <w:sz w:val="24"/>
                <w:szCs w:val="28"/>
                <w:highlight w:val="none"/>
                <w:lang w:eastAsia="zh-CN"/>
              </w:rPr>
              <w:t>职称及证书编号</w:t>
            </w:r>
          </w:p>
        </w:tc>
        <w:tc>
          <w:tcPr>
            <w:tcW w:w="2010" w:type="dxa"/>
            <w:vAlign w:val="center"/>
          </w:tcPr>
          <w:p w14:paraId="7FF3CF36">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r>
      <w:tr w14:paraId="5EB01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89" w:hRule="atLeast"/>
        </w:trPr>
        <w:tc>
          <w:tcPr>
            <w:tcW w:w="2630" w:type="dxa"/>
            <w:vAlign w:val="center"/>
          </w:tcPr>
          <w:p w14:paraId="354934E1">
            <w:pPr>
              <w:wordWrap w:val="0"/>
              <w:spacing w:beforeAutospacing="0" w:afterAutospacing="0" w:line="600" w:lineRule="exact"/>
              <w:jc w:val="center"/>
              <w:rPr>
                <w:rFonts w:hint="eastAsia" w:ascii="宋体" w:hAnsi="宋体" w:eastAsia="宋体"/>
                <w:color w:val="auto"/>
                <w:sz w:val="24"/>
                <w:szCs w:val="28"/>
                <w:highlight w:val="none"/>
                <w:lang w:eastAsia="zh-CN"/>
              </w:rPr>
            </w:pPr>
            <w:r>
              <w:rPr>
                <w:rFonts w:hint="eastAsia" w:ascii="宋体" w:hAnsi="宋体"/>
                <w:color w:val="auto"/>
                <w:sz w:val="24"/>
                <w:szCs w:val="28"/>
                <w:highlight w:val="none"/>
                <w:lang w:eastAsia="zh-CN"/>
              </w:rPr>
              <w:t>联系电话</w:t>
            </w:r>
          </w:p>
        </w:tc>
        <w:tc>
          <w:tcPr>
            <w:tcW w:w="6269" w:type="dxa"/>
            <w:gridSpan w:val="3"/>
            <w:vAlign w:val="center"/>
          </w:tcPr>
          <w:p w14:paraId="6C1CAA2F">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r>
      <w:tr w14:paraId="0FC12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89" w:hRule="atLeast"/>
        </w:trPr>
        <w:tc>
          <w:tcPr>
            <w:tcW w:w="2630" w:type="dxa"/>
            <w:vAlign w:val="center"/>
          </w:tcPr>
          <w:p w14:paraId="25C3DB68">
            <w:pPr>
              <w:wordWrap w:val="0"/>
              <w:spacing w:beforeAutospacing="0" w:afterAutospacing="0" w:line="600" w:lineRule="exact"/>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投标有效期</w:t>
            </w:r>
          </w:p>
        </w:tc>
        <w:tc>
          <w:tcPr>
            <w:tcW w:w="6269" w:type="dxa"/>
            <w:gridSpan w:val="3"/>
            <w:vAlign w:val="center"/>
          </w:tcPr>
          <w:p w14:paraId="30170363">
            <w:pPr>
              <w:wordWrap w:val="0"/>
              <w:spacing w:beforeAutospacing="0" w:afterAutospacing="0" w:line="600" w:lineRule="exact"/>
              <w:ind w:firstLine="480" w:firstLineChars="200"/>
              <w:jc w:val="center"/>
              <w:rPr>
                <w:rFonts w:ascii="宋体" w:hAnsi="Calibri" w:eastAsia="宋体"/>
                <w:color w:val="auto"/>
                <w:sz w:val="24"/>
                <w:szCs w:val="28"/>
                <w:highlight w:val="none"/>
              </w:rPr>
            </w:pPr>
          </w:p>
        </w:tc>
      </w:tr>
      <w:tr w14:paraId="6C962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14" w:hRule="atLeast"/>
        </w:trPr>
        <w:tc>
          <w:tcPr>
            <w:tcW w:w="2630" w:type="dxa"/>
            <w:vAlign w:val="center"/>
          </w:tcPr>
          <w:p w14:paraId="2467DC18">
            <w:pPr>
              <w:wordWrap w:val="0"/>
              <w:autoSpaceDE w:val="0"/>
              <w:autoSpaceDN w:val="0"/>
              <w:spacing w:beforeAutospacing="0" w:afterAutospacing="0" w:line="600" w:lineRule="exact"/>
              <w:jc w:val="center"/>
              <w:rPr>
                <w:rFonts w:hint="eastAsia" w:ascii="Calibri" w:hAnsi="Calibri" w:eastAsia="宋体"/>
                <w:color w:val="auto"/>
                <w:sz w:val="24"/>
                <w:szCs w:val="28"/>
                <w:highlight w:val="none"/>
                <w:lang w:eastAsia="zh-CN"/>
              </w:rPr>
            </w:pPr>
            <w:r>
              <w:rPr>
                <w:rFonts w:hint="eastAsia" w:ascii="宋体" w:hAnsi="Times New Roman" w:eastAsia="宋体"/>
                <w:color w:val="auto"/>
                <w:kern w:val="0"/>
                <w:sz w:val="24"/>
                <w:szCs w:val="28"/>
                <w:highlight w:val="none"/>
                <w:lang w:eastAsia="zh-CN"/>
              </w:rPr>
              <w:t>备注</w:t>
            </w:r>
          </w:p>
        </w:tc>
        <w:tc>
          <w:tcPr>
            <w:tcW w:w="6269" w:type="dxa"/>
            <w:gridSpan w:val="3"/>
            <w:vAlign w:val="center"/>
          </w:tcPr>
          <w:p w14:paraId="04AF6F65">
            <w:pPr>
              <w:wordWrap w:val="0"/>
              <w:spacing w:beforeAutospacing="0" w:afterAutospacing="0" w:line="600" w:lineRule="exact"/>
              <w:ind w:firstLine="480" w:firstLineChars="200"/>
              <w:rPr>
                <w:rFonts w:ascii="宋体" w:hAnsi="Calibri" w:eastAsia="宋体"/>
                <w:color w:val="auto"/>
                <w:sz w:val="24"/>
                <w:szCs w:val="28"/>
                <w:highlight w:val="none"/>
              </w:rPr>
            </w:pPr>
          </w:p>
        </w:tc>
      </w:tr>
    </w:tbl>
    <w:p w14:paraId="0D00B6CC">
      <w:pPr>
        <w:wordWrap w:val="0"/>
        <w:spacing w:beforeAutospacing="0" w:afterAutospacing="0" w:line="600" w:lineRule="exact"/>
        <w:ind w:firstLine="480" w:firstLineChars="200"/>
        <w:rPr>
          <w:rFonts w:ascii="新宋体" w:hAnsi="新宋体" w:eastAsia="新宋体"/>
          <w:color w:val="auto"/>
          <w:sz w:val="24"/>
          <w:szCs w:val="28"/>
          <w:highlight w:val="none"/>
        </w:rPr>
      </w:pPr>
    </w:p>
    <w:p w14:paraId="5D3892F7">
      <w:pPr>
        <w:autoSpaceDE w:val="0"/>
        <w:autoSpaceDN w:val="0"/>
        <w:adjustRightInd w:val="0"/>
        <w:snapToGrid w:val="0"/>
        <w:spacing w:after="200" w:line="500" w:lineRule="exact"/>
        <w:jc w:val="right"/>
        <w:rPr>
          <w:rFonts w:hint="eastAsia" w:cs="宋体" w:asciiTheme="minorEastAsia" w:hAnsiTheme="minorEastAsia" w:eastAsiaTheme="minorEastAsia"/>
          <w:color w:val="auto"/>
          <w:sz w:val="24"/>
          <w:szCs w:val="24"/>
          <w:highlight w:val="none"/>
          <w:lang w:val="en-GB"/>
        </w:rPr>
      </w:pPr>
    </w:p>
    <w:p w14:paraId="0A8A1937">
      <w:pPr>
        <w:autoSpaceDE w:val="0"/>
        <w:autoSpaceDN w:val="0"/>
        <w:adjustRightInd w:val="0"/>
        <w:snapToGrid w:val="0"/>
        <w:spacing w:after="200" w:line="500" w:lineRule="exact"/>
        <w:jc w:val="right"/>
        <w:rPr>
          <w:rFonts w:hint="eastAsia" w:ascii="宋体" w:hAnsi="宋体" w:cs="宋体"/>
          <w:color w:val="auto"/>
          <w:sz w:val="24"/>
          <w:szCs w:val="24"/>
          <w:highlight w:val="none"/>
          <w:lang w:val="en-GB"/>
        </w:rPr>
      </w:pPr>
      <w:r>
        <w:rPr>
          <w:rFonts w:hint="eastAsia" w:eastAsiaTheme="minorEastAsia"/>
          <w:b/>
          <w:bCs/>
          <w:color w:val="auto"/>
          <w:szCs w:val="21"/>
          <w:highlight w:val="none"/>
          <w:lang w:val="en-US" w:eastAsia="zh-CN"/>
        </w:rPr>
        <w:t xml:space="preserve"> </w:t>
      </w:r>
      <w:r>
        <w:rPr>
          <w:rFonts w:hint="eastAsia" w:cs="宋体" w:asciiTheme="minorEastAsia" w:hAnsiTheme="minorEastAsia" w:eastAsiaTheme="minorEastAsia"/>
          <w:color w:val="auto"/>
          <w:sz w:val="24"/>
          <w:szCs w:val="24"/>
          <w:highlight w:val="none"/>
          <w:lang w:val="en-US" w:eastAsia="zh-CN"/>
        </w:rPr>
        <w:t xml:space="preserve">     </w:t>
      </w:r>
      <w:r>
        <w:rPr>
          <w:rFonts w:hint="eastAsia" w:ascii="宋体" w:hAnsi="宋体" w:eastAsia="宋体" w:cs="宋体"/>
          <w:color w:val="auto"/>
          <w:sz w:val="24"/>
          <w:szCs w:val="24"/>
          <w:highlight w:val="none"/>
        </w:rPr>
        <w:t>磋商供应商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联合体牵头人</w:t>
      </w:r>
      <w:r>
        <w:rPr>
          <w:rFonts w:hint="eastAsia" w:ascii="宋体" w:hAnsi="宋体" w:eastAsia="宋体" w:cs="宋体"/>
          <w:color w:val="auto"/>
          <w:sz w:val="24"/>
          <w:szCs w:val="24"/>
          <w:highlight w:val="none"/>
          <w:lang w:eastAsia="zh-CN"/>
        </w:rPr>
        <w:t>）</w:t>
      </w:r>
      <w:r>
        <w:rPr>
          <w:rFonts w:hint="eastAsia" w:cs="宋体" w:asciiTheme="minorEastAsia" w:hAnsiTheme="minorEastAsia" w:eastAsiaTheme="minorEastAsia"/>
          <w:color w:val="auto"/>
          <w:sz w:val="24"/>
          <w:szCs w:val="24"/>
          <w:highlight w:val="none"/>
          <w:lang w:val="en-GB"/>
        </w:rPr>
        <w:t>：</w:t>
      </w:r>
      <w:r>
        <w:rPr>
          <w:rFonts w:hint="eastAsia" w:cs="宋体" w:asciiTheme="minorEastAsia" w:hAnsiTheme="minorEastAsia" w:eastAsiaTheme="minorEastAsia"/>
          <w:color w:val="auto"/>
          <w:sz w:val="24"/>
          <w:szCs w:val="24"/>
          <w:highlight w:val="none"/>
          <w:u w:val="single"/>
          <w:lang w:val="en-GB"/>
        </w:rPr>
        <w:t xml:space="preserve">                   </w:t>
      </w:r>
      <w:r>
        <w:rPr>
          <w:rFonts w:hint="eastAsia" w:ascii="宋体" w:hAnsi="宋体" w:cs="宋体"/>
          <w:color w:val="auto"/>
          <w:sz w:val="24"/>
          <w:szCs w:val="24"/>
          <w:highlight w:val="none"/>
        </w:rPr>
        <w:t>（电子签章）</w:t>
      </w:r>
    </w:p>
    <w:p w14:paraId="7624B6C0">
      <w:pPr>
        <w:autoSpaceDE w:val="0"/>
        <w:autoSpaceDN w:val="0"/>
        <w:adjustRightInd w:val="0"/>
        <w:snapToGrid w:val="0"/>
        <w:spacing w:after="200" w:line="500" w:lineRule="exact"/>
        <w:ind w:firstLine="2400" w:firstLineChars="1000"/>
        <w:jc w:val="right"/>
        <w:rPr>
          <w:rFonts w:cs="宋体" w:asciiTheme="minorEastAsia" w:hAnsiTheme="minorEastAsia" w:eastAsiaTheme="minorEastAsia"/>
          <w:color w:val="auto"/>
          <w:sz w:val="24"/>
          <w:szCs w:val="24"/>
          <w:highlight w:val="none"/>
          <w:lang w:val="en-GB"/>
        </w:rPr>
      </w:pPr>
      <w:r>
        <w:rPr>
          <w:rFonts w:hint="eastAsia" w:cs="宋体" w:asciiTheme="minorEastAsia" w:hAnsiTheme="minorEastAsia" w:eastAsiaTheme="minorEastAsia"/>
          <w:color w:val="auto"/>
          <w:sz w:val="24"/>
          <w:szCs w:val="24"/>
          <w:highlight w:val="none"/>
          <w:lang w:val="en-GB"/>
        </w:rPr>
        <w:t>法定代表人或授权委托人：</w:t>
      </w:r>
      <w:r>
        <w:rPr>
          <w:rFonts w:hint="eastAsia" w:cs="宋体" w:asciiTheme="minorEastAsia" w:hAnsiTheme="minorEastAsia" w:eastAsiaTheme="minorEastAsia"/>
          <w:color w:val="auto"/>
          <w:sz w:val="24"/>
          <w:szCs w:val="24"/>
          <w:highlight w:val="none"/>
          <w:u w:val="single"/>
          <w:lang w:val="en-GB"/>
        </w:rPr>
        <w:t xml:space="preserve">           </w:t>
      </w:r>
      <w:r>
        <w:rPr>
          <w:rFonts w:hint="eastAsia" w:cs="宋体" w:asciiTheme="minorEastAsia" w:hAnsiTheme="minorEastAsia" w:eastAsiaTheme="minorEastAsia"/>
          <w:color w:val="auto"/>
          <w:sz w:val="24"/>
          <w:szCs w:val="24"/>
          <w:highlight w:val="none"/>
          <w:lang w:val="en-GB"/>
        </w:rPr>
        <w:t>（</w:t>
      </w:r>
      <w:r>
        <w:rPr>
          <w:rFonts w:hint="eastAsia" w:cs="宋体"/>
          <w:color w:val="auto"/>
          <w:sz w:val="24"/>
          <w:szCs w:val="24"/>
          <w:highlight w:val="none"/>
          <w:lang w:eastAsia="zh-CN"/>
        </w:rPr>
        <w:t>法人</w:t>
      </w:r>
      <w:r>
        <w:rPr>
          <w:rFonts w:hint="eastAsia" w:ascii="宋体" w:hAnsi="宋体" w:eastAsia="宋体" w:cs="宋体"/>
          <w:color w:val="auto"/>
          <w:sz w:val="24"/>
          <w:szCs w:val="24"/>
          <w:highlight w:val="none"/>
        </w:rPr>
        <w:t>电子签章</w:t>
      </w:r>
      <w:r>
        <w:rPr>
          <w:rFonts w:hint="eastAsia" w:cs="宋体" w:asciiTheme="minorEastAsia" w:hAnsiTheme="minorEastAsia" w:eastAsiaTheme="minorEastAsia"/>
          <w:color w:val="auto"/>
          <w:sz w:val="24"/>
          <w:szCs w:val="24"/>
          <w:highlight w:val="none"/>
          <w:lang w:val="en-GB"/>
        </w:rPr>
        <w:t>）</w:t>
      </w:r>
    </w:p>
    <w:p w14:paraId="0C212930">
      <w:pPr>
        <w:autoSpaceDE w:val="0"/>
        <w:autoSpaceDN w:val="0"/>
        <w:adjustRightInd w:val="0"/>
        <w:snapToGrid w:val="0"/>
        <w:spacing w:after="200" w:line="500" w:lineRule="exact"/>
        <w:rPr>
          <w:color w:val="auto"/>
          <w:highlight w:val="none"/>
        </w:rPr>
      </w:pPr>
      <w:r>
        <w:rPr>
          <w:rFonts w:hint="eastAsia" w:cs="宋体" w:asciiTheme="minorEastAsia" w:hAnsiTheme="minorEastAsia" w:eastAsiaTheme="minorEastAsia"/>
          <w:color w:val="auto"/>
          <w:sz w:val="24"/>
          <w:szCs w:val="24"/>
          <w:highlight w:val="none"/>
          <w:lang w:val="en-GB"/>
        </w:rPr>
        <w:t xml:space="preserve">                                    日</w:t>
      </w:r>
      <w:r>
        <w:rPr>
          <w:rFonts w:hint="eastAsia" w:cs="宋体" w:asciiTheme="minorEastAsia" w:hAnsiTheme="minorEastAsia" w:eastAsiaTheme="minorEastAsia"/>
          <w:color w:val="auto"/>
          <w:sz w:val="24"/>
          <w:szCs w:val="24"/>
          <w:highlight w:val="none"/>
        </w:rPr>
        <w:t xml:space="preserve">   </w:t>
      </w:r>
      <w:r>
        <w:rPr>
          <w:rFonts w:hint="eastAsia" w:cs="宋体" w:asciiTheme="minorEastAsia" w:hAnsiTheme="minorEastAsia" w:eastAsiaTheme="minorEastAsia"/>
          <w:color w:val="auto"/>
          <w:sz w:val="24"/>
          <w:szCs w:val="24"/>
          <w:highlight w:val="none"/>
          <w:lang w:val="en-GB"/>
        </w:rPr>
        <w:t>期：</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年</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月</w:t>
      </w:r>
      <w:r>
        <w:rPr>
          <w:rFonts w:hint="eastAsia" w:cs="宋体" w:asciiTheme="minorEastAsia" w:hAnsiTheme="minorEastAsia" w:eastAsiaTheme="minorEastAsia"/>
          <w:color w:val="auto"/>
          <w:sz w:val="24"/>
          <w:szCs w:val="24"/>
          <w:highlight w:val="none"/>
          <w:u w:val="single"/>
        </w:rPr>
        <w:t xml:space="preserve">      </w:t>
      </w:r>
      <w:r>
        <w:rPr>
          <w:rFonts w:hint="eastAsia" w:cs="宋体" w:asciiTheme="minorEastAsia" w:hAnsiTheme="minorEastAsia" w:eastAsiaTheme="minorEastAsia"/>
          <w:color w:val="auto"/>
          <w:sz w:val="24"/>
          <w:szCs w:val="24"/>
          <w:highlight w:val="none"/>
        </w:rPr>
        <w:t>日</w:t>
      </w:r>
    </w:p>
    <w:p w14:paraId="7AD24C78">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rPr>
      </w:pPr>
    </w:p>
    <w:p w14:paraId="42E5F5BE">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rPr>
      </w:pPr>
      <w:r>
        <w:rPr>
          <w:rFonts w:hint="eastAsia" w:ascii="宋体" w:hAnsi="宋体" w:eastAsia="宋体"/>
          <w:b/>
          <w:bCs/>
          <w:color w:val="auto"/>
          <w:kern w:val="0"/>
          <w:sz w:val="36"/>
          <w:szCs w:val="36"/>
          <w:highlight w:val="none"/>
        </w:rPr>
        <w:t>二、法定代表人身份证明书</w:t>
      </w:r>
    </w:p>
    <w:p w14:paraId="23ABD3D8">
      <w:pPr>
        <w:wordWrap w:val="0"/>
        <w:spacing w:beforeAutospacing="0" w:afterAutospacing="0" w:line="600" w:lineRule="exact"/>
        <w:ind w:firstLine="482" w:firstLineChars="200"/>
        <w:rPr>
          <w:rFonts w:hint="eastAsia" w:ascii="宋体" w:hAnsi="宋体" w:eastAsia="宋体"/>
          <w:b/>
          <w:bCs/>
          <w:color w:val="auto"/>
          <w:kern w:val="0"/>
          <w:sz w:val="24"/>
          <w:szCs w:val="28"/>
          <w:highlight w:val="none"/>
        </w:rPr>
      </w:pPr>
      <w:r>
        <w:rPr>
          <w:rFonts w:hint="eastAsia" w:ascii="宋体" w:hAnsi="宋体" w:eastAsia="宋体"/>
          <w:b/>
          <w:bCs/>
          <w:color w:val="auto"/>
          <w:kern w:val="0"/>
          <w:sz w:val="24"/>
          <w:szCs w:val="28"/>
          <w:highlight w:val="none"/>
        </w:rPr>
        <w:t xml:space="preserve"> </w:t>
      </w:r>
    </w:p>
    <w:p w14:paraId="29E1B159">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单位名称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联合体牵头人</w:t>
      </w:r>
      <w:r>
        <w:rPr>
          <w:rFonts w:hint="eastAsia" w:ascii="宋体" w:hAnsi="宋体" w:eastAsia="宋体" w:cs="宋体"/>
          <w:color w:val="auto"/>
          <w:sz w:val="24"/>
          <w:szCs w:val="24"/>
          <w:highlight w:val="none"/>
          <w:lang w:eastAsia="zh-CN"/>
        </w:rPr>
        <w:t>）</w:t>
      </w:r>
      <w:r>
        <w:rPr>
          <w:rFonts w:hint="eastAsia" w:ascii="宋体" w:hAnsi="宋体" w:eastAsia="宋体"/>
          <w:color w:val="auto"/>
          <w:kern w:val="0"/>
          <w:sz w:val="24"/>
          <w:szCs w:val="28"/>
          <w:highlight w:val="none"/>
        </w:rPr>
        <w:t>：</w:t>
      </w:r>
      <w:r>
        <w:rPr>
          <w:rFonts w:hint="eastAsia" w:ascii="宋体" w:hAnsi="宋体" w:eastAsia="宋体"/>
          <w:color w:val="auto"/>
          <w:kern w:val="0"/>
          <w:sz w:val="24"/>
          <w:szCs w:val="28"/>
          <w:highlight w:val="none"/>
          <w:u w:val="single"/>
        </w:rPr>
        <w:t xml:space="preserve">                     </w:t>
      </w:r>
    </w:p>
    <w:p w14:paraId="6682D192">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单位性质：</w:t>
      </w:r>
      <w:r>
        <w:rPr>
          <w:rFonts w:hint="eastAsia" w:ascii="宋体" w:hAnsi="宋体" w:eastAsia="宋体"/>
          <w:color w:val="auto"/>
          <w:kern w:val="0"/>
          <w:sz w:val="24"/>
          <w:szCs w:val="28"/>
          <w:highlight w:val="none"/>
          <w:u w:val="single"/>
        </w:rPr>
        <w:t xml:space="preserve">                       </w:t>
      </w:r>
    </w:p>
    <w:p w14:paraId="0AC5C22A">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地 址：</w:t>
      </w:r>
      <w:r>
        <w:rPr>
          <w:rFonts w:hint="eastAsia" w:ascii="宋体" w:hAnsi="宋体" w:eastAsia="宋体"/>
          <w:color w:val="auto"/>
          <w:kern w:val="0"/>
          <w:sz w:val="24"/>
          <w:szCs w:val="28"/>
          <w:highlight w:val="none"/>
          <w:u w:val="single"/>
        </w:rPr>
        <w:t xml:space="preserve">                         </w:t>
      </w:r>
    </w:p>
    <w:p w14:paraId="1F031558">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成立时间：年 月 日</w:t>
      </w:r>
    </w:p>
    <w:p w14:paraId="6C51062F">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经营期限：</w:t>
      </w:r>
      <w:r>
        <w:rPr>
          <w:rFonts w:hint="eastAsia" w:ascii="宋体" w:hAnsi="宋体" w:eastAsia="宋体"/>
          <w:color w:val="auto"/>
          <w:kern w:val="0"/>
          <w:sz w:val="24"/>
          <w:szCs w:val="28"/>
          <w:highlight w:val="none"/>
          <w:u w:val="single"/>
        </w:rPr>
        <w:t xml:space="preserve">       </w:t>
      </w:r>
    </w:p>
    <w:p w14:paraId="6499B200">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姓 名：</w:t>
      </w:r>
      <w:r>
        <w:rPr>
          <w:rFonts w:hint="eastAsia"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 xml:space="preserve"> 性别：</w:t>
      </w:r>
      <w:r>
        <w:rPr>
          <w:rFonts w:hint="eastAsia"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 xml:space="preserve"> 年龄：</w:t>
      </w:r>
      <w:r>
        <w:rPr>
          <w:rFonts w:hint="eastAsia"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 xml:space="preserve"> 职务：</w:t>
      </w:r>
      <w:r>
        <w:rPr>
          <w:rFonts w:hint="eastAsia" w:ascii="宋体" w:hAnsi="宋体" w:eastAsia="宋体"/>
          <w:color w:val="auto"/>
          <w:kern w:val="0"/>
          <w:sz w:val="24"/>
          <w:szCs w:val="28"/>
          <w:highlight w:val="none"/>
          <w:u w:val="single"/>
        </w:rPr>
        <w:t xml:space="preserve">       </w:t>
      </w:r>
    </w:p>
    <w:p w14:paraId="2CDEEAB7">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系</w:t>
      </w:r>
      <w:r>
        <w:rPr>
          <w:rFonts w:hint="eastAsia" w:ascii="宋体" w:hAnsi="宋体" w:eastAsia="宋体"/>
          <w:color w:val="auto"/>
          <w:kern w:val="0"/>
          <w:sz w:val="24"/>
          <w:szCs w:val="28"/>
          <w:highlight w:val="none"/>
          <w:u w:val="single"/>
        </w:rPr>
        <w:t xml:space="preserve"> （供应商名称） </w:t>
      </w:r>
      <w:r>
        <w:rPr>
          <w:rFonts w:hint="eastAsia" w:ascii="宋体" w:hAnsi="宋体" w:eastAsia="宋体"/>
          <w:color w:val="auto"/>
          <w:kern w:val="0"/>
          <w:sz w:val="24"/>
          <w:szCs w:val="28"/>
          <w:highlight w:val="none"/>
        </w:rPr>
        <w:t>的法定代表人。</w:t>
      </w:r>
    </w:p>
    <w:p w14:paraId="06DFE135">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 xml:space="preserve"> </w:t>
      </w:r>
    </w:p>
    <w:p w14:paraId="26986DD5">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特此证明。</w:t>
      </w:r>
    </w:p>
    <w:p w14:paraId="2DE56D12">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 xml:space="preserve"> </w:t>
      </w:r>
    </w:p>
    <w:p w14:paraId="0194F360">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 xml:space="preserve"> </w:t>
      </w:r>
    </w:p>
    <w:p w14:paraId="18CC281D">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 xml:space="preserve"> </w:t>
      </w:r>
    </w:p>
    <w:p w14:paraId="4C88E588">
      <w:pPr>
        <w:autoSpaceDE w:val="0"/>
        <w:autoSpaceDN w:val="0"/>
        <w:adjustRightInd w:val="0"/>
        <w:snapToGrid w:val="0"/>
        <w:spacing w:after="200" w:line="500" w:lineRule="exact"/>
        <w:jc w:val="right"/>
        <w:rPr>
          <w:rFonts w:cs="宋体" w:asciiTheme="minorEastAsia" w:hAnsiTheme="minorEastAsia" w:eastAsiaTheme="minorEastAsia"/>
          <w:color w:val="auto"/>
          <w:sz w:val="24"/>
          <w:szCs w:val="24"/>
          <w:highlight w:val="none"/>
          <w:lang w:val="en-GB"/>
        </w:rPr>
      </w:pPr>
      <w:r>
        <w:rPr>
          <w:rFonts w:hint="eastAsia" w:cs="宋体" w:asciiTheme="minorEastAsia" w:hAnsiTheme="minorEastAsia" w:eastAsiaTheme="minorEastAsia"/>
          <w:color w:val="auto"/>
          <w:sz w:val="24"/>
          <w:szCs w:val="24"/>
          <w:highlight w:val="none"/>
          <w:lang w:val="en-GB"/>
        </w:rPr>
        <w:t xml:space="preserve"> </w:t>
      </w:r>
      <w:r>
        <w:rPr>
          <w:rFonts w:hint="eastAsia" w:ascii="宋体" w:hAnsi="宋体" w:eastAsia="宋体" w:cs="宋体"/>
          <w:color w:val="auto"/>
          <w:sz w:val="24"/>
          <w:szCs w:val="24"/>
          <w:highlight w:val="none"/>
        </w:rPr>
        <w:t>磋商供应商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联合体牵头人</w:t>
      </w:r>
      <w:r>
        <w:rPr>
          <w:rFonts w:hint="eastAsia" w:ascii="宋体" w:hAnsi="宋体" w:eastAsia="宋体" w:cs="宋体"/>
          <w:color w:val="auto"/>
          <w:sz w:val="24"/>
          <w:szCs w:val="24"/>
          <w:highlight w:val="none"/>
          <w:lang w:eastAsia="zh-CN"/>
        </w:rPr>
        <w:t>）</w:t>
      </w:r>
      <w:r>
        <w:rPr>
          <w:rFonts w:hint="eastAsia" w:cs="宋体" w:asciiTheme="minorEastAsia" w:hAnsiTheme="minorEastAsia" w:eastAsiaTheme="minorEastAsia"/>
          <w:color w:val="auto"/>
          <w:sz w:val="24"/>
          <w:szCs w:val="24"/>
          <w:highlight w:val="none"/>
          <w:lang w:val="en-GB"/>
        </w:rPr>
        <w:t>：</w:t>
      </w:r>
      <w:r>
        <w:rPr>
          <w:rFonts w:hint="eastAsia" w:cs="宋体" w:asciiTheme="minorEastAsia" w:hAnsiTheme="minorEastAsia" w:eastAsiaTheme="minorEastAsia"/>
          <w:color w:val="auto"/>
          <w:sz w:val="24"/>
          <w:szCs w:val="24"/>
          <w:highlight w:val="none"/>
          <w:u w:val="single"/>
          <w:lang w:val="en-GB"/>
        </w:rPr>
        <w:t xml:space="preserve">                </w:t>
      </w:r>
      <w:r>
        <w:rPr>
          <w:rFonts w:hint="eastAsia" w:ascii="宋体" w:hAnsi="宋体" w:cs="宋体"/>
          <w:color w:val="auto"/>
          <w:sz w:val="24"/>
          <w:szCs w:val="24"/>
          <w:highlight w:val="none"/>
        </w:rPr>
        <w:t>（电子签章）</w:t>
      </w:r>
    </w:p>
    <w:p w14:paraId="08EF36C9">
      <w:pPr>
        <w:wordWrap w:val="0"/>
        <w:spacing w:beforeAutospacing="0" w:afterAutospacing="0" w:line="600" w:lineRule="exact"/>
        <w:ind w:firstLine="3840" w:firstLineChars="1600"/>
        <w:rPr>
          <w:rFonts w:hint="eastAsia" w:ascii="宋体" w:hAnsi="宋体" w:eastAsia="宋体"/>
          <w:color w:val="auto"/>
          <w:kern w:val="0"/>
          <w:sz w:val="24"/>
          <w:szCs w:val="28"/>
          <w:highlight w:val="none"/>
        </w:rPr>
      </w:pPr>
      <w:r>
        <w:rPr>
          <w:rFonts w:hint="eastAsia" w:cs="宋体" w:asciiTheme="minorEastAsia" w:hAnsiTheme="minorEastAsia" w:eastAsiaTheme="minorEastAsia"/>
          <w:color w:val="auto"/>
          <w:sz w:val="24"/>
          <w:szCs w:val="24"/>
          <w:highlight w:val="none"/>
          <w:lang w:val="en-GB"/>
        </w:rPr>
        <w:t>法定代表人或授权委托人：</w:t>
      </w:r>
      <w:r>
        <w:rPr>
          <w:rFonts w:hint="eastAsia" w:cs="宋体" w:asciiTheme="minorEastAsia" w:hAnsiTheme="minorEastAsia" w:eastAsiaTheme="minorEastAsia"/>
          <w:color w:val="auto"/>
          <w:sz w:val="24"/>
          <w:szCs w:val="24"/>
          <w:highlight w:val="none"/>
          <w:u w:val="single"/>
          <w:lang w:val="en-GB"/>
        </w:rPr>
        <w:t xml:space="preserve">           </w:t>
      </w:r>
      <w:r>
        <w:rPr>
          <w:rFonts w:hint="eastAsia" w:cs="宋体" w:asciiTheme="minorEastAsia" w:hAnsiTheme="minorEastAsia" w:eastAsiaTheme="minorEastAsia"/>
          <w:color w:val="auto"/>
          <w:sz w:val="24"/>
          <w:szCs w:val="24"/>
          <w:highlight w:val="none"/>
          <w:lang w:val="en-GB"/>
        </w:rPr>
        <w:t>（</w:t>
      </w:r>
      <w:r>
        <w:rPr>
          <w:rFonts w:hint="eastAsia" w:ascii="宋体" w:hAnsi="宋体" w:cs="宋体"/>
          <w:color w:val="auto"/>
          <w:sz w:val="24"/>
          <w:szCs w:val="24"/>
          <w:highlight w:val="none"/>
          <w:lang w:eastAsia="zh-CN"/>
        </w:rPr>
        <w:t>法人</w:t>
      </w:r>
      <w:r>
        <w:rPr>
          <w:rFonts w:hint="eastAsia" w:ascii="宋体" w:hAnsi="宋体" w:cs="宋体"/>
          <w:color w:val="auto"/>
          <w:sz w:val="24"/>
          <w:szCs w:val="24"/>
          <w:highlight w:val="none"/>
        </w:rPr>
        <w:t>电子签章</w:t>
      </w:r>
      <w:r>
        <w:rPr>
          <w:rFonts w:hint="eastAsia" w:cs="宋体" w:asciiTheme="minorEastAsia" w:hAnsiTheme="minorEastAsia" w:eastAsiaTheme="minorEastAsia"/>
          <w:color w:val="auto"/>
          <w:sz w:val="24"/>
          <w:szCs w:val="24"/>
          <w:highlight w:val="none"/>
          <w:lang w:val="en-GB"/>
        </w:rPr>
        <w:t>）</w:t>
      </w:r>
      <w:r>
        <w:rPr>
          <w:rFonts w:hint="eastAsia" w:ascii="宋体" w:hAnsi="宋体" w:eastAsia="宋体"/>
          <w:color w:val="auto"/>
          <w:kern w:val="0"/>
          <w:sz w:val="24"/>
          <w:szCs w:val="28"/>
          <w:highlight w:val="none"/>
        </w:rPr>
        <w:t xml:space="preserve"> </w:t>
      </w:r>
    </w:p>
    <w:p w14:paraId="00E7816B">
      <w:pPr>
        <w:wordWrap w:val="0"/>
        <w:spacing w:beforeAutospacing="0" w:afterAutospacing="0" w:line="600" w:lineRule="exact"/>
        <w:ind w:firstLine="480" w:firstLineChars="200"/>
        <w:jc w:val="center"/>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 xml:space="preserve">                                     日 期： 年 </w:t>
      </w:r>
      <w:r>
        <w:rPr>
          <w:rFonts w:hint="eastAsia" w:ascii="宋体" w:hAnsi="宋体"/>
          <w:color w:val="auto"/>
          <w:kern w:val="0"/>
          <w:sz w:val="24"/>
          <w:szCs w:val="28"/>
          <w:highlight w:val="none"/>
          <w:lang w:val="en-US" w:eastAsia="zh-CN"/>
        </w:rPr>
        <w:t xml:space="preserve"> </w:t>
      </w:r>
      <w:r>
        <w:rPr>
          <w:rFonts w:hint="eastAsia" w:ascii="宋体" w:hAnsi="宋体" w:eastAsia="宋体"/>
          <w:color w:val="auto"/>
          <w:kern w:val="0"/>
          <w:sz w:val="24"/>
          <w:szCs w:val="28"/>
          <w:highlight w:val="none"/>
        </w:rPr>
        <w:t xml:space="preserve">月 </w:t>
      </w:r>
      <w:r>
        <w:rPr>
          <w:rFonts w:hint="eastAsia" w:ascii="宋体" w:hAnsi="宋体"/>
          <w:color w:val="auto"/>
          <w:kern w:val="0"/>
          <w:sz w:val="24"/>
          <w:szCs w:val="28"/>
          <w:highlight w:val="none"/>
          <w:lang w:val="en-US" w:eastAsia="zh-CN"/>
        </w:rPr>
        <w:t xml:space="preserve"> </w:t>
      </w:r>
      <w:r>
        <w:rPr>
          <w:rFonts w:hint="eastAsia" w:ascii="宋体" w:hAnsi="宋体" w:eastAsia="宋体"/>
          <w:color w:val="auto"/>
          <w:kern w:val="0"/>
          <w:sz w:val="24"/>
          <w:szCs w:val="28"/>
          <w:highlight w:val="none"/>
        </w:rPr>
        <w:t>日</w:t>
      </w:r>
    </w:p>
    <w:p w14:paraId="55E77256">
      <w:pPr>
        <w:wordWrap w:val="0"/>
        <w:spacing w:beforeAutospacing="0" w:afterAutospacing="0" w:line="600" w:lineRule="exact"/>
        <w:ind w:firstLine="560" w:firstLineChars="200"/>
        <w:jc w:val="center"/>
        <w:rPr>
          <w:rFonts w:hint="eastAsia" w:ascii="宋体" w:hAnsi="宋体" w:eastAsia="宋体"/>
          <w:color w:val="auto"/>
          <w:kern w:val="0"/>
          <w:sz w:val="28"/>
          <w:szCs w:val="28"/>
          <w:highlight w:val="none"/>
        </w:rPr>
      </w:pPr>
      <w:r>
        <w:rPr>
          <w:rFonts w:hint="eastAsia" w:ascii="宋体" w:hAnsi="宋体" w:eastAsia="宋体"/>
          <w:color w:val="auto"/>
          <w:kern w:val="0"/>
          <w:sz w:val="28"/>
          <w:szCs w:val="28"/>
          <w:highlight w:val="none"/>
        </w:rPr>
        <w:t xml:space="preserve"> </w:t>
      </w:r>
    </w:p>
    <w:p w14:paraId="07E1BC90">
      <w:pPr>
        <w:wordWrap w:val="0"/>
        <w:spacing w:beforeAutospacing="0" w:afterAutospacing="0" w:line="600" w:lineRule="exact"/>
        <w:ind w:firstLine="560" w:firstLineChars="200"/>
        <w:jc w:val="center"/>
        <w:rPr>
          <w:rFonts w:hint="eastAsia" w:ascii="宋体" w:hAnsi="宋体" w:eastAsia="宋体"/>
          <w:color w:val="auto"/>
          <w:kern w:val="0"/>
          <w:sz w:val="28"/>
          <w:szCs w:val="28"/>
          <w:highlight w:val="none"/>
        </w:rPr>
      </w:pPr>
      <w:r>
        <w:rPr>
          <w:rFonts w:hint="eastAsia" w:ascii="宋体" w:hAnsi="宋体" w:eastAsia="宋体"/>
          <w:color w:val="auto"/>
          <w:kern w:val="0"/>
          <w:sz w:val="28"/>
          <w:szCs w:val="28"/>
          <w:highlight w:val="none"/>
        </w:rPr>
        <w:t xml:space="preserve"> </w:t>
      </w:r>
    </w:p>
    <w:p w14:paraId="30DAC9B0">
      <w:pPr>
        <w:wordWrap w:val="0"/>
        <w:spacing w:beforeAutospacing="0" w:afterAutospacing="0" w:line="600" w:lineRule="exact"/>
        <w:ind w:firstLine="560" w:firstLineChars="200"/>
        <w:jc w:val="center"/>
        <w:rPr>
          <w:rFonts w:ascii="Calibri" w:hAnsi="Calibri" w:eastAsia="宋体"/>
          <w:color w:val="auto"/>
          <w:kern w:val="0"/>
          <w:sz w:val="28"/>
          <w:szCs w:val="28"/>
          <w:highlight w:val="none"/>
        </w:rPr>
      </w:pPr>
    </w:p>
    <w:p w14:paraId="5F2E69FE">
      <w:pPr>
        <w:wordWrap w:val="0"/>
        <w:spacing w:beforeAutospacing="0" w:afterAutospacing="0" w:line="600" w:lineRule="exact"/>
        <w:ind w:firstLine="560" w:firstLineChars="200"/>
        <w:jc w:val="center"/>
        <w:rPr>
          <w:rFonts w:ascii="Calibri" w:hAnsi="Calibri" w:eastAsia="宋体"/>
          <w:color w:val="auto"/>
          <w:kern w:val="0"/>
          <w:sz w:val="28"/>
          <w:szCs w:val="28"/>
          <w:highlight w:val="none"/>
        </w:rPr>
      </w:pPr>
    </w:p>
    <w:p w14:paraId="77015F3D">
      <w:pPr>
        <w:wordWrap w:val="0"/>
        <w:spacing w:beforeAutospacing="0" w:afterAutospacing="0" w:line="600" w:lineRule="exact"/>
        <w:ind w:firstLine="723" w:firstLineChars="200"/>
        <w:jc w:val="center"/>
        <w:rPr>
          <w:rFonts w:hint="eastAsia" w:ascii="宋体" w:hAnsi="宋体"/>
          <w:b/>
          <w:bCs/>
          <w:color w:val="auto"/>
          <w:kern w:val="0"/>
          <w:sz w:val="36"/>
          <w:szCs w:val="36"/>
          <w:highlight w:val="none"/>
          <w:lang w:val="en-US" w:eastAsia="zh-CN"/>
        </w:rPr>
      </w:pPr>
    </w:p>
    <w:p w14:paraId="5CBD9775">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rPr>
      </w:pPr>
      <w:r>
        <w:rPr>
          <w:rFonts w:hint="eastAsia" w:ascii="宋体" w:hAnsi="宋体"/>
          <w:b/>
          <w:bCs/>
          <w:color w:val="auto"/>
          <w:kern w:val="0"/>
          <w:sz w:val="36"/>
          <w:szCs w:val="36"/>
          <w:highlight w:val="none"/>
          <w:lang w:val="en-US" w:eastAsia="zh-CN"/>
        </w:rPr>
        <w:t>三、</w:t>
      </w:r>
      <w:r>
        <w:rPr>
          <w:rFonts w:hint="eastAsia" w:ascii="宋体" w:hAnsi="宋体" w:eastAsia="宋体"/>
          <w:b/>
          <w:bCs/>
          <w:color w:val="auto"/>
          <w:kern w:val="0"/>
          <w:sz w:val="36"/>
          <w:szCs w:val="36"/>
          <w:highlight w:val="none"/>
        </w:rPr>
        <w:t>授权委托书</w:t>
      </w:r>
    </w:p>
    <w:p w14:paraId="4CC6E95D">
      <w:pPr>
        <w:wordWrap w:val="0"/>
        <w:spacing w:beforeAutospacing="0" w:after="160" w:afterAutospacing="0" w:line="600" w:lineRule="exact"/>
        <w:jc w:val="center"/>
        <w:rPr>
          <w:rFonts w:hint="eastAsia" w:ascii="宋体" w:hAnsi="宋体" w:eastAsia="宋体"/>
          <w:b/>
          <w:bCs/>
          <w:color w:val="auto"/>
          <w:kern w:val="0"/>
          <w:sz w:val="28"/>
          <w:szCs w:val="28"/>
          <w:highlight w:val="none"/>
        </w:rPr>
      </w:pPr>
      <w:r>
        <w:rPr>
          <w:rFonts w:hint="eastAsia" w:ascii="宋体" w:hAnsi="宋体" w:eastAsia="宋体" w:cs="宋体"/>
          <w:b/>
          <w:color w:val="auto"/>
          <w:sz w:val="28"/>
          <w:szCs w:val="28"/>
          <w:highlight w:val="none"/>
        </w:rPr>
        <w:t>（若为联合体，联合体牵头人须提供）</w:t>
      </w:r>
    </w:p>
    <w:p w14:paraId="74E2E183">
      <w:pPr>
        <w:snapToGrid w:val="0"/>
        <w:spacing w:line="500" w:lineRule="exact"/>
        <w:ind w:firstLine="480" w:firstLineChars="200"/>
        <w:jc w:val="both"/>
        <w:textAlignment w:val="baseline"/>
        <w:rPr>
          <w:rFonts w:ascii="宋体" w:hAnsi="宋体"/>
          <w:color w:val="auto"/>
          <w:sz w:val="24"/>
          <w:szCs w:val="24"/>
          <w:highlight w:val="none"/>
        </w:rPr>
      </w:pPr>
      <w:r>
        <w:rPr>
          <w:rFonts w:hint="eastAsia" w:ascii="宋体" w:hAnsi="宋体"/>
          <w:color w:val="auto"/>
          <w:sz w:val="24"/>
          <w:szCs w:val="24"/>
          <w:highlight w:val="none"/>
        </w:rPr>
        <w:t>本人</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（姓名）系</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（供应商名称）的法定代表人，现委托</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（姓名）为我方代理人。代理人根据授权，以我方名义签署、澄清、说明、补正、递交、撤回、修改</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（项目名称）响应文件、签订合同和处理有关事宜，其法律后果由我方承担。</w:t>
      </w:r>
    </w:p>
    <w:p w14:paraId="139CBAB8">
      <w:pPr>
        <w:snapToGrid w:val="0"/>
        <w:spacing w:before="312" w:after="312" w:line="500" w:lineRule="exact"/>
        <w:ind w:firstLine="480" w:firstLineChars="200"/>
        <w:jc w:val="both"/>
        <w:textAlignment w:val="baseline"/>
        <w:rPr>
          <w:rFonts w:ascii="宋体" w:hAnsi="宋体"/>
          <w:color w:val="auto"/>
          <w:sz w:val="24"/>
          <w:szCs w:val="24"/>
          <w:highlight w:val="none"/>
        </w:rPr>
      </w:pPr>
      <w:r>
        <w:rPr>
          <w:rFonts w:hint="eastAsia" w:ascii="宋体" w:hAnsi="宋体"/>
          <w:color w:val="auto"/>
          <w:sz w:val="24"/>
          <w:szCs w:val="24"/>
          <w:highlight w:val="none"/>
        </w:rPr>
        <w:t>委托期限：</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w:t>
      </w:r>
    </w:p>
    <w:p w14:paraId="286A0C74">
      <w:pPr>
        <w:snapToGrid w:val="0"/>
        <w:spacing w:before="312" w:after="312" w:line="500" w:lineRule="exact"/>
        <w:ind w:firstLine="480" w:firstLineChars="200"/>
        <w:jc w:val="both"/>
        <w:textAlignment w:val="baseline"/>
        <w:rPr>
          <w:rFonts w:ascii="宋体" w:hAnsi="宋体"/>
          <w:color w:val="auto"/>
          <w:sz w:val="24"/>
          <w:szCs w:val="24"/>
          <w:highlight w:val="none"/>
        </w:rPr>
      </w:pPr>
      <w:r>
        <w:rPr>
          <w:rFonts w:hint="eastAsia" w:ascii="宋体" w:hAnsi="宋体"/>
          <w:color w:val="auto"/>
          <w:sz w:val="24"/>
          <w:szCs w:val="24"/>
          <w:highlight w:val="none"/>
        </w:rPr>
        <w:t>代理人无转委托权。</w:t>
      </w:r>
    </w:p>
    <w:p w14:paraId="69550F0C">
      <w:pPr>
        <w:snapToGrid w:val="0"/>
        <w:spacing w:after="312" w:line="500" w:lineRule="exact"/>
        <w:ind w:firstLine="480" w:firstLineChars="200"/>
        <w:jc w:val="both"/>
        <w:textAlignment w:val="baseline"/>
        <w:rPr>
          <w:rFonts w:hint="eastAsia" w:ascii="宋体" w:hAnsi="宋体"/>
          <w:color w:val="auto"/>
          <w:sz w:val="24"/>
          <w:szCs w:val="24"/>
          <w:highlight w:val="none"/>
        </w:rPr>
      </w:pPr>
      <w:r>
        <w:rPr>
          <w:rFonts w:hint="eastAsia" w:ascii="宋体" w:hAnsi="宋体"/>
          <w:color w:val="auto"/>
          <w:sz w:val="24"/>
          <w:szCs w:val="24"/>
          <w:highlight w:val="none"/>
        </w:rPr>
        <w:t>附：法定代表人及委托代理人身份证明</w:t>
      </w:r>
    </w:p>
    <w:p w14:paraId="1B243902">
      <w:pPr>
        <w:snapToGrid w:val="0"/>
        <w:spacing w:after="312" w:line="500" w:lineRule="exact"/>
        <w:ind w:firstLine="480" w:firstLineChars="200"/>
        <w:jc w:val="both"/>
        <w:textAlignment w:val="baseline"/>
        <w:rPr>
          <w:rFonts w:hint="eastAsia" w:ascii="宋体" w:hAnsi="宋体"/>
          <w:color w:val="auto"/>
          <w:sz w:val="24"/>
          <w:szCs w:val="24"/>
          <w:highlight w:val="none"/>
        </w:rPr>
      </w:pPr>
    </w:p>
    <w:p w14:paraId="01D11011">
      <w:pPr>
        <w:keepNext w:val="0"/>
        <w:keepLines w:val="0"/>
        <w:pageBreakBefore w:val="0"/>
        <w:widowControl w:val="0"/>
        <w:kinsoku/>
        <w:wordWrap/>
        <w:overflowPunct/>
        <w:topLinePunct w:val="0"/>
        <w:autoSpaceDE/>
        <w:autoSpaceDN/>
        <w:bidi w:val="0"/>
        <w:adjustRightInd/>
        <w:snapToGrid w:val="0"/>
        <w:spacing w:line="500" w:lineRule="exact"/>
        <w:ind w:firstLine="2400" w:firstLineChars="1000"/>
        <w:jc w:val="left"/>
        <w:textAlignment w:val="baseline"/>
        <w:rPr>
          <w:rFonts w:ascii="宋体" w:hAnsi="宋体" w:cs="宋体"/>
          <w:color w:val="auto"/>
          <w:sz w:val="24"/>
          <w:szCs w:val="24"/>
          <w:highlight w:val="none"/>
        </w:rPr>
      </w:pPr>
      <w:r>
        <w:rPr>
          <w:rFonts w:hint="eastAsia" w:ascii="宋体" w:hAnsi="宋体" w:eastAsia="宋体" w:cs="宋体"/>
          <w:color w:val="auto"/>
          <w:sz w:val="24"/>
          <w:szCs w:val="24"/>
          <w:highlight w:val="none"/>
        </w:rPr>
        <w:t>磋商供应商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联合体牵头人</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color="000000"/>
        </w:rPr>
        <w:t xml:space="preserve">                    </w:t>
      </w:r>
      <w:r>
        <w:rPr>
          <w:rFonts w:hint="eastAsia" w:ascii="宋体" w:hAnsi="宋体" w:cs="宋体"/>
          <w:color w:val="auto"/>
          <w:sz w:val="24"/>
          <w:szCs w:val="24"/>
          <w:highlight w:val="none"/>
        </w:rPr>
        <w:t>（电子签章）</w:t>
      </w:r>
    </w:p>
    <w:p w14:paraId="7861340E">
      <w:pPr>
        <w:keepNext w:val="0"/>
        <w:keepLines w:val="0"/>
        <w:pageBreakBefore w:val="0"/>
        <w:widowControl w:val="0"/>
        <w:kinsoku/>
        <w:wordWrap/>
        <w:overflowPunct/>
        <w:topLinePunct w:val="0"/>
        <w:autoSpaceDE/>
        <w:autoSpaceDN/>
        <w:bidi w:val="0"/>
        <w:adjustRightInd/>
        <w:snapToGrid w:val="0"/>
        <w:spacing w:line="500" w:lineRule="exact"/>
        <w:ind w:firstLine="2400" w:firstLineChars="1000"/>
        <w:jc w:val="both"/>
        <w:textAlignment w:val="baseline"/>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hint="eastAsia" w:ascii="宋体" w:hAnsi="宋体" w:cs="宋体"/>
          <w:color w:val="auto"/>
          <w:sz w:val="24"/>
          <w:szCs w:val="24"/>
          <w:highlight w:val="none"/>
          <w:u w:val="single" w:color="000000"/>
        </w:rPr>
        <w:t xml:space="preserve">                        </w:t>
      </w:r>
      <w:r>
        <w:rPr>
          <w:rFonts w:hint="eastAsia" w:ascii="宋体" w:hAnsi="宋体" w:cs="宋体"/>
          <w:color w:val="auto"/>
          <w:sz w:val="24"/>
          <w:szCs w:val="24"/>
          <w:highlight w:val="none"/>
        </w:rPr>
        <w:t>（</w:t>
      </w:r>
      <w:r>
        <w:rPr>
          <w:rFonts w:hint="eastAsia" w:ascii="宋体" w:hAnsi="宋体"/>
          <w:color w:val="auto"/>
          <w:sz w:val="24"/>
          <w:szCs w:val="24"/>
          <w:highlight w:val="none"/>
        </w:rPr>
        <w:t>法人</w:t>
      </w:r>
      <w:r>
        <w:rPr>
          <w:rFonts w:hint="eastAsia" w:ascii="宋体" w:hAnsi="宋体"/>
          <w:color w:val="auto"/>
          <w:sz w:val="24"/>
          <w:szCs w:val="24"/>
          <w:highlight w:val="none"/>
          <w:lang w:eastAsia="zh-CN"/>
        </w:rPr>
        <w:t>电子</w:t>
      </w:r>
      <w:r>
        <w:rPr>
          <w:rFonts w:hint="eastAsia" w:ascii="宋体" w:hAnsi="宋体"/>
          <w:color w:val="auto"/>
          <w:sz w:val="24"/>
          <w:szCs w:val="24"/>
          <w:highlight w:val="none"/>
        </w:rPr>
        <w:t>签章</w:t>
      </w:r>
      <w:r>
        <w:rPr>
          <w:rFonts w:hint="eastAsia" w:ascii="宋体" w:hAnsi="宋体" w:cs="宋体"/>
          <w:color w:val="auto"/>
          <w:sz w:val="24"/>
          <w:szCs w:val="24"/>
          <w:highlight w:val="none"/>
        </w:rPr>
        <w:t>）</w:t>
      </w:r>
    </w:p>
    <w:p w14:paraId="3854FC4B">
      <w:pPr>
        <w:keepNext w:val="0"/>
        <w:keepLines w:val="0"/>
        <w:pageBreakBefore w:val="0"/>
        <w:widowControl w:val="0"/>
        <w:kinsoku/>
        <w:wordWrap/>
        <w:overflowPunct/>
        <w:topLinePunct w:val="0"/>
        <w:autoSpaceDE/>
        <w:autoSpaceDN/>
        <w:bidi w:val="0"/>
        <w:adjustRightInd/>
        <w:snapToGrid w:val="0"/>
        <w:spacing w:line="500" w:lineRule="exact"/>
        <w:ind w:firstLine="2400" w:firstLineChars="1000"/>
        <w:jc w:val="both"/>
        <w:textAlignment w:val="baseline"/>
        <w:rPr>
          <w:rFonts w:hint="eastAsia" w:ascii="宋体" w:hAnsi="宋体"/>
          <w:color w:val="auto"/>
          <w:sz w:val="24"/>
          <w:szCs w:val="24"/>
          <w:highlight w:val="none"/>
          <w:u w:val="single"/>
        </w:rPr>
      </w:pPr>
      <w:r>
        <w:rPr>
          <w:rFonts w:hint="eastAsia" w:ascii="宋体" w:hAnsi="宋体"/>
          <w:color w:val="auto"/>
          <w:sz w:val="24"/>
          <w:szCs w:val="24"/>
          <w:highlight w:val="none"/>
        </w:rPr>
        <w:t>身份证号码：</w:t>
      </w:r>
      <w:r>
        <w:rPr>
          <w:rFonts w:hint="eastAsia" w:ascii="宋体" w:hAnsi="宋体"/>
          <w:color w:val="auto"/>
          <w:sz w:val="24"/>
          <w:szCs w:val="24"/>
          <w:highlight w:val="none"/>
          <w:u w:val="single"/>
        </w:rPr>
        <w:t xml:space="preserve">                           </w:t>
      </w:r>
    </w:p>
    <w:p w14:paraId="2F1C35E1">
      <w:pPr>
        <w:keepNext w:val="0"/>
        <w:keepLines w:val="0"/>
        <w:pageBreakBefore w:val="0"/>
        <w:widowControl w:val="0"/>
        <w:kinsoku/>
        <w:wordWrap/>
        <w:overflowPunct/>
        <w:topLinePunct w:val="0"/>
        <w:autoSpaceDE/>
        <w:autoSpaceDN/>
        <w:bidi w:val="0"/>
        <w:adjustRightInd/>
        <w:snapToGrid w:val="0"/>
        <w:spacing w:line="500" w:lineRule="exact"/>
        <w:ind w:firstLine="2400" w:firstLineChars="1000"/>
        <w:jc w:val="both"/>
        <w:textAlignment w:val="baseline"/>
        <w:rPr>
          <w:rFonts w:ascii="宋体" w:hAnsi="宋体" w:cs="宋体"/>
          <w:color w:val="auto"/>
          <w:sz w:val="24"/>
          <w:szCs w:val="24"/>
          <w:highlight w:val="none"/>
        </w:rPr>
      </w:pPr>
      <w:r>
        <w:rPr>
          <w:rFonts w:hint="eastAsia" w:ascii="宋体" w:hAnsi="宋体"/>
          <w:color w:val="auto"/>
          <w:sz w:val="24"/>
          <w:szCs w:val="24"/>
          <w:highlight w:val="none"/>
        </w:rPr>
        <w:t>委托人：</w:t>
      </w:r>
      <w:r>
        <w:rPr>
          <w:rFonts w:ascii="宋体" w:hAnsi="宋体" w:cs="宋体"/>
          <w:color w:val="auto"/>
          <w:sz w:val="24"/>
          <w:szCs w:val="24"/>
          <w:highlight w:val="none"/>
          <w:u w:val="single" w:color="000000"/>
        </w:rPr>
        <w:t xml:space="preserve">              </w:t>
      </w:r>
      <w:r>
        <w:rPr>
          <w:rFonts w:hint="eastAsia" w:ascii="宋体" w:hAnsi="宋体" w:cs="宋体"/>
          <w:color w:val="auto"/>
          <w:sz w:val="24"/>
          <w:szCs w:val="24"/>
          <w:highlight w:val="none"/>
          <w:u w:val="single" w:color="000000"/>
        </w:rPr>
        <w:t xml:space="preserve">           </w:t>
      </w:r>
      <w:r>
        <w:rPr>
          <w:rFonts w:ascii="宋体" w:hAnsi="宋体" w:cs="宋体"/>
          <w:color w:val="auto"/>
          <w:sz w:val="24"/>
          <w:szCs w:val="24"/>
          <w:highlight w:val="none"/>
          <w:u w:val="single" w:color="000000"/>
        </w:rPr>
        <w:t xml:space="preserve">   </w:t>
      </w:r>
    </w:p>
    <w:p w14:paraId="05F384E6">
      <w:pPr>
        <w:keepNext w:val="0"/>
        <w:keepLines w:val="0"/>
        <w:pageBreakBefore w:val="0"/>
        <w:widowControl w:val="0"/>
        <w:kinsoku/>
        <w:wordWrap/>
        <w:overflowPunct/>
        <w:topLinePunct w:val="0"/>
        <w:autoSpaceDE/>
        <w:autoSpaceDN/>
        <w:bidi w:val="0"/>
        <w:adjustRightInd/>
        <w:snapToGrid w:val="0"/>
        <w:spacing w:line="500" w:lineRule="exact"/>
        <w:ind w:firstLine="2400" w:firstLineChars="1000"/>
        <w:jc w:val="both"/>
        <w:textAlignment w:val="baseline"/>
        <w:rPr>
          <w:rFonts w:ascii="宋体" w:hAnsi="宋体"/>
          <w:color w:val="auto"/>
          <w:sz w:val="24"/>
          <w:szCs w:val="24"/>
          <w:highlight w:val="none"/>
          <w:u w:val="single"/>
        </w:rPr>
      </w:pPr>
      <w:r>
        <w:rPr>
          <w:rFonts w:hint="eastAsia" w:ascii="宋体" w:hAnsi="宋体"/>
          <w:color w:val="auto"/>
          <w:sz w:val="24"/>
          <w:szCs w:val="24"/>
          <w:highlight w:val="none"/>
        </w:rPr>
        <w:t>委托代理人身份证号码：</w:t>
      </w:r>
      <w:r>
        <w:rPr>
          <w:rFonts w:hint="eastAsia" w:ascii="宋体" w:hAnsi="宋体"/>
          <w:color w:val="auto"/>
          <w:sz w:val="24"/>
          <w:szCs w:val="24"/>
          <w:highlight w:val="none"/>
          <w:u w:val="single"/>
        </w:rPr>
        <w:t xml:space="preserve">                 </w:t>
      </w:r>
    </w:p>
    <w:p w14:paraId="76334334">
      <w:pPr>
        <w:wordWrap w:val="0"/>
        <w:spacing w:beforeAutospacing="0" w:afterAutospacing="0" w:line="600" w:lineRule="exact"/>
        <w:ind w:firstLine="4080" w:firstLineChars="1700"/>
        <w:rPr>
          <w:rFonts w:ascii="Calibri" w:hAnsi="Calibri" w:eastAsia="宋体"/>
          <w:b/>
          <w:bCs/>
          <w:color w:val="auto"/>
          <w:kern w:val="0"/>
          <w:sz w:val="28"/>
          <w:szCs w:val="28"/>
          <w:highlight w:val="none"/>
        </w:rPr>
      </w:pP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color="000000"/>
        </w:rPr>
        <w:t xml:space="preserve">       </w:t>
      </w:r>
      <w:r>
        <w:rPr>
          <w:rFonts w:hint="eastAsia" w:ascii="宋体" w:hAnsi="宋体"/>
          <w:color w:val="auto"/>
          <w:sz w:val="24"/>
          <w:szCs w:val="24"/>
          <w:highlight w:val="none"/>
        </w:rPr>
        <w:t>日</w:t>
      </w:r>
    </w:p>
    <w:p w14:paraId="4418A1CA">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63779D5E">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42CAB139">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30A8C5AB">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2F791C57">
      <w:pPr>
        <w:pStyle w:val="6"/>
        <w:rPr>
          <w:color w:val="auto"/>
          <w:highlight w:val="none"/>
        </w:rPr>
      </w:pPr>
    </w:p>
    <w:p w14:paraId="0ED48EF8">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71632C4E">
      <w:pPr>
        <w:numPr>
          <w:ilvl w:val="0"/>
          <w:numId w:val="0"/>
        </w:numPr>
        <w:wordWrap w:val="0"/>
        <w:spacing w:beforeAutospacing="0" w:afterAutospacing="0" w:line="600" w:lineRule="exact"/>
        <w:ind w:firstLine="723" w:firstLineChars="200"/>
        <w:jc w:val="center"/>
        <w:rPr>
          <w:rFonts w:hint="eastAsia" w:ascii="宋体" w:hAnsi="宋体"/>
          <w:b/>
          <w:bCs/>
          <w:color w:val="auto"/>
          <w:kern w:val="0"/>
          <w:sz w:val="36"/>
          <w:szCs w:val="36"/>
          <w:highlight w:val="none"/>
          <w:lang w:val="en-US" w:eastAsia="zh-CN"/>
        </w:rPr>
      </w:pPr>
      <w:r>
        <w:rPr>
          <w:rFonts w:hint="eastAsia" w:ascii="宋体" w:hAnsi="宋体" w:cstheme="minorBidi"/>
          <w:b/>
          <w:bCs/>
          <w:color w:val="auto"/>
          <w:kern w:val="0"/>
          <w:sz w:val="36"/>
          <w:szCs w:val="36"/>
          <w:highlight w:val="none"/>
          <w:lang w:val="en-US" w:eastAsia="zh-CN" w:bidi="ar-SA"/>
        </w:rPr>
        <w:t>四</w:t>
      </w:r>
      <w:r>
        <w:rPr>
          <w:rFonts w:hint="eastAsia" w:ascii="宋体" w:hAnsi="宋体" w:eastAsia="宋体" w:cstheme="minorBidi"/>
          <w:b/>
          <w:bCs/>
          <w:color w:val="auto"/>
          <w:kern w:val="0"/>
          <w:sz w:val="36"/>
          <w:szCs w:val="36"/>
          <w:highlight w:val="none"/>
          <w:lang w:val="en-US" w:eastAsia="zh-CN" w:bidi="ar-SA"/>
        </w:rPr>
        <w:t>、</w:t>
      </w:r>
      <w:r>
        <w:rPr>
          <w:rFonts w:hint="eastAsia" w:ascii="宋体" w:hAnsi="宋体"/>
          <w:b/>
          <w:bCs/>
          <w:color w:val="auto"/>
          <w:kern w:val="0"/>
          <w:sz w:val="36"/>
          <w:szCs w:val="36"/>
          <w:highlight w:val="none"/>
          <w:lang w:val="en-US" w:eastAsia="zh-CN"/>
        </w:rPr>
        <w:t>联合体协议书</w:t>
      </w:r>
    </w:p>
    <w:p w14:paraId="46B3A12B">
      <w:pPr>
        <w:numPr>
          <w:ilvl w:val="0"/>
          <w:numId w:val="0"/>
        </w:numPr>
        <w:wordWrap w:val="0"/>
        <w:spacing w:beforeAutospacing="0" w:afterAutospacing="0" w:line="600" w:lineRule="exact"/>
        <w:jc w:val="both"/>
        <w:rPr>
          <w:rFonts w:hint="eastAsia" w:ascii="宋体" w:hAnsi="宋体"/>
          <w:b/>
          <w:bCs/>
          <w:color w:val="auto"/>
          <w:kern w:val="0"/>
          <w:sz w:val="36"/>
          <w:szCs w:val="36"/>
          <w:highlight w:val="none"/>
          <w:lang w:val="en-US" w:eastAsia="zh-CN"/>
        </w:rPr>
      </w:pPr>
    </w:p>
    <w:p w14:paraId="12FDB0E0">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Chars="0" w:right="0" w:rightChars="0"/>
        <w:jc w:val="center"/>
        <w:textAlignment w:val="auto"/>
        <w:outlineLvl w:val="1"/>
        <w:rPr>
          <w:rFonts w:hint="eastAsia"/>
          <w:color w:val="auto"/>
          <w:sz w:val="21"/>
          <w:szCs w:val="21"/>
          <w:highlight w:val="none"/>
          <w:lang w:val="en-US"/>
        </w:rPr>
      </w:pPr>
      <w:r>
        <w:rPr>
          <w:rFonts w:hint="eastAsia" w:ascii="宋体" w:hAnsi="宋体" w:eastAsia="宋体" w:cs="宋体"/>
          <w:b/>
          <w:bCs/>
          <w:color w:val="auto"/>
          <w:sz w:val="24"/>
          <w:szCs w:val="24"/>
          <w:highlight w:val="none"/>
          <w:lang w:val="en-US"/>
        </w:rPr>
        <w:t>（若为联合体</w:t>
      </w:r>
      <w:r>
        <w:rPr>
          <w:rFonts w:hint="eastAsia" w:ascii="宋体" w:hAnsi="宋体" w:eastAsia="宋体" w:cs="宋体"/>
          <w:b/>
          <w:bCs/>
          <w:color w:val="auto"/>
          <w:sz w:val="24"/>
          <w:szCs w:val="24"/>
          <w:highlight w:val="none"/>
          <w:lang w:val="en-US" w:eastAsia="zh-CN"/>
        </w:rPr>
        <w:t>需填写此项内容</w:t>
      </w:r>
      <w:r>
        <w:rPr>
          <w:rFonts w:hint="eastAsia" w:ascii="宋体" w:hAnsi="宋体" w:eastAsia="宋体" w:cs="宋体"/>
          <w:b/>
          <w:bCs/>
          <w:color w:val="auto"/>
          <w:sz w:val="24"/>
          <w:szCs w:val="24"/>
          <w:highlight w:val="none"/>
          <w:lang w:val="en-US"/>
        </w:rPr>
        <w:t>，</w:t>
      </w:r>
      <w:r>
        <w:rPr>
          <w:rFonts w:hint="eastAsia" w:ascii="宋体" w:hAnsi="宋体" w:cs="宋体"/>
          <w:b/>
          <w:bCs/>
          <w:color w:val="auto"/>
          <w:sz w:val="24"/>
          <w:szCs w:val="24"/>
          <w:highlight w:val="none"/>
          <w:lang w:val="en-US" w:eastAsia="zh-CN"/>
        </w:rPr>
        <w:t>响应</w:t>
      </w:r>
      <w:r>
        <w:rPr>
          <w:rFonts w:hint="eastAsia" w:ascii="宋体" w:hAnsi="宋体" w:eastAsia="宋体" w:cs="宋体"/>
          <w:b/>
          <w:bCs/>
          <w:color w:val="auto"/>
          <w:sz w:val="24"/>
          <w:szCs w:val="24"/>
          <w:highlight w:val="none"/>
          <w:lang w:val="en-US"/>
        </w:rPr>
        <w:t>文件中应附原件扫描件</w:t>
      </w:r>
      <w:r>
        <w:rPr>
          <w:rFonts w:hint="eastAsia" w:ascii="宋体" w:hAnsi="宋体" w:eastAsia="宋体" w:cs="宋体"/>
          <w:b/>
          <w:bCs/>
          <w:color w:val="auto"/>
          <w:sz w:val="24"/>
          <w:szCs w:val="24"/>
          <w:highlight w:val="none"/>
          <w:lang w:val="en-US" w:eastAsia="zh-CN"/>
        </w:rPr>
        <w:t>；非联合体无需填写此项内容</w:t>
      </w:r>
      <w:r>
        <w:rPr>
          <w:rFonts w:hint="eastAsia" w:ascii="宋体" w:hAnsi="宋体" w:eastAsia="宋体" w:cs="宋体"/>
          <w:b/>
          <w:bCs/>
          <w:color w:val="auto"/>
          <w:sz w:val="24"/>
          <w:szCs w:val="24"/>
          <w:highlight w:val="none"/>
          <w:lang w:val="en-US"/>
        </w:rPr>
        <w:t>）</w:t>
      </w:r>
    </w:p>
    <w:p w14:paraId="445F9C01">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rFonts w:hint="eastAsia"/>
          <w:color w:val="auto"/>
          <w:sz w:val="24"/>
          <w:szCs w:val="24"/>
          <w:highlight w:val="none"/>
          <w:u w:val="single"/>
          <w:lang w:val="en-US" w:eastAsia="zh-CN"/>
        </w:rPr>
      </w:pPr>
      <w:r>
        <w:rPr>
          <w:rFonts w:hint="eastAsia"/>
          <w:color w:val="auto"/>
          <w:sz w:val="24"/>
          <w:szCs w:val="24"/>
          <w:highlight w:val="none"/>
          <w:lang w:val="en-US" w:eastAsia="zh-CN"/>
        </w:rPr>
        <w:t>联合体</w:t>
      </w:r>
      <w:r>
        <w:rPr>
          <w:rFonts w:hint="eastAsia"/>
          <w:color w:val="auto"/>
          <w:sz w:val="24"/>
          <w:szCs w:val="24"/>
          <w:highlight w:val="none"/>
          <w:lang w:val="en-US"/>
        </w:rPr>
        <w:t>牵头人名称：</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p>
    <w:p w14:paraId="5DAD43E3">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rFonts w:hint="eastAsia"/>
          <w:color w:val="auto"/>
          <w:sz w:val="24"/>
          <w:szCs w:val="24"/>
          <w:highlight w:val="none"/>
          <w:lang w:val="en-US"/>
        </w:rPr>
      </w:pPr>
      <w:r>
        <w:rPr>
          <w:rFonts w:hint="eastAsia"/>
          <w:color w:val="auto"/>
          <w:sz w:val="24"/>
          <w:szCs w:val="24"/>
          <w:highlight w:val="none"/>
          <w:lang w:val="en-US" w:eastAsia="zh-CN"/>
        </w:rPr>
        <w:t>联合体</w:t>
      </w:r>
      <w:r>
        <w:rPr>
          <w:rFonts w:hint="eastAsia"/>
          <w:color w:val="auto"/>
          <w:sz w:val="24"/>
          <w:szCs w:val="24"/>
          <w:highlight w:val="none"/>
          <w:lang w:val="en-US"/>
        </w:rPr>
        <w:t>成员</w:t>
      </w:r>
      <w:r>
        <w:rPr>
          <w:rFonts w:hint="eastAsia"/>
          <w:color w:val="auto"/>
          <w:sz w:val="24"/>
          <w:szCs w:val="24"/>
          <w:highlight w:val="none"/>
          <w:lang w:val="en-US" w:eastAsia="zh-CN"/>
        </w:rPr>
        <w:t>单位</w:t>
      </w:r>
      <w:r>
        <w:rPr>
          <w:rFonts w:hint="eastAsia"/>
          <w:color w:val="auto"/>
          <w:sz w:val="24"/>
          <w:szCs w:val="24"/>
          <w:highlight w:val="none"/>
          <w:lang w:val="en-US"/>
        </w:rPr>
        <w:t>名称：</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p>
    <w:p w14:paraId="755E0FA1">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eastAsia="zh-CN"/>
        </w:rPr>
        <w:t>双方</w:t>
      </w:r>
      <w:r>
        <w:rPr>
          <w:rFonts w:hint="eastAsia"/>
          <w:color w:val="auto"/>
          <w:sz w:val="24"/>
          <w:szCs w:val="24"/>
          <w:highlight w:val="none"/>
          <w:lang w:val="en-US"/>
        </w:rPr>
        <w:t>自愿组成联合体，共同参加</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rPr>
        <w:t xml:space="preserve">      </w:t>
      </w:r>
      <w:r>
        <w:rPr>
          <w:rFonts w:hint="eastAsia"/>
          <w:color w:val="auto"/>
          <w:sz w:val="24"/>
          <w:szCs w:val="24"/>
          <w:highlight w:val="none"/>
          <w:lang w:val="en-US"/>
        </w:rPr>
        <w:t>（项目名称）</w:t>
      </w:r>
      <w:r>
        <w:rPr>
          <w:rFonts w:hint="eastAsia"/>
          <w:color w:val="auto"/>
          <w:sz w:val="24"/>
          <w:szCs w:val="24"/>
          <w:highlight w:val="none"/>
          <w:lang w:val="en-US" w:eastAsia="zh-CN"/>
        </w:rPr>
        <w:t>的</w:t>
      </w:r>
      <w:r>
        <w:rPr>
          <w:rFonts w:hint="eastAsia"/>
          <w:color w:val="auto"/>
          <w:sz w:val="24"/>
          <w:szCs w:val="24"/>
          <w:highlight w:val="none"/>
          <w:lang w:val="en-US"/>
        </w:rPr>
        <w:t>投标。现就联合体投标事宜订立如下协议。</w:t>
      </w:r>
    </w:p>
    <w:p w14:paraId="3A76E507">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eastAsia="zh-CN"/>
        </w:rPr>
        <w:t>1</w:t>
      </w:r>
      <w:r>
        <w:rPr>
          <w:rFonts w:hint="eastAsia"/>
          <w:color w:val="auto"/>
          <w:sz w:val="24"/>
          <w:szCs w:val="24"/>
          <w:highlight w:val="none"/>
          <w:lang w:val="en-US"/>
        </w:rPr>
        <w:t>、联合体牵头人合法代表联合体</w:t>
      </w:r>
      <w:r>
        <w:rPr>
          <w:rFonts w:hint="eastAsia"/>
          <w:color w:val="auto"/>
          <w:sz w:val="24"/>
          <w:szCs w:val="24"/>
          <w:highlight w:val="none"/>
          <w:lang w:val="en-US" w:eastAsia="zh-CN"/>
        </w:rPr>
        <w:t>各</w:t>
      </w:r>
      <w:r>
        <w:rPr>
          <w:rFonts w:hint="eastAsia"/>
          <w:color w:val="auto"/>
          <w:sz w:val="24"/>
          <w:szCs w:val="24"/>
          <w:highlight w:val="none"/>
          <w:lang w:val="en-US"/>
        </w:rPr>
        <w:t>成员负责本招标项目</w:t>
      </w:r>
      <w:r>
        <w:rPr>
          <w:rFonts w:hint="eastAsia"/>
          <w:color w:val="auto"/>
          <w:sz w:val="24"/>
          <w:szCs w:val="24"/>
          <w:highlight w:val="none"/>
          <w:lang w:val="en-US" w:eastAsia="zh-CN"/>
        </w:rPr>
        <w:t>磋商</w:t>
      </w:r>
      <w:r>
        <w:rPr>
          <w:rFonts w:hint="eastAsia"/>
          <w:color w:val="auto"/>
          <w:sz w:val="24"/>
          <w:szCs w:val="24"/>
          <w:highlight w:val="none"/>
          <w:lang w:val="en-US"/>
        </w:rPr>
        <w:t>文件编制和合同谈判活动，并代表联合体提交和接收相关的资料、信息及指示，并处理与之有关的一切事务，负责合同实施阶段的主办、组织和协调工作。</w:t>
      </w:r>
    </w:p>
    <w:p w14:paraId="67F63230">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rPr>
        <w:t>3、联合体将严格按照</w:t>
      </w:r>
      <w:r>
        <w:rPr>
          <w:rFonts w:hint="eastAsia"/>
          <w:color w:val="auto"/>
          <w:sz w:val="24"/>
          <w:szCs w:val="24"/>
          <w:highlight w:val="none"/>
          <w:lang w:val="en-US" w:eastAsia="zh-CN"/>
        </w:rPr>
        <w:t>磋商</w:t>
      </w:r>
      <w:r>
        <w:rPr>
          <w:rFonts w:hint="eastAsia"/>
          <w:color w:val="auto"/>
          <w:sz w:val="24"/>
          <w:szCs w:val="24"/>
          <w:highlight w:val="none"/>
          <w:lang w:val="en-US"/>
        </w:rPr>
        <w:t>文件的各项要求，递交</w:t>
      </w:r>
      <w:r>
        <w:rPr>
          <w:rFonts w:hint="eastAsia"/>
          <w:color w:val="auto"/>
          <w:sz w:val="24"/>
          <w:szCs w:val="24"/>
          <w:highlight w:val="none"/>
          <w:lang w:val="en-US" w:eastAsia="zh-CN"/>
        </w:rPr>
        <w:t>响应</w:t>
      </w:r>
      <w:r>
        <w:rPr>
          <w:rFonts w:hint="eastAsia"/>
          <w:color w:val="auto"/>
          <w:sz w:val="24"/>
          <w:szCs w:val="24"/>
          <w:highlight w:val="none"/>
          <w:lang w:val="en-US"/>
        </w:rPr>
        <w:t>文件，履行合同，并对外承担连带责任。</w:t>
      </w:r>
    </w:p>
    <w:p w14:paraId="3F1C26A7">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rPr>
        <w:t>4、联合体各成员单位内部的职责分工如下</w:t>
      </w:r>
      <w:r>
        <w:rPr>
          <w:rFonts w:hint="eastAsia"/>
          <w:color w:val="auto"/>
          <w:sz w:val="24"/>
          <w:szCs w:val="24"/>
          <w:highlight w:val="none"/>
          <w:u w:val="none"/>
          <w:lang w:val="en-US"/>
        </w:rPr>
        <w:t>：</w:t>
      </w:r>
      <w:r>
        <w:rPr>
          <w:rFonts w:hint="eastAsia"/>
          <w:color w:val="auto"/>
          <w:sz w:val="24"/>
          <w:szCs w:val="24"/>
          <w:highlight w:val="none"/>
          <w:u w:val="single"/>
          <w:lang w:val="en-US"/>
        </w:rPr>
        <w:t xml:space="preserve">                  </w:t>
      </w:r>
      <w:r>
        <w:rPr>
          <w:rFonts w:hint="eastAsia"/>
          <w:color w:val="auto"/>
          <w:sz w:val="24"/>
          <w:szCs w:val="24"/>
          <w:highlight w:val="none"/>
          <w:lang w:val="en-US"/>
        </w:rPr>
        <w:t>。</w:t>
      </w:r>
    </w:p>
    <w:p w14:paraId="4638DD7B">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rPr>
        <w:t xml:space="preserve">5、本协议书自签署之日起生效，合同履行完毕后自动失效。 </w:t>
      </w:r>
    </w:p>
    <w:p w14:paraId="50A3F601">
      <w:pPr>
        <w:keepNext w:val="0"/>
        <w:keepLines w:val="0"/>
        <w:pageBreakBefore w:val="0"/>
        <w:widowControl w:val="0"/>
        <w:kinsoku/>
        <w:wordWrap/>
        <w:overflowPunct/>
        <w:topLinePunct w:val="0"/>
        <w:autoSpaceDE w:val="0"/>
        <w:autoSpaceDN w:val="0"/>
        <w:bidi w:val="0"/>
        <w:adjustRightInd/>
        <w:snapToGrid/>
        <w:spacing w:line="500" w:lineRule="exact"/>
        <w:ind w:firstLine="480" w:firstLineChars="200"/>
        <w:textAlignment w:val="auto"/>
        <w:rPr>
          <w:color w:val="auto"/>
          <w:sz w:val="24"/>
          <w:szCs w:val="24"/>
          <w:highlight w:val="none"/>
          <w:lang w:val="en-US"/>
        </w:rPr>
      </w:pPr>
      <w:r>
        <w:rPr>
          <w:rFonts w:hint="eastAsia"/>
          <w:color w:val="auto"/>
          <w:sz w:val="24"/>
          <w:szCs w:val="24"/>
          <w:highlight w:val="none"/>
          <w:lang w:val="en-US"/>
        </w:rPr>
        <w:t>6、本协议书一式</w:t>
      </w:r>
      <w:r>
        <w:rPr>
          <w:rFonts w:hint="eastAsia"/>
          <w:color w:val="auto"/>
          <w:sz w:val="24"/>
          <w:szCs w:val="24"/>
          <w:highlight w:val="none"/>
          <w:u w:val="single"/>
          <w:lang w:val="en-US"/>
        </w:rPr>
        <w:t xml:space="preserve">     </w:t>
      </w:r>
      <w:r>
        <w:rPr>
          <w:rFonts w:hint="eastAsia"/>
          <w:color w:val="auto"/>
          <w:sz w:val="24"/>
          <w:szCs w:val="24"/>
          <w:highlight w:val="none"/>
          <w:lang w:val="en-US"/>
        </w:rPr>
        <w:t>份，联合体</w:t>
      </w:r>
      <w:r>
        <w:rPr>
          <w:rFonts w:hint="eastAsia"/>
          <w:color w:val="auto"/>
          <w:sz w:val="24"/>
          <w:szCs w:val="24"/>
          <w:highlight w:val="none"/>
          <w:lang w:val="en-US" w:eastAsia="zh-CN"/>
        </w:rPr>
        <w:t>各</w:t>
      </w:r>
      <w:r>
        <w:rPr>
          <w:rFonts w:hint="eastAsia"/>
          <w:color w:val="auto"/>
          <w:sz w:val="24"/>
          <w:szCs w:val="24"/>
          <w:highlight w:val="none"/>
          <w:lang w:val="en-US"/>
        </w:rPr>
        <w:t>成员和</w:t>
      </w:r>
      <w:r>
        <w:rPr>
          <w:rFonts w:hint="eastAsia"/>
          <w:color w:val="auto"/>
          <w:sz w:val="24"/>
          <w:szCs w:val="24"/>
          <w:highlight w:val="none"/>
          <w:lang w:val="en-US" w:eastAsia="zh-CN"/>
        </w:rPr>
        <w:t>采购</w:t>
      </w:r>
      <w:r>
        <w:rPr>
          <w:rFonts w:hint="eastAsia"/>
          <w:color w:val="auto"/>
          <w:sz w:val="24"/>
          <w:szCs w:val="24"/>
          <w:highlight w:val="none"/>
          <w:lang w:val="en-US"/>
        </w:rPr>
        <w:t>人各执一份。</w:t>
      </w:r>
    </w:p>
    <w:p w14:paraId="649E27E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szCs w:val="24"/>
          <w:highlight w:val="none"/>
          <w:lang w:val="en-US" w:eastAsia="zh-CN"/>
        </w:rPr>
      </w:pPr>
      <w:r>
        <w:rPr>
          <w:rFonts w:hint="eastAsia"/>
          <w:color w:val="auto"/>
          <w:sz w:val="24"/>
          <w:szCs w:val="24"/>
          <w:highlight w:val="none"/>
          <w:lang w:val="en-US"/>
        </w:rPr>
        <w:t>注：本协议书由委托代理人签字的，应附法定代表人签字的</w:t>
      </w:r>
      <w:r>
        <w:rPr>
          <w:rFonts w:hint="eastAsia"/>
          <w:color w:val="auto"/>
          <w:sz w:val="24"/>
          <w:szCs w:val="24"/>
          <w:highlight w:val="none"/>
          <w:lang w:val="en-US" w:eastAsia="zh-CN"/>
        </w:rPr>
        <w:t>法人</w:t>
      </w:r>
      <w:r>
        <w:rPr>
          <w:rFonts w:hint="eastAsia"/>
          <w:color w:val="auto"/>
          <w:sz w:val="24"/>
          <w:szCs w:val="24"/>
          <w:highlight w:val="none"/>
          <w:lang w:val="en-US"/>
        </w:rPr>
        <w:t>授权委托书。</w:t>
      </w:r>
    </w:p>
    <w:p w14:paraId="43B5CEF3">
      <w:pPr>
        <w:spacing w:line="500" w:lineRule="exact"/>
        <w:rPr>
          <w:rFonts w:hint="eastAsia" w:ascii="宋体" w:hAnsi="宋体" w:cs="宋体"/>
          <w:color w:val="auto"/>
          <w:sz w:val="24"/>
          <w:szCs w:val="24"/>
          <w:highlight w:val="none"/>
          <w:lang w:val="en-US" w:eastAsia="zh-CN"/>
        </w:rPr>
      </w:pPr>
    </w:p>
    <w:p w14:paraId="35C9B35C">
      <w:pPr>
        <w:spacing w:line="500" w:lineRule="exact"/>
        <w:rPr>
          <w:rFonts w:hint="eastAsia" w:ascii="宋体" w:hAnsi="宋体" w:cs="宋体"/>
          <w:color w:val="auto"/>
          <w:sz w:val="24"/>
          <w:szCs w:val="24"/>
          <w:highlight w:val="none"/>
          <w:lang w:val="en-US" w:eastAsia="zh-CN"/>
        </w:rPr>
      </w:pPr>
    </w:p>
    <w:p w14:paraId="3FDCE73C">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color w:val="auto"/>
          <w:sz w:val="24"/>
          <w:szCs w:val="24"/>
          <w:highlight w:val="none"/>
          <w:lang w:val="en-US"/>
        </w:rPr>
      </w:pPr>
      <w:r>
        <w:rPr>
          <w:rFonts w:hint="eastAsia"/>
          <w:color w:val="auto"/>
          <w:sz w:val="24"/>
          <w:szCs w:val="24"/>
          <w:highlight w:val="none"/>
          <w:lang w:val="en-US" w:eastAsia="zh-CN"/>
        </w:rPr>
        <w:t>联合体</w:t>
      </w:r>
      <w:r>
        <w:rPr>
          <w:rFonts w:hint="eastAsia"/>
          <w:color w:val="auto"/>
          <w:sz w:val="24"/>
          <w:szCs w:val="24"/>
          <w:highlight w:val="none"/>
          <w:lang w:val="en-US"/>
        </w:rPr>
        <w:t>牵头人名称：</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val="en-US"/>
        </w:rPr>
        <w:t>（</w:t>
      </w:r>
      <w:r>
        <w:rPr>
          <w:rFonts w:hint="eastAsia" w:ascii="宋体" w:hAnsi="宋体"/>
          <w:color w:val="auto"/>
          <w:sz w:val="24"/>
          <w:szCs w:val="24"/>
          <w:highlight w:val="none"/>
          <w:lang w:eastAsia="zh-CN"/>
        </w:rPr>
        <w:t>电子</w:t>
      </w:r>
      <w:r>
        <w:rPr>
          <w:rFonts w:hint="eastAsia" w:ascii="宋体" w:hAnsi="宋体"/>
          <w:color w:val="auto"/>
          <w:sz w:val="24"/>
          <w:szCs w:val="24"/>
          <w:highlight w:val="none"/>
        </w:rPr>
        <w:t>签章</w:t>
      </w:r>
      <w:r>
        <w:rPr>
          <w:rFonts w:hint="eastAsia"/>
          <w:color w:val="auto"/>
          <w:sz w:val="24"/>
          <w:szCs w:val="24"/>
          <w:highlight w:val="none"/>
          <w:lang w:val="en-US"/>
        </w:rPr>
        <w:t>）</w:t>
      </w:r>
    </w:p>
    <w:p w14:paraId="5484BCF0">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color w:val="auto"/>
          <w:sz w:val="24"/>
          <w:szCs w:val="24"/>
          <w:highlight w:val="none"/>
          <w:lang w:val="en-US"/>
        </w:rPr>
      </w:pPr>
      <w:r>
        <w:rPr>
          <w:rFonts w:hint="eastAsia"/>
          <w:color w:val="auto"/>
          <w:sz w:val="24"/>
          <w:szCs w:val="24"/>
          <w:highlight w:val="none"/>
          <w:lang w:val="en-US"/>
        </w:rPr>
        <w:t>法定代表人或其委托代理人：</w:t>
      </w:r>
      <w:r>
        <w:rPr>
          <w:rFonts w:hint="eastAsia"/>
          <w:color w:val="auto"/>
          <w:sz w:val="24"/>
          <w:szCs w:val="24"/>
          <w:highlight w:val="none"/>
          <w:u w:val="single"/>
          <w:lang w:val="en-US"/>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val="en-US"/>
        </w:rPr>
        <w:t xml:space="preserve">  </w:t>
      </w:r>
      <w:r>
        <w:rPr>
          <w:rFonts w:hint="eastAsia"/>
          <w:color w:val="auto"/>
          <w:sz w:val="24"/>
          <w:szCs w:val="24"/>
          <w:highlight w:val="none"/>
          <w:lang w:val="en-US"/>
        </w:rPr>
        <w:t>（</w:t>
      </w:r>
      <w:r>
        <w:rPr>
          <w:rFonts w:hint="eastAsia" w:ascii="宋体" w:hAnsi="宋体"/>
          <w:color w:val="auto"/>
          <w:sz w:val="24"/>
          <w:szCs w:val="24"/>
          <w:highlight w:val="none"/>
        </w:rPr>
        <w:t>法人</w:t>
      </w:r>
      <w:r>
        <w:rPr>
          <w:rFonts w:hint="eastAsia" w:ascii="宋体" w:hAnsi="宋体"/>
          <w:color w:val="auto"/>
          <w:sz w:val="24"/>
          <w:szCs w:val="24"/>
          <w:highlight w:val="none"/>
          <w:lang w:eastAsia="zh-CN"/>
        </w:rPr>
        <w:t>电子</w:t>
      </w:r>
      <w:r>
        <w:rPr>
          <w:rFonts w:hint="eastAsia" w:ascii="宋体" w:hAnsi="宋体"/>
          <w:color w:val="auto"/>
          <w:sz w:val="24"/>
          <w:szCs w:val="24"/>
          <w:highlight w:val="none"/>
        </w:rPr>
        <w:t>签章</w:t>
      </w:r>
      <w:r>
        <w:rPr>
          <w:rFonts w:hint="eastAsia"/>
          <w:color w:val="auto"/>
          <w:sz w:val="24"/>
          <w:szCs w:val="24"/>
          <w:highlight w:val="none"/>
          <w:lang w:val="en-US"/>
        </w:rPr>
        <w:t>）</w:t>
      </w:r>
    </w:p>
    <w:p w14:paraId="207B2A75">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rFonts w:hint="eastAsia"/>
          <w:color w:val="auto"/>
          <w:sz w:val="24"/>
          <w:szCs w:val="24"/>
          <w:highlight w:val="none"/>
          <w:u w:val="single"/>
          <w:lang w:val="en-US" w:eastAsia="zh-CN"/>
        </w:rPr>
      </w:pPr>
      <w:r>
        <w:rPr>
          <w:rFonts w:hint="eastAsia"/>
          <w:color w:val="auto"/>
          <w:sz w:val="24"/>
          <w:szCs w:val="24"/>
          <w:highlight w:val="none"/>
          <w:lang w:val="en-US" w:eastAsia="zh-CN"/>
        </w:rPr>
        <w:t>联系电话：</w:t>
      </w:r>
      <w:r>
        <w:rPr>
          <w:rFonts w:hint="eastAsia"/>
          <w:color w:val="auto"/>
          <w:sz w:val="24"/>
          <w:szCs w:val="24"/>
          <w:highlight w:val="none"/>
          <w:u w:val="single"/>
          <w:lang w:val="en-US" w:eastAsia="zh-CN"/>
        </w:rPr>
        <w:t xml:space="preserve">                        </w:t>
      </w:r>
    </w:p>
    <w:p w14:paraId="1B20B19E">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rFonts w:hint="eastAsia"/>
          <w:color w:val="auto"/>
          <w:sz w:val="24"/>
          <w:szCs w:val="24"/>
          <w:highlight w:val="none"/>
          <w:lang w:val="en-US" w:eastAsia="zh-CN"/>
        </w:rPr>
      </w:pPr>
      <w:r>
        <w:rPr>
          <w:rFonts w:hint="eastAsia" w:ascii="宋体" w:hAnsi="宋体" w:eastAsia="宋体" w:cs="宋体"/>
          <w:color w:val="auto"/>
          <w:sz w:val="24"/>
          <w:szCs w:val="24"/>
          <w:highlight w:val="none"/>
          <w:u w:val="none"/>
          <w:lang w:val="en-US" w:eastAsia="zh-CN"/>
        </w:rPr>
        <w:t>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w:t>
      </w:r>
    </w:p>
    <w:p w14:paraId="2EEF9359">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right"/>
        <w:textAlignment w:val="auto"/>
        <w:rPr>
          <w:rFonts w:hint="eastAsia"/>
          <w:color w:val="auto"/>
          <w:sz w:val="24"/>
          <w:szCs w:val="24"/>
          <w:highlight w:val="none"/>
          <w:lang w:val="en-US" w:eastAsia="zh-CN"/>
        </w:rPr>
      </w:pPr>
    </w:p>
    <w:p w14:paraId="7F19AFC9">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color w:val="auto"/>
          <w:sz w:val="24"/>
          <w:szCs w:val="24"/>
          <w:highlight w:val="none"/>
          <w:lang w:val="en-US"/>
        </w:rPr>
      </w:pPr>
      <w:r>
        <w:rPr>
          <w:rFonts w:hint="eastAsia"/>
          <w:color w:val="auto"/>
          <w:sz w:val="24"/>
          <w:szCs w:val="24"/>
          <w:highlight w:val="none"/>
          <w:lang w:val="en-US" w:eastAsia="zh-CN"/>
        </w:rPr>
        <w:t>联合体</w:t>
      </w:r>
      <w:r>
        <w:rPr>
          <w:rFonts w:hint="eastAsia"/>
          <w:color w:val="auto"/>
          <w:sz w:val="24"/>
          <w:szCs w:val="24"/>
          <w:highlight w:val="none"/>
          <w:lang w:val="en-US"/>
        </w:rPr>
        <w:t>成员</w:t>
      </w:r>
      <w:r>
        <w:rPr>
          <w:rFonts w:hint="eastAsia"/>
          <w:color w:val="auto"/>
          <w:sz w:val="24"/>
          <w:szCs w:val="24"/>
          <w:highlight w:val="none"/>
          <w:lang w:val="en-US" w:eastAsia="zh-CN"/>
        </w:rPr>
        <w:t>单位</w:t>
      </w:r>
      <w:r>
        <w:rPr>
          <w:rFonts w:hint="eastAsia"/>
          <w:color w:val="auto"/>
          <w:sz w:val="24"/>
          <w:szCs w:val="24"/>
          <w:highlight w:val="none"/>
          <w:lang w:val="en-US"/>
        </w:rPr>
        <w:t>名称：</w:t>
      </w:r>
      <w:r>
        <w:rPr>
          <w:rFonts w:hint="eastAsia"/>
          <w:color w:val="auto"/>
          <w:sz w:val="24"/>
          <w:szCs w:val="24"/>
          <w:highlight w:val="none"/>
          <w:u w:val="single"/>
          <w:lang w:val="en-US"/>
        </w:rPr>
        <w:t xml:space="preserve">          </w:t>
      </w:r>
      <w:r>
        <w:rPr>
          <w:rFonts w:hint="eastAsia"/>
          <w:color w:val="auto"/>
          <w:sz w:val="24"/>
          <w:szCs w:val="24"/>
          <w:highlight w:val="none"/>
          <w:lang w:val="en-US"/>
        </w:rPr>
        <w:t>（</w:t>
      </w:r>
      <w:r>
        <w:rPr>
          <w:rFonts w:hint="eastAsia" w:ascii="宋体" w:hAnsi="宋体"/>
          <w:color w:val="auto"/>
          <w:sz w:val="24"/>
          <w:szCs w:val="24"/>
          <w:highlight w:val="none"/>
          <w:lang w:eastAsia="zh-CN"/>
        </w:rPr>
        <w:t>章电子</w:t>
      </w:r>
      <w:r>
        <w:rPr>
          <w:rFonts w:hint="eastAsia" w:ascii="宋体" w:hAnsi="宋体"/>
          <w:color w:val="auto"/>
          <w:sz w:val="24"/>
          <w:szCs w:val="24"/>
          <w:highlight w:val="none"/>
        </w:rPr>
        <w:t>签章</w:t>
      </w:r>
      <w:r>
        <w:rPr>
          <w:rFonts w:hint="eastAsia"/>
          <w:color w:val="auto"/>
          <w:sz w:val="24"/>
          <w:szCs w:val="24"/>
          <w:highlight w:val="none"/>
          <w:lang w:val="en-US"/>
        </w:rPr>
        <w:t>）</w:t>
      </w:r>
    </w:p>
    <w:p w14:paraId="3626B05B">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rFonts w:hint="eastAsia" w:ascii="宋体" w:hAnsi="宋体" w:eastAsia="宋体" w:cs="宋体"/>
          <w:color w:val="auto"/>
          <w:sz w:val="24"/>
          <w:szCs w:val="24"/>
          <w:highlight w:val="none"/>
          <w:lang w:val="en-US" w:eastAsia="zh-CN"/>
        </w:rPr>
      </w:pPr>
      <w:r>
        <w:rPr>
          <w:rFonts w:hint="eastAsia"/>
          <w:color w:val="auto"/>
          <w:sz w:val="24"/>
          <w:szCs w:val="24"/>
          <w:highlight w:val="none"/>
          <w:lang w:val="en-US"/>
        </w:rPr>
        <w:t>法定代表人或其委托代理人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r>
        <w:rPr>
          <w:rFonts w:hint="eastAsia" w:cs="宋体" w:asciiTheme="minorEastAsia" w:hAnsiTheme="minorEastAsia" w:eastAsiaTheme="minorEastAsia"/>
          <w:color w:val="auto"/>
          <w:sz w:val="24"/>
          <w:szCs w:val="24"/>
          <w:highlight w:val="none"/>
          <w:lang w:val="en-GB"/>
        </w:rPr>
        <w:t>签字或盖章</w:t>
      </w:r>
      <w:r>
        <w:rPr>
          <w:rFonts w:hint="eastAsia" w:ascii="宋体" w:hAnsi="宋体" w:eastAsia="宋体" w:cs="宋体"/>
          <w:color w:val="auto"/>
          <w:sz w:val="24"/>
          <w:szCs w:val="24"/>
          <w:highlight w:val="none"/>
          <w:lang w:val="en-US" w:eastAsia="zh-CN"/>
        </w:rPr>
        <w:t>）</w:t>
      </w:r>
    </w:p>
    <w:p w14:paraId="0F97D596">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rFonts w:hint="default"/>
          <w:color w:val="auto"/>
          <w:sz w:val="24"/>
          <w:szCs w:val="24"/>
          <w:highlight w:val="none"/>
          <w:u w:val="single"/>
          <w:lang w:val="en-US" w:eastAsia="zh-CN"/>
        </w:rPr>
      </w:pPr>
      <w:r>
        <w:rPr>
          <w:rFonts w:hint="eastAsia"/>
          <w:color w:val="auto"/>
          <w:sz w:val="24"/>
          <w:szCs w:val="24"/>
          <w:highlight w:val="none"/>
          <w:lang w:val="en-US" w:eastAsia="zh-CN"/>
        </w:rPr>
        <w:t>联系电话：</w:t>
      </w:r>
      <w:r>
        <w:rPr>
          <w:rFonts w:hint="eastAsia"/>
          <w:color w:val="auto"/>
          <w:sz w:val="24"/>
          <w:szCs w:val="24"/>
          <w:highlight w:val="none"/>
          <w:u w:val="single"/>
          <w:lang w:val="en-US" w:eastAsia="zh-CN"/>
        </w:rPr>
        <w:t xml:space="preserve">                        </w:t>
      </w:r>
    </w:p>
    <w:p w14:paraId="6CE72890">
      <w:pPr>
        <w:keepNext w:val="0"/>
        <w:keepLines w:val="0"/>
        <w:pageBreakBefore w:val="0"/>
        <w:widowControl w:val="0"/>
        <w:kinsoku/>
        <w:wordWrap/>
        <w:overflowPunct/>
        <w:topLinePunct w:val="0"/>
        <w:autoSpaceDE w:val="0"/>
        <w:autoSpaceDN w:val="0"/>
        <w:bidi w:val="0"/>
        <w:adjustRightInd/>
        <w:snapToGrid/>
        <w:spacing w:line="500" w:lineRule="exact"/>
        <w:ind w:firstLine="2880" w:firstLineChars="1200"/>
        <w:jc w:val="both"/>
        <w:textAlignment w:val="auto"/>
        <w:rPr>
          <w:rFonts w:hint="eastAsia" w:asciiTheme="minorEastAsia" w:hAnsiTheme="minorEastAsia" w:eastAsiaTheme="minorEastAsia"/>
          <w:b/>
          <w:bCs/>
          <w:color w:val="auto"/>
          <w:kern w:val="0"/>
          <w:sz w:val="32"/>
          <w:szCs w:val="32"/>
          <w:highlight w:val="none"/>
        </w:rPr>
      </w:pPr>
      <w:r>
        <w:rPr>
          <w:rFonts w:hint="eastAsia" w:ascii="宋体" w:hAnsi="宋体" w:eastAsia="宋体" w:cs="宋体"/>
          <w:color w:val="auto"/>
          <w:sz w:val="24"/>
          <w:szCs w:val="24"/>
          <w:highlight w:val="none"/>
          <w:u w:val="none"/>
          <w:lang w:val="en-US" w:eastAsia="zh-CN"/>
        </w:rPr>
        <w:t>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w:t>
      </w:r>
    </w:p>
    <w:p w14:paraId="3EB534E8">
      <w:pPr>
        <w:widowControl/>
        <w:jc w:val="center"/>
        <w:outlineLvl w:val="0"/>
        <w:rPr>
          <w:rFonts w:hint="eastAsia" w:asciiTheme="minorEastAsia" w:hAnsiTheme="minorEastAsia" w:eastAsiaTheme="minorEastAsia"/>
          <w:b/>
          <w:bCs/>
          <w:color w:val="auto"/>
          <w:kern w:val="0"/>
          <w:sz w:val="32"/>
          <w:szCs w:val="32"/>
          <w:highlight w:val="none"/>
          <w:lang w:val="en-US" w:eastAsia="zh-CN"/>
        </w:rPr>
      </w:pPr>
    </w:p>
    <w:p w14:paraId="0C5C040C">
      <w:pPr>
        <w:numPr>
          <w:ilvl w:val="0"/>
          <w:numId w:val="0"/>
        </w:numPr>
        <w:wordWrap w:val="0"/>
        <w:spacing w:beforeAutospacing="0" w:afterAutospacing="0" w:line="600" w:lineRule="exact"/>
        <w:ind w:firstLine="723" w:firstLineChars="200"/>
        <w:jc w:val="center"/>
        <w:rPr>
          <w:rFonts w:hint="eastAsia" w:ascii="宋体" w:hAnsi="宋体" w:eastAsia="宋体" w:cstheme="minorBidi"/>
          <w:b/>
          <w:bCs/>
          <w:color w:val="auto"/>
          <w:kern w:val="0"/>
          <w:sz w:val="36"/>
          <w:szCs w:val="36"/>
          <w:highlight w:val="none"/>
          <w:lang w:val="en-US" w:eastAsia="zh-CN" w:bidi="ar-SA"/>
        </w:rPr>
      </w:pPr>
      <w:r>
        <w:rPr>
          <w:rFonts w:hint="eastAsia" w:ascii="宋体" w:hAnsi="宋体" w:eastAsia="宋体" w:cstheme="minorBidi"/>
          <w:b/>
          <w:bCs/>
          <w:color w:val="auto"/>
          <w:kern w:val="0"/>
          <w:sz w:val="36"/>
          <w:szCs w:val="36"/>
          <w:highlight w:val="none"/>
          <w:lang w:val="en-US" w:eastAsia="zh-CN" w:bidi="ar-SA"/>
        </w:rPr>
        <w:t>五、磋商承诺函</w:t>
      </w:r>
    </w:p>
    <w:p w14:paraId="795816E7">
      <w:pPr>
        <w:widowControl/>
        <w:jc w:val="center"/>
        <w:rPr>
          <w:rFonts w:asciiTheme="minorEastAsia" w:hAnsiTheme="minorEastAsia" w:eastAsiaTheme="minorEastAsia"/>
          <w:color w:val="auto"/>
          <w:kern w:val="0"/>
          <w:sz w:val="20"/>
          <w:highlight w:val="none"/>
        </w:rPr>
      </w:pPr>
    </w:p>
    <w:p w14:paraId="34F93121">
      <w:pPr>
        <w:keepNext w:val="0"/>
        <w:keepLines w:val="0"/>
        <w:pageBreakBefore w:val="0"/>
        <w:kinsoku/>
        <w:wordWrap/>
        <w:overflowPunct/>
        <w:topLinePunct w:val="0"/>
        <w:autoSpaceDE w:val="0"/>
        <w:autoSpaceDN w:val="0"/>
        <w:bidi w:val="0"/>
        <w:snapToGrid/>
        <w:spacing w:line="600" w:lineRule="exact"/>
        <w:jc w:val="left"/>
        <w:textAlignment w:val="auto"/>
        <w:rPr>
          <w:rFonts w:ascii="宋体" w:hAnsi="宋体"/>
          <w:b w:val="0"/>
          <w:bCs w:val="0"/>
          <w:color w:val="auto"/>
          <w:sz w:val="24"/>
          <w:szCs w:val="24"/>
          <w:highlight w:val="none"/>
        </w:rPr>
      </w:pPr>
      <w:bookmarkStart w:id="234" w:name="_Toc9510"/>
      <w:r>
        <w:rPr>
          <w:rFonts w:hint="eastAsia" w:ascii="宋体" w:hAnsi="宋体"/>
          <w:b w:val="0"/>
          <w:bCs w:val="0"/>
          <w:color w:val="auto"/>
          <w:sz w:val="24"/>
          <w:szCs w:val="24"/>
          <w:highlight w:val="none"/>
        </w:rPr>
        <w:t>致：</w:t>
      </w:r>
      <w:r>
        <w:rPr>
          <w:rFonts w:hint="eastAsia" w:ascii="宋体" w:hAnsi="宋体"/>
          <w:b w:val="0"/>
          <w:bCs w:val="0"/>
          <w:color w:val="auto"/>
          <w:sz w:val="24"/>
          <w:szCs w:val="24"/>
          <w:highlight w:val="none"/>
          <w:u w:val="single"/>
          <w:lang w:val="en-US" w:eastAsia="zh-CN"/>
        </w:rPr>
        <w:t xml:space="preserve">           </w:t>
      </w:r>
      <w:r>
        <w:rPr>
          <w:rFonts w:hint="eastAsia" w:ascii="宋体" w:hAnsi="宋体"/>
          <w:b w:val="0"/>
          <w:bCs w:val="0"/>
          <w:color w:val="auto"/>
          <w:sz w:val="24"/>
          <w:szCs w:val="24"/>
          <w:highlight w:val="none"/>
        </w:rPr>
        <w:t>（采购人）</w:t>
      </w:r>
    </w:p>
    <w:p w14:paraId="5CE58BF7">
      <w:pPr>
        <w:pStyle w:val="38"/>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我方已充分了解了</w:t>
      </w:r>
      <w:r>
        <w:rPr>
          <w:rFonts w:hint="eastAsia" w:ascii="宋体" w:hAnsi="宋体"/>
          <w:b w:val="0"/>
          <w:bCs w:val="0"/>
          <w:color w:val="auto"/>
          <w:sz w:val="24"/>
          <w:szCs w:val="24"/>
          <w:highlight w:val="none"/>
          <w:u w:val="single"/>
          <w:lang w:val="en-US" w:eastAsia="zh-CN"/>
        </w:rPr>
        <w:t xml:space="preserve">          </w:t>
      </w:r>
      <w:r>
        <w:rPr>
          <w:rFonts w:hint="eastAsia" w:hAnsi="宋体"/>
          <w:color w:val="auto"/>
          <w:sz w:val="24"/>
          <w:szCs w:val="24"/>
          <w:highlight w:val="none"/>
        </w:rPr>
        <w:t>（项目名称）</w:t>
      </w:r>
      <w:r>
        <w:rPr>
          <w:rFonts w:hint="eastAsia" w:ascii="宋体" w:hAnsi="宋体"/>
          <w:b w:val="0"/>
          <w:bCs w:val="0"/>
          <w:color w:val="auto"/>
          <w:sz w:val="24"/>
          <w:szCs w:val="24"/>
          <w:highlight w:val="none"/>
          <w:u w:val="single"/>
          <w:lang w:val="en-US" w:eastAsia="zh-CN"/>
        </w:rPr>
        <w:t xml:space="preserve">              </w:t>
      </w:r>
      <w:r>
        <w:rPr>
          <w:rFonts w:hint="eastAsia" w:hAnsi="宋体"/>
          <w:color w:val="auto"/>
          <w:sz w:val="24"/>
          <w:szCs w:val="24"/>
          <w:highlight w:val="none"/>
        </w:rPr>
        <w:t>（项目编号）的</w:t>
      </w:r>
      <w:r>
        <w:rPr>
          <w:rFonts w:hint="eastAsia" w:hAnsi="宋体"/>
          <w:color w:val="auto"/>
          <w:sz w:val="24"/>
          <w:szCs w:val="24"/>
          <w:highlight w:val="none"/>
          <w:lang w:eastAsia="zh-CN"/>
        </w:rPr>
        <w:t>磋商</w:t>
      </w:r>
      <w:r>
        <w:rPr>
          <w:rFonts w:hint="eastAsia" w:hAnsi="宋体"/>
          <w:color w:val="auto"/>
          <w:sz w:val="24"/>
          <w:szCs w:val="24"/>
          <w:highlight w:val="none"/>
        </w:rPr>
        <w:t>文件，愿意遵照本项目</w:t>
      </w:r>
      <w:r>
        <w:rPr>
          <w:rFonts w:hint="eastAsia" w:hAnsi="宋体"/>
          <w:color w:val="auto"/>
          <w:sz w:val="24"/>
          <w:szCs w:val="24"/>
          <w:highlight w:val="none"/>
          <w:lang w:eastAsia="zh-CN"/>
        </w:rPr>
        <w:t>磋商</w:t>
      </w:r>
      <w:r>
        <w:rPr>
          <w:rFonts w:hint="eastAsia" w:hAnsi="宋体"/>
          <w:color w:val="auto"/>
          <w:sz w:val="24"/>
          <w:szCs w:val="24"/>
          <w:highlight w:val="none"/>
        </w:rPr>
        <w:t>文件、《中华人民共和国政府采购法》等有关规定参与</w:t>
      </w:r>
      <w:r>
        <w:rPr>
          <w:rFonts w:hint="eastAsia" w:hAnsi="宋体"/>
          <w:color w:val="auto"/>
          <w:sz w:val="24"/>
          <w:szCs w:val="24"/>
          <w:highlight w:val="none"/>
          <w:lang w:eastAsia="zh-CN"/>
        </w:rPr>
        <w:t>磋商</w:t>
      </w:r>
      <w:r>
        <w:rPr>
          <w:rFonts w:hint="eastAsia" w:hAnsi="宋体"/>
          <w:color w:val="auto"/>
          <w:sz w:val="24"/>
          <w:szCs w:val="24"/>
          <w:highlight w:val="none"/>
        </w:rPr>
        <w:t>，并承诺如下：</w:t>
      </w:r>
    </w:p>
    <w:p w14:paraId="509B8AE6">
      <w:pPr>
        <w:pStyle w:val="38"/>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1、我方承诺将严格按照“公开、公平、公正和诚实信用原则”参与本项目竞标活动。</w:t>
      </w:r>
    </w:p>
    <w:p w14:paraId="62CDE093">
      <w:pPr>
        <w:pStyle w:val="38"/>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2、我方承诺在投标有效期内不撤销</w:t>
      </w:r>
      <w:r>
        <w:rPr>
          <w:rFonts w:hint="eastAsia" w:hAnsi="宋体"/>
          <w:color w:val="auto"/>
          <w:sz w:val="24"/>
          <w:szCs w:val="24"/>
          <w:highlight w:val="none"/>
          <w:lang w:val="en-US" w:eastAsia="zh-CN"/>
        </w:rPr>
        <w:t>投标</w:t>
      </w:r>
      <w:r>
        <w:rPr>
          <w:rFonts w:hint="eastAsia" w:hAnsi="宋体"/>
          <w:color w:val="auto"/>
          <w:sz w:val="24"/>
          <w:szCs w:val="24"/>
          <w:highlight w:val="none"/>
        </w:rPr>
        <w:t>文件；</w:t>
      </w:r>
    </w:p>
    <w:p w14:paraId="57682777">
      <w:pPr>
        <w:pStyle w:val="38"/>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3、我方承诺在</w:t>
      </w:r>
      <w:r>
        <w:rPr>
          <w:rFonts w:hint="eastAsia" w:hAnsi="宋体"/>
          <w:color w:val="auto"/>
          <w:sz w:val="24"/>
          <w:szCs w:val="24"/>
          <w:highlight w:val="none"/>
          <w:lang w:val="en-US" w:eastAsia="zh-CN"/>
        </w:rPr>
        <w:t>投标</w:t>
      </w:r>
      <w:r>
        <w:rPr>
          <w:rFonts w:hint="eastAsia" w:hAnsi="宋体"/>
          <w:color w:val="auto"/>
          <w:sz w:val="24"/>
          <w:szCs w:val="24"/>
          <w:highlight w:val="none"/>
        </w:rPr>
        <w:t>文件及对三门峡市公共资源交易供应商主体信息库中提供的材料真实有效；</w:t>
      </w:r>
    </w:p>
    <w:p w14:paraId="7F28019F">
      <w:pPr>
        <w:pStyle w:val="38"/>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4、我方承诺绝不与采购人、其他投标供应商或者代理机构恶意串通的投标；</w:t>
      </w:r>
    </w:p>
    <w:p w14:paraId="793BAD4A">
      <w:pPr>
        <w:pStyle w:val="38"/>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5、我方承诺绝不以他人的名义投标、串通投标、以行贿手段谋取中标或者以其他弄虚作假方式投标；</w:t>
      </w:r>
    </w:p>
    <w:p w14:paraId="05A61C40">
      <w:pPr>
        <w:pStyle w:val="38"/>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6、我方承诺绝不采取不正当手段谋取中标；</w:t>
      </w:r>
    </w:p>
    <w:p w14:paraId="78E24CB9">
      <w:pPr>
        <w:pStyle w:val="38"/>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Ansi="宋体"/>
          <w:color w:val="auto"/>
          <w:sz w:val="24"/>
          <w:szCs w:val="24"/>
          <w:highlight w:val="none"/>
        </w:rPr>
      </w:pPr>
      <w:r>
        <w:rPr>
          <w:rFonts w:hint="eastAsia" w:hAnsi="宋体"/>
          <w:color w:val="auto"/>
          <w:sz w:val="24"/>
          <w:szCs w:val="24"/>
          <w:highlight w:val="none"/>
        </w:rPr>
        <w:t>7、如我方中标，我方承诺在收到</w:t>
      </w:r>
      <w:r>
        <w:rPr>
          <w:rFonts w:hint="eastAsia" w:hAnsi="宋体"/>
          <w:color w:val="auto"/>
          <w:sz w:val="24"/>
          <w:szCs w:val="24"/>
          <w:highlight w:val="none"/>
          <w:lang w:val="en-US" w:eastAsia="zh-CN"/>
        </w:rPr>
        <w:t>中标</w:t>
      </w:r>
      <w:r>
        <w:rPr>
          <w:rFonts w:hint="eastAsia" w:hAnsi="宋体"/>
          <w:color w:val="auto"/>
          <w:sz w:val="24"/>
          <w:szCs w:val="24"/>
          <w:highlight w:val="none"/>
        </w:rPr>
        <w:t>通知书后，在</w:t>
      </w:r>
      <w:r>
        <w:rPr>
          <w:rFonts w:hint="eastAsia" w:hAnsi="宋体"/>
          <w:color w:val="auto"/>
          <w:sz w:val="24"/>
          <w:szCs w:val="24"/>
          <w:highlight w:val="none"/>
          <w:lang w:val="en-US" w:eastAsia="zh-CN"/>
        </w:rPr>
        <w:t>中标</w:t>
      </w:r>
      <w:r>
        <w:rPr>
          <w:rFonts w:hint="eastAsia" w:hAnsi="宋体"/>
          <w:color w:val="auto"/>
          <w:sz w:val="24"/>
          <w:szCs w:val="24"/>
          <w:highlight w:val="none"/>
        </w:rPr>
        <w:t>通知书规定的期限内，根据招标文件、我方的</w:t>
      </w:r>
      <w:r>
        <w:rPr>
          <w:rFonts w:hint="eastAsia" w:hAnsi="宋体"/>
          <w:color w:val="auto"/>
          <w:sz w:val="24"/>
          <w:szCs w:val="24"/>
          <w:highlight w:val="none"/>
          <w:lang w:val="en-US" w:eastAsia="zh-CN"/>
        </w:rPr>
        <w:t>投标</w:t>
      </w:r>
      <w:r>
        <w:rPr>
          <w:rFonts w:hint="eastAsia" w:hAnsi="宋体"/>
          <w:color w:val="auto"/>
          <w:sz w:val="24"/>
          <w:szCs w:val="24"/>
          <w:highlight w:val="none"/>
        </w:rPr>
        <w:t>文件及有关澄清承诺书的要求，与采购人订立书面合同，并按照合同约定承担完成合同的责任和义务；</w:t>
      </w:r>
    </w:p>
    <w:p w14:paraId="70D694D7">
      <w:pPr>
        <w:pStyle w:val="38"/>
        <w:keepNext w:val="0"/>
        <w:keepLines w:val="0"/>
        <w:pageBreakBefore w:val="0"/>
        <w:kinsoku/>
        <w:wordWrap/>
        <w:overflowPunct/>
        <w:topLinePunct w:val="0"/>
        <w:autoSpaceDE w:val="0"/>
        <w:autoSpaceDN w:val="0"/>
        <w:bidi w:val="0"/>
        <w:snapToGrid/>
        <w:spacing w:line="600" w:lineRule="exact"/>
        <w:ind w:firstLine="564" w:firstLineChars="235"/>
        <w:textAlignment w:val="auto"/>
        <w:rPr>
          <w:rFonts w:hint="eastAsia" w:hAnsi="宋体"/>
          <w:color w:val="auto"/>
          <w:sz w:val="24"/>
          <w:szCs w:val="24"/>
          <w:highlight w:val="none"/>
        </w:rPr>
      </w:pPr>
      <w:r>
        <w:rPr>
          <w:rFonts w:hint="eastAsia" w:hAnsi="宋体"/>
          <w:color w:val="auto"/>
          <w:sz w:val="24"/>
          <w:szCs w:val="24"/>
          <w:highlight w:val="none"/>
        </w:rPr>
        <w:t>8、如我方违反此约定，愿意承担对本项目造成的一切经济损失，并同时依法承担相应法律责任。</w:t>
      </w:r>
    </w:p>
    <w:p w14:paraId="23F9642E">
      <w:pPr>
        <w:keepNext w:val="0"/>
        <w:keepLines w:val="0"/>
        <w:pageBreakBefore w:val="0"/>
        <w:kinsoku/>
        <w:wordWrap/>
        <w:overflowPunct/>
        <w:topLinePunct w:val="0"/>
        <w:autoSpaceDE w:val="0"/>
        <w:autoSpaceDN w:val="0"/>
        <w:bidi w:val="0"/>
        <w:snapToGrid/>
        <w:spacing w:line="240" w:lineRule="auto"/>
        <w:jc w:val="right"/>
        <w:textAlignment w:val="auto"/>
        <w:rPr>
          <w:rFonts w:hint="eastAsia" w:ascii="宋体" w:hAnsi="宋体" w:cs="宋体"/>
          <w:color w:val="auto"/>
          <w:sz w:val="24"/>
          <w:szCs w:val="24"/>
          <w:highlight w:val="none"/>
        </w:rPr>
      </w:pPr>
    </w:p>
    <w:p w14:paraId="62564559">
      <w:pPr>
        <w:keepNext w:val="0"/>
        <w:keepLines w:val="0"/>
        <w:pageBreakBefore w:val="0"/>
        <w:kinsoku/>
        <w:wordWrap/>
        <w:overflowPunct/>
        <w:topLinePunct w:val="0"/>
        <w:autoSpaceDE w:val="0"/>
        <w:autoSpaceDN w:val="0"/>
        <w:bidi w:val="0"/>
        <w:snapToGrid/>
        <w:spacing w:line="360" w:lineRule="auto"/>
        <w:jc w:val="right"/>
        <w:textAlignment w:val="auto"/>
        <w:rPr>
          <w:rFonts w:ascii="宋体" w:hAnsi="宋体"/>
          <w:color w:val="auto"/>
          <w:sz w:val="24"/>
          <w:szCs w:val="24"/>
          <w:highlight w:val="none"/>
        </w:rPr>
      </w:pPr>
      <w:r>
        <w:rPr>
          <w:rFonts w:hint="eastAsia" w:ascii="宋体" w:hAnsi="宋体" w:cs="宋体"/>
          <w:color w:val="auto"/>
          <w:sz w:val="24"/>
          <w:szCs w:val="24"/>
          <w:highlight w:val="none"/>
          <w:lang w:eastAsia="zh-CN"/>
        </w:rPr>
        <w:t>磋商供应商</w:t>
      </w:r>
      <w:r>
        <w:rPr>
          <w:rFonts w:hint="eastAsia" w:ascii="宋体" w:hAnsi="宋体" w:cs="宋体"/>
          <w:color w:val="auto"/>
          <w:sz w:val="24"/>
          <w:szCs w:val="24"/>
          <w:highlight w:val="none"/>
        </w:rPr>
        <w:t>（联合体牵头人）</w:t>
      </w:r>
      <w:r>
        <w:rPr>
          <w:rFonts w:hint="eastAsia" w:cs="宋体"/>
          <w:color w:val="auto"/>
          <w:sz w:val="24"/>
          <w:szCs w:val="24"/>
          <w:highlight w:val="none"/>
          <w:lang w:val="en-US" w:eastAsia="zh-CN"/>
        </w:rPr>
        <w:t>名称</w:t>
      </w:r>
      <w:r>
        <w:rPr>
          <w:rFonts w:hint="eastAsia" w:ascii="宋体" w:hAnsi="宋体" w:cs="宋体"/>
          <w:color w:val="auto"/>
          <w:sz w:val="24"/>
          <w:szCs w:val="24"/>
          <w:highlight w:val="none"/>
        </w:rPr>
        <w:t>：</w:t>
      </w:r>
      <w:r>
        <w:rPr>
          <w:rFonts w:hint="eastAsia" w:ascii="宋体" w:hAnsi="宋体"/>
          <w:color w:val="auto"/>
          <w:kern w:val="2"/>
          <w:sz w:val="24"/>
          <w:szCs w:val="24"/>
          <w:highlight w:val="none"/>
          <w:u w:val="single"/>
          <w:lang w:val="en-US" w:eastAsia="zh-CN"/>
        </w:rPr>
        <w:t xml:space="preserve">       </w:t>
      </w:r>
      <w:r>
        <w:rPr>
          <w:rFonts w:hint="eastAsia" w:ascii="宋体" w:hAnsi="宋体" w:cs="宋体"/>
          <w:color w:val="auto"/>
          <w:sz w:val="24"/>
          <w:szCs w:val="24"/>
          <w:highlight w:val="none"/>
          <w:u w:val="none"/>
        </w:rPr>
        <w:t xml:space="preserve"> （</w:t>
      </w:r>
      <w:r>
        <w:rPr>
          <w:rFonts w:hint="eastAsia" w:ascii="宋体" w:hAnsi="宋体" w:cs="宋体"/>
          <w:color w:val="auto"/>
          <w:sz w:val="24"/>
          <w:szCs w:val="24"/>
          <w:highlight w:val="none"/>
          <w:u w:val="none"/>
          <w:lang w:eastAsia="zh-CN"/>
        </w:rPr>
        <w:t>电子</w:t>
      </w:r>
      <w:r>
        <w:rPr>
          <w:rFonts w:hint="eastAsia" w:ascii="宋体" w:hAnsi="宋体" w:cs="宋体"/>
          <w:color w:val="auto"/>
          <w:sz w:val="24"/>
          <w:szCs w:val="24"/>
          <w:highlight w:val="none"/>
          <w:u w:val="none"/>
        </w:rPr>
        <w:t xml:space="preserve">签章） </w:t>
      </w:r>
    </w:p>
    <w:p w14:paraId="4190715B">
      <w:pPr>
        <w:pStyle w:val="38"/>
        <w:keepNext w:val="0"/>
        <w:keepLines w:val="0"/>
        <w:pageBreakBefore w:val="0"/>
        <w:kinsoku/>
        <w:wordWrap/>
        <w:overflowPunct/>
        <w:topLinePunct w:val="0"/>
        <w:autoSpaceDE w:val="0"/>
        <w:autoSpaceDN w:val="0"/>
        <w:bidi w:val="0"/>
        <w:snapToGrid/>
        <w:spacing w:line="360" w:lineRule="auto"/>
        <w:ind w:firstLine="564" w:firstLineChars="235"/>
        <w:textAlignment w:val="auto"/>
        <w:rPr>
          <w:rFonts w:ascii="宋体" w:hAnsi="宋体"/>
          <w:bCs/>
          <w:color w:val="auto"/>
          <w:kern w:val="0"/>
          <w:sz w:val="24"/>
          <w:szCs w:val="24"/>
          <w:highlight w:val="none"/>
        </w:rPr>
      </w:pP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法定代表人：</w:t>
      </w:r>
      <w:r>
        <w:rPr>
          <w:rFonts w:hint="eastAsia" w:ascii="宋体" w:hAnsi="宋体"/>
          <w:color w:val="auto"/>
          <w:kern w:val="2"/>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法人</w:t>
      </w:r>
      <w:r>
        <w:rPr>
          <w:rFonts w:hint="eastAsia" w:ascii="宋体" w:hAnsi="宋体" w:cs="宋体"/>
          <w:color w:val="auto"/>
          <w:sz w:val="24"/>
          <w:szCs w:val="24"/>
          <w:highlight w:val="none"/>
        </w:rPr>
        <w:t>电子签章）</w:t>
      </w:r>
      <w:r>
        <w:rPr>
          <w:rFonts w:hint="eastAsia" w:ascii="宋体" w:hAnsi="宋体"/>
          <w:color w:val="auto"/>
          <w:sz w:val="24"/>
          <w:szCs w:val="24"/>
          <w:highlight w:val="none"/>
          <w:lang w:val="en-US" w:eastAsia="zh-CN"/>
        </w:rPr>
        <w:t xml:space="preserve"> </w:t>
      </w:r>
    </w:p>
    <w:p w14:paraId="47FDEE2D">
      <w:pPr>
        <w:keepNext w:val="0"/>
        <w:keepLines w:val="0"/>
        <w:pageBreakBefore w:val="0"/>
        <w:widowControl/>
        <w:kinsoku/>
        <w:wordWrap/>
        <w:overflowPunct/>
        <w:topLinePunct w:val="0"/>
        <w:autoSpaceDE w:val="0"/>
        <w:autoSpaceDN w:val="0"/>
        <w:bidi w:val="0"/>
        <w:adjustRightInd/>
        <w:snapToGrid/>
        <w:spacing w:line="360" w:lineRule="auto"/>
        <w:jc w:val="center"/>
        <w:textAlignment w:val="auto"/>
        <w:outlineLvl w:val="0"/>
        <w:rPr>
          <w:rFonts w:hint="default" w:ascii="宋体" w:hAnsi="宋体"/>
          <w:bCs/>
          <w:color w:val="auto"/>
          <w:kern w:val="0"/>
          <w:sz w:val="24"/>
          <w:szCs w:val="24"/>
          <w:highlight w:val="none"/>
          <w:lang w:val="en-US" w:eastAsia="zh-CN"/>
        </w:rPr>
      </w:pPr>
      <w:r>
        <w:rPr>
          <w:rFonts w:hint="eastAsia" w:ascii="宋体" w:hAnsi="宋体"/>
          <w:bCs/>
          <w:color w:val="auto"/>
          <w:kern w:val="0"/>
          <w:sz w:val="24"/>
          <w:szCs w:val="24"/>
          <w:highlight w:val="none"/>
          <w:lang w:val="en-US" w:eastAsia="zh-CN"/>
        </w:rPr>
        <w:t xml:space="preserve">                           </w:t>
      </w:r>
      <w:bookmarkStart w:id="235" w:name="_Toc13332"/>
      <w:r>
        <w:rPr>
          <w:rFonts w:hint="eastAsia" w:ascii="宋体" w:hAnsi="宋体"/>
          <w:bCs/>
          <w:color w:val="auto"/>
          <w:kern w:val="0"/>
          <w:sz w:val="24"/>
          <w:szCs w:val="24"/>
          <w:highlight w:val="none"/>
        </w:rPr>
        <w:t>日期：</w:t>
      </w:r>
      <w:r>
        <w:rPr>
          <w:rFonts w:hint="eastAsia" w:ascii="宋体" w:hAnsi="宋体"/>
          <w:bCs/>
          <w:color w:val="auto"/>
          <w:kern w:val="0"/>
          <w:sz w:val="24"/>
          <w:szCs w:val="24"/>
          <w:highlight w:val="none"/>
          <w:lang w:val="en-US" w:eastAsia="zh-CN"/>
        </w:rPr>
        <w:t xml:space="preserve">  </w:t>
      </w:r>
      <w:r>
        <w:rPr>
          <w:rFonts w:hint="eastAsia" w:ascii="宋体" w:hAnsi="宋体"/>
          <w:bCs/>
          <w:color w:val="auto"/>
          <w:kern w:val="0"/>
          <w:sz w:val="24"/>
          <w:szCs w:val="24"/>
          <w:highlight w:val="none"/>
          <w:lang w:eastAsia="zh-CN"/>
        </w:rPr>
        <w:t>年</w:t>
      </w:r>
      <w:r>
        <w:rPr>
          <w:rFonts w:hint="eastAsia" w:ascii="宋体" w:hAnsi="宋体"/>
          <w:bCs/>
          <w:color w:val="auto"/>
          <w:kern w:val="0"/>
          <w:sz w:val="24"/>
          <w:szCs w:val="24"/>
          <w:highlight w:val="none"/>
          <w:lang w:val="en-US" w:eastAsia="zh-CN"/>
        </w:rPr>
        <w:t xml:space="preserve">  月  日</w:t>
      </w:r>
      <w:bookmarkEnd w:id="235"/>
    </w:p>
    <w:bookmarkEnd w:id="234"/>
    <w:p w14:paraId="402E4AB4">
      <w:pPr>
        <w:spacing w:line="500" w:lineRule="exact"/>
        <w:ind w:firstLine="4320" w:firstLineChars="1800"/>
        <w:rPr>
          <w:rFonts w:hint="eastAsia" w:ascii="宋体" w:hAnsi="宋体" w:cs="宋体"/>
          <w:color w:val="auto"/>
          <w:sz w:val="24"/>
          <w:szCs w:val="24"/>
          <w:highlight w:val="none"/>
          <w:lang w:val="en-US" w:eastAsia="zh-CN"/>
        </w:rPr>
        <w:sectPr>
          <w:headerReference r:id="rId12" w:type="default"/>
          <w:footerReference r:id="rId13" w:type="default"/>
          <w:pgSz w:w="11906" w:h="16838"/>
          <w:pgMar w:top="1361" w:right="1077" w:bottom="1361" w:left="1077" w:header="851" w:footer="680" w:gutter="0"/>
          <w:pgNumType w:fmt="decimal"/>
          <w:cols w:space="720" w:num="1"/>
          <w:docGrid w:type="lines" w:linePitch="312" w:charSpace="0"/>
        </w:sectPr>
      </w:pPr>
    </w:p>
    <w:p w14:paraId="49C6BAAF">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rPr>
      </w:pPr>
      <w:r>
        <w:rPr>
          <w:rFonts w:hint="eastAsia" w:ascii="宋体" w:hAnsi="宋体"/>
          <w:b/>
          <w:bCs/>
          <w:color w:val="auto"/>
          <w:kern w:val="0"/>
          <w:sz w:val="36"/>
          <w:szCs w:val="36"/>
          <w:highlight w:val="none"/>
          <w:lang w:val="en-US" w:eastAsia="zh-CN"/>
        </w:rPr>
        <w:t>六</w:t>
      </w:r>
      <w:r>
        <w:rPr>
          <w:rFonts w:hint="eastAsia" w:ascii="宋体" w:hAnsi="宋体" w:eastAsia="宋体"/>
          <w:b/>
          <w:bCs/>
          <w:color w:val="auto"/>
          <w:kern w:val="0"/>
          <w:sz w:val="36"/>
          <w:szCs w:val="36"/>
          <w:highlight w:val="none"/>
        </w:rPr>
        <w:t>、资格审查资料</w:t>
      </w:r>
    </w:p>
    <w:p w14:paraId="6365F8EE">
      <w:pPr>
        <w:wordWrap w:val="0"/>
        <w:spacing w:beforeAutospacing="0" w:afterAutospacing="0" w:line="600" w:lineRule="exact"/>
        <w:ind w:firstLine="482" w:firstLineChars="200"/>
        <w:jc w:val="center"/>
        <w:rPr>
          <w:rFonts w:hint="eastAsia" w:ascii="新宋体" w:hAnsi="新宋体" w:eastAsia="新宋体"/>
          <w:b/>
          <w:color w:val="auto"/>
          <w:sz w:val="24"/>
          <w:szCs w:val="28"/>
          <w:highlight w:val="none"/>
        </w:rPr>
      </w:pPr>
      <w:r>
        <w:rPr>
          <w:rFonts w:hint="eastAsia" w:ascii="新宋体" w:hAnsi="新宋体" w:eastAsia="新宋体"/>
          <w:b/>
          <w:color w:val="auto"/>
          <w:sz w:val="24"/>
          <w:szCs w:val="28"/>
          <w:highlight w:val="none"/>
        </w:rPr>
        <w:t>（一）</w:t>
      </w:r>
      <w:r>
        <w:rPr>
          <w:rFonts w:hint="eastAsia" w:ascii="新宋体" w:hAnsi="新宋体" w:eastAsia="新宋体"/>
          <w:b/>
          <w:color w:val="auto"/>
          <w:sz w:val="24"/>
          <w:szCs w:val="28"/>
          <w:highlight w:val="none"/>
          <w:lang w:eastAsia="zh-CN"/>
        </w:rPr>
        <w:t>供应商</w:t>
      </w:r>
      <w:r>
        <w:rPr>
          <w:rFonts w:hint="eastAsia" w:ascii="新宋体" w:hAnsi="新宋体" w:eastAsia="新宋体"/>
          <w:b/>
          <w:color w:val="auto"/>
          <w:sz w:val="24"/>
          <w:szCs w:val="28"/>
          <w:highlight w:val="none"/>
        </w:rPr>
        <w:t>基本情况表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1"/>
        <w:gridCol w:w="1160"/>
        <w:gridCol w:w="1002"/>
        <w:gridCol w:w="952"/>
        <w:gridCol w:w="1245"/>
        <w:gridCol w:w="239"/>
        <w:gridCol w:w="1620"/>
      </w:tblGrid>
      <w:tr w14:paraId="4AF2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605D06F1">
            <w:pPr>
              <w:wordWrap w:val="0"/>
              <w:spacing w:line="360" w:lineRule="auto"/>
              <w:jc w:val="center"/>
              <w:rPr>
                <w:rFonts w:hint="eastAsia"/>
                <w:color w:val="auto"/>
                <w:sz w:val="24"/>
                <w:highlight w:val="none"/>
              </w:rPr>
            </w:pPr>
            <w:r>
              <w:rPr>
                <w:rFonts w:hint="eastAsia"/>
                <w:color w:val="auto"/>
                <w:sz w:val="24"/>
                <w:highlight w:val="none"/>
                <w:lang w:val="en-US" w:eastAsia="zh-CN"/>
              </w:rPr>
              <w:t>供应商</w:t>
            </w:r>
            <w:r>
              <w:rPr>
                <w:rFonts w:hint="eastAsia"/>
                <w:color w:val="auto"/>
                <w:sz w:val="24"/>
                <w:highlight w:val="none"/>
              </w:rPr>
              <w:t>名称</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7A4F91FA">
            <w:pPr>
              <w:wordWrap w:val="0"/>
              <w:spacing w:line="360" w:lineRule="auto"/>
              <w:jc w:val="center"/>
              <w:rPr>
                <w:rFonts w:hint="eastAsia"/>
                <w:color w:val="auto"/>
                <w:sz w:val="24"/>
                <w:highlight w:val="none"/>
              </w:rPr>
            </w:pPr>
          </w:p>
        </w:tc>
      </w:tr>
      <w:tr w14:paraId="7B4A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7713209D">
            <w:pPr>
              <w:wordWrap w:val="0"/>
              <w:spacing w:line="360" w:lineRule="auto"/>
              <w:jc w:val="center"/>
              <w:rPr>
                <w:rFonts w:hint="eastAsia"/>
                <w:color w:val="auto"/>
                <w:sz w:val="24"/>
                <w:highlight w:val="none"/>
              </w:rPr>
            </w:pPr>
            <w:r>
              <w:rPr>
                <w:rFonts w:hint="eastAsia"/>
                <w:color w:val="auto"/>
                <w:sz w:val="24"/>
                <w:highlight w:val="none"/>
              </w:rPr>
              <w:t>注册地址</w:t>
            </w:r>
          </w:p>
        </w:tc>
        <w:tc>
          <w:tcPr>
            <w:tcW w:w="3114" w:type="dxa"/>
            <w:gridSpan w:val="3"/>
            <w:tcBorders>
              <w:top w:val="single" w:color="auto" w:sz="4" w:space="0"/>
              <w:left w:val="single" w:color="auto" w:sz="4" w:space="0"/>
              <w:bottom w:val="single" w:color="auto" w:sz="4" w:space="0"/>
              <w:right w:val="single" w:color="auto" w:sz="4" w:space="0"/>
            </w:tcBorders>
            <w:noWrap w:val="0"/>
            <w:vAlign w:val="center"/>
          </w:tcPr>
          <w:p w14:paraId="35742788">
            <w:pPr>
              <w:wordWrap w:val="0"/>
              <w:spacing w:line="360" w:lineRule="auto"/>
              <w:jc w:val="center"/>
              <w:rPr>
                <w:rFonts w:hint="eastAsia"/>
                <w:color w:val="auto"/>
                <w:sz w:val="24"/>
                <w:highlight w:val="none"/>
              </w:rPr>
            </w:pPr>
          </w:p>
        </w:tc>
        <w:tc>
          <w:tcPr>
            <w:tcW w:w="1484" w:type="dxa"/>
            <w:gridSpan w:val="2"/>
            <w:tcBorders>
              <w:top w:val="single" w:color="auto" w:sz="4" w:space="0"/>
              <w:left w:val="single" w:color="auto" w:sz="4" w:space="0"/>
              <w:bottom w:val="single" w:color="auto" w:sz="4" w:space="0"/>
              <w:right w:val="single" w:color="auto" w:sz="4" w:space="0"/>
            </w:tcBorders>
            <w:noWrap w:val="0"/>
            <w:vAlign w:val="center"/>
          </w:tcPr>
          <w:p w14:paraId="63CDB672">
            <w:pPr>
              <w:wordWrap w:val="0"/>
              <w:spacing w:line="360" w:lineRule="auto"/>
              <w:jc w:val="center"/>
              <w:rPr>
                <w:rFonts w:hint="eastAsia"/>
                <w:color w:val="auto"/>
                <w:sz w:val="24"/>
                <w:highlight w:val="none"/>
              </w:rPr>
            </w:pPr>
            <w:r>
              <w:rPr>
                <w:rFonts w:hint="eastAsia"/>
                <w:color w:val="auto"/>
                <w:sz w:val="24"/>
                <w:highlight w:val="none"/>
              </w:rPr>
              <w:t>邮政编码</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3CCC6CA">
            <w:pPr>
              <w:wordWrap w:val="0"/>
              <w:spacing w:line="360" w:lineRule="auto"/>
              <w:jc w:val="center"/>
              <w:rPr>
                <w:rFonts w:hint="eastAsia"/>
                <w:color w:val="auto"/>
                <w:sz w:val="24"/>
                <w:highlight w:val="none"/>
              </w:rPr>
            </w:pPr>
          </w:p>
        </w:tc>
      </w:tr>
      <w:tr w14:paraId="47B9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2361" w:type="dxa"/>
            <w:vMerge w:val="restart"/>
            <w:tcBorders>
              <w:top w:val="single" w:color="auto" w:sz="4" w:space="0"/>
              <w:left w:val="single" w:color="auto" w:sz="4" w:space="0"/>
              <w:bottom w:val="single" w:color="auto" w:sz="4" w:space="0"/>
              <w:right w:val="single" w:color="auto" w:sz="4" w:space="0"/>
            </w:tcBorders>
            <w:noWrap w:val="0"/>
            <w:vAlign w:val="center"/>
          </w:tcPr>
          <w:p w14:paraId="0B07350B">
            <w:pPr>
              <w:wordWrap w:val="0"/>
              <w:spacing w:line="360" w:lineRule="auto"/>
              <w:jc w:val="center"/>
              <w:rPr>
                <w:rFonts w:hint="eastAsia"/>
                <w:color w:val="auto"/>
                <w:sz w:val="24"/>
                <w:highlight w:val="none"/>
              </w:rPr>
            </w:pPr>
            <w:r>
              <w:rPr>
                <w:rFonts w:hint="eastAsia"/>
                <w:color w:val="auto"/>
                <w:sz w:val="24"/>
                <w:highlight w:val="none"/>
              </w:rPr>
              <w:t>联系方式</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1B6A8AEC">
            <w:pPr>
              <w:wordWrap w:val="0"/>
              <w:spacing w:line="360" w:lineRule="auto"/>
              <w:jc w:val="center"/>
              <w:rPr>
                <w:rFonts w:hint="eastAsia"/>
                <w:color w:val="auto"/>
                <w:sz w:val="24"/>
                <w:highlight w:val="none"/>
              </w:rPr>
            </w:pPr>
            <w:r>
              <w:rPr>
                <w:rFonts w:hint="eastAsia"/>
                <w:color w:val="auto"/>
                <w:sz w:val="24"/>
                <w:highlight w:val="none"/>
              </w:rPr>
              <w:t>联系人</w:t>
            </w:r>
          </w:p>
        </w:tc>
        <w:tc>
          <w:tcPr>
            <w:tcW w:w="1954" w:type="dxa"/>
            <w:gridSpan w:val="2"/>
            <w:tcBorders>
              <w:top w:val="single" w:color="auto" w:sz="4" w:space="0"/>
              <w:left w:val="single" w:color="auto" w:sz="4" w:space="0"/>
              <w:bottom w:val="single" w:color="auto" w:sz="4" w:space="0"/>
              <w:right w:val="single" w:color="auto" w:sz="4" w:space="0"/>
            </w:tcBorders>
            <w:noWrap w:val="0"/>
            <w:vAlign w:val="center"/>
          </w:tcPr>
          <w:p w14:paraId="3EF442C7">
            <w:pPr>
              <w:wordWrap w:val="0"/>
              <w:spacing w:line="360" w:lineRule="auto"/>
              <w:jc w:val="both"/>
              <w:rPr>
                <w:rFonts w:hint="eastAsia"/>
                <w:color w:val="auto"/>
                <w:sz w:val="24"/>
                <w:highlight w:val="none"/>
              </w:rPr>
            </w:pPr>
          </w:p>
        </w:tc>
        <w:tc>
          <w:tcPr>
            <w:tcW w:w="1484" w:type="dxa"/>
            <w:gridSpan w:val="2"/>
            <w:tcBorders>
              <w:top w:val="single" w:color="auto" w:sz="4" w:space="0"/>
              <w:left w:val="single" w:color="auto" w:sz="4" w:space="0"/>
              <w:bottom w:val="single" w:color="auto" w:sz="4" w:space="0"/>
              <w:right w:val="single" w:color="auto" w:sz="4" w:space="0"/>
            </w:tcBorders>
            <w:noWrap w:val="0"/>
            <w:vAlign w:val="center"/>
          </w:tcPr>
          <w:p w14:paraId="35EB2F60">
            <w:pPr>
              <w:wordWrap w:val="0"/>
              <w:spacing w:line="360" w:lineRule="auto"/>
              <w:jc w:val="center"/>
              <w:rPr>
                <w:rFonts w:hint="eastAsia"/>
                <w:color w:val="auto"/>
                <w:sz w:val="24"/>
                <w:highlight w:val="none"/>
              </w:rPr>
            </w:pPr>
            <w:r>
              <w:rPr>
                <w:rFonts w:hint="eastAsia"/>
                <w:color w:val="auto"/>
                <w:sz w:val="24"/>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A0340EF">
            <w:pPr>
              <w:wordWrap w:val="0"/>
              <w:spacing w:line="360" w:lineRule="auto"/>
              <w:jc w:val="center"/>
              <w:rPr>
                <w:rFonts w:hint="eastAsia"/>
                <w:color w:val="auto"/>
                <w:sz w:val="24"/>
                <w:highlight w:val="none"/>
              </w:rPr>
            </w:pPr>
          </w:p>
        </w:tc>
      </w:tr>
      <w:tr w14:paraId="3D63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2361" w:type="dxa"/>
            <w:vMerge w:val="continue"/>
            <w:tcBorders>
              <w:top w:val="single" w:color="auto" w:sz="4" w:space="0"/>
              <w:left w:val="single" w:color="auto" w:sz="4" w:space="0"/>
              <w:bottom w:val="single" w:color="auto" w:sz="4" w:space="0"/>
              <w:right w:val="single" w:color="auto" w:sz="4" w:space="0"/>
            </w:tcBorders>
            <w:noWrap w:val="0"/>
            <w:vAlign w:val="center"/>
          </w:tcPr>
          <w:p w14:paraId="50D8CFF7">
            <w:pPr>
              <w:jc w:val="center"/>
              <w:rPr>
                <w:rFonts w:hint="eastAsia"/>
                <w:color w:val="auto"/>
                <w:highlight w:val="none"/>
              </w:rPr>
            </w:pPr>
          </w:p>
        </w:tc>
        <w:tc>
          <w:tcPr>
            <w:tcW w:w="1160" w:type="dxa"/>
            <w:tcBorders>
              <w:top w:val="single" w:color="auto" w:sz="4" w:space="0"/>
              <w:left w:val="single" w:color="auto" w:sz="4" w:space="0"/>
              <w:bottom w:val="single" w:color="auto" w:sz="4" w:space="0"/>
              <w:right w:val="single" w:color="auto" w:sz="4" w:space="0"/>
            </w:tcBorders>
            <w:noWrap w:val="0"/>
            <w:vAlign w:val="center"/>
          </w:tcPr>
          <w:p w14:paraId="5B20BE72">
            <w:pPr>
              <w:wordWrap w:val="0"/>
              <w:spacing w:line="360" w:lineRule="auto"/>
              <w:jc w:val="center"/>
              <w:rPr>
                <w:rFonts w:hint="eastAsia"/>
                <w:color w:val="auto"/>
                <w:sz w:val="24"/>
                <w:highlight w:val="none"/>
              </w:rPr>
            </w:pPr>
            <w:r>
              <w:rPr>
                <w:rFonts w:hint="eastAsia"/>
                <w:color w:val="auto"/>
                <w:sz w:val="24"/>
                <w:highlight w:val="none"/>
              </w:rPr>
              <w:t>传真</w:t>
            </w:r>
          </w:p>
        </w:tc>
        <w:tc>
          <w:tcPr>
            <w:tcW w:w="1954" w:type="dxa"/>
            <w:gridSpan w:val="2"/>
            <w:tcBorders>
              <w:top w:val="single" w:color="auto" w:sz="4" w:space="0"/>
              <w:left w:val="single" w:color="auto" w:sz="4" w:space="0"/>
              <w:bottom w:val="single" w:color="auto" w:sz="4" w:space="0"/>
              <w:right w:val="single" w:color="auto" w:sz="4" w:space="0"/>
            </w:tcBorders>
            <w:noWrap w:val="0"/>
            <w:vAlign w:val="center"/>
          </w:tcPr>
          <w:p w14:paraId="390B269E">
            <w:pPr>
              <w:wordWrap w:val="0"/>
              <w:spacing w:line="360" w:lineRule="auto"/>
              <w:jc w:val="both"/>
              <w:rPr>
                <w:rFonts w:hint="eastAsia"/>
                <w:color w:val="auto"/>
                <w:sz w:val="24"/>
                <w:highlight w:val="none"/>
              </w:rPr>
            </w:pPr>
          </w:p>
        </w:tc>
        <w:tc>
          <w:tcPr>
            <w:tcW w:w="1484" w:type="dxa"/>
            <w:gridSpan w:val="2"/>
            <w:tcBorders>
              <w:top w:val="single" w:color="auto" w:sz="4" w:space="0"/>
              <w:left w:val="single" w:color="auto" w:sz="4" w:space="0"/>
              <w:bottom w:val="single" w:color="auto" w:sz="4" w:space="0"/>
              <w:right w:val="single" w:color="auto" w:sz="4" w:space="0"/>
            </w:tcBorders>
            <w:noWrap w:val="0"/>
            <w:vAlign w:val="center"/>
          </w:tcPr>
          <w:p w14:paraId="6CFFB5F7">
            <w:pPr>
              <w:wordWrap w:val="0"/>
              <w:spacing w:line="360" w:lineRule="auto"/>
              <w:jc w:val="center"/>
              <w:rPr>
                <w:rFonts w:hint="eastAsia"/>
                <w:color w:val="auto"/>
                <w:sz w:val="24"/>
                <w:highlight w:val="none"/>
              </w:rPr>
            </w:pPr>
            <w:r>
              <w:rPr>
                <w:rFonts w:hint="eastAsia"/>
                <w:color w:val="auto"/>
                <w:sz w:val="24"/>
                <w:highlight w:val="none"/>
              </w:rPr>
              <w:t>网址</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25DEF1B">
            <w:pPr>
              <w:wordWrap w:val="0"/>
              <w:spacing w:line="360" w:lineRule="auto"/>
              <w:jc w:val="center"/>
              <w:rPr>
                <w:rFonts w:hint="eastAsia"/>
                <w:color w:val="auto"/>
                <w:sz w:val="24"/>
                <w:highlight w:val="none"/>
              </w:rPr>
            </w:pPr>
          </w:p>
        </w:tc>
      </w:tr>
      <w:tr w14:paraId="4C54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4B6E1819">
            <w:pPr>
              <w:wordWrap w:val="0"/>
              <w:spacing w:line="360" w:lineRule="auto"/>
              <w:jc w:val="center"/>
              <w:rPr>
                <w:rFonts w:hint="eastAsia"/>
                <w:color w:val="auto"/>
                <w:sz w:val="24"/>
                <w:highlight w:val="none"/>
              </w:rPr>
            </w:pPr>
            <w:r>
              <w:rPr>
                <w:rFonts w:hint="eastAsia"/>
                <w:color w:val="auto"/>
                <w:sz w:val="24"/>
                <w:highlight w:val="none"/>
              </w:rPr>
              <w:t>组织结构</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19523141">
            <w:pPr>
              <w:tabs>
                <w:tab w:val="left" w:pos="4776"/>
              </w:tabs>
              <w:wordWrap w:val="0"/>
              <w:spacing w:line="360" w:lineRule="auto"/>
              <w:jc w:val="center"/>
              <w:rPr>
                <w:rFonts w:hint="eastAsia"/>
                <w:color w:val="auto"/>
                <w:sz w:val="24"/>
                <w:highlight w:val="none"/>
              </w:rPr>
            </w:pPr>
          </w:p>
        </w:tc>
      </w:tr>
      <w:tr w14:paraId="1113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bottom"/>
          </w:tcPr>
          <w:p w14:paraId="06EA98AC">
            <w:pPr>
              <w:wordWrap w:val="0"/>
              <w:spacing w:line="360" w:lineRule="auto"/>
              <w:jc w:val="center"/>
              <w:rPr>
                <w:rFonts w:hint="eastAsia"/>
                <w:color w:val="auto"/>
                <w:sz w:val="24"/>
                <w:highlight w:val="none"/>
              </w:rPr>
            </w:pPr>
            <w:r>
              <w:rPr>
                <w:rFonts w:hint="eastAsia"/>
                <w:color w:val="auto"/>
                <w:sz w:val="24"/>
                <w:highlight w:val="none"/>
              </w:rPr>
              <w:t>法定代表人</w:t>
            </w:r>
          </w:p>
        </w:tc>
        <w:tc>
          <w:tcPr>
            <w:tcW w:w="1160" w:type="dxa"/>
            <w:tcBorders>
              <w:top w:val="single" w:color="auto" w:sz="4" w:space="0"/>
              <w:left w:val="single" w:color="auto" w:sz="4" w:space="0"/>
              <w:bottom w:val="single" w:color="auto" w:sz="4" w:space="0"/>
              <w:right w:val="single" w:color="auto" w:sz="4" w:space="0"/>
            </w:tcBorders>
            <w:noWrap w:val="0"/>
            <w:vAlign w:val="bottom"/>
          </w:tcPr>
          <w:p w14:paraId="6FE8A792">
            <w:pPr>
              <w:wordWrap w:val="0"/>
              <w:spacing w:line="360" w:lineRule="auto"/>
              <w:jc w:val="center"/>
              <w:rPr>
                <w:rFonts w:hint="eastAsia"/>
                <w:color w:val="auto"/>
                <w:sz w:val="24"/>
                <w:highlight w:val="none"/>
              </w:rPr>
            </w:pPr>
            <w:r>
              <w:rPr>
                <w:rFonts w:hint="eastAsia"/>
                <w:color w:val="auto"/>
                <w:sz w:val="24"/>
                <w:highlight w:val="none"/>
              </w:rPr>
              <w:t>姓名</w:t>
            </w:r>
          </w:p>
        </w:tc>
        <w:tc>
          <w:tcPr>
            <w:tcW w:w="1954" w:type="dxa"/>
            <w:gridSpan w:val="2"/>
            <w:tcBorders>
              <w:top w:val="single" w:color="auto" w:sz="4" w:space="0"/>
              <w:left w:val="single" w:color="auto" w:sz="4" w:space="0"/>
              <w:bottom w:val="single" w:color="auto" w:sz="4" w:space="0"/>
              <w:right w:val="single" w:color="auto" w:sz="4" w:space="0"/>
            </w:tcBorders>
            <w:noWrap w:val="0"/>
            <w:vAlign w:val="bottom"/>
          </w:tcPr>
          <w:p w14:paraId="0D70B496">
            <w:pPr>
              <w:wordWrap w:val="0"/>
              <w:spacing w:line="360" w:lineRule="auto"/>
              <w:jc w:val="center"/>
              <w:rPr>
                <w:rFonts w:hint="eastAsia"/>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bottom"/>
          </w:tcPr>
          <w:p w14:paraId="0FFB4674">
            <w:pPr>
              <w:wordWrap w:val="0"/>
              <w:spacing w:line="360" w:lineRule="auto"/>
              <w:jc w:val="center"/>
              <w:rPr>
                <w:rFonts w:hint="eastAsia"/>
                <w:color w:val="auto"/>
                <w:sz w:val="24"/>
                <w:highlight w:val="none"/>
              </w:rPr>
            </w:pPr>
            <w:r>
              <w:rPr>
                <w:rFonts w:hint="eastAsia"/>
                <w:color w:val="auto"/>
                <w:sz w:val="24"/>
                <w:highlight w:val="none"/>
              </w:rPr>
              <w:t>电话</w:t>
            </w:r>
          </w:p>
        </w:tc>
        <w:tc>
          <w:tcPr>
            <w:tcW w:w="1859" w:type="dxa"/>
            <w:gridSpan w:val="2"/>
            <w:tcBorders>
              <w:top w:val="single" w:color="auto" w:sz="4" w:space="0"/>
              <w:left w:val="single" w:color="auto" w:sz="4" w:space="0"/>
              <w:bottom w:val="single" w:color="auto" w:sz="4" w:space="0"/>
              <w:right w:val="single" w:color="auto" w:sz="4" w:space="0"/>
            </w:tcBorders>
            <w:noWrap w:val="0"/>
            <w:vAlign w:val="bottom"/>
          </w:tcPr>
          <w:p w14:paraId="00BAA279">
            <w:pPr>
              <w:wordWrap w:val="0"/>
              <w:spacing w:line="360" w:lineRule="auto"/>
              <w:jc w:val="center"/>
              <w:rPr>
                <w:rFonts w:hint="eastAsia"/>
                <w:color w:val="auto"/>
                <w:sz w:val="24"/>
                <w:highlight w:val="none"/>
              </w:rPr>
            </w:pPr>
          </w:p>
        </w:tc>
      </w:tr>
      <w:tr w14:paraId="6B21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2A1908DD">
            <w:pPr>
              <w:widowControl/>
              <w:spacing w:line="520" w:lineRule="atLeast"/>
              <w:jc w:val="center"/>
              <w:rPr>
                <w:rFonts w:hint="eastAsia" w:ascii="宋体" w:hAnsi="宋体" w:eastAsia="宋体" w:cs="宋体"/>
                <w:bCs/>
                <w:color w:val="auto"/>
                <w:kern w:val="0"/>
                <w:sz w:val="24"/>
                <w:szCs w:val="22"/>
                <w:highlight w:val="none"/>
                <w:lang w:val="zh-CN" w:eastAsia="zh-CN" w:bidi="zh-CN"/>
              </w:rPr>
            </w:pPr>
            <w:r>
              <w:rPr>
                <w:rFonts w:hint="eastAsia" w:cs="宋体"/>
                <w:bCs/>
                <w:color w:val="auto"/>
                <w:kern w:val="0"/>
                <w:sz w:val="24"/>
                <w:highlight w:val="none"/>
                <w:lang w:eastAsia="zh-CN"/>
              </w:rPr>
              <w:t>项目</w:t>
            </w:r>
            <w:r>
              <w:rPr>
                <w:rFonts w:hint="eastAsia" w:ascii="宋体" w:hAnsi="宋体" w:eastAsia="宋体" w:cs="宋体"/>
                <w:bCs/>
                <w:color w:val="auto"/>
                <w:kern w:val="0"/>
                <w:sz w:val="24"/>
                <w:highlight w:val="none"/>
              </w:rPr>
              <w:t>负责人</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2BB2284A">
            <w:pPr>
              <w:widowControl/>
              <w:spacing w:line="520" w:lineRule="atLeast"/>
              <w:jc w:val="center"/>
              <w:rPr>
                <w:rFonts w:hint="eastAsia" w:ascii="宋体" w:hAnsi="宋体" w:eastAsia="宋体" w:cs="宋体"/>
                <w:bCs/>
                <w:color w:val="auto"/>
                <w:kern w:val="0"/>
                <w:sz w:val="24"/>
                <w:szCs w:val="22"/>
                <w:highlight w:val="none"/>
                <w:lang w:val="zh-CN" w:eastAsia="zh-CN" w:bidi="zh-CN"/>
              </w:rPr>
            </w:pPr>
            <w:r>
              <w:rPr>
                <w:rFonts w:hint="eastAsia" w:ascii="宋体" w:hAnsi="宋体" w:eastAsia="宋体" w:cs="宋体"/>
                <w:bCs/>
                <w:color w:val="auto"/>
                <w:kern w:val="0"/>
                <w:sz w:val="24"/>
                <w:highlight w:val="none"/>
              </w:rPr>
              <w:t>姓名</w:t>
            </w:r>
          </w:p>
        </w:tc>
        <w:tc>
          <w:tcPr>
            <w:tcW w:w="1954" w:type="dxa"/>
            <w:gridSpan w:val="2"/>
            <w:tcBorders>
              <w:top w:val="single" w:color="auto" w:sz="4" w:space="0"/>
              <w:left w:val="single" w:color="auto" w:sz="4" w:space="0"/>
              <w:bottom w:val="single" w:color="auto" w:sz="4" w:space="0"/>
              <w:right w:val="single" w:color="auto" w:sz="4" w:space="0"/>
            </w:tcBorders>
            <w:noWrap w:val="0"/>
            <w:vAlign w:val="center"/>
          </w:tcPr>
          <w:p w14:paraId="36DE62DB">
            <w:pPr>
              <w:widowControl/>
              <w:spacing w:line="520" w:lineRule="atLeast"/>
              <w:jc w:val="center"/>
              <w:rPr>
                <w:rFonts w:hint="eastAsia" w:ascii="宋体" w:hAnsi="宋体" w:eastAsia="宋体" w:cs="宋体"/>
                <w:bCs/>
                <w:color w:val="auto"/>
                <w:kern w:val="0"/>
                <w:sz w:val="24"/>
                <w:szCs w:val="22"/>
                <w:highlight w:val="none"/>
                <w:lang w:val="zh-CN" w:eastAsia="zh-CN" w:bidi="zh-CN"/>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D96D1F1">
            <w:pPr>
              <w:widowControl/>
              <w:spacing w:line="520" w:lineRule="atLeast"/>
              <w:jc w:val="center"/>
              <w:rPr>
                <w:rFonts w:hint="eastAsia" w:ascii="宋体" w:hAnsi="宋体" w:eastAsia="宋体" w:cs="宋体"/>
                <w:bCs/>
                <w:color w:val="auto"/>
                <w:kern w:val="0"/>
                <w:sz w:val="24"/>
                <w:szCs w:val="22"/>
                <w:highlight w:val="none"/>
                <w:lang w:val="zh-CN" w:eastAsia="zh-CN" w:bidi="zh-CN"/>
              </w:rPr>
            </w:pPr>
            <w:r>
              <w:rPr>
                <w:rFonts w:hint="eastAsia" w:ascii="宋体" w:hAnsi="宋体" w:eastAsia="宋体" w:cs="宋体"/>
                <w:bCs/>
                <w:color w:val="auto"/>
                <w:kern w:val="0"/>
                <w:sz w:val="24"/>
                <w:highlight w:val="none"/>
              </w:rPr>
              <w:t>电话</w:t>
            </w:r>
          </w:p>
        </w:tc>
        <w:tc>
          <w:tcPr>
            <w:tcW w:w="1859" w:type="dxa"/>
            <w:gridSpan w:val="2"/>
            <w:tcBorders>
              <w:top w:val="single" w:color="auto" w:sz="4" w:space="0"/>
              <w:left w:val="single" w:color="auto" w:sz="4" w:space="0"/>
              <w:bottom w:val="single" w:color="auto" w:sz="4" w:space="0"/>
              <w:right w:val="single" w:color="auto" w:sz="4" w:space="0"/>
            </w:tcBorders>
            <w:noWrap w:val="0"/>
            <w:vAlign w:val="center"/>
          </w:tcPr>
          <w:p w14:paraId="465854EB">
            <w:pPr>
              <w:wordWrap w:val="0"/>
              <w:spacing w:line="360" w:lineRule="auto"/>
              <w:jc w:val="center"/>
              <w:rPr>
                <w:rFonts w:hint="eastAsia"/>
                <w:color w:val="auto"/>
                <w:sz w:val="24"/>
                <w:highlight w:val="none"/>
              </w:rPr>
            </w:pPr>
          </w:p>
        </w:tc>
      </w:tr>
      <w:tr w14:paraId="27CC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bottom"/>
          </w:tcPr>
          <w:p w14:paraId="148FB36D">
            <w:pPr>
              <w:wordWrap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成立时间</w:t>
            </w:r>
          </w:p>
        </w:tc>
        <w:tc>
          <w:tcPr>
            <w:tcW w:w="2162" w:type="dxa"/>
            <w:gridSpan w:val="2"/>
            <w:tcBorders>
              <w:top w:val="single" w:color="auto" w:sz="4" w:space="0"/>
              <w:left w:val="single" w:color="auto" w:sz="4" w:space="0"/>
              <w:bottom w:val="single" w:color="auto" w:sz="4" w:space="0"/>
              <w:right w:val="single" w:color="auto" w:sz="4" w:space="0"/>
            </w:tcBorders>
            <w:noWrap w:val="0"/>
            <w:vAlign w:val="bottom"/>
          </w:tcPr>
          <w:p w14:paraId="19C4F48C">
            <w:pPr>
              <w:wordWrap w:val="0"/>
              <w:spacing w:line="360" w:lineRule="auto"/>
              <w:jc w:val="center"/>
              <w:rPr>
                <w:rFonts w:hint="eastAsia" w:ascii="宋体" w:hAnsi="宋体" w:eastAsia="宋体" w:cs="宋体"/>
                <w:color w:val="auto"/>
                <w:sz w:val="24"/>
                <w:highlight w:val="none"/>
              </w:rPr>
            </w:pPr>
          </w:p>
        </w:tc>
        <w:tc>
          <w:tcPr>
            <w:tcW w:w="2197" w:type="dxa"/>
            <w:gridSpan w:val="2"/>
            <w:tcBorders>
              <w:top w:val="single" w:color="auto" w:sz="4" w:space="0"/>
              <w:left w:val="single" w:color="auto" w:sz="4" w:space="0"/>
              <w:bottom w:val="single" w:color="auto" w:sz="4" w:space="0"/>
              <w:right w:val="single" w:color="auto" w:sz="4" w:space="0"/>
            </w:tcBorders>
            <w:noWrap w:val="0"/>
            <w:vAlign w:val="bottom"/>
          </w:tcPr>
          <w:p w14:paraId="74C9E96A">
            <w:pPr>
              <w:wordWrap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员工总人数</w:t>
            </w:r>
          </w:p>
        </w:tc>
        <w:tc>
          <w:tcPr>
            <w:tcW w:w="1859" w:type="dxa"/>
            <w:gridSpan w:val="2"/>
            <w:tcBorders>
              <w:top w:val="single" w:color="auto" w:sz="4" w:space="0"/>
              <w:left w:val="single" w:color="auto" w:sz="4" w:space="0"/>
              <w:bottom w:val="single" w:color="auto" w:sz="4" w:space="0"/>
              <w:right w:val="single" w:color="auto" w:sz="4" w:space="0"/>
            </w:tcBorders>
            <w:noWrap w:val="0"/>
            <w:vAlign w:val="center"/>
          </w:tcPr>
          <w:p w14:paraId="66FD46E9">
            <w:pPr>
              <w:wordWrap w:val="0"/>
              <w:spacing w:line="360" w:lineRule="auto"/>
              <w:rPr>
                <w:rFonts w:hint="eastAsia"/>
                <w:color w:val="auto"/>
                <w:sz w:val="24"/>
                <w:highlight w:val="none"/>
              </w:rPr>
            </w:pPr>
          </w:p>
        </w:tc>
      </w:tr>
      <w:tr w14:paraId="23CD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bottom"/>
          </w:tcPr>
          <w:p w14:paraId="45E39ED0">
            <w:pPr>
              <w:wordWrap w:val="0"/>
              <w:spacing w:line="360" w:lineRule="auto"/>
              <w:jc w:val="center"/>
              <w:rPr>
                <w:rFonts w:hint="eastAsia"/>
                <w:color w:val="auto"/>
                <w:sz w:val="24"/>
                <w:highlight w:val="none"/>
              </w:rPr>
            </w:pPr>
            <w:r>
              <w:rPr>
                <w:rFonts w:hint="eastAsia" w:ascii="Times New Roman" w:hAnsi="Times New Roman" w:eastAsia="宋体" w:cs="Times New Roman"/>
                <w:color w:val="auto"/>
                <w:sz w:val="24"/>
                <w:highlight w:val="none"/>
              </w:rPr>
              <w:t>统一社会信用代码</w:t>
            </w:r>
          </w:p>
        </w:tc>
        <w:tc>
          <w:tcPr>
            <w:tcW w:w="2162" w:type="dxa"/>
            <w:gridSpan w:val="2"/>
            <w:tcBorders>
              <w:top w:val="single" w:color="auto" w:sz="4" w:space="0"/>
              <w:left w:val="single" w:color="auto" w:sz="4" w:space="0"/>
              <w:bottom w:val="single" w:color="auto" w:sz="4" w:space="0"/>
              <w:right w:val="single" w:color="auto" w:sz="4" w:space="0"/>
            </w:tcBorders>
            <w:noWrap w:val="0"/>
            <w:vAlign w:val="bottom"/>
          </w:tcPr>
          <w:p w14:paraId="553FCBB4">
            <w:pPr>
              <w:wordWrap w:val="0"/>
              <w:spacing w:line="360" w:lineRule="auto"/>
              <w:jc w:val="center"/>
              <w:rPr>
                <w:rFonts w:hint="eastAsia"/>
                <w:color w:val="auto"/>
                <w:sz w:val="24"/>
                <w:highlight w:val="none"/>
              </w:rPr>
            </w:pPr>
          </w:p>
        </w:tc>
        <w:tc>
          <w:tcPr>
            <w:tcW w:w="2197" w:type="dxa"/>
            <w:gridSpan w:val="2"/>
            <w:tcBorders>
              <w:top w:val="single" w:color="auto" w:sz="4" w:space="0"/>
              <w:left w:val="single" w:color="auto" w:sz="4" w:space="0"/>
              <w:bottom w:val="single" w:color="auto" w:sz="4" w:space="0"/>
              <w:right w:val="single" w:color="auto" w:sz="4" w:space="0"/>
            </w:tcBorders>
            <w:noWrap w:val="0"/>
            <w:vAlign w:val="bottom"/>
          </w:tcPr>
          <w:p w14:paraId="28DBBA18">
            <w:pPr>
              <w:wordWrap w:val="0"/>
              <w:spacing w:line="360" w:lineRule="auto"/>
              <w:jc w:val="center"/>
              <w:rPr>
                <w:rFonts w:hint="eastAsia"/>
                <w:color w:val="auto"/>
                <w:sz w:val="24"/>
                <w:highlight w:val="none"/>
              </w:rPr>
            </w:pPr>
            <w:r>
              <w:rPr>
                <w:rFonts w:hint="eastAsia"/>
                <w:color w:val="auto"/>
                <w:sz w:val="24"/>
                <w:highlight w:val="none"/>
              </w:rPr>
              <w:t>注册资金</w:t>
            </w:r>
          </w:p>
        </w:tc>
        <w:tc>
          <w:tcPr>
            <w:tcW w:w="1859" w:type="dxa"/>
            <w:gridSpan w:val="2"/>
            <w:tcBorders>
              <w:top w:val="single" w:color="auto" w:sz="4" w:space="0"/>
              <w:left w:val="single" w:color="auto" w:sz="4" w:space="0"/>
              <w:bottom w:val="single" w:color="auto" w:sz="4" w:space="0"/>
              <w:right w:val="single" w:color="auto" w:sz="4" w:space="0"/>
            </w:tcBorders>
            <w:noWrap w:val="0"/>
            <w:vAlign w:val="center"/>
          </w:tcPr>
          <w:p w14:paraId="21BEA3B5">
            <w:pPr>
              <w:wordWrap w:val="0"/>
              <w:spacing w:line="360" w:lineRule="auto"/>
              <w:rPr>
                <w:rFonts w:hint="eastAsia"/>
                <w:color w:val="auto"/>
                <w:sz w:val="24"/>
                <w:highlight w:val="none"/>
              </w:rPr>
            </w:pPr>
          </w:p>
        </w:tc>
      </w:tr>
      <w:tr w14:paraId="4BAB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6764F8B9">
            <w:pPr>
              <w:wordWrap w:val="0"/>
              <w:spacing w:line="360" w:lineRule="auto"/>
              <w:jc w:val="center"/>
              <w:rPr>
                <w:rFonts w:hint="eastAsia"/>
                <w:color w:val="auto"/>
                <w:sz w:val="24"/>
                <w:highlight w:val="none"/>
              </w:rPr>
            </w:pPr>
            <w:r>
              <w:rPr>
                <w:rFonts w:hint="eastAsia"/>
                <w:color w:val="auto"/>
                <w:sz w:val="24"/>
                <w:highlight w:val="none"/>
              </w:rPr>
              <w:t>开户银行</w:t>
            </w:r>
            <w:r>
              <w:rPr>
                <w:rFonts w:hint="eastAsia"/>
                <w:color w:val="auto"/>
                <w:sz w:val="24"/>
                <w:highlight w:val="none"/>
                <w:lang w:eastAsia="zh-CN"/>
              </w:rPr>
              <w:t>及户名</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6EA283A0">
            <w:pPr>
              <w:wordWrap w:val="0"/>
              <w:spacing w:line="360" w:lineRule="auto"/>
              <w:rPr>
                <w:rFonts w:hint="eastAsia"/>
                <w:color w:val="auto"/>
                <w:sz w:val="24"/>
                <w:highlight w:val="none"/>
              </w:rPr>
            </w:pPr>
          </w:p>
        </w:tc>
      </w:tr>
      <w:tr w14:paraId="0A58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554449FA">
            <w:pPr>
              <w:wordWrap w:val="0"/>
              <w:spacing w:line="360" w:lineRule="auto"/>
              <w:jc w:val="center"/>
              <w:rPr>
                <w:rFonts w:hint="eastAsia"/>
                <w:color w:val="auto"/>
                <w:sz w:val="24"/>
                <w:highlight w:val="none"/>
              </w:rPr>
            </w:pPr>
            <w:r>
              <w:rPr>
                <w:rFonts w:hint="eastAsia"/>
                <w:color w:val="auto"/>
                <w:sz w:val="24"/>
                <w:highlight w:val="none"/>
              </w:rPr>
              <w:t>账号</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0C2BA8F9">
            <w:pPr>
              <w:wordWrap w:val="0"/>
              <w:spacing w:line="360" w:lineRule="auto"/>
              <w:rPr>
                <w:rFonts w:hint="eastAsia"/>
                <w:color w:val="auto"/>
                <w:sz w:val="24"/>
                <w:highlight w:val="none"/>
              </w:rPr>
            </w:pPr>
          </w:p>
        </w:tc>
      </w:tr>
      <w:tr w14:paraId="5942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center"/>
          </w:tcPr>
          <w:p w14:paraId="7F99A150">
            <w:pPr>
              <w:wordWrap w:val="0"/>
              <w:spacing w:line="360" w:lineRule="auto"/>
              <w:jc w:val="center"/>
              <w:rPr>
                <w:rFonts w:hint="eastAsia"/>
                <w:color w:val="auto"/>
                <w:sz w:val="24"/>
                <w:highlight w:val="none"/>
              </w:rPr>
            </w:pPr>
            <w:r>
              <w:rPr>
                <w:rFonts w:hint="eastAsia"/>
                <w:color w:val="auto"/>
                <w:sz w:val="24"/>
                <w:highlight w:val="none"/>
              </w:rPr>
              <w:t>经营范围</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46525E28">
            <w:pPr>
              <w:wordWrap w:val="0"/>
              <w:spacing w:line="360" w:lineRule="auto"/>
              <w:rPr>
                <w:rFonts w:hint="eastAsia"/>
                <w:color w:val="auto"/>
                <w:sz w:val="24"/>
                <w:highlight w:val="none"/>
              </w:rPr>
            </w:pPr>
          </w:p>
          <w:p w14:paraId="2C2C076E">
            <w:pPr>
              <w:pStyle w:val="39"/>
              <w:ind w:left="0" w:leftChars="0" w:firstLine="0" w:firstLineChars="0"/>
              <w:jc w:val="both"/>
              <w:rPr>
                <w:rFonts w:hint="eastAsia"/>
                <w:color w:val="auto"/>
                <w:sz w:val="24"/>
                <w:highlight w:val="none"/>
              </w:rPr>
            </w:pPr>
          </w:p>
          <w:p w14:paraId="2E6865FC">
            <w:pPr>
              <w:pStyle w:val="39"/>
              <w:rPr>
                <w:rFonts w:hint="eastAsia"/>
                <w:color w:val="auto"/>
                <w:sz w:val="24"/>
                <w:highlight w:val="none"/>
              </w:rPr>
            </w:pPr>
          </w:p>
        </w:tc>
      </w:tr>
      <w:tr w14:paraId="3FCB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2361" w:type="dxa"/>
            <w:tcBorders>
              <w:top w:val="single" w:color="auto" w:sz="4" w:space="0"/>
              <w:left w:val="single" w:color="auto" w:sz="4" w:space="0"/>
              <w:bottom w:val="single" w:color="auto" w:sz="4" w:space="0"/>
              <w:right w:val="single" w:color="auto" w:sz="4" w:space="0"/>
            </w:tcBorders>
            <w:noWrap w:val="0"/>
            <w:vAlign w:val="bottom"/>
          </w:tcPr>
          <w:p w14:paraId="255A0164">
            <w:pPr>
              <w:wordWrap w:val="0"/>
              <w:spacing w:line="360" w:lineRule="auto"/>
              <w:jc w:val="center"/>
              <w:rPr>
                <w:rFonts w:hint="eastAsia" w:eastAsia="宋体"/>
                <w:color w:val="auto"/>
                <w:sz w:val="24"/>
                <w:highlight w:val="none"/>
                <w:lang w:val="en-US" w:eastAsia="zh-CN"/>
              </w:rPr>
            </w:pPr>
            <w:r>
              <w:rPr>
                <w:rFonts w:hint="eastAsia"/>
                <w:color w:val="auto"/>
                <w:sz w:val="24"/>
                <w:highlight w:val="none"/>
                <w:lang w:val="en-US" w:eastAsia="zh-CN"/>
              </w:rPr>
              <w:t>备注</w:t>
            </w:r>
          </w:p>
        </w:tc>
        <w:tc>
          <w:tcPr>
            <w:tcW w:w="6218" w:type="dxa"/>
            <w:gridSpan w:val="6"/>
            <w:tcBorders>
              <w:top w:val="single" w:color="auto" w:sz="4" w:space="0"/>
              <w:left w:val="single" w:color="auto" w:sz="4" w:space="0"/>
              <w:bottom w:val="single" w:color="auto" w:sz="4" w:space="0"/>
              <w:right w:val="single" w:color="auto" w:sz="4" w:space="0"/>
            </w:tcBorders>
            <w:noWrap w:val="0"/>
            <w:vAlign w:val="center"/>
          </w:tcPr>
          <w:p w14:paraId="3D81A063">
            <w:pPr>
              <w:pStyle w:val="39"/>
              <w:rPr>
                <w:rFonts w:hint="eastAsia"/>
                <w:color w:val="auto"/>
                <w:sz w:val="24"/>
                <w:highlight w:val="none"/>
              </w:rPr>
            </w:pPr>
          </w:p>
        </w:tc>
      </w:tr>
    </w:tbl>
    <w:p w14:paraId="58907673">
      <w:pPr>
        <w:wordWrap w:val="0"/>
        <w:spacing w:beforeAutospacing="0" w:afterAutospacing="0" w:line="600" w:lineRule="exact"/>
        <w:ind w:firstLine="480" w:firstLineChars="200"/>
        <w:rPr>
          <w:rFonts w:hint="eastAsia" w:eastAsia="宋体" w:cs="宋体"/>
          <w:color w:val="auto"/>
          <w:sz w:val="24"/>
          <w:szCs w:val="24"/>
          <w:highlight w:val="none"/>
          <w:lang w:val="en-US" w:eastAsia="zh-CN"/>
        </w:rPr>
      </w:pPr>
      <w:r>
        <w:rPr>
          <w:rFonts w:hint="eastAsia" w:eastAsia="宋体" w:cs="宋体"/>
          <w:color w:val="auto"/>
          <w:sz w:val="24"/>
          <w:szCs w:val="24"/>
          <w:highlight w:val="none"/>
          <w:lang w:val="en-US" w:eastAsia="zh-CN"/>
        </w:rPr>
        <w:t>注：本表后附企业营业执照或其他证明材料。（如投标人为联合体投标，联合体各方需分别填写本表并附相关证件）</w:t>
      </w:r>
    </w:p>
    <w:p w14:paraId="5692513E">
      <w:pPr>
        <w:wordWrap w:val="0"/>
        <w:spacing w:beforeAutospacing="0" w:afterAutospacing="0" w:line="600" w:lineRule="exact"/>
        <w:ind w:firstLine="482" w:firstLineChars="200"/>
        <w:jc w:val="center"/>
        <w:rPr>
          <w:rFonts w:hint="eastAsia" w:ascii="新宋体" w:hAnsi="新宋体" w:eastAsia="新宋体"/>
          <w:b/>
          <w:color w:val="auto"/>
          <w:sz w:val="24"/>
          <w:szCs w:val="28"/>
          <w:highlight w:val="none"/>
        </w:rPr>
      </w:pPr>
      <w:r>
        <w:rPr>
          <w:rFonts w:hint="eastAsia" w:ascii="新宋体" w:hAnsi="新宋体" w:eastAsia="新宋体"/>
          <w:b/>
          <w:color w:val="auto"/>
          <w:sz w:val="24"/>
          <w:szCs w:val="28"/>
          <w:highlight w:val="none"/>
          <w:lang w:val="en-US" w:eastAsia="zh-CN"/>
        </w:rPr>
        <w:t>（二）</w:t>
      </w:r>
      <w:r>
        <w:rPr>
          <w:rFonts w:hint="eastAsia" w:ascii="新宋体" w:hAnsi="新宋体" w:eastAsia="新宋体"/>
          <w:b/>
          <w:color w:val="auto"/>
          <w:sz w:val="24"/>
          <w:szCs w:val="28"/>
          <w:highlight w:val="none"/>
        </w:rPr>
        <w:t>供应商资格</w:t>
      </w:r>
      <w:r>
        <w:rPr>
          <w:rFonts w:hint="eastAsia" w:ascii="新宋体" w:hAnsi="新宋体" w:eastAsia="新宋体"/>
          <w:b/>
          <w:color w:val="auto"/>
          <w:sz w:val="24"/>
          <w:szCs w:val="28"/>
          <w:highlight w:val="none"/>
          <w:lang w:eastAsia="zh-CN"/>
        </w:rPr>
        <w:t>审查</w:t>
      </w:r>
      <w:r>
        <w:rPr>
          <w:rFonts w:hint="eastAsia" w:ascii="新宋体" w:hAnsi="新宋体" w:eastAsia="新宋体"/>
          <w:b/>
          <w:color w:val="auto"/>
          <w:sz w:val="24"/>
          <w:szCs w:val="28"/>
          <w:highlight w:val="none"/>
        </w:rPr>
        <w:t>材料</w:t>
      </w:r>
    </w:p>
    <w:p w14:paraId="4EDBBA29">
      <w:pPr>
        <w:pStyle w:val="4"/>
        <w:keepNext w:val="0"/>
        <w:keepLines w:val="0"/>
        <w:pageBreakBefore w:val="0"/>
        <w:kinsoku/>
        <w:wordWrap w:val="0"/>
        <w:overflowPunct/>
        <w:topLinePunct w:val="0"/>
        <w:bidi w:val="0"/>
        <w:ind w:right="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（格式自拟，应逐页加盖</w:t>
      </w:r>
      <w:r>
        <w:rPr>
          <w:rFonts w:hint="eastAsia" w:ascii="宋体" w:hAnsi="宋体" w:eastAsia="宋体" w:cs="宋体"/>
          <w:b w:val="0"/>
          <w:bCs w:val="0"/>
          <w:color w:val="auto"/>
          <w:sz w:val="24"/>
          <w:szCs w:val="24"/>
          <w:highlight w:val="none"/>
          <w:lang w:eastAsia="zh-CN"/>
        </w:rPr>
        <w:t>公章</w:t>
      </w:r>
      <w:r>
        <w:rPr>
          <w:rFonts w:hint="eastAsia" w:ascii="宋体" w:hAnsi="宋体" w:eastAsia="宋体" w:cs="宋体"/>
          <w:b w:val="0"/>
          <w:bCs w:val="0"/>
          <w:color w:val="auto"/>
          <w:sz w:val="24"/>
          <w:szCs w:val="24"/>
          <w:highlight w:val="none"/>
        </w:rPr>
        <w:t>电子签章）</w:t>
      </w:r>
    </w:p>
    <w:p w14:paraId="7A0B8A3E">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6E065FC7">
      <w:pPr>
        <w:pStyle w:val="28"/>
        <w:rPr>
          <w:rFonts w:hint="eastAsia" w:ascii="宋体" w:hAnsi="宋体" w:eastAsia="宋体"/>
          <w:color w:val="auto"/>
          <w:sz w:val="28"/>
          <w:szCs w:val="24"/>
          <w:highlight w:val="none"/>
          <w:lang w:eastAsia="zh-CN"/>
        </w:rPr>
      </w:pPr>
      <w:r>
        <w:rPr>
          <w:rFonts w:hint="eastAsia"/>
          <w:bCs/>
          <w:color w:val="auto"/>
          <w:sz w:val="24"/>
          <w:szCs w:val="21"/>
          <w:highlight w:val="none"/>
          <w:lang w:val="en-US" w:eastAsia="zh-CN"/>
        </w:rPr>
        <w:t xml:space="preserve"> </w:t>
      </w:r>
    </w:p>
    <w:p w14:paraId="14AA5805">
      <w:pPr>
        <w:pStyle w:val="33"/>
        <w:rPr>
          <w:rFonts w:ascii="宋体" w:hAnsi="宋体" w:eastAsia="宋体"/>
          <w:color w:val="auto"/>
          <w:sz w:val="28"/>
          <w:szCs w:val="24"/>
          <w:highlight w:val="none"/>
        </w:rPr>
      </w:pPr>
    </w:p>
    <w:p w14:paraId="64F453DC">
      <w:pPr>
        <w:pStyle w:val="33"/>
        <w:rPr>
          <w:rFonts w:ascii="宋体" w:hAnsi="宋体" w:eastAsia="宋体"/>
          <w:color w:val="auto"/>
          <w:sz w:val="28"/>
          <w:szCs w:val="24"/>
          <w:highlight w:val="none"/>
        </w:rPr>
      </w:pPr>
    </w:p>
    <w:p w14:paraId="6D6EC14F">
      <w:pPr>
        <w:pStyle w:val="28"/>
        <w:rPr>
          <w:color w:val="auto"/>
          <w:highlight w:val="none"/>
        </w:rPr>
      </w:pPr>
    </w:p>
    <w:p w14:paraId="2B2077E5">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153776E1">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3F49539A">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652315A4">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50B63BE9">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5FF67F53">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7AD46112">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1AE1B826">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7CE00B45">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64AA1783">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1CCD6159">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0B3EFED7">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214DDD9F">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51915AC8">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77B173BC">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2FB4EA92">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7CB80534">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lang w:eastAsia="zh-CN"/>
        </w:rPr>
      </w:pPr>
      <w:r>
        <w:rPr>
          <w:rFonts w:hint="eastAsia" w:ascii="宋体" w:hAnsi="宋体"/>
          <w:b/>
          <w:bCs/>
          <w:color w:val="auto"/>
          <w:kern w:val="0"/>
          <w:sz w:val="36"/>
          <w:szCs w:val="36"/>
          <w:highlight w:val="none"/>
          <w:lang w:val="en-US" w:eastAsia="zh-CN"/>
        </w:rPr>
        <w:t>七</w:t>
      </w:r>
      <w:r>
        <w:rPr>
          <w:rFonts w:hint="eastAsia" w:ascii="宋体" w:hAnsi="宋体" w:eastAsia="宋体"/>
          <w:b/>
          <w:bCs/>
          <w:color w:val="auto"/>
          <w:kern w:val="0"/>
          <w:sz w:val="36"/>
          <w:szCs w:val="36"/>
          <w:highlight w:val="none"/>
        </w:rPr>
        <w:t>、</w:t>
      </w:r>
      <w:r>
        <w:rPr>
          <w:rFonts w:hint="eastAsia" w:ascii="宋体" w:hAnsi="宋体" w:eastAsia="宋体"/>
          <w:b/>
          <w:bCs/>
          <w:color w:val="auto"/>
          <w:kern w:val="0"/>
          <w:sz w:val="36"/>
          <w:szCs w:val="36"/>
          <w:highlight w:val="none"/>
          <w:lang w:eastAsia="zh-CN"/>
        </w:rPr>
        <w:t>技术标</w:t>
      </w:r>
    </w:p>
    <w:p w14:paraId="5B8A9DB0">
      <w:pPr>
        <w:wordWrap w:val="0"/>
        <w:spacing w:beforeAutospacing="0" w:afterAutospacing="0" w:line="600" w:lineRule="exact"/>
        <w:ind w:firstLine="480" w:firstLineChars="200"/>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此项格式自理，内容应包括但不限制于评分办法提到的内容。</w:t>
      </w:r>
    </w:p>
    <w:p w14:paraId="0C91EFF2">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6F942BFD">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66EB5A1C">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0352708F">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642EBCCA">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419B2589">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1ABD206C">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79F812FD">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2C76880A">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6BDB0348">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178225AC">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26E016B3">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4D5E76C7">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36E91631">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059A7601">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2068C6C5">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4AF68239">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0AD16324">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23C0BBBE">
      <w:pPr>
        <w:pStyle w:val="40"/>
        <w:rPr>
          <w:rFonts w:ascii="宋体" w:hAnsi="宋体" w:eastAsia="宋体"/>
          <w:b/>
          <w:bCs/>
          <w:color w:val="auto"/>
          <w:kern w:val="0"/>
          <w:sz w:val="28"/>
          <w:szCs w:val="28"/>
          <w:highlight w:val="none"/>
        </w:rPr>
      </w:pPr>
    </w:p>
    <w:p w14:paraId="71130AD3">
      <w:pPr>
        <w:pStyle w:val="40"/>
        <w:rPr>
          <w:rFonts w:ascii="宋体" w:hAnsi="宋体" w:eastAsia="宋体"/>
          <w:b/>
          <w:bCs/>
          <w:color w:val="auto"/>
          <w:kern w:val="0"/>
          <w:sz w:val="28"/>
          <w:szCs w:val="28"/>
          <w:highlight w:val="none"/>
        </w:rPr>
      </w:pPr>
    </w:p>
    <w:p w14:paraId="2FE71BB7">
      <w:pPr>
        <w:pStyle w:val="40"/>
        <w:rPr>
          <w:rFonts w:ascii="宋体" w:hAnsi="宋体" w:eastAsia="宋体"/>
          <w:b/>
          <w:bCs/>
          <w:color w:val="auto"/>
          <w:kern w:val="0"/>
          <w:sz w:val="28"/>
          <w:szCs w:val="28"/>
          <w:highlight w:val="none"/>
        </w:rPr>
      </w:pPr>
    </w:p>
    <w:p w14:paraId="3CD8BF48">
      <w:pPr>
        <w:wordWrap w:val="0"/>
        <w:spacing w:beforeAutospacing="0" w:afterAutospacing="0" w:line="600" w:lineRule="exact"/>
        <w:jc w:val="center"/>
        <w:rPr>
          <w:rFonts w:hint="eastAsia" w:ascii="宋体" w:hAnsi="宋体" w:eastAsia="宋体"/>
          <w:b/>
          <w:bCs/>
          <w:color w:val="auto"/>
          <w:kern w:val="0"/>
          <w:sz w:val="36"/>
          <w:szCs w:val="36"/>
          <w:highlight w:val="none"/>
          <w:lang w:eastAsia="zh-CN"/>
        </w:rPr>
      </w:pPr>
      <w:r>
        <w:rPr>
          <w:rFonts w:hint="eastAsia" w:ascii="宋体" w:hAnsi="宋体"/>
          <w:b/>
          <w:bCs/>
          <w:color w:val="auto"/>
          <w:kern w:val="0"/>
          <w:sz w:val="36"/>
          <w:szCs w:val="36"/>
          <w:highlight w:val="none"/>
          <w:lang w:val="en-US" w:eastAsia="zh-CN"/>
        </w:rPr>
        <w:t>八</w:t>
      </w:r>
      <w:r>
        <w:rPr>
          <w:rFonts w:hint="eastAsia" w:ascii="宋体" w:hAnsi="宋体" w:eastAsia="宋体"/>
          <w:b/>
          <w:bCs/>
          <w:color w:val="auto"/>
          <w:kern w:val="0"/>
          <w:sz w:val="36"/>
          <w:szCs w:val="36"/>
          <w:highlight w:val="none"/>
        </w:rPr>
        <w:t>、</w:t>
      </w:r>
      <w:r>
        <w:rPr>
          <w:rFonts w:hint="eastAsia" w:ascii="宋体" w:hAnsi="宋体" w:eastAsia="宋体"/>
          <w:b/>
          <w:bCs/>
          <w:color w:val="auto"/>
          <w:kern w:val="0"/>
          <w:sz w:val="36"/>
          <w:szCs w:val="36"/>
          <w:highlight w:val="none"/>
          <w:lang w:eastAsia="zh-CN"/>
        </w:rPr>
        <w:t>综合标</w:t>
      </w:r>
    </w:p>
    <w:p w14:paraId="595736AF">
      <w:pPr>
        <w:spacing w:line="480" w:lineRule="exact"/>
        <w:jc w:val="center"/>
        <w:outlineLvl w:val="0"/>
        <w:rPr>
          <w:rFonts w:hint="eastAsia" w:ascii="宋体" w:hAnsi="宋体" w:cs="宋体"/>
          <w:b w:val="0"/>
          <w:bCs/>
          <w:color w:val="auto"/>
          <w:sz w:val="24"/>
          <w:szCs w:val="24"/>
          <w:highlight w:val="none"/>
        </w:rPr>
      </w:pPr>
      <w:bookmarkStart w:id="236" w:name="_Toc9651"/>
      <w:r>
        <w:rPr>
          <w:rFonts w:hint="eastAsia" w:ascii="宋体" w:hAnsi="宋体" w:cs="宋体"/>
          <w:b w:val="0"/>
          <w:bCs/>
          <w:color w:val="auto"/>
          <w:sz w:val="24"/>
          <w:szCs w:val="24"/>
          <w:highlight w:val="none"/>
        </w:rPr>
        <w:t>（格式自拟，内容应包括但不限制于评分办法提到的内容）</w:t>
      </w:r>
      <w:bookmarkEnd w:id="236"/>
    </w:p>
    <w:p w14:paraId="642377ED">
      <w:pPr>
        <w:wordWrap w:val="0"/>
        <w:spacing w:beforeAutospacing="0" w:afterAutospacing="0" w:line="600" w:lineRule="exact"/>
        <w:ind w:firstLine="562" w:firstLineChars="200"/>
        <w:jc w:val="center"/>
        <w:rPr>
          <w:rFonts w:ascii="宋体" w:hAnsi="宋体" w:eastAsia="宋体"/>
          <w:b/>
          <w:bCs/>
          <w:color w:val="auto"/>
          <w:kern w:val="0"/>
          <w:sz w:val="28"/>
          <w:szCs w:val="28"/>
          <w:highlight w:val="none"/>
        </w:rPr>
      </w:pPr>
    </w:p>
    <w:p w14:paraId="084D96BA">
      <w:pPr>
        <w:wordWrap w:val="0"/>
        <w:spacing w:beforeAutospacing="0" w:afterAutospacing="0" w:line="600" w:lineRule="exact"/>
        <w:ind w:firstLine="480" w:firstLineChars="200"/>
        <w:rPr>
          <w:rFonts w:hint="eastAsia" w:ascii="宋体" w:hAnsi="宋体" w:eastAsia="宋体"/>
          <w:color w:val="auto"/>
          <w:kern w:val="0"/>
          <w:sz w:val="24"/>
          <w:szCs w:val="28"/>
          <w:highlight w:val="none"/>
        </w:rPr>
      </w:pPr>
    </w:p>
    <w:p w14:paraId="357A8EE6">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456242F5">
      <w:pPr>
        <w:wordWrap w:val="0"/>
        <w:spacing w:beforeAutospacing="0" w:afterAutospacing="0" w:line="600" w:lineRule="exact"/>
        <w:ind w:firstLine="723" w:firstLineChars="200"/>
        <w:jc w:val="center"/>
        <w:rPr>
          <w:rFonts w:hint="eastAsia" w:ascii="宋体" w:hAnsi="宋体" w:eastAsia="宋体"/>
          <w:b/>
          <w:bCs/>
          <w:color w:val="auto"/>
          <w:kern w:val="0"/>
          <w:sz w:val="36"/>
          <w:szCs w:val="36"/>
          <w:highlight w:val="none"/>
        </w:rPr>
      </w:pPr>
    </w:p>
    <w:p w14:paraId="6A75003B">
      <w:pPr>
        <w:wordWrap w:val="0"/>
        <w:spacing w:beforeAutospacing="0" w:afterAutospacing="0" w:line="600" w:lineRule="exact"/>
        <w:jc w:val="center"/>
        <w:rPr>
          <w:rFonts w:hint="eastAsia" w:ascii="宋体" w:hAnsi="宋体" w:eastAsia="宋体"/>
          <w:b/>
          <w:bCs/>
          <w:color w:val="auto"/>
          <w:kern w:val="0"/>
          <w:sz w:val="36"/>
          <w:szCs w:val="36"/>
          <w:highlight w:val="none"/>
        </w:rPr>
      </w:pPr>
    </w:p>
    <w:p w14:paraId="0B4E7EF0">
      <w:pPr>
        <w:wordWrap w:val="0"/>
        <w:spacing w:beforeAutospacing="0" w:afterAutospacing="0" w:line="600" w:lineRule="exact"/>
        <w:jc w:val="center"/>
        <w:rPr>
          <w:rFonts w:hint="eastAsia" w:ascii="宋体" w:hAnsi="宋体" w:eastAsia="宋体"/>
          <w:b/>
          <w:bCs/>
          <w:color w:val="auto"/>
          <w:kern w:val="0"/>
          <w:sz w:val="36"/>
          <w:szCs w:val="36"/>
          <w:highlight w:val="none"/>
        </w:rPr>
        <w:sectPr>
          <w:footerReference r:id="rId14" w:type="default"/>
          <w:pgSz w:w="11906" w:h="16838"/>
          <w:pgMar w:top="1361" w:right="1077" w:bottom="1361" w:left="1077" w:header="851" w:footer="964" w:gutter="0"/>
          <w:pgNumType w:fmt="decimal"/>
          <w:cols w:space="720" w:num="1"/>
          <w:docGrid w:type="lines" w:linePitch="312" w:charSpace="0"/>
        </w:sectPr>
      </w:pPr>
    </w:p>
    <w:p w14:paraId="6A8D8119">
      <w:pPr>
        <w:pStyle w:val="40"/>
        <w:rPr>
          <w:rFonts w:hint="eastAsia"/>
          <w:color w:val="auto"/>
          <w:highlight w:val="none"/>
        </w:rPr>
      </w:pPr>
    </w:p>
    <w:p w14:paraId="274CFF33">
      <w:pPr>
        <w:wordWrap w:val="0"/>
        <w:spacing w:beforeAutospacing="0" w:afterAutospacing="0" w:line="600" w:lineRule="exact"/>
        <w:jc w:val="center"/>
        <w:rPr>
          <w:rFonts w:hint="eastAsia" w:ascii="宋体" w:hAnsi="宋体" w:eastAsia="宋体"/>
          <w:b/>
          <w:bCs/>
          <w:color w:val="auto"/>
          <w:kern w:val="0"/>
          <w:sz w:val="36"/>
          <w:szCs w:val="36"/>
          <w:highlight w:val="none"/>
          <w:lang w:val="en-US" w:eastAsia="zh-CN"/>
        </w:rPr>
      </w:pPr>
      <w:r>
        <w:rPr>
          <w:rFonts w:hint="eastAsia" w:ascii="宋体" w:hAnsi="宋体" w:eastAsia="宋体"/>
          <w:b/>
          <w:bCs/>
          <w:color w:val="auto"/>
          <w:kern w:val="0"/>
          <w:sz w:val="36"/>
          <w:szCs w:val="36"/>
          <w:highlight w:val="none"/>
          <w:lang w:val="en-US" w:eastAsia="zh-CN"/>
        </w:rPr>
        <w:t>九、其他资料</w:t>
      </w:r>
    </w:p>
    <w:p w14:paraId="5B99C565">
      <w:pPr>
        <w:wordWrap w:val="0"/>
        <w:spacing w:beforeAutospacing="0" w:afterAutospacing="0" w:line="600" w:lineRule="exact"/>
        <w:jc w:val="center"/>
        <w:rPr>
          <w:rFonts w:hint="eastAsia" w:ascii="宋体" w:hAnsi="宋体" w:eastAsia="宋体" w:cs="仿宋"/>
          <w:b w:val="0"/>
          <w:bCs/>
          <w:color w:val="auto"/>
          <w:kern w:val="2"/>
          <w:sz w:val="24"/>
          <w:szCs w:val="24"/>
          <w:highlight w:val="none"/>
        </w:rPr>
      </w:pPr>
      <w:r>
        <w:rPr>
          <w:rFonts w:hint="eastAsia" w:ascii="宋体" w:hAnsi="宋体" w:eastAsia="宋体" w:cs="仿宋"/>
          <w:b w:val="0"/>
          <w:bCs/>
          <w:color w:val="auto"/>
          <w:kern w:val="2"/>
          <w:sz w:val="24"/>
          <w:szCs w:val="24"/>
          <w:highlight w:val="none"/>
        </w:rPr>
        <w:t>（</w:t>
      </w:r>
      <w:bookmarkStart w:id="237" w:name="投标人可根据招标要求或自身情况附加其他材料。"/>
      <w:bookmarkEnd w:id="237"/>
      <w:r>
        <w:rPr>
          <w:rFonts w:hint="eastAsia" w:ascii="宋体" w:hAnsi="宋体" w:eastAsia="宋体" w:cs="仿宋"/>
          <w:b w:val="0"/>
          <w:bCs/>
          <w:color w:val="auto"/>
          <w:kern w:val="2"/>
          <w:sz w:val="24"/>
          <w:szCs w:val="24"/>
          <w:highlight w:val="none"/>
        </w:rPr>
        <w:t>投标供应商认为应附的其它相关资料</w:t>
      </w:r>
      <w:r>
        <w:rPr>
          <w:rFonts w:hint="eastAsia" w:ascii="宋体" w:hAnsi="宋体" w:eastAsia="宋体" w:cs="仿宋"/>
          <w:b w:val="0"/>
          <w:bCs/>
          <w:color w:val="auto"/>
          <w:kern w:val="2"/>
          <w:sz w:val="24"/>
          <w:szCs w:val="24"/>
          <w:highlight w:val="none"/>
          <w:lang w:eastAsia="zh-CN"/>
        </w:rPr>
        <w:t>，</w:t>
      </w:r>
      <w:r>
        <w:rPr>
          <w:rFonts w:hint="eastAsia" w:ascii="宋体" w:hAnsi="宋体" w:eastAsia="宋体" w:cs="仿宋"/>
          <w:b w:val="0"/>
          <w:bCs/>
          <w:color w:val="auto"/>
          <w:kern w:val="2"/>
          <w:sz w:val="24"/>
          <w:szCs w:val="24"/>
          <w:highlight w:val="none"/>
        </w:rPr>
        <w:t>格式自拟）</w:t>
      </w:r>
    </w:p>
    <w:p w14:paraId="54813C3C">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6045D230">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3DA079E6">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651F2C72">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58A7BB0B">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44781510">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5755AD47">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6D6DBAFC">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1750496A">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79CE5379">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146260B0">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1F72AE40">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437B735A">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5DD1B5EF">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7E4C70A7">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563256F8">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77126753">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221B6DC4">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2B7FD866">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2FA80462">
      <w:pPr>
        <w:wordWrap w:val="0"/>
        <w:spacing w:beforeAutospacing="0" w:afterAutospacing="0" w:line="600" w:lineRule="exact"/>
        <w:ind w:firstLine="723" w:firstLineChars="200"/>
        <w:jc w:val="center"/>
        <w:rPr>
          <w:rFonts w:ascii="宋体" w:hAnsi="宋体" w:eastAsia="宋体"/>
          <w:b/>
          <w:bCs/>
          <w:color w:val="auto"/>
          <w:kern w:val="0"/>
          <w:sz w:val="36"/>
          <w:szCs w:val="36"/>
          <w:highlight w:val="none"/>
        </w:rPr>
      </w:pPr>
    </w:p>
    <w:p w14:paraId="21259140">
      <w:pPr>
        <w:rPr>
          <w:rFonts w:hint="eastAsia" w:ascii="宋体" w:hAnsi="宋体"/>
          <w:b/>
          <w:bCs/>
          <w:color w:val="auto"/>
          <w:sz w:val="24"/>
          <w:szCs w:val="24"/>
          <w:highlight w:val="none"/>
        </w:rPr>
      </w:pPr>
    </w:p>
    <w:p w14:paraId="78243190">
      <w:pPr>
        <w:rPr>
          <w:rFonts w:hint="eastAsia" w:ascii="宋体" w:hAnsi="宋体"/>
          <w:b/>
          <w:bCs/>
          <w:color w:val="auto"/>
          <w:sz w:val="24"/>
          <w:szCs w:val="24"/>
          <w:highlight w:val="none"/>
        </w:rPr>
      </w:pPr>
      <w:r>
        <w:rPr>
          <w:rFonts w:hint="eastAsia" w:ascii="宋体" w:hAnsi="宋体"/>
          <w:b/>
          <w:bCs/>
          <w:color w:val="auto"/>
          <w:sz w:val="24"/>
          <w:szCs w:val="24"/>
          <w:highlight w:val="none"/>
        </w:rPr>
        <w:t>附件</w:t>
      </w:r>
    </w:p>
    <w:p w14:paraId="5D421625">
      <w:pPr>
        <w:spacing w:line="360" w:lineRule="auto"/>
        <w:jc w:val="center"/>
        <w:outlineLvl w:val="1"/>
        <w:rPr>
          <w:rFonts w:hint="eastAsia" w:ascii="宋体" w:hAnsi="宋体" w:cs="宋体"/>
          <w:b/>
          <w:bCs/>
          <w:color w:val="auto"/>
          <w:sz w:val="32"/>
          <w:szCs w:val="32"/>
          <w:highlight w:val="none"/>
        </w:rPr>
      </w:pPr>
      <w:bookmarkStart w:id="238" w:name="_Toc15511"/>
      <w:r>
        <w:rPr>
          <w:rFonts w:hint="eastAsia" w:ascii="宋体" w:hAnsi="宋体" w:cs="宋体"/>
          <w:b/>
          <w:bCs/>
          <w:color w:val="auto"/>
          <w:sz w:val="32"/>
          <w:szCs w:val="32"/>
          <w:highlight w:val="none"/>
        </w:rPr>
        <w:t>中小企业声明函（服务）（如有）</w:t>
      </w:r>
      <w:bookmarkEnd w:id="238"/>
    </w:p>
    <w:p w14:paraId="4184D1FE">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本公司（联合体）郑重声明，根据《政府采购促进中小企业发展管理办法》（财库﹝2020﹞46号）的规定，本公司 （联合体）参加</w:t>
      </w:r>
      <w:r>
        <w:rPr>
          <w:rFonts w:hint="eastAsia" w:ascii="宋体" w:hAnsi="宋体" w:eastAsia="宋体" w:cs="宋体"/>
          <w:color w:val="auto"/>
          <w:kern w:val="0"/>
          <w:sz w:val="24"/>
          <w:szCs w:val="24"/>
          <w:highlight w:val="none"/>
          <w:u w:val="single"/>
        </w:rPr>
        <w:t>（单位名称）</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u w:val="single"/>
        </w:rPr>
        <w:t>（项目名称）</w:t>
      </w:r>
      <w:r>
        <w:rPr>
          <w:rFonts w:hint="eastAsia" w:ascii="宋体" w:hAnsi="宋体" w:eastAsia="宋体" w:cs="宋体"/>
          <w:color w:val="auto"/>
          <w:kern w:val="0"/>
          <w:sz w:val="24"/>
          <w:szCs w:val="24"/>
          <w:highlight w:val="none"/>
        </w:rPr>
        <w:t>采购活动，提供的</w:t>
      </w:r>
      <w:r>
        <w:rPr>
          <w:rFonts w:hint="eastAsia" w:ascii="宋体" w:hAnsi="宋体" w:eastAsia="宋体" w:cs="宋体"/>
          <w:color w:val="auto"/>
          <w:kern w:val="0"/>
          <w:sz w:val="24"/>
          <w:szCs w:val="24"/>
          <w:highlight w:val="none"/>
          <w:lang w:eastAsia="zh-CN"/>
        </w:rPr>
        <w:t>服务</w:t>
      </w:r>
      <w:r>
        <w:rPr>
          <w:rFonts w:hint="eastAsia" w:ascii="宋体" w:hAnsi="宋体" w:eastAsia="宋体" w:cs="宋体"/>
          <w:color w:val="auto"/>
          <w:kern w:val="0"/>
          <w:sz w:val="24"/>
          <w:szCs w:val="24"/>
          <w:highlight w:val="none"/>
        </w:rPr>
        <w:t xml:space="preserve">全部由符合政策要求的中小企业制造。相关企业（含联合体中的中小企业、签订分包意向协议的中小企业） 的具体情况如下： </w:t>
      </w:r>
    </w:p>
    <w:p w14:paraId="47ADD4D1">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u w:val="single"/>
        </w:rPr>
        <w:t xml:space="preserve">（标的名称） </w:t>
      </w:r>
      <w:r>
        <w:rPr>
          <w:rFonts w:hint="eastAsia" w:ascii="宋体" w:hAnsi="宋体" w:eastAsia="宋体" w:cs="宋体"/>
          <w:color w:val="auto"/>
          <w:kern w:val="0"/>
          <w:sz w:val="24"/>
          <w:szCs w:val="24"/>
          <w:highlight w:val="none"/>
        </w:rPr>
        <w:t>，属于</w:t>
      </w:r>
      <w:r>
        <w:rPr>
          <w:rFonts w:hint="eastAsia" w:ascii="宋体" w:hAnsi="宋体" w:eastAsia="宋体" w:cs="宋体"/>
          <w:color w:val="auto"/>
          <w:kern w:val="0"/>
          <w:sz w:val="24"/>
          <w:szCs w:val="24"/>
          <w:highlight w:val="none"/>
          <w:u w:val="single"/>
        </w:rPr>
        <w:t xml:space="preserve">（采购文件中明确的所属行业） </w:t>
      </w:r>
      <w:r>
        <w:rPr>
          <w:rFonts w:hint="eastAsia" w:ascii="宋体" w:hAnsi="宋体" w:eastAsia="宋体" w:cs="宋体"/>
          <w:color w:val="auto"/>
          <w:kern w:val="0"/>
          <w:sz w:val="24"/>
          <w:szCs w:val="24"/>
          <w:highlight w:val="none"/>
        </w:rPr>
        <w:t>行业；制造商为</w:t>
      </w:r>
      <w:r>
        <w:rPr>
          <w:rFonts w:hint="eastAsia" w:ascii="宋体" w:hAnsi="宋体" w:eastAsia="宋体" w:cs="宋体"/>
          <w:color w:val="auto"/>
          <w:kern w:val="0"/>
          <w:sz w:val="24"/>
          <w:szCs w:val="24"/>
          <w:highlight w:val="none"/>
          <w:u w:val="single"/>
        </w:rPr>
        <w:t>（企业名称）</w:t>
      </w:r>
      <w:r>
        <w:rPr>
          <w:rFonts w:hint="eastAsia" w:ascii="宋体" w:hAnsi="宋体" w:eastAsia="宋体" w:cs="宋体"/>
          <w:color w:val="auto"/>
          <w:kern w:val="0"/>
          <w:sz w:val="24"/>
          <w:szCs w:val="24"/>
          <w:highlight w:val="none"/>
        </w:rPr>
        <w:t>，从业人员</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人，营业收入为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万元，资产总额为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万元，属于</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（中型企业、小 型企业、微型企业）</w:t>
      </w:r>
      <w:r>
        <w:rPr>
          <w:rFonts w:hint="eastAsia" w:ascii="宋体" w:hAnsi="宋体" w:eastAsia="宋体" w:cs="宋体"/>
          <w:color w:val="auto"/>
          <w:kern w:val="0"/>
          <w:sz w:val="24"/>
          <w:szCs w:val="24"/>
          <w:highlight w:val="none"/>
        </w:rPr>
        <w:t xml:space="preserve">； </w:t>
      </w:r>
    </w:p>
    <w:p w14:paraId="2495B36F">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u w:val="single"/>
        </w:rPr>
        <w:t xml:space="preserve">（标的名称） </w:t>
      </w:r>
      <w:r>
        <w:rPr>
          <w:rFonts w:hint="eastAsia" w:ascii="宋体" w:hAnsi="宋体" w:eastAsia="宋体" w:cs="宋体"/>
          <w:color w:val="auto"/>
          <w:kern w:val="0"/>
          <w:sz w:val="24"/>
          <w:szCs w:val="24"/>
          <w:highlight w:val="none"/>
        </w:rPr>
        <w:t>，属于</w:t>
      </w:r>
      <w:r>
        <w:rPr>
          <w:rFonts w:hint="eastAsia" w:ascii="宋体" w:hAnsi="宋体" w:eastAsia="宋体" w:cs="宋体"/>
          <w:color w:val="auto"/>
          <w:kern w:val="0"/>
          <w:sz w:val="24"/>
          <w:szCs w:val="24"/>
          <w:highlight w:val="none"/>
          <w:u w:val="single"/>
        </w:rPr>
        <w:t>（采购文件中明确的所属行业）</w:t>
      </w:r>
      <w:r>
        <w:rPr>
          <w:rFonts w:hint="eastAsia" w:ascii="宋体" w:hAnsi="宋体" w:eastAsia="宋体" w:cs="宋体"/>
          <w:color w:val="auto"/>
          <w:kern w:val="0"/>
          <w:sz w:val="24"/>
          <w:szCs w:val="24"/>
          <w:highlight w:val="none"/>
        </w:rPr>
        <w:t>行业；制造商为</w:t>
      </w:r>
      <w:r>
        <w:rPr>
          <w:rFonts w:hint="eastAsia" w:ascii="宋体" w:hAnsi="宋体" w:eastAsia="宋体" w:cs="宋体"/>
          <w:color w:val="auto"/>
          <w:kern w:val="0"/>
          <w:sz w:val="24"/>
          <w:szCs w:val="24"/>
          <w:highlight w:val="none"/>
          <w:u w:val="single"/>
        </w:rPr>
        <w:t>（企业名称），</w:t>
      </w:r>
      <w:r>
        <w:rPr>
          <w:rFonts w:hint="eastAsia" w:ascii="宋体" w:hAnsi="宋体" w:eastAsia="宋体" w:cs="宋体"/>
          <w:color w:val="auto"/>
          <w:kern w:val="0"/>
          <w:sz w:val="24"/>
          <w:szCs w:val="24"/>
          <w:highlight w:val="none"/>
        </w:rPr>
        <w:t>从业人员</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人，营业收入为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万元，资产总额为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万元，属于</w:t>
      </w:r>
      <w:r>
        <w:rPr>
          <w:rFonts w:hint="eastAsia" w:ascii="宋体" w:hAnsi="宋体" w:eastAsia="宋体" w:cs="宋体"/>
          <w:color w:val="auto"/>
          <w:kern w:val="0"/>
          <w:sz w:val="24"/>
          <w:szCs w:val="24"/>
          <w:highlight w:val="none"/>
          <w:u w:val="single"/>
        </w:rPr>
        <w:t>（中型企业、小型企业、微型企业）</w:t>
      </w:r>
      <w:r>
        <w:rPr>
          <w:rFonts w:hint="eastAsia" w:ascii="宋体" w:hAnsi="宋体" w:eastAsia="宋体" w:cs="宋体"/>
          <w:color w:val="auto"/>
          <w:kern w:val="0"/>
          <w:sz w:val="24"/>
          <w:szCs w:val="24"/>
          <w:highlight w:val="none"/>
        </w:rPr>
        <w:t xml:space="preserve">； </w:t>
      </w:r>
    </w:p>
    <w:p w14:paraId="5696D7B5">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p w14:paraId="289D0E22">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以上企业，不属于大企业的分支机构，不存在控股股东为大企业的情形，也不存在与大企业的负责人为同一人的情形。</w:t>
      </w:r>
    </w:p>
    <w:p w14:paraId="075F289D">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本企业对上述声明内容的真实性负责。如有虚假，将依法承担相应责任。 </w:t>
      </w:r>
    </w:p>
    <w:p w14:paraId="6EE46975">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kern w:val="0"/>
          <w:sz w:val="24"/>
          <w:szCs w:val="24"/>
          <w:highlight w:val="none"/>
        </w:rPr>
      </w:pPr>
    </w:p>
    <w:p w14:paraId="69576362">
      <w:pPr>
        <w:keepNext w:val="0"/>
        <w:keepLines w:val="0"/>
        <w:pageBreakBefore w:val="0"/>
        <w:widowControl/>
        <w:kinsoku/>
        <w:wordWrap/>
        <w:overflowPunct/>
        <w:topLinePunct w:val="0"/>
        <w:autoSpaceDE/>
        <w:autoSpaceDN/>
        <w:bidi w:val="0"/>
        <w:adjustRightInd/>
        <w:snapToGrid/>
        <w:spacing w:line="460" w:lineRule="exact"/>
        <w:ind w:firstLine="6240" w:firstLineChars="26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企业名称（</w:t>
      </w:r>
      <w:r>
        <w:rPr>
          <w:rFonts w:hint="eastAsia" w:ascii="宋体" w:hAnsi="宋体" w:cs="宋体"/>
          <w:color w:val="auto"/>
          <w:sz w:val="24"/>
          <w:szCs w:val="24"/>
          <w:highlight w:val="none"/>
        </w:rPr>
        <w:t>电子签章</w:t>
      </w:r>
      <w:r>
        <w:rPr>
          <w:rFonts w:hint="eastAsia" w:ascii="宋体" w:hAnsi="宋体" w:eastAsia="宋体" w:cs="宋体"/>
          <w:color w:val="auto"/>
          <w:kern w:val="0"/>
          <w:sz w:val="24"/>
          <w:szCs w:val="24"/>
          <w:highlight w:val="none"/>
        </w:rPr>
        <w:t xml:space="preserve">）： </w:t>
      </w:r>
    </w:p>
    <w:p w14:paraId="389D46C0">
      <w:pPr>
        <w:keepNext w:val="0"/>
        <w:keepLines w:val="0"/>
        <w:pageBreakBefore w:val="0"/>
        <w:widowControl/>
        <w:kinsoku/>
        <w:wordWrap/>
        <w:overflowPunct/>
        <w:topLinePunct w:val="0"/>
        <w:autoSpaceDE/>
        <w:autoSpaceDN/>
        <w:bidi w:val="0"/>
        <w:adjustRightInd/>
        <w:snapToGrid/>
        <w:spacing w:line="460" w:lineRule="exact"/>
        <w:ind w:firstLine="6240" w:firstLineChars="26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日 期： </w:t>
      </w:r>
    </w:p>
    <w:p w14:paraId="3CC0161A">
      <w:pPr>
        <w:pStyle w:val="40"/>
        <w:rPr>
          <w:rFonts w:hint="eastAsia" w:ascii="宋体" w:hAnsi="宋体" w:eastAsia="宋体" w:cs="宋体"/>
          <w:color w:val="auto"/>
          <w:kern w:val="0"/>
          <w:sz w:val="24"/>
          <w:szCs w:val="24"/>
          <w:highlight w:val="none"/>
        </w:rPr>
      </w:pPr>
    </w:p>
    <w:p w14:paraId="6360F0C6">
      <w:pPr>
        <w:pStyle w:val="40"/>
        <w:rPr>
          <w:rFonts w:hint="eastAsia" w:ascii="宋体" w:hAnsi="宋体" w:eastAsia="宋体" w:cs="宋体"/>
          <w:color w:val="auto"/>
          <w:kern w:val="0"/>
          <w:sz w:val="24"/>
          <w:szCs w:val="24"/>
          <w:highlight w:val="none"/>
        </w:rPr>
      </w:pPr>
    </w:p>
    <w:p w14:paraId="52E811D7">
      <w:pPr>
        <w:pStyle w:val="40"/>
        <w:rPr>
          <w:rFonts w:hint="eastAsia" w:ascii="宋体" w:hAnsi="宋体" w:eastAsia="宋体" w:cs="宋体"/>
          <w:color w:val="auto"/>
          <w:kern w:val="0"/>
          <w:sz w:val="24"/>
          <w:szCs w:val="24"/>
          <w:highlight w:val="none"/>
        </w:rPr>
      </w:pPr>
    </w:p>
    <w:p w14:paraId="5F581A77">
      <w:pPr>
        <w:widowControl/>
        <w:spacing w:line="400" w:lineRule="exact"/>
        <w:jc w:val="left"/>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注：</w:t>
      </w:r>
      <w:r>
        <w:rPr>
          <w:rFonts w:hint="eastAsia" w:ascii="宋体" w:hAnsi="宋体" w:eastAsia="宋体" w:cs="宋体"/>
          <w:color w:val="auto"/>
          <w:kern w:val="0"/>
          <w:sz w:val="22"/>
          <w:szCs w:val="22"/>
          <w:highlight w:val="none"/>
        </w:rPr>
        <w:t>①从业人员、营业收入、资产总额填报上一年度数据，无上一年度数据的新成立企业可不填报。</w:t>
      </w:r>
    </w:p>
    <w:p w14:paraId="79F26C66">
      <w:pPr>
        <w:widowControl/>
        <w:spacing w:line="40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②</w:t>
      </w:r>
      <w:r>
        <w:rPr>
          <w:rFonts w:hint="eastAsia" w:ascii="宋体" w:hAnsi="宋体" w:eastAsia="宋体" w:cs="宋体"/>
          <w:color w:val="auto"/>
          <w:kern w:val="0"/>
          <w:sz w:val="22"/>
          <w:szCs w:val="22"/>
          <w:highlight w:val="none"/>
        </w:rPr>
        <w:t>供应商提供的货物既有中小企业制造货物，也有大型企业制造货物的，不享受《政府采购促进中小企业发展管理办法》规定的中小企业扶持政策。</w:t>
      </w:r>
    </w:p>
    <w:p w14:paraId="339E28A6">
      <w:pPr>
        <w:widowControl/>
        <w:spacing w:line="40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③</w:t>
      </w:r>
      <w:r>
        <w:rPr>
          <w:rFonts w:hint="eastAsia" w:ascii="宋体" w:hAnsi="宋体" w:eastAsia="宋体" w:cs="宋体"/>
          <w:color w:val="auto"/>
          <w:kern w:val="0"/>
          <w:sz w:val="22"/>
          <w:szCs w:val="22"/>
          <w:highlight w:val="none"/>
        </w:rPr>
        <w:t xml:space="preserve">以联合体形式参加政府采购活动，联合体各方均为中小企业的，联合体视同中小企业。其中，联合体各方均为小微企业的，联合体视同小微企业。 </w:t>
      </w:r>
    </w:p>
    <w:p w14:paraId="1627DB68">
      <w:pPr>
        <w:widowControl/>
        <w:spacing w:line="40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④在政府采购活动中，供应商提供的所有货物由小微企业制造，即货物由小微企业生产且使用该小微企业商号或者注册商标的，才能享受《政府采购促进中小企业发展管理办法》规定的价格扣减。</w:t>
      </w:r>
    </w:p>
    <w:p w14:paraId="50CEA200">
      <w:pPr>
        <w:widowControl/>
        <w:spacing w:line="40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⑤中小企业声明函格式应严格按照招标文件提供的格式填写。非单一产品采购的，设备制造商不止一家时，中小企业声明函中须列出所有的设备及制造商，罗列不全的中小企业声明函不予认可。</w:t>
      </w:r>
    </w:p>
    <w:p w14:paraId="0B22E402">
      <w:pPr>
        <w:spacing w:line="360" w:lineRule="auto"/>
        <w:ind w:right="560" w:firstLine="440" w:firstLineChars="200"/>
        <w:rPr>
          <w:rFonts w:ascii="宋体" w:hAnsi="宋体" w:eastAsia="宋体"/>
          <w:b/>
          <w:bCs/>
          <w:color w:val="auto"/>
          <w:kern w:val="0"/>
          <w:sz w:val="36"/>
          <w:szCs w:val="36"/>
          <w:highlight w:val="none"/>
        </w:rPr>
      </w:pPr>
      <w:r>
        <w:rPr>
          <w:rFonts w:hint="eastAsia" w:ascii="宋体" w:hAnsi="宋体" w:eastAsia="宋体" w:cs="宋体"/>
          <w:color w:val="auto"/>
          <w:kern w:val="0"/>
          <w:sz w:val="22"/>
          <w:szCs w:val="22"/>
          <w:highlight w:val="none"/>
        </w:rPr>
        <w:t>⑥在货物采购项目中，货物应当由中小企业制造，不对其中涉及的服务的承接商作出要求。</w:t>
      </w:r>
    </w:p>
    <w:sectPr>
      <w:pgSz w:w="11906" w:h="16838"/>
      <w:pgMar w:top="1361" w:right="1077" w:bottom="1361" w:left="1077" w:header="851" w:footer="96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体">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ADD0E">
    <w:pPr>
      <w:pStyle w:val="43"/>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right</wp:align>
              </wp:positionH>
              <wp:positionV relativeFrom="paragraph">
                <wp:posOffset>0</wp:posOffset>
              </wp:positionV>
              <wp:extent cx="114300" cy="152400"/>
              <wp:effectExtent l="0" t="0" r="0" b="0"/>
              <wp:wrapNone/>
              <wp:docPr id="3" name="_x0000_s2054"/>
              <wp:cNvGraphicFramePr/>
              <a:graphic xmlns:a="http://schemas.openxmlformats.org/drawingml/2006/main">
                <a:graphicData uri="http://schemas.microsoft.com/office/word/2010/wordprocessingShape">
                  <wps:wsp>
                    <wps:cNvSpPr/>
                    <wps:spPr>
                      <a:xfrm>
                        <a:off x="0" y="0"/>
                        <a:ext cx="114300" cy="152400"/>
                      </a:xfrm>
                      <a:prstGeom prst="rect">
                        <a:avLst/>
                      </a:prstGeom>
                    </wps:spPr>
                    <wps:txbx>
                      <w:txbxContent>
                        <w:p w14:paraId="305A2794"/>
                        <w:p w14:paraId="51822AC0"/>
                      </w:txbxContent>
                    </wps:txbx>
                    <wps:bodyPr rot="0" vert="horz" wrap="square" lIns="0" tIns="0" rIns="0" bIns="0" anchor="t" anchorCtr="0"/>
                  </wps:wsp>
                </a:graphicData>
              </a:graphic>
            </wp:anchor>
          </w:drawing>
        </mc:Choice>
        <mc:Fallback>
          <w:pict>
            <v:rect id="_x0000_s2054" o:spid="_x0000_s1026" o:spt="1" style="position:absolute;left:0pt;margin-top:0pt;height:12pt;width:9pt;mso-position-horizontal:right;mso-position-horizontal-relative:margin;z-index:251660288;mso-width-relative:page;mso-height-relative:page;" filled="f" stroked="f" coordsize="21600,21600" o:gfxdata="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dtk8m&#10;1AAAAAMBAAAPAAAAAAAAAAEAIAAAACIAAABkcnMvZG93bnJldi54bWxQSwECFAAUAAAACACHTuJA&#10;Lje+m7MBAAB0AwAADgAAAAAAAAABACAAAAAjAQAAZHJzL2Uyb0RvYy54bWxQSwUGAAAAAAYABgBZ&#10;AQAASAUAAAAA&#10;">
              <v:fill on="f" focussize="0,0"/>
              <v:stroke on="f"/>
              <v:imagedata o:title=""/>
              <o:lock v:ext="edit" aspectratio="f"/>
              <v:textbox inset="0mm,0mm,0mm,0mm">
                <w:txbxContent>
                  <w:p w14:paraId="305A2794"/>
                  <w:p w14:paraId="51822AC0"/>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9BC09">
    <w:pPr>
      <w:pStyle w:val="43"/>
      <w:framePr w:wrap="around" w:vAnchor="text" w:hAnchor="margin" w:xAlign="right" w:y="1"/>
      <w:tabs>
        <w:tab w:val="clear" w:pos="4153"/>
        <w:tab w:val="clear" w:pos="8306"/>
      </w:tabs>
    </w:pPr>
    <w:r>
      <w:fldChar w:fldCharType="begin"/>
    </w:r>
    <w:r>
      <w:rPr>
        <w:rStyle w:val="44"/>
      </w:rPr>
      <w:instrText xml:space="preserve">PAGE  </w:instrText>
    </w:r>
    <w:r>
      <w:fldChar w:fldCharType="separate"/>
    </w:r>
    <w:r>
      <w:rPr>
        <w:rStyle w:val="44"/>
      </w:rPr>
      <w:t>1</w:t>
    </w:r>
    <w:r>
      <w:fldChar w:fldCharType="end"/>
    </w:r>
  </w:p>
  <w:p w14:paraId="63A2D263">
    <w:pPr>
      <w:pStyle w:val="43"/>
      <w:tabs>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2A25B">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E728A">
    <w:pPr>
      <w:pStyle w:val="43"/>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_x0000_s2057"/>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AFDC60E">
                          <w:pPr>
                            <w:pStyle w:val="43"/>
                            <w:tabs>
                              <w:tab w:val="clear" w:pos="4153"/>
                              <w:tab w:val="clear" w:pos="8306"/>
                            </w:tabs>
                          </w:pPr>
                          <w:r>
                            <w:fldChar w:fldCharType="begin"/>
                          </w:r>
                          <w:r>
                            <w:instrText xml:space="preserve"> PAGE  \* MERGEFORMAT </w:instrText>
                          </w:r>
                          <w:r>
                            <w:fldChar w:fldCharType="separate"/>
                          </w:r>
                          <w:r>
                            <w:t>1</w:t>
                          </w:r>
                          <w:r>
                            <w:fldChar w:fldCharType="end"/>
                          </w:r>
                        </w:p>
                        <w:p w14:paraId="53B9FD5A"/>
                      </w:txbxContent>
                    </wps:txbx>
                    <wps:bodyPr rot="0" vert="horz" wrap="square" lIns="0" tIns="0" rIns="0" bIns="0" anchor="t" anchorCtr="0"/>
                  </wps:wsp>
                </a:graphicData>
              </a:graphic>
            </wp:anchor>
          </w:drawing>
        </mc:Choice>
        <mc:Fallback>
          <w:pict>
            <v:rect id="_x0000_s2057"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mtmPLTAAAA&#10;BQEAAA8AAAAAAAAAAQAgAAAAIgAAAGRycy9kb3ducmV2LnhtbFBLAQIUABQAAAAIAIdO4kA0kwNE&#10;sAEAAHYDAAAOAAAAAAAAAAEAIAAAACIBAABkcnMvZTJvRG9jLnhtbFBLBQYAAAAABgAGAFkBAABE&#10;BQAAAAA=&#10;">
              <v:fill on="f" focussize="0,0"/>
              <v:stroke on="f"/>
              <v:imagedata o:title=""/>
              <o:lock v:ext="edit" aspectratio="f"/>
              <v:textbox inset="0mm,0mm,0mm,0mm">
                <w:txbxContent>
                  <w:p w14:paraId="7AFDC60E">
                    <w:pPr>
                      <w:pStyle w:val="43"/>
                      <w:tabs>
                        <w:tab w:val="clear" w:pos="4153"/>
                        <w:tab w:val="clear" w:pos="8306"/>
                      </w:tabs>
                    </w:pPr>
                    <w:r>
                      <w:fldChar w:fldCharType="begin"/>
                    </w:r>
                    <w:r>
                      <w:instrText xml:space="preserve"> PAGE  \* MERGEFORMAT </w:instrText>
                    </w:r>
                    <w:r>
                      <w:fldChar w:fldCharType="separate"/>
                    </w:r>
                    <w:r>
                      <w:t>1</w:t>
                    </w:r>
                    <w:r>
                      <w:fldChar w:fldCharType="end"/>
                    </w:r>
                  </w:p>
                  <w:p w14:paraId="53B9FD5A"/>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B675B">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F4BA3">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A0F4BA3">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63B8A">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E3032">
                          <w:pPr>
                            <w:pStyle w:val="10"/>
                          </w:pPr>
                          <w:r>
                            <w:fldChar w:fldCharType="begin"/>
                          </w:r>
                          <w:r>
                            <w:instrText xml:space="preserve"> PAGE  \* MERGEFORMAT </w:instrText>
                          </w:r>
                          <w:r>
                            <w:fldChar w:fldCharType="separate"/>
                          </w:r>
                          <w:r>
                            <w:t>- 25 -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43E3032">
                    <w:pPr>
                      <w:pStyle w:val="10"/>
                    </w:pPr>
                    <w:r>
                      <w:fldChar w:fldCharType="begin"/>
                    </w:r>
                    <w:r>
                      <w:instrText xml:space="preserve"> PAGE  \* MERGEFORMAT </w:instrText>
                    </w:r>
                    <w:r>
                      <w:fldChar w:fldCharType="separate"/>
                    </w:r>
                    <w:r>
                      <w:t>- 25 -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1911A">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DAD3AD">
                          <w:pPr>
                            <w:pStyle w:val="10"/>
                          </w:pPr>
                          <w:r>
                            <w:fldChar w:fldCharType="begin"/>
                          </w:r>
                          <w:r>
                            <w:instrText xml:space="preserve"> PAGE  \* MERGEFORMAT </w:instrText>
                          </w:r>
                          <w:r>
                            <w:fldChar w:fldCharType="separate"/>
                          </w:r>
                          <w:r>
                            <w:t>- 47 -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DAD3AD">
                    <w:pPr>
                      <w:pStyle w:val="10"/>
                    </w:pPr>
                    <w:r>
                      <w:fldChar w:fldCharType="begin"/>
                    </w:r>
                    <w:r>
                      <w:instrText xml:space="preserve"> PAGE  \* MERGEFORMAT </w:instrText>
                    </w:r>
                    <w:r>
                      <w:fldChar w:fldCharType="separate"/>
                    </w:r>
                    <w:r>
                      <w:t>- 47 -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1F5CD">
    <w:pPr>
      <w:pStyle w:val="42"/>
      <w:pBdr>
        <w:bottom w:val="none" w:color="000000" w:sz="0" w:space="0"/>
      </w:pBdr>
      <w:tabs>
        <w:tab w:val="clear" w:pos="4153"/>
        <w:tab w:val="clear" w:pos="8306"/>
      </w:tabs>
      <w:jc w:val="left"/>
    </w:pPr>
  </w:p>
  <w:p w14:paraId="6ADB9A99">
    <w:pPr>
      <w:pStyle w:val="42"/>
      <w:pBdr>
        <w:bottom w:val="none" w:color="000000" w:sz="0" w:space="0"/>
      </w:pBdr>
      <w:tabs>
        <w:tab w:val="clear" w:pos="4153"/>
        <w:tab w:val="clear" w:pos="8306"/>
      </w:tabs>
      <w:ind w:firstLine="90" w:firstLineChars="5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575B">
    <w:pPr>
      <w:pStyle w:val="42"/>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B8172">
    <w:pPr>
      <w:pStyle w:val="42"/>
      <w:pBdr>
        <w:bottom w:val="none" w:color="000000" w:sz="0" w:space="1"/>
      </w:pBdr>
      <w:tabs>
        <w:tab w:val="clear" w:pos="4153"/>
        <w:tab w:val="clear" w:pos="8306"/>
      </w:tabs>
      <w:ind w:left="8640" w:hanging="8640" w:hangingChars="480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3F10C">
    <w:pPr>
      <w:pStyle w:val="42"/>
      <w:pBdr>
        <w:bottom w:val="none" w:color="auto" w:sz="0" w:space="1"/>
      </w:pBdr>
      <w:tabs>
        <w:tab w:val="clear" w:pos="4153"/>
        <w:tab w:val="clear" w:pos="8306"/>
      </w:tabs>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F1A37">
    <w:pPr>
      <w:pStyle w:val="42"/>
      <w:pBdr>
        <w:bottom w:val="none" w:color="auto" w:sz="0" w:space="1"/>
      </w:pBdr>
      <w:tabs>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F1ACD9"/>
    <w:multiLevelType w:val="multilevel"/>
    <w:tmpl w:val="B0F1ACD9"/>
    <w:lvl w:ilvl="0" w:tentative="0">
      <w:start w:val="28"/>
      <w:numFmt w:val="decimal"/>
      <w:lvlText w:val="%1"/>
      <w:lvlJc w:val="left"/>
      <w:pPr>
        <w:ind w:left="320" w:hanging="540"/>
      </w:pPr>
      <w:rPr>
        <w:rFonts w:hint="default"/>
        <w:lang w:val="zh-CN" w:eastAsia="zh-CN" w:bidi="zh-CN"/>
      </w:rPr>
    </w:lvl>
    <w:lvl w:ilvl="1" w:tentative="0">
      <w:start w:val="1"/>
      <w:numFmt w:val="decimal"/>
      <w:lvlText w:val="%1.%2"/>
      <w:lvlJc w:val="left"/>
      <w:pPr>
        <w:ind w:left="3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540"/>
      </w:pPr>
      <w:rPr>
        <w:rFonts w:hint="default"/>
        <w:lang w:val="zh-CN" w:eastAsia="zh-CN" w:bidi="zh-CN"/>
      </w:rPr>
    </w:lvl>
    <w:lvl w:ilvl="3" w:tentative="0">
      <w:start w:val="0"/>
      <w:numFmt w:val="bullet"/>
      <w:lvlText w:val="•"/>
      <w:lvlJc w:val="left"/>
      <w:pPr>
        <w:ind w:left="3177" w:hanging="540"/>
      </w:pPr>
      <w:rPr>
        <w:rFonts w:hint="default"/>
        <w:lang w:val="zh-CN" w:eastAsia="zh-CN" w:bidi="zh-CN"/>
      </w:rPr>
    </w:lvl>
    <w:lvl w:ilvl="4" w:tentative="0">
      <w:start w:val="0"/>
      <w:numFmt w:val="bullet"/>
      <w:lvlText w:val="•"/>
      <w:lvlJc w:val="left"/>
      <w:pPr>
        <w:ind w:left="4130" w:hanging="540"/>
      </w:pPr>
      <w:rPr>
        <w:rFonts w:hint="default"/>
        <w:lang w:val="zh-CN" w:eastAsia="zh-CN" w:bidi="zh-CN"/>
      </w:rPr>
    </w:lvl>
    <w:lvl w:ilvl="5" w:tentative="0">
      <w:start w:val="0"/>
      <w:numFmt w:val="bullet"/>
      <w:lvlText w:val="•"/>
      <w:lvlJc w:val="left"/>
      <w:pPr>
        <w:ind w:left="5083" w:hanging="540"/>
      </w:pPr>
      <w:rPr>
        <w:rFonts w:hint="default"/>
        <w:lang w:val="zh-CN" w:eastAsia="zh-CN" w:bidi="zh-CN"/>
      </w:rPr>
    </w:lvl>
    <w:lvl w:ilvl="6" w:tentative="0">
      <w:start w:val="0"/>
      <w:numFmt w:val="bullet"/>
      <w:lvlText w:val="•"/>
      <w:lvlJc w:val="left"/>
      <w:pPr>
        <w:ind w:left="6035" w:hanging="540"/>
      </w:pPr>
      <w:rPr>
        <w:rFonts w:hint="default"/>
        <w:lang w:val="zh-CN" w:eastAsia="zh-CN" w:bidi="zh-CN"/>
      </w:rPr>
    </w:lvl>
    <w:lvl w:ilvl="7" w:tentative="0">
      <w:start w:val="0"/>
      <w:numFmt w:val="bullet"/>
      <w:lvlText w:val="•"/>
      <w:lvlJc w:val="left"/>
      <w:pPr>
        <w:ind w:left="6988" w:hanging="540"/>
      </w:pPr>
      <w:rPr>
        <w:rFonts w:hint="default"/>
        <w:lang w:val="zh-CN" w:eastAsia="zh-CN" w:bidi="zh-CN"/>
      </w:rPr>
    </w:lvl>
    <w:lvl w:ilvl="8" w:tentative="0">
      <w:start w:val="0"/>
      <w:numFmt w:val="bullet"/>
      <w:lvlText w:val="•"/>
      <w:lvlJc w:val="left"/>
      <w:pPr>
        <w:ind w:left="7940" w:hanging="540"/>
      </w:pPr>
      <w:rPr>
        <w:rFonts w:hint="default"/>
        <w:lang w:val="zh-CN" w:eastAsia="zh-CN" w:bidi="zh-CN"/>
      </w:rPr>
    </w:lvl>
  </w:abstractNum>
  <w:abstractNum w:abstractNumId="1">
    <w:nsid w:val="BE923771"/>
    <w:multiLevelType w:val="multilevel"/>
    <w:tmpl w:val="BE923771"/>
    <w:lvl w:ilvl="0" w:tentative="0">
      <w:start w:val="1"/>
      <w:numFmt w:val="decimal"/>
      <w:lvlText w:val="(%1)"/>
      <w:lvlJc w:val="left"/>
      <w:pPr>
        <w:ind w:left="1220" w:hanging="480"/>
      </w:pPr>
      <w:rPr>
        <w:rFonts w:hint="default" w:ascii="宋体" w:hAnsi="宋体" w:eastAsia="宋体" w:cs="宋体"/>
        <w:w w:val="100"/>
        <w:sz w:val="24"/>
        <w:szCs w:val="24"/>
        <w:lang w:val="zh-CN" w:eastAsia="zh-CN" w:bidi="zh-CN"/>
      </w:rPr>
    </w:lvl>
    <w:lvl w:ilvl="1" w:tentative="0">
      <w:start w:val="0"/>
      <w:numFmt w:val="bullet"/>
      <w:lvlText w:val="•"/>
      <w:lvlJc w:val="left"/>
      <w:pPr>
        <w:ind w:left="2082" w:hanging="480"/>
      </w:pPr>
      <w:rPr>
        <w:rFonts w:hint="default"/>
        <w:lang w:val="zh-CN" w:eastAsia="zh-CN" w:bidi="zh-CN"/>
      </w:rPr>
    </w:lvl>
    <w:lvl w:ilvl="2" w:tentative="0">
      <w:start w:val="0"/>
      <w:numFmt w:val="bullet"/>
      <w:lvlText w:val="•"/>
      <w:lvlJc w:val="left"/>
      <w:pPr>
        <w:ind w:left="2945" w:hanging="480"/>
      </w:pPr>
      <w:rPr>
        <w:rFonts w:hint="default"/>
        <w:lang w:val="zh-CN" w:eastAsia="zh-CN" w:bidi="zh-CN"/>
      </w:rPr>
    </w:lvl>
    <w:lvl w:ilvl="3" w:tentative="0">
      <w:start w:val="0"/>
      <w:numFmt w:val="bullet"/>
      <w:lvlText w:val="•"/>
      <w:lvlJc w:val="left"/>
      <w:pPr>
        <w:ind w:left="3807" w:hanging="480"/>
      </w:pPr>
      <w:rPr>
        <w:rFonts w:hint="default"/>
        <w:lang w:val="zh-CN" w:eastAsia="zh-CN" w:bidi="zh-CN"/>
      </w:rPr>
    </w:lvl>
    <w:lvl w:ilvl="4" w:tentative="0">
      <w:start w:val="0"/>
      <w:numFmt w:val="bullet"/>
      <w:lvlText w:val="•"/>
      <w:lvlJc w:val="left"/>
      <w:pPr>
        <w:ind w:left="4670" w:hanging="480"/>
      </w:pPr>
      <w:rPr>
        <w:rFonts w:hint="default"/>
        <w:lang w:val="zh-CN" w:eastAsia="zh-CN" w:bidi="zh-CN"/>
      </w:rPr>
    </w:lvl>
    <w:lvl w:ilvl="5" w:tentative="0">
      <w:start w:val="0"/>
      <w:numFmt w:val="bullet"/>
      <w:lvlText w:val="•"/>
      <w:lvlJc w:val="left"/>
      <w:pPr>
        <w:ind w:left="5533" w:hanging="480"/>
      </w:pPr>
      <w:rPr>
        <w:rFonts w:hint="default"/>
        <w:lang w:val="zh-CN" w:eastAsia="zh-CN" w:bidi="zh-CN"/>
      </w:rPr>
    </w:lvl>
    <w:lvl w:ilvl="6" w:tentative="0">
      <w:start w:val="0"/>
      <w:numFmt w:val="bullet"/>
      <w:lvlText w:val="•"/>
      <w:lvlJc w:val="left"/>
      <w:pPr>
        <w:ind w:left="6395" w:hanging="480"/>
      </w:pPr>
      <w:rPr>
        <w:rFonts w:hint="default"/>
        <w:lang w:val="zh-CN" w:eastAsia="zh-CN" w:bidi="zh-CN"/>
      </w:rPr>
    </w:lvl>
    <w:lvl w:ilvl="7" w:tentative="0">
      <w:start w:val="0"/>
      <w:numFmt w:val="bullet"/>
      <w:lvlText w:val="•"/>
      <w:lvlJc w:val="left"/>
      <w:pPr>
        <w:ind w:left="7258" w:hanging="480"/>
      </w:pPr>
      <w:rPr>
        <w:rFonts w:hint="default"/>
        <w:lang w:val="zh-CN" w:eastAsia="zh-CN" w:bidi="zh-CN"/>
      </w:rPr>
    </w:lvl>
    <w:lvl w:ilvl="8" w:tentative="0">
      <w:start w:val="0"/>
      <w:numFmt w:val="bullet"/>
      <w:lvlText w:val="•"/>
      <w:lvlJc w:val="left"/>
      <w:pPr>
        <w:ind w:left="8120" w:hanging="480"/>
      </w:pPr>
      <w:rPr>
        <w:rFonts w:hint="default"/>
        <w:lang w:val="zh-CN" w:eastAsia="zh-CN" w:bidi="zh-CN"/>
      </w:rPr>
    </w:lvl>
  </w:abstractNum>
  <w:abstractNum w:abstractNumId="2">
    <w:nsid w:val="F4B5D9F5"/>
    <w:multiLevelType w:val="multilevel"/>
    <w:tmpl w:val="F4B5D9F5"/>
    <w:lvl w:ilvl="0" w:tentative="0">
      <w:start w:val="18"/>
      <w:numFmt w:val="decimal"/>
      <w:lvlText w:val="%1"/>
      <w:lvlJc w:val="left"/>
      <w:pPr>
        <w:ind w:left="1280" w:hanging="540"/>
      </w:pPr>
      <w:rPr>
        <w:rFonts w:hint="default"/>
        <w:lang w:val="zh-CN" w:eastAsia="zh-CN" w:bidi="zh-CN"/>
      </w:rPr>
    </w:lvl>
    <w:lvl w:ilvl="1" w:tentative="0">
      <w:start w:val="1"/>
      <w:numFmt w:val="decimal"/>
      <w:lvlText w:val="%1.%2"/>
      <w:lvlJc w:val="left"/>
      <w:pPr>
        <w:ind w:left="128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31" w:hanging="540"/>
      </w:pPr>
      <w:rPr>
        <w:rFonts w:hint="default"/>
        <w:lang w:val="zh-CN" w:eastAsia="zh-CN" w:bidi="zh-CN"/>
      </w:rPr>
    </w:lvl>
    <w:lvl w:ilvl="3" w:tentative="0">
      <w:start w:val="0"/>
      <w:numFmt w:val="bullet"/>
      <w:lvlText w:val="•"/>
      <w:lvlJc w:val="left"/>
      <w:pPr>
        <w:ind w:left="3183" w:hanging="540"/>
      </w:pPr>
      <w:rPr>
        <w:rFonts w:hint="default"/>
        <w:lang w:val="zh-CN" w:eastAsia="zh-CN" w:bidi="zh-CN"/>
      </w:rPr>
    </w:lvl>
    <w:lvl w:ilvl="4" w:tentative="0">
      <w:start w:val="0"/>
      <w:numFmt w:val="bullet"/>
      <w:lvlText w:val="•"/>
      <w:lvlJc w:val="left"/>
      <w:pPr>
        <w:ind w:left="4135" w:hanging="540"/>
      </w:pPr>
      <w:rPr>
        <w:rFonts w:hint="default"/>
        <w:lang w:val="zh-CN" w:eastAsia="zh-CN" w:bidi="zh-CN"/>
      </w:rPr>
    </w:lvl>
    <w:lvl w:ilvl="5" w:tentative="0">
      <w:start w:val="0"/>
      <w:numFmt w:val="bullet"/>
      <w:lvlText w:val="•"/>
      <w:lvlJc w:val="left"/>
      <w:pPr>
        <w:ind w:left="5087" w:hanging="540"/>
      </w:pPr>
      <w:rPr>
        <w:rFonts w:hint="default"/>
        <w:lang w:val="zh-CN" w:eastAsia="zh-CN" w:bidi="zh-CN"/>
      </w:rPr>
    </w:lvl>
    <w:lvl w:ilvl="6" w:tentative="0">
      <w:start w:val="0"/>
      <w:numFmt w:val="bullet"/>
      <w:lvlText w:val="•"/>
      <w:lvlJc w:val="left"/>
      <w:pPr>
        <w:ind w:left="6038" w:hanging="540"/>
      </w:pPr>
      <w:rPr>
        <w:rFonts w:hint="default"/>
        <w:lang w:val="zh-CN" w:eastAsia="zh-CN" w:bidi="zh-CN"/>
      </w:rPr>
    </w:lvl>
    <w:lvl w:ilvl="7" w:tentative="0">
      <w:start w:val="0"/>
      <w:numFmt w:val="bullet"/>
      <w:lvlText w:val="•"/>
      <w:lvlJc w:val="left"/>
      <w:pPr>
        <w:ind w:left="6990" w:hanging="540"/>
      </w:pPr>
      <w:rPr>
        <w:rFonts w:hint="default"/>
        <w:lang w:val="zh-CN" w:eastAsia="zh-CN" w:bidi="zh-CN"/>
      </w:rPr>
    </w:lvl>
    <w:lvl w:ilvl="8" w:tentative="0">
      <w:start w:val="0"/>
      <w:numFmt w:val="bullet"/>
      <w:lvlText w:val="•"/>
      <w:lvlJc w:val="left"/>
      <w:pPr>
        <w:ind w:left="7942" w:hanging="540"/>
      </w:pPr>
      <w:rPr>
        <w:rFonts w:hint="default"/>
        <w:lang w:val="zh-CN" w:eastAsia="zh-CN" w:bidi="zh-CN"/>
      </w:rPr>
    </w:lvl>
  </w:abstractNum>
  <w:abstractNum w:abstractNumId="3">
    <w:nsid w:val="0E640482"/>
    <w:multiLevelType w:val="multilevel"/>
    <w:tmpl w:val="0E640482"/>
    <w:lvl w:ilvl="0" w:tentative="0">
      <w:start w:val="25"/>
      <w:numFmt w:val="decimal"/>
      <w:lvlText w:val="%1"/>
      <w:lvlJc w:val="left"/>
      <w:pPr>
        <w:ind w:left="1280" w:hanging="540"/>
      </w:pPr>
      <w:rPr>
        <w:rFonts w:hint="default"/>
        <w:lang w:val="zh-CN" w:eastAsia="zh-CN" w:bidi="zh-CN"/>
      </w:rPr>
    </w:lvl>
    <w:lvl w:ilvl="1" w:tentative="0">
      <w:start w:val="1"/>
      <w:numFmt w:val="decimal"/>
      <w:lvlText w:val="%1.%2"/>
      <w:lvlJc w:val="left"/>
      <w:pPr>
        <w:ind w:left="128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993" w:hanging="540"/>
      </w:pPr>
      <w:rPr>
        <w:rFonts w:hint="default"/>
        <w:lang w:val="zh-CN" w:eastAsia="zh-CN" w:bidi="zh-CN"/>
      </w:rPr>
    </w:lvl>
    <w:lvl w:ilvl="3" w:tentative="0">
      <w:start w:val="0"/>
      <w:numFmt w:val="bullet"/>
      <w:lvlText w:val="•"/>
      <w:lvlJc w:val="left"/>
      <w:pPr>
        <w:ind w:left="3849" w:hanging="540"/>
      </w:pPr>
      <w:rPr>
        <w:rFonts w:hint="default"/>
        <w:lang w:val="zh-CN" w:eastAsia="zh-CN" w:bidi="zh-CN"/>
      </w:rPr>
    </w:lvl>
    <w:lvl w:ilvl="4" w:tentative="0">
      <w:start w:val="0"/>
      <w:numFmt w:val="bullet"/>
      <w:lvlText w:val="•"/>
      <w:lvlJc w:val="left"/>
      <w:pPr>
        <w:ind w:left="4706" w:hanging="540"/>
      </w:pPr>
      <w:rPr>
        <w:rFonts w:hint="default"/>
        <w:lang w:val="zh-CN" w:eastAsia="zh-CN" w:bidi="zh-CN"/>
      </w:rPr>
    </w:lvl>
    <w:lvl w:ilvl="5" w:tentative="0">
      <w:start w:val="0"/>
      <w:numFmt w:val="bullet"/>
      <w:lvlText w:val="•"/>
      <w:lvlJc w:val="left"/>
      <w:pPr>
        <w:ind w:left="5563" w:hanging="540"/>
      </w:pPr>
      <w:rPr>
        <w:rFonts w:hint="default"/>
        <w:lang w:val="zh-CN" w:eastAsia="zh-CN" w:bidi="zh-CN"/>
      </w:rPr>
    </w:lvl>
    <w:lvl w:ilvl="6" w:tentative="0">
      <w:start w:val="0"/>
      <w:numFmt w:val="bullet"/>
      <w:lvlText w:val="•"/>
      <w:lvlJc w:val="left"/>
      <w:pPr>
        <w:ind w:left="6419" w:hanging="540"/>
      </w:pPr>
      <w:rPr>
        <w:rFonts w:hint="default"/>
        <w:lang w:val="zh-CN" w:eastAsia="zh-CN" w:bidi="zh-CN"/>
      </w:rPr>
    </w:lvl>
    <w:lvl w:ilvl="7" w:tentative="0">
      <w:start w:val="0"/>
      <w:numFmt w:val="bullet"/>
      <w:lvlText w:val="•"/>
      <w:lvlJc w:val="left"/>
      <w:pPr>
        <w:ind w:left="7276" w:hanging="540"/>
      </w:pPr>
      <w:rPr>
        <w:rFonts w:hint="default"/>
        <w:lang w:val="zh-CN" w:eastAsia="zh-CN" w:bidi="zh-CN"/>
      </w:rPr>
    </w:lvl>
    <w:lvl w:ilvl="8" w:tentative="0">
      <w:start w:val="0"/>
      <w:numFmt w:val="bullet"/>
      <w:lvlText w:val="•"/>
      <w:lvlJc w:val="left"/>
      <w:pPr>
        <w:ind w:left="8132" w:hanging="540"/>
      </w:pPr>
      <w:rPr>
        <w:rFonts w:hint="default"/>
        <w:lang w:val="zh-CN" w:eastAsia="zh-CN" w:bidi="zh-CN"/>
      </w:rPr>
    </w:lvl>
  </w:abstractNum>
  <w:abstractNum w:abstractNumId="4">
    <w:nsid w:val="2470EC97"/>
    <w:multiLevelType w:val="multilevel"/>
    <w:tmpl w:val="2470EC97"/>
    <w:lvl w:ilvl="0" w:tentative="0">
      <w:start w:val="19"/>
      <w:numFmt w:val="decimal"/>
      <w:lvlText w:val="%1"/>
      <w:lvlJc w:val="left"/>
      <w:pPr>
        <w:ind w:left="320" w:hanging="540"/>
      </w:pPr>
      <w:rPr>
        <w:rFonts w:hint="default"/>
        <w:lang w:val="zh-CN" w:eastAsia="zh-CN" w:bidi="zh-CN"/>
      </w:rPr>
    </w:lvl>
    <w:lvl w:ilvl="1" w:tentative="0">
      <w:start w:val="1"/>
      <w:numFmt w:val="decimal"/>
      <w:lvlText w:val="%1.%2"/>
      <w:lvlJc w:val="left"/>
      <w:pPr>
        <w:ind w:left="3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540"/>
      </w:pPr>
      <w:rPr>
        <w:rFonts w:hint="default"/>
        <w:lang w:val="zh-CN" w:eastAsia="zh-CN" w:bidi="zh-CN"/>
      </w:rPr>
    </w:lvl>
    <w:lvl w:ilvl="3" w:tentative="0">
      <w:start w:val="0"/>
      <w:numFmt w:val="bullet"/>
      <w:lvlText w:val="•"/>
      <w:lvlJc w:val="left"/>
      <w:pPr>
        <w:ind w:left="3177" w:hanging="540"/>
      </w:pPr>
      <w:rPr>
        <w:rFonts w:hint="default"/>
        <w:lang w:val="zh-CN" w:eastAsia="zh-CN" w:bidi="zh-CN"/>
      </w:rPr>
    </w:lvl>
    <w:lvl w:ilvl="4" w:tentative="0">
      <w:start w:val="0"/>
      <w:numFmt w:val="bullet"/>
      <w:lvlText w:val="•"/>
      <w:lvlJc w:val="left"/>
      <w:pPr>
        <w:ind w:left="4130" w:hanging="540"/>
      </w:pPr>
      <w:rPr>
        <w:rFonts w:hint="default"/>
        <w:lang w:val="zh-CN" w:eastAsia="zh-CN" w:bidi="zh-CN"/>
      </w:rPr>
    </w:lvl>
    <w:lvl w:ilvl="5" w:tentative="0">
      <w:start w:val="0"/>
      <w:numFmt w:val="bullet"/>
      <w:lvlText w:val="•"/>
      <w:lvlJc w:val="left"/>
      <w:pPr>
        <w:ind w:left="5083" w:hanging="540"/>
      </w:pPr>
      <w:rPr>
        <w:rFonts w:hint="default"/>
        <w:lang w:val="zh-CN" w:eastAsia="zh-CN" w:bidi="zh-CN"/>
      </w:rPr>
    </w:lvl>
    <w:lvl w:ilvl="6" w:tentative="0">
      <w:start w:val="0"/>
      <w:numFmt w:val="bullet"/>
      <w:lvlText w:val="•"/>
      <w:lvlJc w:val="left"/>
      <w:pPr>
        <w:ind w:left="6035" w:hanging="540"/>
      </w:pPr>
      <w:rPr>
        <w:rFonts w:hint="default"/>
        <w:lang w:val="zh-CN" w:eastAsia="zh-CN" w:bidi="zh-CN"/>
      </w:rPr>
    </w:lvl>
    <w:lvl w:ilvl="7" w:tentative="0">
      <w:start w:val="0"/>
      <w:numFmt w:val="bullet"/>
      <w:lvlText w:val="•"/>
      <w:lvlJc w:val="left"/>
      <w:pPr>
        <w:ind w:left="6988" w:hanging="540"/>
      </w:pPr>
      <w:rPr>
        <w:rFonts w:hint="default"/>
        <w:lang w:val="zh-CN" w:eastAsia="zh-CN" w:bidi="zh-CN"/>
      </w:rPr>
    </w:lvl>
    <w:lvl w:ilvl="8" w:tentative="0">
      <w:start w:val="0"/>
      <w:numFmt w:val="bullet"/>
      <w:lvlText w:val="•"/>
      <w:lvlJc w:val="left"/>
      <w:pPr>
        <w:ind w:left="7940" w:hanging="540"/>
      </w:pPr>
      <w:rPr>
        <w:rFonts w:hint="default"/>
        <w:lang w:val="zh-CN" w:eastAsia="zh-CN" w:bidi="zh-CN"/>
      </w:rPr>
    </w:lvl>
  </w:abstractNum>
  <w:abstractNum w:abstractNumId="5">
    <w:nsid w:val="25B654F3"/>
    <w:multiLevelType w:val="multilevel"/>
    <w:tmpl w:val="25B654F3"/>
    <w:lvl w:ilvl="0" w:tentative="0">
      <w:start w:val="5"/>
      <w:numFmt w:val="decimal"/>
      <w:lvlText w:val="%1"/>
      <w:lvlJc w:val="left"/>
      <w:pPr>
        <w:ind w:left="320" w:hanging="420"/>
      </w:pPr>
      <w:rPr>
        <w:rFonts w:hint="default"/>
        <w:lang w:val="zh-CN" w:eastAsia="zh-CN" w:bidi="zh-CN"/>
      </w:rPr>
    </w:lvl>
    <w:lvl w:ilvl="1" w:tentative="0">
      <w:start w:val="1"/>
      <w:numFmt w:val="decimal"/>
      <w:lvlText w:val="%1.%2"/>
      <w:lvlJc w:val="left"/>
      <w:pPr>
        <w:ind w:left="320"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420"/>
      </w:pPr>
      <w:rPr>
        <w:rFonts w:hint="default"/>
        <w:lang w:val="zh-CN" w:eastAsia="zh-CN" w:bidi="zh-CN"/>
      </w:rPr>
    </w:lvl>
    <w:lvl w:ilvl="3" w:tentative="0">
      <w:start w:val="0"/>
      <w:numFmt w:val="bullet"/>
      <w:lvlText w:val="•"/>
      <w:lvlJc w:val="left"/>
      <w:pPr>
        <w:ind w:left="3177" w:hanging="420"/>
      </w:pPr>
      <w:rPr>
        <w:rFonts w:hint="default"/>
        <w:lang w:val="zh-CN" w:eastAsia="zh-CN" w:bidi="zh-CN"/>
      </w:rPr>
    </w:lvl>
    <w:lvl w:ilvl="4" w:tentative="0">
      <w:start w:val="0"/>
      <w:numFmt w:val="bullet"/>
      <w:lvlText w:val="•"/>
      <w:lvlJc w:val="left"/>
      <w:pPr>
        <w:ind w:left="4130" w:hanging="420"/>
      </w:pPr>
      <w:rPr>
        <w:rFonts w:hint="default"/>
        <w:lang w:val="zh-CN" w:eastAsia="zh-CN" w:bidi="zh-CN"/>
      </w:rPr>
    </w:lvl>
    <w:lvl w:ilvl="5" w:tentative="0">
      <w:start w:val="0"/>
      <w:numFmt w:val="bullet"/>
      <w:lvlText w:val="•"/>
      <w:lvlJc w:val="left"/>
      <w:pPr>
        <w:ind w:left="5083" w:hanging="420"/>
      </w:pPr>
      <w:rPr>
        <w:rFonts w:hint="default"/>
        <w:lang w:val="zh-CN" w:eastAsia="zh-CN" w:bidi="zh-CN"/>
      </w:rPr>
    </w:lvl>
    <w:lvl w:ilvl="6" w:tentative="0">
      <w:start w:val="0"/>
      <w:numFmt w:val="bullet"/>
      <w:lvlText w:val="•"/>
      <w:lvlJc w:val="left"/>
      <w:pPr>
        <w:ind w:left="6035" w:hanging="420"/>
      </w:pPr>
      <w:rPr>
        <w:rFonts w:hint="default"/>
        <w:lang w:val="zh-CN" w:eastAsia="zh-CN" w:bidi="zh-CN"/>
      </w:rPr>
    </w:lvl>
    <w:lvl w:ilvl="7" w:tentative="0">
      <w:start w:val="0"/>
      <w:numFmt w:val="bullet"/>
      <w:lvlText w:val="•"/>
      <w:lvlJc w:val="left"/>
      <w:pPr>
        <w:ind w:left="6988" w:hanging="420"/>
      </w:pPr>
      <w:rPr>
        <w:rFonts w:hint="default"/>
        <w:lang w:val="zh-CN" w:eastAsia="zh-CN" w:bidi="zh-CN"/>
      </w:rPr>
    </w:lvl>
    <w:lvl w:ilvl="8" w:tentative="0">
      <w:start w:val="0"/>
      <w:numFmt w:val="bullet"/>
      <w:lvlText w:val="•"/>
      <w:lvlJc w:val="left"/>
      <w:pPr>
        <w:ind w:left="7940" w:hanging="420"/>
      </w:pPr>
      <w:rPr>
        <w:rFonts w:hint="default"/>
        <w:lang w:val="zh-CN" w:eastAsia="zh-CN" w:bidi="zh-CN"/>
      </w:rPr>
    </w:lvl>
  </w:abstractNum>
  <w:abstractNum w:abstractNumId="6">
    <w:nsid w:val="3F1C44AF"/>
    <w:multiLevelType w:val="singleLevel"/>
    <w:tmpl w:val="3F1C44AF"/>
    <w:lvl w:ilvl="0" w:tentative="0">
      <w:start w:val="1"/>
      <w:numFmt w:val="chineseCounting"/>
      <w:suff w:val="nothing"/>
      <w:lvlText w:val="%1、"/>
      <w:lvlJc w:val="left"/>
      <w:rPr>
        <w:rFonts w:hint="eastAsia"/>
      </w:rPr>
    </w:lvl>
  </w:abstractNum>
  <w:abstractNum w:abstractNumId="7">
    <w:nsid w:val="4BE48CBF"/>
    <w:multiLevelType w:val="multilevel"/>
    <w:tmpl w:val="4BE48CBF"/>
    <w:lvl w:ilvl="0" w:tentative="0">
      <w:start w:val="1"/>
      <w:numFmt w:val="decimal"/>
      <w:lvlText w:val="%1）"/>
      <w:lvlJc w:val="left"/>
      <w:pPr>
        <w:tabs>
          <w:tab w:val="left" w:pos="0"/>
        </w:tabs>
        <w:ind w:left="2000" w:hanging="720"/>
      </w:pPr>
      <w:rPr>
        <w:rFonts w:ascii="Calibri" w:hAnsi="Calibri" w:eastAsia="宋体"/>
      </w:rPr>
    </w:lvl>
    <w:lvl w:ilvl="1" w:tentative="0">
      <w:start w:val="1"/>
      <w:numFmt w:val="lowerLetter"/>
      <w:lvlText w:val="%2)"/>
      <w:lvlJc w:val="left"/>
      <w:pPr>
        <w:tabs>
          <w:tab w:val="left" w:pos="0"/>
        </w:tabs>
        <w:ind w:left="2120" w:hanging="420"/>
      </w:pPr>
    </w:lvl>
    <w:lvl w:ilvl="2" w:tentative="0">
      <w:start w:val="1"/>
      <w:numFmt w:val="lowerRoman"/>
      <w:lvlText w:val="%3."/>
      <w:lvlJc w:val="right"/>
      <w:pPr>
        <w:tabs>
          <w:tab w:val="left" w:pos="0"/>
        </w:tabs>
        <w:ind w:left="2540" w:hanging="420"/>
      </w:pPr>
    </w:lvl>
    <w:lvl w:ilvl="3" w:tentative="0">
      <w:start w:val="1"/>
      <w:numFmt w:val="decimal"/>
      <w:lvlText w:val="%4."/>
      <w:lvlJc w:val="left"/>
      <w:pPr>
        <w:tabs>
          <w:tab w:val="left" w:pos="0"/>
        </w:tabs>
        <w:ind w:left="2960" w:hanging="420"/>
      </w:pPr>
    </w:lvl>
    <w:lvl w:ilvl="4" w:tentative="0">
      <w:start w:val="1"/>
      <w:numFmt w:val="lowerLetter"/>
      <w:lvlText w:val="%5)"/>
      <w:lvlJc w:val="left"/>
      <w:pPr>
        <w:tabs>
          <w:tab w:val="left" w:pos="0"/>
        </w:tabs>
        <w:ind w:left="3380" w:hanging="420"/>
      </w:pPr>
    </w:lvl>
    <w:lvl w:ilvl="5" w:tentative="0">
      <w:start w:val="1"/>
      <w:numFmt w:val="lowerRoman"/>
      <w:lvlText w:val="%6."/>
      <w:lvlJc w:val="right"/>
      <w:pPr>
        <w:tabs>
          <w:tab w:val="left" w:pos="0"/>
        </w:tabs>
        <w:ind w:left="3800" w:hanging="420"/>
      </w:pPr>
    </w:lvl>
    <w:lvl w:ilvl="6" w:tentative="0">
      <w:start w:val="1"/>
      <w:numFmt w:val="decimal"/>
      <w:lvlText w:val="%7."/>
      <w:lvlJc w:val="left"/>
      <w:pPr>
        <w:tabs>
          <w:tab w:val="left" w:pos="0"/>
        </w:tabs>
        <w:ind w:left="4220" w:hanging="420"/>
      </w:pPr>
    </w:lvl>
    <w:lvl w:ilvl="7" w:tentative="0">
      <w:start w:val="1"/>
      <w:numFmt w:val="lowerLetter"/>
      <w:lvlText w:val="%8)"/>
      <w:lvlJc w:val="left"/>
      <w:pPr>
        <w:tabs>
          <w:tab w:val="left" w:pos="0"/>
        </w:tabs>
        <w:ind w:left="4640" w:hanging="420"/>
      </w:pPr>
    </w:lvl>
    <w:lvl w:ilvl="8" w:tentative="0">
      <w:start w:val="1"/>
      <w:numFmt w:val="lowerRoman"/>
      <w:lvlText w:val="%9."/>
      <w:lvlJc w:val="right"/>
      <w:pPr>
        <w:tabs>
          <w:tab w:val="left" w:pos="0"/>
        </w:tabs>
        <w:ind w:left="5060" w:hanging="420"/>
      </w:pPr>
    </w:lvl>
  </w:abstractNum>
  <w:abstractNum w:abstractNumId="8">
    <w:nsid w:val="4C1BAE26"/>
    <w:multiLevelType w:val="multilevel"/>
    <w:tmpl w:val="4C1BAE26"/>
    <w:lvl w:ilvl="0" w:tentative="0">
      <w:start w:val="22"/>
      <w:numFmt w:val="decimal"/>
      <w:lvlText w:val="%1"/>
      <w:lvlJc w:val="left"/>
      <w:pPr>
        <w:ind w:left="320" w:hanging="540"/>
      </w:pPr>
      <w:rPr>
        <w:rFonts w:hint="default"/>
        <w:lang w:val="zh-CN" w:eastAsia="zh-CN" w:bidi="zh-CN"/>
      </w:rPr>
    </w:lvl>
    <w:lvl w:ilvl="1" w:tentative="0">
      <w:start w:val="1"/>
      <w:numFmt w:val="decimal"/>
      <w:lvlText w:val="%1.%2"/>
      <w:lvlJc w:val="left"/>
      <w:pPr>
        <w:ind w:left="3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540"/>
      </w:pPr>
      <w:rPr>
        <w:rFonts w:hint="default"/>
        <w:lang w:val="zh-CN" w:eastAsia="zh-CN" w:bidi="zh-CN"/>
      </w:rPr>
    </w:lvl>
    <w:lvl w:ilvl="3" w:tentative="0">
      <w:start w:val="0"/>
      <w:numFmt w:val="bullet"/>
      <w:lvlText w:val="•"/>
      <w:lvlJc w:val="left"/>
      <w:pPr>
        <w:ind w:left="3177" w:hanging="540"/>
      </w:pPr>
      <w:rPr>
        <w:rFonts w:hint="default"/>
        <w:lang w:val="zh-CN" w:eastAsia="zh-CN" w:bidi="zh-CN"/>
      </w:rPr>
    </w:lvl>
    <w:lvl w:ilvl="4" w:tentative="0">
      <w:start w:val="0"/>
      <w:numFmt w:val="bullet"/>
      <w:lvlText w:val="•"/>
      <w:lvlJc w:val="left"/>
      <w:pPr>
        <w:ind w:left="4130" w:hanging="540"/>
      </w:pPr>
      <w:rPr>
        <w:rFonts w:hint="default"/>
        <w:lang w:val="zh-CN" w:eastAsia="zh-CN" w:bidi="zh-CN"/>
      </w:rPr>
    </w:lvl>
    <w:lvl w:ilvl="5" w:tentative="0">
      <w:start w:val="0"/>
      <w:numFmt w:val="bullet"/>
      <w:lvlText w:val="•"/>
      <w:lvlJc w:val="left"/>
      <w:pPr>
        <w:ind w:left="5083" w:hanging="540"/>
      </w:pPr>
      <w:rPr>
        <w:rFonts w:hint="default"/>
        <w:lang w:val="zh-CN" w:eastAsia="zh-CN" w:bidi="zh-CN"/>
      </w:rPr>
    </w:lvl>
    <w:lvl w:ilvl="6" w:tentative="0">
      <w:start w:val="0"/>
      <w:numFmt w:val="bullet"/>
      <w:lvlText w:val="•"/>
      <w:lvlJc w:val="left"/>
      <w:pPr>
        <w:ind w:left="6035" w:hanging="540"/>
      </w:pPr>
      <w:rPr>
        <w:rFonts w:hint="default"/>
        <w:lang w:val="zh-CN" w:eastAsia="zh-CN" w:bidi="zh-CN"/>
      </w:rPr>
    </w:lvl>
    <w:lvl w:ilvl="7" w:tentative="0">
      <w:start w:val="0"/>
      <w:numFmt w:val="bullet"/>
      <w:lvlText w:val="•"/>
      <w:lvlJc w:val="left"/>
      <w:pPr>
        <w:ind w:left="6988" w:hanging="540"/>
      </w:pPr>
      <w:rPr>
        <w:rFonts w:hint="default"/>
        <w:lang w:val="zh-CN" w:eastAsia="zh-CN" w:bidi="zh-CN"/>
      </w:rPr>
    </w:lvl>
    <w:lvl w:ilvl="8" w:tentative="0">
      <w:start w:val="0"/>
      <w:numFmt w:val="bullet"/>
      <w:lvlText w:val="•"/>
      <w:lvlJc w:val="left"/>
      <w:pPr>
        <w:ind w:left="7940" w:hanging="540"/>
      </w:pPr>
      <w:rPr>
        <w:rFonts w:hint="default"/>
        <w:lang w:val="zh-CN" w:eastAsia="zh-CN" w:bidi="zh-CN"/>
      </w:rPr>
    </w:lvl>
  </w:abstractNum>
  <w:abstractNum w:abstractNumId="9">
    <w:nsid w:val="4D4DC07F"/>
    <w:multiLevelType w:val="multilevel"/>
    <w:tmpl w:val="4D4DC07F"/>
    <w:lvl w:ilvl="0" w:tentative="0">
      <w:start w:val="17"/>
      <w:numFmt w:val="decimal"/>
      <w:lvlText w:val="%1"/>
      <w:lvlJc w:val="left"/>
      <w:pPr>
        <w:ind w:left="320" w:hanging="540"/>
      </w:pPr>
      <w:rPr>
        <w:rFonts w:hint="default"/>
        <w:lang w:val="zh-CN" w:eastAsia="zh-CN" w:bidi="zh-CN"/>
      </w:rPr>
    </w:lvl>
    <w:lvl w:ilvl="1" w:tentative="0">
      <w:start w:val="1"/>
      <w:numFmt w:val="decimal"/>
      <w:lvlText w:val="%1.%2"/>
      <w:lvlJc w:val="left"/>
      <w:pPr>
        <w:ind w:left="3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540"/>
      </w:pPr>
      <w:rPr>
        <w:rFonts w:hint="default"/>
        <w:lang w:val="zh-CN" w:eastAsia="zh-CN" w:bidi="zh-CN"/>
      </w:rPr>
    </w:lvl>
    <w:lvl w:ilvl="3" w:tentative="0">
      <w:start w:val="0"/>
      <w:numFmt w:val="bullet"/>
      <w:lvlText w:val="•"/>
      <w:lvlJc w:val="left"/>
      <w:pPr>
        <w:ind w:left="3177" w:hanging="540"/>
      </w:pPr>
      <w:rPr>
        <w:rFonts w:hint="default"/>
        <w:lang w:val="zh-CN" w:eastAsia="zh-CN" w:bidi="zh-CN"/>
      </w:rPr>
    </w:lvl>
    <w:lvl w:ilvl="4" w:tentative="0">
      <w:start w:val="0"/>
      <w:numFmt w:val="bullet"/>
      <w:lvlText w:val="•"/>
      <w:lvlJc w:val="left"/>
      <w:pPr>
        <w:ind w:left="4130" w:hanging="540"/>
      </w:pPr>
      <w:rPr>
        <w:rFonts w:hint="default"/>
        <w:lang w:val="zh-CN" w:eastAsia="zh-CN" w:bidi="zh-CN"/>
      </w:rPr>
    </w:lvl>
    <w:lvl w:ilvl="5" w:tentative="0">
      <w:start w:val="0"/>
      <w:numFmt w:val="bullet"/>
      <w:lvlText w:val="•"/>
      <w:lvlJc w:val="left"/>
      <w:pPr>
        <w:ind w:left="5083" w:hanging="540"/>
      </w:pPr>
      <w:rPr>
        <w:rFonts w:hint="default"/>
        <w:lang w:val="zh-CN" w:eastAsia="zh-CN" w:bidi="zh-CN"/>
      </w:rPr>
    </w:lvl>
    <w:lvl w:ilvl="6" w:tentative="0">
      <w:start w:val="0"/>
      <w:numFmt w:val="bullet"/>
      <w:lvlText w:val="•"/>
      <w:lvlJc w:val="left"/>
      <w:pPr>
        <w:ind w:left="6035" w:hanging="540"/>
      </w:pPr>
      <w:rPr>
        <w:rFonts w:hint="default"/>
        <w:lang w:val="zh-CN" w:eastAsia="zh-CN" w:bidi="zh-CN"/>
      </w:rPr>
    </w:lvl>
    <w:lvl w:ilvl="7" w:tentative="0">
      <w:start w:val="0"/>
      <w:numFmt w:val="bullet"/>
      <w:lvlText w:val="•"/>
      <w:lvlJc w:val="left"/>
      <w:pPr>
        <w:ind w:left="6988" w:hanging="540"/>
      </w:pPr>
      <w:rPr>
        <w:rFonts w:hint="default"/>
        <w:lang w:val="zh-CN" w:eastAsia="zh-CN" w:bidi="zh-CN"/>
      </w:rPr>
    </w:lvl>
    <w:lvl w:ilvl="8" w:tentative="0">
      <w:start w:val="0"/>
      <w:numFmt w:val="bullet"/>
      <w:lvlText w:val="•"/>
      <w:lvlJc w:val="left"/>
      <w:pPr>
        <w:ind w:left="7940" w:hanging="540"/>
      </w:pPr>
      <w:rPr>
        <w:rFonts w:hint="default"/>
        <w:lang w:val="zh-CN" w:eastAsia="zh-CN" w:bidi="zh-CN"/>
      </w:rPr>
    </w:lvl>
  </w:abstractNum>
  <w:abstractNum w:abstractNumId="10">
    <w:nsid w:val="60382F6E"/>
    <w:multiLevelType w:val="multilevel"/>
    <w:tmpl w:val="60382F6E"/>
    <w:lvl w:ilvl="0" w:tentative="0">
      <w:start w:val="23"/>
      <w:numFmt w:val="decimal"/>
      <w:lvlText w:val="%1"/>
      <w:lvlJc w:val="left"/>
      <w:pPr>
        <w:ind w:left="1280" w:hanging="540"/>
      </w:pPr>
      <w:rPr>
        <w:rFonts w:hint="default"/>
        <w:lang w:val="zh-CN" w:eastAsia="zh-CN" w:bidi="zh-CN"/>
      </w:rPr>
    </w:lvl>
    <w:lvl w:ilvl="1" w:tentative="0">
      <w:start w:val="1"/>
      <w:numFmt w:val="decimal"/>
      <w:lvlText w:val="%1.%2"/>
      <w:lvlJc w:val="left"/>
      <w:pPr>
        <w:ind w:left="1280" w:hanging="540"/>
      </w:pPr>
      <w:rPr>
        <w:rFonts w:hint="default" w:ascii="宋体" w:hAnsi="宋体" w:eastAsia="宋体" w:cs="宋体"/>
        <w:w w:val="100"/>
        <w:sz w:val="24"/>
        <w:szCs w:val="24"/>
        <w:lang w:val="zh-CN" w:eastAsia="zh-CN" w:bidi="zh-CN"/>
      </w:rPr>
    </w:lvl>
    <w:lvl w:ilvl="2" w:tentative="0">
      <w:start w:val="1"/>
      <w:numFmt w:val="decimal"/>
      <w:lvlText w:val="%1.%2.%3"/>
      <w:lvlJc w:val="left"/>
      <w:pPr>
        <w:ind w:left="1520" w:hanging="780"/>
      </w:pPr>
      <w:rPr>
        <w:rFonts w:hint="default" w:ascii="宋体" w:hAnsi="宋体" w:eastAsia="宋体" w:cs="宋体"/>
        <w:w w:val="100"/>
        <w:sz w:val="24"/>
        <w:szCs w:val="24"/>
        <w:lang w:val="zh-CN" w:eastAsia="zh-CN" w:bidi="zh-CN"/>
      </w:rPr>
    </w:lvl>
    <w:lvl w:ilvl="3" w:tentative="0">
      <w:start w:val="0"/>
      <w:numFmt w:val="bullet"/>
      <w:lvlText w:val="•"/>
      <w:lvlJc w:val="left"/>
      <w:pPr>
        <w:ind w:left="3370" w:hanging="780"/>
      </w:pPr>
      <w:rPr>
        <w:rFonts w:hint="default"/>
        <w:lang w:val="zh-CN" w:eastAsia="zh-CN" w:bidi="zh-CN"/>
      </w:rPr>
    </w:lvl>
    <w:lvl w:ilvl="4" w:tentative="0">
      <w:start w:val="0"/>
      <w:numFmt w:val="bullet"/>
      <w:lvlText w:val="•"/>
      <w:lvlJc w:val="left"/>
      <w:pPr>
        <w:ind w:left="4295" w:hanging="780"/>
      </w:pPr>
      <w:rPr>
        <w:rFonts w:hint="default"/>
        <w:lang w:val="zh-CN" w:eastAsia="zh-CN" w:bidi="zh-CN"/>
      </w:rPr>
    </w:lvl>
    <w:lvl w:ilvl="5" w:tentative="0">
      <w:start w:val="0"/>
      <w:numFmt w:val="bullet"/>
      <w:lvlText w:val="•"/>
      <w:lvlJc w:val="left"/>
      <w:pPr>
        <w:ind w:left="5220" w:hanging="780"/>
      </w:pPr>
      <w:rPr>
        <w:rFonts w:hint="default"/>
        <w:lang w:val="zh-CN" w:eastAsia="zh-CN" w:bidi="zh-CN"/>
      </w:rPr>
    </w:lvl>
    <w:lvl w:ilvl="6" w:tentative="0">
      <w:start w:val="0"/>
      <w:numFmt w:val="bullet"/>
      <w:lvlText w:val="•"/>
      <w:lvlJc w:val="left"/>
      <w:pPr>
        <w:ind w:left="6145" w:hanging="780"/>
      </w:pPr>
      <w:rPr>
        <w:rFonts w:hint="default"/>
        <w:lang w:val="zh-CN" w:eastAsia="zh-CN" w:bidi="zh-CN"/>
      </w:rPr>
    </w:lvl>
    <w:lvl w:ilvl="7" w:tentative="0">
      <w:start w:val="0"/>
      <w:numFmt w:val="bullet"/>
      <w:lvlText w:val="•"/>
      <w:lvlJc w:val="left"/>
      <w:pPr>
        <w:ind w:left="7070" w:hanging="780"/>
      </w:pPr>
      <w:rPr>
        <w:rFonts w:hint="default"/>
        <w:lang w:val="zh-CN" w:eastAsia="zh-CN" w:bidi="zh-CN"/>
      </w:rPr>
    </w:lvl>
    <w:lvl w:ilvl="8" w:tentative="0">
      <w:start w:val="0"/>
      <w:numFmt w:val="bullet"/>
      <w:lvlText w:val="•"/>
      <w:lvlJc w:val="left"/>
      <w:pPr>
        <w:ind w:left="7995" w:hanging="780"/>
      </w:pPr>
      <w:rPr>
        <w:rFonts w:hint="default"/>
        <w:lang w:val="zh-CN" w:eastAsia="zh-CN" w:bidi="zh-CN"/>
      </w:rPr>
    </w:lvl>
  </w:abstractNum>
  <w:abstractNum w:abstractNumId="11">
    <w:nsid w:val="77B70FC0"/>
    <w:multiLevelType w:val="multilevel"/>
    <w:tmpl w:val="77B70FC0"/>
    <w:lvl w:ilvl="0" w:tentative="0">
      <w:start w:val="1"/>
      <w:numFmt w:val="japaneseCounting"/>
      <w:lvlText w:val="%1、"/>
      <w:lvlJc w:val="left"/>
      <w:pPr>
        <w:tabs>
          <w:tab w:val="left" w:pos="0"/>
        </w:tabs>
        <w:ind w:left="4831" w:hanging="720"/>
      </w:pPr>
    </w:lvl>
    <w:lvl w:ilvl="1" w:tentative="0">
      <w:start w:val="1"/>
      <w:numFmt w:val="lowerLetter"/>
      <w:lvlText w:val="%2)"/>
      <w:lvlJc w:val="left"/>
      <w:pPr>
        <w:tabs>
          <w:tab w:val="left" w:pos="0"/>
        </w:tabs>
        <w:ind w:left="1395" w:hanging="420"/>
      </w:pPr>
    </w:lvl>
    <w:lvl w:ilvl="2" w:tentative="0">
      <w:start w:val="1"/>
      <w:numFmt w:val="lowerRoman"/>
      <w:lvlText w:val="%3."/>
      <w:lvlJc w:val="right"/>
      <w:pPr>
        <w:tabs>
          <w:tab w:val="left" w:pos="0"/>
        </w:tabs>
        <w:ind w:left="1815" w:hanging="420"/>
      </w:pPr>
    </w:lvl>
    <w:lvl w:ilvl="3" w:tentative="0">
      <w:start w:val="1"/>
      <w:numFmt w:val="decimal"/>
      <w:lvlText w:val="%4."/>
      <w:lvlJc w:val="left"/>
      <w:pPr>
        <w:tabs>
          <w:tab w:val="left" w:pos="0"/>
        </w:tabs>
        <w:ind w:left="2235" w:hanging="420"/>
      </w:pPr>
    </w:lvl>
    <w:lvl w:ilvl="4" w:tentative="0">
      <w:start w:val="1"/>
      <w:numFmt w:val="lowerLetter"/>
      <w:lvlText w:val="%5)"/>
      <w:lvlJc w:val="left"/>
      <w:pPr>
        <w:tabs>
          <w:tab w:val="left" w:pos="0"/>
        </w:tabs>
        <w:ind w:left="2655" w:hanging="420"/>
      </w:pPr>
    </w:lvl>
    <w:lvl w:ilvl="5" w:tentative="0">
      <w:start w:val="1"/>
      <w:numFmt w:val="lowerRoman"/>
      <w:lvlText w:val="%6."/>
      <w:lvlJc w:val="right"/>
      <w:pPr>
        <w:tabs>
          <w:tab w:val="left" w:pos="0"/>
        </w:tabs>
        <w:ind w:left="3075" w:hanging="420"/>
      </w:pPr>
    </w:lvl>
    <w:lvl w:ilvl="6" w:tentative="0">
      <w:start w:val="1"/>
      <w:numFmt w:val="decimal"/>
      <w:lvlText w:val="%7."/>
      <w:lvlJc w:val="left"/>
      <w:pPr>
        <w:tabs>
          <w:tab w:val="left" w:pos="0"/>
        </w:tabs>
        <w:ind w:left="3495" w:hanging="420"/>
      </w:pPr>
    </w:lvl>
    <w:lvl w:ilvl="7" w:tentative="0">
      <w:start w:val="1"/>
      <w:numFmt w:val="lowerLetter"/>
      <w:lvlText w:val="%8)"/>
      <w:lvlJc w:val="left"/>
      <w:pPr>
        <w:tabs>
          <w:tab w:val="left" w:pos="0"/>
        </w:tabs>
        <w:ind w:left="3915" w:hanging="420"/>
      </w:pPr>
    </w:lvl>
    <w:lvl w:ilvl="8" w:tentative="0">
      <w:start w:val="1"/>
      <w:numFmt w:val="lowerRoman"/>
      <w:lvlText w:val="%9."/>
      <w:lvlJc w:val="right"/>
      <w:pPr>
        <w:tabs>
          <w:tab w:val="left" w:pos="0"/>
        </w:tabs>
        <w:ind w:left="4335" w:hanging="420"/>
      </w:pPr>
    </w:lvl>
  </w:abstractNum>
  <w:abstractNum w:abstractNumId="12">
    <w:nsid w:val="77ECEA79"/>
    <w:multiLevelType w:val="multilevel"/>
    <w:tmpl w:val="77ECEA79"/>
    <w:lvl w:ilvl="0" w:tentative="0">
      <w:start w:val="1"/>
      <w:numFmt w:val="decimal"/>
      <w:lvlText w:val="（%1）"/>
      <w:lvlJc w:val="left"/>
      <w:pPr>
        <w:ind w:left="1341"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190" w:hanging="601"/>
      </w:pPr>
      <w:rPr>
        <w:rFonts w:hint="default"/>
        <w:lang w:val="zh-CN" w:eastAsia="zh-CN" w:bidi="zh-CN"/>
      </w:rPr>
    </w:lvl>
    <w:lvl w:ilvl="2" w:tentative="0">
      <w:start w:val="0"/>
      <w:numFmt w:val="bullet"/>
      <w:lvlText w:val="•"/>
      <w:lvlJc w:val="left"/>
      <w:pPr>
        <w:ind w:left="3041" w:hanging="601"/>
      </w:pPr>
      <w:rPr>
        <w:rFonts w:hint="default"/>
        <w:lang w:val="zh-CN" w:eastAsia="zh-CN" w:bidi="zh-CN"/>
      </w:rPr>
    </w:lvl>
    <w:lvl w:ilvl="3" w:tentative="0">
      <w:start w:val="0"/>
      <w:numFmt w:val="bullet"/>
      <w:lvlText w:val="•"/>
      <w:lvlJc w:val="left"/>
      <w:pPr>
        <w:ind w:left="3891" w:hanging="601"/>
      </w:pPr>
      <w:rPr>
        <w:rFonts w:hint="default"/>
        <w:lang w:val="zh-CN" w:eastAsia="zh-CN" w:bidi="zh-CN"/>
      </w:rPr>
    </w:lvl>
    <w:lvl w:ilvl="4" w:tentative="0">
      <w:start w:val="0"/>
      <w:numFmt w:val="bullet"/>
      <w:lvlText w:val="•"/>
      <w:lvlJc w:val="left"/>
      <w:pPr>
        <w:ind w:left="4742" w:hanging="601"/>
      </w:pPr>
      <w:rPr>
        <w:rFonts w:hint="default"/>
        <w:lang w:val="zh-CN" w:eastAsia="zh-CN" w:bidi="zh-CN"/>
      </w:rPr>
    </w:lvl>
    <w:lvl w:ilvl="5" w:tentative="0">
      <w:start w:val="0"/>
      <w:numFmt w:val="bullet"/>
      <w:lvlText w:val="•"/>
      <w:lvlJc w:val="left"/>
      <w:pPr>
        <w:ind w:left="5593" w:hanging="601"/>
      </w:pPr>
      <w:rPr>
        <w:rFonts w:hint="default"/>
        <w:lang w:val="zh-CN" w:eastAsia="zh-CN" w:bidi="zh-CN"/>
      </w:rPr>
    </w:lvl>
    <w:lvl w:ilvl="6" w:tentative="0">
      <w:start w:val="0"/>
      <w:numFmt w:val="bullet"/>
      <w:lvlText w:val="•"/>
      <w:lvlJc w:val="left"/>
      <w:pPr>
        <w:ind w:left="6443" w:hanging="601"/>
      </w:pPr>
      <w:rPr>
        <w:rFonts w:hint="default"/>
        <w:lang w:val="zh-CN" w:eastAsia="zh-CN" w:bidi="zh-CN"/>
      </w:rPr>
    </w:lvl>
    <w:lvl w:ilvl="7" w:tentative="0">
      <w:start w:val="0"/>
      <w:numFmt w:val="bullet"/>
      <w:lvlText w:val="•"/>
      <w:lvlJc w:val="left"/>
      <w:pPr>
        <w:ind w:left="7294" w:hanging="601"/>
      </w:pPr>
      <w:rPr>
        <w:rFonts w:hint="default"/>
        <w:lang w:val="zh-CN" w:eastAsia="zh-CN" w:bidi="zh-CN"/>
      </w:rPr>
    </w:lvl>
    <w:lvl w:ilvl="8" w:tentative="0">
      <w:start w:val="0"/>
      <w:numFmt w:val="bullet"/>
      <w:lvlText w:val="•"/>
      <w:lvlJc w:val="left"/>
      <w:pPr>
        <w:ind w:left="8144" w:hanging="601"/>
      </w:pPr>
      <w:rPr>
        <w:rFonts w:hint="default"/>
        <w:lang w:val="zh-CN" w:eastAsia="zh-CN" w:bidi="zh-CN"/>
      </w:rPr>
    </w:lvl>
  </w:abstractNum>
  <w:num w:numId="1">
    <w:abstractNumId w:val="6"/>
  </w:num>
  <w:num w:numId="2">
    <w:abstractNumId w:val="5"/>
  </w:num>
  <w:num w:numId="3">
    <w:abstractNumId w:val="9"/>
  </w:num>
  <w:num w:numId="4">
    <w:abstractNumId w:val="2"/>
  </w:num>
  <w:num w:numId="5">
    <w:abstractNumId w:val="4"/>
  </w:num>
  <w:num w:numId="6">
    <w:abstractNumId w:val="8"/>
  </w:num>
  <w:num w:numId="7">
    <w:abstractNumId w:val="10"/>
  </w:num>
  <w:num w:numId="8">
    <w:abstractNumId w:val="3"/>
  </w:num>
  <w:num w:numId="9">
    <w:abstractNumId w:val="0"/>
  </w:num>
  <w:num w:numId="10">
    <w:abstractNumId w:val="12"/>
  </w:num>
  <w:num w:numId="11">
    <w:abstractNumId w:val="1"/>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86A60"/>
    <w:rsid w:val="0215486B"/>
    <w:rsid w:val="02AF383B"/>
    <w:rsid w:val="073C7E17"/>
    <w:rsid w:val="0DC73F48"/>
    <w:rsid w:val="17793FC0"/>
    <w:rsid w:val="19FE779A"/>
    <w:rsid w:val="200C3C23"/>
    <w:rsid w:val="229879F0"/>
    <w:rsid w:val="22A55C69"/>
    <w:rsid w:val="248A3369"/>
    <w:rsid w:val="260158AC"/>
    <w:rsid w:val="260B672B"/>
    <w:rsid w:val="279B763B"/>
    <w:rsid w:val="2C0B25A4"/>
    <w:rsid w:val="307153DD"/>
    <w:rsid w:val="307E5160"/>
    <w:rsid w:val="308C00E1"/>
    <w:rsid w:val="32685BA8"/>
    <w:rsid w:val="329B20D9"/>
    <w:rsid w:val="32E574BF"/>
    <w:rsid w:val="365E4655"/>
    <w:rsid w:val="3BAB0FA5"/>
    <w:rsid w:val="3F894D78"/>
    <w:rsid w:val="3FFD7A0B"/>
    <w:rsid w:val="42E67EAC"/>
    <w:rsid w:val="433477EB"/>
    <w:rsid w:val="438576C5"/>
    <w:rsid w:val="44113105"/>
    <w:rsid w:val="4A657908"/>
    <w:rsid w:val="4D0F7033"/>
    <w:rsid w:val="4DAA5E95"/>
    <w:rsid w:val="505E72D4"/>
    <w:rsid w:val="52BB0A0D"/>
    <w:rsid w:val="52F65EE9"/>
    <w:rsid w:val="532145E9"/>
    <w:rsid w:val="544224B6"/>
    <w:rsid w:val="58FD3402"/>
    <w:rsid w:val="5A843DDB"/>
    <w:rsid w:val="5BFA7708"/>
    <w:rsid w:val="5C7543D7"/>
    <w:rsid w:val="61EE2B35"/>
    <w:rsid w:val="65705EF9"/>
    <w:rsid w:val="65C71020"/>
    <w:rsid w:val="67BE3614"/>
    <w:rsid w:val="696E4CB7"/>
    <w:rsid w:val="697F0EC5"/>
    <w:rsid w:val="6C3F5DB4"/>
    <w:rsid w:val="6CC87B57"/>
    <w:rsid w:val="6D2A675E"/>
    <w:rsid w:val="6ECF78C3"/>
    <w:rsid w:val="721849C8"/>
    <w:rsid w:val="734463A5"/>
    <w:rsid w:val="73E07E7C"/>
    <w:rsid w:val="751853F4"/>
    <w:rsid w:val="754937FF"/>
    <w:rsid w:val="76E70544"/>
    <w:rsid w:val="785F6E1C"/>
    <w:rsid w:val="7B3D79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1" w:semiHidden="0"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45"/>
    <w:qFormat/>
    <w:uiPriority w:val="0"/>
    <w:pPr>
      <w:widowControl w:val="0"/>
      <w:jc w:val="both"/>
    </w:pPr>
    <w:rPr>
      <w:rFonts w:ascii="Calibri" w:hAnsi="Calibri" w:eastAsia="宋体" w:cstheme="minorBidi"/>
      <w:kern w:val="2"/>
      <w:sz w:val="21"/>
      <w:szCs w:val="22"/>
      <w:lang w:val="en-US" w:eastAsia="zh-CN" w:bidi="ar-SA"/>
    </w:rPr>
  </w:style>
  <w:style w:type="paragraph" w:styleId="2">
    <w:name w:val="heading 2"/>
    <w:basedOn w:val="1"/>
    <w:next w:val="1"/>
    <w:qFormat/>
    <w:uiPriority w:val="9"/>
    <w:pPr>
      <w:keepNext/>
      <w:keepLines/>
      <w:spacing w:before="260" w:after="260" w:line="415" w:lineRule="auto"/>
      <w:outlineLvl w:val="1"/>
    </w:pPr>
    <w:rPr>
      <w:rFonts w:ascii="Arial" w:hAnsi="Arial" w:eastAsia="黑体"/>
      <w:b/>
      <w:bCs/>
      <w:sz w:val="32"/>
      <w:szCs w:val="32"/>
    </w:rPr>
  </w:style>
  <w:style w:type="paragraph" w:styleId="3">
    <w:name w:val="heading 4"/>
    <w:basedOn w:val="1"/>
    <w:next w:val="1"/>
    <w:qFormat/>
    <w:uiPriority w:val="1"/>
    <w:pPr>
      <w:ind w:left="740"/>
      <w:outlineLvl w:val="3"/>
    </w:pPr>
    <w:rPr>
      <w:b/>
      <w:bCs/>
      <w:sz w:val="24"/>
      <w:szCs w:val="24"/>
    </w:rPr>
  </w:style>
  <w:style w:type="paragraph" w:styleId="4">
    <w:name w:val="heading 6"/>
    <w:basedOn w:val="1"/>
    <w:qFormat/>
    <w:uiPriority w:val="1"/>
    <w:pPr>
      <w:spacing w:before="56"/>
      <w:jc w:val="center"/>
      <w:outlineLvl w:val="6"/>
    </w:pPr>
    <w:rPr>
      <w:rFonts w:ascii="宋体" w:hAnsi="宋体" w:eastAsia="宋体" w:cs="宋体"/>
      <w:b/>
      <w:bCs/>
      <w:sz w:val="24"/>
      <w:szCs w:val="24"/>
      <w:lang w:val="en-US" w:eastAsia="zh-CN" w:bidi="ar-SA"/>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Calibri" w:hAnsi="Calibri" w:eastAsia="宋体" w:cs="Times New Roman"/>
      <w:sz w:val="28"/>
      <w:szCs w:val="28"/>
    </w:rPr>
  </w:style>
  <w:style w:type="paragraph" w:styleId="6">
    <w:name w:val="Body Text"/>
    <w:basedOn w:val="1"/>
    <w:next w:val="7"/>
    <w:unhideWhenUsed/>
    <w:qFormat/>
    <w:uiPriority w:val="99"/>
    <w:pPr>
      <w:spacing w:after="120"/>
    </w:pPr>
  </w:style>
  <w:style w:type="paragraph" w:styleId="7">
    <w:name w:val="Body Text 2"/>
    <w:basedOn w:val="1"/>
    <w:next w:val="8"/>
    <w:qFormat/>
    <w:uiPriority w:val="0"/>
    <w:pPr>
      <w:spacing w:line="480" w:lineRule="auto"/>
    </w:pPr>
    <w:rPr>
      <w:sz w:val="28"/>
    </w:rPr>
  </w:style>
  <w:style w:type="paragraph" w:styleId="8">
    <w:name w:val="Plain Text"/>
    <w:basedOn w:val="1"/>
    <w:unhideWhenUsed/>
    <w:qFormat/>
    <w:uiPriority w:val="0"/>
    <w:pPr>
      <w:widowControl w:val="0"/>
      <w:jc w:val="both"/>
    </w:pPr>
    <w:rPr>
      <w:rFonts w:ascii="宋体" w:hAnsi="Courier New"/>
    </w:rPr>
  </w:style>
  <w:style w:type="paragraph" w:styleId="9">
    <w:name w:val="Body Text Indent"/>
    <w:basedOn w:val="1"/>
    <w:unhideWhenUsed/>
    <w:qFormat/>
    <w:uiPriority w:val="0"/>
    <w:pPr>
      <w:spacing w:line="360" w:lineRule="auto"/>
      <w:ind w:firstLine="482" w:firstLineChars="100"/>
      <w:jc w:val="center"/>
    </w:pPr>
    <w:rPr>
      <w:rFonts w:ascii="黑体" w:eastAsia="黑体" w:cs="Times New Roman"/>
      <w:b/>
      <w:sz w:val="48"/>
      <w:szCs w:val="28"/>
    </w:rPr>
  </w:style>
  <w:style w:type="paragraph" w:styleId="10">
    <w:name w:val="footer"/>
    <w:basedOn w:val="1"/>
    <w:qFormat/>
    <w:uiPriority w:val="0"/>
    <w:pPr>
      <w:tabs>
        <w:tab w:val="center" w:pos="4153"/>
        <w:tab w:val="right" w:pos="8306"/>
      </w:tabs>
      <w:snapToGrid w:val="0"/>
      <w:jc w:val="left"/>
    </w:pPr>
    <w:rPr>
      <w:sz w:val="18"/>
    </w:rPr>
  </w:style>
  <w:style w:type="paragraph" w:styleId="11">
    <w:name w:val="toc 1"/>
    <w:basedOn w:val="1"/>
    <w:next w:val="1"/>
    <w:qFormat/>
    <w:uiPriority w:val="0"/>
  </w:style>
  <w:style w:type="paragraph" w:styleId="1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3">
    <w:name w:val="Body Text First Indent"/>
    <w:basedOn w:val="6"/>
    <w:unhideWhenUsed/>
    <w:qFormat/>
    <w:uiPriority w:val="99"/>
    <w:pPr>
      <w:spacing w:before="100" w:beforeAutospacing="1" w:after="0"/>
      <w:ind w:firstLine="420" w:firstLineChars="100"/>
      <w:jc w:val="left"/>
      <w:textAlignment w:val="auto"/>
    </w:pPr>
    <w:rPr>
      <w:rFonts w:ascii="仿宋体"/>
      <w:kern w:val="0"/>
      <w:sz w:val="20"/>
      <w:szCs w:val="20"/>
    </w:rPr>
  </w:style>
  <w:style w:type="table" w:styleId="15">
    <w:name w:val="Table Grid"/>
    <w:basedOn w:val="1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FollowedHyperlink"/>
    <w:basedOn w:val="16"/>
    <w:qFormat/>
    <w:uiPriority w:val="0"/>
    <w:rPr>
      <w:color w:val="800080"/>
      <w:u w:val="none"/>
    </w:rPr>
  </w:style>
  <w:style w:type="character" w:styleId="19">
    <w:name w:val="HTML Definition"/>
    <w:basedOn w:val="16"/>
    <w:qFormat/>
    <w:uiPriority w:val="0"/>
  </w:style>
  <w:style w:type="character" w:styleId="20">
    <w:name w:val="HTML Typewriter"/>
    <w:basedOn w:val="16"/>
    <w:qFormat/>
    <w:uiPriority w:val="0"/>
    <w:rPr>
      <w:rFonts w:ascii="monospace" w:hAnsi="monospace" w:eastAsia="monospace" w:cs="monospace"/>
      <w:sz w:val="20"/>
    </w:rPr>
  </w:style>
  <w:style w:type="character" w:styleId="21">
    <w:name w:val="HTML Acronym"/>
    <w:basedOn w:val="16"/>
    <w:qFormat/>
    <w:uiPriority w:val="0"/>
  </w:style>
  <w:style w:type="character" w:styleId="22">
    <w:name w:val="HTML Variable"/>
    <w:basedOn w:val="16"/>
    <w:qFormat/>
    <w:uiPriority w:val="0"/>
  </w:style>
  <w:style w:type="character" w:styleId="23">
    <w:name w:val="Hyperlink"/>
    <w:basedOn w:val="16"/>
    <w:qFormat/>
    <w:uiPriority w:val="0"/>
    <w:rPr>
      <w:color w:val="0000FF"/>
      <w:u w:val="none"/>
    </w:rPr>
  </w:style>
  <w:style w:type="character" w:styleId="24">
    <w:name w:val="HTML Code"/>
    <w:basedOn w:val="16"/>
    <w:qFormat/>
    <w:uiPriority w:val="0"/>
    <w:rPr>
      <w:rFonts w:hint="default" w:ascii="monospace" w:hAnsi="monospace" w:eastAsia="monospace" w:cs="monospace"/>
      <w:sz w:val="20"/>
    </w:rPr>
  </w:style>
  <w:style w:type="character" w:styleId="25">
    <w:name w:val="HTML Cite"/>
    <w:basedOn w:val="16"/>
    <w:qFormat/>
    <w:uiPriority w:val="0"/>
  </w:style>
  <w:style w:type="character" w:styleId="26">
    <w:name w:val="HTML Keyboard"/>
    <w:basedOn w:val="16"/>
    <w:qFormat/>
    <w:uiPriority w:val="0"/>
    <w:rPr>
      <w:rFonts w:hint="default" w:ascii="monospace" w:hAnsi="monospace" w:eastAsia="monospace" w:cs="monospace"/>
      <w:sz w:val="20"/>
    </w:rPr>
  </w:style>
  <w:style w:type="character" w:styleId="27">
    <w:name w:val="HTML Sample"/>
    <w:basedOn w:val="16"/>
    <w:qFormat/>
    <w:uiPriority w:val="0"/>
    <w:rPr>
      <w:rFonts w:hint="default" w:ascii="monospace" w:hAnsi="monospace" w:eastAsia="monospace" w:cs="monospace"/>
    </w:rPr>
  </w:style>
  <w:style w:type="paragraph" w:customStyle="1" w:styleId="28">
    <w:name w:val="正文首行缩进 21"/>
    <w:basedOn w:val="29"/>
    <w:autoRedefine/>
    <w:qFormat/>
    <w:uiPriority w:val="0"/>
    <w:pPr>
      <w:ind w:firstLine="420" w:firstLineChars="200"/>
    </w:pPr>
  </w:style>
  <w:style w:type="paragraph" w:customStyle="1" w:styleId="29">
    <w:name w:val="正文文本缩进1"/>
    <w:basedOn w:val="1"/>
    <w:autoRedefine/>
    <w:qFormat/>
    <w:uiPriority w:val="0"/>
    <w:pPr>
      <w:ind w:left="405"/>
    </w:pPr>
    <w:rPr>
      <w:rFonts w:ascii="宋体" w:hAnsi="宋体"/>
      <w:spacing w:val="-30"/>
      <w:sz w:val="28"/>
      <w:szCs w:val="24"/>
      <w:u w:val="single"/>
    </w:rPr>
  </w:style>
  <w:style w:type="paragraph" w:customStyle="1" w:styleId="30">
    <w:name w:val="样式 标题 2 + Times New Roman 四号 非加粗 段前: 5 磅 段后: 0 磅 行距: 固定值 20..."/>
    <w:basedOn w:val="2"/>
    <w:autoRedefine/>
    <w:qFormat/>
    <w:uiPriority w:val="0"/>
    <w:pPr>
      <w:spacing w:before="100" w:line="400" w:lineRule="exact"/>
    </w:pPr>
    <w:rPr>
      <w:rFonts w:ascii="Times New Roman" w:hAnsi="Times New Roman"/>
      <w:b w:val="0"/>
      <w:bCs w:val="0"/>
      <w:sz w:val="28"/>
      <w:szCs w:val="20"/>
    </w:rPr>
  </w:style>
  <w:style w:type="paragraph" w:styleId="31">
    <w:name w:val="List Paragraph"/>
    <w:basedOn w:val="1"/>
    <w:autoRedefine/>
    <w:qFormat/>
    <w:uiPriority w:val="99"/>
    <w:pPr>
      <w:ind w:firstLine="420" w:firstLineChars="200"/>
    </w:pPr>
  </w:style>
  <w:style w:type="paragraph" w:customStyle="1" w:styleId="32">
    <w:name w:val="Body text|1"/>
    <w:basedOn w:val="1"/>
    <w:qFormat/>
    <w:uiPriority w:val="0"/>
    <w:pPr>
      <w:widowControl w:val="0"/>
      <w:shd w:val="clear" w:color="auto" w:fill="auto"/>
      <w:spacing w:line="454" w:lineRule="auto"/>
      <w:ind w:firstLine="400"/>
    </w:pPr>
    <w:rPr>
      <w:rFonts w:ascii="宋体" w:hAnsi="宋体" w:eastAsia="宋体" w:cs="宋体"/>
      <w:sz w:val="22"/>
      <w:szCs w:val="22"/>
      <w:u w:val="none"/>
      <w:shd w:val="clear" w:color="auto" w:fill="auto"/>
      <w:lang w:val="zh-TW" w:eastAsia="zh-TW" w:bidi="zh-TW"/>
    </w:rPr>
  </w:style>
  <w:style w:type="paragraph" w:customStyle="1" w:styleId="33">
    <w:name w:val="正文首行缩进1"/>
    <w:basedOn w:val="34"/>
    <w:qFormat/>
    <w:uiPriority w:val="0"/>
    <w:pPr>
      <w:ind w:firstLine="420" w:firstLineChars="100"/>
    </w:pPr>
  </w:style>
  <w:style w:type="paragraph" w:customStyle="1" w:styleId="34">
    <w:name w:val="正文文本1"/>
    <w:basedOn w:val="1"/>
    <w:qFormat/>
    <w:uiPriority w:val="0"/>
    <w:pPr>
      <w:spacing w:beforeAutospacing="0" w:after="120" w:afterAutospacing="0"/>
    </w:pPr>
    <w:rPr>
      <w:rFonts w:ascii="Times New Roman" w:hAnsi="Times New Roman"/>
      <w:szCs w:val="24"/>
    </w:rPr>
  </w:style>
  <w:style w:type="paragraph" w:customStyle="1" w:styleId="35">
    <w:name w:val="标题1"/>
    <w:basedOn w:val="1"/>
    <w:qFormat/>
    <w:uiPriority w:val="0"/>
    <w:pPr>
      <w:spacing w:before="240" w:beforeAutospacing="0" w:after="60" w:afterAutospacing="0"/>
      <w:jc w:val="center"/>
      <w:outlineLvl w:val="0"/>
    </w:pPr>
    <w:rPr>
      <w:rFonts w:ascii="Cambria" w:hAnsi="Cambria"/>
      <w:b/>
      <w:bCs/>
      <w:sz w:val="32"/>
      <w:szCs w:val="32"/>
    </w:rPr>
  </w:style>
  <w:style w:type="paragraph" w:customStyle="1" w:styleId="36">
    <w:name w:val="列出段落2"/>
    <w:basedOn w:val="1"/>
    <w:qFormat/>
    <w:uiPriority w:val="0"/>
    <w:pPr>
      <w:ind w:firstLine="420" w:firstLineChars="200"/>
    </w:pPr>
    <w:rPr>
      <w:rFonts w:ascii="Calibri" w:hAnsi="Calibri"/>
      <w:szCs w:val="22"/>
    </w:rPr>
  </w:style>
  <w:style w:type="character" w:customStyle="1" w:styleId="37">
    <w:name w:val="question-title2"/>
    <w:link w:val="1"/>
    <w:autoRedefine/>
    <w:qFormat/>
    <w:uiPriority w:val="0"/>
    <w:rPr>
      <w:rFonts w:ascii="Calibri" w:hAnsi="Calibri" w:eastAsia="宋体" w:cstheme="minorBidi"/>
      <w:kern w:val="2"/>
      <w:sz w:val="21"/>
      <w:szCs w:val="22"/>
      <w:lang w:val="en-US" w:eastAsia="zh-CN" w:bidi="ar-SA"/>
    </w:rPr>
  </w:style>
  <w:style w:type="paragraph" w:customStyle="1" w:styleId="38">
    <w:name w:val="Default"/>
    <w:basedOn w:val="8"/>
    <w:next w:val="1"/>
    <w:qFormat/>
    <w:uiPriority w:val="0"/>
    <w:pPr>
      <w:widowControl w:val="0"/>
      <w:autoSpaceDE w:val="0"/>
      <w:autoSpaceDN w:val="0"/>
    </w:pPr>
    <w:rPr>
      <w:rFonts w:ascii="宋体" w:hAnsi="Times New Roman" w:eastAsia="宋体" w:cstheme="minorBidi"/>
      <w:color w:val="000000"/>
      <w:sz w:val="24"/>
      <w:szCs w:val="22"/>
      <w:lang w:val="en-US" w:eastAsia="zh-CN" w:bidi="ar-SA"/>
    </w:rPr>
  </w:style>
  <w:style w:type="paragraph" w:customStyle="1" w:styleId="39">
    <w:name w:val="我的正文"/>
    <w:basedOn w:val="9"/>
    <w:qFormat/>
    <w:uiPriority w:val="0"/>
    <w:pPr>
      <w:ind w:firstLine="480" w:firstLineChars="200"/>
    </w:pPr>
  </w:style>
  <w:style w:type="paragraph" w:customStyle="1" w:styleId="40">
    <w:name w:val="BodyText1I"/>
    <w:basedOn w:val="41"/>
    <w:qFormat/>
    <w:uiPriority w:val="99"/>
    <w:pPr>
      <w:ind w:firstLine="420" w:firstLineChars="100"/>
    </w:pPr>
  </w:style>
  <w:style w:type="paragraph" w:customStyle="1" w:styleId="41">
    <w:name w:val="BodyText"/>
    <w:basedOn w:val="1"/>
    <w:qFormat/>
    <w:uiPriority w:val="99"/>
    <w:pPr>
      <w:spacing w:after="120"/>
    </w:pPr>
  </w:style>
  <w:style w:type="paragraph" w:customStyle="1" w:styleId="42">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43">
    <w:name w:val="页脚1"/>
    <w:basedOn w:val="1"/>
    <w:qFormat/>
    <w:uiPriority w:val="0"/>
    <w:pPr>
      <w:tabs>
        <w:tab w:val="center" w:pos="4153"/>
        <w:tab w:val="right" w:pos="8306"/>
      </w:tabs>
      <w:snapToGrid w:val="0"/>
      <w:jc w:val="left"/>
    </w:pPr>
    <w:rPr>
      <w:sz w:val="18"/>
      <w:szCs w:val="18"/>
    </w:rPr>
  </w:style>
  <w:style w:type="character" w:customStyle="1" w:styleId="44">
    <w:name w:val="页码1"/>
    <w:basedOn w:val="45"/>
    <w:link w:val="1"/>
    <w:qFormat/>
    <w:uiPriority w:val="0"/>
    <w:rPr>
      <w:rFonts w:ascii="Arial" w:hAnsi="Arial" w:eastAsia="黑体"/>
      <w:kern w:val="2"/>
      <w:sz w:val="21"/>
      <w:szCs w:val="21"/>
      <w:lang w:val="en-US" w:eastAsia="zh-CN" w:bidi="ar-SA"/>
    </w:rPr>
  </w:style>
  <w:style w:type="character" w:customStyle="1" w:styleId="45">
    <w:name w:val="默认段落字体1"/>
    <w:link w:val="1"/>
    <w:autoRedefine/>
    <w:semiHidden/>
    <w:qFormat/>
    <w:uiPriority w:val="0"/>
  </w:style>
  <w:style w:type="character" w:customStyle="1" w:styleId="46">
    <w:name w:val="layui-layer-tabnow"/>
    <w:basedOn w:val="16"/>
    <w:qFormat/>
    <w:uiPriority w:val="0"/>
    <w:rPr>
      <w:bdr w:val="single" w:color="CCCCCC" w:sz="6" w:space="0"/>
      <w:shd w:val="clear" w:fill="FFFFFF"/>
    </w:rPr>
  </w:style>
  <w:style w:type="character" w:customStyle="1" w:styleId="47">
    <w:name w:val="first-child"/>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54</Pages>
  <Words>7352</Words>
  <Characters>8078</Characters>
  <Lines>0</Lines>
  <Paragraphs>0</Paragraphs>
  <TotalTime>61</TotalTime>
  <ScaleCrop>false</ScaleCrop>
  <LinksUpToDate>false</LinksUpToDate>
  <CharactersWithSpaces>8141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2026-08-21T02:33:00Z</dcterms:created>
  <dc:creator>admin</dc:creator>
  <cp:lastModifiedBy>Administrator</cp:lastModifiedBy>
  <cp:lastPrinted>2026-09-10T08:23:00Z</cp:lastPrinted>
  <dcterms:modified xsi:type="dcterms:W3CDTF">2026-09-15T07:09:32Z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eyJoZGlkIjoiMGZiZWI3NzFiOWZhNzMwMDhlMDY5ZDY5OWVmMTI3NzEiLCJ1c2VySWQiOiIyNzAwNDM4NDUifQ==</vt:lpwstr>
  </property>
  <property fmtid="{D5CDD505-2E9C-101B-9397-08002B2CF9AE}" pid="4" name="ICV">
    <vt:lpwstr>E17ABBABC145428C93CFFC27023F2A9B_13</vt:lpwstr>
  </property>
</Properties>
</file>