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E8E1A">
      <w:pPr>
        <w:pStyle w:val="9"/>
        <w:rPr>
          <w:rFonts w:ascii="宋体" w:hAnsi="宋体" w:eastAsia="宋体" w:cs="宋体"/>
        </w:rPr>
      </w:pPr>
    </w:p>
    <w:p w14:paraId="30BDA735">
      <w:pPr>
        <w:pStyle w:val="39"/>
        <w:rPr>
          <w:rFonts w:hAnsi="宋体"/>
          <w:b/>
          <w:bCs/>
          <w:color w:val="auto"/>
          <w:sz w:val="44"/>
          <w:szCs w:val="44"/>
        </w:rPr>
      </w:pPr>
    </w:p>
    <w:p w14:paraId="6C85F04F">
      <w:pPr>
        <w:pStyle w:val="39"/>
        <w:jc w:val="center"/>
        <w:rPr>
          <w:rFonts w:hint="eastAsia" w:hAnsi="宋体" w:eastAsia="宋体"/>
          <w:b/>
          <w:color w:val="auto"/>
          <w:sz w:val="48"/>
          <w:szCs w:val="48"/>
          <w:lang w:eastAsia="zh-CN"/>
        </w:rPr>
      </w:pPr>
      <w:r>
        <w:rPr>
          <w:rFonts w:hint="eastAsia" w:hAnsi="宋体"/>
          <w:b/>
          <w:bCs/>
          <w:color w:val="auto"/>
          <w:sz w:val="48"/>
          <w:szCs w:val="48"/>
          <w:lang w:eastAsia="zh-CN"/>
        </w:rPr>
        <w:t>陈村乡秸秆综合利用配套项目-二标段</w:t>
      </w:r>
    </w:p>
    <w:p w14:paraId="4E8EBB33">
      <w:pPr>
        <w:pStyle w:val="39"/>
        <w:ind w:firstLine="3534" w:firstLineChars="800"/>
        <w:rPr>
          <w:rFonts w:hAnsi="宋体"/>
          <w:b/>
          <w:color w:val="auto"/>
          <w:sz w:val="44"/>
          <w:szCs w:val="44"/>
        </w:rPr>
      </w:pPr>
    </w:p>
    <w:p w14:paraId="36453613">
      <w:pPr>
        <w:pStyle w:val="39"/>
        <w:jc w:val="center"/>
        <w:rPr>
          <w:rFonts w:hAnsi="宋体"/>
          <w:b/>
          <w:color w:val="auto"/>
          <w:sz w:val="48"/>
          <w:szCs w:val="48"/>
        </w:rPr>
      </w:pPr>
    </w:p>
    <w:p w14:paraId="22C17569">
      <w:pPr>
        <w:pStyle w:val="39"/>
        <w:jc w:val="center"/>
        <w:rPr>
          <w:rFonts w:hAnsi="宋体"/>
          <w:b/>
          <w:color w:val="auto"/>
          <w:sz w:val="96"/>
          <w:szCs w:val="96"/>
        </w:rPr>
      </w:pPr>
    </w:p>
    <w:p w14:paraId="0A99C9CF">
      <w:pPr>
        <w:pStyle w:val="39"/>
        <w:jc w:val="center"/>
        <w:rPr>
          <w:rFonts w:hAnsi="宋体"/>
          <w:b/>
          <w:color w:val="auto"/>
          <w:sz w:val="96"/>
          <w:szCs w:val="96"/>
        </w:rPr>
      </w:pPr>
      <w:r>
        <w:rPr>
          <w:rFonts w:hint="eastAsia" w:hAnsi="宋体"/>
          <w:b/>
          <w:color w:val="auto"/>
          <w:sz w:val="96"/>
          <w:szCs w:val="96"/>
        </w:rPr>
        <w:t>招 标 文 件</w:t>
      </w:r>
    </w:p>
    <w:p w14:paraId="6016DDCF">
      <w:pPr>
        <w:pStyle w:val="39"/>
        <w:ind w:firstLine="5783" w:firstLineChars="800"/>
        <w:rPr>
          <w:rFonts w:hAnsi="宋体"/>
          <w:b/>
          <w:color w:val="auto"/>
          <w:sz w:val="72"/>
          <w:szCs w:val="72"/>
        </w:rPr>
      </w:pPr>
    </w:p>
    <w:p w14:paraId="1471611B">
      <w:pPr>
        <w:spacing w:line="360" w:lineRule="auto"/>
        <w:jc w:val="center"/>
        <w:rPr>
          <w:rFonts w:hint="eastAsia" w:ascii="宋体" w:hAnsi="宋体" w:eastAsia="宋体" w:cs="宋体"/>
          <w:color w:val="FF0000"/>
          <w:sz w:val="24"/>
          <w:highlight w:val="none"/>
          <w:lang w:val="en-US" w:eastAsia="zh-CN"/>
        </w:rPr>
      </w:pPr>
      <w:r>
        <w:rPr>
          <w:rFonts w:hint="eastAsia" w:ascii="宋体" w:hAnsi="宋体" w:cs="宋体"/>
          <w:b/>
          <w:sz w:val="30"/>
          <w:szCs w:val="30"/>
          <w:highlight w:val="none"/>
        </w:rPr>
        <w:t>采购编号：</w:t>
      </w:r>
      <w:r>
        <w:rPr>
          <w:rFonts w:hint="eastAsia" w:ascii="宋体" w:hAnsi="宋体" w:cs="宋体"/>
          <w:b/>
          <w:sz w:val="30"/>
          <w:szCs w:val="30"/>
          <w:highlight w:val="none"/>
          <w:lang w:eastAsia="zh-CN"/>
        </w:rPr>
        <w:t>渑池公开采购-2026-36；MCGZ[2026]196-ZC180</w:t>
      </w:r>
    </w:p>
    <w:p w14:paraId="5F02002D">
      <w:pPr>
        <w:spacing w:line="360" w:lineRule="auto"/>
        <w:ind w:firstLine="904" w:firstLineChars="300"/>
        <w:rPr>
          <w:rFonts w:hint="eastAsia" w:ascii="宋体" w:hAnsi="宋体" w:cs="宋体"/>
          <w:b/>
          <w:color w:val="FF0000"/>
          <w:sz w:val="30"/>
          <w:szCs w:val="30"/>
          <w:lang w:val="en-US" w:eastAsia="zh-CN"/>
        </w:rPr>
      </w:pPr>
    </w:p>
    <w:p w14:paraId="47ADB8EE">
      <w:pPr>
        <w:spacing w:line="360" w:lineRule="auto"/>
        <w:ind w:left="-420" w:leftChars="-200" w:firstLine="480" w:firstLineChars="200"/>
        <w:rPr>
          <w:rFonts w:ascii="宋体" w:hAnsi="宋体" w:cs="宋体"/>
          <w:sz w:val="24"/>
        </w:rPr>
      </w:pPr>
    </w:p>
    <w:p w14:paraId="32DDC232">
      <w:pPr>
        <w:ind w:firstLine="532" w:firstLineChars="190"/>
        <w:jc w:val="center"/>
        <w:rPr>
          <w:rFonts w:ascii="宋体" w:hAnsi="宋体" w:cs="宋体"/>
          <w:sz w:val="28"/>
          <w:szCs w:val="28"/>
        </w:rPr>
      </w:pPr>
    </w:p>
    <w:p w14:paraId="24DABD59">
      <w:pPr>
        <w:pStyle w:val="39"/>
        <w:rPr>
          <w:rFonts w:hAnsi="宋体"/>
          <w:color w:val="auto"/>
          <w:sz w:val="28"/>
          <w:szCs w:val="28"/>
        </w:rPr>
      </w:pPr>
    </w:p>
    <w:p w14:paraId="62B3BC3F">
      <w:pPr>
        <w:pStyle w:val="3"/>
        <w:numPr>
          <w:ilvl w:val="1"/>
          <w:numId w:val="0"/>
        </w:numPr>
        <w:jc w:val="both"/>
      </w:pPr>
    </w:p>
    <w:p w14:paraId="54D61D49"/>
    <w:p w14:paraId="14594A2C">
      <w:pPr>
        <w:pStyle w:val="39"/>
        <w:rPr>
          <w:rFonts w:hAnsi="宋体"/>
          <w:color w:val="auto"/>
          <w:sz w:val="28"/>
          <w:szCs w:val="28"/>
        </w:rPr>
      </w:pPr>
    </w:p>
    <w:p w14:paraId="50EC5E20">
      <w:pPr>
        <w:spacing w:line="360" w:lineRule="auto"/>
        <w:ind w:firstLine="1928" w:firstLineChars="600"/>
        <w:rPr>
          <w:rFonts w:hint="eastAsia" w:ascii="宋体" w:hAnsi="宋体" w:eastAsia="宋体" w:cs="宋体"/>
          <w:b/>
          <w:bCs/>
          <w:sz w:val="32"/>
          <w:szCs w:val="32"/>
          <w:lang w:eastAsia="zh-CN"/>
        </w:rPr>
      </w:pPr>
      <w:bookmarkStart w:id="0" w:name="_Toc22804073"/>
      <w:bookmarkEnd w:id="0"/>
      <w:bookmarkStart w:id="1" w:name="_Toc22953395"/>
      <w:bookmarkEnd w:id="1"/>
      <w:r>
        <w:rPr>
          <w:rFonts w:hint="eastAsia" w:ascii="宋体" w:hAnsi="宋体" w:cs="宋体"/>
          <w:b/>
          <w:bCs/>
          <w:sz w:val="32"/>
          <w:szCs w:val="32"/>
        </w:rPr>
        <w:t>采  购 人：</w:t>
      </w:r>
      <w:r>
        <w:rPr>
          <w:rFonts w:hint="eastAsia" w:ascii="宋体" w:hAnsi="宋体" w:cs="宋体"/>
          <w:b/>
          <w:bCs/>
          <w:sz w:val="32"/>
          <w:szCs w:val="32"/>
          <w:lang w:eastAsia="zh-CN"/>
        </w:rPr>
        <w:t>渑池县陈村乡人民政府</w:t>
      </w:r>
    </w:p>
    <w:p w14:paraId="6E288DD4">
      <w:pPr>
        <w:spacing w:line="360" w:lineRule="auto"/>
        <w:ind w:firstLine="1928" w:firstLineChars="600"/>
        <w:rPr>
          <w:rFonts w:hint="eastAsia" w:ascii="宋体" w:hAnsi="宋体" w:eastAsia="宋体" w:cs="宋体"/>
          <w:b/>
          <w:bCs/>
          <w:sz w:val="32"/>
          <w:szCs w:val="32"/>
          <w:lang w:eastAsia="zh-CN"/>
        </w:rPr>
      </w:pPr>
      <w:r>
        <w:rPr>
          <w:rFonts w:hint="eastAsia" w:ascii="宋体" w:hAnsi="宋体" w:cs="宋体"/>
          <w:b/>
          <w:bCs/>
          <w:sz w:val="32"/>
          <w:szCs w:val="32"/>
        </w:rPr>
        <w:t>代理机构：</w:t>
      </w:r>
      <w:r>
        <w:rPr>
          <w:rFonts w:hint="eastAsia" w:ascii="宋体" w:hAnsi="宋体" w:cs="宋体"/>
          <w:b/>
          <w:bCs/>
          <w:sz w:val="32"/>
          <w:szCs w:val="32"/>
          <w:lang w:eastAsia="zh-CN"/>
        </w:rPr>
        <w:t>河南嘉泰工程管理有限公司</w:t>
      </w:r>
    </w:p>
    <w:p w14:paraId="1ED65BB8">
      <w:pPr>
        <w:pStyle w:val="39"/>
        <w:spacing w:line="360" w:lineRule="auto"/>
        <w:ind w:firstLine="1928" w:firstLineChars="600"/>
        <w:jc w:val="both"/>
        <w:rPr>
          <w:rFonts w:hAnsi="宋体"/>
          <w:b/>
          <w:bCs/>
          <w:color w:val="auto"/>
          <w:sz w:val="32"/>
          <w:szCs w:val="32"/>
        </w:rPr>
        <w:sectPr>
          <w:headerReference r:id="rId3" w:type="default"/>
          <w:footerReference r:id="rId4" w:type="default"/>
          <w:pgSz w:w="11906" w:h="16838"/>
          <w:pgMar w:top="1417" w:right="1417" w:bottom="1417" w:left="1417" w:header="777" w:footer="641" w:gutter="0"/>
          <w:pgBorders>
            <w:top w:val="none" w:sz="0" w:space="0"/>
            <w:left w:val="none" w:sz="0" w:space="0"/>
            <w:bottom w:val="none" w:sz="0" w:space="0"/>
            <w:right w:val="none" w:sz="0" w:space="0"/>
          </w:pgBorders>
          <w:cols w:space="720" w:num="1"/>
          <w:titlePg/>
        </w:sectPr>
      </w:pPr>
      <w:r>
        <w:rPr>
          <w:rFonts w:hint="eastAsia" w:hAnsi="宋体"/>
          <w:b/>
          <w:bCs/>
          <w:color w:val="auto"/>
          <w:sz w:val="32"/>
          <w:szCs w:val="32"/>
        </w:rPr>
        <w:t>日    期：二〇二</w:t>
      </w:r>
      <w:r>
        <w:rPr>
          <w:rFonts w:hint="eastAsia" w:hAnsi="宋体"/>
          <w:b/>
          <w:bCs/>
          <w:color w:val="auto"/>
          <w:sz w:val="32"/>
          <w:szCs w:val="32"/>
          <w:lang w:val="en-US" w:eastAsia="zh-CN"/>
        </w:rPr>
        <w:t>六</w:t>
      </w:r>
      <w:r>
        <w:rPr>
          <w:rFonts w:hint="eastAsia" w:hAnsi="宋体"/>
          <w:b/>
          <w:bCs/>
          <w:color w:val="auto"/>
          <w:sz w:val="32"/>
          <w:szCs w:val="32"/>
        </w:rPr>
        <w:t>年</w:t>
      </w:r>
      <w:r>
        <w:rPr>
          <w:rFonts w:hint="eastAsia" w:hAnsi="宋体"/>
          <w:b/>
          <w:bCs/>
          <w:color w:val="auto"/>
          <w:sz w:val="32"/>
          <w:szCs w:val="32"/>
          <w:lang w:val="en-US" w:eastAsia="zh-CN"/>
        </w:rPr>
        <w:t>九</w:t>
      </w:r>
      <w:r>
        <w:rPr>
          <w:rFonts w:hint="eastAsia" w:hAnsi="宋体"/>
          <w:b/>
          <w:bCs/>
          <w:color w:val="auto"/>
          <w:sz w:val="32"/>
          <w:szCs w:val="32"/>
        </w:rPr>
        <w:t>月</w:t>
      </w:r>
    </w:p>
    <w:sdt>
      <w:sdtPr>
        <w:rPr>
          <w:rFonts w:ascii="宋体" w:hAnsi="宋体"/>
          <w:sz w:val="40"/>
          <w:szCs w:val="48"/>
        </w:rPr>
        <w:id w:val="147475256"/>
      </w:sdtPr>
      <w:sdtEndPr>
        <w:rPr>
          <w:rFonts w:ascii="宋体" w:hAnsi="宋体"/>
          <w:color w:val="auto"/>
          <w:sz w:val="40"/>
          <w:szCs w:val="48"/>
        </w:rPr>
      </w:sdtEndPr>
      <w:sdtContent>
        <w:p w14:paraId="77B45F63">
          <w:pPr>
            <w:jc w:val="center"/>
            <w:rPr>
              <w:sz w:val="40"/>
              <w:szCs w:val="48"/>
            </w:rPr>
          </w:pPr>
          <w:bookmarkStart w:id="2" w:name="_Toc4611_WPSOffice_Level1"/>
          <w:bookmarkStart w:id="3" w:name="_Toc25356"/>
          <w:bookmarkStart w:id="4" w:name="_Toc17021"/>
          <w:bookmarkStart w:id="5" w:name="_Toc1022"/>
          <w:r>
            <w:rPr>
              <w:rFonts w:ascii="宋体" w:hAnsi="宋体"/>
              <w:sz w:val="40"/>
              <w:szCs w:val="48"/>
            </w:rPr>
            <w:t>目</w:t>
          </w:r>
          <w:r>
            <w:rPr>
              <w:rFonts w:hint="eastAsia" w:ascii="宋体" w:hAnsi="宋体"/>
              <w:sz w:val="40"/>
              <w:szCs w:val="48"/>
              <w:lang w:val="en-US" w:eastAsia="zh-CN"/>
            </w:rPr>
            <w:t xml:space="preserve">   </w:t>
          </w:r>
          <w:r>
            <w:rPr>
              <w:rFonts w:ascii="宋体" w:hAnsi="宋体"/>
              <w:sz w:val="40"/>
              <w:szCs w:val="48"/>
            </w:rPr>
            <w:t>录</w:t>
          </w:r>
        </w:p>
        <w:p w14:paraId="2F80B8E3">
          <w:pPr>
            <w:pStyle w:val="18"/>
            <w:keepNext w:val="0"/>
            <w:keepLines w:val="0"/>
            <w:pageBreakBefore w:val="0"/>
            <w:widowControl w:val="0"/>
            <w:tabs>
              <w:tab w:val="right" w:leader="dot" w:pos="9072"/>
            </w:tabs>
            <w:kinsoku/>
            <w:wordWrap/>
            <w:overflowPunct/>
            <w:topLinePunct w:val="0"/>
            <w:autoSpaceDE/>
            <w:autoSpaceDN/>
            <w:bidi w:val="0"/>
            <w:adjustRightInd/>
            <w:snapToGrid/>
            <w:spacing w:line="520" w:lineRule="exact"/>
            <w:textAlignment w:val="auto"/>
            <w:rPr>
              <w:rFonts w:hint="eastAsia" w:ascii="宋体" w:hAnsi="宋体" w:eastAsia="宋体" w:cs="宋体"/>
              <w:sz w:val="28"/>
              <w:szCs w:val="36"/>
            </w:rPr>
          </w:pP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TOC \o "1-1" \h \u </w:instrText>
          </w:r>
          <w:r>
            <w:rPr>
              <w:rFonts w:hint="eastAsia" w:ascii="宋体" w:hAnsi="宋体" w:eastAsia="宋体" w:cs="宋体"/>
              <w:sz w:val="28"/>
              <w:szCs w:val="36"/>
            </w:rPr>
            <w:fldChar w:fldCharType="separate"/>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HYPERLINK \l _Toc19041 </w:instrText>
          </w:r>
          <w:r>
            <w:rPr>
              <w:rFonts w:hint="eastAsia" w:ascii="宋体" w:hAnsi="宋体" w:eastAsia="宋体" w:cs="宋体"/>
              <w:sz w:val="28"/>
              <w:szCs w:val="36"/>
            </w:rPr>
            <w:fldChar w:fldCharType="separate"/>
          </w:r>
          <w:r>
            <w:rPr>
              <w:rFonts w:hint="eastAsia" w:ascii="宋体" w:hAnsi="宋体" w:eastAsia="宋体" w:cs="宋体"/>
              <w:sz w:val="28"/>
              <w:szCs w:val="36"/>
              <w:lang w:val="en-US" w:eastAsia="zh-CN"/>
            </w:rPr>
            <w:t xml:space="preserve">第一章  </w:t>
          </w:r>
          <w:r>
            <w:rPr>
              <w:rFonts w:hint="eastAsia" w:ascii="宋体" w:hAnsi="宋体" w:eastAsia="宋体" w:cs="宋体"/>
              <w:sz w:val="28"/>
              <w:szCs w:val="36"/>
            </w:rPr>
            <w:t>招标公告</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_Toc19041 \h </w:instrText>
          </w:r>
          <w:r>
            <w:rPr>
              <w:rFonts w:hint="eastAsia" w:ascii="宋体" w:hAnsi="宋体" w:eastAsia="宋体" w:cs="宋体"/>
              <w:sz w:val="28"/>
              <w:szCs w:val="36"/>
            </w:rPr>
            <w:fldChar w:fldCharType="separate"/>
          </w:r>
          <w:r>
            <w:rPr>
              <w:rFonts w:hint="eastAsia" w:ascii="宋体" w:hAnsi="宋体" w:eastAsia="宋体" w:cs="宋体"/>
              <w:sz w:val="28"/>
              <w:szCs w:val="36"/>
            </w:rPr>
            <w:t>1</w:t>
          </w:r>
          <w:r>
            <w:rPr>
              <w:rFonts w:hint="eastAsia" w:ascii="宋体" w:hAnsi="宋体" w:eastAsia="宋体" w:cs="宋体"/>
              <w:sz w:val="28"/>
              <w:szCs w:val="36"/>
            </w:rPr>
            <w:fldChar w:fldCharType="end"/>
          </w:r>
          <w:r>
            <w:rPr>
              <w:rFonts w:hint="eastAsia" w:ascii="宋体" w:hAnsi="宋体" w:eastAsia="宋体" w:cs="宋体"/>
              <w:sz w:val="28"/>
              <w:szCs w:val="36"/>
            </w:rPr>
            <w:fldChar w:fldCharType="end"/>
          </w:r>
        </w:p>
        <w:p w14:paraId="116E0719">
          <w:pPr>
            <w:pStyle w:val="18"/>
            <w:keepNext w:val="0"/>
            <w:keepLines w:val="0"/>
            <w:pageBreakBefore w:val="0"/>
            <w:widowControl w:val="0"/>
            <w:tabs>
              <w:tab w:val="right" w:leader="dot" w:pos="9072"/>
            </w:tabs>
            <w:kinsoku/>
            <w:wordWrap/>
            <w:overflowPunct/>
            <w:topLinePunct w:val="0"/>
            <w:autoSpaceDE/>
            <w:autoSpaceDN/>
            <w:bidi w:val="0"/>
            <w:adjustRightInd/>
            <w:snapToGrid/>
            <w:spacing w:line="520" w:lineRule="exact"/>
            <w:textAlignment w:val="auto"/>
            <w:rPr>
              <w:rFonts w:hint="eastAsia" w:ascii="宋体" w:hAnsi="宋体" w:eastAsia="宋体" w:cs="宋体"/>
              <w:sz w:val="28"/>
              <w:szCs w:val="36"/>
            </w:rPr>
          </w:pP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HYPERLINK \l _Toc31960 </w:instrText>
          </w:r>
          <w:r>
            <w:rPr>
              <w:rFonts w:hint="eastAsia" w:ascii="宋体" w:hAnsi="宋体" w:eastAsia="宋体" w:cs="宋体"/>
              <w:sz w:val="28"/>
              <w:szCs w:val="36"/>
            </w:rPr>
            <w:fldChar w:fldCharType="separate"/>
          </w:r>
          <w:r>
            <w:rPr>
              <w:rFonts w:hint="eastAsia" w:ascii="宋体" w:hAnsi="宋体" w:eastAsia="宋体" w:cs="宋体"/>
              <w:sz w:val="28"/>
              <w:szCs w:val="36"/>
              <w:lang w:val="en-US" w:eastAsia="zh-CN"/>
            </w:rPr>
            <w:t>第二章</w:t>
          </w:r>
          <w:r>
            <w:rPr>
              <w:rFonts w:hint="eastAsia" w:ascii="宋体" w:hAnsi="宋体" w:eastAsia="宋体" w:cs="宋体"/>
              <w:sz w:val="28"/>
              <w:szCs w:val="36"/>
            </w:rPr>
            <w:t xml:space="preserve">  </w:t>
          </w:r>
          <w:r>
            <w:rPr>
              <w:rFonts w:hint="eastAsia" w:ascii="宋体" w:hAnsi="宋体" w:cs="宋体"/>
              <w:sz w:val="28"/>
              <w:szCs w:val="36"/>
              <w:lang w:eastAsia="zh-CN"/>
            </w:rPr>
            <w:t>供应商</w:t>
          </w:r>
          <w:r>
            <w:rPr>
              <w:rFonts w:hint="eastAsia" w:ascii="宋体" w:hAnsi="宋体" w:eastAsia="宋体" w:cs="宋体"/>
              <w:sz w:val="28"/>
              <w:szCs w:val="36"/>
            </w:rPr>
            <w:t>须知</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_Toc31960 \h </w:instrText>
          </w:r>
          <w:r>
            <w:rPr>
              <w:rFonts w:hint="eastAsia" w:ascii="宋体" w:hAnsi="宋体" w:eastAsia="宋体" w:cs="宋体"/>
              <w:sz w:val="28"/>
              <w:szCs w:val="36"/>
            </w:rPr>
            <w:fldChar w:fldCharType="separate"/>
          </w:r>
          <w:r>
            <w:rPr>
              <w:rFonts w:hint="eastAsia" w:ascii="宋体" w:hAnsi="宋体" w:eastAsia="宋体" w:cs="宋体"/>
              <w:sz w:val="28"/>
              <w:szCs w:val="36"/>
            </w:rPr>
            <w:t>4</w:t>
          </w:r>
          <w:r>
            <w:rPr>
              <w:rFonts w:hint="eastAsia" w:ascii="宋体" w:hAnsi="宋体" w:eastAsia="宋体" w:cs="宋体"/>
              <w:sz w:val="28"/>
              <w:szCs w:val="36"/>
            </w:rPr>
            <w:fldChar w:fldCharType="end"/>
          </w:r>
          <w:r>
            <w:rPr>
              <w:rFonts w:hint="eastAsia" w:ascii="宋体" w:hAnsi="宋体" w:eastAsia="宋体" w:cs="宋体"/>
              <w:sz w:val="28"/>
              <w:szCs w:val="36"/>
            </w:rPr>
            <w:fldChar w:fldCharType="end"/>
          </w:r>
        </w:p>
        <w:p w14:paraId="79AE7223">
          <w:pPr>
            <w:pStyle w:val="18"/>
            <w:keepNext w:val="0"/>
            <w:keepLines w:val="0"/>
            <w:pageBreakBefore w:val="0"/>
            <w:widowControl w:val="0"/>
            <w:tabs>
              <w:tab w:val="right" w:leader="dot" w:pos="9072"/>
            </w:tabs>
            <w:kinsoku/>
            <w:wordWrap/>
            <w:overflowPunct/>
            <w:topLinePunct w:val="0"/>
            <w:autoSpaceDE/>
            <w:autoSpaceDN/>
            <w:bidi w:val="0"/>
            <w:adjustRightInd/>
            <w:snapToGrid/>
            <w:spacing w:line="520" w:lineRule="exact"/>
            <w:textAlignment w:val="auto"/>
            <w:rPr>
              <w:rFonts w:hint="eastAsia" w:ascii="宋体" w:hAnsi="宋体" w:eastAsia="宋体" w:cs="宋体"/>
              <w:sz w:val="28"/>
              <w:szCs w:val="36"/>
            </w:rPr>
          </w:pP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HYPERLINK \l _Toc470 </w:instrText>
          </w:r>
          <w:r>
            <w:rPr>
              <w:rFonts w:hint="eastAsia" w:ascii="宋体" w:hAnsi="宋体" w:eastAsia="宋体" w:cs="宋体"/>
              <w:sz w:val="28"/>
              <w:szCs w:val="36"/>
            </w:rPr>
            <w:fldChar w:fldCharType="separate"/>
          </w:r>
          <w:r>
            <w:rPr>
              <w:rFonts w:hint="eastAsia" w:ascii="宋体" w:hAnsi="宋体" w:eastAsia="宋体" w:cs="宋体"/>
              <w:sz w:val="28"/>
              <w:szCs w:val="36"/>
              <w:lang w:val="en-US" w:eastAsia="zh-CN"/>
            </w:rPr>
            <w:t>第三章  货物清单及参数要求</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_Toc470 \h </w:instrText>
          </w:r>
          <w:r>
            <w:rPr>
              <w:rFonts w:hint="eastAsia" w:ascii="宋体" w:hAnsi="宋体" w:eastAsia="宋体" w:cs="宋体"/>
              <w:sz w:val="28"/>
              <w:szCs w:val="36"/>
            </w:rPr>
            <w:fldChar w:fldCharType="separate"/>
          </w:r>
          <w:r>
            <w:rPr>
              <w:rFonts w:hint="eastAsia" w:ascii="宋体" w:hAnsi="宋体" w:eastAsia="宋体" w:cs="宋体"/>
              <w:sz w:val="28"/>
              <w:szCs w:val="36"/>
            </w:rPr>
            <w:t>20</w:t>
          </w:r>
          <w:r>
            <w:rPr>
              <w:rFonts w:hint="eastAsia" w:ascii="宋体" w:hAnsi="宋体" w:eastAsia="宋体" w:cs="宋体"/>
              <w:sz w:val="28"/>
              <w:szCs w:val="36"/>
            </w:rPr>
            <w:fldChar w:fldCharType="end"/>
          </w:r>
          <w:r>
            <w:rPr>
              <w:rFonts w:hint="eastAsia" w:ascii="宋体" w:hAnsi="宋体" w:eastAsia="宋体" w:cs="宋体"/>
              <w:sz w:val="28"/>
              <w:szCs w:val="36"/>
            </w:rPr>
            <w:fldChar w:fldCharType="end"/>
          </w:r>
        </w:p>
        <w:p w14:paraId="31719DD6">
          <w:pPr>
            <w:pStyle w:val="18"/>
            <w:keepNext w:val="0"/>
            <w:keepLines w:val="0"/>
            <w:pageBreakBefore w:val="0"/>
            <w:widowControl w:val="0"/>
            <w:tabs>
              <w:tab w:val="right" w:leader="dot" w:pos="9072"/>
            </w:tabs>
            <w:kinsoku/>
            <w:wordWrap/>
            <w:overflowPunct/>
            <w:topLinePunct w:val="0"/>
            <w:autoSpaceDE/>
            <w:autoSpaceDN/>
            <w:bidi w:val="0"/>
            <w:adjustRightInd/>
            <w:snapToGrid/>
            <w:spacing w:line="520" w:lineRule="exact"/>
            <w:textAlignment w:val="auto"/>
            <w:rPr>
              <w:rFonts w:hint="eastAsia" w:ascii="宋体" w:hAnsi="宋体" w:eastAsia="宋体" w:cs="宋体"/>
              <w:sz w:val="28"/>
              <w:szCs w:val="36"/>
            </w:rPr>
          </w:pP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HYPERLINK \l _Toc18100 </w:instrText>
          </w:r>
          <w:r>
            <w:rPr>
              <w:rFonts w:hint="eastAsia" w:ascii="宋体" w:hAnsi="宋体" w:eastAsia="宋体" w:cs="宋体"/>
              <w:sz w:val="28"/>
              <w:szCs w:val="36"/>
            </w:rPr>
            <w:fldChar w:fldCharType="separate"/>
          </w:r>
          <w:r>
            <w:rPr>
              <w:rFonts w:hint="eastAsia" w:ascii="宋体" w:hAnsi="宋体" w:eastAsia="宋体" w:cs="宋体"/>
              <w:sz w:val="28"/>
              <w:szCs w:val="36"/>
              <w:lang w:val="en-US" w:eastAsia="zh-CN"/>
            </w:rPr>
            <w:t>第四章  评标办法（综合评分法）</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_Toc18100 \h </w:instrText>
          </w:r>
          <w:r>
            <w:rPr>
              <w:rFonts w:hint="eastAsia" w:ascii="宋体" w:hAnsi="宋体" w:eastAsia="宋体" w:cs="宋体"/>
              <w:sz w:val="28"/>
              <w:szCs w:val="36"/>
            </w:rPr>
            <w:fldChar w:fldCharType="separate"/>
          </w:r>
          <w:r>
            <w:rPr>
              <w:rFonts w:hint="eastAsia" w:ascii="宋体" w:hAnsi="宋体" w:eastAsia="宋体" w:cs="宋体"/>
              <w:sz w:val="28"/>
              <w:szCs w:val="36"/>
            </w:rPr>
            <w:t>25</w:t>
          </w:r>
          <w:r>
            <w:rPr>
              <w:rFonts w:hint="eastAsia" w:ascii="宋体" w:hAnsi="宋体" w:eastAsia="宋体" w:cs="宋体"/>
              <w:sz w:val="28"/>
              <w:szCs w:val="36"/>
            </w:rPr>
            <w:fldChar w:fldCharType="end"/>
          </w:r>
          <w:r>
            <w:rPr>
              <w:rFonts w:hint="eastAsia" w:ascii="宋体" w:hAnsi="宋体" w:eastAsia="宋体" w:cs="宋体"/>
              <w:sz w:val="28"/>
              <w:szCs w:val="36"/>
            </w:rPr>
            <w:fldChar w:fldCharType="end"/>
          </w:r>
        </w:p>
        <w:p w14:paraId="246D019D">
          <w:pPr>
            <w:pStyle w:val="18"/>
            <w:keepNext w:val="0"/>
            <w:keepLines w:val="0"/>
            <w:pageBreakBefore w:val="0"/>
            <w:widowControl w:val="0"/>
            <w:tabs>
              <w:tab w:val="right" w:leader="dot" w:pos="9072"/>
            </w:tabs>
            <w:kinsoku/>
            <w:wordWrap/>
            <w:overflowPunct/>
            <w:topLinePunct w:val="0"/>
            <w:autoSpaceDE/>
            <w:autoSpaceDN/>
            <w:bidi w:val="0"/>
            <w:adjustRightInd/>
            <w:snapToGrid/>
            <w:spacing w:line="520" w:lineRule="exact"/>
            <w:textAlignment w:val="auto"/>
            <w:rPr>
              <w:rFonts w:hint="eastAsia" w:ascii="宋体" w:hAnsi="宋体" w:eastAsia="宋体" w:cs="宋体"/>
              <w:sz w:val="28"/>
              <w:szCs w:val="36"/>
            </w:rPr>
          </w:pP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HYPERLINK \l _Toc5144 </w:instrText>
          </w:r>
          <w:r>
            <w:rPr>
              <w:rFonts w:hint="eastAsia" w:ascii="宋体" w:hAnsi="宋体" w:eastAsia="宋体" w:cs="宋体"/>
              <w:sz w:val="28"/>
              <w:szCs w:val="36"/>
            </w:rPr>
            <w:fldChar w:fldCharType="separate"/>
          </w:r>
          <w:r>
            <w:rPr>
              <w:rFonts w:hint="eastAsia" w:ascii="宋体" w:hAnsi="宋体" w:eastAsia="宋体" w:cs="宋体"/>
              <w:sz w:val="28"/>
              <w:szCs w:val="36"/>
              <w:lang w:val="en-US" w:eastAsia="zh-CN"/>
            </w:rPr>
            <w:t>第五章  合同条款及格式（仅供参考）</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_Toc5144 \h </w:instrText>
          </w:r>
          <w:r>
            <w:rPr>
              <w:rFonts w:hint="eastAsia" w:ascii="宋体" w:hAnsi="宋体" w:eastAsia="宋体" w:cs="宋体"/>
              <w:sz w:val="28"/>
              <w:szCs w:val="36"/>
            </w:rPr>
            <w:fldChar w:fldCharType="separate"/>
          </w:r>
          <w:r>
            <w:rPr>
              <w:rFonts w:hint="eastAsia" w:ascii="宋体" w:hAnsi="宋体" w:eastAsia="宋体" w:cs="宋体"/>
              <w:sz w:val="28"/>
              <w:szCs w:val="36"/>
            </w:rPr>
            <w:t>32</w:t>
          </w:r>
          <w:r>
            <w:rPr>
              <w:rFonts w:hint="eastAsia" w:ascii="宋体" w:hAnsi="宋体" w:eastAsia="宋体" w:cs="宋体"/>
              <w:sz w:val="28"/>
              <w:szCs w:val="36"/>
            </w:rPr>
            <w:fldChar w:fldCharType="end"/>
          </w:r>
          <w:r>
            <w:rPr>
              <w:rFonts w:hint="eastAsia" w:ascii="宋体" w:hAnsi="宋体" w:eastAsia="宋体" w:cs="宋体"/>
              <w:sz w:val="28"/>
              <w:szCs w:val="36"/>
            </w:rPr>
            <w:fldChar w:fldCharType="end"/>
          </w:r>
        </w:p>
        <w:p w14:paraId="2501DF89">
          <w:pPr>
            <w:pStyle w:val="18"/>
            <w:keepNext w:val="0"/>
            <w:keepLines w:val="0"/>
            <w:pageBreakBefore w:val="0"/>
            <w:widowControl w:val="0"/>
            <w:tabs>
              <w:tab w:val="right" w:leader="dot" w:pos="9072"/>
            </w:tabs>
            <w:kinsoku/>
            <w:wordWrap/>
            <w:overflowPunct/>
            <w:topLinePunct w:val="0"/>
            <w:autoSpaceDE/>
            <w:autoSpaceDN/>
            <w:bidi w:val="0"/>
            <w:adjustRightInd/>
            <w:snapToGrid/>
            <w:spacing w:line="520" w:lineRule="exact"/>
            <w:textAlignment w:val="auto"/>
            <w:rPr>
              <w:rFonts w:hint="eastAsia" w:ascii="宋体" w:hAnsi="宋体" w:eastAsia="宋体" w:cs="宋体"/>
              <w:sz w:val="28"/>
              <w:szCs w:val="36"/>
            </w:rPr>
          </w:pP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HYPERLINK \l _Toc19164 </w:instrText>
          </w:r>
          <w:r>
            <w:rPr>
              <w:rFonts w:hint="eastAsia" w:ascii="宋体" w:hAnsi="宋体" w:eastAsia="宋体" w:cs="宋体"/>
              <w:sz w:val="28"/>
              <w:szCs w:val="36"/>
            </w:rPr>
            <w:fldChar w:fldCharType="separate"/>
          </w:r>
          <w:r>
            <w:rPr>
              <w:rFonts w:hint="eastAsia" w:ascii="宋体" w:hAnsi="宋体" w:eastAsia="宋体" w:cs="宋体"/>
              <w:sz w:val="28"/>
              <w:szCs w:val="36"/>
            </w:rPr>
            <w:t>第六章  投标文件格式</w:t>
          </w:r>
          <w:r>
            <w:rPr>
              <w:rFonts w:hint="eastAsia" w:ascii="宋体" w:hAnsi="宋体" w:eastAsia="宋体" w:cs="宋体"/>
              <w:sz w:val="28"/>
              <w:szCs w:val="36"/>
            </w:rPr>
            <w:tab/>
          </w:r>
          <w:r>
            <w:rPr>
              <w:rFonts w:hint="eastAsia" w:ascii="宋体" w:hAnsi="宋体" w:eastAsia="宋体" w:cs="宋体"/>
              <w:sz w:val="28"/>
              <w:szCs w:val="36"/>
            </w:rPr>
            <w:fldChar w:fldCharType="begin"/>
          </w:r>
          <w:r>
            <w:rPr>
              <w:rFonts w:hint="eastAsia" w:ascii="宋体" w:hAnsi="宋体" w:eastAsia="宋体" w:cs="宋体"/>
              <w:sz w:val="28"/>
              <w:szCs w:val="36"/>
            </w:rPr>
            <w:instrText xml:space="preserve"> PAGEREF _Toc19164 \h </w:instrText>
          </w:r>
          <w:r>
            <w:rPr>
              <w:rFonts w:hint="eastAsia" w:ascii="宋体" w:hAnsi="宋体" w:eastAsia="宋体" w:cs="宋体"/>
              <w:sz w:val="28"/>
              <w:szCs w:val="36"/>
            </w:rPr>
            <w:fldChar w:fldCharType="separate"/>
          </w:r>
          <w:r>
            <w:rPr>
              <w:rFonts w:hint="eastAsia" w:ascii="宋体" w:hAnsi="宋体" w:eastAsia="宋体" w:cs="宋体"/>
              <w:sz w:val="28"/>
              <w:szCs w:val="36"/>
            </w:rPr>
            <w:t>37</w:t>
          </w:r>
          <w:r>
            <w:rPr>
              <w:rFonts w:hint="eastAsia" w:ascii="宋体" w:hAnsi="宋体" w:eastAsia="宋体" w:cs="宋体"/>
              <w:sz w:val="28"/>
              <w:szCs w:val="36"/>
            </w:rPr>
            <w:fldChar w:fldCharType="end"/>
          </w:r>
          <w:r>
            <w:rPr>
              <w:rFonts w:hint="eastAsia" w:ascii="宋体" w:hAnsi="宋体" w:eastAsia="宋体" w:cs="宋体"/>
              <w:sz w:val="28"/>
              <w:szCs w:val="36"/>
            </w:rPr>
            <w:fldChar w:fldCharType="end"/>
          </w:r>
        </w:p>
        <w:p w14:paraId="3DC3820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8"/>
              <w:szCs w:val="36"/>
            </w:rPr>
          </w:pPr>
          <w:r>
            <w:rPr>
              <w:rFonts w:hint="eastAsia" w:ascii="宋体" w:hAnsi="宋体" w:eastAsia="宋体" w:cs="宋体"/>
              <w:sz w:val="28"/>
              <w:szCs w:val="36"/>
            </w:rPr>
            <w:fldChar w:fldCharType="end"/>
          </w:r>
        </w:p>
        <w:p w14:paraId="4EF421F8"/>
        <w:bookmarkEnd w:id="2"/>
        <w:bookmarkEnd w:id="3"/>
        <w:bookmarkEnd w:id="4"/>
        <w:bookmarkEnd w:id="5"/>
        <w:p w14:paraId="4323F039"/>
        <w:p w14:paraId="119CED38"/>
        <w:p w14:paraId="4567E5B8"/>
        <w:p w14:paraId="25D5515C">
          <w:pPr>
            <w:rPr>
              <w:color w:val="auto"/>
            </w:rPr>
          </w:pPr>
        </w:p>
      </w:sdtContent>
    </w:sdt>
    <w:p w14:paraId="43189C2A">
      <w:pPr>
        <w:numPr>
          <w:ilvl w:val="0"/>
          <w:numId w:val="0"/>
        </w:numPr>
        <w:spacing w:line="340" w:lineRule="exact"/>
        <w:ind w:leftChars="0"/>
        <w:jc w:val="both"/>
        <w:outlineLvl w:val="0"/>
        <w:rPr>
          <w:rStyle w:val="41"/>
          <w:rFonts w:hint="eastAsia" w:ascii="宋体" w:hAnsi="宋体" w:cs="宋体"/>
          <w:color w:val="auto"/>
        </w:rPr>
      </w:pPr>
      <w:bookmarkStart w:id="6" w:name="_Toc15246"/>
      <w:bookmarkEnd w:id="6"/>
    </w:p>
    <w:p w14:paraId="7A6C5D5D">
      <w:pPr>
        <w:numPr>
          <w:ilvl w:val="0"/>
          <w:numId w:val="0"/>
        </w:numPr>
        <w:spacing w:line="340" w:lineRule="exact"/>
        <w:ind w:leftChars="0"/>
        <w:jc w:val="both"/>
        <w:outlineLvl w:val="0"/>
        <w:rPr>
          <w:rStyle w:val="41"/>
          <w:rFonts w:hint="eastAsia" w:ascii="宋体" w:hAnsi="宋体" w:cs="宋体"/>
          <w:color w:val="auto"/>
        </w:rPr>
        <w:sectPr>
          <w:headerReference r:id="rId5" w:type="default"/>
          <w:footerReference r:id="rId6" w:type="default"/>
          <w:pgSz w:w="11906" w:h="16838"/>
          <w:pgMar w:top="1417" w:right="1417" w:bottom="1417" w:left="1417" w:header="777" w:footer="641" w:gutter="0"/>
          <w:pgBorders>
            <w:top w:val="none" w:sz="0" w:space="0"/>
            <w:left w:val="none" w:sz="0" w:space="0"/>
            <w:bottom w:val="none" w:sz="0" w:space="0"/>
            <w:right w:val="none" w:sz="0" w:space="0"/>
          </w:pgBorders>
          <w:pgNumType w:start="1"/>
          <w:cols w:space="720" w:num="1"/>
        </w:sectPr>
      </w:pPr>
    </w:p>
    <w:p w14:paraId="054C1F1D">
      <w:pPr>
        <w:numPr>
          <w:ilvl w:val="0"/>
          <w:numId w:val="0"/>
        </w:numPr>
        <w:spacing w:line="340" w:lineRule="exact"/>
        <w:ind w:leftChars="0"/>
        <w:jc w:val="both"/>
        <w:outlineLvl w:val="0"/>
        <w:rPr>
          <w:rStyle w:val="41"/>
          <w:rFonts w:hint="eastAsia" w:ascii="宋体" w:hAnsi="宋体" w:cs="宋体"/>
          <w:color w:val="auto"/>
        </w:rPr>
      </w:pPr>
    </w:p>
    <w:p w14:paraId="6B0AC082">
      <w:pPr>
        <w:numPr>
          <w:ilvl w:val="0"/>
          <w:numId w:val="0"/>
        </w:numPr>
        <w:spacing w:line="340" w:lineRule="exact"/>
        <w:ind w:leftChars="0"/>
        <w:jc w:val="center"/>
        <w:outlineLvl w:val="0"/>
        <w:rPr>
          <w:rStyle w:val="41"/>
          <w:rFonts w:ascii="宋体" w:hAnsi="宋体" w:cs="宋体"/>
          <w:color w:val="auto"/>
        </w:rPr>
      </w:pPr>
      <w:bookmarkStart w:id="7" w:name="_Toc19041"/>
      <w:r>
        <w:rPr>
          <w:rStyle w:val="41"/>
          <w:rFonts w:hint="eastAsia" w:ascii="宋体" w:hAnsi="宋体" w:cs="宋体"/>
          <w:color w:val="auto"/>
          <w:lang w:val="en-US" w:eastAsia="zh-CN"/>
        </w:rPr>
        <w:t xml:space="preserve">第一章  </w:t>
      </w:r>
      <w:r>
        <w:rPr>
          <w:rStyle w:val="41"/>
          <w:rFonts w:hint="eastAsia" w:ascii="宋体" w:hAnsi="宋体" w:cs="宋体"/>
          <w:color w:val="auto"/>
        </w:rPr>
        <w:t>招标公告</w:t>
      </w:r>
      <w:bookmarkEnd w:id="7"/>
    </w:p>
    <w:p w14:paraId="018AB7A5">
      <w:pPr>
        <w:spacing w:line="360" w:lineRule="auto"/>
        <w:ind w:left="-420" w:leftChars="-200" w:firstLine="560" w:firstLineChars="200"/>
        <w:rPr>
          <w:rFonts w:hint="eastAsia" w:ascii="宋体" w:hAnsi="宋体" w:cs="宋体"/>
          <w:color w:val="auto"/>
          <w:sz w:val="28"/>
          <w:szCs w:val="28"/>
        </w:rPr>
      </w:pPr>
    </w:p>
    <w:p w14:paraId="22B67E4C">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项目概况</w:t>
      </w:r>
    </w:p>
    <w:p w14:paraId="159D9744">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陈村乡秸秆综合利用配套项目-二标段</w:t>
      </w:r>
      <w:r>
        <w:rPr>
          <w:rFonts w:hint="eastAsia" w:ascii="宋体" w:hAnsi="宋体" w:eastAsia="宋体" w:cs="宋体"/>
          <w:color w:val="auto"/>
          <w:sz w:val="24"/>
          <w:szCs w:val="24"/>
        </w:rPr>
        <w:t>的潜在</w:t>
      </w:r>
      <w:r>
        <w:rPr>
          <w:rFonts w:hint="eastAsia" w:ascii="宋体" w:hAnsi="宋体" w:cs="宋体"/>
          <w:color w:val="auto"/>
          <w:sz w:val="24"/>
          <w:szCs w:val="24"/>
          <w:lang w:eastAsia="zh-CN"/>
        </w:rPr>
        <w:t>供应商</w:t>
      </w:r>
      <w:r>
        <w:rPr>
          <w:rFonts w:hint="eastAsia" w:ascii="宋体" w:hAnsi="宋体" w:eastAsia="宋体" w:cs="宋体"/>
          <w:color w:val="auto"/>
          <w:sz w:val="24"/>
          <w:szCs w:val="24"/>
        </w:rPr>
        <w:t>应在三门峡市公共资源交易中心获取招标文件，并于202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09月29日</w:t>
      </w:r>
      <w:r>
        <w:rPr>
          <w:rFonts w:hint="eastAsia" w:ascii="宋体" w:hAnsi="宋体" w:eastAsia="宋体" w:cs="宋体"/>
          <w:color w:val="auto"/>
          <w:sz w:val="24"/>
          <w:szCs w:val="24"/>
        </w:rPr>
        <w:t>08时</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0分（北京时间）前递交</w:t>
      </w: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文件。</w:t>
      </w:r>
      <w:bookmarkStart w:id="8" w:name="_Toc11493"/>
      <w:bookmarkStart w:id="9" w:name="_Toc27433"/>
      <w:bookmarkStart w:id="10" w:name="_Toc922_WPSOffice_Level2"/>
      <w:bookmarkStart w:id="11" w:name="_Toc4117_WPSOffice_Level2"/>
    </w:p>
    <w:p w14:paraId="4343DB8E">
      <w:pPr>
        <w:spacing w:line="360" w:lineRule="auto"/>
        <w:ind w:left="-420" w:leftChars="-20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一、</w:t>
      </w:r>
      <w:bookmarkEnd w:id="8"/>
      <w:bookmarkEnd w:id="9"/>
      <w:bookmarkEnd w:id="10"/>
      <w:bookmarkEnd w:id="11"/>
      <w:r>
        <w:rPr>
          <w:rFonts w:hint="eastAsia" w:ascii="宋体" w:hAnsi="宋体" w:eastAsia="宋体" w:cs="宋体"/>
          <w:color w:val="auto"/>
          <w:sz w:val="24"/>
          <w:szCs w:val="24"/>
          <w:lang w:val="en-US" w:eastAsia="zh-CN"/>
        </w:rPr>
        <w:t>项目基本情况</w:t>
      </w:r>
    </w:p>
    <w:p w14:paraId="46F1C4F2">
      <w:pPr>
        <w:spacing w:line="360" w:lineRule="auto"/>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highlight w:val="none"/>
          <w:lang w:val="en-US" w:eastAsia="zh-CN"/>
        </w:rPr>
        <w:t>项目编号：渑池公开采购-2026-36；MCGZ[2026]196-ZC180；</w:t>
      </w:r>
    </w:p>
    <w:p w14:paraId="48F79899">
      <w:pPr>
        <w:numPr>
          <w:ilvl w:val="0"/>
          <w:numId w:val="0"/>
        </w:numPr>
        <w:spacing w:line="360" w:lineRule="auto"/>
        <w:jc w:val="both"/>
        <w:rPr>
          <w:rFonts w:hint="eastAsia" w:ascii="宋体" w:hAnsi="宋体" w:eastAsia="宋体" w:cs="宋体"/>
          <w:color w:val="auto"/>
          <w:sz w:val="24"/>
          <w:szCs w:val="24"/>
          <w:lang w:eastAsia="zh-CN"/>
        </w:rPr>
      </w:pPr>
      <w:r>
        <w:rPr>
          <w:rFonts w:hint="eastAsia" w:ascii="宋体" w:hAnsi="宋体" w:eastAsia="宋体" w:cs="宋体"/>
          <w:color w:val="auto"/>
          <w:kern w:val="2"/>
          <w:sz w:val="24"/>
          <w:szCs w:val="24"/>
          <w:lang w:val="en-US" w:eastAsia="zh-CN" w:bidi="ar-SA"/>
        </w:rPr>
        <w:t>2、</w:t>
      </w:r>
      <w:r>
        <w:rPr>
          <w:rFonts w:hint="eastAsia" w:ascii="宋体" w:hAnsi="宋体" w:eastAsia="宋体" w:cs="宋体"/>
          <w:color w:val="auto"/>
          <w:sz w:val="24"/>
          <w:szCs w:val="24"/>
        </w:rPr>
        <w:t>项目名称：</w:t>
      </w:r>
      <w:r>
        <w:rPr>
          <w:rFonts w:hint="eastAsia" w:ascii="宋体" w:hAnsi="宋体" w:cs="宋体"/>
          <w:color w:val="auto"/>
          <w:sz w:val="24"/>
          <w:szCs w:val="24"/>
          <w:lang w:eastAsia="zh-CN"/>
        </w:rPr>
        <w:t>陈村乡秸秆综合利用配套项目-二标段</w:t>
      </w:r>
    </w:p>
    <w:p w14:paraId="46167B26">
      <w:pPr>
        <w:numPr>
          <w:ilvl w:val="0"/>
          <w:numId w:val="0"/>
        </w:numPr>
        <w:spacing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3、采购方式：公开招标</w:t>
      </w:r>
    </w:p>
    <w:p w14:paraId="23511129">
      <w:pPr>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4、预算金额：</w:t>
      </w:r>
      <w:r>
        <w:rPr>
          <w:rFonts w:hint="eastAsia" w:ascii="宋体" w:hAnsi="宋体" w:cs="宋体"/>
          <w:color w:val="auto"/>
          <w:sz w:val="24"/>
          <w:szCs w:val="24"/>
          <w:lang w:val="en-US" w:eastAsia="zh-CN"/>
        </w:rPr>
        <w:t>5220000.00元</w:t>
      </w:r>
    </w:p>
    <w:p w14:paraId="3BE5A9B3">
      <w:pPr>
        <w:spacing w:line="360" w:lineRule="auto"/>
        <w:ind w:firstLine="240" w:firstLineChars="10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最高限价：</w:t>
      </w:r>
      <w:r>
        <w:rPr>
          <w:rFonts w:hint="eastAsia" w:ascii="宋体" w:hAnsi="宋体" w:cs="宋体"/>
          <w:color w:val="auto"/>
          <w:sz w:val="24"/>
          <w:szCs w:val="24"/>
          <w:lang w:val="en-US" w:eastAsia="zh-CN"/>
        </w:rPr>
        <w:t>5220000.00</w:t>
      </w:r>
      <w:r>
        <w:rPr>
          <w:rFonts w:hint="eastAsia" w:ascii="宋体" w:hAnsi="宋体" w:eastAsia="宋体" w:cs="宋体"/>
          <w:color w:val="auto"/>
          <w:sz w:val="24"/>
          <w:szCs w:val="24"/>
          <w:lang w:val="en-US" w:eastAsia="zh-CN"/>
        </w:rPr>
        <w:t>元</w:t>
      </w:r>
    </w:p>
    <w:tbl>
      <w:tblPr>
        <w:tblStyle w:val="23"/>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626"/>
        <w:gridCol w:w="3422"/>
        <w:gridCol w:w="1675"/>
        <w:gridCol w:w="2028"/>
      </w:tblGrid>
      <w:tr w14:paraId="44F7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3" w:type="dxa"/>
            <w:vAlign w:val="center"/>
          </w:tcPr>
          <w:p w14:paraId="3957CA10">
            <w:pPr>
              <w:keepNext w:val="0"/>
              <w:keepLines w:val="0"/>
              <w:widowControl/>
              <w:suppressLineNumbers w:val="0"/>
              <w:spacing w:before="0" w:beforeAutospacing="0" w:after="0" w:afterAutospacing="0" w:line="480" w:lineRule="exact"/>
              <w:ind w:left="0" w:right="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1626" w:type="dxa"/>
            <w:vAlign w:val="center"/>
          </w:tcPr>
          <w:p w14:paraId="4BD39151">
            <w:pPr>
              <w:keepNext w:val="0"/>
              <w:keepLines w:val="0"/>
              <w:widowControl/>
              <w:suppressLineNumbers w:val="0"/>
              <w:spacing w:before="0" w:beforeAutospacing="0" w:after="0" w:afterAutospacing="0" w:line="480" w:lineRule="exact"/>
              <w:ind w:left="0" w:right="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包号</w:t>
            </w:r>
          </w:p>
        </w:tc>
        <w:tc>
          <w:tcPr>
            <w:tcW w:w="3422" w:type="dxa"/>
            <w:vAlign w:val="center"/>
          </w:tcPr>
          <w:p w14:paraId="195B3F74">
            <w:pPr>
              <w:keepNext w:val="0"/>
              <w:keepLines w:val="0"/>
              <w:widowControl/>
              <w:suppressLineNumbers w:val="0"/>
              <w:spacing w:before="0" w:beforeAutospacing="0" w:after="0" w:afterAutospacing="0" w:line="480" w:lineRule="exact"/>
              <w:ind w:left="0" w:right="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包名称</w:t>
            </w:r>
          </w:p>
        </w:tc>
        <w:tc>
          <w:tcPr>
            <w:tcW w:w="1675" w:type="dxa"/>
            <w:vAlign w:val="center"/>
          </w:tcPr>
          <w:p w14:paraId="578F712F">
            <w:pPr>
              <w:keepNext w:val="0"/>
              <w:keepLines w:val="0"/>
              <w:widowControl/>
              <w:suppressLineNumbers w:val="0"/>
              <w:spacing w:before="0" w:beforeAutospacing="0" w:after="0" w:afterAutospacing="0" w:line="480" w:lineRule="exact"/>
              <w:ind w:left="0" w:right="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包预算（元）</w:t>
            </w:r>
          </w:p>
        </w:tc>
        <w:tc>
          <w:tcPr>
            <w:tcW w:w="2028" w:type="dxa"/>
            <w:vAlign w:val="center"/>
          </w:tcPr>
          <w:p w14:paraId="12A24784">
            <w:pPr>
              <w:keepNext w:val="0"/>
              <w:keepLines w:val="0"/>
              <w:widowControl/>
              <w:suppressLineNumbers w:val="0"/>
              <w:spacing w:before="0" w:beforeAutospacing="0" w:after="0" w:afterAutospacing="0" w:line="480" w:lineRule="exact"/>
              <w:ind w:left="0" w:right="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包最高限价（元）</w:t>
            </w:r>
          </w:p>
        </w:tc>
      </w:tr>
      <w:tr w14:paraId="7323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43" w:type="dxa"/>
            <w:vAlign w:val="center"/>
          </w:tcPr>
          <w:p w14:paraId="3C294A39">
            <w:pPr>
              <w:keepNext w:val="0"/>
              <w:keepLines w:val="0"/>
              <w:widowControl/>
              <w:suppressLineNumbers w:val="0"/>
              <w:spacing w:before="0" w:beforeAutospacing="0" w:after="0" w:afterAutospacing="0" w:line="480" w:lineRule="exact"/>
              <w:ind w:left="0" w:right="0" w:firstLine="105" w:firstLineChars="5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626" w:type="dxa"/>
            <w:vAlign w:val="center"/>
          </w:tcPr>
          <w:p w14:paraId="7C85794B">
            <w:pPr>
              <w:keepNext w:val="0"/>
              <w:keepLines w:val="0"/>
              <w:widowControl/>
              <w:suppressLineNumbers w:val="0"/>
              <w:spacing w:before="0" w:beforeAutospacing="0" w:after="0" w:afterAutospacing="0" w:line="480" w:lineRule="exact"/>
              <w:ind w:left="0" w:right="0"/>
              <w:jc w:val="center"/>
              <w:rPr>
                <w:rFonts w:hint="default" w:ascii="宋体" w:hAnsi="宋体" w:eastAsia="宋体" w:cs="宋体"/>
                <w:color w:val="auto"/>
                <w:kern w:val="0"/>
                <w:sz w:val="21"/>
                <w:szCs w:val="21"/>
                <w:lang w:val="en-US"/>
              </w:rPr>
            </w:pPr>
            <w:r>
              <w:rPr>
                <w:rFonts w:hint="eastAsia" w:ascii="宋体" w:hAnsi="宋体" w:cs="宋体"/>
                <w:color w:val="auto"/>
                <w:kern w:val="0"/>
                <w:sz w:val="21"/>
                <w:szCs w:val="21"/>
                <w:lang w:val="en-US" w:eastAsia="zh-CN"/>
              </w:rPr>
              <w:t>MCGZ[2026]196-ZC180-1</w:t>
            </w:r>
          </w:p>
        </w:tc>
        <w:tc>
          <w:tcPr>
            <w:tcW w:w="3422" w:type="dxa"/>
            <w:vAlign w:val="center"/>
          </w:tcPr>
          <w:p w14:paraId="07423F10">
            <w:pPr>
              <w:keepNext w:val="0"/>
              <w:keepLines w:val="0"/>
              <w:widowControl/>
              <w:suppressLineNumbers w:val="0"/>
              <w:spacing w:before="0" w:beforeAutospacing="0" w:after="0" w:afterAutospacing="0" w:line="480" w:lineRule="exact"/>
              <w:ind w:left="0" w:right="0"/>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eastAsia="zh-CN"/>
              </w:rPr>
              <w:t>陈村乡秸秆综合利用配套项目-二标段</w:t>
            </w:r>
          </w:p>
        </w:tc>
        <w:tc>
          <w:tcPr>
            <w:tcW w:w="1675" w:type="dxa"/>
            <w:vAlign w:val="center"/>
          </w:tcPr>
          <w:p w14:paraId="26E5985B">
            <w:pPr>
              <w:keepNext w:val="0"/>
              <w:keepLines w:val="0"/>
              <w:widowControl/>
              <w:suppressLineNumbers w:val="0"/>
              <w:spacing w:before="0" w:beforeAutospacing="0" w:after="0" w:afterAutospacing="0" w:line="480" w:lineRule="exact"/>
              <w:ind w:left="0" w:right="0"/>
              <w:jc w:val="center"/>
              <w:rPr>
                <w:rFonts w:hint="default" w:ascii="宋体" w:hAnsi="宋体" w:eastAsia="宋体" w:cs="宋体"/>
                <w:color w:val="auto"/>
                <w:kern w:val="0"/>
                <w:sz w:val="21"/>
                <w:szCs w:val="21"/>
                <w:lang w:val="en-US" w:eastAsia="zh-CN"/>
              </w:rPr>
            </w:pPr>
            <w:r>
              <w:rPr>
                <w:rFonts w:hint="eastAsia" w:ascii="宋体" w:hAnsi="宋体" w:cs="宋体"/>
                <w:color w:val="auto"/>
                <w:sz w:val="24"/>
                <w:szCs w:val="24"/>
                <w:lang w:val="en-US" w:eastAsia="zh-CN"/>
              </w:rPr>
              <w:t>5220000</w:t>
            </w:r>
          </w:p>
        </w:tc>
        <w:tc>
          <w:tcPr>
            <w:tcW w:w="2028" w:type="dxa"/>
            <w:vAlign w:val="center"/>
          </w:tcPr>
          <w:p w14:paraId="44122FD8">
            <w:pPr>
              <w:keepNext w:val="0"/>
              <w:keepLines w:val="0"/>
              <w:widowControl/>
              <w:suppressLineNumbers w:val="0"/>
              <w:spacing w:before="0" w:beforeAutospacing="0" w:after="0" w:afterAutospacing="0" w:line="480" w:lineRule="exact"/>
              <w:ind w:left="0" w:right="0"/>
              <w:jc w:val="center"/>
              <w:rPr>
                <w:rFonts w:hint="default" w:ascii="宋体" w:hAnsi="宋体" w:eastAsia="宋体" w:cs="宋体"/>
                <w:color w:val="auto"/>
                <w:sz w:val="21"/>
                <w:szCs w:val="21"/>
                <w:lang w:val="en-US" w:eastAsia="zh-CN"/>
              </w:rPr>
            </w:pPr>
            <w:r>
              <w:rPr>
                <w:rFonts w:hint="eastAsia" w:ascii="宋体" w:hAnsi="宋体" w:cs="宋体"/>
                <w:color w:val="auto"/>
                <w:sz w:val="24"/>
                <w:szCs w:val="24"/>
                <w:lang w:val="en-US" w:eastAsia="zh-CN"/>
              </w:rPr>
              <w:t>5220000</w:t>
            </w:r>
          </w:p>
        </w:tc>
      </w:tr>
    </w:tbl>
    <w:p w14:paraId="49FA267A">
      <w:pPr>
        <w:spacing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采购需求（包括但不限于标的的名称、数量、简要技术需求或服务要求等）</w:t>
      </w:r>
    </w:p>
    <w:p w14:paraId="4F624D5D">
      <w:pPr>
        <w:spacing w:line="360" w:lineRule="auto"/>
        <w:jc w:val="both"/>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5.1</w:t>
      </w:r>
      <w:r>
        <w:rPr>
          <w:rFonts w:hint="eastAsia" w:ascii="宋体" w:hAnsi="宋体" w:eastAsia="宋体" w:cs="宋体"/>
          <w:color w:val="auto"/>
          <w:sz w:val="24"/>
          <w:szCs w:val="24"/>
        </w:rPr>
        <w:t>采购内</w:t>
      </w:r>
      <w:r>
        <w:rPr>
          <w:rFonts w:hint="eastAsia" w:ascii="宋体" w:hAnsi="宋体" w:eastAsia="宋体" w:cs="宋体"/>
          <w:color w:val="auto"/>
          <w:sz w:val="24"/>
          <w:szCs w:val="24"/>
          <w:lang w:val="en-US" w:eastAsia="zh-CN"/>
        </w:rPr>
        <w:t>容：</w:t>
      </w:r>
      <w:r>
        <w:rPr>
          <w:rFonts w:hint="eastAsia" w:ascii="宋体" w:hAnsi="宋体" w:cs="宋体"/>
          <w:color w:val="auto"/>
          <w:sz w:val="24"/>
          <w:szCs w:val="24"/>
          <w:lang w:val="en-US" w:eastAsia="zh-CN"/>
        </w:rPr>
        <w:t>本项目为陈村乡秸秆综合利用配套项目-二标段，主要内容是地磅、三轮铡草车、玉米双收机、移动捡拾铡草车、黄储饲草裹包生产线等设备采购及安装、培训、验收、质保期服务、与货物有关的运输和保险及其他伴随服务。</w:t>
      </w:r>
      <w:r>
        <w:rPr>
          <w:rFonts w:hint="eastAsia" w:ascii="宋体" w:hAnsi="宋体" w:eastAsia="宋体" w:cs="宋体"/>
          <w:color w:val="auto"/>
          <w:sz w:val="24"/>
          <w:szCs w:val="24"/>
          <w:lang w:val="en-US" w:eastAsia="zh-CN"/>
        </w:rPr>
        <w:t>具体详见</w:t>
      </w:r>
      <w:r>
        <w:rPr>
          <w:rFonts w:hint="eastAsia" w:ascii="宋体" w:hAnsi="宋体" w:cs="宋体"/>
          <w:color w:val="auto"/>
          <w:sz w:val="24"/>
          <w:szCs w:val="24"/>
          <w:lang w:val="en-US" w:eastAsia="zh-CN"/>
        </w:rPr>
        <w:t>采购清单。</w:t>
      </w:r>
    </w:p>
    <w:p w14:paraId="05443B05">
      <w:pPr>
        <w:spacing w:line="360" w:lineRule="auto"/>
        <w:rPr>
          <w:rFonts w:hint="eastAsia" w:ascii="宋体" w:hAnsi="宋体" w:eastAsia="宋体" w:cs="宋体"/>
          <w:color w:val="FF0000"/>
          <w:sz w:val="24"/>
          <w:szCs w:val="24"/>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交货地点：采购人指定地点；</w:t>
      </w:r>
    </w:p>
    <w:p w14:paraId="0035958B">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交货期：</w:t>
      </w:r>
      <w:r>
        <w:rPr>
          <w:rFonts w:hint="eastAsia" w:ascii="宋体" w:hAnsi="宋体" w:cs="宋体"/>
          <w:color w:val="auto"/>
          <w:sz w:val="24"/>
          <w:szCs w:val="24"/>
          <w:lang w:eastAsia="zh-CN"/>
        </w:rPr>
        <w:t>签订合同后60日历天交货。</w:t>
      </w:r>
    </w:p>
    <w:p w14:paraId="1B86F74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质量要求：符合国家相关部门规定标准，达到正常运行条件；</w:t>
      </w:r>
    </w:p>
    <w:p w14:paraId="1535437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合同履行期限：按合同约定执行。</w:t>
      </w:r>
    </w:p>
    <w:p w14:paraId="1DCB21A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、本项目是否接受联合体投标：否</w:t>
      </w:r>
    </w:p>
    <w:p w14:paraId="3C26EB8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、是否接受进口产品：否</w:t>
      </w:r>
    </w:p>
    <w:p w14:paraId="16BCFEF8">
      <w:pPr>
        <w:spacing w:line="360" w:lineRule="auto"/>
        <w:ind w:left="-420" w:leftChars="-200" w:firstLine="480" w:firstLineChars="200"/>
        <w:outlineLvl w:val="1"/>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、是否专门面向中小企业：否</w:t>
      </w:r>
    </w:p>
    <w:p w14:paraId="1741F25B">
      <w:pPr>
        <w:spacing w:line="360" w:lineRule="auto"/>
        <w:ind w:left="-420" w:leftChars="-200" w:firstLine="480" w:firstLineChars="200"/>
        <w:outlineLvl w:val="1"/>
        <w:rPr>
          <w:rFonts w:hint="eastAsia" w:ascii="宋体" w:hAnsi="宋体" w:eastAsia="宋体" w:cs="宋体"/>
          <w:color w:val="auto"/>
          <w:sz w:val="24"/>
          <w:szCs w:val="24"/>
        </w:rPr>
      </w:pPr>
      <w:bookmarkStart w:id="12" w:name="_Toc31899_WPSOffice_Level2"/>
      <w:bookmarkStart w:id="13" w:name="_Toc8309"/>
      <w:bookmarkStart w:id="14" w:name="_Toc9303"/>
      <w:bookmarkStart w:id="15" w:name="_Toc30512_WPSOffice_Level2"/>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w:t>
      </w:r>
      <w:r>
        <w:rPr>
          <w:rFonts w:hint="eastAsia" w:ascii="宋体" w:hAnsi="宋体" w:cs="宋体"/>
          <w:color w:val="auto"/>
          <w:sz w:val="24"/>
          <w:szCs w:val="24"/>
          <w:lang w:eastAsia="zh-CN"/>
        </w:rPr>
        <w:t>供应商</w:t>
      </w:r>
      <w:r>
        <w:rPr>
          <w:rFonts w:hint="eastAsia" w:ascii="宋体" w:hAnsi="宋体" w:eastAsia="宋体" w:cs="宋体"/>
          <w:color w:val="auto"/>
          <w:sz w:val="24"/>
          <w:szCs w:val="24"/>
        </w:rPr>
        <w:t>资格要求</w:t>
      </w:r>
      <w:bookmarkEnd w:id="12"/>
      <w:bookmarkEnd w:id="13"/>
      <w:bookmarkEnd w:id="14"/>
      <w:bookmarkEnd w:id="15"/>
    </w:p>
    <w:p w14:paraId="64F0AB14">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1、满足《中华人民共和国政府采购法》第二十二条规定； </w:t>
      </w:r>
    </w:p>
    <w:p w14:paraId="34F210A3">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2、落实政府采购政策满足的资格要求： </w:t>
      </w:r>
    </w:p>
    <w:p w14:paraId="4E13D6A9">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本项目非专门面向中小微企业采购项目,执行促进中小企业（监狱企业、残疾人福利性企业）发展等政府采购政策。</w:t>
      </w:r>
    </w:p>
    <w:p w14:paraId="23688D0A">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3、本项目的特定资格要求 </w:t>
      </w:r>
    </w:p>
    <w:p w14:paraId="3C6092EA">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w:t>
      </w:r>
      <w:r>
        <w:rPr>
          <w:rFonts w:hint="eastAsia" w:ascii="宋体" w:hAnsi="宋体" w:cs="宋体"/>
          <w:color w:val="auto"/>
          <w:sz w:val="24"/>
          <w:szCs w:val="24"/>
          <w:lang w:eastAsia="zh-CN"/>
        </w:rPr>
        <w:t>供应商须具备独立承担民事责任的能力，提供有效的营业执照或事业单位法人证书，或其他依法成立、合法存续的有效登记（证明）证书；提供具有履行合同所必需的设备和专业技术能力（自行作出承诺，格式自拟）</w:t>
      </w:r>
      <w:r>
        <w:rPr>
          <w:rFonts w:hint="eastAsia" w:ascii="宋体" w:hAnsi="宋体" w:eastAsia="宋体" w:cs="宋体"/>
          <w:color w:val="auto"/>
          <w:sz w:val="24"/>
          <w:szCs w:val="24"/>
        </w:rPr>
        <w:t xml:space="preserve">； </w:t>
      </w:r>
    </w:p>
    <w:p w14:paraId="0113E85D">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w:t>
      </w:r>
      <w:r>
        <w:rPr>
          <w:rFonts w:hint="eastAsia" w:ascii="宋体" w:hAnsi="宋体" w:cs="宋体"/>
          <w:color w:val="auto"/>
          <w:sz w:val="24"/>
          <w:szCs w:val="24"/>
          <w:lang w:eastAsia="zh-CN"/>
        </w:rPr>
        <w:t>供应商</w:t>
      </w:r>
      <w:r>
        <w:rPr>
          <w:rFonts w:hint="eastAsia" w:ascii="宋体" w:hAnsi="宋体" w:eastAsia="宋体" w:cs="宋体"/>
          <w:color w:val="auto"/>
          <w:sz w:val="24"/>
          <w:szCs w:val="24"/>
          <w:lang w:eastAsia="zh-CN"/>
        </w:rPr>
        <w:t>出具的本单位无商业贿赂及无不正当竞争行为承诺书</w:t>
      </w:r>
      <w:r>
        <w:rPr>
          <w:rFonts w:hint="eastAsia" w:ascii="宋体" w:hAnsi="宋体" w:eastAsia="宋体" w:cs="宋体"/>
          <w:color w:val="auto"/>
          <w:sz w:val="24"/>
          <w:szCs w:val="24"/>
        </w:rPr>
        <w:t>；</w:t>
      </w:r>
    </w:p>
    <w:p w14:paraId="1E95ECFE">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w:t>
      </w:r>
      <w:r>
        <w:rPr>
          <w:rFonts w:hint="eastAsia" w:ascii="宋体" w:hAnsi="宋体" w:cs="宋体"/>
          <w:color w:val="auto"/>
          <w:sz w:val="24"/>
          <w:szCs w:val="24"/>
          <w:lang w:eastAsia="zh-CN"/>
        </w:rPr>
        <w:t>供应商出具无行贿记录在中国裁判文书网自行查询或自行承诺（查询对象：企业、法定代表人）</w:t>
      </w:r>
    </w:p>
    <w:p w14:paraId="73A5379F">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3.4.参加政府采购活动前三年内，在经营活动中没有重大违法记录（提供书面声明）； </w:t>
      </w:r>
    </w:p>
    <w:p w14:paraId="24E09DB5">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3.5.根据《关于在政府采购活动中查询及使用信用记录有关问题的通知》（财库[2016]125号）和豫财购【2016】15号的规定，对列入失信被执行人、</w:t>
      </w:r>
      <w:r>
        <w:rPr>
          <w:rFonts w:hint="eastAsia" w:ascii="宋体" w:hAnsi="宋体" w:eastAsia="宋体" w:cs="宋体"/>
          <w:color w:val="auto"/>
          <w:sz w:val="24"/>
          <w:szCs w:val="24"/>
          <w:lang w:eastAsia="zh-CN"/>
        </w:rPr>
        <w:t>重大税收违法失信主体</w:t>
      </w:r>
      <w:r>
        <w:rPr>
          <w:rFonts w:hint="eastAsia" w:ascii="宋体" w:hAnsi="宋体" w:eastAsia="宋体" w:cs="宋体"/>
          <w:color w:val="auto"/>
          <w:sz w:val="24"/>
          <w:szCs w:val="24"/>
        </w:rPr>
        <w:t>、政府采购严重违法失信行为记录名单的</w:t>
      </w:r>
      <w:r>
        <w:rPr>
          <w:rFonts w:hint="eastAsia" w:ascii="宋体" w:hAnsi="宋体" w:cs="宋体"/>
          <w:color w:val="auto"/>
          <w:sz w:val="24"/>
          <w:szCs w:val="24"/>
          <w:lang w:eastAsia="zh-CN"/>
        </w:rPr>
        <w:t>供应商</w:t>
      </w:r>
      <w:r>
        <w:rPr>
          <w:rFonts w:hint="eastAsia" w:ascii="宋体" w:hAnsi="宋体" w:eastAsia="宋体" w:cs="宋体"/>
          <w:color w:val="auto"/>
          <w:sz w:val="24"/>
          <w:szCs w:val="24"/>
        </w:rPr>
        <w:t>，拒绝参与本项目采购活动；须提供“信用中国”网站（</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"http://gzjy.smx.gov.cn/SMX/ContentController/www.creditchina.gov.cn"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www.creditchina.gov.cn</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）、中国政府采购网（</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"http://gzjy.smx.gov.cn/SMX/ContentController/www.ccgp.gov.cn"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www.ccgp.gov.cn</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）的网页查询结果。查询时间为招标公告发布日期之后。</w:t>
      </w:r>
    </w:p>
    <w:p w14:paraId="52F450FB">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本项目不接受联合体投标。</w:t>
      </w:r>
    </w:p>
    <w:p w14:paraId="666D3F20">
      <w:pPr>
        <w:spacing w:line="360" w:lineRule="auto"/>
        <w:ind w:left="-420" w:leftChars="-200" w:firstLine="480" w:firstLineChars="200"/>
        <w:rPr>
          <w:rFonts w:hint="eastAsia" w:ascii="宋体" w:hAnsi="宋体" w:eastAsia="宋体" w:cs="宋体"/>
          <w:color w:val="auto"/>
          <w:sz w:val="24"/>
          <w:szCs w:val="24"/>
        </w:rPr>
      </w:pPr>
      <w:bookmarkStart w:id="16" w:name="_Toc17120"/>
      <w:bookmarkStart w:id="17" w:name="_Toc13710_WPSOffice_Level2"/>
      <w:bookmarkStart w:id="18" w:name="_Toc11334_WPSOffice_Level2"/>
      <w:bookmarkStart w:id="19" w:name="_Toc9775"/>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w:t>
      </w:r>
      <w:bookmarkEnd w:id="16"/>
      <w:bookmarkEnd w:id="17"/>
      <w:bookmarkEnd w:id="18"/>
      <w:bookmarkEnd w:id="19"/>
      <w:bookmarkStart w:id="20" w:name="_Toc10377"/>
      <w:bookmarkStart w:id="21" w:name="_Toc19296_WPSOffice_Level2"/>
      <w:bookmarkStart w:id="22" w:name="_Toc21790_WPSOffice_Level2"/>
      <w:bookmarkStart w:id="23" w:name="_Toc31857"/>
      <w:r>
        <w:rPr>
          <w:rFonts w:hint="eastAsia" w:ascii="宋体" w:hAnsi="宋体" w:eastAsia="宋体" w:cs="宋体"/>
          <w:color w:val="auto"/>
          <w:sz w:val="24"/>
          <w:szCs w:val="24"/>
        </w:rPr>
        <w:t>获取招标文件：</w:t>
      </w:r>
    </w:p>
    <w:p w14:paraId="1A93F2A0">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cs="宋体"/>
          <w:color w:val="auto"/>
          <w:sz w:val="24"/>
          <w:szCs w:val="24"/>
          <w:lang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日至</w:t>
      </w:r>
      <w:r>
        <w:rPr>
          <w:rFonts w:hint="eastAsia" w:ascii="宋体" w:hAnsi="宋体" w:cs="宋体"/>
          <w:color w:val="auto"/>
          <w:sz w:val="24"/>
          <w:szCs w:val="24"/>
          <w:lang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日，每天上午00:00至12:00，下午12:00至23:59（北京时间，法定节假日除外。）</w:t>
      </w:r>
      <w:r>
        <w:rPr>
          <w:rFonts w:hint="eastAsia" w:ascii="宋体" w:hAnsi="宋体" w:eastAsia="宋体" w:cs="宋体"/>
          <w:color w:val="auto"/>
          <w:sz w:val="24"/>
          <w:szCs w:val="24"/>
        </w:rPr>
        <w:tab/>
      </w:r>
    </w:p>
    <w:p w14:paraId="2BA8B3DE">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2.地点：三门峡市公共资源交易中心（gzjy.smx.gov.cn）</w:t>
      </w:r>
    </w:p>
    <w:p w14:paraId="24B80D1A">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3.方式：本项目没有报名环节，</w:t>
      </w:r>
      <w:r>
        <w:rPr>
          <w:rFonts w:hint="eastAsia" w:ascii="宋体" w:hAnsi="宋体" w:cs="宋体"/>
          <w:color w:val="auto"/>
          <w:sz w:val="24"/>
          <w:szCs w:val="24"/>
          <w:lang w:eastAsia="zh-CN"/>
        </w:rPr>
        <w:t>供应商</w:t>
      </w:r>
      <w:r>
        <w:rPr>
          <w:rFonts w:hint="eastAsia" w:ascii="宋体" w:hAnsi="宋体" w:eastAsia="宋体" w:cs="宋体"/>
          <w:color w:val="auto"/>
          <w:sz w:val="24"/>
          <w:szCs w:val="24"/>
        </w:rPr>
        <w:t>凭CA数字证书通过三门峡市公共资源交易中心网（网址：http://gzjy.smx.gov.cn/），点击交易平台选择“市场主体登录”，在所参与项目右侧点击参与投标，即可直接下载本项目采购文件。</w:t>
      </w:r>
    </w:p>
    <w:p w14:paraId="37C25AC2">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4.售价：0元</w:t>
      </w:r>
      <w:r>
        <w:rPr>
          <w:rFonts w:hint="eastAsia" w:ascii="宋体" w:hAnsi="宋体" w:eastAsia="宋体" w:cs="宋体"/>
          <w:color w:val="auto"/>
          <w:sz w:val="24"/>
          <w:szCs w:val="24"/>
        </w:rPr>
        <w:tab/>
      </w:r>
    </w:p>
    <w:p w14:paraId="427ABD89">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四、投标截止时间及地点</w:t>
      </w:r>
    </w:p>
    <w:p w14:paraId="70DBD8F4">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cs="宋体"/>
          <w:color w:val="auto"/>
          <w:sz w:val="24"/>
          <w:szCs w:val="24"/>
          <w:lang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09月29日</w:t>
      </w:r>
      <w:r>
        <w:rPr>
          <w:rFonts w:hint="eastAsia" w:ascii="宋体" w:hAnsi="宋体" w:eastAsia="宋体" w:cs="宋体"/>
          <w:color w:val="auto"/>
          <w:sz w:val="24"/>
          <w:szCs w:val="24"/>
        </w:rPr>
        <w:t>08时</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0分（北京时间）</w:t>
      </w:r>
      <w:r>
        <w:rPr>
          <w:rFonts w:hint="eastAsia" w:ascii="宋体" w:hAnsi="宋体" w:eastAsia="宋体" w:cs="宋体"/>
          <w:color w:val="auto"/>
          <w:sz w:val="24"/>
          <w:szCs w:val="24"/>
        </w:rPr>
        <w:tab/>
      </w:r>
    </w:p>
    <w:p w14:paraId="0D622A67">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3D2BF254">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五、开标时间及地点</w:t>
      </w:r>
      <w:r>
        <w:rPr>
          <w:rFonts w:hint="eastAsia" w:ascii="宋体" w:hAnsi="宋体" w:eastAsia="宋体" w:cs="宋体"/>
          <w:color w:val="auto"/>
          <w:sz w:val="24"/>
          <w:szCs w:val="24"/>
        </w:rPr>
        <w:tab/>
      </w:r>
    </w:p>
    <w:p w14:paraId="1F99FD99">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cs="宋体"/>
          <w:color w:val="auto"/>
          <w:sz w:val="24"/>
          <w:szCs w:val="24"/>
          <w:lang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09月29日</w:t>
      </w:r>
      <w:r>
        <w:rPr>
          <w:rFonts w:hint="eastAsia" w:ascii="宋体" w:hAnsi="宋体" w:eastAsia="宋体" w:cs="宋体"/>
          <w:color w:val="auto"/>
          <w:sz w:val="24"/>
          <w:szCs w:val="24"/>
        </w:rPr>
        <w:t>08时</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0分（北京时间）</w:t>
      </w:r>
      <w:r>
        <w:rPr>
          <w:rFonts w:hint="eastAsia" w:ascii="宋体" w:hAnsi="宋体" w:eastAsia="宋体" w:cs="宋体"/>
          <w:color w:val="auto"/>
          <w:sz w:val="24"/>
          <w:szCs w:val="24"/>
        </w:rPr>
        <w:tab/>
      </w:r>
    </w:p>
    <w:p w14:paraId="1DAB9B92">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2.地点：</w:t>
      </w:r>
      <w:r>
        <w:rPr>
          <w:rFonts w:hint="eastAsia" w:ascii="宋体" w:hAnsi="宋体" w:cs="宋体"/>
          <w:color w:val="auto"/>
          <w:sz w:val="24"/>
          <w:szCs w:val="24"/>
          <w:lang w:val="en-US" w:eastAsia="zh-CN"/>
        </w:rPr>
        <w:t>渑池县</w:t>
      </w:r>
      <w:r>
        <w:rPr>
          <w:rFonts w:hint="eastAsia" w:ascii="宋体" w:hAnsi="宋体" w:eastAsia="宋体" w:cs="宋体"/>
          <w:color w:val="auto"/>
          <w:sz w:val="24"/>
          <w:szCs w:val="24"/>
        </w:rPr>
        <w:t>公共资源交易中心开标</w:t>
      </w:r>
      <w:r>
        <w:rPr>
          <w:rFonts w:hint="eastAsia" w:ascii="宋体" w:hAnsi="宋体" w:cs="宋体"/>
          <w:color w:val="auto"/>
          <w:sz w:val="24"/>
          <w:szCs w:val="24"/>
          <w:lang w:val="en-US" w:eastAsia="zh-CN"/>
        </w:rPr>
        <w:t>二室</w:t>
      </w:r>
      <w:r>
        <w:rPr>
          <w:rFonts w:hint="eastAsia" w:ascii="宋体" w:hAnsi="宋体" w:eastAsia="宋体" w:cs="宋体"/>
          <w:color w:val="auto"/>
          <w:sz w:val="24"/>
          <w:szCs w:val="24"/>
        </w:rPr>
        <w:t>。</w:t>
      </w:r>
    </w:p>
    <w:bookmarkEnd w:id="20"/>
    <w:bookmarkEnd w:id="21"/>
    <w:bookmarkEnd w:id="22"/>
    <w:bookmarkEnd w:id="23"/>
    <w:p w14:paraId="319664F4">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cs="宋体"/>
          <w:sz w:val="24"/>
          <w:szCs w:val="24"/>
          <w:lang w:val="en-US" w:eastAsia="zh-CN"/>
        </w:rPr>
        <w:t>六</w:t>
      </w:r>
      <w:r>
        <w:rPr>
          <w:rFonts w:hint="eastAsia" w:ascii="宋体" w:hAnsi="宋体" w:eastAsia="宋体" w:cs="宋体"/>
          <w:color w:val="auto"/>
          <w:sz w:val="24"/>
          <w:szCs w:val="24"/>
        </w:rPr>
        <w:t>、发布公告的媒介</w:t>
      </w:r>
    </w:p>
    <w:p w14:paraId="5EBF0D47">
      <w:pPr>
        <w:spacing w:line="360" w:lineRule="auto"/>
        <w:ind w:left="-420" w:leftChars="-200" w:firstLine="480" w:firstLineChars="200"/>
        <w:rPr>
          <w:rFonts w:hint="eastAsia" w:ascii="宋体" w:hAnsi="宋体" w:cs="宋体"/>
          <w:sz w:val="24"/>
          <w:szCs w:val="24"/>
          <w:lang w:val="en-US" w:eastAsia="zh-CN"/>
        </w:rPr>
      </w:pPr>
      <w:r>
        <w:rPr>
          <w:rFonts w:hint="eastAsia" w:ascii="宋体" w:hAnsi="宋体" w:eastAsia="宋体" w:cs="宋体"/>
          <w:sz w:val="24"/>
          <w:szCs w:val="24"/>
        </w:rPr>
        <w:t>本次</w:t>
      </w:r>
      <w:r>
        <w:rPr>
          <w:rFonts w:hint="eastAsia" w:ascii="宋体" w:hAnsi="宋体" w:cs="宋体"/>
          <w:sz w:val="24"/>
          <w:szCs w:val="24"/>
          <w:lang w:val="en-US" w:eastAsia="zh-CN"/>
        </w:rPr>
        <w:t>招标</w:t>
      </w:r>
      <w:r>
        <w:rPr>
          <w:rFonts w:hint="eastAsia" w:ascii="宋体" w:hAnsi="宋体" w:eastAsia="宋体" w:cs="宋体"/>
          <w:sz w:val="24"/>
          <w:szCs w:val="24"/>
        </w:rPr>
        <w:t>公告在《河南省政府采购网》、《</w:t>
      </w:r>
      <w:r>
        <w:rPr>
          <w:rFonts w:hint="eastAsia" w:ascii="宋体" w:hAnsi="宋体" w:eastAsia="宋体" w:cs="宋体"/>
          <w:sz w:val="24"/>
          <w:szCs w:val="24"/>
          <w:lang w:eastAsia="zh-CN"/>
        </w:rPr>
        <w:t>中国采购与招标网</w:t>
      </w:r>
      <w:r>
        <w:rPr>
          <w:rFonts w:hint="eastAsia" w:ascii="宋体" w:hAnsi="宋体" w:eastAsia="宋体" w:cs="宋体"/>
          <w:sz w:val="24"/>
          <w:szCs w:val="24"/>
        </w:rPr>
        <w:t>》、《三门峡市公共资源交易服务平台》网站上发布。</w:t>
      </w:r>
    </w:p>
    <w:p w14:paraId="01E975E9">
      <w:pPr>
        <w:spacing w:line="360" w:lineRule="auto"/>
        <w:ind w:left="-420" w:leftChars="-200" w:firstLine="480" w:firstLineChars="200"/>
        <w:rPr>
          <w:rFonts w:hint="eastAsia" w:ascii="宋体" w:hAnsi="宋体" w:eastAsia="宋体" w:cs="宋体"/>
          <w:sz w:val="24"/>
          <w:szCs w:val="24"/>
        </w:rPr>
      </w:pPr>
      <w:r>
        <w:rPr>
          <w:rFonts w:hint="eastAsia" w:ascii="宋体" w:hAnsi="宋体" w:cs="宋体"/>
          <w:sz w:val="24"/>
          <w:szCs w:val="24"/>
          <w:lang w:val="en-US" w:eastAsia="zh-CN"/>
        </w:rPr>
        <w:t>七</w:t>
      </w:r>
      <w:r>
        <w:rPr>
          <w:rFonts w:hint="eastAsia" w:ascii="宋体" w:hAnsi="宋体" w:eastAsia="宋体" w:cs="宋体"/>
          <w:sz w:val="24"/>
          <w:szCs w:val="24"/>
        </w:rPr>
        <w:t>、其他补充事宜</w:t>
      </w:r>
      <w:bookmarkStart w:id="24" w:name="_Toc13199_WPSOffice_Level2"/>
      <w:bookmarkStart w:id="25" w:name="_Toc1555_WPSOffice_Level2"/>
      <w:bookmarkStart w:id="26" w:name="_Toc22213"/>
      <w:bookmarkStart w:id="27" w:name="_Toc28762"/>
    </w:p>
    <w:p w14:paraId="2B7FA82E">
      <w:pPr>
        <w:spacing w:line="360" w:lineRule="auto"/>
        <w:ind w:left="-420" w:leftChars="-200" w:firstLine="480" w:firstLineChars="200"/>
        <w:rPr>
          <w:rFonts w:hint="eastAsia" w:ascii="宋体" w:hAnsi="宋体" w:eastAsia="宋体" w:cs="宋体"/>
          <w:sz w:val="24"/>
          <w:szCs w:val="24"/>
        </w:rPr>
      </w:pPr>
      <w:r>
        <w:rPr>
          <w:rFonts w:hint="eastAsia" w:ascii="宋体" w:hAnsi="宋体" w:eastAsia="宋体" w:cs="宋体"/>
          <w:sz w:val="24"/>
          <w:szCs w:val="24"/>
        </w:rPr>
        <w:t>1、资格评（预）审部分：资格评（预）以投标文件为准，其上传资料真实性由</w:t>
      </w:r>
      <w:r>
        <w:rPr>
          <w:rFonts w:hint="eastAsia" w:ascii="宋体" w:hAnsi="宋体" w:cs="宋体"/>
          <w:sz w:val="24"/>
          <w:szCs w:val="24"/>
          <w:lang w:eastAsia="zh-CN"/>
        </w:rPr>
        <w:t>供应商</w:t>
      </w:r>
      <w:r>
        <w:rPr>
          <w:rFonts w:hint="eastAsia" w:ascii="宋体" w:hAnsi="宋体" w:eastAsia="宋体" w:cs="宋体"/>
          <w:sz w:val="24"/>
          <w:szCs w:val="24"/>
        </w:rPr>
        <w:t>自行承担。</w:t>
      </w:r>
    </w:p>
    <w:p w14:paraId="3843844A">
      <w:pPr>
        <w:spacing w:line="360" w:lineRule="auto"/>
        <w:ind w:left="-420" w:leftChars="-200" w:firstLine="480" w:firstLineChars="200"/>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2、评标打分部分：评标打分部分仍按照100分制原则进行，涉及到资格审查、企业荣誉、人员业绩、企业业绩等计分部分时，以投标单位自行上传到投标文件中的相应内容为准。</w:t>
      </w:r>
    </w:p>
    <w:p w14:paraId="36887664">
      <w:pPr>
        <w:spacing w:line="360" w:lineRule="auto"/>
        <w:ind w:left="-420" w:leftChars="-200" w:firstLine="480" w:firstLineChars="200"/>
        <w:rPr>
          <w:rFonts w:hint="eastAsia" w:ascii="宋体" w:hAnsi="宋体" w:eastAsia="宋体" w:cs="宋体"/>
          <w:sz w:val="24"/>
          <w:szCs w:val="24"/>
        </w:rPr>
      </w:pPr>
      <w:r>
        <w:rPr>
          <w:rFonts w:hint="eastAsia" w:ascii="宋体" w:hAnsi="宋体" w:eastAsia="宋体" w:cs="宋体"/>
          <w:sz w:val="24"/>
          <w:szCs w:val="24"/>
        </w:rPr>
        <w:t>3、投标文件编制部分：在招标文件中要求</w:t>
      </w:r>
      <w:r>
        <w:rPr>
          <w:rFonts w:hint="eastAsia" w:ascii="宋体" w:hAnsi="宋体" w:cs="宋体"/>
          <w:sz w:val="24"/>
          <w:szCs w:val="24"/>
          <w:lang w:eastAsia="zh-CN"/>
        </w:rPr>
        <w:t>供应商</w:t>
      </w:r>
      <w:r>
        <w:rPr>
          <w:rFonts w:hint="eastAsia" w:ascii="宋体" w:hAnsi="宋体" w:eastAsia="宋体" w:cs="宋体"/>
          <w:sz w:val="24"/>
          <w:szCs w:val="24"/>
        </w:rPr>
        <w:t>按照投标文件格式进行投标文件编制，在投标文件编制时，应明确将投标单位企业基本情况、资质情况、人员情况、财务情况、业绩情况编入投标文件，便于进行资格审查及评标打分。</w:t>
      </w:r>
    </w:p>
    <w:p w14:paraId="343CD71C">
      <w:pPr>
        <w:spacing w:line="360" w:lineRule="auto"/>
        <w:ind w:left="-420" w:leftChars="-200" w:firstLine="480" w:firstLineChars="200"/>
        <w:rPr>
          <w:rFonts w:hint="eastAsia"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bookmarkEnd w:id="24"/>
    <w:bookmarkEnd w:id="25"/>
    <w:bookmarkEnd w:id="26"/>
    <w:bookmarkEnd w:id="27"/>
    <w:p w14:paraId="16DF2270">
      <w:pPr>
        <w:spacing w:line="360" w:lineRule="auto"/>
        <w:ind w:left="-420" w:leftChars="-200" w:firstLine="480" w:firstLineChars="200"/>
        <w:rPr>
          <w:rFonts w:hint="eastAsia" w:ascii="宋体" w:hAnsi="宋体" w:cs="宋体"/>
          <w:sz w:val="24"/>
          <w:szCs w:val="24"/>
          <w:lang w:val="en-US" w:eastAsia="zh-CN"/>
        </w:rPr>
      </w:pPr>
      <w:bookmarkStart w:id="28" w:name="_Toc6518_WPSOffice_Level2"/>
      <w:bookmarkStart w:id="29" w:name="_Toc21713_WPSOffice_Level2"/>
      <w:bookmarkStart w:id="30" w:name="_Toc26302"/>
      <w:bookmarkStart w:id="31" w:name="_Toc92"/>
      <w:r>
        <w:rPr>
          <w:rFonts w:hint="eastAsia" w:ascii="宋体" w:hAnsi="宋体" w:cs="宋体"/>
          <w:sz w:val="24"/>
          <w:szCs w:val="24"/>
          <w:lang w:val="en-US" w:eastAsia="zh-CN"/>
        </w:rPr>
        <w:t>5、监督单位：渑池县政府采购办公室</w:t>
      </w:r>
    </w:p>
    <w:p w14:paraId="2F002D0D">
      <w:pPr>
        <w:spacing w:line="360" w:lineRule="auto"/>
        <w:ind w:left="-420" w:leftChars="-200"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联系电话：0398-4818677</w:t>
      </w:r>
    </w:p>
    <w:p w14:paraId="5F43C044">
      <w:pPr>
        <w:spacing w:line="360" w:lineRule="auto"/>
        <w:ind w:left="-420" w:leftChars="-200" w:firstLine="480" w:firstLineChars="200"/>
        <w:rPr>
          <w:rFonts w:hint="eastAsia" w:ascii="宋体" w:hAnsi="宋体" w:eastAsia="宋体" w:cs="宋体"/>
          <w:sz w:val="24"/>
          <w:szCs w:val="24"/>
        </w:rPr>
      </w:pPr>
      <w:r>
        <w:rPr>
          <w:rFonts w:hint="eastAsia" w:ascii="宋体" w:hAnsi="宋体" w:cs="宋体"/>
          <w:sz w:val="24"/>
          <w:szCs w:val="24"/>
          <w:lang w:val="en-US" w:eastAsia="zh-CN"/>
        </w:rPr>
        <w:t>八</w:t>
      </w:r>
      <w:r>
        <w:rPr>
          <w:rFonts w:hint="eastAsia" w:ascii="宋体" w:hAnsi="宋体" w:eastAsia="宋体" w:cs="宋体"/>
          <w:sz w:val="24"/>
          <w:szCs w:val="24"/>
        </w:rPr>
        <w:t>、</w:t>
      </w:r>
      <w:bookmarkEnd w:id="28"/>
      <w:bookmarkEnd w:id="29"/>
      <w:bookmarkEnd w:id="30"/>
      <w:bookmarkEnd w:id="31"/>
      <w:r>
        <w:rPr>
          <w:rFonts w:hint="eastAsia" w:ascii="宋体" w:hAnsi="宋体" w:eastAsia="宋体" w:cs="宋体"/>
          <w:sz w:val="24"/>
          <w:szCs w:val="24"/>
        </w:rPr>
        <w:t>凡对本次招标提出询问，请按照以下方式联系</w:t>
      </w:r>
    </w:p>
    <w:p w14:paraId="604AA149">
      <w:pPr>
        <w:spacing w:line="360" w:lineRule="auto"/>
        <w:ind w:left="-420" w:leftChars="-200"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cs="宋体"/>
          <w:sz w:val="24"/>
          <w:szCs w:val="24"/>
          <w:lang w:val="en-US" w:eastAsia="zh-CN"/>
        </w:rPr>
        <w:t>采购人信息</w:t>
      </w:r>
    </w:p>
    <w:p w14:paraId="2F295016">
      <w:pPr>
        <w:spacing w:line="360" w:lineRule="auto"/>
        <w:ind w:left="-420" w:leftChars="-200" w:firstLine="480" w:firstLineChars="200"/>
        <w:rPr>
          <w:rFonts w:hint="eastAsia" w:ascii="宋体" w:hAnsi="宋体" w:eastAsia="宋体" w:cs="宋体"/>
          <w:sz w:val="24"/>
          <w:szCs w:val="24"/>
          <w:lang w:eastAsia="zh-CN"/>
        </w:rPr>
      </w:pPr>
      <w:r>
        <w:rPr>
          <w:rFonts w:hint="eastAsia" w:ascii="宋体" w:hAnsi="宋体" w:cs="宋体"/>
          <w:sz w:val="24"/>
          <w:szCs w:val="24"/>
          <w:lang w:val="en-US" w:eastAsia="zh-CN"/>
        </w:rPr>
        <w:t>名称</w:t>
      </w:r>
      <w:r>
        <w:rPr>
          <w:rFonts w:hint="eastAsia" w:ascii="宋体" w:hAnsi="宋体" w:eastAsia="宋体" w:cs="宋体"/>
          <w:sz w:val="24"/>
          <w:szCs w:val="24"/>
        </w:rPr>
        <w:t>：</w:t>
      </w:r>
      <w:r>
        <w:rPr>
          <w:rFonts w:hint="eastAsia" w:ascii="宋体" w:hAnsi="宋体" w:cs="宋体"/>
          <w:sz w:val="24"/>
          <w:szCs w:val="24"/>
          <w:lang w:eastAsia="zh-CN"/>
        </w:rPr>
        <w:t>渑池县陈村乡人民政府</w:t>
      </w:r>
    </w:p>
    <w:p w14:paraId="602F72EE">
      <w:pPr>
        <w:spacing w:line="360" w:lineRule="auto"/>
        <w:ind w:left="-420" w:leftChars="-200"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地址：</w:t>
      </w:r>
      <w:r>
        <w:rPr>
          <w:rFonts w:hint="eastAsia" w:ascii="宋体" w:hAnsi="宋体" w:cs="宋体"/>
          <w:sz w:val="24"/>
          <w:szCs w:val="24"/>
          <w:lang w:eastAsia="zh-CN"/>
        </w:rPr>
        <w:t>渑池县陈村乡人民政府</w:t>
      </w:r>
    </w:p>
    <w:p w14:paraId="34A36743">
      <w:pPr>
        <w:spacing w:line="360" w:lineRule="auto"/>
        <w:ind w:left="-420" w:leftChars="-200"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cs="宋体"/>
          <w:sz w:val="24"/>
          <w:szCs w:val="24"/>
          <w:lang w:val="en-US" w:eastAsia="zh-CN"/>
        </w:rPr>
        <w:t>韩先生</w:t>
      </w:r>
    </w:p>
    <w:p w14:paraId="32AE3B88">
      <w:pPr>
        <w:spacing w:line="360" w:lineRule="auto"/>
        <w:ind w:left="-420" w:leftChars="-200" w:firstLine="480" w:firstLineChars="200"/>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cs="宋体"/>
          <w:sz w:val="24"/>
          <w:szCs w:val="24"/>
          <w:lang w:val="en-US" w:eastAsia="zh-CN"/>
        </w:rPr>
        <w:t>18703988757</w:t>
      </w:r>
    </w:p>
    <w:p w14:paraId="4770EEDB">
      <w:pPr>
        <w:spacing w:line="360" w:lineRule="auto"/>
        <w:ind w:left="-420" w:leftChars="-200"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.采购代理机构</w:t>
      </w:r>
      <w:r>
        <w:rPr>
          <w:rFonts w:hint="eastAsia" w:ascii="宋体" w:hAnsi="宋体" w:cs="宋体"/>
          <w:sz w:val="24"/>
          <w:szCs w:val="24"/>
          <w:lang w:val="en-US" w:eastAsia="zh-CN"/>
        </w:rPr>
        <w:t>信息</w:t>
      </w:r>
    </w:p>
    <w:p w14:paraId="6F04D76D">
      <w:pPr>
        <w:spacing w:line="360" w:lineRule="auto"/>
        <w:ind w:left="-420" w:leftChars="-20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r>
        <w:rPr>
          <w:rFonts w:hint="eastAsia" w:ascii="宋体" w:hAnsi="宋体" w:cs="宋体"/>
          <w:sz w:val="24"/>
          <w:szCs w:val="24"/>
          <w:lang w:val="en-US" w:eastAsia="zh-CN"/>
        </w:rPr>
        <w:t>河南嘉泰工程管理有限公司</w:t>
      </w:r>
    </w:p>
    <w:p w14:paraId="25BB5E58">
      <w:pPr>
        <w:spacing w:line="360" w:lineRule="auto"/>
        <w:ind w:left="-420" w:leftChars="-20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w:t>
      </w:r>
      <w:r>
        <w:rPr>
          <w:rFonts w:hint="eastAsia" w:ascii="宋体" w:hAnsi="宋体" w:cs="宋体"/>
          <w:sz w:val="24"/>
          <w:szCs w:val="24"/>
          <w:lang w:val="en-US" w:eastAsia="zh-CN"/>
        </w:rPr>
        <w:t>河南自贸试验区郑州片区（郑东）商都路100号2号楼2单元17层1718号</w:t>
      </w:r>
    </w:p>
    <w:p w14:paraId="395E8DC9">
      <w:pPr>
        <w:spacing w:line="360" w:lineRule="auto"/>
        <w:ind w:left="-420" w:leftChars="-20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w:t>
      </w:r>
      <w:r>
        <w:rPr>
          <w:rFonts w:hint="eastAsia" w:ascii="宋体" w:hAnsi="宋体" w:cs="宋体"/>
          <w:sz w:val="24"/>
          <w:szCs w:val="24"/>
          <w:lang w:val="en-US" w:eastAsia="zh-CN"/>
        </w:rPr>
        <w:t>杨女士、李先生</w:t>
      </w:r>
    </w:p>
    <w:p w14:paraId="1A341EF6">
      <w:pPr>
        <w:spacing w:line="360" w:lineRule="auto"/>
        <w:ind w:left="-420" w:leftChars="-20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联系方式：</w:t>
      </w:r>
      <w:r>
        <w:rPr>
          <w:rFonts w:hint="eastAsia" w:ascii="宋体" w:hAnsi="宋体" w:cs="宋体"/>
          <w:sz w:val="24"/>
          <w:szCs w:val="24"/>
          <w:lang w:val="en-US" w:eastAsia="zh-CN"/>
        </w:rPr>
        <w:t>13203882917、15239860647</w:t>
      </w:r>
    </w:p>
    <w:p w14:paraId="78396DA8">
      <w:pPr>
        <w:spacing w:line="360" w:lineRule="auto"/>
        <w:ind w:left="-420" w:leftChars="-20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.项目联系方式</w:t>
      </w:r>
    </w:p>
    <w:p w14:paraId="17802E15">
      <w:pPr>
        <w:spacing w:line="360" w:lineRule="auto"/>
        <w:ind w:left="-420" w:leftChars="-200" w:firstLine="480" w:firstLineChars="200"/>
        <w:rPr>
          <w:rFonts w:hint="eastAsia" w:ascii="宋体" w:hAnsi="宋体" w:eastAsia="宋体" w:cs="宋体"/>
          <w:sz w:val="24"/>
          <w:szCs w:val="24"/>
        </w:rPr>
      </w:pPr>
      <w:r>
        <w:rPr>
          <w:rFonts w:hint="eastAsia" w:ascii="宋体" w:hAnsi="宋体" w:cs="宋体"/>
          <w:sz w:val="24"/>
          <w:szCs w:val="24"/>
          <w:lang w:val="en-US" w:eastAsia="zh-CN"/>
        </w:rPr>
        <w:t>项目</w:t>
      </w:r>
      <w:r>
        <w:rPr>
          <w:rFonts w:hint="eastAsia" w:ascii="宋体" w:hAnsi="宋体" w:eastAsia="宋体" w:cs="宋体"/>
          <w:sz w:val="24"/>
          <w:szCs w:val="24"/>
        </w:rPr>
        <w:t>联系人：</w:t>
      </w:r>
      <w:r>
        <w:rPr>
          <w:rFonts w:hint="eastAsia" w:ascii="宋体" w:hAnsi="宋体" w:cs="宋体"/>
          <w:sz w:val="24"/>
          <w:szCs w:val="24"/>
          <w:lang w:val="en-US" w:eastAsia="zh-CN"/>
        </w:rPr>
        <w:t>韩先生</w:t>
      </w:r>
    </w:p>
    <w:p w14:paraId="5D8C5713">
      <w:pPr>
        <w:spacing w:line="360" w:lineRule="auto"/>
        <w:ind w:left="-420" w:leftChars="-200" w:firstLine="480" w:firstLineChars="200"/>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cs="宋体"/>
          <w:sz w:val="24"/>
          <w:szCs w:val="24"/>
          <w:lang w:val="en-US" w:eastAsia="zh-CN"/>
        </w:rPr>
        <w:t>18703988757</w:t>
      </w:r>
    </w:p>
    <w:p w14:paraId="0856147C">
      <w:pPr>
        <w:rPr>
          <w:rFonts w:hint="eastAsia" w:ascii="宋体" w:hAnsi="宋体" w:eastAsia="宋体" w:cs="宋体"/>
          <w:color w:val="auto"/>
          <w:sz w:val="24"/>
          <w:szCs w:val="24"/>
        </w:rPr>
      </w:pPr>
    </w:p>
    <w:p w14:paraId="149700DE">
      <w:pPr>
        <w:rPr>
          <w:rStyle w:val="41"/>
          <w:rFonts w:hint="eastAsia" w:ascii="宋体" w:hAnsi="宋体" w:cs="宋体"/>
          <w:color w:val="auto"/>
          <w:lang w:val="en-US" w:eastAsia="zh-CN"/>
        </w:rPr>
      </w:pPr>
      <w:bookmarkStart w:id="32" w:name="_Toc31960"/>
      <w:r>
        <w:rPr>
          <w:rStyle w:val="41"/>
          <w:rFonts w:hint="eastAsia" w:ascii="宋体" w:hAnsi="宋体" w:cs="宋体"/>
          <w:color w:val="auto"/>
          <w:lang w:val="en-US" w:eastAsia="zh-CN"/>
        </w:rPr>
        <w:br w:type="page"/>
      </w:r>
    </w:p>
    <w:p w14:paraId="6FF921B1">
      <w:pPr>
        <w:numPr>
          <w:ilvl w:val="0"/>
          <w:numId w:val="0"/>
        </w:numPr>
        <w:spacing w:line="340" w:lineRule="exact"/>
        <w:ind w:leftChars="0"/>
        <w:jc w:val="center"/>
        <w:outlineLvl w:val="0"/>
        <w:rPr>
          <w:rStyle w:val="41"/>
          <w:rFonts w:hint="eastAsia" w:ascii="宋体" w:hAnsi="宋体" w:cs="宋体"/>
          <w:color w:val="auto"/>
        </w:rPr>
      </w:pPr>
      <w:r>
        <w:rPr>
          <w:rStyle w:val="41"/>
          <w:rFonts w:hint="eastAsia" w:ascii="宋体" w:hAnsi="宋体" w:cs="宋体"/>
          <w:color w:val="auto"/>
          <w:lang w:val="en-US" w:eastAsia="zh-CN"/>
        </w:rPr>
        <w:t>第二章</w:t>
      </w:r>
      <w:r>
        <w:rPr>
          <w:rStyle w:val="41"/>
          <w:rFonts w:hint="eastAsia" w:ascii="宋体" w:hAnsi="宋体" w:cs="宋体"/>
          <w:color w:val="auto"/>
        </w:rPr>
        <w:t xml:space="preserve">  </w:t>
      </w:r>
      <w:bookmarkStart w:id="33" w:name="_Toc4137"/>
      <w:bookmarkStart w:id="34" w:name="_Toc31263_WPSOffice_Level1"/>
      <w:bookmarkStart w:id="35" w:name="_Toc10570"/>
      <w:bookmarkStart w:id="36" w:name="_Toc7472"/>
      <w:bookmarkStart w:id="37" w:name="_Toc29240"/>
      <w:r>
        <w:rPr>
          <w:rStyle w:val="41"/>
          <w:rFonts w:hint="eastAsia" w:ascii="宋体" w:hAnsi="宋体" w:cs="宋体"/>
          <w:color w:val="auto"/>
          <w:lang w:eastAsia="zh-CN"/>
        </w:rPr>
        <w:t>供应商</w:t>
      </w:r>
      <w:r>
        <w:rPr>
          <w:rStyle w:val="41"/>
          <w:rFonts w:hint="eastAsia" w:ascii="宋体" w:hAnsi="宋体" w:cs="宋体"/>
          <w:color w:val="auto"/>
        </w:rPr>
        <w:t>须知</w:t>
      </w:r>
      <w:bookmarkEnd w:id="32"/>
      <w:bookmarkEnd w:id="33"/>
      <w:bookmarkEnd w:id="34"/>
      <w:bookmarkEnd w:id="35"/>
      <w:bookmarkEnd w:id="36"/>
      <w:bookmarkEnd w:id="37"/>
    </w:p>
    <w:p w14:paraId="599D4A8A">
      <w:pPr>
        <w:pStyle w:val="3"/>
        <w:numPr>
          <w:ilvl w:val="0"/>
          <w:numId w:val="0"/>
        </w:numPr>
        <w:tabs>
          <w:tab w:val="clear" w:pos="840"/>
        </w:tabs>
        <w:spacing w:before="0" w:after="0" w:line="360" w:lineRule="auto"/>
        <w:ind w:left="420"/>
        <w:rPr>
          <w:rStyle w:val="41"/>
          <w:rFonts w:ascii="宋体" w:hAnsi="宋体" w:eastAsia="宋体" w:cs="宋体"/>
          <w:b/>
          <w:sz w:val="24"/>
          <w:szCs w:val="24"/>
        </w:rPr>
      </w:pPr>
      <w:bookmarkStart w:id="38" w:name="_Toc27602"/>
      <w:bookmarkStart w:id="39" w:name="_Toc8739"/>
      <w:bookmarkStart w:id="40" w:name="_Toc18397_WPSOffice_Level2"/>
      <w:bookmarkStart w:id="41" w:name="_Toc31833"/>
      <w:bookmarkStart w:id="42" w:name="_Toc1515"/>
      <w:bookmarkStart w:id="43" w:name="_Toc13400_WPSOffice_Level2"/>
      <w:bookmarkStart w:id="44" w:name="_Toc22548"/>
      <w:bookmarkStart w:id="45" w:name="_Toc6412"/>
      <w:r>
        <w:rPr>
          <w:rStyle w:val="41"/>
          <w:rFonts w:hint="eastAsia" w:ascii="宋体" w:hAnsi="宋体" w:eastAsia="宋体" w:cs="宋体"/>
          <w:b/>
          <w:sz w:val="24"/>
          <w:szCs w:val="24"/>
          <w:lang w:eastAsia="zh-CN"/>
        </w:rPr>
        <w:t>供应商</w:t>
      </w:r>
      <w:r>
        <w:rPr>
          <w:rStyle w:val="41"/>
          <w:rFonts w:hint="eastAsia" w:ascii="宋体" w:hAnsi="宋体" w:eastAsia="宋体" w:cs="宋体"/>
          <w:b/>
          <w:sz w:val="24"/>
          <w:szCs w:val="24"/>
        </w:rPr>
        <w:t>须知前附表</w:t>
      </w:r>
      <w:bookmarkEnd w:id="38"/>
      <w:bookmarkEnd w:id="39"/>
      <w:bookmarkEnd w:id="40"/>
      <w:bookmarkEnd w:id="41"/>
      <w:bookmarkEnd w:id="42"/>
      <w:bookmarkEnd w:id="43"/>
      <w:bookmarkEnd w:id="44"/>
      <w:bookmarkStart w:id="46" w:name="_Toc10837"/>
      <w:bookmarkEnd w:id="46"/>
    </w:p>
    <w:bookmarkEnd w:id="45"/>
    <w:tbl>
      <w:tblPr>
        <w:tblStyle w:val="23"/>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1725"/>
        <w:gridCol w:w="6694"/>
      </w:tblGrid>
      <w:tr w14:paraId="0A74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1E8D539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b/>
                <w:bCs/>
                <w:sz w:val="24"/>
                <w:szCs w:val="24"/>
              </w:rPr>
            </w:pPr>
            <w:r>
              <w:rPr>
                <w:rFonts w:hint="eastAsia" w:ascii="宋体" w:hAnsi="宋体" w:eastAsia="宋体" w:cs="宋体"/>
                <w:b/>
                <w:bCs/>
                <w:sz w:val="24"/>
                <w:szCs w:val="24"/>
              </w:rPr>
              <w:t>条款号</w:t>
            </w:r>
          </w:p>
        </w:tc>
        <w:tc>
          <w:tcPr>
            <w:tcW w:w="1725" w:type="dxa"/>
            <w:vAlign w:val="center"/>
          </w:tcPr>
          <w:p w14:paraId="1D4EF82E">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b/>
                <w:bCs/>
                <w:sz w:val="24"/>
                <w:szCs w:val="24"/>
              </w:rPr>
            </w:pPr>
            <w:r>
              <w:rPr>
                <w:rFonts w:hint="eastAsia" w:ascii="宋体" w:hAnsi="宋体" w:eastAsia="宋体" w:cs="宋体"/>
                <w:b/>
                <w:bCs/>
                <w:sz w:val="24"/>
                <w:szCs w:val="24"/>
              </w:rPr>
              <w:t>条款名称</w:t>
            </w:r>
          </w:p>
        </w:tc>
        <w:tc>
          <w:tcPr>
            <w:tcW w:w="6694" w:type="dxa"/>
            <w:vAlign w:val="center"/>
          </w:tcPr>
          <w:p w14:paraId="65F265F8">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b/>
                <w:bCs/>
                <w:sz w:val="24"/>
                <w:szCs w:val="24"/>
              </w:rPr>
            </w:pPr>
            <w:r>
              <w:rPr>
                <w:rFonts w:hint="eastAsia" w:ascii="宋体" w:hAnsi="宋体" w:eastAsia="宋体" w:cs="宋体"/>
                <w:b/>
                <w:bCs/>
                <w:sz w:val="24"/>
                <w:szCs w:val="24"/>
              </w:rPr>
              <w:t>编列内容</w:t>
            </w:r>
          </w:p>
        </w:tc>
      </w:tr>
      <w:tr w14:paraId="2691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3148178C">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1.2.1</w:t>
            </w:r>
          </w:p>
        </w:tc>
        <w:tc>
          <w:tcPr>
            <w:tcW w:w="1725" w:type="dxa"/>
            <w:vAlign w:val="center"/>
          </w:tcPr>
          <w:p w14:paraId="1B56C010">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694" w:type="dxa"/>
            <w:vAlign w:val="center"/>
          </w:tcPr>
          <w:p w14:paraId="42FD7E02">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w:t>
            </w:r>
            <w:r>
              <w:rPr>
                <w:rFonts w:hint="eastAsia" w:ascii="宋体" w:hAnsi="宋体" w:cs="宋体"/>
                <w:color w:val="auto"/>
                <w:sz w:val="24"/>
                <w:szCs w:val="24"/>
                <w:lang w:eastAsia="zh-CN"/>
              </w:rPr>
              <w:t>渑池县陈村乡人民政府</w:t>
            </w:r>
          </w:p>
          <w:p w14:paraId="4F35CE12">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cs="宋体"/>
                <w:sz w:val="24"/>
                <w:szCs w:val="24"/>
                <w:lang w:eastAsia="zh-CN"/>
              </w:rPr>
              <w:t>渑池县陈村乡人民政府</w:t>
            </w:r>
          </w:p>
          <w:p w14:paraId="6A40BCC7">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rPr>
            </w:pPr>
            <w:r>
              <w:rPr>
                <w:rFonts w:hint="eastAsia" w:ascii="宋体" w:hAnsi="宋体" w:eastAsia="宋体" w:cs="宋体"/>
                <w:color w:val="auto"/>
                <w:sz w:val="24"/>
                <w:szCs w:val="24"/>
              </w:rPr>
              <w:t>联系人：</w:t>
            </w:r>
            <w:r>
              <w:rPr>
                <w:rFonts w:hint="eastAsia" w:ascii="宋体" w:hAnsi="宋体" w:cs="宋体"/>
                <w:color w:val="auto"/>
                <w:sz w:val="24"/>
                <w:szCs w:val="24"/>
                <w:lang w:val="en-US" w:eastAsia="zh-CN"/>
              </w:rPr>
              <w:t>韩先生</w:t>
            </w:r>
          </w:p>
          <w:p w14:paraId="65D5A5CC">
            <w:pPr>
              <w:keepNext w:val="0"/>
              <w:keepLines w:val="0"/>
              <w:suppressLineNumbers w:val="0"/>
              <w:spacing w:before="0" w:beforeAutospacing="0" w:after="0" w:afterAutospacing="0" w:line="400" w:lineRule="exact"/>
              <w:ind w:left="38" w:leftChars="18" w:right="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联系方式：</w:t>
            </w:r>
            <w:r>
              <w:rPr>
                <w:rFonts w:hint="eastAsia" w:ascii="宋体" w:hAnsi="宋体" w:cs="宋体"/>
                <w:color w:val="auto"/>
                <w:sz w:val="24"/>
                <w:szCs w:val="24"/>
                <w:lang w:val="en-US" w:eastAsia="zh-CN"/>
              </w:rPr>
              <w:t>18703988757</w:t>
            </w:r>
          </w:p>
        </w:tc>
      </w:tr>
      <w:tr w14:paraId="50FB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24E48424">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1.2.2</w:t>
            </w:r>
          </w:p>
        </w:tc>
        <w:tc>
          <w:tcPr>
            <w:tcW w:w="1725" w:type="dxa"/>
            <w:vAlign w:val="center"/>
          </w:tcPr>
          <w:p w14:paraId="0BE6AFA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6694" w:type="dxa"/>
            <w:vAlign w:val="center"/>
          </w:tcPr>
          <w:p w14:paraId="4EF4B438">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r>
              <w:rPr>
                <w:rFonts w:hint="eastAsia" w:ascii="宋体" w:hAnsi="宋体" w:cs="宋体"/>
                <w:color w:val="auto"/>
                <w:sz w:val="24"/>
                <w:szCs w:val="24"/>
                <w:lang w:eastAsia="zh-CN"/>
              </w:rPr>
              <w:t>河南嘉泰工程管理有限公司</w:t>
            </w:r>
            <w:r>
              <w:rPr>
                <w:rFonts w:hint="eastAsia" w:ascii="宋体" w:hAnsi="宋体" w:eastAsia="宋体" w:cs="宋体"/>
                <w:color w:val="auto"/>
                <w:sz w:val="24"/>
                <w:szCs w:val="24"/>
              </w:rPr>
              <w:t xml:space="preserve">  </w:t>
            </w:r>
          </w:p>
          <w:p w14:paraId="7F56AC0A">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cs="宋体"/>
                <w:color w:val="auto"/>
                <w:sz w:val="24"/>
                <w:szCs w:val="24"/>
                <w:lang w:val="en-US" w:eastAsia="zh-CN"/>
              </w:rPr>
              <w:t>河南自贸试验区郑州片区（郑东）商都路100号2号楼2单元17层1718号</w:t>
            </w:r>
          </w:p>
          <w:p w14:paraId="0B9CC20A">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rPr>
            </w:pPr>
            <w:r>
              <w:rPr>
                <w:rFonts w:hint="eastAsia" w:ascii="宋体" w:hAnsi="宋体" w:eastAsia="宋体" w:cs="宋体"/>
                <w:color w:val="auto"/>
                <w:sz w:val="24"/>
                <w:szCs w:val="24"/>
              </w:rPr>
              <w:t>联系人：</w:t>
            </w:r>
            <w:r>
              <w:rPr>
                <w:rFonts w:hint="eastAsia" w:ascii="宋体" w:hAnsi="宋体" w:cs="宋体"/>
                <w:color w:val="auto"/>
                <w:sz w:val="24"/>
                <w:szCs w:val="24"/>
                <w:lang w:val="en-US" w:eastAsia="zh-CN"/>
              </w:rPr>
              <w:t>杨女士、李先生</w:t>
            </w:r>
          </w:p>
          <w:p w14:paraId="126A22CB">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联系方式：</w:t>
            </w:r>
            <w:r>
              <w:rPr>
                <w:rFonts w:hint="eastAsia" w:ascii="宋体" w:hAnsi="宋体" w:cs="宋体"/>
                <w:color w:val="auto"/>
                <w:sz w:val="24"/>
                <w:szCs w:val="24"/>
                <w:lang w:eastAsia="zh-CN"/>
              </w:rPr>
              <w:t>13203882917、15239860647</w:t>
            </w:r>
          </w:p>
        </w:tc>
      </w:tr>
      <w:tr w14:paraId="2699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69" w:type="dxa"/>
            <w:vAlign w:val="center"/>
          </w:tcPr>
          <w:p w14:paraId="42BEF2A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1.2.3</w:t>
            </w:r>
          </w:p>
        </w:tc>
        <w:tc>
          <w:tcPr>
            <w:tcW w:w="1725" w:type="dxa"/>
            <w:vAlign w:val="center"/>
          </w:tcPr>
          <w:p w14:paraId="1F038492">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项目名称及采购编号</w:t>
            </w:r>
          </w:p>
        </w:tc>
        <w:tc>
          <w:tcPr>
            <w:tcW w:w="6694" w:type="dxa"/>
            <w:vAlign w:val="center"/>
          </w:tcPr>
          <w:p w14:paraId="24F7B427">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lang w:eastAsia="zh-CN"/>
              </w:rPr>
            </w:pPr>
            <w:r>
              <w:rPr>
                <w:rFonts w:hint="eastAsia" w:ascii="宋体" w:hAnsi="宋体" w:eastAsia="宋体" w:cs="宋体"/>
                <w:sz w:val="24"/>
                <w:szCs w:val="24"/>
              </w:rPr>
              <w:t>项目名称：</w:t>
            </w:r>
            <w:r>
              <w:rPr>
                <w:rFonts w:hint="eastAsia" w:ascii="宋体" w:hAnsi="宋体" w:cs="宋体"/>
                <w:sz w:val="24"/>
                <w:szCs w:val="24"/>
                <w:lang w:eastAsia="zh-CN"/>
              </w:rPr>
              <w:t>陈村乡秸秆综合利用配套项目-二标段</w:t>
            </w:r>
          </w:p>
          <w:p w14:paraId="657DE360">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lang w:eastAsia="zh-CN"/>
              </w:rPr>
            </w:pPr>
            <w:r>
              <w:rPr>
                <w:rFonts w:hint="eastAsia" w:ascii="宋体" w:hAnsi="宋体" w:eastAsia="宋体" w:cs="宋体"/>
                <w:sz w:val="24"/>
                <w:szCs w:val="24"/>
              </w:rPr>
              <w:t>采购编号：</w:t>
            </w:r>
            <w:r>
              <w:rPr>
                <w:rFonts w:hint="eastAsia" w:ascii="宋体" w:hAnsi="宋体" w:cs="宋体"/>
                <w:sz w:val="24"/>
                <w:szCs w:val="24"/>
                <w:lang w:eastAsia="zh-CN"/>
              </w:rPr>
              <w:t>渑池公开采购-2026-36；MCGZ[2026]196-ZC180</w:t>
            </w:r>
            <w:r>
              <w:rPr>
                <w:rFonts w:hint="eastAsia" w:ascii="宋体" w:hAnsi="宋体" w:eastAsia="宋体" w:cs="宋体"/>
                <w:sz w:val="24"/>
                <w:szCs w:val="24"/>
                <w:lang w:val="en-US" w:eastAsia="zh-CN"/>
              </w:rPr>
              <w:t>；</w:t>
            </w:r>
          </w:p>
        </w:tc>
      </w:tr>
      <w:tr w14:paraId="109A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jc w:val="center"/>
        </w:trPr>
        <w:tc>
          <w:tcPr>
            <w:tcW w:w="969" w:type="dxa"/>
            <w:vAlign w:val="center"/>
          </w:tcPr>
          <w:p w14:paraId="5E885E92">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1.2.4</w:t>
            </w:r>
          </w:p>
        </w:tc>
        <w:tc>
          <w:tcPr>
            <w:tcW w:w="1725" w:type="dxa"/>
            <w:vAlign w:val="center"/>
          </w:tcPr>
          <w:p w14:paraId="0F1E83A6">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lang w:eastAsia="zh-CN"/>
              </w:rPr>
            </w:pPr>
            <w:r>
              <w:rPr>
                <w:rFonts w:hint="eastAsia" w:ascii="宋体" w:hAnsi="宋体" w:eastAsia="宋体" w:cs="宋体"/>
                <w:sz w:val="24"/>
                <w:szCs w:val="24"/>
              </w:rPr>
              <w:t>采购</w:t>
            </w:r>
            <w:r>
              <w:rPr>
                <w:rFonts w:hint="eastAsia" w:ascii="宋体" w:hAnsi="宋体" w:eastAsia="宋体" w:cs="宋体"/>
                <w:sz w:val="24"/>
                <w:szCs w:val="24"/>
                <w:lang w:val="en-US" w:eastAsia="zh-CN"/>
              </w:rPr>
              <w:t>内容</w:t>
            </w:r>
          </w:p>
        </w:tc>
        <w:tc>
          <w:tcPr>
            <w:tcW w:w="6694" w:type="dxa"/>
            <w:vAlign w:val="center"/>
          </w:tcPr>
          <w:p w14:paraId="0B5FF3A1">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cs="宋体"/>
                <w:sz w:val="24"/>
                <w:szCs w:val="24"/>
                <w:lang w:val="en-US" w:eastAsia="zh-CN"/>
              </w:rPr>
              <w:t>本项目为陈村乡秸秆综合利用配套项目-二标段，主要内容是地磅、三轮铡草车、玉米双收机、移动捡拾铡草车、黄储饲草裹包生产线等设备采购及安装、培训、验收、质保期服务、与货物有关的运输和保险及其他伴随服务。具体详见采购清单。</w:t>
            </w:r>
          </w:p>
        </w:tc>
      </w:tr>
      <w:tr w14:paraId="79AE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969" w:type="dxa"/>
            <w:vAlign w:val="center"/>
          </w:tcPr>
          <w:p w14:paraId="745F31E0">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1.2.5</w:t>
            </w:r>
          </w:p>
        </w:tc>
        <w:tc>
          <w:tcPr>
            <w:tcW w:w="1725" w:type="dxa"/>
            <w:vAlign w:val="center"/>
          </w:tcPr>
          <w:p w14:paraId="5F0A81E7">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预算资金及资金来源</w:t>
            </w:r>
          </w:p>
        </w:tc>
        <w:tc>
          <w:tcPr>
            <w:tcW w:w="6694" w:type="dxa"/>
            <w:vAlign w:val="center"/>
          </w:tcPr>
          <w:p w14:paraId="756AF077">
            <w:pPr>
              <w:keepNext w:val="0"/>
              <w:keepLines w:val="0"/>
              <w:suppressLineNumbers w:val="0"/>
              <w:spacing w:before="0" w:beforeAutospacing="0" w:after="0" w:afterAutospacing="0" w:line="400" w:lineRule="exact"/>
              <w:ind w:left="38" w:leftChars="18" w:right="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预算金额：</w:t>
            </w:r>
            <w:r>
              <w:rPr>
                <w:rFonts w:hint="eastAsia" w:ascii="宋体" w:hAnsi="宋体" w:cs="宋体"/>
                <w:color w:val="auto"/>
                <w:sz w:val="24"/>
                <w:szCs w:val="24"/>
                <w:lang w:val="en-US" w:eastAsia="zh-CN"/>
              </w:rPr>
              <w:t>5220000</w:t>
            </w:r>
            <w:r>
              <w:rPr>
                <w:rFonts w:hint="eastAsia" w:ascii="宋体" w:hAnsi="宋体" w:eastAsia="宋体" w:cs="宋体"/>
                <w:color w:val="auto"/>
                <w:sz w:val="24"/>
                <w:szCs w:val="24"/>
                <w:lang w:val="en-US" w:eastAsia="zh-CN"/>
              </w:rPr>
              <w:t>.00元；</w:t>
            </w:r>
          </w:p>
          <w:p w14:paraId="1D27A361">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color w:val="auto"/>
                <w:sz w:val="24"/>
                <w:szCs w:val="24"/>
                <w:lang w:val="en-US" w:eastAsia="zh-CN"/>
              </w:rPr>
              <w:t>财政资金，已落实。</w:t>
            </w:r>
          </w:p>
        </w:tc>
      </w:tr>
      <w:tr w14:paraId="4AED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36A5F87E">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1.2.6</w:t>
            </w:r>
          </w:p>
        </w:tc>
        <w:tc>
          <w:tcPr>
            <w:tcW w:w="1725" w:type="dxa"/>
            <w:vAlign w:val="center"/>
          </w:tcPr>
          <w:p w14:paraId="5AE15C82">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质保期</w:t>
            </w:r>
          </w:p>
        </w:tc>
        <w:tc>
          <w:tcPr>
            <w:tcW w:w="6694" w:type="dxa"/>
          </w:tcPr>
          <w:p w14:paraId="41ED1939">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rPr>
            </w:pPr>
            <w:r>
              <w:rPr>
                <w:rFonts w:hint="eastAsia" w:ascii="宋体" w:hAnsi="宋体" w:cs="宋体"/>
                <w:color w:val="auto"/>
                <w:sz w:val="24"/>
                <w:szCs w:val="24"/>
                <w:lang w:val="en-US" w:eastAsia="zh-CN"/>
              </w:rPr>
              <w:t>不得低于</w:t>
            </w:r>
            <w:r>
              <w:rPr>
                <w:rFonts w:hint="eastAsia" w:ascii="宋体" w:hAnsi="宋体" w:eastAsia="宋体" w:cs="宋体"/>
                <w:color w:val="auto"/>
                <w:sz w:val="24"/>
                <w:szCs w:val="24"/>
                <w:lang w:val="en-US" w:eastAsia="zh-CN"/>
              </w:rPr>
              <w:t>1年。</w:t>
            </w:r>
          </w:p>
        </w:tc>
      </w:tr>
      <w:tr w14:paraId="4EF2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5271E15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1.2.7</w:t>
            </w:r>
          </w:p>
        </w:tc>
        <w:tc>
          <w:tcPr>
            <w:tcW w:w="1725" w:type="dxa"/>
            <w:vAlign w:val="center"/>
          </w:tcPr>
          <w:p w14:paraId="057CB6C5">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交货地点</w:t>
            </w:r>
          </w:p>
        </w:tc>
        <w:tc>
          <w:tcPr>
            <w:tcW w:w="6694" w:type="dxa"/>
            <w:vAlign w:val="center"/>
          </w:tcPr>
          <w:p w14:paraId="1DD10EE5">
            <w:pPr>
              <w:keepNext w:val="0"/>
              <w:keepLines w:val="0"/>
              <w:suppressLineNumbers w:val="0"/>
              <w:spacing w:before="0" w:beforeAutospacing="0" w:after="0" w:afterAutospacing="0" w:line="400" w:lineRule="exact"/>
              <w:ind w:left="38" w:leftChars="18" w:right="0"/>
              <w:jc w:val="left"/>
              <w:rPr>
                <w:rFonts w:hint="eastAsia" w:ascii="宋体" w:hAnsi="宋体" w:eastAsia="宋体" w:cs="宋体"/>
                <w:sz w:val="24"/>
                <w:szCs w:val="24"/>
              </w:rPr>
            </w:pPr>
            <w:r>
              <w:rPr>
                <w:rFonts w:hint="eastAsia" w:ascii="宋体" w:hAnsi="宋体" w:eastAsia="宋体" w:cs="宋体"/>
                <w:sz w:val="24"/>
                <w:szCs w:val="24"/>
              </w:rPr>
              <w:t>采购人指定地点</w:t>
            </w:r>
          </w:p>
        </w:tc>
      </w:tr>
      <w:tr w14:paraId="0B3C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Align w:val="center"/>
          </w:tcPr>
          <w:p w14:paraId="6B7AD976">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1.2.8</w:t>
            </w:r>
          </w:p>
        </w:tc>
        <w:tc>
          <w:tcPr>
            <w:tcW w:w="1725" w:type="dxa"/>
            <w:vAlign w:val="center"/>
          </w:tcPr>
          <w:p w14:paraId="492E9732">
            <w:pPr>
              <w:keepNext w:val="0"/>
              <w:keepLines w:val="0"/>
              <w:suppressLineNumbers w:val="0"/>
              <w:spacing w:before="0" w:beforeAutospacing="0" w:after="0" w:afterAutospacing="0" w:line="400" w:lineRule="exact"/>
              <w:ind w:left="38" w:leftChars="18" w:right="0" w:firstLine="240" w:firstLineChars="100"/>
              <w:jc w:val="left"/>
              <w:rPr>
                <w:rFonts w:hint="eastAsia" w:ascii="宋体" w:hAnsi="宋体" w:eastAsia="宋体" w:cs="宋体"/>
                <w:color w:val="auto"/>
                <w:sz w:val="24"/>
                <w:szCs w:val="24"/>
              </w:rPr>
            </w:pPr>
            <w:r>
              <w:rPr>
                <w:rFonts w:hint="eastAsia" w:ascii="宋体" w:hAnsi="宋体" w:eastAsia="宋体" w:cs="宋体"/>
                <w:color w:val="auto"/>
                <w:sz w:val="24"/>
                <w:szCs w:val="24"/>
              </w:rPr>
              <w:t>交货期</w:t>
            </w:r>
          </w:p>
        </w:tc>
        <w:tc>
          <w:tcPr>
            <w:tcW w:w="6694" w:type="dxa"/>
            <w:vAlign w:val="bottom"/>
          </w:tcPr>
          <w:p w14:paraId="6C06AA23">
            <w:pPr>
              <w:keepNext w:val="0"/>
              <w:keepLines w:val="0"/>
              <w:suppressLineNumbers w:val="0"/>
              <w:spacing w:before="0" w:beforeAutospacing="0" w:after="0" w:afterAutospacing="0" w:line="400" w:lineRule="exact"/>
              <w:ind w:left="38" w:leftChars="18" w:right="0"/>
              <w:jc w:val="left"/>
              <w:rPr>
                <w:rFonts w:hint="eastAsia" w:ascii="宋体" w:hAnsi="宋体" w:eastAsia="宋体" w:cs="宋体"/>
                <w:color w:val="auto"/>
                <w:sz w:val="24"/>
                <w:szCs w:val="24"/>
              </w:rPr>
            </w:pPr>
            <w:r>
              <w:rPr>
                <w:rFonts w:hint="eastAsia" w:ascii="宋体" w:hAnsi="宋体" w:cs="宋体"/>
                <w:color w:val="auto"/>
                <w:sz w:val="24"/>
                <w:szCs w:val="24"/>
                <w:lang w:val="en-US" w:eastAsia="zh-CN"/>
              </w:rPr>
              <w:t>签订合同后60日历天交货</w:t>
            </w:r>
          </w:p>
        </w:tc>
      </w:tr>
      <w:tr w14:paraId="142A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20ED5C8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1.2.9</w:t>
            </w:r>
          </w:p>
        </w:tc>
        <w:tc>
          <w:tcPr>
            <w:tcW w:w="1725" w:type="dxa"/>
            <w:vAlign w:val="center"/>
          </w:tcPr>
          <w:p w14:paraId="516F7684">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质量要求</w:t>
            </w:r>
          </w:p>
        </w:tc>
        <w:tc>
          <w:tcPr>
            <w:tcW w:w="6694" w:type="dxa"/>
            <w:vAlign w:val="bottom"/>
          </w:tcPr>
          <w:p w14:paraId="601840C8">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rPr>
            </w:pPr>
            <w:r>
              <w:rPr>
                <w:rFonts w:hint="eastAsia" w:ascii="宋体" w:hAnsi="宋体" w:eastAsia="宋体" w:cs="宋体"/>
                <w:color w:val="auto"/>
                <w:sz w:val="24"/>
                <w:szCs w:val="24"/>
              </w:rPr>
              <w:t>符合国家相关部门规定标准，达到正常运行条件</w:t>
            </w:r>
          </w:p>
        </w:tc>
      </w:tr>
      <w:tr w14:paraId="46B3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3B6C609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1.2.10</w:t>
            </w:r>
          </w:p>
        </w:tc>
        <w:tc>
          <w:tcPr>
            <w:tcW w:w="1725" w:type="dxa"/>
            <w:vAlign w:val="center"/>
          </w:tcPr>
          <w:p w14:paraId="02592FD0">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资格要求</w:t>
            </w:r>
          </w:p>
        </w:tc>
        <w:tc>
          <w:tcPr>
            <w:tcW w:w="6694" w:type="dxa"/>
            <w:vAlign w:val="center"/>
          </w:tcPr>
          <w:p w14:paraId="59BD5FFE">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1、满足《中华人民共和国政府采购法》第二十二条规定； </w:t>
            </w:r>
          </w:p>
          <w:p w14:paraId="3165A73A">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2、落实政府采购政策满足的资格要求： </w:t>
            </w:r>
          </w:p>
          <w:p w14:paraId="061749C9">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本项目非专门面向中小微企业采购项目,执行促进中小企业（监狱企业、残疾人福利性企业）发展等政府采购政策。</w:t>
            </w:r>
          </w:p>
          <w:p w14:paraId="3DB6B1A0">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3、本项目的特定资格要求 </w:t>
            </w:r>
          </w:p>
          <w:p w14:paraId="26259611">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3.1.供应商须具备独立承担民事责任的能力，提供有效的营业执照或事业单位法人证书，或其他依法成立、合法存续的有效登记（证明）证书；提供具有履行合同所必需的设备和专业技术能力（自行作出承诺，格式自拟）； </w:t>
            </w:r>
          </w:p>
          <w:p w14:paraId="14ECA730">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3.2.供应商出具的本单位无商业贿赂及无不正当竞争行为承诺书；</w:t>
            </w:r>
          </w:p>
          <w:p w14:paraId="28AE25C0">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3.3.供应商出具无行贿记录在中国裁判文书网自行查询或自行承诺（查询对象：企业、法定代表人）</w:t>
            </w:r>
          </w:p>
          <w:p w14:paraId="066725A0">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3.4.参加政府采购活动前三年内，在经营活动中没有重大违法记录（提供书面声明）； </w:t>
            </w:r>
          </w:p>
          <w:p w14:paraId="7CFA7A80">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信用中国”网站（www.creditchina.gov.cn）、中国政府采购网（www.ccgp.gov.cn）的网页查询结果。查询时间为招标公告发布日期之后。</w:t>
            </w:r>
          </w:p>
          <w:p w14:paraId="7B562EA3">
            <w:pPr>
              <w:keepNext w:val="0"/>
              <w:keepLines w:val="0"/>
              <w:suppressLineNumbers w:val="0"/>
              <w:spacing w:before="0" w:beforeAutospacing="0" w:after="0" w:afterAutospacing="0" w:line="400" w:lineRule="exact"/>
              <w:ind w:left="38" w:leftChars="18"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3.6本项目不接受联合体投标。</w:t>
            </w:r>
          </w:p>
        </w:tc>
      </w:tr>
      <w:tr w14:paraId="127E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6CF21681">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1.2.11</w:t>
            </w:r>
          </w:p>
        </w:tc>
        <w:tc>
          <w:tcPr>
            <w:tcW w:w="1725" w:type="dxa"/>
            <w:vAlign w:val="center"/>
          </w:tcPr>
          <w:p w14:paraId="086726D1">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是否接受联合体</w:t>
            </w:r>
          </w:p>
        </w:tc>
        <w:tc>
          <w:tcPr>
            <w:tcW w:w="6694" w:type="dxa"/>
            <w:vAlign w:val="center"/>
          </w:tcPr>
          <w:p w14:paraId="2B34ECA5">
            <w:pPr>
              <w:keepNext w:val="0"/>
              <w:keepLines w:val="0"/>
              <w:suppressLineNumbers w:val="0"/>
              <w:tabs>
                <w:tab w:val="left" w:pos="630"/>
              </w:tabs>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√不接受</w:t>
            </w:r>
          </w:p>
        </w:tc>
      </w:tr>
      <w:tr w14:paraId="4E90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035DC0D9">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1.2.12</w:t>
            </w:r>
          </w:p>
        </w:tc>
        <w:tc>
          <w:tcPr>
            <w:tcW w:w="1725" w:type="dxa"/>
            <w:vAlign w:val="center"/>
          </w:tcPr>
          <w:p w14:paraId="0FDD76E3">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是否接受进口产品</w:t>
            </w:r>
          </w:p>
        </w:tc>
        <w:tc>
          <w:tcPr>
            <w:tcW w:w="6694" w:type="dxa"/>
            <w:vAlign w:val="center"/>
          </w:tcPr>
          <w:p w14:paraId="7884B3C6">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sz w:val="24"/>
                <w:szCs w:val="24"/>
              </w:rPr>
              <w:t>√否</w:t>
            </w:r>
          </w:p>
        </w:tc>
      </w:tr>
      <w:tr w14:paraId="3CE4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21A6798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1.4.1</w:t>
            </w:r>
          </w:p>
        </w:tc>
        <w:tc>
          <w:tcPr>
            <w:tcW w:w="1725" w:type="dxa"/>
            <w:vAlign w:val="center"/>
          </w:tcPr>
          <w:p w14:paraId="71204315">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现场考察</w:t>
            </w:r>
          </w:p>
        </w:tc>
        <w:tc>
          <w:tcPr>
            <w:tcW w:w="6694" w:type="dxa"/>
            <w:vAlign w:val="center"/>
          </w:tcPr>
          <w:p w14:paraId="0DD8D655">
            <w:pPr>
              <w:keepNext w:val="0"/>
              <w:keepLines w:val="0"/>
              <w:suppressLineNumbers w:val="0"/>
              <w:tabs>
                <w:tab w:val="left" w:pos="720"/>
                <w:tab w:val="left" w:pos="1904"/>
              </w:tabs>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√不组织</w:t>
            </w:r>
          </w:p>
        </w:tc>
      </w:tr>
      <w:tr w14:paraId="7B38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79A4C44">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1.4.2</w:t>
            </w:r>
          </w:p>
        </w:tc>
        <w:tc>
          <w:tcPr>
            <w:tcW w:w="1725" w:type="dxa"/>
            <w:vAlign w:val="center"/>
          </w:tcPr>
          <w:p w14:paraId="1B5B879B">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答 疑 会</w:t>
            </w:r>
          </w:p>
        </w:tc>
        <w:tc>
          <w:tcPr>
            <w:tcW w:w="6694" w:type="dxa"/>
            <w:vAlign w:val="center"/>
          </w:tcPr>
          <w:p w14:paraId="187A3D96">
            <w:pPr>
              <w:keepNext w:val="0"/>
              <w:keepLines w:val="0"/>
              <w:suppressLineNumbers w:val="0"/>
              <w:tabs>
                <w:tab w:val="left" w:pos="720"/>
                <w:tab w:val="left" w:pos="1904"/>
              </w:tabs>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√不召开</w:t>
            </w:r>
          </w:p>
        </w:tc>
      </w:tr>
      <w:tr w14:paraId="6BCB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0FC8985F">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1.5.1</w:t>
            </w:r>
          </w:p>
        </w:tc>
        <w:tc>
          <w:tcPr>
            <w:tcW w:w="1725" w:type="dxa"/>
            <w:vAlign w:val="center"/>
          </w:tcPr>
          <w:p w14:paraId="70B5976D">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分包</w:t>
            </w:r>
          </w:p>
        </w:tc>
        <w:tc>
          <w:tcPr>
            <w:tcW w:w="6694" w:type="dxa"/>
            <w:vAlign w:val="center"/>
          </w:tcPr>
          <w:p w14:paraId="4931A542">
            <w:pPr>
              <w:keepNext w:val="0"/>
              <w:keepLines w:val="0"/>
              <w:suppressLineNumbers w:val="0"/>
              <w:tabs>
                <w:tab w:val="left" w:pos="720"/>
                <w:tab w:val="left" w:pos="1904"/>
              </w:tabs>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√不允许</w:t>
            </w:r>
          </w:p>
        </w:tc>
      </w:tr>
      <w:tr w14:paraId="6DEA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1074BF54">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1.6.1</w:t>
            </w:r>
          </w:p>
        </w:tc>
        <w:tc>
          <w:tcPr>
            <w:tcW w:w="1725" w:type="dxa"/>
            <w:vAlign w:val="center"/>
          </w:tcPr>
          <w:p w14:paraId="05A4094E">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偏离</w:t>
            </w:r>
          </w:p>
        </w:tc>
        <w:tc>
          <w:tcPr>
            <w:tcW w:w="6694" w:type="dxa"/>
            <w:vAlign w:val="center"/>
          </w:tcPr>
          <w:p w14:paraId="0AAC15D0">
            <w:pPr>
              <w:keepNext w:val="0"/>
              <w:keepLines w:val="0"/>
              <w:suppressLineNumbers w:val="0"/>
              <w:tabs>
                <w:tab w:val="left" w:pos="720"/>
                <w:tab w:val="left" w:pos="1904"/>
              </w:tabs>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允许</w:t>
            </w:r>
          </w:p>
        </w:tc>
      </w:tr>
      <w:tr w14:paraId="2C20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622A268E">
            <w:pPr>
              <w:keepNext w:val="0"/>
              <w:keepLines w:val="0"/>
              <w:suppressLineNumbers w:val="0"/>
              <w:spacing w:before="0" w:beforeAutospacing="0" w:after="0" w:afterAutospacing="0" w:line="400" w:lineRule="exact"/>
              <w:ind w:left="38" w:leftChars="18" w:right="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1.7.1</w:t>
            </w:r>
          </w:p>
        </w:tc>
        <w:tc>
          <w:tcPr>
            <w:tcW w:w="1725" w:type="dxa"/>
            <w:vAlign w:val="center"/>
          </w:tcPr>
          <w:p w14:paraId="54940040">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实质性要求和条件</w:t>
            </w:r>
          </w:p>
        </w:tc>
        <w:tc>
          <w:tcPr>
            <w:tcW w:w="6694" w:type="dxa"/>
            <w:vAlign w:val="center"/>
          </w:tcPr>
          <w:p w14:paraId="03DF6DD6">
            <w:pPr>
              <w:keepNext w:val="0"/>
              <w:keepLines w:val="0"/>
              <w:suppressLineNumbers w:val="0"/>
              <w:tabs>
                <w:tab w:val="left" w:pos="720"/>
                <w:tab w:val="left" w:pos="1904"/>
              </w:tabs>
              <w:spacing w:before="0" w:beforeAutospacing="0" w:after="0" w:afterAutospacing="0" w:line="400" w:lineRule="exact"/>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质量要求：</w:t>
            </w:r>
          </w:p>
          <w:p w14:paraId="6DECFE25">
            <w:pPr>
              <w:keepNext w:val="0"/>
              <w:keepLines w:val="0"/>
              <w:suppressLineNumbers w:val="0"/>
              <w:tabs>
                <w:tab w:val="left" w:pos="720"/>
                <w:tab w:val="left" w:pos="1904"/>
              </w:tabs>
              <w:spacing w:before="0" w:beforeAutospacing="0" w:after="0" w:afterAutospacing="0" w:line="400" w:lineRule="exact"/>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交货期：</w:t>
            </w:r>
          </w:p>
          <w:p w14:paraId="031BDCDE">
            <w:pPr>
              <w:keepNext w:val="0"/>
              <w:keepLines w:val="0"/>
              <w:suppressLineNumbers w:val="0"/>
              <w:tabs>
                <w:tab w:val="left" w:pos="720"/>
                <w:tab w:val="left" w:pos="1904"/>
              </w:tabs>
              <w:spacing w:before="0" w:beforeAutospacing="0" w:after="0" w:afterAutospacing="0" w:line="400" w:lineRule="exact"/>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交货地点：</w:t>
            </w:r>
          </w:p>
          <w:p w14:paraId="6ACA5920">
            <w:pPr>
              <w:keepNext w:val="0"/>
              <w:keepLines w:val="0"/>
              <w:suppressLineNumbers w:val="0"/>
              <w:tabs>
                <w:tab w:val="left" w:pos="720"/>
                <w:tab w:val="left" w:pos="1904"/>
              </w:tabs>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质保期</w:t>
            </w:r>
            <w:r>
              <w:rPr>
                <w:rFonts w:hint="eastAsia" w:ascii="宋体" w:hAnsi="宋体" w:eastAsia="宋体" w:cs="宋体"/>
                <w:sz w:val="24"/>
                <w:szCs w:val="24"/>
                <w:lang w:eastAsia="zh-CN"/>
              </w:rPr>
              <w:t>：</w:t>
            </w:r>
          </w:p>
        </w:tc>
      </w:tr>
      <w:tr w14:paraId="0355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69" w:type="dxa"/>
            <w:vMerge w:val="restart"/>
            <w:vAlign w:val="center"/>
          </w:tcPr>
          <w:p w14:paraId="7CF1456D">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kern w:val="0"/>
                <w:sz w:val="24"/>
                <w:szCs w:val="24"/>
              </w:rPr>
              <w:t>2.2.1</w:t>
            </w:r>
          </w:p>
        </w:tc>
        <w:tc>
          <w:tcPr>
            <w:tcW w:w="1725" w:type="dxa"/>
            <w:vMerge w:val="restart"/>
            <w:vAlign w:val="center"/>
          </w:tcPr>
          <w:p w14:paraId="5ED5C2B8">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提出问题的截止时间</w:t>
            </w:r>
          </w:p>
        </w:tc>
        <w:tc>
          <w:tcPr>
            <w:tcW w:w="6694" w:type="dxa"/>
            <w:vAlign w:val="center"/>
          </w:tcPr>
          <w:p w14:paraId="4D9FF3A1">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kern w:val="0"/>
                <w:sz w:val="24"/>
                <w:szCs w:val="24"/>
              </w:rPr>
              <w:t>时间：投标截止时间前</w:t>
            </w:r>
            <w:r>
              <w:rPr>
                <w:rFonts w:hint="eastAsia" w:ascii="宋体" w:hAnsi="宋体" w:eastAsia="宋体" w:cs="宋体"/>
                <w:kern w:val="0"/>
                <w:sz w:val="24"/>
                <w:szCs w:val="24"/>
                <w:u w:val="single"/>
              </w:rPr>
              <w:t xml:space="preserve"> 10 </w:t>
            </w:r>
            <w:r>
              <w:rPr>
                <w:rFonts w:hint="eastAsia" w:ascii="宋体" w:hAnsi="宋体" w:eastAsia="宋体" w:cs="宋体"/>
                <w:kern w:val="0"/>
                <w:sz w:val="24"/>
                <w:szCs w:val="24"/>
              </w:rPr>
              <w:t>日</w:t>
            </w:r>
          </w:p>
        </w:tc>
      </w:tr>
      <w:tr w14:paraId="0AA9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Merge w:val="continue"/>
            <w:vAlign w:val="center"/>
          </w:tcPr>
          <w:p w14:paraId="67A71F4C">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p>
        </w:tc>
        <w:tc>
          <w:tcPr>
            <w:tcW w:w="1725" w:type="dxa"/>
            <w:vMerge w:val="continue"/>
            <w:vAlign w:val="center"/>
          </w:tcPr>
          <w:p w14:paraId="70BDB501">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p>
        </w:tc>
        <w:tc>
          <w:tcPr>
            <w:tcW w:w="6694" w:type="dxa"/>
            <w:vAlign w:val="center"/>
          </w:tcPr>
          <w:p w14:paraId="4968DCA1">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sz w:val="24"/>
                <w:szCs w:val="24"/>
              </w:rPr>
              <w:t>形式：在电子招标投标交易服务平台提出</w:t>
            </w:r>
          </w:p>
        </w:tc>
      </w:tr>
      <w:tr w14:paraId="0E4E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3FB4DCAC">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kern w:val="0"/>
                <w:sz w:val="24"/>
                <w:szCs w:val="24"/>
              </w:rPr>
              <w:t>2.2.2</w:t>
            </w:r>
          </w:p>
        </w:tc>
        <w:tc>
          <w:tcPr>
            <w:tcW w:w="1725" w:type="dxa"/>
            <w:vAlign w:val="center"/>
          </w:tcPr>
          <w:p w14:paraId="31A00678">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kern w:val="0"/>
                <w:sz w:val="24"/>
                <w:szCs w:val="24"/>
              </w:rPr>
              <w:t>招标文件澄清发出的形式</w:t>
            </w:r>
          </w:p>
        </w:tc>
        <w:tc>
          <w:tcPr>
            <w:tcW w:w="6694" w:type="dxa"/>
            <w:vAlign w:val="center"/>
          </w:tcPr>
          <w:p w14:paraId="31A8C5B7">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sz w:val="24"/>
                <w:szCs w:val="24"/>
              </w:rPr>
              <w:t>通过三门峡市公共电子交易服务平台发布</w:t>
            </w:r>
            <w:r>
              <w:rPr>
                <w:rFonts w:hint="eastAsia" w:ascii="宋体" w:hAnsi="宋体" w:eastAsia="宋体" w:cs="宋体"/>
                <w:kern w:val="0"/>
                <w:sz w:val="24"/>
                <w:szCs w:val="24"/>
              </w:rPr>
              <w:t>且同时在原公告媒体发布澄清公告</w:t>
            </w:r>
          </w:p>
        </w:tc>
      </w:tr>
      <w:tr w14:paraId="21D6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969" w:type="dxa"/>
            <w:vAlign w:val="center"/>
          </w:tcPr>
          <w:p w14:paraId="4F4B5225">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kern w:val="0"/>
                <w:sz w:val="24"/>
                <w:szCs w:val="24"/>
              </w:rPr>
              <w:t>2.2.3</w:t>
            </w:r>
          </w:p>
        </w:tc>
        <w:tc>
          <w:tcPr>
            <w:tcW w:w="1725" w:type="dxa"/>
            <w:vAlign w:val="center"/>
          </w:tcPr>
          <w:p w14:paraId="2E630845">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确认收到招标文件澄清</w:t>
            </w:r>
          </w:p>
        </w:tc>
        <w:tc>
          <w:tcPr>
            <w:tcW w:w="6694" w:type="dxa"/>
            <w:vAlign w:val="center"/>
          </w:tcPr>
          <w:p w14:paraId="746DF7C6">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sz w:val="24"/>
                <w:szCs w:val="24"/>
              </w:rPr>
              <w:t>通过三门峡市公共电子交易服务平台确认</w:t>
            </w:r>
          </w:p>
        </w:tc>
      </w:tr>
      <w:tr w14:paraId="3DDB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E6802E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kern w:val="0"/>
                <w:sz w:val="24"/>
                <w:szCs w:val="24"/>
              </w:rPr>
              <w:t>2.3.2</w:t>
            </w:r>
          </w:p>
        </w:tc>
        <w:tc>
          <w:tcPr>
            <w:tcW w:w="1725" w:type="dxa"/>
            <w:vAlign w:val="center"/>
          </w:tcPr>
          <w:p w14:paraId="64DF8B43">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kern w:val="0"/>
                <w:sz w:val="24"/>
                <w:szCs w:val="24"/>
              </w:rPr>
              <w:t>招标文件修改发出的形式</w:t>
            </w:r>
          </w:p>
        </w:tc>
        <w:tc>
          <w:tcPr>
            <w:tcW w:w="6694" w:type="dxa"/>
            <w:vAlign w:val="center"/>
          </w:tcPr>
          <w:p w14:paraId="353A26F0">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sz w:val="24"/>
                <w:szCs w:val="24"/>
              </w:rPr>
              <w:t>通过三门峡市公共电子交易服务平台发布</w:t>
            </w:r>
            <w:r>
              <w:rPr>
                <w:rFonts w:hint="eastAsia" w:ascii="宋体" w:hAnsi="宋体" w:eastAsia="宋体" w:cs="宋体"/>
                <w:kern w:val="0"/>
                <w:sz w:val="24"/>
                <w:szCs w:val="24"/>
              </w:rPr>
              <w:t>且同时在原公告媒体发布变更公告</w:t>
            </w:r>
          </w:p>
        </w:tc>
      </w:tr>
      <w:tr w14:paraId="6624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69" w:type="dxa"/>
            <w:vAlign w:val="center"/>
          </w:tcPr>
          <w:p w14:paraId="5DA6C20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kern w:val="0"/>
                <w:sz w:val="24"/>
                <w:szCs w:val="24"/>
              </w:rPr>
              <w:t>2.3.3</w:t>
            </w:r>
          </w:p>
        </w:tc>
        <w:tc>
          <w:tcPr>
            <w:tcW w:w="1725" w:type="dxa"/>
            <w:vAlign w:val="center"/>
          </w:tcPr>
          <w:p w14:paraId="4D81EA44">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确认收到招标文件修改</w:t>
            </w:r>
          </w:p>
        </w:tc>
        <w:tc>
          <w:tcPr>
            <w:tcW w:w="6694" w:type="dxa"/>
            <w:vAlign w:val="center"/>
          </w:tcPr>
          <w:p w14:paraId="576D45A4">
            <w:pPr>
              <w:keepNext w:val="0"/>
              <w:keepLines w:val="0"/>
              <w:suppressLineNumbers w:val="0"/>
              <w:spacing w:before="0" w:beforeAutospacing="0" w:after="0" w:afterAutospacing="0" w:line="400" w:lineRule="exact"/>
              <w:ind w:left="38" w:leftChars="18" w:right="0"/>
              <w:rPr>
                <w:rFonts w:hint="eastAsia" w:ascii="宋体" w:hAnsi="宋体" w:eastAsia="宋体" w:cs="宋体"/>
                <w:b/>
                <w:sz w:val="24"/>
                <w:szCs w:val="24"/>
              </w:rPr>
            </w:pPr>
            <w:r>
              <w:rPr>
                <w:rFonts w:hint="eastAsia" w:ascii="宋体" w:hAnsi="宋体" w:eastAsia="宋体" w:cs="宋体"/>
                <w:sz w:val="24"/>
                <w:szCs w:val="24"/>
              </w:rPr>
              <w:t>通过三门峡市公共电子交易服务平台确认</w:t>
            </w:r>
          </w:p>
        </w:tc>
      </w:tr>
      <w:tr w14:paraId="658C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24B4EC0">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3.5.1</w:t>
            </w:r>
          </w:p>
        </w:tc>
        <w:tc>
          <w:tcPr>
            <w:tcW w:w="1725" w:type="dxa"/>
            <w:vAlign w:val="center"/>
          </w:tcPr>
          <w:p w14:paraId="4774D4AE">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投标保证金</w:t>
            </w:r>
          </w:p>
        </w:tc>
        <w:tc>
          <w:tcPr>
            <w:tcW w:w="6694" w:type="dxa"/>
            <w:vAlign w:val="center"/>
          </w:tcPr>
          <w:p w14:paraId="049F611F">
            <w:pPr>
              <w:keepNext w:val="0"/>
              <w:keepLines w:val="0"/>
              <w:suppressLineNumbers w:val="0"/>
              <w:spacing w:before="0" w:beforeAutospacing="0" w:after="0" w:afterAutospacing="0" w:line="400" w:lineRule="exact"/>
              <w:ind w:left="38" w:leftChars="18" w:right="0"/>
              <w:jc w:val="left"/>
              <w:rPr>
                <w:rFonts w:hint="eastAsia" w:ascii="宋体" w:hAnsi="宋体" w:eastAsia="宋体" w:cs="宋体"/>
                <w:sz w:val="24"/>
                <w:szCs w:val="24"/>
              </w:rPr>
            </w:pPr>
            <w:r>
              <w:rPr>
                <w:rFonts w:hint="eastAsia" w:ascii="宋体" w:hAnsi="宋体" w:eastAsia="宋体" w:cs="宋体"/>
                <w:sz w:val="24"/>
                <w:szCs w:val="24"/>
              </w:rPr>
              <w:t>按照《河南省财政厅关于优化政府采购营商环境有关问题的通知》（豫财购[2019]4号文）的要求本项目不再收取投标保证金</w:t>
            </w:r>
          </w:p>
        </w:tc>
      </w:tr>
      <w:tr w14:paraId="4079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69" w:type="dxa"/>
            <w:vAlign w:val="center"/>
          </w:tcPr>
          <w:p w14:paraId="5DECDFD9">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3.6.1</w:t>
            </w:r>
          </w:p>
        </w:tc>
        <w:tc>
          <w:tcPr>
            <w:tcW w:w="1725" w:type="dxa"/>
            <w:vAlign w:val="center"/>
          </w:tcPr>
          <w:p w14:paraId="5F01642F">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投标有效期</w:t>
            </w:r>
          </w:p>
        </w:tc>
        <w:tc>
          <w:tcPr>
            <w:tcW w:w="6694" w:type="dxa"/>
            <w:vAlign w:val="center"/>
          </w:tcPr>
          <w:p w14:paraId="00A2C5C5">
            <w:pPr>
              <w:keepNext w:val="0"/>
              <w:keepLines w:val="0"/>
              <w:suppressLineNumbers w:val="0"/>
              <w:spacing w:before="0" w:beforeAutospacing="0" w:after="0" w:afterAutospacing="0" w:line="400" w:lineRule="exact"/>
              <w:ind w:left="38" w:leftChars="18" w:right="0"/>
              <w:rPr>
                <w:rFonts w:hint="eastAsia" w:ascii="宋体" w:hAnsi="宋体" w:eastAsia="宋体" w:cs="宋体"/>
                <w:kern w:val="0"/>
                <w:sz w:val="24"/>
                <w:szCs w:val="24"/>
              </w:rPr>
            </w:pPr>
            <w:r>
              <w:rPr>
                <w:rFonts w:hint="eastAsia" w:ascii="宋体" w:hAnsi="宋体" w:eastAsia="宋体" w:cs="宋体"/>
                <w:sz w:val="24"/>
                <w:szCs w:val="24"/>
              </w:rPr>
              <w:t>递交投标文件的截止之日起</w:t>
            </w:r>
            <w:r>
              <w:rPr>
                <w:rFonts w:hint="eastAsia" w:ascii="宋体" w:hAnsi="宋体" w:eastAsia="宋体" w:cs="宋体"/>
                <w:sz w:val="24"/>
                <w:szCs w:val="24"/>
                <w:u w:val="single"/>
              </w:rPr>
              <w:t xml:space="preserve">  60  </w:t>
            </w:r>
            <w:r>
              <w:rPr>
                <w:rFonts w:hint="eastAsia" w:ascii="宋体" w:hAnsi="宋体" w:eastAsia="宋体" w:cs="宋体"/>
                <w:sz w:val="24"/>
                <w:szCs w:val="24"/>
              </w:rPr>
              <w:t>日历天</w:t>
            </w:r>
          </w:p>
        </w:tc>
      </w:tr>
      <w:tr w14:paraId="18D10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180FCC3D">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3.7.3</w:t>
            </w:r>
          </w:p>
        </w:tc>
        <w:tc>
          <w:tcPr>
            <w:tcW w:w="1725" w:type="dxa"/>
            <w:vAlign w:val="center"/>
          </w:tcPr>
          <w:p w14:paraId="149E5CB5">
            <w:pPr>
              <w:keepNext w:val="0"/>
              <w:keepLines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sz w:val="24"/>
                <w:szCs w:val="24"/>
              </w:rPr>
              <w:t>投标文件签字或盖章要求</w:t>
            </w:r>
          </w:p>
        </w:tc>
        <w:tc>
          <w:tcPr>
            <w:tcW w:w="6694" w:type="dxa"/>
            <w:vAlign w:val="center"/>
          </w:tcPr>
          <w:p w14:paraId="3A830C74">
            <w:pPr>
              <w:keepNext w:val="0"/>
              <w:keepLines w:val="0"/>
              <w:suppressLineNumbers w:val="0"/>
              <w:spacing w:before="0" w:beforeAutospacing="0" w:after="0" w:afterAutospacing="0" w:line="400" w:lineRule="exact"/>
              <w:ind w:left="38" w:leftChars="18" w:right="0"/>
              <w:jc w:val="left"/>
              <w:rPr>
                <w:rFonts w:hint="eastAsia" w:ascii="宋体" w:hAnsi="宋体" w:eastAsia="宋体" w:cs="宋体"/>
                <w:sz w:val="24"/>
                <w:szCs w:val="24"/>
              </w:rPr>
            </w:pPr>
            <w:r>
              <w:rPr>
                <w:rFonts w:hint="eastAsia" w:ascii="宋体" w:hAnsi="宋体" w:eastAsia="宋体" w:cs="宋体"/>
                <w:sz w:val="24"/>
                <w:szCs w:val="24"/>
              </w:rPr>
              <w:t>电子化投标文件的签章：</w:t>
            </w:r>
          </w:p>
          <w:p w14:paraId="6B93872D">
            <w:pPr>
              <w:keepNext w:val="0"/>
              <w:keepLines w:val="0"/>
              <w:suppressLineNumbers w:val="0"/>
              <w:spacing w:before="0" w:beforeAutospacing="0" w:after="0" w:afterAutospacing="0" w:line="400" w:lineRule="exact"/>
              <w:ind w:left="38" w:leftChars="18" w:right="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供应商</w:t>
            </w:r>
            <w:r>
              <w:rPr>
                <w:rFonts w:hint="eastAsia" w:ascii="宋体" w:hAnsi="宋体" w:eastAsia="宋体" w:cs="宋体"/>
                <w:sz w:val="24"/>
                <w:szCs w:val="24"/>
              </w:rPr>
              <w:t>在生成电子化投标文件后，应对电子化投标文件进行签章，未进行签章的视为无效投标。</w:t>
            </w:r>
          </w:p>
          <w:p w14:paraId="295EEF01">
            <w:pPr>
              <w:keepNext w:val="0"/>
              <w:keepLines w:val="0"/>
              <w:suppressLineNumbers w:val="0"/>
              <w:spacing w:before="0" w:beforeAutospacing="0" w:after="0" w:afterAutospacing="0" w:line="400" w:lineRule="exact"/>
              <w:ind w:left="38" w:leftChars="18" w:right="0"/>
              <w:jc w:val="lef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kern w:val="0"/>
                <w:sz w:val="24"/>
                <w:szCs w:val="24"/>
              </w:rPr>
              <w:t>招标文件</w:t>
            </w:r>
            <w:r>
              <w:rPr>
                <w:rFonts w:hint="eastAsia" w:ascii="宋体" w:hAnsi="宋体" w:eastAsia="宋体" w:cs="宋体"/>
                <w:sz w:val="24"/>
                <w:szCs w:val="24"/>
              </w:rPr>
              <w:t>中要求法定代表人或授权委托人签字或盖章的，</w:t>
            </w:r>
            <w:r>
              <w:rPr>
                <w:rFonts w:hint="eastAsia" w:ascii="宋体" w:hAnsi="宋体" w:cs="宋体"/>
                <w:sz w:val="24"/>
                <w:szCs w:val="24"/>
                <w:lang w:eastAsia="zh-CN"/>
              </w:rPr>
              <w:t>供应商</w:t>
            </w:r>
            <w:r>
              <w:rPr>
                <w:rFonts w:hint="eastAsia" w:ascii="宋体" w:hAnsi="宋体" w:eastAsia="宋体" w:cs="宋体"/>
                <w:sz w:val="24"/>
                <w:szCs w:val="24"/>
              </w:rPr>
              <w:t>在进行电子化投标文件签章时，以签盖法定代表人签章为准。</w:t>
            </w:r>
          </w:p>
        </w:tc>
      </w:tr>
      <w:tr w14:paraId="3B83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969" w:type="dxa"/>
            <w:vAlign w:val="center"/>
          </w:tcPr>
          <w:p w14:paraId="077116BC">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4.1.2</w:t>
            </w:r>
          </w:p>
        </w:tc>
        <w:tc>
          <w:tcPr>
            <w:tcW w:w="1725" w:type="dxa"/>
            <w:vAlign w:val="center"/>
          </w:tcPr>
          <w:p w14:paraId="762737EC">
            <w:pPr>
              <w:keepNext w:val="0"/>
              <w:keepLines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sz w:val="24"/>
                <w:szCs w:val="24"/>
              </w:rPr>
              <w:t>是否提供纸质版投标文件</w:t>
            </w:r>
          </w:p>
        </w:tc>
        <w:tc>
          <w:tcPr>
            <w:tcW w:w="6694" w:type="dxa"/>
            <w:vAlign w:val="center"/>
          </w:tcPr>
          <w:p w14:paraId="5FA09452">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本项目为电子化交易，开标现场不需要提供纸质版投标文件；中标单位确定中标后向业主提供纸质版投标文件五套。</w:t>
            </w:r>
          </w:p>
        </w:tc>
      </w:tr>
      <w:tr w14:paraId="6169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0631F90D">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4.2.1</w:t>
            </w:r>
          </w:p>
        </w:tc>
        <w:tc>
          <w:tcPr>
            <w:tcW w:w="1725" w:type="dxa"/>
            <w:vAlign w:val="center"/>
          </w:tcPr>
          <w:p w14:paraId="2ED37330">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rPr>
              <w:t>投标截止时间</w:t>
            </w:r>
          </w:p>
        </w:tc>
        <w:tc>
          <w:tcPr>
            <w:tcW w:w="6694" w:type="dxa"/>
          </w:tcPr>
          <w:p w14:paraId="73AA13F8">
            <w:pPr>
              <w:keepNext w:val="0"/>
              <w:keepLines w:val="0"/>
              <w:suppressLineNumbers w:val="0"/>
              <w:spacing w:before="0" w:beforeAutospacing="0" w:after="0" w:afterAutospacing="0" w:line="360" w:lineRule="auto"/>
              <w:ind w:left="-420" w:leftChars="-200" w:right="0" w:firstLine="480"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9月29日</w:t>
            </w:r>
            <w:r>
              <w:rPr>
                <w:rFonts w:hint="eastAsia" w:ascii="宋体" w:hAnsi="宋体" w:eastAsia="宋体" w:cs="宋体"/>
                <w:color w:val="auto"/>
                <w:sz w:val="24"/>
                <w:szCs w:val="24"/>
              </w:rPr>
              <w:t>08时</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0分（北京时间）</w:t>
            </w:r>
            <w:r>
              <w:rPr>
                <w:rFonts w:hint="eastAsia" w:ascii="宋体" w:hAnsi="宋体" w:eastAsia="宋体" w:cs="宋体"/>
                <w:color w:val="auto"/>
                <w:sz w:val="24"/>
                <w:szCs w:val="24"/>
              </w:rPr>
              <w:tab/>
            </w:r>
          </w:p>
        </w:tc>
      </w:tr>
      <w:tr w14:paraId="5496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0DBC6369">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4.2.2</w:t>
            </w:r>
          </w:p>
        </w:tc>
        <w:tc>
          <w:tcPr>
            <w:tcW w:w="1725" w:type="dxa"/>
            <w:vAlign w:val="center"/>
          </w:tcPr>
          <w:p w14:paraId="41018CD4">
            <w:pPr>
              <w:keepNext w:val="0"/>
              <w:keepLines w:val="0"/>
              <w:suppressLineNumbers w:val="0"/>
              <w:tabs>
                <w:tab w:val="left" w:pos="720"/>
              </w:tabs>
              <w:spacing w:before="0" w:beforeAutospacing="0" w:after="0" w:afterAutospacing="0" w:line="400" w:lineRule="exact"/>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递交投标文件地点及方式</w:t>
            </w:r>
          </w:p>
        </w:tc>
        <w:tc>
          <w:tcPr>
            <w:tcW w:w="6694" w:type="dxa"/>
            <w:vAlign w:val="center"/>
          </w:tcPr>
          <w:p w14:paraId="401C38E5">
            <w:pPr>
              <w:pStyle w:val="6"/>
              <w:keepNext w:val="0"/>
              <w:keepLines w:val="0"/>
              <w:suppressLineNumbers w:val="0"/>
              <w:spacing w:before="0" w:beforeAutospacing="0" w:after="0" w:afterAutospacing="0" w:line="400" w:lineRule="exact"/>
              <w:ind w:left="0" w:right="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地点：在三门峡市公共资源交易中心网中上传加密</w:t>
            </w:r>
            <w:r>
              <w:rPr>
                <w:rFonts w:hint="eastAsia" w:ascii="宋体" w:hAnsi="宋体" w:cs="宋体"/>
                <w:color w:val="auto"/>
                <w:kern w:val="2"/>
                <w:sz w:val="24"/>
                <w:szCs w:val="24"/>
                <w:lang w:val="en-US" w:eastAsia="zh-CN" w:bidi="ar-SA"/>
              </w:rPr>
              <w:t>投标</w:t>
            </w:r>
            <w:r>
              <w:rPr>
                <w:rFonts w:hint="eastAsia" w:ascii="宋体" w:hAnsi="宋体" w:eastAsia="宋体" w:cs="宋体"/>
                <w:color w:val="auto"/>
                <w:kern w:val="2"/>
                <w:sz w:val="24"/>
                <w:szCs w:val="24"/>
                <w:lang w:val="en-US" w:eastAsia="zh-CN" w:bidi="ar-SA"/>
              </w:rPr>
              <w:t>文件</w:t>
            </w:r>
          </w:p>
          <w:p w14:paraId="34D07B10">
            <w:pPr>
              <w:pStyle w:val="6"/>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方式：上传文件递交</w:t>
            </w:r>
          </w:p>
        </w:tc>
      </w:tr>
      <w:tr w14:paraId="65B7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4056D893">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5.1.1</w:t>
            </w:r>
          </w:p>
        </w:tc>
        <w:tc>
          <w:tcPr>
            <w:tcW w:w="1725" w:type="dxa"/>
            <w:vAlign w:val="center"/>
          </w:tcPr>
          <w:p w14:paraId="10EC53A7">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开标时间和开标地点</w:t>
            </w:r>
          </w:p>
        </w:tc>
        <w:tc>
          <w:tcPr>
            <w:tcW w:w="6694" w:type="dxa"/>
            <w:vAlign w:val="center"/>
          </w:tcPr>
          <w:p w14:paraId="34001EAC">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cs="宋体"/>
                <w:color w:val="auto"/>
                <w:sz w:val="24"/>
                <w:szCs w:val="24"/>
                <w:lang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9月29日</w:t>
            </w:r>
            <w:r>
              <w:rPr>
                <w:rFonts w:hint="eastAsia" w:ascii="宋体" w:hAnsi="宋体" w:eastAsia="宋体" w:cs="宋体"/>
                <w:color w:val="auto"/>
                <w:sz w:val="24"/>
                <w:szCs w:val="24"/>
              </w:rPr>
              <w:t>08时</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0分（北京时间）</w:t>
            </w:r>
            <w:r>
              <w:rPr>
                <w:rFonts w:hint="eastAsia" w:ascii="宋体" w:hAnsi="宋体" w:eastAsia="宋体" w:cs="宋体"/>
                <w:color w:val="auto"/>
                <w:sz w:val="24"/>
                <w:szCs w:val="24"/>
              </w:rPr>
              <w:tab/>
            </w:r>
          </w:p>
          <w:p w14:paraId="58675D97">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rPr>
              <w:t>2.地点：</w:t>
            </w:r>
            <w:r>
              <w:rPr>
                <w:rFonts w:hint="eastAsia" w:ascii="宋体" w:hAnsi="宋体" w:eastAsia="宋体" w:cs="宋体"/>
                <w:color w:val="auto"/>
                <w:sz w:val="24"/>
                <w:szCs w:val="24"/>
                <w:lang w:val="en-US" w:eastAsia="zh-CN"/>
              </w:rPr>
              <w:t>渑池县</w:t>
            </w:r>
            <w:r>
              <w:rPr>
                <w:rFonts w:hint="eastAsia" w:ascii="宋体" w:hAnsi="宋体" w:eastAsia="宋体" w:cs="宋体"/>
                <w:color w:val="auto"/>
                <w:sz w:val="24"/>
                <w:szCs w:val="24"/>
              </w:rPr>
              <w:t>公共资源交易中心开标</w:t>
            </w:r>
            <w:r>
              <w:rPr>
                <w:rFonts w:hint="eastAsia" w:ascii="宋体" w:hAnsi="宋体" w:eastAsia="宋体" w:cs="宋体"/>
                <w:color w:val="auto"/>
                <w:sz w:val="24"/>
                <w:szCs w:val="24"/>
                <w:lang w:val="en-US" w:eastAsia="zh-CN"/>
              </w:rPr>
              <w:t>二室</w:t>
            </w:r>
            <w:r>
              <w:rPr>
                <w:rFonts w:hint="eastAsia" w:ascii="宋体" w:hAnsi="宋体" w:eastAsia="宋体" w:cs="宋体"/>
                <w:color w:val="auto"/>
                <w:sz w:val="24"/>
                <w:szCs w:val="24"/>
              </w:rPr>
              <w:t>。</w:t>
            </w:r>
          </w:p>
        </w:tc>
      </w:tr>
      <w:tr w14:paraId="6CFD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2D166AB7">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5.3.1</w:t>
            </w:r>
          </w:p>
        </w:tc>
        <w:tc>
          <w:tcPr>
            <w:tcW w:w="1725" w:type="dxa"/>
            <w:vAlign w:val="center"/>
          </w:tcPr>
          <w:p w14:paraId="7E663A89">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评标委员会的组建</w:t>
            </w:r>
          </w:p>
        </w:tc>
        <w:tc>
          <w:tcPr>
            <w:tcW w:w="6694" w:type="dxa"/>
            <w:vAlign w:val="center"/>
          </w:tcPr>
          <w:p w14:paraId="79818EBC">
            <w:pPr>
              <w:keepNext w:val="0"/>
              <w:keepLines w:val="0"/>
              <w:suppressLineNumbers w:val="0"/>
              <w:spacing w:before="0" w:beforeAutospacing="0" w:after="0" w:afterAutospacing="0" w:line="400" w:lineRule="exact"/>
              <w:ind w:left="0" w:right="0"/>
              <w:rPr>
                <w:rFonts w:hint="eastAsia" w:ascii="宋体" w:hAnsi="宋体" w:eastAsia="宋体" w:cs="宋体"/>
                <w:sz w:val="24"/>
                <w:szCs w:val="24"/>
                <w:lang w:eastAsia="zh-CN"/>
              </w:rPr>
            </w:pPr>
            <w:r>
              <w:rPr>
                <w:rFonts w:hint="eastAsia" w:ascii="宋体" w:hAnsi="宋体" w:eastAsia="宋体" w:cs="宋体"/>
                <w:kern w:val="0"/>
                <w:sz w:val="24"/>
                <w:szCs w:val="24"/>
              </w:rPr>
              <w:t>评标委员会构成：5人，其中采购单位代表1人，专家经济及技术共 4人；评标专家确定方式：</w:t>
            </w:r>
            <w:r>
              <w:rPr>
                <w:rFonts w:hint="eastAsia" w:ascii="宋体" w:hAnsi="宋体" w:eastAsia="宋体" w:cs="宋体"/>
                <w:kern w:val="0"/>
                <w:sz w:val="24"/>
                <w:szCs w:val="24"/>
                <w:lang w:eastAsia="zh-CN"/>
              </w:rPr>
              <w:t>从河南省电子化政府采购系统评标专家库中随机抽取。（业主评委无评标劳务费用）</w:t>
            </w:r>
          </w:p>
        </w:tc>
      </w:tr>
      <w:tr w14:paraId="0D83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69" w:type="dxa"/>
            <w:vAlign w:val="center"/>
          </w:tcPr>
          <w:p w14:paraId="1BD1148E">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5.3.4</w:t>
            </w:r>
          </w:p>
        </w:tc>
        <w:tc>
          <w:tcPr>
            <w:tcW w:w="1725" w:type="dxa"/>
            <w:vAlign w:val="center"/>
          </w:tcPr>
          <w:p w14:paraId="1C35DC16">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是否授权评标委员会确定中标人</w:t>
            </w:r>
          </w:p>
        </w:tc>
        <w:tc>
          <w:tcPr>
            <w:tcW w:w="6694" w:type="dxa"/>
            <w:vAlign w:val="center"/>
          </w:tcPr>
          <w:p w14:paraId="7E8257E2">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sz w:val="24"/>
                <w:szCs w:val="24"/>
              </w:rPr>
              <w:t>■否，推荐的中标候选人数：1-3名。</w:t>
            </w:r>
          </w:p>
        </w:tc>
      </w:tr>
      <w:tr w14:paraId="3F78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0458F562">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1725" w:type="dxa"/>
            <w:vAlign w:val="center"/>
          </w:tcPr>
          <w:p w14:paraId="323FFD93">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是否采用电子招标投标</w:t>
            </w:r>
          </w:p>
        </w:tc>
        <w:tc>
          <w:tcPr>
            <w:tcW w:w="6694" w:type="dxa"/>
            <w:vAlign w:val="center"/>
          </w:tcPr>
          <w:p w14:paraId="2B87B01D">
            <w:pPr>
              <w:keepNext w:val="0"/>
              <w:keepLines w:val="0"/>
              <w:suppressLineNumbers w:val="0"/>
              <w:spacing w:before="0" w:beforeAutospacing="0" w:after="0" w:afterAutospacing="0" w:line="400" w:lineRule="exact"/>
              <w:ind w:left="38" w:leftChars="18" w:right="0"/>
              <w:rPr>
                <w:rFonts w:hint="eastAsia" w:ascii="宋体" w:hAnsi="宋体" w:eastAsia="宋体" w:cs="宋体"/>
                <w:sz w:val="24"/>
                <w:szCs w:val="24"/>
              </w:rPr>
            </w:pPr>
            <w:r>
              <w:rPr>
                <w:rFonts w:hint="eastAsia" w:ascii="宋体" w:hAnsi="宋体" w:eastAsia="宋体" w:cs="宋体"/>
                <w:sz w:val="24"/>
                <w:szCs w:val="24"/>
              </w:rPr>
              <w:t>是</w:t>
            </w:r>
          </w:p>
        </w:tc>
      </w:tr>
      <w:tr w14:paraId="131E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49DA049C">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6.1.1</w:t>
            </w:r>
          </w:p>
        </w:tc>
        <w:tc>
          <w:tcPr>
            <w:tcW w:w="1725" w:type="dxa"/>
            <w:vAlign w:val="center"/>
          </w:tcPr>
          <w:p w14:paraId="23E5A305">
            <w:pPr>
              <w:keepNext w:val="0"/>
              <w:keepLines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sz w:val="24"/>
                <w:szCs w:val="24"/>
              </w:rPr>
              <w:t>电子无纸化项目交易注意事项</w:t>
            </w:r>
          </w:p>
        </w:tc>
        <w:tc>
          <w:tcPr>
            <w:tcW w:w="6694" w:type="dxa"/>
            <w:vAlign w:val="center"/>
          </w:tcPr>
          <w:p w14:paraId="4E28A76C">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本项目为电子化、无纸化交易项目，投标文件是</w:t>
            </w:r>
            <w:r>
              <w:rPr>
                <w:rFonts w:hint="eastAsia" w:ascii="宋体" w:hAnsi="宋体" w:cs="宋体"/>
                <w:sz w:val="24"/>
                <w:szCs w:val="24"/>
                <w:lang w:eastAsia="zh-CN"/>
              </w:rPr>
              <w:t>供应商</w:t>
            </w:r>
            <w:r>
              <w:rPr>
                <w:rFonts w:hint="eastAsia" w:ascii="宋体" w:hAnsi="宋体" w:eastAsia="宋体" w:cs="宋体"/>
                <w:sz w:val="24"/>
                <w:szCs w:val="24"/>
              </w:rPr>
              <w:t>通过中心投标文件制作系统制作，并经过电子签章和加密后生成的电子版投标文件。</w:t>
            </w:r>
            <w:r>
              <w:rPr>
                <w:rFonts w:hint="eastAsia" w:ascii="宋体" w:hAnsi="宋体" w:cs="宋体"/>
                <w:sz w:val="24"/>
                <w:szCs w:val="24"/>
                <w:lang w:eastAsia="zh-CN"/>
              </w:rPr>
              <w:t>供应商</w:t>
            </w:r>
            <w:r>
              <w:rPr>
                <w:rFonts w:hint="eastAsia" w:ascii="宋体" w:hAnsi="宋体" w:eastAsia="宋体" w:cs="宋体"/>
                <w:sz w:val="24"/>
                <w:szCs w:val="24"/>
              </w:rPr>
              <w:t>投标时，将不再接受任何纸质文件资料。</w:t>
            </w:r>
          </w:p>
          <w:p w14:paraId="207258E7">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温馨提示：本项目为电子化、无纸化交易项目，开标时不接受任何纸质资料，为保证您能投标成功，请需仔细阅读以下条款。</w:t>
            </w:r>
          </w:p>
          <w:p w14:paraId="11B6CE30">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一、电子化投标文件的签章</w:t>
            </w:r>
          </w:p>
          <w:p w14:paraId="1DA56DDE">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供应商</w:t>
            </w:r>
            <w:r>
              <w:rPr>
                <w:rFonts w:hint="eastAsia" w:ascii="宋体" w:hAnsi="宋体" w:eastAsia="宋体" w:cs="宋体"/>
                <w:sz w:val="24"/>
                <w:szCs w:val="24"/>
              </w:rPr>
              <w:t>在生成电子化投标文件后，应对电子化投标文件进行签章，未进行签章的视为无效投标。</w:t>
            </w:r>
          </w:p>
          <w:p w14:paraId="3973B931">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2、招标文件中要求法定代表人或授权委托人签字或盖章的，</w:t>
            </w:r>
            <w:r>
              <w:rPr>
                <w:rFonts w:hint="eastAsia" w:ascii="宋体" w:hAnsi="宋体" w:cs="宋体"/>
                <w:sz w:val="24"/>
                <w:szCs w:val="24"/>
                <w:lang w:eastAsia="zh-CN"/>
              </w:rPr>
              <w:t>供应商</w:t>
            </w:r>
            <w:r>
              <w:rPr>
                <w:rFonts w:hint="eastAsia" w:ascii="宋体" w:hAnsi="宋体" w:eastAsia="宋体" w:cs="宋体"/>
                <w:sz w:val="24"/>
                <w:szCs w:val="24"/>
              </w:rPr>
              <w:t>在进行电子化投标文件签章时，以签盖法定代表人签章为准。</w:t>
            </w:r>
          </w:p>
          <w:p w14:paraId="40A5692A">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二、电子化投标文件的格式及上传投标文件具体操作详见</w:t>
            </w:r>
          </w:p>
          <w:p w14:paraId="40E4C555">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供应商</w:t>
            </w:r>
            <w:r>
              <w:rPr>
                <w:rFonts w:hint="eastAsia" w:ascii="宋体" w:hAnsi="宋体" w:eastAsia="宋体" w:cs="宋体"/>
                <w:sz w:val="24"/>
                <w:szCs w:val="24"/>
              </w:rPr>
              <w:t>所上传的电子化投标文件，应是通过中心投标文件制作系统制作的，（投标文件制作工具下载地址：https://download.bqpoint.com/download/downloaddetail.html?SourceFrom=Ztb&amp;ZtbSoftXiaQuCode=1534&amp;ZtbSoftType=DR）经过签章和加密后生成的电子版投标文件。其中包含用于投标文件上传的主文件（后缀为.smxtf）和用于应急补救的投标文件备份文件（后缀为.nsmxtf）。</w:t>
            </w:r>
          </w:p>
          <w:p w14:paraId="67E8580C">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注：</w:t>
            </w:r>
            <w:r>
              <w:rPr>
                <w:rFonts w:hint="eastAsia" w:ascii="宋体" w:hAnsi="宋体" w:cs="宋体"/>
                <w:sz w:val="24"/>
                <w:szCs w:val="24"/>
                <w:lang w:eastAsia="zh-CN"/>
              </w:rPr>
              <w:t>供应商</w:t>
            </w:r>
            <w:r>
              <w:rPr>
                <w:rFonts w:hint="eastAsia" w:ascii="宋体" w:hAnsi="宋体" w:eastAsia="宋体" w:cs="宋体"/>
                <w:sz w:val="24"/>
                <w:szCs w:val="24"/>
              </w:rPr>
              <w:t>投报多个标段的，每个标段均要生成独立的电子投标文件。</w:t>
            </w:r>
          </w:p>
          <w:p w14:paraId="0264F8F9">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2、电子化投标文件应在投标截止时间前成功上传至三门峡市公共资源电子化交易系统。至投标截止时间止，仍未上传成功的电子化投标文件将不予接收。</w:t>
            </w:r>
          </w:p>
          <w:p w14:paraId="3DFB8C65">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三、电子化项目开标、解密、唱标、评标</w:t>
            </w:r>
          </w:p>
          <w:p w14:paraId="52014031">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1、本项目为不见面开标项目，开标当日，</w:t>
            </w:r>
            <w:r>
              <w:rPr>
                <w:rFonts w:hint="eastAsia" w:ascii="宋体" w:hAnsi="宋体" w:cs="宋体"/>
                <w:sz w:val="24"/>
                <w:szCs w:val="24"/>
                <w:lang w:eastAsia="zh-CN"/>
              </w:rPr>
              <w:t>供应商</w:t>
            </w:r>
            <w:r>
              <w:rPr>
                <w:rFonts w:hint="eastAsia" w:ascii="宋体" w:hAnsi="宋体" w:eastAsia="宋体" w:cs="宋体"/>
                <w:sz w:val="24"/>
                <w:szCs w:val="24"/>
              </w:rPr>
              <w:t>无需到开标现场参加开标会议，</w:t>
            </w:r>
            <w:r>
              <w:rPr>
                <w:rFonts w:hint="eastAsia" w:ascii="宋体" w:hAnsi="宋体" w:cs="宋体"/>
                <w:sz w:val="24"/>
                <w:szCs w:val="24"/>
                <w:lang w:eastAsia="zh-CN"/>
              </w:rPr>
              <w:t>供应商</w:t>
            </w:r>
            <w:r>
              <w:rPr>
                <w:rFonts w:hint="eastAsia" w:ascii="宋体" w:hAnsi="宋体" w:eastAsia="宋体" w:cs="宋体"/>
                <w:sz w:val="24"/>
                <w:szCs w:val="24"/>
              </w:rPr>
              <w:t>应当在投标截止时间前，登陆不见面开标大厅选择登陆三门峡市公共资源电子招投标系统进行登陆（网址为http://120.194.249.36:10094/BidOpening/bidopeninghallaction/hall/login）,在线准时参加开标活动并进行投标文件解密等。每位</w:t>
            </w:r>
            <w:r>
              <w:rPr>
                <w:rFonts w:hint="eastAsia" w:ascii="宋体" w:hAnsi="宋体" w:cs="宋体"/>
                <w:sz w:val="24"/>
                <w:szCs w:val="24"/>
                <w:lang w:eastAsia="zh-CN"/>
              </w:rPr>
              <w:t>供应商</w:t>
            </w:r>
            <w:r>
              <w:rPr>
                <w:rFonts w:hint="eastAsia" w:ascii="宋体" w:hAnsi="宋体" w:eastAsia="宋体" w:cs="宋体"/>
                <w:sz w:val="24"/>
                <w:szCs w:val="24"/>
              </w:rPr>
              <w:t>的解密时间为开标时间起30分钟内完成。未按时缴纳招标文件费和解密的其投标将被否决。因</w:t>
            </w:r>
            <w:r>
              <w:rPr>
                <w:rFonts w:hint="eastAsia" w:ascii="宋体" w:hAnsi="宋体" w:cs="宋体"/>
                <w:sz w:val="24"/>
                <w:szCs w:val="24"/>
                <w:lang w:eastAsia="zh-CN"/>
              </w:rPr>
              <w:t>供应商</w:t>
            </w:r>
            <w:r>
              <w:rPr>
                <w:rFonts w:hint="eastAsia" w:ascii="宋体" w:hAnsi="宋体" w:eastAsia="宋体" w:cs="宋体"/>
                <w:sz w:val="24"/>
                <w:szCs w:val="24"/>
              </w:rPr>
              <w:t>原因未能解密、解密失败或解密超时的将被拒绝.</w:t>
            </w:r>
          </w:p>
          <w:p w14:paraId="002DD647">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2、电子化投标文件异常情况的处理</w:t>
            </w:r>
          </w:p>
          <w:p w14:paraId="5FBB4D07">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如出现</w:t>
            </w:r>
            <w:r>
              <w:rPr>
                <w:rFonts w:hint="eastAsia" w:ascii="宋体" w:hAnsi="宋体" w:cs="宋体"/>
                <w:sz w:val="24"/>
                <w:szCs w:val="24"/>
                <w:lang w:eastAsia="zh-CN"/>
              </w:rPr>
              <w:t>供应商</w:t>
            </w:r>
            <w:r>
              <w:rPr>
                <w:rFonts w:hint="eastAsia" w:ascii="宋体" w:hAnsi="宋体" w:eastAsia="宋体" w:cs="宋体"/>
                <w:sz w:val="24"/>
                <w:szCs w:val="24"/>
              </w:rPr>
              <w:t>的电子投标文件无法解密等异常情况，</w:t>
            </w:r>
            <w:r>
              <w:rPr>
                <w:rFonts w:hint="eastAsia" w:ascii="宋体" w:hAnsi="宋体" w:cs="宋体"/>
                <w:sz w:val="24"/>
                <w:szCs w:val="24"/>
                <w:lang w:eastAsia="zh-CN"/>
              </w:rPr>
              <w:t>供应商</w:t>
            </w:r>
            <w:r>
              <w:rPr>
                <w:rFonts w:hint="eastAsia" w:ascii="宋体" w:hAnsi="宋体" w:eastAsia="宋体" w:cs="宋体"/>
                <w:sz w:val="24"/>
                <w:szCs w:val="24"/>
              </w:rPr>
              <w:t>应及时致电中介服务机构说明。投标文件异常，按以下步骤进行处理：</w:t>
            </w:r>
          </w:p>
          <w:p w14:paraId="5E0D089D">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（1）首先由技术人员进行问题排查。</w:t>
            </w:r>
          </w:p>
          <w:p w14:paraId="0472CB4D">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（2）经技术人员排查后，是</w:t>
            </w:r>
            <w:r>
              <w:rPr>
                <w:rFonts w:hint="eastAsia" w:ascii="宋体" w:hAnsi="宋体" w:cs="宋体"/>
                <w:sz w:val="24"/>
                <w:szCs w:val="24"/>
                <w:lang w:eastAsia="zh-CN"/>
              </w:rPr>
              <w:t>供应商</w:t>
            </w:r>
            <w:r>
              <w:rPr>
                <w:rFonts w:hint="eastAsia" w:ascii="宋体" w:hAnsi="宋体" w:eastAsia="宋体" w:cs="宋体"/>
                <w:sz w:val="24"/>
                <w:szCs w:val="24"/>
              </w:rPr>
              <w:t>文件自身问题导致投标文件无法解密的，该投标文件将不予接收、解密和唱标。开标会议继续进行。</w:t>
            </w:r>
          </w:p>
          <w:p w14:paraId="19C31DAD">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D39569E">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3、待所有</w:t>
            </w:r>
            <w:r>
              <w:rPr>
                <w:rFonts w:hint="eastAsia" w:ascii="宋体" w:hAnsi="宋体" w:cs="宋体"/>
                <w:sz w:val="24"/>
                <w:szCs w:val="24"/>
                <w:lang w:eastAsia="zh-CN"/>
              </w:rPr>
              <w:t>供应商</w:t>
            </w:r>
            <w:r>
              <w:rPr>
                <w:rFonts w:hint="eastAsia" w:ascii="宋体" w:hAnsi="宋体" w:eastAsia="宋体" w:cs="宋体"/>
                <w:sz w:val="24"/>
                <w:szCs w:val="24"/>
              </w:rPr>
              <w:t>投标文件解密完成后，由中介服务机构操作，对所有已解密投标文件进行唱标。</w:t>
            </w:r>
          </w:p>
          <w:p w14:paraId="5F34CC0F">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应保证在开标期间电话、电脑、网络能够正常工作，</w:t>
            </w:r>
            <w:r>
              <w:rPr>
                <w:rFonts w:hint="eastAsia" w:ascii="宋体" w:hAnsi="宋体" w:cs="宋体"/>
                <w:sz w:val="24"/>
                <w:szCs w:val="24"/>
                <w:lang w:eastAsia="zh-CN"/>
              </w:rPr>
              <w:t>供应商</w:t>
            </w:r>
            <w:r>
              <w:rPr>
                <w:rFonts w:hint="eastAsia" w:ascii="宋体" w:hAnsi="宋体" w:eastAsia="宋体" w:cs="宋体"/>
                <w:sz w:val="24"/>
                <w:szCs w:val="24"/>
              </w:rPr>
              <w:t>因停电、电脑病毒、网络堵塞等原因，未在规定的解密时间内对投标文件进行解密的，其投标文件不予接收、唱标。</w:t>
            </w:r>
          </w:p>
          <w:p w14:paraId="3A41AC94">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4、开标时</w:t>
            </w:r>
            <w:r>
              <w:rPr>
                <w:rFonts w:hint="eastAsia" w:ascii="宋体" w:hAnsi="宋体" w:cs="宋体"/>
                <w:sz w:val="24"/>
                <w:szCs w:val="24"/>
                <w:lang w:eastAsia="zh-CN"/>
              </w:rPr>
              <w:t>供应商</w:t>
            </w:r>
            <w:r>
              <w:rPr>
                <w:rFonts w:hint="eastAsia" w:ascii="宋体" w:hAnsi="宋体" w:eastAsia="宋体" w:cs="宋体"/>
                <w:sz w:val="24"/>
                <w:szCs w:val="24"/>
              </w:rPr>
              <w:t>可登录到交易系统中在开标大厅中点击开标一览表查看自己的投标报价。如对自己的唱标内容有异议的，应在唱标内容显示后10分钟内向中介服务机构电话质疑。中介服务机构应在监督人员的监督下进行免提通话接受</w:t>
            </w:r>
            <w:r>
              <w:rPr>
                <w:rFonts w:hint="eastAsia" w:ascii="宋体" w:hAnsi="宋体" w:cs="宋体"/>
                <w:sz w:val="24"/>
                <w:szCs w:val="24"/>
                <w:lang w:eastAsia="zh-CN"/>
              </w:rPr>
              <w:t>供应商</w:t>
            </w:r>
            <w:r>
              <w:rPr>
                <w:rFonts w:hint="eastAsia" w:ascii="宋体" w:hAnsi="宋体" w:eastAsia="宋体" w:cs="宋体"/>
                <w:sz w:val="24"/>
                <w:szCs w:val="24"/>
              </w:rPr>
              <w:t>的质疑并做好书面记录。</w:t>
            </w:r>
            <w:r>
              <w:rPr>
                <w:rFonts w:hint="eastAsia" w:ascii="宋体" w:hAnsi="宋体" w:cs="宋体"/>
                <w:sz w:val="24"/>
                <w:szCs w:val="24"/>
                <w:lang w:eastAsia="zh-CN"/>
              </w:rPr>
              <w:t>供应商</w:t>
            </w:r>
            <w:r>
              <w:rPr>
                <w:rFonts w:hint="eastAsia" w:ascii="宋体" w:hAnsi="宋体" w:eastAsia="宋体" w:cs="宋体"/>
                <w:sz w:val="24"/>
                <w:szCs w:val="24"/>
              </w:rPr>
              <w:t>未在规定时间内提出质疑的，视为认可唱标内容。</w:t>
            </w:r>
          </w:p>
          <w:p w14:paraId="655298B7">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5、评标时，评标委员会对电子化投标文件有质疑的，将通过电子化交易系统对</w:t>
            </w:r>
            <w:r>
              <w:rPr>
                <w:rFonts w:hint="eastAsia" w:ascii="宋体" w:hAnsi="宋体" w:cs="宋体"/>
                <w:sz w:val="24"/>
                <w:szCs w:val="24"/>
                <w:lang w:eastAsia="zh-CN"/>
              </w:rPr>
              <w:t>供应商</w:t>
            </w:r>
            <w:r>
              <w:rPr>
                <w:rFonts w:hint="eastAsia" w:ascii="宋体" w:hAnsi="宋体" w:eastAsia="宋体" w:cs="宋体"/>
                <w:sz w:val="24"/>
                <w:szCs w:val="24"/>
              </w:rPr>
              <w:t>发起质疑，并在监督人员的监督下，用免提模式致电需要答复的</w:t>
            </w:r>
            <w:r>
              <w:rPr>
                <w:rFonts w:hint="eastAsia" w:ascii="宋体" w:hAnsi="宋体" w:cs="宋体"/>
                <w:sz w:val="24"/>
                <w:szCs w:val="24"/>
                <w:lang w:eastAsia="zh-CN"/>
              </w:rPr>
              <w:t>供应商</w:t>
            </w:r>
            <w:r>
              <w:rPr>
                <w:rFonts w:hint="eastAsia" w:ascii="宋体" w:hAnsi="宋体" w:eastAsia="宋体" w:cs="宋体"/>
                <w:sz w:val="24"/>
                <w:szCs w:val="24"/>
              </w:rPr>
              <w:t>进行详细质询。质疑回复内容确认后，</w:t>
            </w:r>
            <w:r>
              <w:rPr>
                <w:rFonts w:hint="eastAsia" w:ascii="宋体" w:hAnsi="宋体" w:cs="宋体"/>
                <w:sz w:val="24"/>
                <w:szCs w:val="24"/>
                <w:lang w:eastAsia="zh-CN"/>
              </w:rPr>
              <w:t>供应商</w:t>
            </w:r>
            <w:r>
              <w:rPr>
                <w:rFonts w:hint="eastAsia" w:ascii="宋体" w:hAnsi="宋体" w:eastAsia="宋体" w:cs="宋体"/>
                <w:sz w:val="24"/>
                <w:szCs w:val="24"/>
              </w:rPr>
              <w:t>的回复文件必须以经过</w:t>
            </w:r>
            <w:r>
              <w:rPr>
                <w:rFonts w:hint="eastAsia" w:ascii="宋体" w:hAnsi="宋体" w:cs="宋体"/>
                <w:sz w:val="24"/>
                <w:szCs w:val="24"/>
                <w:lang w:eastAsia="zh-CN"/>
              </w:rPr>
              <w:t>供应商</w:t>
            </w:r>
            <w:r>
              <w:rPr>
                <w:rFonts w:hint="eastAsia" w:ascii="宋体" w:hAnsi="宋体" w:eastAsia="宋体" w:cs="宋体"/>
                <w:sz w:val="24"/>
                <w:szCs w:val="24"/>
              </w:rPr>
              <w:t>和其法定代表人签章的PDF格式文件为准，并通过电子化交易系统提交至评标委员会。</w:t>
            </w:r>
          </w:p>
          <w:p w14:paraId="36EB83C8">
            <w:pPr>
              <w:keepNext w:val="0"/>
              <w:keepLines w:val="0"/>
              <w:suppressLineNumbers w:val="0"/>
              <w:autoSpaceDE w:val="0"/>
              <w:autoSpaceDN w:val="0"/>
              <w:adjustRightInd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6、如评标委员会对需要回复的</w:t>
            </w:r>
            <w:r>
              <w:rPr>
                <w:rFonts w:hint="eastAsia" w:ascii="宋体" w:hAnsi="宋体" w:cs="宋体"/>
                <w:sz w:val="24"/>
                <w:szCs w:val="24"/>
                <w:lang w:eastAsia="zh-CN"/>
              </w:rPr>
              <w:t>供应商</w:t>
            </w:r>
            <w:r>
              <w:rPr>
                <w:rFonts w:hint="eastAsia" w:ascii="宋体" w:hAnsi="宋体" w:eastAsia="宋体" w:cs="宋体"/>
                <w:sz w:val="24"/>
                <w:szCs w:val="24"/>
              </w:rPr>
              <w:t>连续三次致电未接通的，视为</w:t>
            </w:r>
            <w:r>
              <w:rPr>
                <w:rFonts w:hint="eastAsia" w:ascii="宋体" w:hAnsi="宋体" w:cs="宋体"/>
                <w:sz w:val="24"/>
                <w:szCs w:val="24"/>
                <w:lang w:eastAsia="zh-CN"/>
              </w:rPr>
              <w:t>供应商</w:t>
            </w:r>
            <w:r>
              <w:rPr>
                <w:rFonts w:hint="eastAsia" w:ascii="宋体" w:hAnsi="宋体" w:eastAsia="宋体" w:cs="宋体"/>
                <w:sz w:val="24"/>
                <w:szCs w:val="24"/>
              </w:rPr>
              <w:t>放弃回复，评标委员会将自行对需要回复的内容进行认定。</w:t>
            </w:r>
          </w:p>
          <w:p w14:paraId="4E8BD323">
            <w:pPr>
              <w:keepNext w:val="0"/>
              <w:keepLines w:val="0"/>
              <w:suppressLineNumbers w:val="0"/>
              <w:autoSpaceDE w:val="0"/>
              <w:autoSpaceDN w:val="0"/>
              <w:adjustRightInd w:val="0"/>
              <w:spacing w:before="0" w:beforeAutospacing="0" w:after="0" w:afterAutospacing="0"/>
              <w:ind w:left="0" w:right="0"/>
              <w:rPr>
                <w:rFonts w:hint="eastAsia" w:ascii="宋体" w:hAnsi="宋体" w:eastAsia="宋体" w:cs="宋体"/>
                <w:sz w:val="24"/>
                <w:szCs w:val="24"/>
              </w:rPr>
            </w:pPr>
            <w:r>
              <w:rPr>
                <w:rFonts w:hint="eastAsia" w:ascii="宋体" w:hAnsi="宋体" w:eastAsia="宋体" w:cs="宋体"/>
                <w:sz w:val="24"/>
                <w:szCs w:val="24"/>
              </w:rPr>
              <w:t>提示：</w:t>
            </w:r>
          </w:p>
          <w:p w14:paraId="19B7A71F">
            <w:pPr>
              <w:keepNext w:val="0"/>
              <w:keepLines w:val="0"/>
              <w:suppressLineNumbers w:val="0"/>
              <w:autoSpaceDE w:val="0"/>
              <w:autoSpaceDN w:val="0"/>
              <w:adjustRightInd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1、本项目为电子化、无纸化交易项目，开标时不再接受任何纸质资料，为保证您能投标成功，需仔细阅读以上条款。</w:t>
            </w:r>
          </w:p>
          <w:p w14:paraId="674C511C">
            <w:pPr>
              <w:keepNext w:val="0"/>
              <w:keepLines w:val="0"/>
              <w:suppressLineNumbers w:val="0"/>
              <w:autoSpaceDE w:val="0"/>
              <w:autoSpaceDN w:val="0"/>
              <w:adjustRightInd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2、CA证书延期激活后，已经报名为开标的项目，请重新下载制作投标文件并上传，否则开标时文件将无法解密。</w:t>
            </w:r>
          </w:p>
          <w:p w14:paraId="75E8D3C4">
            <w:pPr>
              <w:keepNext w:val="0"/>
              <w:keepLines w:val="0"/>
              <w:suppressLineNumbers w:val="0"/>
              <w:spacing w:before="0" w:beforeAutospacing="0" w:after="0" w:afterAutospacing="0" w:line="360" w:lineRule="auto"/>
              <w:ind w:left="0" w:right="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color w:val="auto"/>
                <w:sz w:val="24"/>
                <w:szCs w:val="24"/>
              </w:rPr>
              <w:t>四、</w:t>
            </w:r>
            <w:r>
              <w:rPr>
                <w:rFonts w:hint="eastAsia" w:ascii="宋体" w:hAnsi="宋体" w:eastAsia="宋体" w:cs="宋体"/>
                <w:bCs/>
                <w:color w:val="000000" w:themeColor="text1"/>
                <w:sz w:val="24"/>
                <w:szCs w:val="24"/>
                <w14:textFill>
                  <w14:solidFill>
                    <w14:schemeClr w14:val="tx1"/>
                  </w14:solidFill>
                </w14:textFill>
              </w:rPr>
              <w:t>其他补充事宜</w:t>
            </w:r>
          </w:p>
          <w:p w14:paraId="4C1197FE">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根据优化营商环境的要求，评标时审查内容以投标文件为准：</w:t>
            </w:r>
          </w:p>
          <w:p w14:paraId="1C314C7A">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1、资格评（预）审部分：资格评（预）以投标文件为准，其上传资料真实性由</w:t>
            </w:r>
            <w:r>
              <w:rPr>
                <w:rFonts w:hint="eastAsia" w:ascii="宋体" w:hAnsi="宋体" w:cs="宋体"/>
                <w:sz w:val="24"/>
                <w:szCs w:val="24"/>
                <w:lang w:eastAsia="zh-CN"/>
              </w:rPr>
              <w:t>供应商</w:t>
            </w:r>
            <w:r>
              <w:rPr>
                <w:rFonts w:hint="eastAsia" w:ascii="宋体" w:hAnsi="宋体" w:eastAsia="宋体" w:cs="宋体"/>
                <w:sz w:val="24"/>
                <w:szCs w:val="24"/>
              </w:rPr>
              <w:t>自行承担。</w:t>
            </w:r>
          </w:p>
          <w:p w14:paraId="7A6830CD">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2、评标打分部分：评标打分部分仍按照100分制原则进行，涉及到资格审查、企业荣誉、人员业绩、企业业绩等计分部分时，以投标单位自行上传到投标文件中的相应内容为准。</w:t>
            </w:r>
          </w:p>
          <w:p w14:paraId="54043BCC">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3、投标文件编制部分：在招标文件中要求</w:t>
            </w:r>
            <w:r>
              <w:rPr>
                <w:rFonts w:hint="eastAsia" w:ascii="宋体" w:hAnsi="宋体" w:cs="宋体"/>
                <w:sz w:val="24"/>
                <w:szCs w:val="24"/>
                <w:lang w:eastAsia="zh-CN"/>
              </w:rPr>
              <w:t>供应商</w:t>
            </w:r>
            <w:r>
              <w:rPr>
                <w:rFonts w:hint="eastAsia" w:ascii="宋体" w:hAnsi="宋体" w:eastAsia="宋体" w:cs="宋体"/>
                <w:sz w:val="24"/>
                <w:szCs w:val="24"/>
              </w:rPr>
              <w:t>按照投标文件格式进行投标文件编制，在投标文件编制时，应明确将投标单位企业基本情况、资质情况、人员情况、财务情况、业绩情况编入投标文件，便于进行资格审查及评标打分。</w:t>
            </w:r>
          </w:p>
          <w:p w14:paraId="65A54479">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p w14:paraId="02A2EBB9">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、项目评标结果公示时，将同时公示中标候选人市场主体信息库，接受社会监督。</w:t>
            </w:r>
          </w:p>
          <w:p w14:paraId="00E512BF">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w:t>
            </w:r>
            <w:r>
              <w:rPr>
                <w:rFonts w:hint="eastAsia" w:ascii="宋体" w:hAnsi="宋体" w:cs="宋体"/>
                <w:sz w:val="24"/>
                <w:szCs w:val="24"/>
                <w:lang w:eastAsia="zh-CN"/>
              </w:rPr>
              <w:t>供应商</w:t>
            </w:r>
            <w:r>
              <w:rPr>
                <w:rFonts w:hint="eastAsia" w:ascii="宋体" w:hAnsi="宋体" w:eastAsia="宋体" w:cs="宋体"/>
                <w:sz w:val="24"/>
                <w:szCs w:val="24"/>
              </w:rPr>
              <w:t>需应仔细阅读操作手册，保证上传内容齐全，真实有效，原件扫描件清晰可辨。因</w:t>
            </w:r>
            <w:r>
              <w:rPr>
                <w:rFonts w:hint="eastAsia" w:ascii="宋体" w:hAnsi="宋体" w:cs="宋体"/>
                <w:sz w:val="24"/>
                <w:szCs w:val="24"/>
                <w:lang w:eastAsia="zh-CN"/>
              </w:rPr>
              <w:t>供应商</w:t>
            </w:r>
            <w:r>
              <w:rPr>
                <w:rFonts w:hint="eastAsia" w:ascii="宋体" w:hAnsi="宋体" w:eastAsia="宋体" w:cs="宋体"/>
                <w:sz w:val="24"/>
                <w:szCs w:val="24"/>
              </w:rPr>
              <w:t>上传原因导致应得分项而未得分或资格审查不合格等情况的，由</w:t>
            </w:r>
            <w:r>
              <w:rPr>
                <w:rFonts w:hint="eastAsia" w:ascii="宋体" w:hAnsi="宋体" w:cs="宋体"/>
                <w:sz w:val="24"/>
                <w:szCs w:val="24"/>
                <w:lang w:eastAsia="zh-CN"/>
              </w:rPr>
              <w:t>供应商</w:t>
            </w:r>
            <w:r>
              <w:rPr>
                <w:rFonts w:hint="eastAsia" w:ascii="宋体" w:hAnsi="宋体" w:eastAsia="宋体" w:cs="宋体"/>
                <w:sz w:val="24"/>
                <w:szCs w:val="24"/>
              </w:rPr>
              <w:t>自行承担责任。</w:t>
            </w:r>
          </w:p>
          <w:p w14:paraId="0E909907">
            <w:pPr>
              <w:keepNext w:val="0"/>
              <w:keepLines w:val="0"/>
              <w:suppressLineNumbers w:val="0"/>
              <w:spacing w:before="0" w:beforeAutospacing="0" w:after="0" w:afterAutospacing="0" w:line="360" w:lineRule="auto"/>
              <w:ind w:left="0" w:right="0"/>
              <w:rPr>
                <w:rFonts w:hint="eastAsia" w:ascii="宋体" w:hAnsi="宋体" w:eastAsia="宋体" w:cs="宋体"/>
                <w:sz w:val="24"/>
                <w:szCs w:val="24"/>
              </w:rPr>
            </w:pPr>
            <w:r>
              <w:rPr>
                <w:rFonts w:hint="eastAsia" w:ascii="宋体" w:hAnsi="宋体" w:eastAsia="宋体" w:cs="宋体"/>
                <w:sz w:val="24"/>
                <w:szCs w:val="24"/>
              </w:rPr>
              <w:t>提示：本项目为电子化、无纸化交易项目，开标时不再接受任何纸质资料，为保证您能投标成功，请需仔细阅读以上条款。</w:t>
            </w:r>
          </w:p>
        </w:tc>
      </w:tr>
      <w:tr w14:paraId="1341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969" w:type="dxa"/>
            <w:vAlign w:val="center"/>
          </w:tcPr>
          <w:p w14:paraId="5E90577A">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6.2</w:t>
            </w:r>
          </w:p>
        </w:tc>
        <w:tc>
          <w:tcPr>
            <w:tcW w:w="1725" w:type="dxa"/>
            <w:vAlign w:val="center"/>
          </w:tcPr>
          <w:p w14:paraId="20096120">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招标控制价</w:t>
            </w:r>
          </w:p>
        </w:tc>
        <w:tc>
          <w:tcPr>
            <w:tcW w:w="6694" w:type="dxa"/>
            <w:vAlign w:val="center"/>
          </w:tcPr>
          <w:p w14:paraId="0A562CD6">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项目设招标最高限价：</w:t>
            </w:r>
            <w:r>
              <w:rPr>
                <w:rFonts w:hint="eastAsia" w:ascii="宋体" w:hAnsi="宋体" w:cs="宋体"/>
                <w:color w:val="auto"/>
                <w:sz w:val="24"/>
                <w:szCs w:val="24"/>
                <w:lang w:val="en-US" w:eastAsia="zh-CN"/>
              </w:rPr>
              <w:t>5220000</w:t>
            </w:r>
            <w:r>
              <w:rPr>
                <w:rFonts w:hint="eastAsia" w:ascii="宋体" w:hAnsi="宋体" w:eastAsia="宋体" w:cs="宋体"/>
                <w:color w:val="auto"/>
                <w:sz w:val="24"/>
                <w:szCs w:val="24"/>
                <w:lang w:val="en-US" w:eastAsia="zh-CN"/>
              </w:rPr>
              <w:t>.00元</w:t>
            </w:r>
          </w:p>
          <w:p w14:paraId="4D564459">
            <w:pPr>
              <w:keepNext w:val="0"/>
              <w:keepLines w:val="0"/>
              <w:suppressLineNumbers w:val="0"/>
              <w:spacing w:before="0" w:beforeAutospacing="0" w:after="0" w:afterAutospacing="0" w:line="360" w:lineRule="auto"/>
              <w:ind w:left="0" w:right="0"/>
              <w:rPr>
                <w:rFonts w:hint="eastAsia" w:ascii="宋体" w:hAnsi="宋体" w:eastAsia="宋体" w:cs="宋体"/>
                <w:b/>
                <w:bCs/>
                <w:color w:val="auto"/>
                <w:sz w:val="24"/>
                <w:szCs w:val="24"/>
              </w:rPr>
            </w:pP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投标报价超出“招标最高限价”（不含等于“投标最高限价”）的，该</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的投标文件应作无效标处理。</w:t>
            </w:r>
          </w:p>
        </w:tc>
      </w:tr>
      <w:tr w14:paraId="7A28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969" w:type="dxa"/>
            <w:vAlign w:val="center"/>
          </w:tcPr>
          <w:p w14:paraId="778DF5F7">
            <w:pPr>
              <w:keepNext w:val="0"/>
              <w:keepLines w:val="0"/>
              <w:suppressLineNumbers w:val="0"/>
              <w:spacing w:before="0" w:beforeAutospacing="0" w:after="0" w:afterAutospacing="0" w:line="400" w:lineRule="exact"/>
              <w:ind w:left="38" w:leftChars="18" w:right="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7.1</w:t>
            </w:r>
          </w:p>
        </w:tc>
        <w:tc>
          <w:tcPr>
            <w:tcW w:w="1725" w:type="dxa"/>
            <w:vAlign w:val="center"/>
          </w:tcPr>
          <w:p w14:paraId="476C6509">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质疑函的递交方式</w:t>
            </w:r>
          </w:p>
        </w:tc>
        <w:tc>
          <w:tcPr>
            <w:tcW w:w="6694" w:type="dxa"/>
            <w:vAlign w:val="center"/>
          </w:tcPr>
          <w:p w14:paraId="5617B90D">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投标人</w:t>
            </w:r>
            <w:r>
              <w:rPr>
                <w:rFonts w:hint="eastAsia" w:ascii="宋体" w:hAnsi="宋体" w:eastAsia="宋体" w:cs="宋体"/>
                <w:color w:val="auto"/>
                <w:sz w:val="24"/>
                <w:szCs w:val="24"/>
              </w:rPr>
              <w:t>或者其委托代理人应当当面提交质疑书及相关证明材料。</w:t>
            </w:r>
            <w:r>
              <w:rPr>
                <w:rFonts w:hint="eastAsia" w:ascii="宋体" w:hAnsi="宋体" w:eastAsia="宋体" w:cs="宋体"/>
                <w:color w:val="auto"/>
                <w:sz w:val="24"/>
                <w:szCs w:val="24"/>
                <w:lang w:val="en-US" w:eastAsia="zh-CN"/>
              </w:rPr>
              <w:t>投标人</w:t>
            </w:r>
            <w:r>
              <w:rPr>
                <w:rFonts w:hint="eastAsia" w:ascii="宋体" w:hAnsi="宋体" w:eastAsia="宋体" w:cs="宋体"/>
                <w:color w:val="auto"/>
                <w:sz w:val="24"/>
                <w:szCs w:val="24"/>
              </w:rPr>
              <w:t>以电子邮件、传真等其他方式提交质疑书及相关证明材料的，或者不是</w:t>
            </w:r>
            <w:r>
              <w:rPr>
                <w:rFonts w:hint="eastAsia" w:ascii="宋体" w:hAnsi="宋体" w:eastAsia="宋体" w:cs="宋体"/>
                <w:color w:val="auto"/>
                <w:sz w:val="24"/>
                <w:szCs w:val="24"/>
                <w:lang w:val="en-US" w:eastAsia="zh-CN"/>
              </w:rPr>
              <w:t>投标人</w:t>
            </w:r>
            <w:r>
              <w:rPr>
                <w:rFonts w:hint="eastAsia" w:ascii="宋体" w:hAnsi="宋体" w:eastAsia="宋体" w:cs="宋体"/>
                <w:color w:val="auto"/>
                <w:sz w:val="24"/>
                <w:szCs w:val="24"/>
              </w:rPr>
              <w:t>或者其委托代理人提交质疑书及相关证明材料的，采购人或采购机构可以拒收。</w:t>
            </w:r>
          </w:p>
          <w:p w14:paraId="075489DE">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采购人接受质疑函的地址：</w:t>
            </w:r>
            <w:r>
              <w:rPr>
                <w:rFonts w:hint="eastAsia" w:ascii="宋体" w:hAnsi="宋体" w:cs="宋体"/>
                <w:color w:val="auto"/>
                <w:sz w:val="24"/>
                <w:szCs w:val="24"/>
                <w:lang w:val="en-US" w:eastAsia="zh-CN"/>
              </w:rPr>
              <w:t>三门峡市顺昌大厦A座819室</w:t>
            </w:r>
            <w:r>
              <w:rPr>
                <w:rFonts w:hint="eastAsia" w:ascii="宋体" w:hAnsi="宋体" w:eastAsia="宋体" w:cs="宋体"/>
                <w:color w:val="auto"/>
                <w:sz w:val="24"/>
                <w:szCs w:val="24"/>
                <w:lang w:val="en-US" w:eastAsia="zh-CN"/>
              </w:rPr>
              <w:t>，联系人：</w:t>
            </w:r>
            <w:r>
              <w:rPr>
                <w:rFonts w:hint="eastAsia" w:ascii="宋体" w:hAnsi="宋体" w:cs="宋体"/>
                <w:color w:val="auto"/>
                <w:sz w:val="24"/>
                <w:szCs w:val="24"/>
                <w:lang w:val="en-US" w:eastAsia="zh-CN"/>
              </w:rPr>
              <w:t>李</w:t>
            </w:r>
            <w:r>
              <w:rPr>
                <w:rFonts w:hint="eastAsia" w:ascii="宋体" w:hAnsi="宋体" w:eastAsia="宋体" w:cs="宋体"/>
                <w:color w:val="auto"/>
                <w:sz w:val="24"/>
                <w:szCs w:val="24"/>
                <w:lang w:val="en-US" w:eastAsia="zh-CN"/>
              </w:rPr>
              <w:t>先生，联系电话：</w:t>
            </w:r>
            <w:r>
              <w:rPr>
                <w:rFonts w:hint="eastAsia" w:ascii="宋体" w:hAnsi="宋体" w:cs="宋体"/>
                <w:color w:val="auto"/>
                <w:sz w:val="24"/>
                <w:szCs w:val="24"/>
                <w:lang w:val="en-US" w:eastAsia="zh-CN"/>
              </w:rPr>
              <w:t>15239860647</w:t>
            </w:r>
            <w:r>
              <w:rPr>
                <w:rFonts w:hint="eastAsia" w:ascii="宋体" w:hAnsi="宋体" w:eastAsia="宋体" w:cs="宋体"/>
                <w:color w:val="auto"/>
                <w:sz w:val="24"/>
                <w:szCs w:val="24"/>
                <w:lang w:val="en-US" w:eastAsia="zh-CN"/>
              </w:rPr>
              <w:t>。</w:t>
            </w:r>
          </w:p>
        </w:tc>
      </w:tr>
      <w:tr w14:paraId="2EAC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42CAE476">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sz w:val="24"/>
                <w:szCs w:val="24"/>
              </w:rPr>
              <w:t>9.3</w:t>
            </w:r>
          </w:p>
        </w:tc>
        <w:tc>
          <w:tcPr>
            <w:tcW w:w="1725" w:type="dxa"/>
            <w:vAlign w:val="center"/>
          </w:tcPr>
          <w:p w14:paraId="2CF40C96">
            <w:pPr>
              <w:keepNext w:val="0"/>
              <w:keepLines w:val="0"/>
              <w:suppressLineNumbers w:val="0"/>
              <w:spacing w:before="0" w:beforeAutospacing="0" w:after="0" w:afterAutospacing="0" w:line="400" w:lineRule="exact"/>
              <w:ind w:left="38" w:leftChars="18"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需要补充的其他内容</w:t>
            </w:r>
          </w:p>
        </w:tc>
        <w:tc>
          <w:tcPr>
            <w:tcW w:w="6694" w:type="dxa"/>
            <w:vAlign w:val="center"/>
          </w:tcPr>
          <w:p w14:paraId="3DA2715A">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审查内容以</w:t>
            </w: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文件为准，可使用电子营业执照。其上传资料真实性由</w:t>
            </w:r>
            <w:r>
              <w:rPr>
                <w:rFonts w:hint="eastAsia" w:ascii="宋体" w:hAnsi="宋体" w:cs="宋体"/>
                <w:color w:val="auto"/>
                <w:sz w:val="24"/>
                <w:szCs w:val="24"/>
                <w:lang w:eastAsia="zh-CN"/>
              </w:rPr>
              <w:t>投标人</w:t>
            </w:r>
            <w:r>
              <w:rPr>
                <w:rFonts w:hint="eastAsia" w:ascii="宋体" w:hAnsi="宋体" w:eastAsia="宋体" w:cs="宋体"/>
                <w:color w:val="auto"/>
                <w:sz w:val="24"/>
                <w:szCs w:val="24"/>
              </w:rPr>
              <w:t>自行承担。</w:t>
            </w:r>
          </w:p>
          <w:p w14:paraId="1CC2C5B8">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2、评标打分部分：评标打分部分仍按照100分制原则进行，涉及到资格审查、企业荣誉、企业业绩等计分部分时，以投标单位自行上传到</w:t>
            </w: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文件中的相应内容为准。</w:t>
            </w:r>
          </w:p>
          <w:p w14:paraId="76BDAEED">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文件编制部分：在</w:t>
            </w:r>
            <w:r>
              <w:rPr>
                <w:rFonts w:hint="eastAsia" w:ascii="宋体" w:hAnsi="宋体" w:cs="宋体"/>
                <w:color w:val="auto"/>
                <w:sz w:val="24"/>
                <w:szCs w:val="24"/>
                <w:lang w:eastAsia="zh-CN"/>
              </w:rPr>
              <w:t>投标文件</w:t>
            </w:r>
            <w:r>
              <w:rPr>
                <w:rFonts w:hint="eastAsia" w:ascii="宋体" w:hAnsi="宋体" w:eastAsia="宋体" w:cs="宋体"/>
                <w:color w:val="auto"/>
                <w:sz w:val="24"/>
                <w:szCs w:val="24"/>
              </w:rPr>
              <w:t>中要求</w:t>
            </w:r>
            <w:r>
              <w:rPr>
                <w:rFonts w:hint="eastAsia" w:ascii="宋体" w:hAnsi="宋体" w:cs="宋体"/>
                <w:color w:val="auto"/>
                <w:sz w:val="24"/>
                <w:szCs w:val="24"/>
                <w:lang w:eastAsia="zh-CN"/>
              </w:rPr>
              <w:t>投标人</w:t>
            </w:r>
            <w:r>
              <w:rPr>
                <w:rFonts w:hint="eastAsia" w:ascii="宋体" w:hAnsi="宋体" w:eastAsia="宋体" w:cs="宋体"/>
                <w:color w:val="auto"/>
                <w:sz w:val="24"/>
                <w:szCs w:val="24"/>
              </w:rPr>
              <w:t>按照</w:t>
            </w:r>
            <w:r>
              <w:rPr>
                <w:rFonts w:hint="eastAsia" w:ascii="宋体" w:hAnsi="宋体" w:cs="宋体"/>
                <w:color w:val="auto"/>
                <w:sz w:val="24"/>
                <w:szCs w:val="24"/>
                <w:lang w:eastAsia="zh-CN"/>
              </w:rPr>
              <w:t>投标文件</w:t>
            </w:r>
            <w:r>
              <w:rPr>
                <w:rFonts w:hint="eastAsia" w:ascii="宋体" w:hAnsi="宋体" w:eastAsia="宋体" w:cs="宋体"/>
                <w:color w:val="auto"/>
                <w:sz w:val="24"/>
                <w:szCs w:val="24"/>
              </w:rPr>
              <w:t>格式进行</w:t>
            </w:r>
            <w:r>
              <w:rPr>
                <w:rFonts w:hint="eastAsia" w:ascii="宋体" w:hAnsi="宋体" w:cs="宋体"/>
                <w:color w:val="auto"/>
                <w:sz w:val="24"/>
                <w:szCs w:val="24"/>
                <w:lang w:eastAsia="zh-CN"/>
              </w:rPr>
              <w:t>投标文件</w:t>
            </w:r>
            <w:r>
              <w:rPr>
                <w:rFonts w:hint="eastAsia" w:ascii="宋体" w:hAnsi="宋体" w:eastAsia="宋体" w:cs="宋体"/>
                <w:color w:val="auto"/>
                <w:sz w:val="24"/>
                <w:szCs w:val="24"/>
              </w:rPr>
              <w:t>编制。</w:t>
            </w:r>
          </w:p>
          <w:p w14:paraId="1A17870B">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p w14:paraId="76BF0A1C">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rPr>
            </w:pPr>
            <w:r>
              <w:rPr>
                <w:rFonts w:hint="eastAsia" w:ascii="宋体" w:hAnsi="宋体" w:eastAsia="宋体" w:cs="宋体"/>
                <w:color w:val="auto"/>
                <w:sz w:val="24"/>
                <w:szCs w:val="24"/>
              </w:rPr>
              <w:t>5、业主评委无评标劳务费用。</w:t>
            </w:r>
          </w:p>
          <w:p w14:paraId="5E19397A">
            <w:pPr>
              <w:keepNext w:val="0"/>
              <w:keepLines w:val="0"/>
              <w:suppressLineNumbers w:val="0"/>
              <w:spacing w:before="0" w:beforeAutospacing="0" w:after="0" w:afterAutospacing="0" w:line="360" w:lineRule="auto"/>
              <w:ind w:left="0" w:right="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代理服务费收费标准及方式：执行河南省招标投标协会关于印发《河南省招标代理服务收费指导意见》的通知(豫招协[2023]002号)收费标准，招标代理服务费由中标人在领取中标通知书前以银行电汇方式一次性支付给招标代理机构。</w:t>
            </w:r>
          </w:p>
        </w:tc>
      </w:tr>
      <w:tr w14:paraId="623F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25F916EB">
            <w:pPr>
              <w:keepNext w:val="0"/>
              <w:keepLines w:val="0"/>
              <w:suppressLineNumbers w:val="0"/>
              <w:spacing w:before="0" w:beforeAutospacing="0" w:after="0" w:afterAutospacing="0" w:line="400" w:lineRule="exact"/>
              <w:ind w:left="38" w:leftChars="18" w:right="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10</w:t>
            </w:r>
          </w:p>
        </w:tc>
        <w:tc>
          <w:tcPr>
            <w:tcW w:w="1725" w:type="dxa"/>
            <w:vAlign w:val="center"/>
          </w:tcPr>
          <w:p w14:paraId="001BFA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color w:val="auto"/>
                <w:sz w:val="24"/>
                <w:szCs w:val="24"/>
              </w:rPr>
              <w:t>政府采购政策</w:t>
            </w:r>
          </w:p>
        </w:tc>
        <w:tc>
          <w:tcPr>
            <w:tcW w:w="6694" w:type="dxa"/>
            <w:vAlign w:val="center"/>
          </w:tcPr>
          <w:p w14:paraId="02F74FA7">
            <w:pPr>
              <w:keepNext w:val="0"/>
              <w:keepLines w:val="0"/>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本项目所属行业：</w:t>
            </w:r>
            <w:r>
              <w:rPr>
                <w:rFonts w:hint="eastAsia" w:ascii="宋体" w:hAnsi="宋体" w:eastAsia="宋体" w:cs="宋体"/>
                <w:sz w:val="24"/>
                <w:szCs w:val="24"/>
                <w:lang w:val="en-US" w:eastAsia="zh-CN"/>
              </w:rPr>
              <w:t>工</w:t>
            </w:r>
            <w:r>
              <w:rPr>
                <w:rFonts w:hint="eastAsia" w:ascii="宋体" w:hAnsi="宋体" w:eastAsia="宋体" w:cs="宋体"/>
                <w:sz w:val="24"/>
                <w:szCs w:val="24"/>
              </w:rPr>
              <w:t>业</w:t>
            </w:r>
          </w:p>
          <w:p w14:paraId="50A2A4DF">
            <w:pPr>
              <w:keepNext w:val="0"/>
              <w:keepLines w:val="0"/>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1、落实中小企业、监狱企业、残疾人福利企业政府采购政策。</w:t>
            </w:r>
          </w:p>
          <w:p w14:paraId="1C29CC7C">
            <w:pPr>
              <w:keepNext w:val="0"/>
              <w:keepLines w:val="0"/>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cs="宋体"/>
                <w:sz w:val="24"/>
                <w:szCs w:val="24"/>
                <w:lang w:val="en-US" w:eastAsia="zh-CN"/>
              </w:rPr>
              <w:t>不是</w:t>
            </w:r>
            <w:r>
              <w:rPr>
                <w:rFonts w:hint="eastAsia" w:ascii="宋体" w:hAnsi="宋体" w:eastAsia="宋体" w:cs="宋体"/>
                <w:sz w:val="24"/>
                <w:szCs w:val="24"/>
              </w:rPr>
              <w:t>专门面向中小企业、监狱企业及残疾人福利性单位采购项目。根据《政府采购促进中小企业发展管理办法》（财库﹝2020﹞46 号）《财政部关于进一步加大政府采购支持中小企业力度的通知》（财库﹝2022﹞19 号）《三门峡市财政局关于进一步加大政府采购支持中小企业发展有关事项的通知》（三财购﹝2022﹞9 号）的规定，</w:t>
            </w:r>
            <w:r>
              <w:rPr>
                <w:rFonts w:hint="eastAsia" w:ascii="宋体" w:hAnsi="宋体" w:cs="宋体"/>
                <w:sz w:val="24"/>
                <w:szCs w:val="24"/>
                <w:lang w:val="en-US" w:eastAsia="zh-CN"/>
              </w:rPr>
              <w:t>执行</w:t>
            </w:r>
            <w:r>
              <w:rPr>
                <w:rFonts w:hint="eastAsia" w:ascii="宋体" w:hAnsi="宋体" w:eastAsia="宋体" w:cs="宋体"/>
                <w:sz w:val="24"/>
                <w:szCs w:val="24"/>
              </w:rPr>
              <w:t>对小型、微型企业、监狱企业及残疾人福利性单位产品的价格给予 6%～20%的扣除，用扣除后的价格参与评审，本项目的扣除比例为：小型企业扣除20%，微型企业扣除20%，监狱企业扣除 20%，残疾人福利性单位扣除20%。监狱企业和残疾人福利性单位属于小型、微型企业的，不重复享受政策。</w:t>
            </w:r>
          </w:p>
          <w:p w14:paraId="3BA4AA7B">
            <w:pPr>
              <w:keepNext w:val="0"/>
              <w:keepLines w:val="0"/>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在货物采购项目中。投标人提供的货物既有中小企业制造货物，也有大型企业制造货物的，不享受《政府采购促进中小企业发展管理办法》(财库[2020]46 号)规定的中小企业扶持政策。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p w14:paraId="6777591E">
            <w:pPr>
              <w:keepNext w:val="0"/>
              <w:keepLines w:val="0"/>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注：依据《政府采购促进中小企业发展管理办法》(财库 [2020]46号)规定享受扶持政策获得政府采购合同的，小微企业不得将合同分包给大中型企业，中型企业不得将合同分包给大型企业。</w:t>
            </w:r>
          </w:p>
          <w:p w14:paraId="3948F27E">
            <w:pPr>
              <w:keepNext w:val="0"/>
              <w:keepLines w:val="0"/>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2、节能产品、环境标志产品政府采购政策：</w:t>
            </w:r>
          </w:p>
          <w:p w14:paraId="779AA362">
            <w:pPr>
              <w:keepNext w:val="0"/>
              <w:keepLines w:val="0"/>
              <w:suppressLineNumbers w:val="0"/>
              <w:spacing w:before="0" w:beforeAutospacing="0" w:after="0" w:afterAutospacing="0" w:line="400" w:lineRule="exact"/>
              <w:ind w:left="0" w:right="0"/>
              <w:rPr>
                <w:rFonts w:hint="eastAsia" w:ascii="宋体" w:hAnsi="宋体" w:eastAsia="宋体" w:cs="宋体"/>
                <w:sz w:val="24"/>
                <w:szCs w:val="24"/>
                <w:lang w:val="en-US" w:eastAsia="zh-CN"/>
              </w:rPr>
            </w:pPr>
            <w:r>
              <w:rPr>
                <w:rFonts w:hint="eastAsia" w:ascii="宋体" w:hAnsi="宋体" w:eastAsia="宋体" w:cs="宋体"/>
                <w:sz w:val="24"/>
                <w:szCs w:val="24"/>
              </w:rPr>
              <w:t>根据财政部发展改革委生态环境部市场监管总局《关于 调整优化节能产品、环境标志产品政府采购执行机制的通知》 (财库〔2019〕9 号)、《关于印发节能产品政府采购 品目清单的通知》(财库〔2019〕19 号)；《关于印发环境标志产品政府采购品目清单的通知》(财库〔2019〕18 号) 要求，本项目若含有节能产品政府采购品目清单内政府强制采购产品，投标人须选用国家公布的认证机构认证的处于有效期之内的政府强制采购节能产品。本项目若含有节能产品、环境标志产品政府采购品目清单内政府优先采购产品，在性能、技术、服务等指标同等条件下，优先采购 国家公布的认证机构认证的处于有效期之内的节能产品 (政府强制采购产品除外)、环境标志产品。投标人应提供国家公布的认证机构出具的处于有效期之内的节能产品、环境标志产品认证证书。对于同时获得节能产品和环境标志产品认证证书产品.只给予其中一种认证证书产品优先采购按品目清单内的政府优先采购节能产品和环境标志产品金额之和占其总价的比例，比例高的优先。</w:t>
            </w:r>
          </w:p>
        </w:tc>
      </w:tr>
    </w:tbl>
    <w:p w14:paraId="56146F94">
      <w:pPr>
        <w:rPr>
          <w:rFonts w:hint="eastAsia" w:ascii="宋体" w:hAnsi="宋体" w:eastAsia="宋体" w:cs="宋体"/>
          <w:sz w:val="24"/>
          <w:szCs w:val="24"/>
        </w:rPr>
      </w:pPr>
    </w:p>
    <w:p w14:paraId="3C94CC4A">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bookmarkStart w:id="47" w:name="_Toc26128"/>
      <w:bookmarkStart w:id="48" w:name="_Toc312133543"/>
      <w:bookmarkStart w:id="49" w:name="_Toc3815_WPSOffice_Level2"/>
      <w:bookmarkStart w:id="50" w:name="_Toc829"/>
      <w:bookmarkStart w:id="51" w:name="_Toc10592"/>
      <w:r>
        <w:rPr>
          <w:rFonts w:hint="eastAsia" w:ascii="宋体" w:hAnsi="宋体" w:eastAsia="宋体" w:cs="宋体"/>
          <w:sz w:val="24"/>
          <w:szCs w:val="24"/>
        </w:rPr>
        <w:t>总则</w:t>
      </w:r>
      <w:bookmarkEnd w:id="47"/>
      <w:bookmarkEnd w:id="48"/>
      <w:bookmarkEnd w:id="49"/>
      <w:bookmarkEnd w:id="50"/>
      <w:bookmarkEnd w:id="51"/>
    </w:p>
    <w:p w14:paraId="5064082C">
      <w:pPr>
        <w:pStyle w:val="4"/>
        <w:numPr>
          <w:ilvl w:val="1"/>
          <w:numId w:val="3"/>
        </w:numPr>
        <w:rPr>
          <w:rFonts w:hint="eastAsia" w:ascii="宋体" w:hAnsi="宋体" w:eastAsia="宋体" w:cs="宋体"/>
          <w:sz w:val="24"/>
          <w:szCs w:val="24"/>
        </w:rPr>
      </w:pPr>
      <w:bookmarkStart w:id="52" w:name="_Toc14496"/>
      <w:bookmarkStart w:id="53" w:name="_Toc28377"/>
      <w:bookmarkStart w:id="54" w:name="_Toc31656"/>
      <w:bookmarkStart w:id="55" w:name="_Toc24769"/>
      <w:bookmarkStart w:id="56" w:name="_Toc30513"/>
      <w:bookmarkStart w:id="57" w:name="_Toc20743"/>
      <w:bookmarkStart w:id="58" w:name="_Toc9227"/>
      <w:bookmarkStart w:id="59" w:name="_Toc5358"/>
      <w:bookmarkStart w:id="60" w:name="_Toc23738"/>
      <w:bookmarkStart w:id="61" w:name="_Toc5828"/>
      <w:bookmarkStart w:id="62" w:name="_Toc13150040"/>
      <w:bookmarkStart w:id="63" w:name="_Toc4828"/>
      <w:bookmarkStart w:id="64" w:name="_Toc6347"/>
      <w:bookmarkStart w:id="65" w:name="_Toc6992"/>
      <w:bookmarkStart w:id="66" w:name="_Toc28200"/>
      <w:r>
        <w:rPr>
          <w:rFonts w:hint="eastAsia" w:ascii="宋体" w:hAnsi="宋体" w:eastAsia="宋体" w:cs="宋体"/>
          <w:sz w:val="24"/>
          <w:szCs w:val="24"/>
        </w:rPr>
        <w:t>适用范围</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4A3F68CE">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本招标文件仅适用于本次招标文件中所述的服务。</w:t>
      </w:r>
    </w:p>
    <w:p w14:paraId="69E6520A">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本招标文件的解释权归采购人所有。</w:t>
      </w:r>
    </w:p>
    <w:p w14:paraId="7006EE34">
      <w:pPr>
        <w:pStyle w:val="4"/>
        <w:numPr>
          <w:ilvl w:val="1"/>
          <w:numId w:val="3"/>
        </w:numPr>
        <w:rPr>
          <w:rFonts w:hint="eastAsia" w:ascii="宋体" w:hAnsi="宋体" w:eastAsia="宋体" w:cs="宋体"/>
          <w:sz w:val="24"/>
          <w:szCs w:val="24"/>
        </w:rPr>
      </w:pPr>
      <w:bookmarkStart w:id="67" w:name="_Toc13726"/>
      <w:bookmarkStart w:id="68" w:name="_Toc13150041"/>
      <w:bookmarkStart w:id="69" w:name="_Toc4906"/>
      <w:bookmarkStart w:id="70" w:name="_Toc23240"/>
      <w:bookmarkStart w:id="71" w:name="_Toc31067"/>
      <w:bookmarkStart w:id="72" w:name="_Toc2056"/>
      <w:bookmarkStart w:id="73" w:name="_Toc13473"/>
      <w:bookmarkStart w:id="74" w:name="_Toc17774"/>
      <w:bookmarkStart w:id="75" w:name="_Toc13223"/>
      <w:bookmarkStart w:id="76" w:name="_Toc19830"/>
      <w:bookmarkStart w:id="77" w:name="_Toc12346"/>
      <w:bookmarkStart w:id="78" w:name="_Toc19994"/>
      <w:bookmarkStart w:id="79" w:name="_Toc11835"/>
      <w:bookmarkStart w:id="80" w:name="_Toc17529"/>
      <w:bookmarkStart w:id="81" w:name="_Toc7606"/>
      <w:r>
        <w:rPr>
          <w:rFonts w:hint="eastAsia" w:ascii="宋体" w:hAnsi="宋体" w:eastAsia="宋体" w:cs="宋体"/>
          <w:sz w:val="24"/>
          <w:szCs w:val="24"/>
        </w:rPr>
        <w:t>项目概况</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2C4991A8">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r>
        <w:rPr>
          <w:rFonts w:hint="eastAsia" w:ascii="宋体" w:hAnsi="宋体" w:cs="宋体"/>
          <w:sz w:val="24"/>
          <w:szCs w:val="24"/>
          <w:lang w:eastAsia="zh-CN"/>
        </w:rPr>
        <w:t>供应商</w:t>
      </w:r>
      <w:r>
        <w:rPr>
          <w:rFonts w:hint="eastAsia" w:ascii="宋体" w:hAnsi="宋体" w:eastAsia="宋体" w:cs="宋体"/>
          <w:sz w:val="24"/>
          <w:szCs w:val="24"/>
        </w:rPr>
        <w:t>须知前附表中所述的、依法进行政府采购的国家机关、事业单位、团体组织。</w:t>
      </w:r>
    </w:p>
    <w:p w14:paraId="72DD30EA">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采购代理机构：受采购人委托组织招标活动，在招标过程中负有相应责任的社会中介组织。</w:t>
      </w:r>
    </w:p>
    <w:p w14:paraId="2E57FC15">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项目名称及采购编号：见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0B8A79C7">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本次采购</w:t>
      </w:r>
      <w:r>
        <w:rPr>
          <w:rFonts w:hint="eastAsia" w:ascii="宋体" w:hAnsi="宋体" w:eastAsia="宋体" w:cs="宋体"/>
          <w:sz w:val="24"/>
          <w:szCs w:val="24"/>
          <w:lang w:val="en-US" w:eastAsia="zh-CN"/>
        </w:rPr>
        <w:t>内容</w:t>
      </w:r>
      <w:r>
        <w:rPr>
          <w:rFonts w:hint="eastAsia" w:ascii="宋体" w:hAnsi="宋体" w:eastAsia="宋体" w:cs="宋体"/>
          <w:sz w:val="24"/>
          <w:szCs w:val="24"/>
        </w:rPr>
        <w:t>：见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694BDDCC">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资金来源及预算金额：见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5FFF0D85">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质保期：见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7341ED51">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交货地点：见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35B86A47">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交货期：见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4236A572">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质量要求：见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054DEC4E">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资格要求</w:t>
      </w:r>
    </w:p>
    <w:p w14:paraId="592ABE19">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具有独立承担民事责任能力的法人、其他组织或者自然人；</w:t>
      </w:r>
    </w:p>
    <w:p w14:paraId="33A0CAAF">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具有良好的商业信誉和健全的财务会计制度；</w:t>
      </w:r>
    </w:p>
    <w:p w14:paraId="0F43FB5A">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参加政府采购活动前三年内，在经营活动中没有重大违法记录；</w:t>
      </w:r>
    </w:p>
    <w:p w14:paraId="354A8B84">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具有完善的售后服务体系，并能承担投标项目相关服务的企业；</w:t>
      </w:r>
    </w:p>
    <w:p w14:paraId="038EBC47">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已通过正规渠道获得本项目招标文件；</w:t>
      </w:r>
    </w:p>
    <w:p w14:paraId="2FD29B1A">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未被依法暂停或者取消投标资格；</w:t>
      </w:r>
    </w:p>
    <w:p w14:paraId="4931049B">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未被责令停产停业、暂扣或者吊销许可证、暂扣或者吊销执照；</w:t>
      </w:r>
    </w:p>
    <w:p w14:paraId="59573F0F">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法律、行政法规规定的其他条件；</w:t>
      </w:r>
    </w:p>
    <w:p w14:paraId="717B0713">
      <w:pPr>
        <w:numPr>
          <w:ilvl w:val="0"/>
          <w:numId w:val="4"/>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须知前附表规定的其他条件；</w:t>
      </w:r>
    </w:p>
    <w:p w14:paraId="63CCF011">
      <w:pPr>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1.2.11</w:t>
      </w:r>
      <w:r>
        <w:rPr>
          <w:rFonts w:hint="eastAsia" w:ascii="宋体" w:hAnsi="宋体" w:cs="宋体"/>
          <w:sz w:val="24"/>
          <w:szCs w:val="24"/>
          <w:lang w:eastAsia="zh-CN"/>
        </w:rPr>
        <w:t>供应商</w:t>
      </w:r>
      <w:r>
        <w:rPr>
          <w:rFonts w:hint="eastAsia" w:ascii="宋体" w:hAnsi="宋体" w:eastAsia="宋体" w:cs="宋体"/>
          <w:sz w:val="24"/>
          <w:szCs w:val="24"/>
        </w:rPr>
        <w:t>须知前附表规定：不接受联合体投标。</w:t>
      </w:r>
    </w:p>
    <w:p w14:paraId="0A8DE593">
      <w:pPr>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1.2.12是否接受进口产品：否</w:t>
      </w:r>
    </w:p>
    <w:p w14:paraId="207FDADD">
      <w:pPr>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1.2.13</w:t>
      </w:r>
      <w:r>
        <w:rPr>
          <w:rFonts w:hint="eastAsia" w:ascii="宋体" w:hAnsi="宋体" w:cs="宋体"/>
          <w:sz w:val="24"/>
          <w:szCs w:val="24"/>
          <w:lang w:eastAsia="zh-CN"/>
        </w:rPr>
        <w:t>供应商</w:t>
      </w:r>
      <w:r>
        <w:rPr>
          <w:rFonts w:hint="eastAsia" w:ascii="宋体" w:hAnsi="宋体" w:eastAsia="宋体" w:cs="宋体"/>
          <w:sz w:val="24"/>
          <w:szCs w:val="24"/>
        </w:rPr>
        <w:t>不得存在下列情形之一：</w:t>
      </w:r>
    </w:p>
    <w:p w14:paraId="6EA8F912">
      <w:pPr>
        <w:numPr>
          <w:ilvl w:val="0"/>
          <w:numId w:val="5"/>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与采购人存在利害关系且可能影响招标公正性；</w:t>
      </w:r>
    </w:p>
    <w:p w14:paraId="3EA01E56">
      <w:pPr>
        <w:numPr>
          <w:ilvl w:val="0"/>
          <w:numId w:val="5"/>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与本招标项目的其他</w:t>
      </w:r>
      <w:r>
        <w:rPr>
          <w:rFonts w:hint="eastAsia" w:ascii="宋体" w:hAnsi="宋体" w:cs="宋体"/>
          <w:kern w:val="0"/>
          <w:sz w:val="24"/>
          <w:szCs w:val="24"/>
          <w:lang w:eastAsia="zh-CN"/>
        </w:rPr>
        <w:t>供应商</w:t>
      </w:r>
      <w:r>
        <w:rPr>
          <w:rFonts w:hint="eastAsia" w:ascii="宋体" w:hAnsi="宋体" w:eastAsia="宋体" w:cs="宋体"/>
          <w:kern w:val="0"/>
          <w:sz w:val="24"/>
          <w:szCs w:val="24"/>
        </w:rPr>
        <w:t>为同一个单位负责人；</w:t>
      </w:r>
    </w:p>
    <w:p w14:paraId="21AFFCDD">
      <w:pPr>
        <w:numPr>
          <w:ilvl w:val="0"/>
          <w:numId w:val="5"/>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与本招标项目的其他</w:t>
      </w:r>
      <w:r>
        <w:rPr>
          <w:rFonts w:hint="eastAsia" w:ascii="宋体" w:hAnsi="宋体" w:cs="宋体"/>
          <w:kern w:val="0"/>
          <w:sz w:val="24"/>
          <w:szCs w:val="24"/>
          <w:lang w:eastAsia="zh-CN"/>
        </w:rPr>
        <w:t>供应商</w:t>
      </w:r>
      <w:r>
        <w:rPr>
          <w:rFonts w:hint="eastAsia" w:ascii="宋体" w:hAnsi="宋体" w:eastAsia="宋体" w:cs="宋体"/>
          <w:kern w:val="0"/>
          <w:sz w:val="24"/>
          <w:szCs w:val="24"/>
        </w:rPr>
        <w:t>存在控股、管理关系；</w:t>
      </w:r>
    </w:p>
    <w:p w14:paraId="68611114">
      <w:pPr>
        <w:numPr>
          <w:ilvl w:val="0"/>
          <w:numId w:val="5"/>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为本招标项目的采购代理机构；</w:t>
      </w:r>
    </w:p>
    <w:p w14:paraId="7F127E92">
      <w:pPr>
        <w:numPr>
          <w:ilvl w:val="0"/>
          <w:numId w:val="5"/>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以他人名义投标、串通投标、以行贿手段牟取中标，或在投标中弄虚作假的；</w:t>
      </w:r>
    </w:p>
    <w:p w14:paraId="2F4202CB">
      <w:pPr>
        <w:numPr>
          <w:ilvl w:val="0"/>
          <w:numId w:val="5"/>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法律法规规定的其他情形。</w:t>
      </w:r>
    </w:p>
    <w:p w14:paraId="7737D421">
      <w:pPr>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1.2.14中标人：接到并接受中标通知，最终被授予合同的</w:t>
      </w:r>
      <w:r>
        <w:rPr>
          <w:rFonts w:hint="eastAsia" w:ascii="宋体" w:hAnsi="宋体" w:cs="宋体"/>
          <w:sz w:val="24"/>
          <w:szCs w:val="24"/>
          <w:lang w:eastAsia="zh-CN"/>
        </w:rPr>
        <w:t>供应商</w:t>
      </w:r>
      <w:r>
        <w:rPr>
          <w:rFonts w:hint="eastAsia" w:ascii="宋体" w:hAnsi="宋体" w:eastAsia="宋体" w:cs="宋体"/>
          <w:sz w:val="24"/>
          <w:szCs w:val="24"/>
        </w:rPr>
        <w:t>。</w:t>
      </w:r>
    </w:p>
    <w:p w14:paraId="44AEE2A4">
      <w:pPr>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1.2.15投标文件：指</w:t>
      </w:r>
      <w:r>
        <w:rPr>
          <w:rFonts w:hint="eastAsia" w:ascii="宋体" w:hAnsi="宋体" w:cs="宋体"/>
          <w:sz w:val="24"/>
          <w:szCs w:val="24"/>
          <w:lang w:eastAsia="zh-CN"/>
        </w:rPr>
        <w:t>供应商</w:t>
      </w:r>
      <w:r>
        <w:rPr>
          <w:rFonts w:hint="eastAsia" w:ascii="宋体" w:hAnsi="宋体" w:eastAsia="宋体" w:cs="宋体"/>
          <w:sz w:val="24"/>
          <w:szCs w:val="24"/>
        </w:rPr>
        <w:t>根据招标文件提交的所有文件。</w:t>
      </w:r>
    </w:p>
    <w:p w14:paraId="39260AFE">
      <w:pPr>
        <w:pStyle w:val="4"/>
        <w:numPr>
          <w:ilvl w:val="1"/>
          <w:numId w:val="3"/>
        </w:numPr>
        <w:rPr>
          <w:rFonts w:hint="eastAsia" w:ascii="宋体" w:hAnsi="宋体" w:eastAsia="宋体" w:cs="宋体"/>
          <w:sz w:val="24"/>
          <w:szCs w:val="24"/>
        </w:rPr>
      </w:pPr>
      <w:bookmarkStart w:id="82" w:name="_Toc13150042"/>
      <w:bookmarkStart w:id="83" w:name="_Toc22289"/>
      <w:bookmarkStart w:id="84" w:name="_Toc21690"/>
      <w:bookmarkStart w:id="85" w:name="_Toc7848"/>
      <w:bookmarkStart w:id="86" w:name="_Toc25383"/>
      <w:bookmarkStart w:id="87" w:name="_Toc24344"/>
      <w:bookmarkStart w:id="88" w:name="_Toc15243"/>
      <w:bookmarkStart w:id="89" w:name="_Toc29415"/>
      <w:bookmarkStart w:id="90" w:name="_Toc10741"/>
      <w:bookmarkStart w:id="91" w:name="_Toc17327"/>
      <w:bookmarkStart w:id="92" w:name="_Toc30844"/>
      <w:bookmarkStart w:id="93" w:name="_Toc15721"/>
      <w:bookmarkStart w:id="94" w:name="_Toc10943"/>
      <w:bookmarkStart w:id="95" w:name="_Toc6127"/>
      <w:bookmarkStart w:id="96" w:name="_Toc9366"/>
      <w:r>
        <w:rPr>
          <w:rFonts w:hint="eastAsia" w:ascii="宋体" w:hAnsi="宋体" w:eastAsia="宋体" w:cs="宋体"/>
          <w:sz w:val="24"/>
          <w:szCs w:val="24"/>
        </w:rPr>
        <w:t>投标费用</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0068D3FF">
      <w:pPr>
        <w:spacing w:line="360" w:lineRule="auto"/>
        <w:ind w:left="420" w:left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准备和参加投标活动发生的费用自理。</w:t>
      </w:r>
    </w:p>
    <w:p w14:paraId="188F131E">
      <w:pPr>
        <w:pStyle w:val="4"/>
        <w:numPr>
          <w:ilvl w:val="1"/>
          <w:numId w:val="3"/>
        </w:numPr>
        <w:rPr>
          <w:rFonts w:hint="eastAsia" w:ascii="宋体" w:hAnsi="宋体" w:eastAsia="宋体" w:cs="宋体"/>
          <w:sz w:val="24"/>
          <w:szCs w:val="24"/>
        </w:rPr>
      </w:pPr>
      <w:bookmarkStart w:id="97" w:name="_Toc32164"/>
      <w:bookmarkStart w:id="98" w:name="_Toc13179"/>
      <w:bookmarkStart w:id="99" w:name="_Toc1130"/>
      <w:bookmarkStart w:id="100" w:name="_Toc28577"/>
      <w:bookmarkStart w:id="101" w:name="_Toc30990"/>
      <w:bookmarkStart w:id="102" w:name="_Toc16426"/>
      <w:bookmarkStart w:id="103" w:name="_Toc13150043"/>
      <w:bookmarkStart w:id="104" w:name="_Toc17852"/>
      <w:bookmarkStart w:id="105" w:name="_Toc20429"/>
      <w:bookmarkStart w:id="106" w:name="_Toc6898"/>
      <w:bookmarkStart w:id="107" w:name="_Toc31440"/>
      <w:bookmarkStart w:id="108" w:name="_Toc1248"/>
      <w:bookmarkStart w:id="109" w:name="_Toc27047"/>
      <w:bookmarkStart w:id="110" w:name="_Toc23865"/>
      <w:bookmarkStart w:id="111" w:name="_Toc27895"/>
      <w:r>
        <w:rPr>
          <w:rFonts w:hint="eastAsia" w:ascii="宋体" w:hAnsi="宋体" w:eastAsia="宋体" w:cs="宋体"/>
          <w:sz w:val="24"/>
          <w:szCs w:val="24"/>
        </w:rPr>
        <w:t>现场考察或答疑会</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47384F2F">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现场考察：见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28FBFC02">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答疑会：见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2E0E6289">
      <w:pPr>
        <w:pStyle w:val="4"/>
        <w:numPr>
          <w:ilvl w:val="1"/>
          <w:numId w:val="3"/>
        </w:numPr>
        <w:rPr>
          <w:rFonts w:hint="eastAsia" w:ascii="宋体" w:hAnsi="宋体" w:eastAsia="宋体" w:cs="宋体"/>
          <w:sz w:val="24"/>
          <w:szCs w:val="24"/>
        </w:rPr>
      </w:pPr>
      <w:bookmarkStart w:id="112" w:name="_Toc7448"/>
      <w:bookmarkStart w:id="113" w:name="_Toc9223"/>
      <w:bookmarkStart w:id="114" w:name="_Toc20467"/>
      <w:bookmarkStart w:id="115" w:name="_Toc19551"/>
      <w:bookmarkStart w:id="116" w:name="_Toc27635"/>
      <w:bookmarkStart w:id="117" w:name="_Toc2320"/>
      <w:bookmarkStart w:id="118" w:name="_Toc22071"/>
      <w:bookmarkStart w:id="119" w:name="_Toc10737"/>
      <w:bookmarkStart w:id="120" w:name="_Toc1374"/>
      <w:bookmarkStart w:id="121" w:name="_Toc26711"/>
      <w:bookmarkStart w:id="122" w:name="_Toc13150044"/>
      <w:bookmarkStart w:id="123" w:name="_Toc3470"/>
      <w:bookmarkStart w:id="124" w:name="_Toc8265"/>
      <w:bookmarkStart w:id="125" w:name="_Toc9561"/>
      <w:bookmarkStart w:id="126" w:name="_Toc21313"/>
      <w:r>
        <w:rPr>
          <w:rFonts w:hint="eastAsia" w:ascii="宋体" w:hAnsi="宋体" w:eastAsia="宋体" w:cs="宋体"/>
          <w:sz w:val="24"/>
          <w:szCs w:val="24"/>
        </w:rPr>
        <w:t>分包</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168C1168">
      <w:pPr>
        <w:ind w:firstLine="480" w:firstLineChars="200"/>
        <w:rPr>
          <w:rFonts w:hint="eastAsia" w:ascii="宋体" w:hAnsi="宋体" w:eastAsia="宋体" w:cs="宋体"/>
          <w:sz w:val="24"/>
          <w:szCs w:val="24"/>
        </w:rPr>
      </w:pPr>
      <w:r>
        <w:rPr>
          <w:rFonts w:hint="eastAsia" w:ascii="宋体" w:hAnsi="宋体" w:eastAsia="宋体" w:cs="宋体"/>
          <w:sz w:val="24"/>
          <w:szCs w:val="24"/>
        </w:rPr>
        <w:t>1.5.1分包：不允许</w:t>
      </w:r>
    </w:p>
    <w:p w14:paraId="01B8D150">
      <w:pPr>
        <w:pStyle w:val="4"/>
        <w:numPr>
          <w:ilvl w:val="1"/>
          <w:numId w:val="3"/>
        </w:numPr>
        <w:rPr>
          <w:rFonts w:hint="eastAsia" w:ascii="宋体" w:hAnsi="宋体" w:eastAsia="宋体" w:cs="宋体"/>
          <w:sz w:val="24"/>
          <w:szCs w:val="24"/>
        </w:rPr>
      </w:pPr>
      <w:bookmarkStart w:id="127" w:name="_Toc31207"/>
      <w:bookmarkStart w:id="128" w:name="_Toc20874"/>
      <w:bookmarkStart w:id="129" w:name="_Toc15187"/>
      <w:bookmarkStart w:id="130" w:name="_Toc11954"/>
      <w:bookmarkStart w:id="131" w:name="_Toc28651"/>
      <w:bookmarkStart w:id="132" w:name="_Toc29383"/>
      <w:bookmarkStart w:id="133" w:name="_Toc26863"/>
      <w:bookmarkStart w:id="134" w:name="_Toc26753"/>
      <w:bookmarkStart w:id="135" w:name="_Toc6725"/>
      <w:bookmarkStart w:id="136" w:name="_Toc5121"/>
      <w:bookmarkStart w:id="137" w:name="_Toc8669"/>
      <w:bookmarkStart w:id="138" w:name="_Toc16222"/>
      <w:bookmarkStart w:id="139" w:name="_Toc12631"/>
      <w:bookmarkStart w:id="140" w:name="_Toc13150045"/>
      <w:bookmarkStart w:id="141" w:name="_Toc9963"/>
      <w:bookmarkStart w:id="142" w:name="_Toc17091"/>
      <w:bookmarkStart w:id="143" w:name="_Toc2167"/>
      <w:r>
        <w:rPr>
          <w:rFonts w:hint="eastAsia" w:ascii="宋体" w:hAnsi="宋体" w:eastAsia="宋体" w:cs="宋体"/>
          <w:sz w:val="24"/>
          <w:szCs w:val="24"/>
        </w:rPr>
        <w:t>响应和</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Fonts w:hint="eastAsia" w:cs="宋体"/>
          <w:sz w:val="24"/>
          <w:szCs w:val="24"/>
          <w:lang w:val="en-US" w:eastAsia="zh-CN"/>
        </w:rPr>
        <w:t>偏离</w:t>
      </w:r>
    </w:p>
    <w:p w14:paraId="474DCB29">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投标文件应当对招标文件的实质性要求和条件作出满足性或更有利于采购人的响应，否则，</w:t>
      </w:r>
      <w:r>
        <w:rPr>
          <w:rFonts w:hint="eastAsia" w:ascii="宋体" w:hAnsi="宋体" w:cs="宋体"/>
          <w:sz w:val="24"/>
          <w:szCs w:val="24"/>
          <w:lang w:eastAsia="zh-CN"/>
        </w:rPr>
        <w:t>供应商</w:t>
      </w:r>
      <w:r>
        <w:rPr>
          <w:rFonts w:hint="eastAsia" w:ascii="宋体" w:hAnsi="宋体" w:eastAsia="宋体" w:cs="宋体"/>
          <w:sz w:val="24"/>
          <w:szCs w:val="24"/>
        </w:rPr>
        <w:t>的投标将被否决。实质性要求和条件见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7F0342CD">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应根据招标文件的要求提供投标服务方案等内容以对招标文件作出响应。</w:t>
      </w:r>
    </w:p>
    <w:p w14:paraId="60DDC36E">
      <w:pPr>
        <w:numPr>
          <w:ilvl w:val="2"/>
          <w:numId w:val="3"/>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允许投标文件偏离招标文件某些要求的，</w:t>
      </w:r>
      <w:r>
        <w:rPr>
          <w:rFonts w:hint="eastAsia" w:ascii="宋体" w:hAnsi="宋体" w:cs="宋体"/>
          <w:sz w:val="24"/>
          <w:szCs w:val="24"/>
          <w:lang w:val="en-US" w:eastAsia="zh-CN"/>
        </w:rPr>
        <w:t>偏离</w:t>
      </w:r>
      <w:r>
        <w:rPr>
          <w:rFonts w:hint="eastAsia" w:ascii="宋体" w:hAnsi="宋体" w:eastAsia="宋体" w:cs="宋体"/>
          <w:sz w:val="24"/>
          <w:szCs w:val="24"/>
        </w:rPr>
        <w:t>应当符合招标文件规定的偏差范围和幅度。</w:t>
      </w:r>
    </w:p>
    <w:p w14:paraId="201DE626">
      <w:pPr>
        <w:pStyle w:val="4"/>
        <w:numPr>
          <w:ilvl w:val="1"/>
          <w:numId w:val="3"/>
        </w:numPr>
        <w:rPr>
          <w:rFonts w:hint="eastAsia" w:ascii="宋体" w:hAnsi="宋体" w:eastAsia="宋体" w:cs="宋体"/>
          <w:sz w:val="24"/>
          <w:szCs w:val="24"/>
        </w:rPr>
      </w:pPr>
      <w:bookmarkStart w:id="144" w:name="_Toc28955"/>
      <w:bookmarkStart w:id="145" w:name="_Toc9147"/>
      <w:bookmarkStart w:id="146" w:name="_Toc18321"/>
      <w:bookmarkStart w:id="147" w:name="_Toc14571"/>
      <w:bookmarkStart w:id="148" w:name="_Toc14740"/>
      <w:bookmarkStart w:id="149" w:name="_Toc9588"/>
      <w:bookmarkStart w:id="150" w:name="_Toc13150046"/>
      <w:bookmarkStart w:id="151" w:name="_Toc15540"/>
      <w:bookmarkStart w:id="152" w:name="_Toc394"/>
      <w:bookmarkStart w:id="153" w:name="_Toc15630"/>
      <w:bookmarkStart w:id="154" w:name="_Toc10942"/>
      <w:bookmarkStart w:id="155" w:name="_Toc12963"/>
      <w:bookmarkStart w:id="156" w:name="_Toc29202"/>
      <w:bookmarkStart w:id="157" w:name="_Toc27360"/>
      <w:bookmarkStart w:id="158" w:name="_Toc16595"/>
      <w:r>
        <w:rPr>
          <w:rFonts w:hint="eastAsia" w:ascii="宋体" w:hAnsi="宋体" w:eastAsia="宋体" w:cs="宋体"/>
          <w:sz w:val="24"/>
          <w:szCs w:val="24"/>
        </w:rPr>
        <w:t>投标语言</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18C76CB2">
      <w:pPr>
        <w:spacing w:line="360" w:lineRule="auto"/>
        <w:ind w:firstLine="472" w:firstLineChars="200"/>
        <w:rPr>
          <w:rFonts w:hint="eastAsia" w:ascii="宋体" w:hAnsi="宋体" w:eastAsia="宋体" w:cs="宋体"/>
          <w:sz w:val="24"/>
          <w:szCs w:val="24"/>
        </w:rPr>
      </w:pPr>
      <w:r>
        <w:rPr>
          <w:rFonts w:hint="eastAsia" w:ascii="宋体" w:hAnsi="宋体" w:eastAsia="宋体" w:cs="宋体"/>
          <w:spacing w:val="-2"/>
          <w:kern w:val="0"/>
          <w:sz w:val="24"/>
          <w:szCs w:val="24"/>
        </w:rPr>
        <w:t>投标文件使</w:t>
      </w:r>
      <w:r>
        <w:rPr>
          <w:rFonts w:hint="eastAsia" w:ascii="宋体" w:hAnsi="宋体" w:eastAsia="宋体" w:cs="宋体"/>
          <w:kern w:val="0"/>
          <w:sz w:val="24"/>
          <w:szCs w:val="24"/>
        </w:rPr>
        <w:t>用</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语</w:t>
      </w:r>
      <w:r>
        <w:rPr>
          <w:rFonts w:hint="eastAsia" w:ascii="宋体" w:hAnsi="宋体" w:eastAsia="宋体" w:cs="宋体"/>
          <w:spacing w:val="-2"/>
          <w:kern w:val="0"/>
          <w:sz w:val="24"/>
          <w:szCs w:val="24"/>
        </w:rPr>
        <w:t>言</w:t>
      </w:r>
      <w:r>
        <w:rPr>
          <w:rFonts w:hint="eastAsia" w:ascii="宋体" w:hAnsi="宋体" w:eastAsia="宋体" w:cs="宋体"/>
          <w:kern w:val="0"/>
          <w:sz w:val="24"/>
          <w:szCs w:val="24"/>
        </w:rPr>
        <w:t>文字</w:t>
      </w:r>
      <w:r>
        <w:rPr>
          <w:rFonts w:hint="eastAsia" w:ascii="宋体" w:hAnsi="宋体" w:eastAsia="宋体" w:cs="宋体"/>
          <w:spacing w:val="-2"/>
          <w:kern w:val="0"/>
          <w:sz w:val="24"/>
          <w:szCs w:val="24"/>
        </w:rPr>
        <w:t>为</w:t>
      </w:r>
      <w:r>
        <w:rPr>
          <w:rFonts w:hint="eastAsia" w:ascii="宋体" w:hAnsi="宋体" w:eastAsia="宋体" w:cs="宋体"/>
          <w:kern w:val="0"/>
          <w:sz w:val="24"/>
          <w:szCs w:val="24"/>
        </w:rPr>
        <w:t>中</w:t>
      </w:r>
      <w:r>
        <w:rPr>
          <w:rFonts w:hint="eastAsia" w:ascii="宋体" w:hAnsi="宋体" w:eastAsia="宋体" w:cs="宋体"/>
          <w:spacing w:val="-2"/>
          <w:kern w:val="0"/>
          <w:sz w:val="24"/>
          <w:szCs w:val="24"/>
        </w:rPr>
        <w:t>文</w:t>
      </w:r>
      <w:r>
        <w:rPr>
          <w:rFonts w:hint="eastAsia" w:ascii="宋体" w:hAnsi="宋体" w:eastAsia="宋体" w:cs="宋体"/>
          <w:kern w:val="0"/>
          <w:sz w:val="24"/>
          <w:szCs w:val="24"/>
        </w:rPr>
        <w:t>。</w:t>
      </w:r>
      <w:r>
        <w:rPr>
          <w:rFonts w:hint="eastAsia" w:ascii="宋体" w:hAnsi="宋体" w:eastAsia="宋体" w:cs="宋体"/>
          <w:spacing w:val="-2"/>
          <w:kern w:val="0"/>
          <w:sz w:val="24"/>
          <w:szCs w:val="24"/>
        </w:rPr>
        <w:t>专</w:t>
      </w:r>
      <w:r>
        <w:rPr>
          <w:rFonts w:hint="eastAsia" w:ascii="宋体" w:hAnsi="宋体" w:eastAsia="宋体" w:cs="宋体"/>
          <w:kern w:val="0"/>
          <w:sz w:val="24"/>
          <w:szCs w:val="24"/>
        </w:rPr>
        <w:t>用</w:t>
      </w:r>
      <w:r>
        <w:rPr>
          <w:rFonts w:hint="eastAsia" w:ascii="宋体" w:hAnsi="宋体" w:eastAsia="宋体" w:cs="宋体"/>
          <w:spacing w:val="-2"/>
          <w:kern w:val="0"/>
          <w:sz w:val="24"/>
          <w:szCs w:val="24"/>
        </w:rPr>
        <w:t>术</w:t>
      </w:r>
      <w:r>
        <w:rPr>
          <w:rFonts w:hint="eastAsia" w:ascii="宋体" w:hAnsi="宋体" w:eastAsia="宋体" w:cs="宋体"/>
          <w:kern w:val="0"/>
          <w:sz w:val="24"/>
          <w:szCs w:val="24"/>
        </w:rPr>
        <w:t>语</w:t>
      </w:r>
      <w:r>
        <w:rPr>
          <w:rFonts w:hint="eastAsia" w:ascii="宋体" w:hAnsi="宋体" w:eastAsia="宋体" w:cs="宋体"/>
          <w:spacing w:val="-2"/>
          <w:kern w:val="0"/>
          <w:sz w:val="24"/>
          <w:szCs w:val="24"/>
        </w:rPr>
        <w:t>使</w:t>
      </w:r>
      <w:r>
        <w:rPr>
          <w:rFonts w:hint="eastAsia" w:ascii="宋体" w:hAnsi="宋体" w:eastAsia="宋体" w:cs="宋体"/>
          <w:kern w:val="0"/>
          <w:sz w:val="24"/>
          <w:szCs w:val="24"/>
        </w:rPr>
        <w:t>用外</w:t>
      </w:r>
      <w:r>
        <w:rPr>
          <w:rFonts w:hint="eastAsia" w:ascii="宋体" w:hAnsi="宋体" w:eastAsia="宋体" w:cs="宋体"/>
          <w:spacing w:val="-2"/>
          <w:kern w:val="0"/>
          <w:sz w:val="24"/>
          <w:szCs w:val="24"/>
        </w:rPr>
        <w:t>文</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w:t>
      </w:r>
      <w:r>
        <w:rPr>
          <w:rFonts w:hint="eastAsia" w:ascii="宋体" w:hAnsi="宋体" w:eastAsia="宋体" w:cs="宋体"/>
          <w:kern w:val="0"/>
          <w:sz w:val="24"/>
          <w:szCs w:val="24"/>
        </w:rPr>
        <w:t>应</w:t>
      </w:r>
      <w:r>
        <w:rPr>
          <w:rFonts w:hint="eastAsia" w:ascii="宋体" w:hAnsi="宋体" w:eastAsia="宋体" w:cs="宋体"/>
          <w:spacing w:val="-2"/>
          <w:kern w:val="0"/>
          <w:sz w:val="24"/>
          <w:szCs w:val="24"/>
        </w:rPr>
        <w:t>附</w:t>
      </w:r>
      <w:r>
        <w:rPr>
          <w:rFonts w:hint="eastAsia" w:ascii="宋体" w:hAnsi="宋体" w:eastAsia="宋体" w:cs="宋体"/>
          <w:kern w:val="0"/>
          <w:sz w:val="24"/>
          <w:szCs w:val="24"/>
        </w:rPr>
        <w:t>有</w:t>
      </w:r>
      <w:r>
        <w:rPr>
          <w:rFonts w:hint="eastAsia" w:ascii="宋体" w:hAnsi="宋体" w:eastAsia="宋体" w:cs="宋体"/>
          <w:spacing w:val="-2"/>
          <w:kern w:val="0"/>
          <w:sz w:val="24"/>
          <w:szCs w:val="24"/>
        </w:rPr>
        <w:t>中</w:t>
      </w:r>
      <w:r>
        <w:rPr>
          <w:rFonts w:hint="eastAsia" w:ascii="宋体" w:hAnsi="宋体" w:eastAsia="宋体" w:cs="宋体"/>
          <w:kern w:val="0"/>
          <w:sz w:val="24"/>
          <w:szCs w:val="24"/>
        </w:rPr>
        <w:t>文</w:t>
      </w:r>
      <w:r>
        <w:rPr>
          <w:rFonts w:hint="eastAsia" w:ascii="宋体" w:hAnsi="宋体" w:eastAsia="宋体" w:cs="宋体"/>
          <w:spacing w:val="-2"/>
          <w:kern w:val="0"/>
          <w:sz w:val="24"/>
          <w:szCs w:val="24"/>
        </w:rPr>
        <w:t>注</w:t>
      </w:r>
      <w:r>
        <w:rPr>
          <w:rFonts w:hint="eastAsia" w:ascii="宋体" w:hAnsi="宋体" w:eastAsia="宋体" w:cs="宋体"/>
          <w:kern w:val="0"/>
          <w:sz w:val="24"/>
          <w:szCs w:val="24"/>
        </w:rPr>
        <w:t>释</w:t>
      </w:r>
      <w:r>
        <w:rPr>
          <w:rFonts w:hint="eastAsia" w:ascii="宋体" w:hAnsi="宋体" w:eastAsia="宋体" w:cs="宋体"/>
          <w:sz w:val="24"/>
          <w:szCs w:val="24"/>
        </w:rPr>
        <w:t>。</w:t>
      </w:r>
    </w:p>
    <w:p w14:paraId="564756B9">
      <w:pPr>
        <w:pStyle w:val="4"/>
        <w:numPr>
          <w:ilvl w:val="1"/>
          <w:numId w:val="3"/>
        </w:numPr>
        <w:rPr>
          <w:rFonts w:hint="eastAsia" w:ascii="宋体" w:hAnsi="宋体" w:eastAsia="宋体" w:cs="宋体"/>
          <w:sz w:val="24"/>
          <w:szCs w:val="24"/>
        </w:rPr>
      </w:pPr>
      <w:bookmarkStart w:id="159" w:name="_Toc7027"/>
      <w:bookmarkStart w:id="160" w:name="_Toc22605"/>
      <w:bookmarkStart w:id="161" w:name="_Toc20418"/>
      <w:bookmarkStart w:id="162" w:name="_Toc14812"/>
      <w:bookmarkStart w:id="163" w:name="_Toc19104"/>
      <w:bookmarkStart w:id="164" w:name="_Toc14186"/>
      <w:bookmarkStart w:id="165" w:name="_Toc30395"/>
      <w:bookmarkStart w:id="166" w:name="_Toc11853"/>
      <w:bookmarkStart w:id="167" w:name="_Toc30202"/>
      <w:bookmarkStart w:id="168" w:name="_Toc19599"/>
      <w:bookmarkStart w:id="169" w:name="_Toc1695"/>
      <w:bookmarkStart w:id="170" w:name="_Toc13150047"/>
      <w:bookmarkStart w:id="171" w:name="_Toc26140"/>
      <w:bookmarkStart w:id="172" w:name="_Toc15679"/>
      <w:bookmarkStart w:id="173" w:name="_Toc21374"/>
      <w:r>
        <w:rPr>
          <w:rFonts w:hint="eastAsia" w:ascii="宋体" w:hAnsi="宋体" w:eastAsia="宋体" w:cs="宋体"/>
          <w:sz w:val="24"/>
          <w:szCs w:val="24"/>
        </w:rPr>
        <w:t>投标文件计量单位</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DAB31BE">
      <w:pPr>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除在招标文件的技术文件中另有规定外，计量单位均使用中华人民共和国法定计量标准单位。</w:t>
      </w:r>
    </w:p>
    <w:p w14:paraId="261EE87F">
      <w:pPr>
        <w:pStyle w:val="4"/>
        <w:numPr>
          <w:ilvl w:val="1"/>
          <w:numId w:val="3"/>
        </w:numPr>
        <w:rPr>
          <w:rFonts w:hint="eastAsia" w:ascii="宋体" w:hAnsi="宋体" w:eastAsia="宋体" w:cs="宋体"/>
          <w:sz w:val="24"/>
          <w:szCs w:val="24"/>
        </w:rPr>
      </w:pPr>
      <w:bookmarkStart w:id="174" w:name="_Toc16349"/>
      <w:bookmarkStart w:id="175" w:name="_Toc19923"/>
      <w:bookmarkStart w:id="176" w:name="_Toc4322"/>
      <w:bookmarkStart w:id="177" w:name="_Toc13150048"/>
      <w:bookmarkStart w:id="178" w:name="_Toc31590"/>
      <w:bookmarkStart w:id="179" w:name="_Toc23880"/>
      <w:bookmarkStart w:id="180" w:name="_Toc4326"/>
      <w:bookmarkStart w:id="181" w:name="_Toc15754"/>
      <w:bookmarkStart w:id="182" w:name="_Toc10538"/>
      <w:bookmarkStart w:id="183" w:name="_Toc12071"/>
      <w:bookmarkStart w:id="184" w:name="_Toc22110"/>
      <w:bookmarkStart w:id="185" w:name="_Toc23957"/>
      <w:bookmarkStart w:id="186" w:name="_Toc20160"/>
      <w:bookmarkStart w:id="187" w:name="_Toc16602"/>
      <w:bookmarkStart w:id="188" w:name="_Toc20117"/>
      <w:r>
        <w:rPr>
          <w:rFonts w:hint="eastAsia" w:ascii="宋体" w:hAnsi="宋体" w:eastAsia="宋体" w:cs="宋体"/>
          <w:sz w:val="24"/>
          <w:szCs w:val="24"/>
        </w:rPr>
        <w:t>投标货币</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0046CBA9">
      <w:pPr>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除非另有规定，</w:t>
      </w:r>
      <w:r>
        <w:rPr>
          <w:rFonts w:hint="eastAsia" w:ascii="宋体" w:hAnsi="宋体" w:cs="宋体"/>
          <w:sz w:val="24"/>
          <w:szCs w:val="24"/>
          <w:lang w:eastAsia="zh-CN"/>
        </w:rPr>
        <w:t>供应商</w:t>
      </w:r>
      <w:r>
        <w:rPr>
          <w:rFonts w:hint="eastAsia" w:ascii="宋体" w:hAnsi="宋体" w:eastAsia="宋体" w:cs="宋体"/>
          <w:sz w:val="24"/>
          <w:szCs w:val="24"/>
        </w:rPr>
        <w:t>提供的所有服务用人民币报价。</w:t>
      </w:r>
    </w:p>
    <w:p w14:paraId="3D24AEFB">
      <w:pPr>
        <w:pStyle w:val="4"/>
        <w:numPr>
          <w:ilvl w:val="1"/>
          <w:numId w:val="3"/>
        </w:numPr>
        <w:rPr>
          <w:rFonts w:hint="eastAsia" w:ascii="宋体" w:hAnsi="宋体" w:eastAsia="宋体" w:cs="宋体"/>
          <w:sz w:val="24"/>
          <w:szCs w:val="24"/>
        </w:rPr>
      </w:pPr>
      <w:bookmarkStart w:id="189" w:name="_Toc7123"/>
      <w:bookmarkStart w:id="190" w:name="_Toc28184"/>
      <w:bookmarkStart w:id="191" w:name="_Toc31058"/>
      <w:bookmarkStart w:id="192" w:name="_Toc12030"/>
      <w:bookmarkStart w:id="193" w:name="_Toc10284"/>
      <w:bookmarkStart w:id="194" w:name="_Toc4030"/>
      <w:bookmarkStart w:id="195" w:name="_Toc26021"/>
      <w:bookmarkStart w:id="196" w:name="_Toc4873"/>
      <w:bookmarkStart w:id="197" w:name="_Toc16853"/>
      <w:bookmarkStart w:id="198" w:name="_Toc22325"/>
      <w:bookmarkStart w:id="199" w:name="_Toc141"/>
      <w:bookmarkStart w:id="200" w:name="_Toc13150049"/>
      <w:bookmarkStart w:id="201" w:name="_Toc24561"/>
      <w:bookmarkStart w:id="202" w:name="_Toc20536"/>
      <w:bookmarkStart w:id="203" w:name="_Toc30804"/>
      <w:bookmarkStart w:id="204" w:name="_Toc12048"/>
      <w:bookmarkStart w:id="205" w:name="_Toc19335"/>
      <w:r>
        <w:rPr>
          <w:rFonts w:hint="eastAsia" w:ascii="宋体" w:hAnsi="宋体" w:eastAsia="宋体" w:cs="宋体"/>
          <w:sz w:val="24"/>
          <w:szCs w:val="24"/>
        </w:rPr>
        <w:t>保密</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06DD8D9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参与招标投标活动的各方应对招标文件和投标文件中的商业和技术等秘密保密，否则应承担相应的法律责任。</w:t>
      </w:r>
    </w:p>
    <w:p w14:paraId="56983F31">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bookmarkStart w:id="206" w:name="_Toc22953398"/>
      <w:bookmarkEnd w:id="206"/>
      <w:bookmarkStart w:id="207" w:name="_Toc27306_WPSOffice_Level2"/>
      <w:r>
        <w:rPr>
          <w:rFonts w:hint="eastAsia" w:ascii="宋体" w:hAnsi="宋体" w:eastAsia="宋体" w:cs="宋体"/>
          <w:sz w:val="24"/>
          <w:szCs w:val="24"/>
        </w:rPr>
        <w:t>招标文件</w:t>
      </w:r>
      <w:bookmarkEnd w:id="207"/>
    </w:p>
    <w:p w14:paraId="7791F7B0">
      <w:pPr>
        <w:pStyle w:val="4"/>
        <w:numPr>
          <w:ilvl w:val="1"/>
          <w:numId w:val="2"/>
        </w:numPr>
        <w:rPr>
          <w:rFonts w:hint="eastAsia" w:ascii="宋体" w:hAnsi="宋体" w:eastAsia="宋体" w:cs="宋体"/>
          <w:sz w:val="24"/>
          <w:szCs w:val="24"/>
        </w:rPr>
      </w:pPr>
      <w:bookmarkStart w:id="208" w:name="_Toc20718"/>
      <w:bookmarkStart w:id="209" w:name="_Toc27662"/>
      <w:bookmarkStart w:id="210" w:name="_Toc22611"/>
      <w:bookmarkStart w:id="211" w:name="_Toc23916"/>
      <w:bookmarkStart w:id="212" w:name="_Toc16865"/>
      <w:bookmarkStart w:id="213" w:name="_Toc19082"/>
      <w:bookmarkStart w:id="214" w:name="_Toc13150051"/>
      <w:bookmarkStart w:id="215" w:name="_Toc12094"/>
      <w:bookmarkStart w:id="216" w:name="_Toc8809"/>
      <w:bookmarkStart w:id="217" w:name="_Toc20374"/>
      <w:bookmarkStart w:id="218" w:name="_Toc22684"/>
      <w:bookmarkStart w:id="219" w:name="_Toc341"/>
      <w:bookmarkStart w:id="220" w:name="_Toc17016"/>
      <w:bookmarkStart w:id="221" w:name="_Toc16888"/>
      <w:bookmarkStart w:id="222" w:name="_Toc13820"/>
      <w:r>
        <w:rPr>
          <w:rFonts w:hint="eastAsia" w:ascii="宋体" w:hAnsi="宋体" w:eastAsia="宋体" w:cs="宋体"/>
          <w:sz w:val="24"/>
          <w:szCs w:val="24"/>
        </w:rPr>
        <w:t>招标文件的构成</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4E96C7ED">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招标文件用以阐明本次招标的服务要求、招标投标程序和合同条件。</w:t>
      </w:r>
    </w:p>
    <w:p w14:paraId="48B40ABC">
      <w:pPr>
        <w:pStyle w:val="19"/>
        <w:tabs>
          <w:tab w:val="left" w:pos="720"/>
          <w:tab w:val="left" w:pos="1080"/>
        </w:tabs>
        <w:spacing w:line="360" w:lineRule="auto"/>
        <w:ind w:left="720" w:firstLine="0"/>
        <w:rPr>
          <w:rFonts w:hint="eastAsia" w:ascii="宋体" w:hAnsi="宋体" w:eastAsia="宋体" w:cs="宋体"/>
          <w:sz w:val="24"/>
          <w:szCs w:val="24"/>
        </w:rPr>
      </w:pPr>
      <w:r>
        <w:rPr>
          <w:rFonts w:hint="eastAsia" w:ascii="宋体" w:hAnsi="宋体" w:eastAsia="宋体" w:cs="宋体"/>
          <w:sz w:val="24"/>
          <w:szCs w:val="24"/>
        </w:rPr>
        <w:t xml:space="preserve">招标文件由下述部分组成： </w:t>
      </w:r>
    </w:p>
    <w:p w14:paraId="087FD6B7">
      <w:pPr>
        <w:pStyle w:val="14"/>
        <w:numPr>
          <w:ilvl w:val="0"/>
          <w:numId w:val="6"/>
        </w:numPr>
        <w:tabs>
          <w:tab w:val="left" w:pos="1080"/>
        </w:tabs>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招标公告</w:t>
      </w:r>
    </w:p>
    <w:p w14:paraId="67DC6FFF">
      <w:pPr>
        <w:pStyle w:val="14"/>
        <w:numPr>
          <w:ilvl w:val="0"/>
          <w:numId w:val="6"/>
        </w:numPr>
        <w:tabs>
          <w:tab w:val="left" w:pos="1080"/>
        </w:tabs>
        <w:spacing w:line="360" w:lineRule="auto"/>
        <w:rPr>
          <w:rFonts w:hint="eastAsia" w:ascii="宋体" w:hAnsi="宋体" w:eastAsia="宋体" w:cs="宋体"/>
          <w:color w:val="000000"/>
          <w:sz w:val="24"/>
          <w:szCs w:val="24"/>
        </w:rPr>
      </w:pPr>
      <w:r>
        <w:rPr>
          <w:rFonts w:hint="eastAsia" w:ascii="宋体" w:hAnsi="宋体" w:cs="宋体"/>
          <w:color w:val="000000"/>
          <w:sz w:val="24"/>
          <w:szCs w:val="24"/>
          <w:lang w:eastAsia="zh-CN"/>
        </w:rPr>
        <w:t>供应商</w:t>
      </w:r>
      <w:r>
        <w:rPr>
          <w:rFonts w:hint="eastAsia" w:ascii="宋体" w:hAnsi="宋体" w:eastAsia="宋体" w:cs="宋体"/>
          <w:color w:val="000000"/>
          <w:sz w:val="24"/>
          <w:szCs w:val="24"/>
        </w:rPr>
        <w:t>须知</w:t>
      </w:r>
    </w:p>
    <w:p w14:paraId="5B3345D8">
      <w:pPr>
        <w:pStyle w:val="14"/>
        <w:numPr>
          <w:ilvl w:val="0"/>
          <w:numId w:val="6"/>
        </w:numPr>
        <w:tabs>
          <w:tab w:val="left" w:pos="1080"/>
        </w:tabs>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货物清单及参数要求</w:t>
      </w:r>
    </w:p>
    <w:p w14:paraId="03BB411D">
      <w:pPr>
        <w:pStyle w:val="14"/>
        <w:numPr>
          <w:ilvl w:val="0"/>
          <w:numId w:val="6"/>
        </w:numPr>
        <w:tabs>
          <w:tab w:val="left" w:pos="1080"/>
        </w:tabs>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评标办法（综合评分法）</w:t>
      </w:r>
    </w:p>
    <w:p w14:paraId="2105A36E">
      <w:pPr>
        <w:pStyle w:val="14"/>
        <w:numPr>
          <w:ilvl w:val="0"/>
          <w:numId w:val="6"/>
        </w:numPr>
        <w:tabs>
          <w:tab w:val="left" w:pos="1080"/>
        </w:tabs>
        <w:spacing w:line="360" w:lineRule="auto"/>
        <w:rPr>
          <w:rFonts w:hint="eastAsia" w:ascii="宋体" w:hAnsi="宋体" w:eastAsia="宋体" w:cs="宋体"/>
          <w:sz w:val="24"/>
          <w:szCs w:val="24"/>
        </w:rPr>
      </w:pPr>
      <w:r>
        <w:rPr>
          <w:rFonts w:hint="eastAsia" w:ascii="宋体" w:hAnsi="宋体" w:eastAsia="宋体" w:cs="宋体"/>
          <w:color w:val="000000"/>
          <w:sz w:val="24"/>
          <w:szCs w:val="24"/>
        </w:rPr>
        <w:t xml:space="preserve">合同条款及格式（仅供参考）   </w:t>
      </w:r>
    </w:p>
    <w:p w14:paraId="4FC13255">
      <w:pPr>
        <w:pStyle w:val="14"/>
        <w:numPr>
          <w:ilvl w:val="0"/>
          <w:numId w:val="6"/>
        </w:numPr>
        <w:tabs>
          <w:tab w:val="left" w:pos="1080"/>
        </w:tabs>
        <w:spacing w:line="360" w:lineRule="auto"/>
        <w:rPr>
          <w:rFonts w:hint="eastAsia" w:ascii="宋体" w:hAnsi="宋体" w:eastAsia="宋体" w:cs="宋体"/>
          <w:sz w:val="24"/>
          <w:szCs w:val="24"/>
        </w:rPr>
      </w:pPr>
      <w:r>
        <w:rPr>
          <w:rFonts w:hint="eastAsia" w:ascii="宋体" w:hAnsi="宋体" w:eastAsia="宋体" w:cs="宋体"/>
          <w:color w:val="000000"/>
          <w:sz w:val="24"/>
          <w:szCs w:val="24"/>
        </w:rPr>
        <w:t xml:space="preserve">投标文件通用格式    </w:t>
      </w:r>
    </w:p>
    <w:p w14:paraId="26A443DC">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应仔细阅读招标文件中</w:t>
      </w:r>
      <w:r>
        <w:rPr>
          <w:rFonts w:hint="eastAsia" w:ascii="宋体" w:hAnsi="宋体" w:cs="宋体"/>
          <w:sz w:val="24"/>
          <w:szCs w:val="24"/>
          <w:lang w:eastAsia="zh-CN"/>
        </w:rPr>
        <w:t>供应商</w:t>
      </w:r>
      <w:r>
        <w:rPr>
          <w:rFonts w:hint="eastAsia" w:ascii="宋体" w:hAnsi="宋体" w:eastAsia="宋体" w:cs="宋体"/>
          <w:sz w:val="24"/>
          <w:szCs w:val="24"/>
        </w:rPr>
        <w:t>须知、合同条款的所有事项、格式要求和服务需求，按招标文件的要求提供投标文件，并保证所提供的全部资料的真实性，以使其投标对招标文件做出实质性响应，否则，将承担其投标被拒绝或认定为投标无效的风险。</w:t>
      </w:r>
    </w:p>
    <w:p w14:paraId="40AED817">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制作投标文件时应充分完整理解招标文件的整体要求。</w:t>
      </w:r>
    </w:p>
    <w:p w14:paraId="7B19D12D">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根据本章第2.2款和第2.3款对招标文件所做的澄清和修改，构成招标文件的组成部分。</w:t>
      </w:r>
    </w:p>
    <w:p w14:paraId="2C04AC69">
      <w:pPr>
        <w:pStyle w:val="4"/>
        <w:numPr>
          <w:ilvl w:val="1"/>
          <w:numId w:val="2"/>
        </w:numPr>
        <w:rPr>
          <w:rFonts w:hint="eastAsia" w:ascii="宋体" w:hAnsi="宋体" w:eastAsia="宋体" w:cs="宋体"/>
          <w:sz w:val="24"/>
          <w:szCs w:val="24"/>
        </w:rPr>
      </w:pPr>
      <w:bookmarkStart w:id="223" w:name="_Toc13150052"/>
      <w:bookmarkStart w:id="224" w:name="_Toc9503"/>
      <w:bookmarkStart w:id="225" w:name="_Toc29748"/>
      <w:bookmarkStart w:id="226" w:name="_Toc30758"/>
      <w:bookmarkStart w:id="227" w:name="_Toc7860"/>
      <w:bookmarkStart w:id="228" w:name="_Toc9788"/>
      <w:bookmarkStart w:id="229" w:name="_Toc29432"/>
      <w:bookmarkStart w:id="230" w:name="_Toc74"/>
      <w:bookmarkStart w:id="231" w:name="_Toc10510"/>
      <w:bookmarkStart w:id="232" w:name="_Toc18000"/>
      <w:bookmarkStart w:id="233" w:name="_Toc31045"/>
      <w:bookmarkStart w:id="234" w:name="_Toc14335"/>
      <w:bookmarkStart w:id="235" w:name="_Toc8440"/>
      <w:bookmarkStart w:id="236" w:name="_Toc31666"/>
      <w:bookmarkStart w:id="237" w:name="_Toc13997"/>
      <w:r>
        <w:rPr>
          <w:rFonts w:hint="eastAsia" w:ascii="宋体" w:hAnsi="宋体" w:eastAsia="宋体" w:cs="宋体"/>
          <w:sz w:val="24"/>
          <w:szCs w:val="24"/>
        </w:rPr>
        <w:t>招标文件的澄清</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42D02DC6">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应仔细阅读和检查招标文件的全部内容。如发现缺页或附件不全，应及时向采购人提出，以便补齐。如有疑问，应按</w:t>
      </w:r>
      <w:r>
        <w:rPr>
          <w:rFonts w:hint="eastAsia" w:ascii="宋体" w:hAnsi="宋体" w:cs="宋体"/>
          <w:sz w:val="24"/>
          <w:szCs w:val="24"/>
          <w:lang w:eastAsia="zh-CN"/>
        </w:rPr>
        <w:t>供应商</w:t>
      </w:r>
      <w:r>
        <w:rPr>
          <w:rFonts w:hint="eastAsia" w:ascii="宋体" w:hAnsi="宋体" w:eastAsia="宋体" w:cs="宋体"/>
          <w:sz w:val="24"/>
          <w:szCs w:val="24"/>
        </w:rPr>
        <w:t>须知前附表规定的时间和形式将提出的问题送达采购人，要求采购人对招标文件予以澄清。</w:t>
      </w:r>
    </w:p>
    <w:p w14:paraId="5BBF4D9E">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招标文件的澄清以</w:t>
      </w:r>
      <w:r>
        <w:rPr>
          <w:rFonts w:hint="eastAsia" w:ascii="宋体" w:hAnsi="宋体" w:cs="宋体"/>
          <w:sz w:val="24"/>
          <w:szCs w:val="24"/>
          <w:lang w:eastAsia="zh-CN"/>
        </w:rPr>
        <w:t>供应商</w:t>
      </w:r>
      <w:r>
        <w:rPr>
          <w:rFonts w:hint="eastAsia" w:ascii="宋体" w:hAnsi="宋体" w:eastAsia="宋体" w:cs="宋体"/>
          <w:sz w:val="24"/>
          <w:szCs w:val="24"/>
        </w:rPr>
        <w:t>须知前附表规定的形式在原公告媒体发布澄清公告，但不指明澄清问题的来源。澄清发出的时间距本章第4.2.1项规定的投标截止时间不足15日的，并且澄清内容可能影响投标文件编制的，将相应延长投标截止时间。</w:t>
      </w:r>
    </w:p>
    <w:p w14:paraId="2DF694AF">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在收到澄清后，应按</w:t>
      </w:r>
      <w:r>
        <w:rPr>
          <w:rFonts w:hint="eastAsia" w:ascii="宋体" w:hAnsi="宋体" w:cs="宋体"/>
          <w:sz w:val="24"/>
          <w:szCs w:val="24"/>
          <w:lang w:eastAsia="zh-CN"/>
        </w:rPr>
        <w:t>供应商</w:t>
      </w:r>
      <w:r>
        <w:rPr>
          <w:rFonts w:hint="eastAsia" w:ascii="宋体" w:hAnsi="宋体" w:eastAsia="宋体" w:cs="宋体"/>
          <w:sz w:val="24"/>
          <w:szCs w:val="24"/>
        </w:rPr>
        <w:t>须知前附表规定的时间和形式确认已收到该澄清。</w:t>
      </w:r>
    </w:p>
    <w:p w14:paraId="37E32A87">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除非采购人认为确有必要答复，否则，采购人有权拒绝回复</w:t>
      </w:r>
      <w:r>
        <w:rPr>
          <w:rFonts w:hint="eastAsia" w:ascii="宋体" w:hAnsi="宋体" w:cs="宋体"/>
          <w:sz w:val="24"/>
          <w:szCs w:val="24"/>
          <w:lang w:eastAsia="zh-CN"/>
        </w:rPr>
        <w:t>供应商</w:t>
      </w:r>
      <w:r>
        <w:rPr>
          <w:rFonts w:hint="eastAsia" w:ascii="宋体" w:hAnsi="宋体" w:eastAsia="宋体" w:cs="宋体"/>
          <w:sz w:val="24"/>
          <w:szCs w:val="24"/>
        </w:rPr>
        <w:t>在本章第2.2.1项规定的时间后的任何澄清要求。在规定的时间内未提出疑问的，将被视为对招标文件完全认可。</w:t>
      </w:r>
    </w:p>
    <w:p w14:paraId="303BC7D9">
      <w:pPr>
        <w:pStyle w:val="4"/>
        <w:numPr>
          <w:ilvl w:val="1"/>
          <w:numId w:val="2"/>
        </w:numPr>
        <w:rPr>
          <w:rFonts w:hint="eastAsia" w:ascii="宋体" w:hAnsi="宋体" w:eastAsia="宋体" w:cs="宋体"/>
          <w:sz w:val="24"/>
          <w:szCs w:val="24"/>
        </w:rPr>
      </w:pPr>
      <w:bookmarkStart w:id="238" w:name="_Toc15286"/>
      <w:bookmarkStart w:id="239" w:name="_Toc16407"/>
      <w:bookmarkStart w:id="240" w:name="_Toc17409"/>
      <w:bookmarkStart w:id="241" w:name="_Toc32016"/>
      <w:bookmarkStart w:id="242" w:name="_Toc24"/>
      <w:bookmarkStart w:id="243" w:name="_Toc30638"/>
      <w:bookmarkStart w:id="244" w:name="_Toc28275"/>
      <w:bookmarkStart w:id="245" w:name="_Toc13150053"/>
      <w:bookmarkStart w:id="246" w:name="_Toc18772"/>
      <w:bookmarkStart w:id="247" w:name="_Toc5825"/>
      <w:bookmarkStart w:id="248" w:name="_Toc21811"/>
      <w:bookmarkStart w:id="249" w:name="_Toc334"/>
      <w:bookmarkStart w:id="250" w:name="_Toc23306"/>
      <w:bookmarkStart w:id="251" w:name="_Toc12256"/>
      <w:bookmarkStart w:id="252" w:name="_Toc6493"/>
      <w:r>
        <w:rPr>
          <w:rFonts w:hint="eastAsia" w:ascii="宋体" w:hAnsi="宋体" w:eastAsia="宋体" w:cs="宋体"/>
          <w:sz w:val="24"/>
          <w:szCs w:val="24"/>
        </w:rPr>
        <w:t>招标文件的修改</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470A310F">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采购人或者采购代理机构可以对已发出的招标文件进行必要的修改，但不得改变采购标的和资格条件，修改的内容为招标文件的组成部分。</w:t>
      </w:r>
    </w:p>
    <w:p w14:paraId="62742F3E">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采购人或采购代理机构以</w:t>
      </w:r>
      <w:r>
        <w:rPr>
          <w:rFonts w:hint="eastAsia" w:ascii="宋体" w:hAnsi="宋体" w:cs="宋体"/>
          <w:sz w:val="24"/>
          <w:szCs w:val="24"/>
          <w:lang w:eastAsia="zh-CN"/>
        </w:rPr>
        <w:t>供应商</w:t>
      </w:r>
      <w:r>
        <w:rPr>
          <w:rFonts w:hint="eastAsia" w:ascii="宋体" w:hAnsi="宋体" w:eastAsia="宋体" w:cs="宋体"/>
          <w:sz w:val="24"/>
          <w:szCs w:val="24"/>
        </w:rPr>
        <w:t>须知前附表规定的形式修改招标文件，同时在原公告媒体发布变更公告。修改招标文件的时间距本章第4.2.1项规定的投标截止时间不足15日的，并且修改内容可能影响投标文件编制的，将相应延长投标截止时间。</w:t>
      </w:r>
    </w:p>
    <w:p w14:paraId="6AF415A3">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收到修改内容后，应按</w:t>
      </w:r>
      <w:r>
        <w:rPr>
          <w:rFonts w:hint="eastAsia" w:ascii="宋体" w:hAnsi="宋体" w:cs="宋体"/>
          <w:sz w:val="24"/>
          <w:szCs w:val="24"/>
          <w:lang w:eastAsia="zh-CN"/>
        </w:rPr>
        <w:t>供应商</w:t>
      </w:r>
      <w:r>
        <w:rPr>
          <w:rFonts w:hint="eastAsia" w:ascii="宋体" w:hAnsi="宋体" w:eastAsia="宋体" w:cs="宋体"/>
          <w:sz w:val="24"/>
          <w:szCs w:val="24"/>
        </w:rPr>
        <w:t>须知前附表规定的时间和形式通知采购人，确认已收到该修改。</w:t>
      </w:r>
    </w:p>
    <w:p w14:paraId="7E3B0685">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bookmarkStart w:id="253" w:name="_Toc16300_WPSOffice_Level2"/>
      <w:r>
        <w:rPr>
          <w:rFonts w:hint="eastAsia" w:ascii="宋体" w:hAnsi="宋体" w:eastAsia="宋体" w:cs="宋体"/>
          <w:sz w:val="24"/>
          <w:szCs w:val="24"/>
        </w:rPr>
        <w:t>投标文件</w:t>
      </w:r>
      <w:bookmarkEnd w:id="253"/>
    </w:p>
    <w:p w14:paraId="72D1F3F1">
      <w:pPr>
        <w:pStyle w:val="4"/>
        <w:numPr>
          <w:ilvl w:val="1"/>
          <w:numId w:val="2"/>
        </w:numPr>
        <w:rPr>
          <w:rFonts w:hint="eastAsia" w:ascii="宋体" w:hAnsi="宋体" w:eastAsia="宋体" w:cs="宋体"/>
          <w:sz w:val="24"/>
          <w:szCs w:val="24"/>
        </w:rPr>
      </w:pPr>
      <w:bookmarkStart w:id="254" w:name="_Toc11643"/>
      <w:bookmarkStart w:id="255" w:name="_Toc16815"/>
      <w:bookmarkStart w:id="256" w:name="_Toc27918"/>
      <w:bookmarkStart w:id="257" w:name="_Toc29146"/>
      <w:bookmarkStart w:id="258" w:name="_Toc3534"/>
      <w:bookmarkStart w:id="259" w:name="_Toc10184"/>
      <w:bookmarkStart w:id="260" w:name="_Toc13150055"/>
      <w:bookmarkStart w:id="261" w:name="_Toc20318"/>
      <w:bookmarkStart w:id="262" w:name="_Toc11933"/>
      <w:bookmarkStart w:id="263" w:name="_Toc28702"/>
      <w:bookmarkStart w:id="264" w:name="_Toc32308"/>
      <w:bookmarkStart w:id="265" w:name="_Toc21684"/>
      <w:bookmarkStart w:id="266" w:name="_Toc29160"/>
      <w:bookmarkStart w:id="267" w:name="_Toc18886"/>
      <w:bookmarkStart w:id="268" w:name="_Toc26694"/>
      <w:r>
        <w:rPr>
          <w:rFonts w:hint="eastAsia" w:ascii="宋体" w:hAnsi="宋体" w:eastAsia="宋体" w:cs="宋体"/>
          <w:sz w:val="24"/>
          <w:szCs w:val="24"/>
        </w:rPr>
        <w:t>投标文件的组成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65FAB567">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投标文件包括下列部分：</w:t>
      </w:r>
    </w:p>
    <w:p w14:paraId="5A86FF55">
      <w:pPr>
        <w:tabs>
          <w:tab w:val="left" w:pos="510"/>
          <w:tab w:val="left" w:pos="686"/>
        </w:tabs>
        <w:spacing w:line="360" w:lineRule="auto"/>
        <w:ind w:left="420" w:leftChars="200"/>
        <w:rPr>
          <w:rFonts w:hint="eastAsia" w:ascii="宋体" w:hAnsi="宋体" w:eastAsia="宋体" w:cs="宋体"/>
          <w:sz w:val="24"/>
          <w:szCs w:val="24"/>
        </w:rPr>
      </w:pPr>
      <w:r>
        <w:rPr>
          <w:rFonts w:hint="eastAsia" w:ascii="宋体" w:hAnsi="宋体" w:eastAsia="宋体" w:cs="宋体"/>
          <w:sz w:val="24"/>
          <w:szCs w:val="24"/>
        </w:rPr>
        <w:t>投标文件组成：</w:t>
      </w:r>
    </w:p>
    <w:p w14:paraId="7EAB04A5">
      <w:pPr>
        <w:spacing w:line="360" w:lineRule="auto"/>
        <w:ind w:left="420" w:leftChars="200"/>
        <w:rPr>
          <w:rFonts w:hint="eastAsia" w:ascii="宋体" w:hAnsi="宋体" w:eastAsia="宋体" w:cs="宋体"/>
          <w:color w:val="000000"/>
          <w:sz w:val="24"/>
          <w:szCs w:val="24"/>
          <w:lang w:val="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"_Toc28140" </w:instrText>
      </w:r>
      <w:r>
        <w:rPr>
          <w:rFonts w:hint="eastAsia" w:ascii="宋体" w:hAnsi="宋体" w:eastAsia="宋体" w:cs="宋体"/>
          <w:sz w:val="24"/>
          <w:szCs w:val="24"/>
        </w:rPr>
        <w:fldChar w:fldCharType="separate"/>
      </w:r>
      <w:r>
        <w:rPr>
          <w:rFonts w:hint="eastAsia" w:ascii="宋体" w:hAnsi="宋体" w:eastAsia="宋体" w:cs="宋体"/>
          <w:color w:val="000000"/>
          <w:sz w:val="24"/>
          <w:szCs w:val="24"/>
          <w:lang w:val="zh-CN"/>
        </w:rPr>
        <w:t>一、</w:t>
      </w:r>
      <w:r>
        <w:rPr>
          <w:rFonts w:hint="eastAsia" w:ascii="宋体" w:hAnsi="宋体" w:eastAsia="宋体" w:cs="宋体"/>
          <w:color w:val="000000"/>
          <w:sz w:val="24"/>
          <w:szCs w:val="24"/>
        </w:rPr>
        <w:t>投标</w:t>
      </w:r>
      <w:r>
        <w:rPr>
          <w:rFonts w:hint="eastAsia" w:ascii="宋体" w:hAnsi="宋体" w:eastAsia="宋体" w:cs="宋体"/>
          <w:color w:val="000000"/>
          <w:sz w:val="24"/>
          <w:szCs w:val="24"/>
          <w:lang w:val="zh-CN"/>
        </w:rPr>
        <w:t>函及</w:t>
      </w:r>
      <w:r>
        <w:rPr>
          <w:rFonts w:hint="eastAsia" w:ascii="宋体" w:hAnsi="宋体" w:eastAsia="宋体" w:cs="宋体"/>
          <w:color w:val="000000"/>
          <w:sz w:val="24"/>
          <w:szCs w:val="24"/>
        </w:rPr>
        <w:t>投标</w:t>
      </w:r>
      <w:r>
        <w:rPr>
          <w:rFonts w:hint="eastAsia" w:ascii="宋体" w:hAnsi="宋体" w:eastAsia="宋体" w:cs="宋体"/>
          <w:color w:val="000000"/>
          <w:sz w:val="24"/>
          <w:szCs w:val="24"/>
          <w:lang w:val="zh-CN"/>
        </w:rPr>
        <w:t>函附录</w:t>
      </w:r>
      <w:r>
        <w:rPr>
          <w:rFonts w:hint="eastAsia" w:ascii="宋体" w:hAnsi="宋体" w:eastAsia="宋体" w:cs="宋体"/>
          <w:color w:val="000000"/>
          <w:sz w:val="24"/>
          <w:szCs w:val="24"/>
          <w:lang w:val="zh-CN"/>
        </w:rPr>
        <w:tab/>
      </w:r>
      <w:r>
        <w:rPr>
          <w:rFonts w:hint="eastAsia" w:ascii="宋体" w:hAnsi="宋体" w:eastAsia="宋体" w:cs="宋体"/>
          <w:color w:val="000000"/>
          <w:sz w:val="24"/>
          <w:szCs w:val="24"/>
          <w:lang w:val="zh-CN"/>
        </w:rPr>
        <w:fldChar w:fldCharType="end"/>
      </w:r>
    </w:p>
    <w:p w14:paraId="354078B6">
      <w:pPr>
        <w:spacing w:line="360" w:lineRule="auto"/>
        <w:ind w:left="420" w:leftChars="200"/>
        <w:rPr>
          <w:rFonts w:hint="eastAsia" w:ascii="宋体" w:hAnsi="宋体" w:eastAsia="宋体" w:cs="宋体"/>
          <w:color w:val="000000"/>
          <w:sz w:val="24"/>
          <w:szCs w:val="24"/>
          <w:lang w:val="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"_Toc406" </w:instrText>
      </w:r>
      <w:r>
        <w:rPr>
          <w:rFonts w:hint="eastAsia" w:ascii="宋体" w:hAnsi="宋体" w:eastAsia="宋体" w:cs="宋体"/>
          <w:sz w:val="24"/>
          <w:szCs w:val="24"/>
        </w:rPr>
        <w:fldChar w:fldCharType="separate"/>
      </w:r>
      <w:r>
        <w:rPr>
          <w:rFonts w:hint="eastAsia" w:ascii="宋体" w:hAnsi="宋体" w:eastAsia="宋体" w:cs="宋体"/>
          <w:color w:val="000000"/>
          <w:sz w:val="24"/>
          <w:szCs w:val="24"/>
          <w:lang w:val="zh-CN"/>
        </w:rPr>
        <w:t>二、法定代表人身份证明或法定代表人授权委托书</w:t>
      </w:r>
      <w:r>
        <w:rPr>
          <w:rFonts w:hint="eastAsia" w:ascii="宋体" w:hAnsi="宋体" w:eastAsia="宋体" w:cs="宋体"/>
          <w:color w:val="000000"/>
          <w:sz w:val="24"/>
          <w:szCs w:val="24"/>
          <w:lang w:val="zh-CN"/>
        </w:rPr>
        <w:tab/>
      </w:r>
      <w:r>
        <w:rPr>
          <w:rFonts w:hint="eastAsia" w:ascii="宋体" w:hAnsi="宋体" w:eastAsia="宋体" w:cs="宋体"/>
          <w:color w:val="000000"/>
          <w:sz w:val="24"/>
          <w:szCs w:val="24"/>
          <w:lang w:val="zh-CN"/>
        </w:rPr>
        <w:fldChar w:fldCharType="end"/>
      </w:r>
    </w:p>
    <w:p w14:paraId="36FB943E">
      <w:pPr>
        <w:spacing w:line="360" w:lineRule="auto"/>
        <w:ind w:left="420" w:leftChars="200"/>
        <w:rPr>
          <w:rFonts w:hint="eastAsia" w:ascii="宋体" w:hAnsi="宋体" w:eastAsia="宋体" w:cs="宋体"/>
          <w:color w:val="000000"/>
          <w:sz w:val="24"/>
          <w:szCs w:val="24"/>
          <w:lang w:val="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"_Toc28072" </w:instrText>
      </w:r>
      <w:r>
        <w:rPr>
          <w:rFonts w:hint="eastAsia" w:ascii="宋体" w:hAnsi="宋体" w:eastAsia="宋体" w:cs="宋体"/>
          <w:sz w:val="24"/>
          <w:szCs w:val="24"/>
        </w:rPr>
        <w:fldChar w:fldCharType="separate"/>
      </w:r>
      <w:r>
        <w:rPr>
          <w:rFonts w:hint="eastAsia" w:ascii="宋体" w:hAnsi="宋体" w:eastAsia="宋体" w:cs="宋体"/>
          <w:color w:val="000000"/>
          <w:sz w:val="24"/>
          <w:szCs w:val="24"/>
        </w:rPr>
        <w:t>三、</w:t>
      </w:r>
      <w:r>
        <w:rPr>
          <w:rFonts w:hint="eastAsia" w:ascii="宋体" w:hAnsi="宋体" w:eastAsia="宋体" w:cs="宋体"/>
          <w:color w:val="000000"/>
          <w:sz w:val="24"/>
          <w:szCs w:val="24"/>
          <w:lang w:val="zh-CN"/>
        </w:rPr>
        <w:t>投标设备分项报价表（格式）</w:t>
      </w:r>
      <w:r>
        <w:rPr>
          <w:rFonts w:hint="eastAsia" w:ascii="宋体" w:hAnsi="宋体" w:eastAsia="宋体" w:cs="宋体"/>
          <w:color w:val="000000"/>
          <w:sz w:val="24"/>
          <w:szCs w:val="24"/>
          <w:lang w:val="zh-CN"/>
        </w:rPr>
        <w:tab/>
      </w:r>
      <w:r>
        <w:rPr>
          <w:rFonts w:hint="eastAsia" w:ascii="宋体" w:hAnsi="宋体" w:eastAsia="宋体" w:cs="宋体"/>
          <w:color w:val="000000"/>
          <w:sz w:val="24"/>
          <w:szCs w:val="24"/>
          <w:lang w:val="zh-CN"/>
        </w:rPr>
        <w:fldChar w:fldCharType="end"/>
      </w:r>
    </w:p>
    <w:p w14:paraId="4A4B88DA">
      <w:pPr>
        <w:spacing w:line="360" w:lineRule="auto"/>
        <w:ind w:left="420" w:leftChars="200"/>
        <w:rPr>
          <w:rFonts w:hint="eastAsia" w:ascii="宋体" w:hAnsi="宋体" w:eastAsia="宋体" w:cs="宋体"/>
          <w:color w:val="000000"/>
          <w:sz w:val="24"/>
          <w:szCs w:val="24"/>
          <w:lang w:val="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"_Toc4094" </w:instrText>
      </w:r>
      <w:r>
        <w:rPr>
          <w:rFonts w:hint="eastAsia" w:ascii="宋体" w:hAnsi="宋体" w:eastAsia="宋体" w:cs="宋体"/>
          <w:sz w:val="24"/>
          <w:szCs w:val="24"/>
        </w:rPr>
        <w:fldChar w:fldCharType="separate"/>
      </w:r>
      <w:r>
        <w:rPr>
          <w:rFonts w:hint="eastAsia" w:ascii="宋体" w:hAnsi="宋体" w:eastAsia="宋体" w:cs="宋体"/>
          <w:color w:val="000000"/>
          <w:sz w:val="24"/>
          <w:szCs w:val="24"/>
        </w:rPr>
        <w:t>四、</w:t>
      </w:r>
      <w:r>
        <w:rPr>
          <w:rFonts w:hint="eastAsia" w:ascii="宋体" w:hAnsi="宋体" w:eastAsia="宋体" w:cs="宋体"/>
          <w:color w:val="000000"/>
          <w:sz w:val="24"/>
          <w:szCs w:val="24"/>
          <w:lang w:val="zh-CN"/>
        </w:rPr>
        <w:t>投标设备技术参数</w:t>
      </w:r>
      <w:r>
        <w:rPr>
          <w:rFonts w:hint="eastAsia" w:ascii="宋体" w:hAnsi="宋体" w:eastAsia="宋体" w:cs="宋体"/>
          <w:color w:val="000000"/>
          <w:sz w:val="24"/>
          <w:szCs w:val="24"/>
          <w:lang w:val="zh-CN"/>
        </w:rPr>
        <w:fldChar w:fldCharType="end"/>
      </w:r>
    </w:p>
    <w:p w14:paraId="337C5A47">
      <w:pPr>
        <w:spacing w:line="360" w:lineRule="auto"/>
        <w:ind w:left="420" w:leftChars="200"/>
        <w:rPr>
          <w:rFonts w:hint="eastAsia" w:ascii="宋体" w:hAnsi="宋体" w:eastAsia="宋体" w:cs="宋体"/>
          <w:color w:val="000000"/>
          <w:sz w:val="24"/>
          <w:szCs w:val="24"/>
          <w:lang w:val="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"_Toc32028" </w:instrText>
      </w:r>
      <w:r>
        <w:rPr>
          <w:rFonts w:hint="eastAsia" w:ascii="宋体" w:hAnsi="宋体" w:eastAsia="宋体" w:cs="宋体"/>
          <w:sz w:val="24"/>
          <w:szCs w:val="24"/>
        </w:rPr>
        <w:fldChar w:fldCharType="separate"/>
      </w:r>
      <w:r>
        <w:rPr>
          <w:rFonts w:hint="eastAsia" w:ascii="宋体" w:hAnsi="宋体" w:eastAsia="宋体" w:cs="宋体"/>
          <w:color w:val="000000"/>
          <w:sz w:val="24"/>
          <w:szCs w:val="24"/>
          <w:lang w:val="en-US" w:eastAsia="zh-CN"/>
        </w:rPr>
        <w:t>五</w:t>
      </w:r>
      <w:r>
        <w:rPr>
          <w:rFonts w:hint="eastAsia" w:ascii="宋体" w:hAnsi="宋体" w:eastAsia="宋体" w:cs="宋体"/>
          <w:color w:val="000000"/>
          <w:sz w:val="24"/>
          <w:szCs w:val="24"/>
        </w:rPr>
        <w:t>、</w:t>
      </w:r>
      <w:r>
        <w:rPr>
          <w:rFonts w:hint="eastAsia" w:ascii="宋体" w:hAnsi="宋体" w:eastAsia="宋体" w:cs="宋体"/>
          <w:color w:val="000000"/>
          <w:sz w:val="24"/>
          <w:szCs w:val="24"/>
          <w:lang w:val="zh-CN"/>
        </w:rPr>
        <w:t>设备技术性能偏离表</w:t>
      </w:r>
      <w:r>
        <w:rPr>
          <w:rFonts w:hint="eastAsia" w:ascii="宋体" w:hAnsi="宋体" w:eastAsia="宋体" w:cs="宋体"/>
          <w:color w:val="000000"/>
          <w:sz w:val="24"/>
          <w:szCs w:val="24"/>
          <w:lang w:val="zh-CN"/>
        </w:rPr>
        <w:tab/>
      </w:r>
      <w:r>
        <w:rPr>
          <w:rFonts w:hint="eastAsia" w:ascii="宋体" w:hAnsi="宋体" w:eastAsia="宋体" w:cs="宋体"/>
          <w:color w:val="000000"/>
          <w:sz w:val="24"/>
          <w:szCs w:val="24"/>
          <w:lang w:val="zh-CN"/>
        </w:rPr>
        <w:fldChar w:fldCharType="end"/>
      </w:r>
    </w:p>
    <w:p w14:paraId="43F8CB41">
      <w:pPr>
        <w:spacing w:line="360" w:lineRule="auto"/>
        <w:ind w:left="420" w:leftChars="200"/>
        <w:rPr>
          <w:rFonts w:hint="eastAsia" w:ascii="宋体" w:hAnsi="宋体" w:eastAsia="宋体" w:cs="宋体"/>
          <w:color w:val="000000"/>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"_Toc30057"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六</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资格</w:t>
      </w:r>
      <w:r>
        <w:rPr>
          <w:rFonts w:hint="eastAsia" w:ascii="宋体" w:hAnsi="宋体" w:eastAsia="宋体" w:cs="宋体"/>
          <w:color w:val="000000"/>
          <w:sz w:val="24"/>
          <w:szCs w:val="24"/>
          <w:lang w:val="zh-CN"/>
        </w:rPr>
        <w:fldChar w:fldCharType="end"/>
      </w:r>
      <w:r>
        <w:rPr>
          <w:rFonts w:hint="eastAsia" w:ascii="宋体" w:hAnsi="宋体" w:eastAsia="宋体" w:cs="宋体"/>
          <w:color w:val="000000"/>
          <w:sz w:val="24"/>
          <w:szCs w:val="24"/>
          <w:lang w:val="en-US" w:eastAsia="zh-CN"/>
        </w:rPr>
        <w:t>审查资料</w:t>
      </w:r>
    </w:p>
    <w:p w14:paraId="1407AAFE">
      <w:pPr>
        <w:numPr>
          <w:ilvl w:val="0"/>
          <w:numId w:val="7"/>
        </w:numPr>
        <w:spacing w:line="360" w:lineRule="auto"/>
        <w:ind w:left="420" w:left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技术部分</w:t>
      </w:r>
    </w:p>
    <w:p w14:paraId="26297C29">
      <w:pPr>
        <w:numPr>
          <w:ilvl w:val="0"/>
          <w:numId w:val="7"/>
        </w:numPr>
        <w:spacing w:line="360" w:lineRule="auto"/>
        <w:ind w:left="420" w:left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商务部分</w:t>
      </w:r>
    </w:p>
    <w:p w14:paraId="349B4D58">
      <w:pPr>
        <w:spacing w:line="360" w:lineRule="auto"/>
        <w:ind w:left="420" w:leftChars="200"/>
        <w:rPr>
          <w:rFonts w:hint="eastAsia" w:ascii="宋体" w:hAnsi="宋体" w:eastAsia="宋体" w:cs="宋体"/>
          <w:color w:val="000000"/>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"_Toc28764" </w:instrText>
      </w:r>
      <w:r>
        <w:rPr>
          <w:rFonts w:hint="eastAsia" w:ascii="宋体" w:hAnsi="宋体" w:eastAsia="宋体" w:cs="宋体"/>
          <w:sz w:val="24"/>
          <w:szCs w:val="24"/>
        </w:rPr>
        <w:fldChar w:fldCharType="separate"/>
      </w:r>
      <w:r>
        <w:rPr>
          <w:rFonts w:hint="eastAsia" w:ascii="宋体" w:hAnsi="宋体" w:eastAsia="宋体" w:cs="宋体"/>
          <w:color w:val="000000"/>
          <w:sz w:val="24"/>
          <w:szCs w:val="24"/>
          <w:lang w:val="en-US" w:eastAsia="zh-CN"/>
        </w:rPr>
        <w:t>九</w:t>
      </w:r>
      <w:r>
        <w:rPr>
          <w:rFonts w:hint="eastAsia" w:ascii="宋体" w:hAnsi="宋体" w:eastAsia="宋体" w:cs="宋体"/>
          <w:color w:val="000000"/>
          <w:sz w:val="24"/>
          <w:szCs w:val="24"/>
        </w:rPr>
        <w:t>、</w:t>
      </w:r>
      <w:r>
        <w:rPr>
          <w:rFonts w:hint="eastAsia" w:ascii="宋体" w:hAnsi="宋体" w:eastAsia="宋体" w:cs="宋体"/>
          <w:color w:val="000000"/>
          <w:sz w:val="24"/>
          <w:szCs w:val="24"/>
          <w:lang w:val="zh-CN"/>
        </w:rPr>
        <w:t>反商业贿赂承诺书</w:t>
      </w:r>
      <w:r>
        <w:rPr>
          <w:rFonts w:hint="eastAsia" w:ascii="宋体" w:hAnsi="宋体" w:eastAsia="宋体" w:cs="宋体"/>
          <w:color w:val="000000"/>
          <w:sz w:val="24"/>
          <w:szCs w:val="24"/>
          <w:lang w:val="zh-CN"/>
        </w:rPr>
        <w:tab/>
      </w:r>
      <w:r>
        <w:rPr>
          <w:rFonts w:hint="eastAsia" w:ascii="宋体" w:hAnsi="宋体" w:eastAsia="宋体" w:cs="宋体"/>
          <w:color w:val="000000"/>
          <w:sz w:val="24"/>
          <w:szCs w:val="24"/>
          <w:lang w:val="zh-CN"/>
        </w:rPr>
        <w:fldChar w:fldCharType="end"/>
      </w:r>
    </w:p>
    <w:p w14:paraId="0A93394B">
      <w:pPr>
        <w:spacing w:line="360" w:lineRule="auto"/>
        <w:ind w:left="420" w:leftChars="200"/>
        <w:rPr>
          <w:rFonts w:hint="eastAsia" w:ascii="宋体" w:hAnsi="宋体" w:eastAsia="宋体" w:cs="宋体"/>
          <w:color w:val="000000"/>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"_Toc12268" </w:instrText>
      </w:r>
      <w:r>
        <w:rPr>
          <w:rFonts w:hint="eastAsia" w:ascii="宋体" w:hAnsi="宋体" w:eastAsia="宋体" w:cs="宋体"/>
          <w:sz w:val="24"/>
          <w:szCs w:val="24"/>
        </w:rPr>
        <w:fldChar w:fldCharType="separate"/>
      </w:r>
      <w:r>
        <w:rPr>
          <w:rFonts w:hint="eastAsia" w:ascii="宋体" w:hAnsi="宋体" w:eastAsia="宋体" w:cs="宋体"/>
          <w:color w:val="000000"/>
          <w:sz w:val="24"/>
          <w:szCs w:val="24"/>
        </w:rPr>
        <w:t>十、其他资料</w:t>
      </w:r>
      <w:r>
        <w:rPr>
          <w:rFonts w:hint="eastAsia" w:ascii="宋体" w:hAnsi="宋体" w:eastAsia="宋体" w:cs="宋体"/>
          <w:color w:val="000000"/>
          <w:sz w:val="24"/>
          <w:szCs w:val="24"/>
        </w:rPr>
        <w:tab/>
      </w:r>
      <w:r>
        <w:rPr>
          <w:rFonts w:hint="eastAsia" w:ascii="宋体" w:hAnsi="宋体" w:eastAsia="宋体" w:cs="宋体"/>
          <w:color w:val="000000"/>
          <w:sz w:val="24"/>
          <w:szCs w:val="24"/>
        </w:rPr>
        <w:fldChar w:fldCharType="end"/>
      </w:r>
    </w:p>
    <w:p w14:paraId="73893EEE">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rPr>
        <w:t>其他资料</w:t>
      </w:r>
      <w:r>
        <w:rPr>
          <w:rFonts w:hint="eastAsia" w:ascii="宋体" w:hAnsi="宋体" w:eastAsia="宋体" w:cs="宋体"/>
          <w:sz w:val="24"/>
          <w:szCs w:val="24"/>
        </w:rPr>
        <w:t>投标文件应与招标文件的投标文件格式次序一一对应。</w:t>
      </w:r>
    </w:p>
    <w:p w14:paraId="31551628">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招标文件中的每个分包，是项目招标不可拆分的最小投标单元，</w:t>
      </w:r>
      <w:r>
        <w:rPr>
          <w:rFonts w:hint="eastAsia" w:ascii="宋体" w:hAnsi="宋体" w:cs="宋体"/>
          <w:sz w:val="24"/>
          <w:szCs w:val="24"/>
          <w:lang w:eastAsia="zh-CN"/>
        </w:rPr>
        <w:t>供应商</w:t>
      </w:r>
      <w:r>
        <w:rPr>
          <w:rFonts w:hint="eastAsia" w:ascii="宋体" w:hAnsi="宋体" w:eastAsia="宋体" w:cs="宋体"/>
          <w:sz w:val="24"/>
          <w:szCs w:val="24"/>
        </w:rPr>
        <w:t>必须按此分包编制投标文件，提交相应的文件资料，拆包投标将视为漏项或非实质性响应予以认定为投标无效。</w:t>
      </w:r>
    </w:p>
    <w:p w14:paraId="5C33082D">
      <w:pPr>
        <w:pStyle w:val="4"/>
        <w:numPr>
          <w:ilvl w:val="1"/>
          <w:numId w:val="2"/>
        </w:numPr>
        <w:rPr>
          <w:rFonts w:hint="eastAsia" w:ascii="宋体" w:hAnsi="宋体" w:eastAsia="宋体" w:cs="宋体"/>
          <w:color w:val="auto"/>
          <w:sz w:val="24"/>
          <w:szCs w:val="24"/>
        </w:rPr>
      </w:pPr>
      <w:bookmarkStart w:id="269" w:name="_Toc29677"/>
      <w:bookmarkStart w:id="270" w:name="_Toc15089"/>
      <w:bookmarkStart w:id="271" w:name="_Toc28730"/>
      <w:r>
        <w:rPr>
          <w:rFonts w:hint="eastAsia" w:ascii="宋体" w:hAnsi="宋体" w:eastAsia="宋体" w:cs="宋体"/>
          <w:color w:val="auto"/>
          <w:sz w:val="24"/>
          <w:szCs w:val="24"/>
        </w:rPr>
        <w:t>招标控制价</w:t>
      </w:r>
      <w:bookmarkEnd w:id="269"/>
      <w:bookmarkEnd w:id="270"/>
      <w:bookmarkEnd w:id="271"/>
    </w:p>
    <w:p w14:paraId="0A9D056B">
      <w:pPr>
        <w:numPr>
          <w:ilvl w:val="2"/>
          <w:numId w:val="2"/>
        </w:num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招标控制价：</w:t>
      </w:r>
      <w:r>
        <w:rPr>
          <w:rFonts w:hint="eastAsia" w:ascii="宋体" w:hAnsi="宋体" w:cs="宋体"/>
          <w:color w:val="auto"/>
          <w:sz w:val="24"/>
          <w:szCs w:val="24"/>
          <w:lang w:val="en-US" w:eastAsia="zh-CN"/>
        </w:rPr>
        <w:t>5220000</w:t>
      </w:r>
      <w:r>
        <w:rPr>
          <w:rFonts w:hint="eastAsia" w:ascii="宋体" w:hAnsi="宋体" w:eastAsia="宋体" w:cs="宋体"/>
          <w:color w:val="auto"/>
          <w:sz w:val="24"/>
          <w:szCs w:val="24"/>
          <w:lang w:val="en-US" w:eastAsia="zh-CN"/>
        </w:rPr>
        <w:t>.00元。</w:t>
      </w:r>
    </w:p>
    <w:p w14:paraId="15E3A81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3.2.2</w:t>
      </w:r>
      <w:r>
        <w:rPr>
          <w:rFonts w:hint="eastAsia" w:ascii="宋体" w:hAnsi="宋体" w:cs="宋体"/>
          <w:sz w:val="24"/>
          <w:szCs w:val="24"/>
          <w:lang w:eastAsia="zh-CN"/>
        </w:rPr>
        <w:t>供应商</w:t>
      </w:r>
      <w:r>
        <w:rPr>
          <w:rFonts w:hint="eastAsia" w:ascii="宋体" w:hAnsi="宋体" w:eastAsia="宋体" w:cs="宋体"/>
          <w:sz w:val="24"/>
          <w:szCs w:val="24"/>
        </w:rPr>
        <w:t>投标报价超出“投标最高限价”（不含等于“投标最高限价”）的，该</w:t>
      </w:r>
      <w:r>
        <w:rPr>
          <w:rFonts w:hint="eastAsia" w:ascii="宋体" w:hAnsi="宋体" w:cs="宋体"/>
          <w:sz w:val="24"/>
          <w:szCs w:val="24"/>
          <w:lang w:eastAsia="zh-CN"/>
        </w:rPr>
        <w:t>供应商</w:t>
      </w:r>
      <w:r>
        <w:rPr>
          <w:rFonts w:hint="eastAsia" w:ascii="宋体" w:hAnsi="宋体" w:eastAsia="宋体" w:cs="宋体"/>
          <w:sz w:val="24"/>
          <w:szCs w:val="24"/>
        </w:rPr>
        <w:t>的投标文件应作无效标处理。</w:t>
      </w:r>
    </w:p>
    <w:p w14:paraId="60ABA9B7">
      <w:pPr>
        <w:pStyle w:val="4"/>
        <w:numPr>
          <w:ilvl w:val="1"/>
          <w:numId w:val="2"/>
        </w:numPr>
        <w:rPr>
          <w:rFonts w:hint="eastAsia" w:ascii="宋体" w:hAnsi="宋体" w:eastAsia="宋体" w:cs="宋体"/>
          <w:sz w:val="24"/>
          <w:szCs w:val="24"/>
        </w:rPr>
      </w:pPr>
      <w:bookmarkStart w:id="272" w:name="_Toc10884"/>
      <w:bookmarkStart w:id="273" w:name="_Toc22106"/>
      <w:bookmarkStart w:id="274" w:name="_Toc3318"/>
      <w:bookmarkStart w:id="275" w:name="_Toc24714"/>
      <w:bookmarkStart w:id="276" w:name="_Toc24295"/>
      <w:bookmarkStart w:id="277" w:name="_Toc13150059"/>
      <w:bookmarkStart w:id="278" w:name="_Toc4082"/>
      <w:bookmarkStart w:id="279" w:name="_Toc724"/>
      <w:bookmarkStart w:id="280" w:name="_Toc24684"/>
      <w:bookmarkStart w:id="281" w:name="_Toc10542"/>
      <w:bookmarkStart w:id="282" w:name="_Toc16044"/>
      <w:bookmarkStart w:id="283" w:name="_Toc14282"/>
      <w:bookmarkStart w:id="284" w:name="_Toc3169"/>
      <w:bookmarkStart w:id="285" w:name="_Toc17110"/>
      <w:bookmarkStart w:id="286" w:name="_Toc30836"/>
      <w:r>
        <w:rPr>
          <w:rFonts w:hint="eastAsia" w:ascii="宋体" w:hAnsi="宋体" w:eastAsia="宋体" w:cs="宋体"/>
          <w:sz w:val="24"/>
          <w:szCs w:val="24"/>
        </w:rPr>
        <w:t>投标保证金</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225EAB5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按照《河南省财政厅关于优化政府采购营商环境有关问题的通知》（豫财购[2019]4号文）的要求本项目不再收取投标保证金。</w:t>
      </w:r>
    </w:p>
    <w:p w14:paraId="26E30CF2">
      <w:pPr>
        <w:pStyle w:val="4"/>
        <w:numPr>
          <w:ilvl w:val="1"/>
          <w:numId w:val="2"/>
        </w:numPr>
        <w:rPr>
          <w:rFonts w:hint="eastAsia" w:ascii="宋体" w:hAnsi="宋体" w:eastAsia="宋体" w:cs="宋体"/>
          <w:sz w:val="24"/>
          <w:szCs w:val="24"/>
        </w:rPr>
      </w:pPr>
      <w:bookmarkStart w:id="287" w:name="_Toc13150060"/>
      <w:bookmarkStart w:id="288" w:name="_Toc27911"/>
      <w:bookmarkStart w:id="289" w:name="_Toc21981"/>
      <w:bookmarkStart w:id="290" w:name="_Toc18654"/>
      <w:bookmarkStart w:id="291" w:name="_Toc28350"/>
      <w:bookmarkStart w:id="292" w:name="_Toc24091"/>
      <w:bookmarkStart w:id="293" w:name="_Toc13350"/>
      <w:bookmarkStart w:id="294" w:name="_Toc30729"/>
      <w:bookmarkStart w:id="295" w:name="_Toc16522"/>
      <w:bookmarkStart w:id="296" w:name="_Toc21537"/>
      <w:bookmarkStart w:id="297" w:name="_Toc10853"/>
      <w:bookmarkStart w:id="298" w:name="_Toc10698"/>
      <w:bookmarkStart w:id="299" w:name="_Toc7411"/>
      <w:bookmarkStart w:id="300" w:name="_Toc756"/>
      <w:bookmarkStart w:id="301" w:name="_Toc27644"/>
      <w:r>
        <w:rPr>
          <w:rFonts w:hint="eastAsia" w:ascii="宋体" w:hAnsi="宋体" w:eastAsia="宋体" w:cs="宋体"/>
          <w:sz w:val="24"/>
          <w:szCs w:val="24"/>
        </w:rPr>
        <w:t>投标有效期</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4663E9CB">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投标有效期见</w:t>
      </w:r>
      <w:r>
        <w:rPr>
          <w:rFonts w:hint="eastAsia" w:ascii="宋体" w:hAnsi="宋体" w:cs="宋体"/>
          <w:sz w:val="24"/>
          <w:szCs w:val="24"/>
          <w:lang w:eastAsia="zh-CN"/>
        </w:rPr>
        <w:t>供应商</w:t>
      </w:r>
      <w:r>
        <w:rPr>
          <w:rFonts w:hint="eastAsia" w:ascii="宋体" w:hAnsi="宋体" w:eastAsia="宋体" w:cs="宋体"/>
          <w:sz w:val="24"/>
          <w:szCs w:val="24"/>
        </w:rPr>
        <w:t>须知前附表，从递交投标文件的截止之日起算。</w:t>
      </w:r>
    </w:p>
    <w:p w14:paraId="2490B305">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投标文件应自递交投标文件的截止之日起，在</w:t>
      </w:r>
      <w:r>
        <w:rPr>
          <w:rFonts w:hint="eastAsia" w:ascii="宋体" w:hAnsi="宋体" w:cs="宋体"/>
          <w:sz w:val="24"/>
          <w:szCs w:val="24"/>
          <w:lang w:eastAsia="zh-CN"/>
        </w:rPr>
        <w:t>供应商</w:t>
      </w:r>
      <w:r>
        <w:rPr>
          <w:rFonts w:hint="eastAsia" w:ascii="宋体" w:hAnsi="宋体" w:eastAsia="宋体" w:cs="宋体"/>
          <w:sz w:val="24"/>
          <w:szCs w:val="24"/>
        </w:rPr>
        <w:t>须知前附表规定的时间内保持有效。投标有效期不足的将被视为非响应投标而予以拒绝。</w:t>
      </w:r>
    </w:p>
    <w:p w14:paraId="7B739F6C">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在特殊情况下，在原投标有效期截止之前，采购人和采购代理机构可征求</w:t>
      </w:r>
      <w:r>
        <w:rPr>
          <w:rFonts w:hint="eastAsia" w:ascii="宋体" w:hAnsi="宋体" w:cs="宋体"/>
          <w:sz w:val="24"/>
          <w:szCs w:val="24"/>
          <w:lang w:eastAsia="zh-CN"/>
        </w:rPr>
        <w:t>供应商</w:t>
      </w:r>
      <w:r>
        <w:rPr>
          <w:rFonts w:hint="eastAsia" w:ascii="宋体" w:hAnsi="宋体" w:eastAsia="宋体" w:cs="宋体"/>
          <w:sz w:val="24"/>
          <w:szCs w:val="24"/>
        </w:rPr>
        <w:t>同意延长投标有效期。这种要求与答复均应以书面形式提交。同意延期的</w:t>
      </w:r>
      <w:r>
        <w:rPr>
          <w:rFonts w:hint="eastAsia" w:ascii="宋体" w:hAnsi="宋体" w:cs="宋体"/>
          <w:sz w:val="24"/>
          <w:szCs w:val="24"/>
          <w:lang w:eastAsia="zh-CN"/>
        </w:rPr>
        <w:t>供应商</w:t>
      </w:r>
      <w:r>
        <w:rPr>
          <w:rFonts w:hint="eastAsia" w:ascii="宋体" w:hAnsi="宋体" w:eastAsia="宋体" w:cs="宋体"/>
          <w:sz w:val="24"/>
          <w:szCs w:val="24"/>
        </w:rPr>
        <w:t>将不会被要求也不允许修改其投标。</w:t>
      </w:r>
    </w:p>
    <w:p w14:paraId="778BA768">
      <w:pPr>
        <w:pStyle w:val="4"/>
        <w:numPr>
          <w:ilvl w:val="1"/>
          <w:numId w:val="2"/>
        </w:numPr>
        <w:rPr>
          <w:rFonts w:hint="eastAsia" w:ascii="宋体" w:hAnsi="宋体" w:eastAsia="宋体" w:cs="宋体"/>
          <w:sz w:val="24"/>
          <w:szCs w:val="24"/>
        </w:rPr>
      </w:pPr>
      <w:bookmarkStart w:id="302" w:name="_Toc10019"/>
      <w:bookmarkStart w:id="303" w:name="_Toc8554"/>
      <w:bookmarkStart w:id="304" w:name="_Toc14631"/>
      <w:bookmarkStart w:id="305" w:name="_Toc3838"/>
      <w:bookmarkStart w:id="306" w:name="_Toc27913"/>
      <w:bookmarkStart w:id="307" w:name="_Toc32415"/>
      <w:bookmarkStart w:id="308" w:name="_Toc650"/>
      <w:bookmarkStart w:id="309" w:name="_Toc1063"/>
      <w:bookmarkStart w:id="310" w:name="_Toc21050"/>
      <w:bookmarkStart w:id="311" w:name="_Toc630"/>
      <w:bookmarkStart w:id="312" w:name="_Toc7496"/>
      <w:bookmarkStart w:id="313" w:name="_Toc13150061"/>
      <w:bookmarkStart w:id="314" w:name="_Toc15520"/>
      <w:bookmarkStart w:id="315" w:name="_Toc24210"/>
      <w:bookmarkStart w:id="316" w:name="_Toc25186"/>
      <w:r>
        <w:rPr>
          <w:rFonts w:hint="eastAsia" w:ascii="宋体" w:hAnsi="宋体" w:eastAsia="宋体" w:cs="宋体"/>
          <w:sz w:val="24"/>
          <w:szCs w:val="24"/>
        </w:rPr>
        <w:t>投标文件编制</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0166DCBF">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投标文件应按第七章 “投标文件格式”进行编写，如有必要，可以增加附页，作为投标文件的组成部分。其中，投标函附录</w:t>
      </w:r>
      <w:bookmarkStart w:id="830" w:name="_GoBack"/>
      <w:bookmarkEnd w:id="830"/>
      <w:r>
        <w:rPr>
          <w:rFonts w:hint="eastAsia" w:ascii="宋体" w:hAnsi="宋体" w:eastAsia="宋体" w:cs="宋体"/>
          <w:sz w:val="24"/>
          <w:szCs w:val="24"/>
        </w:rPr>
        <w:t>在满足招标文件实质性要求的基础上，可以提出比招标文件要求更有利于采购人的承诺。</w:t>
      </w:r>
    </w:p>
    <w:p w14:paraId="0C9F965A">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投标文件应当对招标文件有关采购范围、质保期、交货及安装期、质量要求等实质性内容作出响应。</w:t>
      </w:r>
    </w:p>
    <w:p w14:paraId="173EA6EE">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投标文件全部采用电子文档，除</w:t>
      </w:r>
      <w:r>
        <w:rPr>
          <w:rFonts w:hint="eastAsia" w:ascii="宋体" w:hAnsi="宋体" w:cs="宋体"/>
          <w:sz w:val="24"/>
          <w:szCs w:val="24"/>
          <w:lang w:eastAsia="zh-CN"/>
        </w:rPr>
        <w:t>供应商</w:t>
      </w:r>
      <w:r>
        <w:rPr>
          <w:rFonts w:hint="eastAsia" w:ascii="宋体" w:hAnsi="宋体" w:eastAsia="宋体" w:cs="宋体"/>
          <w:sz w:val="24"/>
          <w:szCs w:val="24"/>
        </w:rPr>
        <w:t>须知前附表另有规定外，投标文件所附证书证件均为原件扫描件，并采用单位和个人数字证书，按招标文件要求在相应位置加盖电子印章。由</w:t>
      </w:r>
      <w:r>
        <w:rPr>
          <w:rFonts w:hint="eastAsia" w:ascii="宋体" w:hAnsi="宋体" w:cs="宋体"/>
          <w:sz w:val="24"/>
          <w:szCs w:val="24"/>
          <w:lang w:eastAsia="zh-CN"/>
        </w:rPr>
        <w:t>供应商</w:t>
      </w:r>
      <w:r>
        <w:rPr>
          <w:rFonts w:hint="eastAsia" w:ascii="宋体" w:hAnsi="宋体" w:eastAsia="宋体" w:cs="宋体"/>
          <w:sz w:val="24"/>
          <w:szCs w:val="24"/>
        </w:rPr>
        <w:t>的法定代表人（单位负责人）签字或加盖电子印章的，应附法定代表人（单位负责人）身份证明，由代理人签字或加盖电子印章的，应附由法定代表人（单位负责人）签署的授权委托书。签字或盖章的具体要求见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474A53DB">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3.6备选投标方案</w:t>
      </w:r>
    </w:p>
    <w:p w14:paraId="2544A5F5">
      <w:pPr>
        <w:numPr>
          <w:ilvl w:val="0"/>
          <w:numId w:val="0"/>
        </w:numPr>
        <w:spacing w:line="360" w:lineRule="auto"/>
        <w:ind w:leftChars="200"/>
        <w:rPr>
          <w:rFonts w:hint="eastAsia" w:ascii="宋体" w:hAnsi="宋体" w:eastAsia="宋体" w:cs="宋体"/>
          <w:sz w:val="24"/>
          <w:szCs w:val="24"/>
        </w:rPr>
      </w:pPr>
      <w:r>
        <w:rPr>
          <w:rFonts w:hint="eastAsia" w:ascii="宋体" w:hAnsi="宋体" w:eastAsia="宋体" w:cs="宋体"/>
          <w:sz w:val="24"/>
          <w:szCs w:val="24"/>
        </w:rPr>
        <w:t>3.6.1除</w:t>
      </w:r>
      <w:r>
        <w:rPr>
          <w:rFonts w:hint="eastAsia" w:ascii="宋体" w:hAnsi="宋体" w:eastAsia="宋体" w:cs="宋体"/>
          <w:sz w:val="24"/>
          <w:szCs w:val="24"/>
          <w:lang w:eastAsia="zh-CN"/>
        </w:rPr>
        <w:t>供应商</w:t>
      </w:r>
      <w:r>
        <w:rPr>
          <w:rFonts w:hint="eastAsia" w:ascii="宋体" w:hAnsi="宋体" w:eastAsia="宋体" w:cs="宋体"/>
          <w:sz w:val="24"/>
          <w:szCs w:val="24"/>
        </w:rPr>
        <w:t>须知前附表规定允许外，</w:t>
      </w:r>
      <w:r>
        <w:rPr>
          <w:rFonts w:hint="eastAsia" w:ascii="宋体" w:hAnsi="宋体" w:eastAsia="宋体" w:cs="宋体"/>
          <w:sz w:val="24"/>
          <w:szCs w:val="24"/>
          <w:lang w:eastAsia="zh-CN"/>
        </w:rPr>
        <w:t>供应商</w:t>
      </w:r>
      <w:r>
        <w:rPr>
          <w:rFonts w:hint="eastAsia" w:ascii="宋体" w:hAnsi="宋体" w:eastAsia="宋体" w:cs="宋体"/>
          <w:sz w:val="24"/>
          <w:szCs w:val="24"/>
        </w:rPr>
        <w:t>不得递交备选投标方案，否则其投标将被否决。</w:t>
      </w:r>
    </w:p>
    <w:p w14:paraId="65D94E1A">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bookmarkStart w:id="317" w:name="_Toc312133546"/>
      <w:bookmarkStart w:id="318" w:name="_Toc6013"/>
      <w:bookmarkStart w:id="319" w:name="_Toc9851"/>
      <w:bookmarkStart w:id="320" w:name="_Toc22263_WPSOffice_Level2"/>
      <w:bookmarkStart w:id="321" w:name="_Toc9522"/>
      <w:r>
        <w:rPr>
          <w:rFonts w:hint="eastAsia" w:ascii="宋体" w:hAnsi="宋体" w:eastAsia="宋体" w:cs="宋体"/>
          <w:sz w:val="24"/>
          <w:szCs w:val="24"/>
        </w:rPr>
        <w:t>投标</w:t>
      </w:r>
      <w:bookmarkEnd w:id="317"/>
      <w:bookmarkEnd w:id="318"/>
      <w:bookmarkEnd w:id="319"/>
      <w:bookmarkEnd w:id="320"/>
      <w:bookmarkEnd w:id="321"/>
    </w:p>
    <w:p w14:paraId="252087E9">
      <w:pPr>
        <w:pStyle w:val="4"/>
        <w:numPr>
          <w:ilvl w:val="1"/>
          <w:numId w:val="2"/>
        </w:numPr>
        <w:rPr>
          <w:rFonts w:hint="eastAsia" w:ascii="宋体" w:hAnsi="宋体" w:eastAsia="宋体" w:cs="宋体"/>
          <w:sz w:val="24"/>
          <w:szCs w:val="24"/>
        </w:rPr>
      </w:pPr>
      <w:bookmarkStart w:id="322" w:name="_Toc15515"/>
      <w:bookmarkStart w:id="323" w:name="_Toc17190"/>
      <w:bookmarkStart w:id="324" w:name="_Toc7201"/>
      <w:bookmarkStart w:id="325" w:name="_Toc7004"/>
      <w:bookmarkStart w:id="326" w:name="_Toc11217"/>
      <w:bookmarkStart w:id="327" w:name="_Toc24089"/>
      <w:bookmarkStart w:id="328" w:name="_Toc22690"/>
      <w:bookmarkStart w:id="329" w:name="_Toc2541"/>
      <w:bookmarkStart w:id="330" w:name="_Toc12292"/>
      <w:bookmarkStart w:id="331" w:name="_Toc21288"/>
      <w:bookmarkStart w:id="332" w:name="_Toc4336"/>
      <w:bookmarkStart w:id="333" w:name="_Toc13150063"/>
      <w:bookmarkStart w:id="334" w:name="_Toc8909"/>
      <w:bookmarkStart w:id="335" w:name="_Toc2029"/>
      <w:bookmarkStart w:id="336" w:name="_Toc21081"/>
      <w:r>
        <w:rPr>
          <w:rFonts w:hint="eastAsia" w:ascii="宋体" w:hAnsi="宋体" w:eastAsia="宋体" w:cs="宋体"/>
          <w:sz w:val="24"/>
          <w:szCs w:val="24"/>
        </w:rPr>
        <w:t>投标文件的密封</w:t>
      </w:r>
      <w:bookmarkEnd w:id="322"/>
      <w:bookmarkEnd w:id="323"/>
      <w:bookmarkEnd w:id="324"/>
      <w:bookmarkEnd w:id="325"/>
      <w:bookmarkEnd w:id="326"/>
      <w:bookmarkEnd w:id="327"/>
      <w:bookmarkEnd w:id="328"/>
      <w:bookmarkEnd w:id="329"/>
      <w:r>
        <w:rPr>
          <w:rFonts w:hint="eastAsia" w:ascii="宋体" w:hAnsi="宋体" w:eastAsia="宋体" w:cs="宋体"/>
          <w:sz w:val="24"/>
          <w:szCs w:val="24"/>
        </w:rPr>
        <w:t>和标记</w:t>
      </w:r>
      <w:bookmarkEnd w:id="330"/>
      <w:bookmarkEnd w:id="331"/>
      <w:bookmarkEnd w:id="332"/>
      <w:bookmarkEnd w:id="333"/>
      <w:bookmarkEnd w:id="334"/>
      <w:bookmarkEnd w:id="335"/>
      <w:bookmarkEnd w:id="336"/>
    </w:p>
    <w:p w14:paraId="2A932768">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应当按照招标文件</w:t>
      </w:r>
      <w:r>
        <w:rPr>
          <w:rFonts w:hint="eastAsia" w:ascii="宋体" w:hAnsi="宋体" w:eastAsia="宋体" w:cs="宋体"/>
          <w:kern w:val="0"/>
          <w:sz w:val="24"/>
          <w:szCs w:val="24"/>
        </w:rPr>
        <w:t>和电子招标投标交易平台的要求加密投标文件，具体要求见</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w:t>
      </w:r>
    </w:p>
    <w:p w14:paraId="28C7CFE0">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kern w:val="0"/>
          <w:sz w:val="24"/>
          <w:szCs w:val="24"/>
        </w:rPr>
        <w:t>本项目为电子化交易，具体要求见</w:t>
      </w:r>
      <w:r>
        <w:rPr>
          <w:rFonts w:hint="eastAsia" w:ascii="宋体" w:hAnsi="宋体" w:cs="宋体"/>
          <w:kern w:val="0"/>
          <w:sz w:val="24"/>
          <w:szCs w:val="24"/>
          <w:lang w:eastAsia="zh-CN"/>
        </w:rPr>
        <w:t>供应商</w:t>
      </w:r>
      <w:r>
        <w:rPr>
          <w:rFonts w:hint="eastAsia" w:ascii="宋体" w:hAnsi="宋体" w:eastAsia="宋体" w:cs="宋体"/>
          <w:kern w:val="0"/>
          <w:sz w:val="24"/>
          <w:szCs w:val="24"/>
        </w:rPr>
        <w:t xml:space="preserve">须知前附表。 </w:t>
      </w:r>
    </w:p>
    <w:p w14:paraId="42B2A16E">
      <w:pPr>
        <w:pStyle w:val="4"/>
        <w:numPr>
          <w:ilvl w:val="1"/>
          <w:numId w:val="2"/>
        </w:numPr>
        <w:rPr>
          <w:rFonts w:hint="eastAsia" w:ascii="宋体" w:hAnsi="宋体" w:eastAsia="宋体" w:cs="宋体"/>
          <w:sz w:val="24"/>
          <w:szCs w:val="24"/>
        </w:rPr>
      </w:pPr>
      <w:bookmarkStart w:id="337" w:name="_Toc19523"/>
      <w:bookmarkStart w:id="338" w:name="_Toc17234"/>
      <w:bookmarkStart w:id="339" w:name="_Toc11445"/>
      <w:bookmarkStart w:id="340" w:name="_Toc13150064"/>
      <w:bookmarkStart w:id="341" w:name="_Toc14647"/>
      <w:bookmarkStart w:id="342" w:name="_Toc10448"/>
      <w:bookmarkStart w:id="343" w:name="_Toc2882"/>
      <w:bookmarkStart w:id="344" w:name="_Toc7202"/>
      <w:bookmarkStart w:id="345" w:name="_Toc17164"/>
      <w:bookmarkStart w:id="346" w:name="_Toc28937"/>
      <w:bookmarkStart w:id="347" w:name="_Toc8642"/>
      <w:bookmarkStart w:id="348" w:name="_Toc2727"/>
      <w:bookmarkStart w:id="349" w:name="_Toc13002"/>
      <w:bookmarkStart w:id="350" w:name="_Toc25206"/>
      <w:bookmarkStart w:id="351" w:name="_Toc30292"/>
      <w:r>
        <w:rPr>
          <w:rFonts w:hint="eastAsia" w:ascii="宋体" w:hAnsi="宋体" w:eastAsia="宋体" w:cs="宋体"/>
          <w:sz w:val="24"/>
          <w:szCs w:val="24"/>
        </w:rPr>
        <w:t>投标文件的递交</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60250177">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kern w:val="0"/>
          <w:sz w:val="24"/>
          <w:szCs w:val="24"/>
          <w:lang w:eastAsia="zh-CN"/>
        </w:rPr>
        <w:t>供应商</w:t>
      </w:r>
      <w:r>
        <w:rPr>
          <w:rFonts w:hint="eastAsia" w:ascii="宋体" w:hAnsi="宋体" w:eastAsia="宋体" w:cs="宋体"/>
          <w:spacing w:val="-2"/>
          <w:kern w:val="0"/>
          <w:sz w:val="24"/>
          <w:szCs w:val="24"/>
        </w:rPr>
        <w:t>应</w:t>
      </w:r>
      <w:r>
        <w:rPr>
          <w:rFonts w:hint="eastAsia" w:ascii="宋体" w:hAnsi="宋体" w:eastAsia="宋体" w:cs="宋体"/>
          <w:kern w:val="0"/>
          <w:sz w:val="24"/>
          <w:szCs w:val="24"/>
        </w:rPr>
        <w:t>在</w:t>
      </w:r>
      <w:r>
        <w:rPr>
          <w:rFonts w:hint="eastAsia" w:ascii="宋体" w:hAnsi="宋体" w:cs="宋体"/>
          <w:spacing w:val="-2"/>
          <w:kern w:val="0"/>
          <w:sz w:val="24"/>
          <w:szCs w:val="24"/>
          <w:lang w:eastAsia="zh-CN"/>
        </w:rPr>
        <w:t>供应商</w:t>
      </w:r>
      <w:r>
        <w:rPr>
          <w:rFonts w:hint="eastAsia" w:ascii="宋体" w:hAnsi="宋体" w:eastAsia="宋体" w:cs="宋体"/>
          <w:spacing w:val="-2"/>
          <w:kern w:val="0"/>
          <w:sz w:val="24"/>
          <w:szCs w:val="24"/>
        </w:rPr>
        <w:t>须知前附表规</w:t>
      </w:r>
      <w:r>
        <w:rPr>
          <w:rFonts w:hint="eastAsia" w:ascii="宋体" w:hAnsi="宋体" w:eastAsia="宋体" w:cs="宋体"/>
          <w:kern w:val="0"/>
          <w:sz w:val="24"/>
          <w:szCs w:val="24"/>
        </w:rPr>
        <w:t>定</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投标截</w:t>
      </w:r>
      <w:r>
        <w:rPr>
          <w:rFonts w:hint="eastAsia" w:ascii="宋体" w:hAnsi="宋体" w:eastAsia="宋体" w:cs="宋体"/>
          <w:spacing w:val="-2"/>
          <w:kern w:val="0"/>
          <w:sz w:val="24"/>
          <w:szCs w:val="24"/>
        </w:rPr>
        <w:t>止</w:t>
      </w:r>
      <w:r>
        <w:rPr>
          <w:rFonts w:hint="eastAsia" w:ascii="宋体" w:hAnsi="宋体" w:eastAsia="宋体" w:cs="宋体"/>
          <w:kern w:val="0"/>
          <w:sz w:val="24"/>
          <w:szCs w:val="24"/>
        </w:rPr>
        <w:t>时间</w:t>
      </w:r>
      <w:r>
        <w:rPr>
          <w:rFonts w:hint="eastAsia" w:ascii="宋体" w:hAnsi="宋体" w:eastAsia="宋体" w:cs="宋体"/>
          <w:spacing w:val="-2"/>
          <w:kern w:val="0"/>
          <w:sz w:val="24"/>
          <w:szCs w:val="24"/>
        </w:rPr>
        <w:t>前</w:t>
      </w:r>
      <w:r>
        <w:rPr>
          <w:rFonts w:hint="eastAsia" w:ascii="宋体" w:hAnsi="宋体" w:eastAsia="宋体" w:cs="宋体"/>
          <w:kern w:val="0"/>
          <w:sz w:val="24"/>
          <w:szCs w:val="24"/>
        </w:rPr>
        <w:t>递</w:t>
      </w:r>
      <w:r>
        <w:rPr>
          <w:rFonts w:hint="eastAsia" w:ascii="宋体" w:hAnsi="宋体" w:eastAsia="宋体" w:cs="宋体"/>
          <w:spacing w:val="-2"/>
          <w:kern w:val="0"/>
          <w:sz w:val="24"/>
          <w:szCs w:val="24"/>
        </w:rPr>
        <w:t>交</w:t>
      </w:r>
      <w:r>
        <w:rPr>
          <w:rFonts w:hint="eastAsia" w:ascii="宋体" w:hAnsi="宋体" w:eastAsia="宋体" w:cs="宋体"/>
          <w:kern w:val="0"/>
          <w:sz w:val="24"/>
          <w:szCs w:val="24"/>
        </w:rPr>
        <w:t>投标文件。</w:t>
      </w:r>
    </w:p>
    <w:p w14:paraId="767A81B4">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kern w:val="0"/>
          <w:sz w:val="24"/>
          <w:szCs w:val="24"/>
          <w:lang w:eastAsia="zh-CN"/>
        </w:rPr>
        <w:t>供应商</w:t>
      </w:r>
      <w:r>
        <w:rPr>
          <w:rFonts w:hint="eastAsia" w:ascii="宋体" w:hAnsi="宋体" w:eastAsia="宋体" w:cs="宋体"/>
          <w:kern w:val="0"/>
          <w:sz w:val="24"/>
          <w:szCs w:val="24"/>
        </w:rPr>
        <w:t>递</w:t>
      </w:r>
      <w:r>
        <w:rPr>
          <w:rFonts w:hint="eastAsia" w:ascii="宋体" w:hAnsi="宋体" w:eastAsia="宋体" w:cs="宋体"/>
          <w:spacing w:val="-2"/>
          <w:kern w:val="0"/>
          <w:sz w:val="24"/>
          <w:szCs w:val="24"/>
        </w:rPr>
        <w:t>交投标文件</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地</w:t>
      </w:r>
      <w:r>
        <w:rPr>
          <w:rFonts w:hint="eastAsia" w:ascii="宋体" w:hAnsi="宋体" w:eastAsia="宋体" w:cs="宋体"/>
          <w:kern w:val="0"/>
          <w:sz w:val="24"/>
          <w:szCs w:val="24"/>
        </w:rPr>
        <w:t>点及方式</w:t>
      </w:r>
      <w:r>
        <w:rPr>
          <w:rFonts w:hint="eastAsia" w:ascii="宋体" w:hAnsi="宋体" w:eastAsia="宋体" w:cs="宋体"/>
          <w:spacing w:val="-2"/>
          <w:kern w:val="0"/>
          <w:sz w:val="24"/>
          <w:szCs w:val="24"/>
        </w:rPr>
        <w:t>：</w:t>
      </w:r>
      <w:r>
        <w:rPr>
          <w:rFonts w:hint="eastAsia" w:ascii="宋体" w:hAnsi="宋体" w:eastAsia="宋体" w:cs="宋体"/>
          <w:kern w:val="0"/>
          <w:sz w:val="24"/>
          <w:szCs w:val="24"/>
        </w:rPr>
        <w:t>见</w:t>
      </w:r>
      <w:r>
        <w:rPr>
          <w:rFonts w:hint="eastAsia" w:ascii="宋体" w:hAnsi="宋体" w:cs="宋体"/>
          <w:spacing w:val="-2"/>
          <w:kern w:val="0"/>
          <w:sz w:val="24"/>
          <w:szCs w:val="24"/>
          <w:lang w:eastAsia="zh-CN"/>
        </w:rPr>
        <w:t>供应商</w:t>
      </w:r>
      <w:r>
        <w:rPr>
          <w:rFonts w:hint="eastAsia" w:ascii="宋体" w:hAnsi="宋体" w:eastAsia="宋体" w:cs="宋体"/>
          <w:spacing w:val="-2"/>
          <w:kern w:val="0"/>
          <w:sz w:val="24"/>
          <w:szCs w:val="24"/>
        </w:rPr>
        <w:t>须知前附表</w:t>
      </w:r>
      <w:r>
        <w:rPr>
          <w:rFonts w:hint="eastAsia" w:ascii="宋体" w:hAnsi="宋体" w:eastAsia="宋体" w:cs="宋体"/>
          <w:kern w:val="0"/>
          <w:sz w:val="24"/>
          <w:szCs w:val="24"/>
        </w:rPr>
        <w:t>。</w:t>
      </w:r>
    </w:p>
    <w:p w14:paraId="2252AB33">
      <w:pPr>
        <w:numPr>
          <w:ilvl w:val="2"/>
          <w:numId w:val="2"/>
        </w:num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除</w:t>
      </w:r>
      <w:r>
        <w:rPr>
          <w:rFonts w:hint="eastAsia" w:ascii="宋体" w:hAnsi="宋体" w:cs="宋体"/>
          <w:spacing w:val="-2"/>
          <w:kern w:val="0"/>
          <w:sz w:val="24"/>
          <w:szCs w:val="24"/>
          <w:lang w:eastAsia="zh-CN"/>
        </w:rPr>
        <w:t>供应商</w:t>
      </w:r>
      <w:r>
        <w:rPr>
          <w:rFonts w:hint="eastAsia" w:ascii="宋体" w:hAnsi="宋体" w:eastAsia="宋体" w:cs="宋体"/>
          <w:kern w:val="0"/>
          <w:sz w:val="24"/>
          <w:szCs w:val="24"/>
        </w:rPr>
        <w:t>须</w:t>
      </w:r>
      <w:r>
        <w:rPr>
          <w:rFonts w:hint="eastAsia" w:ascii="宋体" w:hAnsi="宋体" w:eastAsia="宋体" w:cs="宋体"/>
          <w:spacing w:val="-2"/>
          <w:kern w:val="0"/>
          <w:sz w:val="24"/>
          <w:szCs w:val="24"/>
        </w:rPr>
        <w:t>知</w:t>
      </w:r>
      <w:r>
        <w:rPr>
          <w:rFonts w:hint="eastAsia" w:ascii="宋体" w:hAnsi="宋体" w:eastAsia="宋体" w:cs="宋体"/>
          <w:kern w:val="0"/>
          <w:sz w:val="24"/>
          <w:szCs w:val="24"/>
        </w:rPr>
        <w:t>前</w:t>
      </w:r>
      <w:r>
        <w:rPr>
          <w:rFonts w:hint="eastAsia" w:ascii="宋体" w:hAnsi="宋体" w:eastAsia="宋体" w:cs="宋体"/>
          <w:spacing w:val="-2"/>
          <w:kern w:val="0"/>
          <w:sz w:val="24"/>
          <w:szCs w:val="24"/>
        </w:rPr>
        <w:t>附表</w:t>
      </w:r>
      <w:r>
        <w:rPr>
          <w:rFonts w:hint="eastAsia" w:ascii="宋体" w:hAnsi="宋体" w:eastAsia="宋体" w:cs="宋体"/>
          <w:kern w:val="0"/>
          <w:sz w:val="24"/>
          <w:szCs w:val="24"/>
        </w:rPr>
        <w:t>另有</w:t>
      </w:r>
      <w:r>
        <w:rPr>
          <w:rFonts w:hint="eastAsia" w:ascii="宋体" w:hAnsi="宋体" w:eastAsia="宋体" w:cs="宋体"/>
          <w:spacing w:val="-2"/>
          <w:kern w:val="0"/>
          <w:sz w:val="24"/>
          <w:szCs w:val="24"/>
        </w:rPr>
        <w:t>规</w:t>
      </w:r>
      <w:r>
        <w:rPr>
          <w:rFonts w:hint="eastAsia" w:ascii="宋体" w:hAnsi="宋体" w:eastAsia="宋体" w:cs="宋体"/>
          <w:kern w:val="0"/>
          <w:sz w:val="24"/>
          <w:szCs w:val="24"/>
        </w:rPr>
        <w:t>定</w:t>
      </w:r>
      <w:r>
        <w:rPr>
          <w:rFonts w:hint="eastAsia" w:ascii="宋体" w:hAnsi="宋体" w:eastAsia="宋体" w:cs="宋体"/>
          <w:spacing w:val="-2"/>
          <w:kern w:val="0"/>
          <w:sz w:val="24"/>
          <w:szCs w:val="24"/>
        </w:rPr>
        <w:t>外</w:t>
      </w:r>
      <w:r>
        <w:rPr>
          <w:rFonts w:hint="eastAsia" w:ascii="宋体" w:hAnsi="宋体" w:cs="宋体"/>
          <w:kern w:val="0"/>
          <w:sz w:val="24"/>
          <w:szCs w:val="24"/>
          <w:lang w:eastAsia="zh-CN"/>
        </w:rPr>
        <w:t>供应商</w:t>
      </w:r>
      <w:r>
        <w:rPr>
          <w:rFonts w:hint="eastAsia" w:ascii="宋体" w:hAnsi="宋体" w:eastAsia="宋体" w:cs="宋体"/>
          <w:kern w:val="0"/>
          <w:sz w:val="24"/>
          <w:szCs w:val="24"/>
        </w:rPr>
        <w:t>所</w:t>
      </w:r>
      <w:r>
        <w:rPr>
          <w:rFonts w:hint="eastAsia" w:ascii="宋体" w:hAnsi="宋体" w:eastAsia="宋体" w:cs="宋体"/>
          <w:spacing w:val="-2"/>
          <w:kern w:val="0"/>
          <w:sz w:val="24"/>
          <w:szCs w:val="24"/>
        </w:rPr>
        <w:t>递</w:t>
      </w:r>
      <w:r>
        <w:rPr>
          <w:rFonts w:hint="eastAsia" w:ascii="宋体" w:hAnsi="宋体" w:eastAsia="宋体" w:cs="宋体"/>
          <w:kern w:val="0"/>
          <w:sz w:val="24"/>
          <w:szCs w:val="24"/>
        </w:rPr>
        <w:t>交的</w:t>
      </w:r>
      <w:r>
        <w:rPr>
          <w:rFonts w:hint="eastAsia" w:ascii="宋体" w:hAnsi="宋体" w:eastAsia="宋体" w:cs="宋体"/>
          <w:spacing w:val="-2"/>
          <w:kern w:val="0"/>
          <w:sz w:val="24"/>
          <w:szCs w:val="24"/>
        </w:rPr>
        <w:t>投标文件不</w:t>
      </w:r>
      <w:r>
        <w:rPr>
          <w:rFonts w:hint="eastAsia" w:ascii="宋体" w:hAnsi="宋体" w:eastAsia="宋体" w:cs="宋体"/>
          <w:kern w:val="0"/>
          <w:sz w:val="24"/>
          <w:szCs w:val="24"/>
        </w:rPr>
        <w:t>予</w:t>
      </w:r>
      <w:r>
        <w:rPr>
          <w:rFonts w:hint="eastAsia" w:ascii="宋体" w:hAnsi="宋体" w:eastAsia="宋体" w:cs="宋体"/>
          <w:spacing w:val="-2"/>
          <w:kern w:val="0"/>
          <w:sz w:val="24"/>
          <w:szCs w:val="24"/>
        </w:rPr>
        <w:t>退</w:t>
      </w:r>
      <w:r>
        <w:rPr>
          <w:rFonts w:hint="eastAsia" w:ascii="宋体" w:hAnsi="宋体" w:eastAsia="宋体" w:cs="宋体"/>
          <w:kern w:val="0"/>
          <w:sz w:val="24"/>
          <w:szCs w:val="24"/>
        </w:rPr>
        <w:t>还。</w:t>
      </w:r>
    </w:p>
    <w:p w14:paraId="6BEB6AD9">
      <w:pPr>
        <w:numPr>
          <w:ilvl w:val="2"/>
          <w:numId w:val="2"/>
        </w:numPr>
        <w:spacing w:line="360" w:lineRule="auto"/>
        <w:ind w:firstLine="480" w:firstLineChars="200"/>
        <w:rPr>
          <w:rFonts w:hint="eastAsia" w:ascii="宋体" w:hAnsi="宋体" w:eastAsia="宋体" w:cs="宋体"/>
          <w:kern w:val="0"/>
          <w:sz w:val="24"/>
          <w:szCs w:val="24"/>
        </w:rPr>
      </w:pPr>
      <w:r>
        <w:rPr>
          <w:rFonts w:hint="eastAsia" w:ascii="宋体" w:hAnsi="宋体" w:cs="宋体"/>
          <w:kern w:val="0"/>
          <w:sz w:val="24"/>
          <w:szCs w:val="24"/>
          <w:lang w:eastAsia="zh-CN"/>
        </w:rPr>
        <w:t>供应商</w:t>
      </w:r>
      <w:r>
        <w:rPr>
          <w:rFonts w:hint="eastAsia" w:ascii="宋体" w:hAnsi="宋体" w:eastAsia="宋体" w:cs="宋体"/>
          <w:spacing w:val="-2"/>
          <w:kern w:val="0"/>
          <w:sz w:val="24"/>
          <w:szCs w:val="24"/>
        </w:rPr>
        <w:t>完</w:t>
      </w:r>
      <w:r>
        <w:rPr>
          <w:rFonts w:hint="eastAsia" w:ascii="宋体" w:hAnsi="宋体" w:eastAsia="宋体" w:cs="宋体"/>
          <w:kern w:val="0"/>
          <w:sz w:val="24"/>
          <w:szCs w:val="24"/>
        </w:rPr>
        <w:t>成</w:t>
      </w:r>
      <w:r>
        <w:rPr>
          <w:rFonts w:hint="eastAsia" w:ascii="宋体" w:hAnsi="宋体" w:eastAsia="宋体" w:cs="宋体"/>
          <w:spacing w:val="-2"/>
          <w:kern w:val="0"/>
          <w:sz w:val="24"/>
          <w:szCs w:val="24"/>
        </w:rPr>
        <w:t>电</w:t>
      </w:r>
      <w:r>
        <w:rPr>
          <w:rFonts w:hint="eastAsia" w:ascii="宋体" w:hAnsi="宋体" w:eastAsia="宋体" w:cs="宋体"/>
          <w:kern w:val="0"/>
          <w:sz w:val="24"/>
          <w:szCs w:val="24"/>
        </w:rPr>
        <w:t>子投标文件上</w:t>
      </w:r>
      <w:r>
        <w:rPr>
          <w:rFonts w:hint="eastAsia" w:ascii="宋体" w:hAnsi="宋体" w:eastAsia="宋体" w:cs="宋体"/>
          <w:spacing w:val="-2"/>
          <w:kern w:val="0"/>
          <w:sz w:val="24"/>
          <w:szCs w:val="24"/>
        </w:rPr>
        <w:t>传</w:t>
      </w:r>
      <w:r>
        <w:rPr>
          <w:rFonts w:hint="eastAsia" w:ascii="宋体" w:hAnsi="宋体" w:eastAsia="宋体" w:cs="宋体"/>
          <w:kern w:val="0"/>
          <w:sz w:val="24"/>
          <w:szCs w:val="24"/>
        </w:rPr>
        <w:t>后</w:t>
      </w:r>
      <w:r>
        <w:rPr>
          <w:rFonts w:hint="eastAsia" w:ascii="宋体" w:hAnsi="宋体" w:eastAsia="宋体" w:cs="宋体"/>
          <w:spacing w:val="-5"/>
          <w:kern w:val="0"/>
          <w:sz w:val="24"/>
          <w:szCs w:val="24"/>
        </w:rPr>
        <w:t>，</w:t>
      </w:r>
      <w:r>
        <w:rPr>
          <w:rFonts w:hint="eastAsia" w:ascii="宋体" w:hAnsi="宋体" w:eastAsia="宋体" w:cs="宋体"/>
          <w:kern w:val="0"/>
          <w:sz w:val="24"/>
          <w:szCs w:val="24"/>
        </w:rPr>
        <w:t>电</w:t>
      </w:r>
      <w:r>
        <w:rPr>
          <w:rFonts w:hint="eastAsia" w:ascii="宋体" w:hAnsi="宋体" w:eastAsia="宋体" w:cs="宋体"/>
          <w:spacing w:val="-2"/>
          <w:kern w:val="0"/>
          <w:sz w:val="24"/>
          <w:szCs w:val="24"/>
        </w:rPr>
        <w:t>子</w:t>
      </w:r>
      <w:r>
        <w:rPr>
          <w:rFonts w:hint="eastAsia" w:ascii="宋体" w:hAnsi="宋体" w:eastAsia="宋体" w:cs="宋体"/>
          <w:kern w:val="0"/>
          <w:sz w:val="24"/>
          <w:szCs w:val="24"/>
        </w:rPr>
        <w:t>招标</w:t>
      </w:r>
      <w:r>
        <w:rPr>
          <w:rFonts w:hint="eastAsia" w:ascii="宋体" w:hAnsi="宋体" w:eastAsia="宋体" w:cs="宋体"/>
          <w:spacing w:val="-2"/>
          <w:kern w:val="0"/>
          <w:sz w:val="24"/>
          <w:szCs w:val="24"/>
        </w:rPr>
        <w:t>投</w:t>
      </w:r>
      <w:r>
        <w:rPr>
          <w:rFonts w:hint="eastAsia" w:ascii="宋体" w:hAnsi="宋体" w:eastAsia="宋体" w:cs="宋体"/>
          <w:kern w:val="0"/>
          <w:sz w:val="24"/>
          <w:szCs w:val="24"/>
        </w:rPr>
        <w:t>标</w:t>
      </w:r>
      <w:r>
        <w:rPr>
          <w:rFonts w:hint="eastAsia" w:ascii="宋体" w:hAnsi="宋体" w:eastAsia="宋体" w:cs="宋体"/>
          <w:spacing w:val="-2"/>
          <w:kern w:val="0"/>
          <w:sz w:val="24"/>
          <w:szCs w:val="24"/>
        </w:rPr>
        <w:t>交</w:t>
      </w:r>
      <w:r>
        <w:rPr>
          <w:rFonts w:hint="eastAsia" w:ascii="宋体" w:hAnsi="宋体" w:eastAsia="宋体" w:cs="宋体"/>
          <w:kern w:val="0"/>
          <w:sz w:val="24"/>
          <w:szCs w:val="24"/>
        </w:rPr>
        <w:t>易</w:t>
      </w:r>
      <w:r>
        <w:rPr>
          <w:rFonts w:hint="eastAsia" w:ascii="宋体" w:hAnsi="宋体" w:eastAsia="宋体" w:cs="宋体"/>
          <w:spacing w:val="-2"/>
          <w:kern w:val="0"/>
          <w:sz w:val="24"/>
          <w:szCs w:val="24"/>
        </w:rPr>
        <w:t>平</w:t>
      </w:r>
      <w:r>
        <w:rPr>
          <w:rFonts w:hint="eastAsia" w:ascii="宋体" w:hAnsi="宋体" w:eastAsia="宋体" w:cs="宋体"/>
          <w:kern w:val="0"/>
          <w:sz w:val="24"/>
          <w:szCs w:val="24"/>
        </w:rPr>
        <w:t>台</w:t>
      </w:r>
      <w:r>
        <w:rPr>
          <w:rFonts w:hint="eastAsia" w:ascii="宋体" w:hAnsi="宋体" w:eastAsia="宋体" w:cs="宋体"/>
          <w:spacing w:val="-2"/>
          <w:kern w:val="0"/>
          <w:sz w:val="24"/>
          <w:szCs w:val="24"/>
        </w:rPr>
        <w:t>即</w:t>
      </w:r>
      <w:r>
        <w:rPr>
          <w:rFonts w:hint="eastAsia" w:ascii="宋体" w:hAnsi="宋体" w:eastAsia="宋体" w:cs="宋体"/>
          <w:kern w:val="0"/>
          <w:sz w:val="24"/>
          <w:szCs w:val="24"/>
        </w:rPr>
        <w:t>时</w:t>
      </w:r>
      <w:r>
        <w:rPr>
          <w:rFonts w:hint="eastAsia" w:ascii="宋体" w:hAnsi="宋体" w:eastAsia="宋体" w:cs="宋体"/>
          <w:spacing w:val="-2"/>
          <w:kern w:val="0"/>
          <w:sz w:val="24"/>
          <w:szCs w:val="24"/>
        </w:rPr>
        <w:t>向</w:t>
      </w:r>
      <w:r>
        <w:rPr>
          <w:rFonts w:hint="eastAsia" w:ascii="宋体" w:hAnsi="宋体" w:cs="宋体"/>
          <w:kern w:val="0"/>
          <w:sz w:val="24"/>
          <w:szCs w:val="24"/>
          <w:lang w:eastAsia="zh-CN"/>
        </w:rPr>
        <w:t>供应商</w:t>
      </w:r>
      <w:r>
        <w:rPr>
          <w:rFonts w:hint="eastAsia" w:ascii="宋体" w:hAnsi="宋体" w:eastAsia="宋体" w:cs="宋体"/>
          <w:kern w:val="0"/>
          <w:sz w:val="24"/>
          <w:szCs w:val="24"/>
        </w:rPr>
        <w:t>发</w:t>
      </w:r>
      <w:r>
        <w:rPr>
          <w:rFonts w:hint="eastAsia" w:ascii="宋体" w:hAnsi="宋体" w:eastAsia="宋体" w:cs="宋体"/>
          <w:spacing w:val="-2"/>
          <w:kern w:val="0"/>
          <w:sz w:val="24"/>
          <w:szCs w:val="24"/>
        </w:rPr>
        <w:t>出</w:t>
      </w:r>
      <w:r>
        <w:rPr>
          <w:rFonts w:hint="eastAsia" w:ascii="宋体" w:hAnsi="宋体" w:eastAsia="宋体" w:cs="宋体"/>
          <w:kern w:val="0"/>
          <w:sz w:val="24"/>
          <w:szCs w:val="24"/>
        </w:rPr>
        <w:t>递交回</w:t>
      </w:r>
      <w:r>
        <w:rPr>
          <w:rFonts w:hint="eastAsia" w:ascii="宋体" w:hAnsi="宋体" w:eastAsia="宋体" w:cs="宋体"/>
          <w:spacing w:val="-2"/>
          <w:kern w:val="0"/>
          <w:sz w:val="24"/>
          <w:szCs w:val="24"/>
        </w:rPr>
        <w:t>执</w:t>
      </w:r>
      <w:r>
        <w:rPr>
          <w:rFonts w:hint="eastAsia" w:ascii="宋体" w:hAnsi="宋体" w:eastAsia="宋体" w:cs="宋体"/>
          <w:kern w:val="0"/>
          <w:sz w:val="24"/>
          <w:szCs w:val="24"/>
        </w:rPr>
        <w:t>通</w:t>
      </w:r>
      <w:r>
        <w:rPr>
          <w:rFonts w:hint="eastAsia" w:ascii="宋体" w:hAnsi="宋体" w:eastAsia="宋体" w:cs="宋体"/>
          <w:spacing w:val="-3"/>
          <w:kern w:val="0"/>
          <w:sz w:val="24"/>
          <w:szCs w:val="24"/>
        </w:rPr>
        <w:t>知</w:t>
      </w:r>
      <w:r>
        <w:rPr>
          <w:rFonts w:hint="eastAsia" w:ascii="宋体" w:hAnsi="宋体" w:eastAsia="宋体" w:cs="宋体"/>
          <w:kern w:val="0"/>
          <w:sz w:val="24"/>
          <w:szCs w:val="24"/>
        </w:rPr>
        <w:t>。</w:t>
      </w:r>
      <w:r>
        <w:rPr>
          <w:rFonts w:hint="eastAsia" w:ascii="宋体" w:hAnsi="宋体" w:eastAsia="宋体" w:cs="宋体"/>
          <w:spacing w:val="-2"/>
          <w:kern w:val="0"/>
          <w:sz w:val="24"/>
          <w:szCs w:val="24"/>
        </w:rPr>
        <w:t>递</w:t>
      </w:r>
      <w:r>
        <w:rPr>
          <w:rFonts w:hint="eastAsia" w:ascii="宋体" w:hAnsi="宋体" w:eastAsia="宋体" w:cs="宋体"/>
          <w:kern w:val="0"/>
          <w:sz w:val="24"/>
          <w:szCs w:val="24"/>
        </w:rPr>
        <w:t>交</w:t>
      </w:r>
      <w:r>
        <w:rPr>
          <w:rFonts w:hint="eastAsia" w:ascii="宋体" w:hAnsi="宋体" w:eastAsia="宋体" w:cs="宋体"/>
          <w:spacing w:val="-2"/>
          <w:kern w:val="0"/>
          <w:sz w:val="24"/>
          <w:szCs w:val="24"/>
        </w:rPr>
        <w:t>时</w:t>
      </w:r>
      <w:r>
        <w:rPr>
          <w:rFonts w:hint="eastAsia" w:ascii="宋体" w:hAnsi="宋体" w:eastAsia="宋体" w:cs="宋体"/>
          <w:kern w:val="0"/>
          <w:sz w:val="24"/>
          <w:szCs w:val="24"/>
        </w:rPr>
        <w:t>间</w:t>
      </w:r>
      <w:r>
        <w:rPr>
          <w:rFonts w:hint="eastAsia" w:ascii="宋体" w:hAnsi="宋体" w:eastAsia="宋体" w:cs="宋体"/>
          <w:spacing w:val="-2"/>
          <w:kern w:val="0"/>
          <w:sz w:val="24"/>
          <w:szCs w:val="24"/>
        </w:rPr>
        <w:t>以</w:t>
      </w:r>
      <w:r>
        <w:rPr>
          <w:rFonts w:hint="eastAsia" w:ascii="宋体" w:hAnsi="宋体" w:eastAsia="宋体" w:cs="宋体"/>
          <w:kern w:val="0"/>
          <w:sz w:val="24"/>
          <w:szCs w:val="24"/>
        </w:rPr>
        <w:t>递交</w:t>
      </w:r>
      <w:r>
        <w:rPr>
          <w:rFonts w:hint="eastAsia" w:ascii="宋体" w:hAnsi="宋体" w:eastAsia="宋体" w:cs="宋体"/>
          <w:spacing w:val="-2"/>
          <w:kern w:val="0"/>
          <w:sz w:val="24"/>
          <w:szCs w:val="24"/>
        </w:rPr>
        <w:t>回</w:t>
      </w:r>
      <w:r>
        <w:rPr>
          <w:rFonts w:hint="eastAsia" w:ascii="宋体" w:hAnsi="宋体" w:eastAsia="宋体" w:cs="宋体"/>
          <w:kern w:val="0"/>
          <w:sz w:val="24"/>
          <w:szCs w:val="24"/>
        </w:rPr>
        <w:t>执</w:t>
      </w:r>
      <w:r>
        <w:rPr>
          <w:rFonts w:hint="eastAsia" w:ascii="宋体" w:hAnsi="宋体" w:eastAsia="宋体" w:cs="宋体"/>
          <w:spacing w:val="-2"/>
          <w:kern w:val="0"/>
          <w:sz w:val="24"/>
          <w:szCs w:val="24"/>
        </w:rPr>
        <w:t>通</w:t>
      </w:r>
      <w:r>
        <w:rPr>
          <w:rFonts w:hint="eastAsia" w:ascii="宋体" w:hAnsi="宋体" w:eastAsia="宋体" w:cs="宋体"/>
          <w:kern w:val="0"/>
          <w:sz w:val="24"/>
          <w:szCs w:val="24"/>
        </w:rPr>
        <w:t>知</w:t>
      </w:r>
      <w:r>
        <w:rPr>
          <w:rFonts w:hint="eastAsia" w:ascii="宋体" w:hAnsi="宋体" w:eastAsia="宋体" w:cs="宋体"/>
          <w:spacing w:val="-2"/>
          <w:kern w:val="0"/>
          <w:sz w:val="24"/>
          <w:szCs w:val="24"/>
        </w:rPr>
        <w:t>载</w:t>
      </w:r>
      <w:r>
        <w:rPr>
          <w:rFonts w:hint="eastAsia" w:ascii="宋体" w:hAnsi="宋体" w:eastAsia="宋体" w:cs="宋体"/>
          <w:kern w:val="0"/>
          <w:sz w:val="24"/>
          <w:szCs w:val="24"/>
        </w:rPr>
        <w:t>明</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传</w:t>
      </w:r>
      <w:r>
        <w:rPr>
          <w:rFonts w:hint="eastAsia" w:ascii="宋体" w:hAnsi="宋体" w:eastAsia="宋体" w:cs="宋体"/>
          <w:spacing w:val="-2"/>
          <w:kern w:val="0"/>
          <w:sz w:val="24"/>
          <w:szCs w:val="24"/>
        </w:rPr>
        <w:t>输</w:t>
      </w:r>
      <w:r>
        <w:rPr>
          <w:rFonts w:hint="eastAsia" w:ascii="宋体" w:hAnsi="宋体" w:eastAsia="宋体" w:cs="宋体"/>
          <w:kern w:val="0"/>
          <w:sz w:val="24"/>
          <w:szCs w:val="24"/>
        </w:rPr>
        <w:t>完成</w:t>
      </w:r>
      <w:r>
        <w:rPr>
          <w:rFonts w:hint="eastAsia" w:ascii="宋体" w:hAnsi="宋体" w:eastAsia="宋体" w:cs="宋体"/>
          <w:spacing w:val="-2"/>
          <w:kern w:val="0"/>
          <w:sz w:val="24"/>
          <w:szCs w:val="24"/>
        </w:rPr>
        <w:t>时</w:t>
      </w:r>
      <w:r>
        <w:rPr>
          <w:rFonts w:hint="eastAsia" w:ascii="宋体" w:hAnsi="宋体" w:eastAsia="宋体" w:cs="宋体"/>
          <w:kern w:val="0"/>
          <w:sz w:val="24"/>
          <w:szCs w:val="24"/>
        </w:rPr>
        <w:t>间</w:t>
      </w:r>
      <w:r>
        <w:rPr>
          <w:rFonts w:hint="eastAsia" w:ascii="宋体" w:hAnsi="宋体" w:eastAsia="宋体" w:cs="宋体"/>
          <w:spacing w:val="-2"/>
          <w:kern w:val="0"/>
          <w:sz w:val="24"/>
          <w:szCs w:val="24"/>
        </w:rPr>
        <w:t>为</w:t>
      </w:r>
      <w:r>
        <w:rPr>
          <w:rFonts w:hint="eastAsia" w:ascii="宋体" w:hAnsi="宋体" w:eastAsia="宋体" w:cs="宋体"/>
          <w:kern w:val="0"/>
          <w:sz w:val="24"/>
          <w:szCs w:val="24"/>
        </w:rPr>
        <w:t>准。</w:t>
      </w:r>
    </w:p>
    <w:p w14:paraId="092BD4E7">
      <w:pPr>
        <w:numPr>
          <w:ilvl w:val="2"/>
          <w:numId w:val="2"/>
        </w:numPr>
        <w:spacing w:line="360" w:lineRule="auto"/>
        <w:ind w:firstLine="472" w:firstLineChars="200"/>
        <w:rPr>
          <w:rFonts w:hint="eastAsia" w:ascii="宋体" w:hAnsi="宋体" w:eastAsia="宋体" w:cs="宋体"/>
          <w:kern w:val="0"/>
          <w:sz w:val="24"/>
          <w:szCs w:val="24"/>
        </w:rPr>
      </w:pPr>
      <w:r>
        <w:rPr>
          <w:rFonts w:hint="eastAsia" w:ascii="宋体" w:hAnsi="宋体" w:eastAsia="宋体" w:cs="宋体"/>
          <w:spacing w:val="-2"/>
          <w:kern w:val="0"/>
          <w:sz w:val="24"/>
          <w:szCs w:val="24"/>
        </w:rPr>
        <w:t>逾</w:t>
      </w:r>
      <w:r>
        <w:rPr>
          <w:rFonts w:hint="eastAsia" w:ascii="宋体" w:hAnsi="宋体" w:eastAsia="宋体" w:cs="宋体"/>
          <w:kern w:val="0"/>
          <w:sz w:val="24"/>
          <w:szCs w:val="24"/>
        </w:rPr>
        <w:t>期</w:t>
      </w:r>
      <w:r>
        <w:rPr>
          <w:rFonts w:hint="eastAsia" w:ascii="宋体" w:hAnsi="宋体" w:eastAsia="宋体" w:cs="宋体"/>
          <w:spacing w:val="-2"/>
          <w:kern w:val="0"/>
          <w:sz w:val="24"/>
          <w:szCs w:val="24"/>
        </w:rPr>
        <w:t>送</w:t>
      </w:r>
      <w:r>
        <w:rPr>
          <w:rFonts w:hint="eastAsia" w:ascii="宋体" w:hAnsi="宋体" w:eastAsia="宋体" w:cs="宋体"/>
          <w:kern w:val="0"/>
          <w:sz w:val="24"/>
          <w:szCs w:val="24"/>
        </w:rPr>
        <w:t>达</w:t>
      </w:r>
      <w:r>
        <w:rPr>
          <w:rFonts w:hint="eastAsia" w:ascii="宋体" w:hAnsi="宋体" w:eastAsia="宋体" w:cs="宋体"/>
          <w:spacing w:val="-2"/>
          <w:kern w:val="0"/>
          <w:sz w:val="24"/>
          <w:szCs w:val="24"/>
        </w:rPr>
        <w:t>的投标文件</w:t>
      </w:r>
      <w:r>
        <w:rPr>
          <w:rFonts w:hint="eastAsia" w:ascii="宋体" w:hAnsi="宋体" w:eastAsia="宋体" w:cs="宋体"/>
          <w:kern w:val="0"/>
          <w:sz w:val="24"/>
          <w:szCs w:val="24"/>
        </w:rPr>
        <w:t>，</w:t>
      </w:r>
      <w:r>
        <w:rPr>
          <w:rFonts w:hint="eastAsia" w:ascii="宋体" w:hAnsi="宋体" w:eastAsia="宋体" w:cs="宋体"/>
          <w:spacing w:val="-2"/>
          <w:kern w:val="0"/>
          <w:sz w:val="24"/>
          <w:szCs w:val="24"/>
        </w:rPr>
        <w:t>电</w:t>
      </w:r>
      <w:r>
        <w:rPr>
          <w:rFonts w:hint="eastAsia" w:ascii="宋体" w:hAnsi="宋体" w:eastAsia="宋体" w:cs="宋体"/>
          <w:kern w:val="0"/>
          <w:sz w:val="24"/>
          <w:szCs w:val="24"/>
        </w:rPr>
        <w:t>子</w:t>
      </w:r>
      <w:r>
        <w:rPr>
          <w:rFonts w:hint="eastAsia" w:ascii="宋体" w:hAnsi="宋体" w:eastAsia="宋体" w:cs="宋体"/>
          <w:spacing w:val="-2"/>
          <w:kern w:val="0"/>
          <w:sz w:val="24"/>
          <w:szCs w:val="24"/>
        </w:rPr>
        <w:t>招</w:t>
      </w:r>
      <w:r>
        <w:rPr>
          <w:rFonts w:hint="eastAsia" w:ascii="宋体" w:hAnsi="宋体" w:eastAsia="宋体" w:cs="宋体"/>
          <w:kern w:val="0"/>
          <w:sz w:val="24"/>
          <w:szCs w:val="24"/>
        </w:rPr>
        <w:t>标</w:t>
      </w:r>
      <w:r>
        <w:rPr>
          <w:rFonts w:hint="eastAsia" w:ascii="宋体" w:hAnsi="宋体" w:eastAsia="宋体" w:cs="宋体"/>
          <w:spacing w:val="-2"/>
          <w:kern w:val="0"/>
          <w:sz w:val="24"/>
          <w:szCs w:val="24"/>
        </w:rPr>
        <w:t>投</w:t>
      </w:r>
      <w:r>
        <w:rPr>
          <w:rFonts w:hint="eastAsia" w:ascii="宋体" w:hAnsi="宋体" w:eastAsia="宋体" w:cs="宋体"/>
          <w:kern w:val="0"/>
          <w:sz w:val="24"/>
          <w:szCs w:val="24"/>
        </w:rPr>
        <w:t>标</w:t>
      </w:r>
      <w:r>
        <w:rPr>
          <w:rFonts w:hint="eastAsia" w:ascii="宋体" w:hAnsi="宋体" w:eastAsia="宋体" w:cs="宋体"/>
          <w:spacing w:val="-2"/>
          <w:kern w:val="0"/>
          <w:sz w:val="24"/>
          <w:szCs w:val="24"/>
        </w:rPr>
        <w:t>交</w:t>
      </w:r>
      <w:r>
        <w:rPr>
          <w:rFonts w:hint="eastAsia" w:ascii="宋体" w:hAnsi="宋体" w:eastAsia="宋体" w:cs="宋体"/>
          <w:kern w:val="0"/>
          <w:sz w:val="24"/>
          <w:szCs w:val="24"/>
        </w:rPr>
        <w:t>易平</w:t>
      </w:r>
      <w:r>
        <w:rPr>
          <w:rFonts w:hint="eastAsia" w:ascii="宋体" w:hAnsi="宋体" w:eastAsia="宋体" w:cs="宋体"/>
          <w:spacing w:val="-2"/>
          <w:kern w:val="0"/>
          <w:sz w:val="24"/>
          <w:szCs w:val="24"/>
        </w:rPr>
        <w:t>台</w:t>
      </w:r>
      <w:r>
        <w:rPr>
          <w:rFonts w:hint="eastAsia" w:ascii="宋体" w:hAnsi="宋体" w:eastAsia="宋体" w:cs="宋体"/>
          <w:kern w:val="0"/>
          <w:sz w:val="24"/>
          <w:szCs w:val="24"/>
        </w:rPr>
        <w:t>将</w:t>
      </w:r>
      <w:r>
        <w:rPr>
          <w:rFonts w:hint="eastAsia" w:ascii="宋体" w:hAnsi="宋体" w:eastAsia="宋体" w:cs="宋体"/>
          <w:spacing w:val="-2"/>
          <w:kern w:val="0"/>
          <w:sz w:val="24"/>
          <w:szCs w:val="24"/>
        </w:rPr>
        <w:t>予</w:t>
      </w:r>
      <w:r>
        <w:rPr>
          <w:rFonts w:hint="eastAsia" w:ascii="宋体" w:hAnsi="宋体" w:eastAsia="宋体" w:cs="宋体"/>
          <w:kern w:val="0"/>
          <w:sz w:val="24"/>
          <w:szCs w:val="24"/>
        </w:rPr>
        <w:t>以</w:t>
      </w:r>
      <w:r>
        <w:rPr>
          <w:rFonts w:hint="eastAsia" w:ascii="宋体" w:hAnsi="宋体" w:eastAsia="宋体" w:cs="宋体"/>
          <w:spacing w:val="-2"/>
          <w:kern w:val="0"/>
          <w:sz w:val="24"/>
          <w:szCs w:val="24"/>
        </w:rPr>
        <w:t>拒</w:t>
      </w:r>
      <w:r>
        <w:rPr>
          <w:rFonts w:hint="eastAsia" w:ascii="宋体" w:hAnsi="宋体" w:eastAsia="宋体" w:cs="宋体"/>
          <w:kern w:val="0"/>
          <w:sz w:val="24"/>
          <w:szCs w:val="24"/>
        </w:rPr>
        <w:t>收。</w:t>
      </w:r>
    </w:p>
    <w:p w14:paraId="0C87C65F">
      <w:pPr>
        <w:pStyle w:val="4"/>
        <w:numPr>
          <w:ilvl w:val="1"/>
          <w:numId w:val="2"/>
        </w:numPr>
        <w:rPr>
          <w:rFonts w:hint="eastAsia" w:ascii="宋体" w:hAnsi="宋体" w:eastAsia="宋体" w:cs="宋体"/>
          <w:sz w:val="24"/>
          <w:szCs w:val="24"/>
        </w:rPr>
      </w:pPr>
      <w:bookmarkStart w:id="352" w:name="_Toc23125"/>
      <w:bookmarkStart w:id="353" w:name="_Toc1408"/>
      <w:bookmarkStart w:id="354" w:name="_Toc6900"/>
      <w:bookmarkStart w:id="355" w:name="_Toc21650"/>
      <w:bookmarkStart w:id="356" w:name="_Toc7423"/>
      <w:bookmarkStart w:id="357" w:name="_Toc32365"/>
      <w:bookmarkStart w:id="358" w:name="_Toc19554"/>
      <w:bookmarkStart w:id="359" w:name="_Toc22212"/>
      <w:bookmarkStart w:id="360" w:name="_Toc31018"/>
      <w:bookmarkStart w:id="361" w:name="_Toc4271"/>
      <w:bookmarkStart w:id="362" w:name="_Toc30004"/>
      <w:bookmarkStart w:id="363" w:name="_Toc32713"/>
      <w:bookmarkStart w:id="364" w:name="_Toc13150065"/>
      <w:bookmarkStart w:id="365" w:name="_Toc13609"/>
      <w:bookmarkStart w:id="366" w:name="_Toc3471"/>
      <w:r>
        <w:rPr>
          <w:rFonts w:hint="eastAsia" w:ascii="宋体" w:hAnsi="宋体" w:eastAsia="宋体" w:cs="宋体"/>
          <w:sz w:val="24"/>
          <w:szCs w:val="24"/>
        </w:rPr>
        <w:t>投标文件的修改和撤回</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2C9959E6">
      <w:pPr>
        <w:numPr>
          <w:ilvl w:val="2"/>
          <w:numId w:val="2"/>
        </w:numPr>
        <w:spacing w:line="360" w:lineRule="auto"/>
        <w:ind w:firstLine="480" w:firstLineChars="200"/>
        <w:rPr>
          <w:rFonts w:hint="eastAsia" w:ascii="宋体" w:hAnsi="宋体" w:eastAsia="宋体" w:cs="宋体"/>
          <w:kern w:val="0"/>
          <w:sz w:val="24"/>
          <w:szCs w:val="24"/>
        </w:rPr>
      </w:pPr>
      <w:bookmarkStart w:id="367" w:name="_Toc312133547"/>
      <w:r>
        <w:rPr>
          <w:rFonts w:hint="eastAsia" w:ascii="宋体" w:hAnsi="宋体" w:eastAsia="宋体" w:cs="宋体"/>
          <w:kern w:val="0"/>
          <w:sz w:val="24"/>
          <w:szCs w:val="24"/>
        </w:rPr>
        <w:t>在本章第4.2.1项规定的递交首次投标文件截止时间前，</w:t>
      </w:r>
      <w:r>
        <w:rPr>
          <w:rFonts w:hint="eastAsia" w:ascii="宋体" w:hAnsi="宋体" w:cs="宋体"/>
          <w:kern w:val="0"/>
          <w:sz w:val="24"/>
          <w:szCs w:val="24"/>
          <w:lang w:eastAsia="zh-CN"/>
        </w:rPr>
        <w:t>供应商</w:t>
      </w:r>
      <w:r>
        <w:rPr>
          <w:rFonts w:hint="eastAsia" w:ascii="宋体" w:hAnsi="宋体" w:eastAsia="宋体" w:cs="宋体"/>
          <w:kern w:val="0"/>
          <w:sz w:val="24"/>
          <w:szCs w:val="24"/>
        </w:rPr>
        <w:t>可以补充、修改或撤回已递交的投标文件。</w:t>
      </w:r>
    </w:p>
    <w:p w14:paraId="24B5B086">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bookmarkStart w:id="368" w:name="_Toc21872"/>
      <w:bookmarkStart w:id="369" w:name="_Toc16995"/>
      <w:bookmarkStart w:id="370" w:name="_Toc8337_WPSOffice_Level2"/>
      <w:bookmarkStart w:id="371" w:name="_Toc5555"/>
      <w:r>
        <w:rPr>
          <w:rFonts w:hint="eastAsia" w:ascii="宋体" w:hAnsi="宋体" w:eastAsia="宋体" w:cs="宋体"/>
          <w:sz w:val="24"/>
          <w:szCs w:val="24"/>
        </w:rPr>
        <w:t>开标、资格审查与评标</w:t>
      </w:r>
      <w:bookmarkEnd w:id="367"/>
      <w:bookmarkEnd w:id="368"/>
      <w:bookmarkEnd w:id="369"/>
      <w:bookmarkEnd w:id="370"/>
      <w:bookmarkEnd w:id="371"/>
    </w:p>
    <w:p w14:paraId="50FDAF88">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采购代理机构在</w:t>
      </w:r>
      <w:r>
        <w:rPr>
          <w:rFonts w:hint="eastAsia" w:ascii="宋体" w:hAnsi="宋体" w:cs="宋体"/>
          <w:sz w:val="24"/>
          <w:szCs w:val="24"/>
          <w:lang w:eastAsia="zh-CN"/>
        </w:rPr>
        <w:t>供应商</w:t>
      </w:r>
      <w:r>
        <w:rPr>
          <w:rFonts w:hint="eastAsia" w:ascii="宋体" w:hAnsi="宋体" w:eastAsia="宋体" w:cs="宋体"/>
          <w:sz w:val="24"/>
          <w:szCs w:val="24"/>
        </w:rPr>
        <w:t>须知前附表中规定的时间和地点组织开标。</w:t>
      </w:r>
      <w:r>
        <w:rPr>
          <w:rFonts w:hint="eastAsia" w:ascii="宋体" w:hAnsi="宋体" w:cs="宋体"/>
          <w:sz w:val="24"/>
          <w:szCs w:val="24"/>
          <w:lang w:eastAsia="zh-CN"/>
        </w:rPr>
        <w:t>供应商</w:t>
      </w:r>
      <w:r>
        <w:rPr>
          <w:rFonts w:hint="eastAsia" w:ascii="宋体" w:hAnsi="宋体" w:eastAsia="宋体" w:cs="宋体"/>
          <w:sz w:val="24"/>
          <w:szCs w:val="24"/>
        </w:rPr>
        <w:t>不足3家的，不得开标。开标由采购人或者采购代理机构主持。</w:t>
      </w:r>
    </w:p>
    <w:p w14:paraId="45F59ED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注：本项目为不见面开标项目，开标当日，</w:t>
      </w:r>
      <w:r>
        <w:rPr>
          <w:rFonts w:hint="eastAsia" w:ascii="宋体" w:hAnsi="宋体" w:cs="宋体"/>
          <w:sz w:val="24"/>
          <w:szCs w:val="24"/>
          <w:lang w:eastAsia="zh-CN"/>
        </w:rPr>
        <w:t>供应商</w:t>
      </w:r>
      <w:r>
        <w:rPr>
          <w:rFonts w:hint="eastAsia" w:ascii="宋体" w:hAnsi="宋体" w:eastAsia="宋体" w:cs="宋体"/>
          <w:sz w:val="24"/>
          <w:szCs w:val="24"/>
        </w:rPr>
        <w:t>无需到开标现场参加开标会议，</w:t>
      </w:r>
      <w:r>
        <w:rPr>
          <w:rFonts w:hint="eastAsia" w:ascii="宋体" w:hAnsi="宋体" w:cs="宋体"/>
          <w:sz w:val="24"/>
          <w:szCs w:val="24"/>
          <w:lang w:eastAsia="zh-CN"/>
        </w:rPr>
        <w:t>供应商</w:t>
      </w:r>
      <w:r>
        <w:rPr>
          <w:rFonts w:hint="eastAsia" w:ascii="宋体" w:hAnsi="宋体" w:eastAsia="宋体" w:cs="宋体"/>
          <w:sz w:val="24"/>
          <w:szCs w:val="24"/>
        </w:rPr>
        <w:t>应当在投标截止时间前，登陆不见面开标大厅选择登陆三门峡市公共资源电子招投标系统进行登陆（网址为http://120.194.249.36:10094/BidOpening/bidopeninghallaction/hall/login）,在线准时参加开标活动并进行投标文件解密等。每位</w:t>
      </w:r>
      <w:r>
        <w:rPr>
          <w:rFonts w:hint="eastAsia" w:ascii="宋体" w:hAnsi="宋体" w:cs="宋体"/>
          <w:sz w:val="24"/>
          <w:szCs w:val="24"/>
          <w:lang w:eastAsia="zh-CN"/>
        </w:rPr>
        <w:t>供应商</w:t>
      </w:r>
      <w:r>
        <w:rPr>
          <w:rFonts w:hint="eastAsia" w:ascii="宋体" w:hAnsi="宋体" w:eastAsia="宋体" w:cs="宋体"/>
          <w:sz w:val="24"/>
          <w:szCs w:val="24"/>
        </w:rPr>
        <w:t>的解密时间为开标时间起30分钟内完成。因</w:t>
      </w:r>
      <w:r>
        <w:rPr>
          <w:rFonts w:hint="eastAsia" w:ascii="宋体" w:hAnsi="宋体" w:cs="宋体"/>
          <w:sz w:val="24"/>
          <w:szCs w:val="24"/>
          <w:lang w:eastAsia="zh-CN"/>
        </w:rPr>
        <w:t>供应商</w:t>
      </w:r>
      <w:r>
        <w:rPr>
          <w:rFonts w:hint="eastAsia" w:ascii="宋体" w:hAnsi="宋体" w:eastAsia="宋体" w:cs="宋体"/>
          <w:sz w:val="24"/>
          <w:szCs w:val="24"/>
        </w:rPr>
        <w:t>原因未能解密、解密失败或解密超时的将被拒绝。</w:t>
      </w:r>
    </w:p>
    <w:p w14:paraId="6D7DF919">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代表对开标过程和开标记录有疑义的，应当在开标现场通过电话提出，采购人当场作出答复，并制作记录。</w:t>
      </w:r>
    </w:p>
    <w:p w14:paraId="4D1F5FEC">
      <w:pPr>
        <w:pStyle w:val="4"/>
        <w:numPr>
          <w:ilvl w:val="1"/>
          <w:numId w:val="2"/>
        </w:numPr>
        <w:rPr>
          <w:rFonts w:hint="eastAsia" w:ascii="宋体" w:hAnsi="宋体" w:eastAsia="宋体" w:cs="宋体"/>
          <w:sz w:val="24"/>
          <w:szCs w:val="24"/>
        </w:rPr>
      </w:pPr>
      <w:bookmarkStart w:id="372" w:name="_Toc3913"/>
      <w:bookmarkStart w:id="373" w:name="_Toc5363"/>
      <w:bookmarkStart w:id="374" w:name="_Toc32207"/>
      <w:bookmarkStart w:id="375" w:name="_Toc11192"/>
      <w:bookmarkStart w:id="376" w:name="_Toc7616"/>
      <w:bookmarkStart w:id="377" w:name="_Toc13150068"/>
      <w:bookmarkStart w:id="378" w:name="_Toc29955"/>
      <w:bookmarkStart w:id="379" w:name="_Toc24277"/>
      <w:bookmarkStart w:id="380" w:name="_Toc5716"/>
      <w:bookmarkStart w:id="381" w:name="_Toc18862"/>
      <w:bookmarkStart w:id="382" w:name="_Toc15735"/>
      <w:bookmarkStart w:id="383" w:name="_Toc29637"/>
      <w:bookmarkStart w:id="384" w:name="_Toc22131"/>
      <w:bookmarkStart w:id="385" w:name="_Toc29315"/>
      <w:bookmarkStart w:id="386" w:name="_Toc1972"/>
      <w:r>
        <w:rPr>
          <w:rFonts w:hint="eastAsia" w:ascii="宋体" w:hAnsi="宋体" w:eastAsia="宋体" w:cs="宋体"/>
          <w:sz w:val="24"/>
          <w:szCs w:val="24"/>
        </w:rPr>
        <w:t>资格审查</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574485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5.2.1开标结束后，</w:t>
      </w:r>
      <w:r>
        <w:rPr>
          <w:rFonts w:hint="eastAsia" w:ascii="宋体" w:hAnsi="宋体" w:cs="宋体"/>
          <w:sz w:val="24"/>
          <w:szCs w:val="24"/>
          <w:lang w:val="en-US" w:eastAsia="zh-CN"/>
        </w:rPr>
        <w:t>招标人</w:t>
      </w:r>
      <w:r>
        <w:rPr>
          <w:rFonts w:hint="eastAsia" w:ascii="宋体" w:hAnsi="宋体" w:eastAsia="宋体" w:cs="宋体"/>
          <w:sz w:val="24"/>
          <w:szCs w:val="24"/>
        </w:rPr>
        <w:t>依法对</w:t>
      </w:r>
      <w:r>
        <w:rPr>
          <w:rFonts w:hint="eastAsia" w:ascii="宋体" w:hAnsi="宋体" w:cs="宋体"/>
          <w:sz w:val="24"/>
          <w:szCs w:val="24"/>
          <w:lang w:eastAsia="zh-CN"/>
        </w:rPr>
        <w:t>供应商</w:t>
      </w:r>
      <w:r>
        <w:rPr>
          <w:rFonts w:hint="eastAsia" w:ascii="宋体" w:hAnsi="宋体" w:eastAsia="宋体" w:cs="宋体"/>
          <w:sz w:val="24"/>
          <w:szCs w:val="24"/>
        </w:rPr>
        <w:t>的资格进行审查。</w:t>
      </w:r>
      <w:r>
        <w:rPr>
          <w:rFonts w:hint="eastAsia" w:ascii="宋体" w:hAnsi="宋体" w:cs="宋体"/>
          <w:sz w:val="24"/>
          <w:szCs w:val="24"/>
          <w:lang w:eastAsia="zh-CN"/>
        </w:rPr>
        <w:t>供应商</w:t>
      </w:r>
      <w:r>
        <w:rPr>
          <w:rFonts w:hint="eastAsia" w:ascii="宋体" w:hAnsi="宋体" w:eastAsia="宋体" w:cs="宋体"/>
          <w:sz w:val="24"/>
          <w:szCs w:val="24"/>
        </w:rPr>
        <w:t>应按第四章评分办法资格评审标准及前附表中的要求提供资格审查资料。合格的</w:t>
      </w:r>
      <w:r>
        <w:rPr>
          <w:rFonts w:hint="eastAsia" w:ascii="宋体" w:hAnsi="宋体" w:cs="宋体"/>
          <w:sz w:val="24"/>
          <w:szCs w:val="24"/>
          <w:lang w:eastAsia="zh-CN"/>
        </w:rPr>
        <w:t>供应商</w:t>
      </w:r>
      <w:r>
        <w:rPr>
          <w:rFonts w:hint="eastAsia" w:ascii="宋体" w:hAnsi="宋体" w:eastAsia="宋体" w:cs="宋体"/>
          <w:sz w:val="24"/>
          <w:szCs w:val="24"/>
        </w:rPr>
        <w:t>不足3家的，不得评标。</w:t>
      </w:r>
    </w:p>
    <w:p w14:paraId="705207F0">
      <w:pPr>
        <w:pStyle w:val="4"/>
        <w:numPr>
          <w:ilvl w:val="1"/>
          <w:numId w:val="2"/>
        </w:numPr>
        <w:rPr>
          <w:rFonts w:hint="eastAsia" w:ascii="宋体" w:hAnsi="宋体" w:eastAsia="宋体" w:cs="宋体"/>
          <w:sz w:val="24"/>
          <w:szCs w:val="24"/>
        </w:rPr>
      </w:pPr>
      <w:bookmarkStart w:id="387" w:name="_Toc611"/>
      <w:bookmarkStart w:id="388" w:name="_Toc25889"/>
      <w:bookmarkStart w:id="389" w:name="_Toc31474"/>
      <w:bookmarkStart w:id="390" w:name="_Toc4884"/>
      <w:bookmarkStart w:id="391" w:name="_Toc19513"/>
      <w:bookmarkStart w:id="392" w:name="_Toc2042"/>
      <w:bookmarkStart w:id="393" w:name="_Toc32305"/>
      <w:bookmarkStart w:id="394" w:name="_Toc26746"/>
      <w:bookmarkStart w:id="395" w:name="_Toc12598"/>
      <w:bookmarkStart w:id="396" w:name="_Toc22182"/>
      <w:bookmarkStart w:id="397" w:name="_Toc13150069"/>
      <w:bookmarkStart w:id="398" w:name="_Toc21027"/>
      <w:bookmarkStart w:id="399" w:name="_Toc16143"/>
      <w:bookmarkStart w:id="400" w:name="_Toc10528"/>
      <w:bookmarkStart w:id="401" w:name="_Toc16180"/>
      <w:r>
        <w:rPr>
          <w:rFonts w:hint="eastAsia" w:ascii="宋体" w:hAnsi="宋体" w:eastAsia="宋体" w:cs="宋体"/>
          <w:sz w:val="24"/>
          <w:szCs w:val="24"/>
        </w:rPr>
        <w:t>评标工作</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14:paraId="0D5F9D4E">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w:t>
      </w:r>
    </w:p>
    <w:p w14:paraId="4FCFCB82">
      <w:pPr>
        <w:numPr>
          <w:ilvl w:val="0"/>
          <w:numId w:val="8"/>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评标工作由采购人依法组建的评标委员会负责，对所有</w:t>
      </w:r>
      <w:r>
        <w:rPr>
          <w:rFonts w:hint="eastAsia" w:ascii="宋体" w:hAnsi="宋体" w:cs="宋体"/>
          <w:kern w:val="0"/>
          <w:sz w:val="24"/>
          <w:szCs w:val="24"/>
          <w:lang w:eastAsia="zh-CN"/>
        </w:rPr>
        <w:t>供应商</w:t>
      </w:r>
      <w:r>
        <w:rPr>
          <w:rFonts w:hint="eastAsia" w:ascii="宋体" w:hAnsi="宋体" w:eastAsia="宋体" w:cs="宋体"/>
          <w:kern w:val="0"/>
          <w:sz w:val="24"/>
          <w:szCs w:val="24"/>
        </w:rPr>
        <w:t>的投标文件进行审评，并按评标办法规定的方式推荐出</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须知前附表中载明数量的中标候选人。</w:t>
      </w:r>
    </w:p>
    <w:p w14:paraId="43B07D3A">
      <w:pPr>
        <w:numPr>
          <w:ilvl w:val="0"/>
          <w:numId w:val="8"/>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评标委员会构成：5人，其中采购单位代表1人，专家经济及技术共 4人；评标专家确定方式：</w:t>
      </w:r>
      <w:r>
        <w:rPr>
          <w:rFonts w:hint="eastAsia" w:ascii="宋体" w:hAnsi="宋体" w:eastAsia="宋体" w:cs="宋体"/>
          <w:kern w:val="0"/>
          <w:sz w:val="24"/>
          <w:szCs w:val="24"/>
          <w:lang w:eastAsia="zh-CN"/>
        </w:rPr>
        <w:t>从河南省电子化政府采购系统评标专家库中随机抽取。</w:t>
      </w:r>
    </w:p>
    <w:p w14:paraId="7B5301DF">
      <w:pPr>
        <w:numPr>
          <w:ilvl w:val="0"/>
          <w:numId w:val="8"/>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sz w:val="24"/>
          <w:szCs w:val="24"/>
        </w:rPr>
        <w:t>评标委员会</w:t>
      </w:r>
      <w:r>
        <w:rPr>
          <w:rFonts w:hint="eastAsia" w:ascii="宋体" w:hAnsi="宋体" w:eastAsia="宋体" w:cs="宋体"/>
          <w:kern w:val="0"/>
          <w:sz w:val="24"/>
          <w:szCs w:val="24"/>
        </w:rPr>
        <w:t>对本单位的采购项目只能作为采购人代表参与评标，对技术复杂、专业性强的采购项目，通过随机方式难以确定合适评审专家的情形除外。</w:t>
      </w:r>
    </w:p>
    <w:p w14:paraId="4A84FE44">
      <w:pPr>
        <w:numPr>
          <w:ilvl w:val="0"/>
          <w:numId w:val="8"/>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采购代理机构工作人员不得参加由本机构代理的政府采购项目的评标。</w:t>
      </w:r>
    </w:p>
    <w:p w14:paraId="42731B7A">
      <w:pPr>
        <w:numPr>
          <w:ilvl w:val="0"/>
          <w:numId w:val="8"/>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sz w:val="24"/>
          <w:szCs w:val="24"/>
        </w:rPr>
        <w:t>评标委员会</w:t>
      </w:r>
      <w:r>
        <w:rPr>
          <w:rFonts w:hint="eastAsia" w:ascii="宋体" w:hAnsi="宋体" w:eastAsia="宋体" w:cs="宋体"/>
          <w:kern w:val="0"/>
          <w:sz w:val="24"/>
          <w:szCs w:val="24"/>
        </w:rPr>
        <w:t>成员名单在评标结果公告前应当保密。</w:t>
      </w:r>
    </w:p>
    <w:p w14:paraId="4129478E">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评标委员会及其成员不得有下列行为：</w:t>
      </w:r>
    </w:p>
    <w:p w14:paraId="03A6E8E4">
      <w:pPr>
        <w:numPr>
          <w:ilvl w:val="0"/>
          <w:numId w:val="9"/>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确定参与评标至评标结束前私自接触</w:t>
      </w:r>
      <w:r>
        <w:rPr>
          <w:rFonts w:hint="eastAsia" w:ascii="宋体" w:hAnsi="宋体" w:cs="宋体"/>
          <w:kern w:val="0"/>
          <w:sz w:val="24"/>
          <w:szCs w:val="24"/>
          <w:lang w:eastAsia="zh-CN"/>
        </w:rPr>
        <w:t>供应商</w:t>
      </w:r>
      <w:r>
        <w:rPr>
          <w:rFonts w:hint="eastAsia" w:ascii="宋体" w:hAnsi="宋体" w:eastAsia="宋体" w:cs="宋体"/>
          <w:kern w:val="0"/>
          <w:sz w:val="24"/>
          <w:szCs w:val="24"/>
        </w:rPr>
        <w:t>；</w:t>
      </w:r>
    </w:p>
    <w:p w14:paraId="750B51CC">
      <w:pPr>
        <w:numPr>
          <w:ilvl w:val="0"/>
          <w:numId w:val="9"/>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接受</w:t>
      </w:r>
      <w:r>
        <w:rPr>
          <w:rFonts w:hint="eastAsia" w:ascii="宋体" w:hAnsi="宋体" w:cs="宋体"/>
          <w:kern w:val="0"/>
          <w:sz w:val="24"/>
          <w:szCs w:val="24"/>
          <w:lang w:eastAsia="zh-CN"/>
        </w:rPr>
        <w:t>供应商</w:t>
      </w:r>
      <w:r>
        <w:rPr>
          <w:rFonts w:hint="eastAsia" w:ascii="宋体" w:hAnsi="宋体" w:eastAsia="宋体" w:cs="宋体"/>
          <w:kern w:val="0"/>
          <w:sz w:val="24"/>
          <w:szCs w:val="24"/>
        </w:rPr>
        <w:t>提出的与投标文件不一致的澄清或者说明（对于投标文件中含义不明确、同类问题表述不一致或者有明显文字和计算错误的内容，</w:t>
      </w:r>
      <w:r>
        <w:rPr>
          <w:rFonts w:hint="eastAsia" w:ascii="宋体" w:hAnsi="宋体" w:eastAsia="宋体" w:cs="宋体"/>
          <w:sz w:val="24"/>
          <w:szCs w:val="24"/>
        </w:rPr>
        <w:t>评标委员会</w:t>
      </w:r>
      <w:r>
        <w:rPr>
          <w:rFonts w:hint="eastAsia" w:ascii="宋体" w:hAnsi="宋体" w:eastAsia="宋体" w:cs="宋体"/>
          <w:kern w:val="0"/>
          <w:sz w:val="24"/>
          <w:szCs w:val="24"/>
        </w:rPr>
        <w:t>以书面形式要求</w:t>
      </w:r>
      <w:r>
        <w:rPr>
          <w:rFonts w:hint="eastAsia" w:ascii="宋体" w:hAnsi="宋体" w:cs="宋体"/>
          <w:kern w:val="0"/>
          <w:sz w:val="24"/>
          <w:szCs w:val="24"/>
          <w:lang w:eastAsia="zh-CN"/>
        </w:rPr>
        <w:t>供应商</w:t>
      </w:r>
      <w:r>
        <w:rPr>
          <w:rFonts w:hint="eastAsia" w:ascii="宋体" w:hAnsi="宋体" w:eastAsia="宋体" w:cs="宋体"/>
          <w:kern w:val="0"/>
          <w:sz w:val="24"/>
          <w:szCs w:val="24"/>
        </w:rPr>
        <w:t>作出必要的澄清、说明或者补正的除外）；</w:t>
      </w:r>
    </w:p>
    <w:p w14:paraId="0718D6C7">
      <w:pPr>
        <w:numPr>
          <w:ilvl w:val="0"/>
          <w:numId w:val="9"/>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违反评标纪律发表倾向性意见或者征询采购人的倾向性意见；</w:t>
      </w:r>
    </w:p>
    <w:p w14:paraId="066E9F07">
      <w:pPr>
        <w:numPr>
          <w:ilvl w:val="0"/>
          <w:numId w:val="9"/>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对需要专业判断的主观评审因素协商评分；</w:t>
      </w:r>
    </w:p>
    <w:p w14:paraId="764BFF57">
      <w:pPr>
        <w:numPr>
          <w:ilvl w:val="0"/>
          <w:numId w:val="9"/>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在评标过程中擅离职守，影响评标程序正常进行的；</w:t>
      </w:r>
    </w:p>
    <w:p w14:paraId="3B522FDA">
      <w:pPr>
        <w:numPr>
          <w:ilvl w:val="0"/>
          <w:numId w:val="9"/>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记录、复制或者带走任何评标资料；</w:t>
      </w:r>
    </w:p>
    <w:p w14:paraId="7C27CA9F">
      <w:pPr>
        <w:numPr>
          <w:ilvl w:val="0"/>
          <w:numId w:val="9"/>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其他不遵守评标纪律的行为。</w:t>
      </w:r>
    </w:p>
    <w:p w14:paraId="28E6E02E">
      <w:pPr>
        <w:tabs>
          <w:tab w:val="left" w:pos="720"/>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评标委员会成员有本章第5.3.2项第（1）至（5）目行为之一的，其评审意见无效，并不得获取评审劳务报酬和报销异地评审差旅费。</w:t>
      </w:r>
    </w:p>
    <w:p w14:paraId="3B7F7CCB">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评标委员会成员对需要共同认定的事项存在争议的，应当按照少数服从多数的原则作出结论。持不同意见的评标委员会成员应当在评标报告上签署不同意见及理由，否则视为同意评标报告。</w:t>
      </w:r>
    </w:p>
    <w:p w14:paraId="3EDD10DC">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评标方法</w:t>
      </w:r>
    </w:p>
    <w:p w14:paraId="54DA2EEF">
      <w:pPr>
        <w:numPr>
          <w:ilvl w:val="0"/>
          <w:numId w:val="10"/>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sz w:val="24"/>
          <w:szCs w:val="24"/>
        </w:rPr>
        <w:t>评标委员会</w:t>
      </w:r>
      <w:r>
        <w:rPr>
          <w:rFonts w:hint="eastAsia" w:ascii="宋体" w:hAnsi="宋体" w:eastAsia="宋体" w:cs="宋体"/>
          <w:kern w:val="0"/>
          <w:sz w:val="24"/>
          <w:szCs w:val="24"/>
        </w:rPr>
        <w:t>按照第四章评标办法规定的方法、评审因素、标准和程序对投标文件进行评审。第四章评标办法没有规定的方法、评审因素和标准，不作为评标依据。</w:t>
      </w:r>
    </w:p>
    <w:p w14:paraId="5F164576">
      <w:pPr>
        <w:numPr>
          <w:ilvl w:val="0"/>
          <w:numId w:val="10"/>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评标完成后，</w:t>
      </w:r>
      <w:r>
        <w:rPr>
          <w:rFonts w:hint="eastAsia" w:ascii="宋体" w:hAnsi="宋体" w:eastAsia="宋体" w:cs="宋体"/>
          <w:sz w:val="24"/>
          <w:szCs w:val="24"/>
        </w:rPr>
        <w:t>评标委员会</w:t>
      </w:r>
      <w:r>
        <w:rPr>
          <w:rFonts w:hint="eastAsia" w:ascii="宋体" w:hAnsi="宋体" w:eastAsia="宋体" w:cs="宋体"/>
          <w:kern w:val="0"/>
          <w:sz w:val="24"/>
          <w:szCs w:val="24"/>
        </w:rPr>
        <w:t>应当向采购人提交书面评标报告和中标候选人名单。</w:t>
      </w:r>
      <w:r>
        <w:rPr>
          <w:rFonts w:hint="eastAsia" w:ascii="宋体" w:hAnsi="宋体" w:eastAsia="宋体" w:cs="宋体"/>
          <w:sz w:val="24"/>
          <w:szCs w:val="24"/>
        </w:rPr>
        <w:t>评标委员会</w:t>
      </w:r>
      <w:r>
        <w:rPr>
          <w:rFonts w:hint="eastAsia" w:ascii="宋体" w:hAnsi="宋体" w:eastAsia="宋体" w:cs="宋体"/>
          <w:kern w:val="0"/>
          <w:sz w:val="24"/>
          <w:szCs w:val="24"/>
        </w:rPr>
        <w:t>推荐中标候选人的人数见</w:t>
      </w:r>
      <w:r>
        <w:rPr>
          <w:rFonts w:hint="eastAsia" w:ascii="宋体" w:hAnsi="宋体" w:cs="宋体"/>
          <w:kern w:val="0"/>
          <w:sz w:val="24"/>
          <w:szCs w:val="24"/>
          <w:lang w:eastAsia="zh-CN"/>
        </w:rPr>
        <w:t>供应商</w:t>
      </w:r>
      <w:r>
        <w:rPr>
          <w:rFonts w:hint="eastAsia" w:ascii="宋体" w:hAnsi="宋体" w:eastAsia="宋体" w:cs="宋体"/>
          <w:kern w:val="0"/>
          <w:sz w:val="24"/>
          <w:szCs w:val="24"/>
        </w:rPr>
        <w:t>须知前附表。</w:t>
      </w:r>
    </w:p>
    <w:p w14:paraId="03F33771">
      <w:pPr>
        <w:pStyle w:val="4"/>
        <w:numPr>
          <w:ilvl w:val="1"/>
          <w:numId w:val="2"/>
        </w:numPr>
        <w:rPr>
          <w:rFonts w:hint="eastAsia" w:ascii="宋体" w:hAnsi="宋体" w:eastAsia="宋体" w:cs="宋体"/>
          <w:sz w:val="24"/>
          <w:szCs w:val="24"/>
        </w:rPr>
      </w:pPr>
      <w:bookmarkStart w:id="402" w:name="_Toc28834"/>
      <w:bookmarkStart w:id="403" w:name="_Toc9518"/>
      <w:bookmarkStart w:id="404" w:name="_Toc12131"/>
      <w:bookmarkStart w:id="405" w:name="_Toc7396"/>
      <w:bookmarkStart w:id="406" w:name="_Toc25755"/>
      <w:bookmarkStart w:id="407" w:name="_Toc886"/>
      <w:bookmarkStart w:id="408" w:name="_Toc10927"/>
      <w:bookmarkStart w:id="409" w:name="_Toc25530"/>
      <w:bookmarkStart w:id="410" w:name="_Toc13150070"/>
      <w:bookmarkStart w:id="411" w:name="_Toc5813"/>
      <w:bookmarkStart w:id="412" w:name="_Toc12609"/>
      <w:bookmarkStart w:id="413" w:name="_Toc18846"/>
      <w:bookmarkStart w:id="414" w:name="_Toc27962"/>
      <w:bookmarkStart w:id="415" w:name="_Toc13138"/>
      <w:bookmarkStart w:id="416" w:name="_Toc608"/>
      <w:r>
        <w:rPr>
          <w:rFonts w:hint="eastAsia" w:ascii="宋体" w:hAnsi="宋体" w:eastAsia="宋体" w:cs="宋体"/>
          <w:sz w:val="24"/>
          <w:szCs w:val="24"/>
        </w:rPr>
        <w:t>保密及其它注意事项</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14:paraId="3C947978">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评标是招标工作的重要环节，评标工作在评标委员会内独立进行。</w:t>
      </w:r>
    </w:p>
    <w:p w14:paraId="2BB24295">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评标委员会将遵照规定的评标方法，公正、平等地对待所有</w:t>
      </w:r>
      <w:r>
        <w:rPr>
          <w:rFonts w:hint="eastAsia" w:ascii="宋体" w:hAnsi="宋体" w:cs="宋体"/>
          <w:sz w:val="24"/>
          <w:szCs w:val="24"/>
          <w:lang w:eastAsia="zh-CN"/>
        </w:rPr>
        <w:t>供应商</w:t>
      </w:r>
      <w:r>
        <w:rPr>
          <w:rFonts w:hint="eastAsia" w:ascii="宋体" w:hAnsi="宋体" w:eastAsia="宋体" w:cs="宋体"/>
          <w:sz w:val="24"/>
          <w:szCs w:val="24"/>
        </w:rPr>
        <w:t>。</w:t>
      </w:r>
    </w:p>
    <w:p w14:paraId="3CE69987">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在开标、评标期间，</w:t>
      </w:r>
      <w:r>
        <w:rPr>
          <w:rFonts w:hint="eastAsia" w:ascii="宋体" w:hAnsi="宋体" w:cs="宋体"/>
          <w:sz w:val="24"/>
          <w:szCs w:val="24"/>
          <w:lang w:eastAsia="zh-CN"/>
        </w:rPr>
        <w:t>供应商</w:t>
      </w:r>
      <w:r>
        <w:rPr>
          <w:rFonts w:hint="eastAsia" w:ascii="宋体" w:hAnsi="宋体" w:eastAsia="宋体" w:cs="宋体"/>
          <w:sz w:val="24"/>
          <w:szCs w:val="24"/>
        </w:rPr>
        <w:t>不得向评委询问评标情况，不得进行旨在影响评标结果的活动。否则其投标可能被拒绝。</w:t>
      </w:r>
    </w:p>
    <w:p w14:paraId="0C4571E5">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为保证评标的公正性，开标后直至授予</w:t>
      </w:r>
      <w:r>
        <w:rPr>
          <w:rFonts w:hint="eastAsia" w:ascii="宋体" w:hAnsi="宋体" w:cs="宋体"/>
          <w:sz w:val="24"/>
          <w:szCs w:val="24"/>
          <w:lang w:eastAsia="zh-CN"/>
        </w:rPr>
        <w:t>供应商</w:t>
      </w:r>
      <w:r>
        <w:rPr>
          <w:rFonts w:hint="eastAsia" w:ascii="宋体" w:hAnsi="宋体" w:eastAsia="宋体" w:cs="宋体"/>
          <w:sz w:val="24"/>
          <w:szCs w:val="24"/>
        </w:rPr>
        <w:t>合同，评委不得与</w:t>
      </w:r>
      <w:r>
        <w:rPr>
          <w:rFonts w:hint="eastAsia" w:ascii="宋体" w:hAnsi="宋体" w:cs="宋体"/>
          <w:sz w:val="24"/>
          <w:szCs w:val="24"/>
          <w:lang w:eastAsia="zh-CN"/>
        </w:rPr>
        <w:t>供应商</w:t>
      </w:r>
      <w:r>
        <w:rPr>
          <w:rFonts w:hint="eastAsia" w:ascii="宋体" w:hAnsi="宋体" w:eastAsia="宋体" w:cs="宋体"/>
          <w:sz w:val="24"/>
          <w:szCs w:val="24"/>
        </w:rPr>
        <w:t>私下交换意见。</w:t>
      </w:r>
    </w:p>
    <w:p w14:paraId="1E079C2D">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在评标工作结束后，凡与评标情况有接触的任何人不得擅自将评标情况扩散出评标人员之外。</w:t>
      </w:r>
    </w:p>
    <w:p w14:paraId="1153F1C7">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评标结束后，投标文件概不退还。</w:t>
      </w:r>
    </w:p>
    <w:p w14:paraId="490C7D6D">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bookmarkStart w:id="417" w:name="_Toc24068_WPSOffice_Level2"/>
      <w:bookmarkStart w:id="418" w:name="_Toc14211"/>
      <w:bookmarkStart w:id="419" w:name="_Toc16677"/>
      <w:bookmarkStart w:id="420" w:name="_Toc11172"/>
      <w:bookmarkStart w:id="421" w:name="_Toc312133548"/>
      <w:r>
        <w:rPr>
          <w:rFonts w:hint="eastAsia" w:ascii="宋体" w:hAnsi="宋体" w:eastAsia="宋体" w:cs="宋体"/>
          <w:sz w:val="24"/>
          <w:szCs w:val="24"/>
        </w:rPr>
        <w:t>授予合同</w:t>
      </w:r>
      <w:bookmarkEnd w:id="417"/>
      <w:bookmarkEnd w:id="418"/>
      <w:bookmarkEnd w:id="419"/>
      <w:bookmarkEnd w:id="420"/>
      <w:bookmarkEnd w:id="421"/>
    </w:p>
    <w:p w14:paraId="7886EE16">
      <w:pPr>
        <w:pStyle w:val="4"/>
        <w:numPr>
          <w:ilvl w:val="1"/>
          <w:numId w:val="2"/>
        </w:numPr>
        <w:rPr>
          <w:rFonts w:hint="eastAsia" w:ascii="宋体" w:hAnsi="宋体" w:eastAsia="宋体" w:cs="宋体"/>
          <w:sz w:val="24"/>
          <w:szCs w:val="24"/>
        </w:rPr>
      </w:pPr>
      <w:bookmarkStart w:id="422" w:name="_Toc22971"/>
      <w:bookmarkStart w:id="423" w:name="_Toc4415"/>
      <w:bookmarkStart w:id="424" w:name="_Toc13150072"/>
      <w:bookmarkStart w:id="425" w:name="_Toc22539"/>
      <w:bookmarkStart w:id="426" w:name="_Toc22245"/>
      <w:bookmarkStart w:id="427" w:name="_Toc20851"/>
      <w:bookmarkStart w:id="428" w:name="_Toc26787"/>
      <w:bookmarkStart w:id="429" w:name="_Toc13599"/>
      <w:bookmarkStart w:id="430" w:name="_Toc21756"/>
      <w:bookmarkStart w:id="431" w:name="_Toc3574"/>
      <w:bookmarkStart w:id="432" w:name="_Toc25368"/>
      <w:bookmarkStart w:id="433" w:name="_Toc14048"/>
      <w:bookmarkStart w:id="434" w:name="_Toc32241"/>
      <w:bookmarkStart w:id="435" w:name="_Toc20199"/>
      <w:bookmarkStart w:id="436" w:name="_Toc6320"/>
      <w:bookmarkStart w:id="437" w:name="_Toc26604"/>
      <w:bookmarkStart w:id="438" w:name="_Toc22088"/>
      <w:bookmarkStart w:id="439" w:name="_Toc22457"/>
      <w:bookmarkStart w:id="440" w:name="_Toc17818"/>
      <w:bookmarkStart w:id="441" w:name="_Toc23900"/>
      <w:bookmarkStart w:id="442" w:name="_Toc30644"/>
      <w:r>
        <w:rPr>
          <w:rFonts w:hint="eastAsia" w:ascii="宋体" w:hAnsi="宋体" w:eastAsia="宋体" w:cs="宋体"/>
          <w:sz w:val="24"/>
          <w:szCs w:val="24"/>
        </w:rPr>
        <w:t>中标公告</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742AB1E4">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代理机构应当在评标结束后2个工作日内将评标报告送采购人。采购人应自收到评标报告之日起5个工作日内，在评标报告确定的中标候选人名单中按顺序确定中标人。中标候选人并列的，由采购人采取随机抽取的方式确定中标人。</w:t>
      </w:r>
    </w:p>
    <w:p w14:paraId="4AA7D29B">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采购代理机构应当自中标人确定之日起2个工作日内，在省级以上财政部门指定的媒体上公告中标结果，招标文件应当随中标结果同时公告。公告期限为1个工作日。</w:t>
      </w:r>
    </w:p>
    <w:p w14:paraId="43FAD544">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中标通知书发出后，采购人不得违法改变中标结果，中标人无正当理由不得放弃中标。</w:t>
      </w:r>
    </w:p>
    <w:p w14:paraId="6CB0AF6C">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各有关当事人对中标结果有异议的，可以在成交结果公告期限届满之日起七个工作日内，按政府采购质疑和投诉办法（中华人民共和国财政部令第94号）要求以书面形式同时向采购人和采购代理机构提出质疑，逾期提交或未按照要求提交的质疑函将不予受理。</w:t>
      </w:r>
      <w:bookmarkEnd w:id="437"/>
      <w:bookmarkEnd w:id="438"/>
      <w:bookmarkEnd w:id="439"/>
      <w:bookmarkEnd w:id="440"/>
      <w:bookmarkEnd w:id="441"/>
      <w:bookmarkEnd w:id="442"/>
    </w:p>
    <w:p w14:paraId="5FD69618">
      <w:pPr>
        <w:pStyle w:val="4"/>
        <w:numPr>
          <w:ilvl w:val="1"/>
          <w:numId w:val="2"/>
        </w:numPr>
        <w:rPr>
          <w:rFonts w:hint="eastAsia" w:ascii="宋体" w:hAnsi="宋体" w:eastAsia="宋体" w:cs="宋体"/>
          <w:sz w:val="24"/>
          <w:szCs w:val="24"/>
        </w:rPr>
      </w:pPr>
      <w:bookmarkStart w:id="443" w:name="_Toc13150073"/>
      <w:bookmarkStart w:id="444" w:name="_Toc19732"/>
      <w:bookmarkStart w:id="445" w:name="_Toc7372"/>
      <w:bookmarkStart w:id="446" w:name="_Toc11820"/>
      <w:bookmarkStart w:id="447" w:name="_Toc28205"/>
      <w:bookmarkStart w:id="448" w:name="_Toc31985"/>
      <w:bookmarkStart w:id="449" w:name="_Toc11927"/>
      <w:bookmarkStart w:id="450" w:name="_Toc22820"/>
      <w:bookmarkStart w:id="451" w:name="_Toc21786"/>
      <w:bookmarkStart w:id="452" w:name="_Toc22373"/>
      <w:bookmarkStart w:id="453" w:name="_Toc12224"/>
      <w:bookmarkStart w:id="454" w:name="_Toc25621"/>
      <w:bookmarkStart w:id="455" w:name="_Toc23610"/>
      <w:bookmarkStart w:id="456" w:name="_Toc22911"/>
      <w:bookmarkStart w:id="457" w:name="_Toc29117"/>
      <w:r>
        <w:rPr>
          <w:rFonts w:hint="eastAsia" w:ascii="宋体" w:hAnsi="宋体" w:eastAsia="宋体" w:cs="宋体"/>
          <w:sz w:val="24"/>
          <w:szCs w:val="24"/>
        </w:rPr>
        <w:t>采购任务取消</w:t>
      </w:r>
      <w:bookmarkEnd w:id="443"/>
      <w:bookmarkEnd w:id="444"/>
      <w:bookmarkEnd w:id="445"/>
      <w:bookmarkEnd w:id="446"/>
      <w:bookmarkEnd w:id="447"/>
      <w:bookmarkEnd w:id="448"/>
      <w:bookmarkEnd w:id="449"/>
      <w:bookmarkEnd w:id="450"/>
    </w:p>
    <w:p w14:paraId="5F659B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因重大变故采购任务取消时，采购人有权拒绝任何</w:t>
      </w:r>
      <w:r>
        <w:rPr>
          <w:rFonts w:hint="eastAsia" w:ascii="宋体" w:hAnsi="宋体" w:cs="宋体"/>
          <w:sz w:val="24"/>
          <w:szCs w:val="24"/>
          <w:lang w:eastAsia="zh-CN"/>
        </w:rPr>
        <w:t>供应商</w:t>
      </w:r>
      <w:r>
        <w:rPr>
          <w:rFonts w:hint="eastAsia" w:ascii="宋体" w:hAnsi="宋体" w:eastAsia="宋体" w:cs="宋体"/>
          <w:sz w:val="24"/>
          <w:szCs w:val="24"/>
        </w:rPr>
        <w:t>中标，且对受影响的</w:t>
      </w:r>
      <w:r>
        <w:rPr>
          <w:rFonts w:hint="eastAsia" w:ascii="宋体" w:hAnsi="宋体" w:cs="宋体"/>
          <w:sz w:val="24"/>
          <w:szCs w:val="24"/>
          <w:lang w:eastAsia="zh-CN"/>
        </w:rPr>
        <w:t>供应商</w:t>
      </w:r>
      <w:r>
        <w:rPr>
          <w:rFonts w:hint="eastAsia" w:ascii="宋体" w:hAnsi="宋体" w:eastAsia="宋体" w:cs="宋体"/>
          <w:sz w:val="24"/>
          <w:szCs w:val="24"/>
        </w:rPr>
        <w:t>不承担任何责任。</w:t>
      </w:r>
    </w:p>
    <w:p w14:paraId="707EFC92">
      <w:pPr>
        <w:pStyle w:val="4"/>
        <w:numPr>
          <w:ilvl w:val="1"/>
          <w:numId w:val="2"/>
        </w:numPr>
        <w:rPr>
          <w:rFonts w:hint="eastAsia" w:ascii="宋体" w:hAnsi="宋体" w:eastAsia="宋体" w:cs="宋体"/>
          <w:sz w:val="24"/>
          <w:szCs w:val="24"/>
        </w:rPr>
      </w:pPr>
      <w:bookmarkStart w:id="458" w:name="_Toc26213"/>
      <w:bookmarkStart w:id="459" w:name="_Toc20626"/>
      <w:bookmarkStart w:id="460" w:name="_Toc24223"/>
      <w:bookmarkStart w:id="461" w:name="_Toc5799"/>
      <w:bookmarkStart w:id="462" w:name="_Toc14610"/>
      <w:bookmarkStart w:id="463" w:name="_Toc2339"/>
      <w:bookmarkStart w:id="464" w:name="_Toc12305"/>
      <w:bookmarkStart w:id="465" w:name="_Toc15356"/>
      <w:bookmarkStart w:id="466" w:name="_Toc3846"/>
      <w:bookmarkStart w:id="467" w:name="_Toc19371"/>
      <w:bookmarkStart w:id="468" w:name="_Toc26351"/>
      <w:bookmarkStart w:id="469" w:name="_Toc12174"/>
      <w:bookmarkStart w:id="470" w:name="_Toc13150074"/>
      <w:bookmarkStart w:id="471" w:name="_Toc8095"/>
      <w:bookmarkStart w:id="472" w:name="_Toc29785"/>
      <w:r>
        <w:rPr>
          <w:rFonts w:hint="eastAsia" w:ascii="宋体" w:hAnsi="宋体" w:eastAsia="宋体" w:cs="宋体"/>
          <w:sz w:val="24"/>
          <w:szCs w:val="24"/>
        </w:rPr>
        <w:t>中标通知书</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12BC03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在公告中标结果的同时，采购人或者采购代理机构应当向中标人发出中标通知书，中标通知书将作为进行合同谈判和签订合同的依据。</w:t>
      </w:r>
      <w:bookmarkEnd w:id="451"/>
      <w:bookmarkEnd w:id="452"/>
      <w:bookmarkEnd w:id="453"/>
      <w:bookmarkEnd w:id="454"/>
      <w:bookmarkEnd w:id="455"/>
      <w:bookmarkEnd w:id="456"/>
      <w:bookmarkEnd w:id="457"/>
    </w:p>
    <w:p w14:paraId="0E7F2AF5">
      <w:pPr>
        <w:pStyle w:val="4"/>
        <w:numPr>
          <w:ilvl w:val="1"/>
          <w:numId w:val="2"/>
        </w:numPr>
        <w:rPr>
          <w:rFonts w:hint="eastAsia" w:ascii="宋体" w:hAnsi="宋体" w:eastAsia="宋体" w:cs="宋体"/>
          <w:sz w:val="24"/>
          <w:szCs w:val="24"/>
        </w:rPr>
      </w:pPr>
      <w:bookmarkStart w:id="473" w:name="_Toc1226"/>
      <w:bookmarkStart w:id="474" w:name="_Toc10361"/>
      <w:bookmarkStart w:id="475" w:name="_Toc15128"/>
      <w:bookmarkStart w:id="476" w:name="_Toc28203"/>
      <w:bookmarkStart w:id="477" w:name="_Toc11221"/>
      <w:bookmarkStart w:id="478" w:name="_Toc13150076"/>
      <w:bookmarkStart w:id="479" w:name="_Toc21533"/>
      <w:bookmarkStart w:id="480" w:name="_Toc3376"/>
      <w:bookmarkStart w:id="481" w:name="_Toc15061"/>
      <w:bookmarkStart w:id="482" w:name="_Toc6766"/>
      <w:bookmarkStart w:id="483" w:name="_Toc22384"/>
      <w:bookmarkStart w:id="484" w:name="_Toc26471"/>
      <w:bookmarkStart w:id="485" w:name="_Toc21638"/>
      <w:bookmarkStart w:id="486" w:name="_Toc12530"/>
      <w:bookmarkStart w:id="487" w:name="_Toc8166"/>
      <w:r>
        <w:rPr>
          <w:rFonts w:hint="eastAsia" w:ascii="宋体" w:hAnsi="宋体" w:eastAsia="宋体" w:cs="宋体"/>
          <w:sz w:val="24"/>
          <w:szCs w:val="24"/>
        </w:rPr>
        <w:t>签订合同</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39F10899">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采购人应当自中标通知书发出之日起</w:t>
      </w:r>
      <w:r>
        <w:rPr>
          <w:rFonts w:hint="eastAsia" w:ascii="宋体" w:hAnsi="宋体" w:cs="宋体"/>
          <w:sz w:val="24"/>
          <w:szCs w:val="24"/>
          <w:lang w:val="en-US" w:eastAsia="zh-CN"/>
        </w:rPr>
        <w:t>2工作日</w:t>
      </w:r>
      <w:r>
        <w:rPr>
          <w:rFonts w:hint="eastAsia" w:ascii="宋体" w:hAnsi="宋体" w:eastAsia="宋体" w:cs="宋体"/>
          <w:sz w:val="24"/>
          <w:szCs w:val="24"/>
        </w:rPr>
        <w:t>内，按照招标文件和中标人投标文件的规定，与中标人签订书面合同。所签订的合同不得对招标文件确定的事项和中标人投标文件作实质性修改。</w:t>
      </w:r>
    </w:p>
    <w:p w14:paraId="0648CF70">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中标人拒绝与采购人签订合同的，采购人可以按照评标报告推荐的中标候选人名单排序，确定下一候选人为中标人，也可以重新开展政府采购活动。</w:t>
      </w:r>
    </w:p>
    <w:p w14:paraId="307F7435">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招标文件、中标人的投标文件和澄清文件等，均应作为签约的合同文本的基础。</w:t>
      </w:r>
    </w:p>
    <w:p w14:paraId="792DEF61">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如采购人或中标人拒签合同，则按违约处理。对违约方收取中标金额2%的违约金。</w:t>
      </w:r>
    </w:p>
    <w:p w14:paraId="21843DBC">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政府采购合同应当包括采购人与中标人的名称和住所、标的、数量、质量、价款或者报酬、履行期限及地点和方式、验收要求、违约责任、解决争议的方法等内容。</w:t>
      </w:r>
    </w:p>
    <w:p w14:paraId="2C653291">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如中标人不按本章第6.5.1项约定签订合同，采购人将报请取消其中标决定。采购人可在中标候选人中重新选定中标人或者重新招标。</w:t>
      </w:r>
    </w:p>
    <w:p w14:paraId="4398176D">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bookmarkStart w:id="488" w:name="_Toc26401"/>
      <w:bookmarkStart w:id="489" w:name="_Toc19000"/>
      <w:bookmarkStart w:id="490" w:name="_Toc25728"/>
      <w:bookmarkStart w:id="491" w:name="_Toc15896"/>
      <w:bookmarkStart w:id="492" w:name="_Toc28329"/>
      <w:bookmarkStart w:id="493" w:name="_Toc1242"/>
      <w:bookmarkStart w:id="494" w:name="_Toc9953"/>
      <w:bookmarkStart w:id="495" w:name="_Toc11105"/>
      <w:bookmarkStart w:id="496" w:name="_Toc27041"/>
      <w:bookmarkStart w:id="497" w:name="_Toc15576_WPSOffice_Level2"/>
      <w:r>
        <w:rPr>
          <w:rFonts w:hint="eastAsia" w:ascii="宋体" w:hAnsi="宋体" w:eastAsia="宋体" w:cs="宋体"/>
          <w:sz w:val="24"/>
          <w:szCs w:val="24"/>
        </w:rPr>
        <w:t>信用记录</w:t>
      </w:r>
      <w:bookmarkEnd w:id="488"/>
      <w:bookmarkEnd w:id="489"/>
      <w:bookmarkEnd w:id="490"/>
      <w:bookmarkEnd w:id="491"/>
      <w:bookmarkEnd w:id="492"/>
      <w:bookmarkEnd w:id="493"/>
      <w:bookmarkEnd w:id="494"/>
      <w:bookmarkEnd w:id="495"/>
      <w:bookmarkEnd w:id="496"/>
      <w:bookmarkEnd w:id="497"/>
    </w:p>
    <w:p w14:paraId="3CA06EA9">
      <w:pPr>
        <w:numPr>
          <w:ilvl w:val="2"/>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根据《关于在政府采购活动中查询及使用信用记录有关问题的通知》（财库[2016]125号）和豫财购【2016】15号的规定，对列入失信被执行人、</w:t>
      </w:r>
      <w:r>
        <w:rPr>
          <w:rFonts w:hint="eastAsia" w:ascii="宋体" w:hAnsi="宋体" w:eastAsia="宋体" w:cs="宋体"/>
          <w:sz w:val="24"/>
          <w:szCs w:val="24"/>
          <w:lang w:eastAsia="zh-CN"/>
        </w:rPr>
        <w:t>重大税收违法失信主体</w:t>
      </w:r>
      <w:r>
        <w:rPr>
          <w:rFonts w:hint="eastAsia" w:ascii="宋体" w:hAnsi="宋体" w:eastAsia="宋体" w:cs="宋体"/>
          <w:sz w:val="24"/>
          <w:szCs w:val="24"/>
        </w:rPr>
        <w:t>、政府采购严重违法失信行为记录名单的</w:t>
      </w:r>
      <w:r>
        <w:rPr>
          <w:rFonts w:hint="eastAsia" w:ascii="宋体" w:hAnsi="宋体" w:eastAsia="宋体" w:cs="宋体"/>
          <w:sz w:val="24"/>
          <w:szCs w:val="24"/>
          <w:lang w:eastAsia="zh-CN"/>
        </w:rPr>
        <w:t>供应商</w:t>
      </w:r>
      <w:r>
        <w:rPr>
          <w:rFonts w:hint="eastAsia" w:ascii="宋体" w:hAnsi="宋体" w:eastAsia="宋体" w:cs="宋体"/>
          <w:sz w:val="24"/>
          <w:szCs w:val="24"/>
        </w:rPr>
        <w:t>，拒绝参与本项目采购活动；须提供“信用中国”网站（</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"http://gzjy.smx.gov.cn/SMX/ContentController/www.creditchina.gov.cn" </w:instrText>
      </w:r>
      <w:r>
        <w:rPr>
          <w:rFonts w:hint="eastAsia" w:ascii="宋体" w:hAnsi="宋体" w:eastAsia="宋体" w:cs="宋体"/>
          <w:sz w:val="24"/>
          <w:szCs w:val="24"/>
        </w:rPr>
        <w:fldChar w:fldCharType="separate"/>
      </w:r>
      <w:r>
        <w:rPr>
          <w:rFonts w:hint="eastAsia" w:ascii="宋体" w:hAnsi="宋体" w:eastAsia="宋体" w:cs="宋体"/>
          <w:sz w:val="24"/>
          <w:szCs w:val="24"/>
        </w:rPr>
        <w:t>www.creditchina.gov.cn</w:t>
      </w:r>
      <w:r>
        <w:rPr>
          <w:rFonts w:hint="eastAsia" w:ascii="宋体" w:hAnsi="宋体" w:eastAsia="宋体" w:cs="宋体"/>
          <w:sz w:val="24"/>
          <w:szCs w:val="24"/>
        </w:rPr>
        <w:fldChar w:fldCharType="end"/>
      </w:r>
      <w:r>
        <w:rPr>
          <w:rFonts w:hint="eastAsia" w:ascii="宋体" w:hAnsi="宋体" w:eastAsia="宋体" w:cs="宋体"/>
          <w:sz w:val="24"/>
          <w:szCs w:val="24"/>
        </w:rPr>
        <w:t>）、中国政府采购网（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"http://gzjy.smx.gov.cn/SMX/ContentController/www.ccgp.gov.cn" </w:instrText>
      </w:r>
      <w:r>
        <w:rPr>
          <w:rFonts w:hint="eastAsia" w:ascii="宋体" w:hAnsi="宋体" w:eastAsia="宋体" w:cs="宋体"/>
          <w:sz w:val="24"/>
          <w:szCs w:val="24"/>
        </w:rP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）的网页查询结果。查询时间为招标公告发布日期之后</w:t>
      </w:r>
      <w:r>
        <w:rPr>
          <w:rFonts w:hint="eastAsia" w:ascii="宋体" w:hAnsi="宋体" w:cs="宋体"/>
          <w:sz w:val="24"/>
          <w:szCs w:val="24"/>
          <w:lang w:eastAsia="zh-CN"/>
        </w:rPr>
        <w:t>，</w:t>
      </w:r>
      <w:r>
        <w:rPr>
          <w:rFonts w:hint="eastAsia" w:ascii="宋体" w:hAnsi="宋体" w:eastAsia="宋体" w:cs="宋体"/>
          <w:sz w:val="24"/>
          <w:szCs w:val="24"/>
        </w:rPr>
        <w:t>信息查询记录同汇总资料等资料一同归档保存。</w:t>
      </w:r>
    </w:p>
    <w:p w14:paraId="12DFFABA">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bookmarkStart w:id="498" w:name="_Toc18782"/>
      <w:bookmarkStart w:id="499" w:name="_Toc8187_WPSOffice_Level2"/>
      <w:bookmarkStart w:id="500" w:name="_Toc26778"/>
      <w:bookmarkStart w:id="501" w:name="_Toc23977"/>
      <w:r>
        <w:rPr>
          <w:rFonts w:hint="eastAsia" w:ascii="宋体" w:hAnsi="宋体" w:eastAsia="宋体" w:cs="宋体"/>
          <w:sz w:val="24"/>
          <w:szCs w:val="24"/>
        </w:rPr>
        <w:t>质疑程序及处理</w:t>
      </w:r>
    </w:p>
    <w:p w14:paraId="62EBE381">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.1 </w:t>
      </w:r>
      <w:r>
        <w:rPr>
          <w:rFonts w:hint="eastAsia" w:ascii="宋体" w:hAnsi="宋体" w:eastAsia="宋体" w:cs="Times New Roman"/>
          <w:sz w:val="24"/>
          <w:szCs w:val="24"/>
        </w:rPr>
        <w:t>若</w:t>
      </w:r>
      <w:r>
        <w:rPr>
          <w:rFonts w:hint="eastAsia" w:ascii="宋体" w:hAnsi="宋体" w:cs="Times New Roman"/>
          <w:sz w:val="24"/>
          <w:szCs w:val="24"/>
          <w:lang w:val="en-US" w:eastAsia="zh-CN"/>
        </w:rPr>
        <w:t>投标人</w:t>
      </w:r>
      <w:r>
        <w:rPr>
          <w:rFonts w:hint="eastAsia" w:ascii="宋体" w:hAnsi="宋体" w:eastAsia="宋体" w:cs="Times New Roman"/>
          <w:sz w:val="24"/>
          <w:szCs w:val="24"/>
        </w:rPr>
        <w:t>认为其</w:t>
      </w:r>
      <w:r>
        <w:rPr>
          <w:rFonts w:hint="eastAsia" w:ascii="宋体" w:hAnsi="宋体" w:cs="Times New Roman"/>
          <w:sz w:val="24"/>
          <w:szCs w:val="24"/>
          <w:lang w:val="en-US" w:eastAsia="zh-CN"/>
        </w:rPr>
        <w:t>投标</w:t>
      </w:r>
      <w:r>
        <w:rPr>
          <w:rFonts w:hint="eastAsia" w:ascii="宋体" w:hAnsi="宋体" w:eastAsia="宋体" w:cs="Times New Roman"/>
          <w:sz w:val="24"/>
          <w:szCs w:val="24"/>
        </w:rPr>
        <w:t>未获公平评审或</w:t>
      </w:r>
      <w:r>
        <w:rPr>
          <w:rFonts w:hint="eastAsia" w:ascii="宋体" w:hAnsi="宋体" w:cs="Times New Roman"/>
          <w:sz w:val="24"/>
          <w:szCs w:val="24"/>
          <w:lang w:val="en-US" w:eastAsia="zh-CN"/>
        </w:rPr>
        <w:t>招标</w:t>
      </w:r>
      <w:r>
        <w:rPr>
          <w:rFonts w:hint="eastAsia" w:ascii="宋体" w:hAnsi="宋体" w:eastAsia="宋体" w:cs="Times New Roman"/>
          <w:sz w:val="24"/>
          <w:szCs w:val="24"/>
        </w:rPr>
        <w:t>文件、采购过程和</w:t>
      </w:r>
      <w:r>
        <w:rPr>
          <w:rFonts w:hint="eastAsia" w:ascii="宋体" w:hAnsi="宋体" w:cs="Times New Roman"/>
          <w:sz w:val="24"/>
          <w:szCs w:val="24"/>
          <w:lang w:val="en-US" w:eastAsia="zh-CN"/>
        </w:rPr>
        <w:t>中标</w:t>
      </w:r>
      <w:r>
        <w:rPr>
          <w:rFonts w:hint="eastAsia" w:ascii="宋体" w:hAnsi="宋体" w:eastAsia="宋体" w:cs="Times New Roman"/>
          <w:sz w:val="24"/>
          <w:szCs w:val="24"/>
        </w:rPr>
        <w:t>结果使自己的合法权益受到损害，可以在知道或者应知其权益受到损害之日起</w:t>
      </w:r>
      <w:r>
        <w:rPr>
          <w:rFonts w:ascii="宋体" w:hAnsi="宋体" w:eastAsia="宋体" w:cs="Times New Roman"/>
          <w:sz w:val="24"/>
          <w:szCs w:val="24"/>
        </w:rPr>
        <w:t xml:space="preserve"> 7 </w:t>
      </w:r>
      <w:r>
        <w:rPr>
          <w:rFonts w:hint="eastAsia" w:ascii="宋体" w:hAnsi="宋体" w:eastAsia="宋体" w:cs="Times New Roman"/>
          <w:sz w:val="24"/>
          <w:szCs w:val="24"/>
        </w:rPr>
        <w:t>个工作日内，将质疑书原件送达采购人或采购代理机构。提出质疑期限的计算，依照下列规定办理：</w:t>
      </w:r>
    </w:p>
    <w:p w14:paraId="36D4896A">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（一）对可以质疑的</w:t>
      </w:r>
      <w:r>
        <w:rPr>
          <w:rFonts w:hint="eastAsia" w:ascii="宋体" w:hAnsi="宋体" w:cs="Times New Roman"/>
          <w:sz w:val="24"/>
          <w:szCs w:val="24"/>
          <w:lang w:val="en-US" w:eastAsia="zh-CN"/>
        </w:rPr>
        <w:t>招标</w:t>
      </w:r>
      <w:r>
        <w:rPr>
          <w:rFonts w:hint="eastAsia" w:ascii="宋体" w:hAnsi="宋体" w:eastAsia="宋体" w:cs="Times New Roman"/>
          <w:sz w:val="24"/>
          <w:szCs w:val="24"/>
        </w:rPr>
        <w:t>文件提出质疑的，为收到</w:t>
      </w:r>
      <w:r>
        <w:rPr>
          <w:rFonts w:hint="eastAsia" w:ascii="宋体" w:hAnsi="宋体" w:cs="Times New Roman"/>
          <w:sz w:val="24"/>
          <w:szCs w:val="24"/>
          <w:lang w:val="en-US" w:eastAsia="zh-CN"/>
        </w:rPr>
        <w:t>招标</w:t>
      </w:r>
      <w:r>
        <w:rPr>
          <w:rFonts w:hint="eastAsia" w:ascii="宋体" w:hAnsi="宋体" w:eastAsia="宋体" w:cs="Times New Roman"/>
          <w:sz w:val="24"/>
          <w:szCs w:val="24"/>
        </w:rPr>
        <w:t>文件之日或者</w:t>
      </w:r>
      <w:r>
        <w:rPr>
          <w:rFonts w:hint="eastAsia" w:ascii="宋体" w:hAnsi="宋体" w:cs="Times New Roman"/>
          <w:sz w:val="24"/>
          <w:szCs w:val="24"/>
          <w:lang w:val="en-US" w:eastAsia="zh-CN"/>
        </w:rPr>
        <w:t>招标</w:t>
      </w:r>
      <w:r>
        <w:rPr>
          <w:rFonts w:hint="eastAsia" w:ascii="宋体" w:hAnsi="宋体" w:eastAsia="宋体" w:cs="Times New Roman"/>
          <w:sz w:val="24"/>
          <w:szCs w:val="24"/>
        </w:rPr>
        <w:t>文件公告期限届满之日；</w:t>
      </w:r>
    </w:p>
    <w:p w14:paraId="254473B1">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（二）对采购过程提出质疑的，为各采购程序环节结束之日；</w:t>
      </w:r>
    </w:p>
    <w:p w14:paraId="11EC1DC0">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（三）对</w:t>
      </w:r>
      <w:r>
        <w:rPr>
          <w:rFonts w:hint="eastAsia" w:ascii="宋体" w:hAnsi="宋体" w:cs="Times New Roman"/>
          <w:sz w:val="24"/>
          <w:szCs w:val="24"/>
          <w:lang w:val="en-US" w:eastAsia="zh-CN"/>
        </w:rPr>
        <w:t>中标</w:t>
      </w:r>
      <w:r>
        <w:rPr>
          <w:rFonts w:hint="eastAsia" w:ascii="宋体" w:hAnsi="宋体" w:eastAsia="宋体" w:cs="Times New Roman"/>
          <w:sz w:val="24"/>
          <w:szCs w:val="24"/>
        </w:rPr>
        <w:t>结果提出质疑的，为</w:t>
      </w:r>
      <w:r>
        <w:rPr>
          <w:rFonts w:hint="eastAsia" w:ascii="宋体" w:hAnsi="宋体" w:cs="Times New Roman"/>
          <w:sz w:val="24"/>
          <w:szCs w:val="24"/>
          <w:lang w:val="en-US" w:eastAsia="zh-CN"/>
        </w:rPr>
        <w:t>中标</w:t>
      </w:r>
      <w:r>
        <w:rPr>
          <w:rFonts w:hint="eastAsia" w:ascii="宋体" w:hAnsi="宋体" w:eastAsia="宋体" w:cs="Times New Roman"/>
          <w:sz w:val="24"/>
          <w:szCs w:val="24"/>
        </w:rPr>
        <w:t>结果公告期限届满之日。</w:t>
      </w:r>
    </w:p>
    <w:p w14:paraId="4F5FFEF7">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.2 </w:t>
      </w:r>
      <w:r>
        <w:rPr>
          <w:rFonts w:hint="eastAsia" w:ascii="宋体" w:hAnsi="宋体" w:eastAsia="宋体" w:cs="Times New Roman"/>
          <w:sz w:val="24"/>
          <w:szCs w:val="24"/>
        </w:rPr>
        <w:t>质疑书应当包括下列主要内容，并按照“谁主张、谁举证”的原则，附上相关证明材料。否则，采购人不予受理：</w:t>
      </w:r>
    </w:p>
    <w:p w14:paraId="12944F4F">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（一）质疑</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供应商全称、地址、法定代表人、联系人及联系电话、邮政编码等；</w:t>
      </w:r>
    </w:p>
    <w:p w14:paraId="0E4D8EFC">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（二）被质疑采购项目的名称、编号；</w:t>
      </w:r>
    </w:p>
    <w:p w14:paraId="22CBF536">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（三）质疑的具体事项、明确的请求和主张；</w:t>
      </w:r>
    </w:p>
    <w:p w14:paraId="060C3ADC">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（四）质疑所依据的法律依据（具体条款）、具体事实和具体理由。质疑书依据理由部分只有主观陈述、推理、猜测等，而没有提供客观事实依据、法律依据的；</w:t>
      </w:r>
    </w:p>
    <w:p w14:paraId="40359707">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（五）质疑事项按照有关法律、法规和规章规定及</w:t>
      </w:r>
      <w:r>
        <w:rPr>
          <w:rFonts w:hint="eastAsia" w:ascii="宋体" w:hAnsi="宋体" w:cs="Times New Roman"/>
          <w:sz w:val="24"/>
          <w:szCs w:val="24"/>
          <w:lang w:val="en-US" w:eastAsia="zh-CN"/>
        </w:rPr>
        <w:t>招标</w:t>
      </w:r>
      <w:r>
        <w:rPr>
          <w:rFonts w:hint="eastAsia" w:ascii="宋体" w:hAnsi="宋体" w:eastAsia="宋体" w:cs="Times New Roman"/>
          <w:sz w:val="24"/>
          <w:szCs w:val="24"/>
        </w:rPr>
        <w:t>文件要求属于保密或者处于保密阶段的事项，</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供应商必须提供正常的信息来源或有效证据，</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供应商不能提供或者拒绝提供合法的信息来源或有效证据的；</w:t>
      </w:r>
    </w:p>
    <w:p w14:paraId="5246BDDD">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（六）充足有效的相关证明材料；如果涉及到产品功能或技术指标的，应出具相关制造商的证明文件；</w:t>
      </w:r>
    </w:p>
    <w:p w14:paraId="1AEA5F82">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（七）质疑材料中有外文资料的，应一并附上中文译本，并以中文译本为准。</w:t>
      </w:r>
    </w:p>
    <w:p w14:paraId="6A3D0C47">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rPr>
        <w:t>（八）提起质疑的日期</w:t>
      </w:r>
    </w:p>
    <w:p w14:paraId="461E9A77">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.3 </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供应商质疑实行实名制并须在质疑书上署名。</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供应商不得进行虚假、恶意质疑，不得以质疑为手段获取不当得利、实现非法目的。</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供应商为自然人的，应当由本人签字；</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供应商为法人的，应当由法定代表人签字或盖章并加盖公章；</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供应商为其他组织的，应当由主要负责人签字或盖章并加盖公章。</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供应商其他工作人员或代理人员在质疑书上的署名不具有法律效力。</w:t>
      </w:r>
    </w:p>
    <w:p w14:paraId="52D451E0">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.4 </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供应商委托代理人办理质疑事宜，应当提交授权委托书，并载明委托代理的具体权限和事项。授权委托书应当由委托人签字并加盖单位公章。</w:t>
      </w:r>
    </w:p>
    <w:p w14:paraId="602B89C4">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.5 </w:t>
      </w:r>
      <w:r>
        <w:rPr>
          <w:rFonts w:hint="eastAsia" w:ascii="宋体" w:hAnsi="宋体" w:eastAsia="宋体" w:cs="Times New Roman"/>
          <w:sz w:val="24"/>
          <w:szCs w:val="24"/>
        </w:rPr>
        <w:t>提交质疑书时，</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供应商应同时提交本人身份证，委托他人代理质疑事宜的，还应提交被委托人的身份证。</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供应商是法人的，应一并提交法人营业执照和法定代表人身份证；</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供应商是其他组织的，应一并提交其他组织经营许可证和主要负责人身份证。</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供应商应当提供上述证明材料的原件及复印件，原件经采购人核对无误后返还。</w:t>
      </w:r>
    </w:p>
    <w:p w14:paraId="5790BCC7">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.6 </w:t>
      </w:r>
      <w:r>
        <w:rPr>
          <w:rFonts w:hint="eastAsia" w:ascii="宋体" w:hAnsi="宋体" w:eastAsia="宋体" w:cs="Times New Roman"/>
          <w:sz w:val="24"/>
          <w:szCs w:val="24"/>
        </w:rPr>
        <w:t>质疑书提交方式。</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供应商或者其委托代理人应当当面提交质疑书及相关证明材料。</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供应商以电子邮件、传真等其他方式提交质疑书及相关证明材料的，或者不是</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供应商或者其委托代理人提交质疑书及相关证明材料的，采购人或采购机构可以拒收。</w:t>
      </w:r>
    </w:p>
    <w:p w14:paraId="410445B0">
      <w:pPr>
        <w:autoSpaceDE w:val="0"/>
        <w:spacing w:line="420" w:lineRule="exact"/>
        <w:ind w:firstLine="422" w:firstLineChars="176"/>
        <w:rPr>
          <w:rFonts w:ascii="宋体" w:hAnsi="宋体" w:eastAsia="宋体" w:cs="Times New Roman"/>
          <w:sz w:val="24"/>
          <w:szCs w:val="24"/>
        </w:rPr>
      </w:pP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.7 </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供应商不得虚假质疑和恶意质疑，并对质疑内容的真实性承担责任。</w:t>
      </w:r>
      <w:r>
        <w:rPr>
          <w:rFonts w:hint="eastAsia" w:ascii="宋体" w:hAnsi="宋体" w:cs="Times New Roman"/>
          <w:sz w:val="24"/>
          <w:szCs w:val="24"/>
          <w:lang w:val="en-US" w:eastAsia="zh-CN"/>
        </w:rPr>
        <w:t>投标</w:t>
      </w:r>
      <w:r>
        <w:rPr>
          <w:rFonts w:hint="eastAsia" w:ascii="宋体" w:hAnsi="宋体" w:eastAsia="宋体" w:cs="Times New Roman"/>
          <w:sz w:val="24"/>
          <w:szCs w:val="24"/>
        </w:rPr>
        <w:t>供应商或者其他利害关系人通过捏造事实、伪造证明材料等方式提出异议或投诉，阻碍招</w:t>
      </w:r>
      <w:r>
        <w:rPr>
          <w:rFonts w:hint="eastAsia" w:ascii="宋体" w:hAnsi="宋体" w:cs="Times New Roman"/>
          <w:sz w:val="24"/>
          <w:szCs w:val="24"/>
          <w:lang w:val="en-US" w:eastAsia="zh-CN"/>
        </w:rPr>
        <w:t>招标</w:t>
      </w:r>
      <w:r>
        <w:rPr>
          <w:rFonts w:hint="eastAsia" w:ascii="宋体" w:hAnsi="宋体" w:eastAsia="宋体" w:cs="Times New Roman"/>
          <w:sz w:val="24"/>
          <w:szCs w:val="24"/>
        </w:rPr>
        <w:t>活动正常进行的，属于严重不良行为，采购人将提请财政部门将其列入不良行为记录名单，并依法予以处罚。</w:t>
      </w:r>
    </w:p>
    <w:p w14:paraId="45CD026C">
      <w:pPr>
        <w:autoSpaceDE w:val="0"/>
        <w:spacing w:line="420" w:lineRule="exact"/>
        <w:ind w:firstLine="422" w:firstLineChars="176"/>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8</w:t>
      </w:r>
      <w:r>
        <w:rPr>
          <w:rFonts w:ascii="宋体" w:hAnsi="宋体" w:eastAsia="宋体" w:cs="Times New Roman"/>
          <w:sz w:val="24"/>
          <w:szCs w:val="24"/>
        </w:rPr>
        <w:t xml:space="preserve">.8 </w:t>
      </w:r>
      <w:r>
        <w:rPr>
          <w:rFonts w:hint="eastAsia" w:ascii="宋体" w:hAnsi="宋体" w:eastAsia="宋体" w:cs="Times New Roman"/>
          <w:sz w:val="24"/>
          <w:szCs w:val="24"/>
        </w:rPr>
        <w:t>采购人将</w:t>
      </w:r>
      <w:r>
        <w:rPr>
          <w:rFonts w:hint="eastAsia" w:ascii="宋体" w:hAnsi="宋体" w:eastAsia="宋体" w:cs="Times New Roman"/>
          <w:sz w:val="24"/>
          <w:szCs w:val="24"/>
          <w:lang w:val="en-US" w:eastAsia="zh-CN"/>
        </w:rPr>
        <w:t>在收到符合上述条件的书面质疑后7个工作日内审查质疑事项，作出答复或相关处理决定，并以书面形式通知质疑</w:t>
      </w:r>
      <w:r>
        <w:rPr>
          <w:rFonts w:hint="eastAsia" w:ascii="宋体" w:hAnsi="宋体" w:cs="Times New Roman"/>
          <w:sz w:val="24"/>
          <w:szCs w:val="24"/>
          <w:lang w:val="en-US" w:eastAsia="zh-CN"/>
        </w:rPr>
        <w:t>投标</w:t>
      </w:r>
      <w:r>
        <w:rPr>
          <w:rFonts w:hint="eastAsia" w:ascii="宋体" w:hAnsi="宋体" w:eastAsia="宋体" w:cs="Times New Roman"/>
          <w:sz w:val="24"/>
          <w:szCs w:val="24"/>
          <w:lang w:val="en-US" w:eastAsia="zh-CN"/>
        </w:rPr>
        <w:t>供应商和其他有关</w:t>
      </w:r>
      <w:r>
        <w:rPr>
          <w:rFonts w:hint="eastAsia" w:ascii="宋体" w:hAnsi="宋体" w:cs="Times New Roman"/>
          <w:sz w:val="24"/>
          <w:szCs w:val="24"/>
          <w:lang w:val="en-US" w:eastAsia="zh-CN"/>
        </w:rPr>
        <w:t>投标</w:t>
      </w:r>
      <w:r>
        <w:rPr>
          <w:rFonts w:hint="eastAsia" w:ascii="宋体" w:hAnsi="宋体" w:eastAsia="宋体" w:cs="Times New Roman"/>
          <w:sz w:val="24"/>
          <w:szCs w:val="24"/>
          <w:lang w:val="en-US" w:eastAsia="zh-CN"/>
        </w:rPr>
        <w:t>供应商，但答复的内容不涉及商业秘密。若质疑涉及</w:t>
      </w:r>
      <w:r>
        <w:rPr>
          <w:rFonts w:hint="eastAsia" w:ascii="宋体" w:hAnsi="宋体" w:cs="Times New Roman"/>
          <w:sz w:val="24"/>
          <w:szCs w:val="24"/>
          <w:lang w:val="en-US" w:eastAsia="zh-CN"/>
        </w:rPr>
        <w:t>招标</w:t>
      </w:r>
      <w:r>
        <w:rPr>
          <w:rFonts w:hint="eastAsia" w:ascii="宋体" w:hAnsi="宋体" w:eastAsia="宋体" w:cs="Times New Roman"/>
          <w:sz w:val="24"/>
          <w:szCs w:val="24"/>
          <w:lang w:val="en-US" w:eastAsia="zh-CN"/>
        </w:rPr>
        <w:t>制度或程序，将被转交政府采购的管理部门审查。采购人遵循“谁过错谁负担”的原则，有过错的一方承担调查论证费用。</w:t>
      </w:r>
    </w:p>
    <w:p w14:paraId="6D89D518">
      <w:pPr>
        <w:autoSpaceDE w:val="0"/>
        <w:spacing w:line="420" w:lineRule="exact"/>
        <w:ind w:firstLine="422" w:firstLineChars="176"/>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8.9 质疑供应商对采购人的答复不满意以及采购人未在规定的时间内做出答复的，可以在答复期满后15个工作日内向财政部门投诉。</w:t>
      </w:r>
    </w:p>
    <w:p w14:paraId="7973DA2F">
      <w:pPr>
        <w:pStyle w:val="3"/>
        <w:numPr>
          <w:ilvl w:val="0"/>
          <w:numId w:val="2"/>
        </w:numPr>
        <w:tabs>
          <w:tab w:val="left" w:pos="721"/>
          <w:tab w:val="left" w:pos="2880"/>
          <w:tab w:val="left" w:pos="3780"/>
        </w:tabs>
        <w:spacing w:before="0" w:after="0" w:line="360" w:lineRule="auto"/>
        <w:ind w:left="0" w:firstLine="0"/>
        <w:jc w:val="both"/>
        <w:rPr>
          <w:rFonts w:hint="eastAsia" w:ascii="宋体" w:hAnsi="宋体" w:eastAsia="宋体" w:cs="宋体"/>
          <w:sz w:val="24"/>
          <w:szCs w:val="24"/>
        </w:rPr>
      </w:pPr>
      <w:r>
        <w:rPr>
          <w:rFonts w:hint="eastAsia" w:ascii="宋体" w:hAnsi="宋体" w:eastAsia="宋体" w:cs="宋体"/>
          <w:sz w:val="24"/>
          <w:szCs w:val="24"/>
        </w:rPr>
        <w:t>需要补充的其他内容</w:t>
      </w:r>
      <w:bookmarkEnd w:id="498"/>
      <w:bookmarkEnd w:id="499"/>
      <w:bookmarkEnd w:id="500"/>
      <w:bookmarkEnd w:id="501"/>
    </w:p>
    <w:p w14:paraId="5CB417CF">
      <w:pPr>
        <w:numPr>
          <w:ilvl w:val="1"/>
          <w:numId w:val="2"/>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需要补充的其他内容：见</w:t>
      </w:r>
      <w:r>
        <w:rPr>
          <w:rFonts w:hint="eastAsia" w:ascii="宋体" w:hAnsi="宋体" w:cs="宋体"/>
          <w:sz w:val="24"/>
          <w:szCs w:val="24"/>
          <w:lang w:eastAsia="zh-CN"/>
        </w:rPr>
        <w:t>供应商</w:t>
      </w:r>
      <w:r>
        <w:rPr>
          <w:rFonts w:hint="eastAsia" w:ascii="宋体" w:hAnsi="宋体" w:eastAsia="宋体" w:cs="宋体"/>
          <w:sz w:val="24"/>
          <w:szCs w:val="24"/>
        </w:rPr>
        <w:t>须知前附表。</w:t>
      </w:r>
    </w:p>
    <w:p w14:paraId="79879691">
      <w:pPr>
        <w:rPr>
          <w:rFonts w:hint="eastAsia" w:ascii="宋体" w:hAnsi="宋体" w:eastAsia="宋体" w:cs="宋体"/>
          <w:sz w:val="24"/>
          <w:szCs w:val="24"/>
        </w:rPr>
      </w:pPr>
      <w:r>
        <w:rPr>
          <w:rFonts w:hint="eastAsia" w:ascii="宋体" w:hAnsi="宋体" w:eastAsia="宋体" w:cs="宋体"/>
          <w:sz w:val="24"/>
          <w:szCs w:val="24"/>
        </w:rPr>
        <w:br w:type="page"/>
      </w:r>
    </w:p>
    <w:p w14:paraId="14E111BA">
      <w:pPr>
        <w:numPr>
          <w:ilvl w:val="0"/>
          <w:numId w:val="0"/>
        </w:numPr>
        <w:spacing w:line="340" w:lineRule="exact"/>
        <w:ind w:leftChars="0"/>
        <w:jc w:val="center"/>
        <w:outlineLvl w:val="0"/>
        <w:rPr>
          <w:rStyle w:val="41"/>
          <w:rFonts w:hint="eastAsia" w:ascii="宋体" w:hAnsi="宋体" w:cs="宋体"/>
          <w:color w:val="auto"/>
          <w:lang w:val="en-US" w:eastAsia="zh-CN"/>
        </w:rPr>
      </w:pPr>
      <w:bookmarkStart w:id="502" w:name="_Toc470"/>
      <w:r>
        <w:rPr>
          <w:rStyle w:val="41"/>
          <w:rFonts w:hint="eastAsia" w:ascii="宋体" w:hAnsi="宋体" w:cs="宋体"/>
          <w:color w:val="auto"/>
          <w:lang w:val="en-US" w:eastAsia="zh-CN"/>
        </w:rPr>
        <w:t>第三章  货物清单及参数要求</w:t>
      </w:r>
      <w:bookmarkEnd w:id="502"/>
    </w:p>
    <w:p w14:paraId="5C54FB35">
      <w:pPr>
        <w:pStyle w:val="22"/>
        <w:numPr>
          <w:ilvl w:val="0"/>
          <w:numId w:val="0"/>
        </w:numPr>
        <w:ind w:leftChars="0"/>
      </w:pPr>
    </w:p>
    <w:p w14:paraId="5A141E3C">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cs="宋体"/>
          <w:color w:val="000000"/>
          <w:kern w:val="0"/>
          <w:sz w:val="24"/>
          <w:szCs w:val="24"/>
        </w:rPr>
      </w:pPr>
      <w:bookmarkStart w:id="503" w:name="_Toc8790_WPSOffice_Level1"/>
      <w:bookmarkStart w:id="504" w:name="_Toc387"/>
      <w:bookmarkStart w:id="505" w:name="_Toc4977"/>
      <w:bookmarkStart w:id="506" w:name="_Toc24273"/>
      <w:r>
        <w:rPr>
          <w:rFonts w:hint="eastAsia" w:ascii="宋体" w:hAnsi="宋体" w:cs="宋体"/>
          <w:color w:val="000000"/>
          <w:kern w:val="0"/>
          <w:sz w:val="24"/>
          <w:szCs w:val="24"/>
        </w:rPr>
        <w:t>招标文件中对以上产品的要求为满足采购人所需产品的要求，非唯一指定要求，如有与某产品的指标或参数描述相同，并非特指，仅为产品质量、档次、水平的参照，</w:t>
      </w:r>
      <w:r>
        <w:rPr>
          <w:rFonts w:hint="eastAsia" w:ascii="宋体" w:hAnsi="宋体" w:cs="宋体"/>
          <w:color w:val="000000"/>
          <w:kern w:val="0"/>
          <w:sz w:val="24"/>
          <w:szCs w:val="24"/>
          <w:lang w:eastAsia="zh-CN"/>
        </w:rPr>
        <w:t>供应商</w:t>
      </w:r>
      <w:r>
        <w:rPr>
          <w:rFonts w:hint="eastAsia" w:ascii="宋体" w:hAnsi="宋体" w:cs="宋体"/>
          <w:color w:val="000000"/>
          <w:kern w:val="0"/>
          <w:sz w:val="24"/>
          <w:szCs w:val="24"/>
        </w:rPr>
        <w:t>应以不低于招标文件要求的档次、技术、性能的产品参与投标，未注明的规格应附合国家有关行业标准。</w:t>
      </w:r>
    </w:p>
    <w:tbl>
      <w:tblPr>
        <w:tblStyle w:val="23"/>
        <w:tblW w:w="98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656"/>
        <w:gridCol w:w="1037"/>
        <w:gridCol w:w="4155"/>
        <w:gridCol w:w="656"/>
        <w:gridCol w:w="656"/>
        <w:gridCol w:w="656"/>
        <w:gridCol w:w="656"/>
        <w:gridCol w:w="1343"/>
      </w:tblGrid>
      <w:tr w14:paraId="4502A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jc w:val="center"/>
        </w:trPr>
        <w:tc>
          <w:tcPr>
            <w:tcW w:w="9820" w:type="dxa"/>
            <w:gridSpan w:val="8"/>
            <w:tcBorders>
              <w:tl2br w:val="nil"/>
              <w:tr2bl w:val="nil"/>
            </w:tcBorders>
            <w:shd w:val="clear" w:color="auto" w:fill="auto"/>
            <w:vAlign w:val="center"/>
          </w:tcPr>
          <w:p w14:paraId="78378E9D">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陈村乡秸秆综合利用配套项目-二标段</w:t>
            </w:r>
            <w:r>
              <w:rPr>
                <w:rFonts w:hint="eastAsia" w:ascii="宋体" w:hAnsi="宋体" w:eastAsia="宋体" w:cs="宋体"/>
                <w:i w:val="0"/>
                <w:iCs w:val="0"/>
                <w:color w:val="000000"/>
                <w:kern w:val="0"/>
                <w:sz w:val="32"/>
                <w:szCs w:val="32"/>
                <w:u w:val="none"/>
                <w:lang w:val="en-US" w:eastAsia="zh-CN" w:bidi="ar"/>
              </w:rPr>
              <w:br w:type="textWrapping"/>
            </w:r>
            <w:r>
              <w:rPr>
                <w:rFonts w:hint="eastAsia" w:ascii="宋体" w:hAnsi="宋体" w:eastAsia="宋体" w:cs="宋体"/>
                <w:i w:val="0"/>
                <w:iCs w:val="0"/>
                <w:color w:val="000000"/>
                <w:kern w:val="0"/>
                <w:sz w:val="32"/>
                <w:szCs w:val="32"/>
                <w:u w:val="none"/>
                <w:lang w:val="en-US" w:eastAsia="zh-CN" w:bidi="ar"/>
              </w:rPr>
              <w:t>采购清单</w:t>
            </w:r>
          </w:p>
        </w:tc>
      </w:tr>
      <w:tr w14:paraId="7DDAA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0" w:hRule="atLeast"/>
          <w:jc w:val="center"/>
        </w:trPr>
        <w:tc>
          <w:tcPr>
            <w:tcW w:w="0" w:type="auto"/>
            <w:tcBorders>
              <w:tl2br w:val="nil"/>
              <w:tr2bl w:val="nil"/>
            </w:tcBorders>
            <w:shd w:val="clear" w:color="auto" w:fill="auto"/>
            <w:noWrap/>
            <w:vAlign w:val="center"/>
          </w:tcPr>
          <w:p w14:paraId="3ABCC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0" w:type="auto"/>
            <w:tcBorders>
              <w:tl2br w:val="nil"/>
              <w:tr2bl w:val="nil"/>
            </w:tcBorders>
            <w:shd w:val="clear" w:color="auto" w:fill="auto"/>
            <w:noWrap/>
            <w:vAlign w:val="center"/>
          </w:tcPr>
          <w:p w14:paraId="72468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0" w:type="auto"/>
            <w:tcBorders>
              <w:tl2br w:val="nil"/>
              <w:tr2bl w:val="nil"/>
            </w:tcBorders>
            <w:shd w:val="clear" w:color="auto" w:fill="auto"/>
            <w:noWrap/>
            <w:vAlign w:val="center"/>
          </w:tcPr>
          <w:p w14:paraId="0B689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规格参数</w:t>
            </w:r>
          </w:p>
        </w:tc>
        <w:tc>
          <w:tcPr>
            <w:tcW w:w="0" w:type="auto"/>
            <w:tcBorders>
              <w:tl2br w:val="nil"/>
              <w:tr2bl w:val="nil"/>
            </w:tcBorders>
            <w:shd w:val="clear" w:color="auto" w:fill="auto"/>
            <w:noWrap/>
            <w:vAlign w:val="center"/>
          </w:tcPr>
          <w:p w14:paraId="3837E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0" w:type="auto"/>
            <w:tcBorders>
              <w:tl2br w:val="nil"/>
              <w:tr2bl w:val="nil"/>
            </w:tcBorders>
            <w:shd w:val="clear" w:color="auto" w:fill="auto"/>
            <w:noWrap/>
            <w:vAlign w:val="center"/>
          </w:tcPr>
          <w:p w14:paraId="26004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0" w:type="auto"/>
            <w:tcBorders>
              <w:tl2br w:val="nil"/>
              <w:tr2bl w:val="nil"/>
            </w:tcBorders>
            <w:shd w:val="clear" w:color="auto" w:fill="auto"/>
            <w:noWrap/>
            <w:vAlign w:val="center"/>
          </w:tcPr>
          <w:p w14:paraId="1EAB2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0" w:type="auto"/>
            <w:tcBorders>
              <w:tl2br w:val="nil"/>
              <w:tr2bl w:val="nil"/>
            </w:tcBorders>
            <w:shd w:val="clear" w:color="auto" w:fill="auto"/>
            <w:noWrap/>
            <w:vAlign w:val="center"/>
          </w:tcPr>
          <w:p w14:paraId="4BC302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l2br w:val="nil"/>
              <w:tr2bl w:val="nil"/>
            </w:tcBorders>
            <w:shd w:val="clear" w:color="auto" w:fill="auto"/>
            <w:noWrap/>
            <w:vAlign w:val="center"/>
          </w:tcPr>
          <w:p w14:paraId="6265E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5764D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0" w:hRule="atLeast"/>
          <w:jc w:val="center"/>
        </w:trPr>
        <w:tc>
          <w:tcPr>
            <w:tcW w:w="0" w:type="auto"/>
            <w:tcBorders>
              <w:tl2br w:val="nil"/>
              <w:tr2bl w:val="nil"/>
            </w:tcBorders>
            <w:shd w:val="clear" w:color="auto" w:fill="auto"/>
            <w:noWrap/>
            <w:vAlign w:val="center"/>
          </w:tcPr>
          <w:p w14:paraId="23E97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2" w:type="dxa"/>
            <w:tcBorders>
              <w:tl2br w:val="nil"/>
              <w:tr2bl w:val="nil"/>
            </w:tcBorders>
            <w:shd w:val="clear" w:color="auto" w:fill="auto"/>
            <w:vAlign w:val="center"/>
          </w:tcPr>
          <w:p w14:paraId="74530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地磅</w:t>
            </w:r>
          </w:p>
        </w:tc>
        <w:tc>
          <w:tcPr>
            <w:tcW w:w="4359" w:type="dxa"/>
            <w:tcBorders>
              <w:tl2br w:val="nil"/>
              <w:tr2bl w:val="nil"/>
            </w:tcBorders>
            <w:shd w:val="clear" w:color="auto" w:fill="auto"/>
            <w:vAlign w:val="center"/>
          </w:tcPr>
          <w:p w14:paraId="4375E6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地磅，长15米宽3米，80吨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含基础</w:t>
            </w:r>
          </w:p>
        </w:tc>
        <w:tc>
          <w:tcPr>
            <w:tcW w:w="0" w:type="auto"/>
            <w:tcBorders>
              <w:tl2br w:val="nil"/>
              <w:tr2bl w:val="nil"/>
            </w:tcBorders>
            <w:shd w:val="clear" w:color="auto" w:fill="auto"/>
            <w:noWrap/>
            <w:vAlign w:val="center"/>
          </w:tcPr>
          <w:p w14:paraId="7FE60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l2br w:val="nil"/>
              <w:tr2bl w:val="nil"/>
            </w:tcBorders>
            <w:shd w:val="clear" w:color="auto" w:fill="auto"/>
            <w:noWrap/>
            <w:vAlign w:val="center"/>
          </w:tcPr>
          <w:p w14:paraId="6DFCA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l2br w:val="nil"/>
              <w:tr2bl w:val="nil"/>
            </w:tcBorders>
            <w:shd w:val="clear" w:color="auto" w:fill="auto"/>
            <w:noWrap/>
            <w:vAlign w:val="center"/>
          </w:tcPr>
          <w:p w14:paraId="06D1ABC4">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06DF771F">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5848C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309B2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500" w:hRule="atLeast"/>
          <w:jc w:val="center"/>
        </w:trPr>
        <w:tc>
          <w:tcPr>
            <w:tcW w:w="0" w:type="auto"/>
            <w:tcBorders>
              <w:tl2br w:val="nil"/>
              <w:tr2bl w:val="nil"/>
            </w:tcBorders>
            <w:shd w:val="clear" w:color="auto" w:fill="auto"/>
            <w:noWrap/>
            <w:vAlign w:val="center"/>
          </w:tcPr>
          <w:p w14:paraId="3D9CE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2" w:type="dxa"/>
            <w:tcBorders>
              <w:tl2br w:val="nil"/>
              <w:tr2bl w:val="nil"/>
            </w:tcBorders>
            <w:shd w:val="clear" w:color="auto" w:fill="auto"/>
            <w:vAlign w:val="center"/>
          </w:tcPr>
          <w:p w14:paraId="32167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三轮铡草车</w:t>
            </w:r>
          </w:p>
        </w:tc>
        <w:tc>
          <w:tcPr>
            <w:tcW w:w="4359" w:type="dxa"/>
            <w:tcBorders>
              <w:tl2br w:val="nil"/>
              <w:tr2bl w:val="nil"/>
            </w:tcBorders>
            <w:shd w:val="clear" w:color="auto" w:fill="auto"/>
            <w:vAlign w:val="center"/>
          </w:tcPr>
          <w:p w14:paraId="4937F4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铡草机：国标六吨；动力：L24型国四；变速箱：长中短可调(6/9/13)mm；变速箱：八档高低速；车厢：2mm；刀片：六刀双刃；揉丝：锤片加狼牙版；功能特点：翻斗自卸循环水箱</w:t>
            </w:r>
          </w:p>
        </w:tc>
        <w:tc>
          <w:tcPr>
            <w:tcW w:w="0" w:type="auto"/>
            <w:tcBorders>
              <w:tl2br w:val="nil"/>
              <w:tr2bl w:val="nil"/>
            </w:tcBorders>
            <w:shd w:val="clear" w:color="auto" w:fill="auto"/>
            <w:noWrap/>
            <w:vAlign w:val="center"/>
          </w:tcPr>
          <w:p w14:paraId="75877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l2br w:val="nil"/>
              <w:tr2bl w:val="nil"/>
            </w:tcBorders>
            <w:shd w:val="clear" w:color="auto" w:fill="auto"/>
            <w:noWrap/>
            <w:vAlign w:val="center"/>
          </w:tcPr>
          <w:p w14:paraId="2417D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1ACE95D0">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31C07321">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1FB52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7184E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60" w:hRule="atLeast"/>
          <w:jc w:val="center"/>
        </w:trPr>
        <w:tc>
          <w:tcPr>
            <w:tcW w:w="0" w:type="auto"/>
            <w:tcBorders>
              <w:tl2br w:val="nil"/>
              <w:tr2bl w:val="nil"/>
            </w:tcBorders>
            <w:shd w:val="clear" w:color="auto" w:fill="auto"/>
            <w:noWrap/>
            <w:vAlign w:val="center"/>
          </w:tcPr>
          <w:p w14:paraId="0CD8A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2" w:type="dxa"/>
            <w:tcBorders>
              <w:tl2br w:val="nil"/>
              <w:tr2bl w:val="nil"/>
            </w:tcBorders>
            <w:shd w:val="clear" w:color="auto" w:fill="auto"/>
            <w:vAlign w:val="center"/>
          </w:tcPr>
          <w:p w14:paraId="67546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玉米双收机</w:t>
            </w:r>
          </w:p>
        </w:tc>
        <w:tc>
          <w:tcPr>
            <w:tcW w:w="4359" w:type="dxa"/>
            <w:tcBorders>
              <w:tl2br w:val="nil"/>
              <w:tr2bl w:val="nil"/>
            </w:tcBorders>
            <w:shd w:val="clear" w:color="auto" w:fill="auto"/>
            <w:vAlign w:val="center"/>
          </w:tcPr>
          <w:p w14:paraId="623C95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形尺寸：8000*2930*4000(mm)；额定功率：221(KW)；额定转速：2200r/min；工作行数：4；工作幅宽：2650（mm）；粮箱容积：2.5m³；草箱容积：8m³；作业生产率：8-10亩/小时；剥皮辊型式：橡胶辊；导向轮/驱动轮规格：12-18/18.4-30；变速箱类型：液压无极变速+机械变速</w:t>
            </w:r>
          </w:p>
        </w:tc>
        <w:tc>
          <w:tcPr>
            <w:tcW w:w="0" w:type="auto"/>
            <w:tcBorders>
              <w:tl2br w:val="nil"/>
              <w:tr2bl w:val="nil"/>
            </w:tcBorders>
            <w:shd w:val="clear" w:color="auto" w:fill="auto"/>
            <w:noWrap/>
            <w:vAlign w:val="center"/>
          </w:tcPr>
          <w:p w14:paraId="6E707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l2br w:val="nil"/>
              <w:tr2bl w:val="nil"/>
            </w:tcBorders>
            <w:shd w:val="clear" w:color="auto" w:fill="auto"/>
            <w:noWrap/>
            <w:vAlign w:val="center"/>
          </w:tcPr>
          <w:p w14:paraId="64CC4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l2br w:val="nil"/>
              <w:tr2bl w:val="nil"/>
            </w:tcBorders>
            <w:shd w:val="clear" w:color="auto" w:fill="auto"/>
            <w:noWrap/>
            <w:vAlign w:val="center"/>
          </w:tcPr>
          <w:p w14:paraId="30AC4862">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787663E4">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7E419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4B64B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40" w:hRule="atLeast"/>
          <w:jc w:val="center"/>
        </w:trPr>
        <w:tc>
          <w:tcPr>
            <w:tcW w:w="0" w:type="auto"/>
            <w:tcBorders>
              <w:tl2br w:val="nil"/>
              <w:tr2bl w:val="nil"/>
            </w:tcBorders>
            <w:shd w:val="clear" w:color="auto" w:fill="auto"/>
            <w:noWrap/>
            <w:vAlign w:val="center"/>
          </w:tcPr>
          <w:p w14:paraId="155EF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2" w:type="dxa"/>
            <w:tcBorders>
              <w:tl2br w:val="nil"/>
              <w:tr2bl w:val="nil"/>
            </w:tcBorders>
            <w:shd w:val="clear" w:color="auto" w:fill="auto"/>
            <w:vAlign w:val="center"/>
          </w:tcPr>
          <w:p w14:paraId="72157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移动捡拾铡草车</w:t>
            </w:r>
          </w:p>
        </w:tc>
        <w:tc>
          <w:tcPr>
            <w:tcW w:w="4359" w:type="dxa"/>
            <w:tcBorders>
              <w:tl2br w:val="nil"/>
              <w:tr2bl w:val="nil"/>
            </w:tcBorders>
            <w:shd w:val="clear" w:color="auto" w:fill="auto"/>
            <w:vAlign w:val="center"/>
          </w:tcPr>
          <w:p w14:paraId="4FFD59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捡拾宽度：2240mm；捡拾器结构型式：弹齿式；喂入器结构型式：拨叉喂入机构；打结器型式：D型；打结器数量：2个；压缩室截面尺寸（宽×高）：450X365；配套动力范围：≥37.3；捆扎方式：自动绳打捆</w:t>
            </w:r>
          </w:p>
        </w:tc>
        <w:tc>
          <w:tcPr>
            <w:tcW w:w="0" w:type="auto"/>
            <w:tcBorders>
              <w:tl2br w:val="nil"/>
              <w:tr2bl w:val="nil"/>
            </w:tcBorders>
            <w:shd w:val="clear" w:color="auto" w:fill="auto"/>
            <w:noWrap/>
            <w:vAlign w:val="center"/>
          </w:tcPr>
          <w:p w14:paraId="40C8A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l2br w:val="nil"/>
              <w:tr2bl w:val="nil"/>
            </w:tcBorders>
            <w:shd w:val="clear" w:color="auto" w:fill="auto"/>
            <w:noWrap/>
            <w:vAlign w:val="center"/>
          </w:tcPr>
          <w:p w14:paraId="2726D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l2br w:val="nil"/>
              <w:tr2bl w:val="nil"/>
            </w:tcBorders>
            <w:shd w:val="clear" w:color="auto" w:fill="auto"/>
            <w:noWrap/>
            <w:vAlign w:val="center"/>
          </w:tcPr>
          <w:p w14:paraId="390AB4DC">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7B19CA89">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5A5ED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40F4A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0" w:hRule="atLeast"/>
          <w:jc w:val="center"/>
        </w:trPr>
        <w:tc>
          <w:tcPr>
            <w:tcW w:w="0" w:type="auto"/>
            <w:vMerge w:val="restart"/>
            <w:tcBorders>
              <w:tl2br w:val="nil"/>
              <w:tr2bl w:val="nil"/>
            </w:tcBorders>
            <w:shd w:val="clear" w:color="auto" w:fill="auto"/>
            <w:noWrap/>
            <w:vAlign w:val="center"/>
          </w:tcPr>
          <w:p w14:paraId="0E6C6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2" w:type="dxa"/>
            <w:vMerge w:val="restart"/>
            <w:tcBorders>
              <w:tl2br w:val="nil"/>
              <w:tr2bl w:val="nil"/>
            </w:tcBorders>
            <w:shd w:val="clear" w:color="auto" w:fill="auto"/>
            <w:vAlign w:val="center"/>
          </w:tcPr>
          <w:p w14:paraId="24140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黄储饲草裹包生产线</w:t>
            </w:r>
          </w:p>
        </w:tc>
        <w:tc>
          <w:tcPr>
            <w:tcW w:w="4359" w:type="dxa"/>
            <w:vMerge w:val="restart"/>
            <w:tcBorders>
              <w:tl2br w:val="nil"/>
              <w:tr2bl w:val="nil"/>
            </w:tcBorders>
            <w:shd w:val="clear" w:color="auto" w:fill="auto"/>
            <w:vAlign w:val="center"/>
          </w:tcPr>
          <w:p w14:paraId="56136A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1.圆盘粉碎机：主机功率：110kw； 泵站功率：5.5kw；出料形式：液压传动；旋转形式：液压传动;产量：10t/H（青秸秆）；形式：移动式；揉丝长度：3-10cm；主轴转速：1400-1900r/min ；刀片数量：120；上料口直径：3000mm;转筒直径：2200mm；外形 尺寸：4500*3000*2700；设备质量：3300kg；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2.输送机：输送带尺寸（长X宽）mm：6000 X 800；配套动力（kw）：3；；输送机侧板：钢板折弯；侧板高度：34.5cm;输送机皮带厚度：10mm;整机重量（kg）：510；移动方式：实芯轮*2 万向轮*2；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打捆包膜一体机：打捆室电机功率：7.5kw；缠膜电机：0.75kw；上料电机功率：3kw；油泵功率：1.5kw；下输送功率：1.1kw；转包电机：0.55kw；外形尺寸：4800*1950*2500mm；成捆尺寸：650*630mm；生产效率：60-70捆/h；草捆重量：100-200kg/捆；机器重量：2200kg；草捆密度： ≥800kg/m³；适用网规格：750mm；膜架数量：2个；卷压滚筒数量：16个；膜架回转半径：840mm；料仓尺寸：3450*1300*1850mm；电机2.2kw;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4.拖拉机：发动机标定功率：88.2KW；轴距：2135mm；最小离地间隙：507mm，标定牵引力：23KN;变速箱：12+12档；离合器：双作用单片干式离合器；制动器样式：湿式、盘式四代空调驾驶室</w:t>
            </w:r>
          </w:p>
        </w:tc>
        <w:tc>
          <w:tcPr>
            <w:tcW w:w="0" w:type="auto"/>
            <w:vMerge w:val="restart"/>
            <w:tcBorders>
              <w:tl2br w:val="nil"/>
              <w:tr2bl w:val="nil"/>
            </w:tcBorders>
            <w:shd w:val="clear" w:color="auto" w:fill="auto"/>
            <w:noWrap/>
            <w:vAlign w:val="center"/>
          </w:tcPr>
          <w:p w14:paraId="7BB6F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vMerge w:val="restart"/>
            <w:tcBorders>
              <w:tl2br w:val="nil"/>
              <w:tr2bl w:val="nil"/>
            </w:tcBorders>
            <w:shd w:val="clear" w:color="auto" w:fill="auto"/>
            <w:noWrap/>
            <w:vAlign w:val="center"/>
          </w:tcPr>
          <w:p w14:paraId="18DE40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vMerge w:val="restart"/>
            <w:tcBorders>
              <w:tl2br w:val="nil"/>
              <w:tr2bl w:val="nil"/>
            </w:tcBorders>
            <w:shd w:val="clear" w:color="auto" w:fill="auto"/>
            <w:noWrap/>
            <w:vAlign w:val="center"/>
          </w:tcPr>
          <w:p w14:paraId="5FC2A8F4">
            <w:pPr>
              <w:jc w:val="center"/>
              <w:rPr>
                <w:rFonts w:hint="eastAsia" w:ascii="宋体" w:hAnsi="宋体" w:eastAsia="宋体" w:cs="宋体"/>
                <w:i w:val="0"/>
                <w:iCs w:val="0"/>
                <w:color w:val="000000"/>
                <w:sz w:val="22"/>
                <w:szCs w:val="22"/>
                <w:u w:val="none"/>
              </w:rPr>
            </w:pPr>
          </w:p>
        </w:tc>
        <w:tc>
          <w:tcPr>
            <w:tcW w:w="0" w:type="auto"/>
            <w:vMerge w:val="restart"/>
            <w:tcBorders>
              <w:tl2br w:val="nil"/>
              <w:tr2bl w:val="nil"/>
            </w:tcBorders>
            <w:shd w:val="clear" w:color="auto" w:fill="auto"/>
            <w:noWrap/>
            <w:vAlign w:val="center"/>
          </w:tcPr>
          <w:p w14:paraId="4A32C502">
            <w:pPr>
              <w:jc w:val="center"/>
              <w:rPr>
                <w:rFonts w:hint="eastAsia" w:ascii="宋体" w:hAnsi="宋体" w:eastAsia="宋体" w:cs="宋体"/>
                <w:i w:val="0"/>
                <w:iCs w:val="0"/>
                <w:color w:val="000000"/>
                <w:sz w:val="22"/>
                <w:szCs w:val="22"/>
                <w:u w:val="none"/>
              </w:rPr>
            </w:pPr>
          </w:p>
        </w:tc>
        <w:tc>
          <w:tcPr>
            <w:tcW w:w="1424" w:type="dxa"/>
            <w:vMerge w:val="restart"/>
            <w:tcBorders>
              <w:tl2br w:val="nil"/>
              <w:tr2bl w:val="nil"/>
            </w:tcBorders>
            <w:shd w:val="clear" w:color="auto" w:fill="auto"/>
            <w:vAlign w:val="center"/>
          </w:tcPr>
          <w:p w14:paraId="58779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22487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80" w:hRule="atLeast"/>
          <w:jc w:val="center"/>
        </w:trPr>
        <w:tc>
          <w:tcPr>
            <w:tcW w:w="0" w:type="auto"/>
            <w:vMerge w:val="continue"/>
            <w:tcBorders>
              <w:tl2br w:val="nil"/>
              <w:tr2bl w:val="nil"/>
            </w:tcBorders>
            <w:shd w:val="clear" w:color="auto" w:fill="auto"/>
            <w:noWrap/>
            <w:vAlign w:val="center"/>
          </w:tcPr>
          <w:p w14:paraId="03497964">
            <w:pPr>
              <w:jc w:val="center"/>
              <w:rPr>
                <w:rFonts w:hint="eastAsia" w:ascii="宋体" w:hAnsi="宋体" w:eastAsia="宋体" w:cs="宋体"/>
                <w:i w:val="0"/>
                <w:iCs w:val="0"/>
                <w:color w:val="000000"/>
                <w:sz w:val="22"/>
                <w:szCs w:val="22"/>
                <w:u w:val="none"/>
              </w:rPr>
            </w:pPr>
          </w:p>
        </w:tc>
        <w:tc>
          <w:tcPr>
            <w:tcW w:w="1082" w:type="dxa"/>
            <w:vMerge w:val="continue"/>
            <w:tcBorders>
              <w:tl2br w:val="nil"/>
              <w:tr2bl w:val="nil"/>
            </w:tcBorders>
            <w:shd w:val="clear" w:color="auto" w:fill="auto"/>
            <w:vAlign w:val="center"/>
          </w:tcPr>
          <w:p w14:paraId="11B72E68">
            <w:pPr>
              <w:jc w:val="center"/>
              <w:rPr>
                <w:rFonts w:hint="eastAsia" w:ascii="宋体" w:hAnsi="宋体" w:eastAsia="宋体" w:cs="宋体"/>
                <w:i w:val="0"/>
                <w:iCs w:val="0"/>
                <w:color w:val="000000"/>
                <w:sz w:val="22"/>
                <w:szCs w:val="22"/>
                <w:u w:val="none"/>
              </w:rPr>
            </w:pPr>
          </w:p>
        </w:tc>
        <w:tc>
          <w:tcPr>
            <w:tcW w:w="4359" w:type="dxa"/>
            <w:vMerge w:val="continue"/>
            <w:tcBorders>
              <w:tl2br w:val="nil"/>
              <w:tr2bl w:val="nil"/>
            </w:tcBorders>
            <w:shd w:val="clear" w:color="auto" w:fill="auto"/>
            <w:vAlign w:val="center"/>
          </w:tcPr>
          <w:p w14:paraId="0FF44620">
            <w:pPr>
              <w:rPr>
                <w:rFonts w:hint="eastAsia" w:ascii="宋体" w:hAnsi="宋体" w:eastAsia="宋体" w:cs="宋体"/>
                <w:i w:val="0"/>
                <w:iCs w:val="0"/>
                <w:color w:val="000000"/>
                <w:sz w:val="22"/>
                <w:szCs w:val="22"/>
                <w:u w:val="none"/>
              </w:rPr>
            </w:pPr>
          </w:p>
        </w:tc>
        <w:tc>
          <w:tcPr>
            <w:tcW w:w="0" w:type="auto"/>
            <w:vMerge w:val="continue"/>
            <w:tcBorders>
              <w:tl2br w:val="nil"/>
              <w:tr2bl w:val="nil"/>
            </w:tcBorders>
            <w:shd w:val="clear" w:color="auto" w:fill="auto"/>
            <w:noWrap/>
            <w:vAlign w:val="center"/>
          </w:tcPr>
          <w:p w14:paraId="748FA1D1">
            <w:pPr>
              <w:jc w:val="center"/>
              <w:rPr>
                <w:rFonts w:hint="eastAsia" w:ascii="宋体" w:hAnsi="宋体" w:eastAsia="宋体" w:cs="宋体"/>
                <w:i w:val="0"/>
                <w:iCs w:val="0"/>
                <w:color w:val="000000"/>
                <w:sz w:val="22"/>
                <w:szCs w:val="22"/>
                <w:u w:val="none"/>
              </w:rPr>
            </w:pPr>
          </w:p>
        </w:tc>
        <w:tc>
          <w:tcPr>
            <w:tcW w:w="0" w:type="auto"/>
            <w:vMerge w:val="continue"/>
            <w:tcBorders>
              <w:tl2br w:val="nil"/>
              <w:tr2bl w:val="nil"/>
            </w:tcBorders>
            <w:shd w:val="clear" w:color="auto" w:fill="auto"/>
            <w:noWrap/>
            <w:vAlign w:val="center"/>
          </w:tcPr>
          <w:p w14:paraId="46CA0335">
            <w:pPr>
              <w:jc w:val="center"/>
              <w:rPr>
                <w:rFonts w:hint="eastAsia" w:ascii="宋体" w:hAnsi="宋体" w:eastAsia="宋体" w:cs="宋体"/>
                <w:i w:val="0"/>
                <w:iCs w:val="0"/>
                <w:color w:val="000000"/>
                <w:sz w:val="22"/>
                <w:szCs w:val="22"/>
                <w:u w:val="none"/>
              </w:rPr>
            </w:pPr>
          </w:p>
        </w:tc>
        <w:tc>
          <w:tcPr>
            <w:tcW w:w="0" w:type="auto"/>
            <w:vMerge w:val="continue"/>
            <w:tcBorders>
              <w:tl2br w:val="nil"/>
              <w:tr2bl w:val="nil"/>
            </w:tcBorders>
            <w:shd w:val="clear" w:color="auto" w:fill="auto"/>
            <w:noWrap/>
            <w:vAlign w:val="center"/>
          </w:tcPr>
          <w:p w14:paraId="41E94980">
            <w:pPr>
              <w:jc w:val="center"/>
              <w:rPr>
                <w:rFonts w:hint="eastAsia" w:ascii="宋体" w:hAnsi="宋体" w:eastAsia="宋体" w:cs="宋体"/>
                <w:i w:val="0"/>
                <w:iCs w:val="0"/>
                <w:color w:val="000000"/>
                <w:sz w:val="22"/>
                <w:szCs w:val="22"/>
                <w:u w:val="none"/>
              </w:rPr>
            </w:pPr>
          </w:p>
        </w:tc>
        <w:tc>
          <w:tcPr>
            <w:tcW w:w="0" w:type="auto"/>
            <w:vMerge w:val="continue"/>
            <w:tcBorders>
              <w:tl2br w:val="nil"/>
              <w:tr2bl w:val="nil"/>
            </w:tcBorders>
            <w:shd w:val="clear" w:color="auto" w:fill="auto"/>
            <w:noWrap/>
            <w:vAlign w:val="center"/>
          </w:tcPr>
          <w:p w14:paraId="48487FC5">
            <w:pPr>
              <w:jc w:val="center"/>
              <w:rPr>
                <w:rFonts w:hint="eastAsia" w:ascii="宋体" w:hAnsi="宋体" w:eastAsia="宋体" w:cs="宋体"/>
                <w:i w:val="0"/>
                <w:iCs w:val="0"/>
                <w:color w:val="000000"/>
                <w:sz w:val="22"/>
                <w:szCs w:val="22"/>
                <w:u w:val="none"/>
              </w:rPr>
            </w:pPr>
          </w:p>
        </w:tc>
        <w:tc>
          <w:tcPr>
            <w:tcW w:w="1424" w:type="dxa"/>
            <w:vMerge w:val="continue"/>
            <w:tcBorders>
              <w:tl2br w:val="nil"/>
              <w:tr2bl w:val="nil"/>
            </w:tcBorders>
            <w:shd w:val="clear" w:color="auto" w:fill="auto"/>
            <w:vAlign w:val="center"/>
          </w:tcPr>
          <w:p w14:paraId="065EB41C">
            <w:pPr>
              <w:jc w:val="center"/>
              <w:rPr>
                <w:rFonts w:hint="eastAsia" w:ascii="宋体" w:hAnsi="宋体" w:eastAsia="宋体" w:cs="宋体"/>
                <w:i w:val="0"/>
                <w:iCs w:val="0"/>
                <w:color w:val="000000"/>
                <w:sz w:val="22"/>
                <w:szCs w:val="22"/>
                <w:u w:val="none"/>
              </w:rPr>
            </w:pPr>
          </w:p>
        </w:tc>
      </w:tr>
      <w:tr w14:paraId="70818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0" w:type="auto"/>
            <w:tcBorders>
              <w:tl2br w:val="nil"/>
              <w:tr2bl w:val="nil"/>
            </w:tcBorders>
            <w:shd w:val="clear" w:color="auto" w:fill="auto"/>
            <w:noWrap/>
            <w:vAlign w:val="center"/>
          </w:tcPr>
          <w:p w14:paraId="4922C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82" w:type="dxa"/>
            <w:tcBorders>
              <w:tl2br w:val="nil"/>
              <w:tr2bl w:val="nil"/>
            </w:tcBorders>
            <w:shd w:val="clear" w:color="auto" w:fill="auto"/>
            <w:vAlign w:val="center"/>
          </w:tcPr>
          <w:p w14:paraId="33273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轮式液压旋转抓机</w:t>
            </w:r>
          </w:p>
        </w:tc>
        <w:tc>
          <w:tcPr>
            <w:tcW w:w="4359" w:type="dxa"/>
            <w:tcBorders>
              <w:tl2br w:val="nil"/>
              <w:tr2bl w:val="nil"/>
            </w:tcBorders>
            <w:shd w:val="clear" w:color="auto" w:fill="auto"/>
            <w:vAlign w:val="center"/>
          </w:tcPr>
          <w:p w14:paraId="2A0472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重量：7385kg；功率：48KW；牵引力：50KN；爬坡能力：35°；回转速度:7.5r/min；发动机型号：国四；柴油机机油：9L；柴油箱：135L；液压油箱：71L；动臂长度（标准）:3710mm；斗杆长度（标准）：2100mm；尾部回转半径：1945mm</w:t>
            </w:r>
          </w:p>
        </w:tc>
        <w:tc>
          <w:tcPr>
            <w:tcW w:w="0" w:type="auto"/>
            <w:tcBorders>
              <w:tl2br w:val="nil"/>
              <w:tr2bl w:val="nil"/>
            </w:tcBorders>
            <w:shd w:val="clear" w:color="auto" w:fill="auto"/>
            <w:noWrap/>
            <w:vAlign w:val="center"/>
          </w:tcPr>
          <w:p w14:paraId="18CB7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l2br w:val="nil"/>
              <w:tr2bl w:val="nil"/>
            </w:tcBorders>
            <w:shd w:val="clear" w:color="auto" w:fill="auto"/>
            <w:noWrap/>
            <w:vAlign w:val="center"/>
          </w:tcPr>
          <w:p w14:paraId="4800D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l2br w:val="nil"/>
              <w:tr2bl w:val="nil"/>
            </w:tcBorders>
            <w:shd w:val="clear" w:color="auto" w:fill="auto"/>
            <w:noWrap/>
            <w:vAlign w:val="center"/>
          </w:tcPr>
          <w:p w14:paraId="5ABCC2BB">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0ADECC76">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33E46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57E87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20" w:hRule="atLeast"/>
          <w:jc w:val="center"/>
        </w:trPr>
        <w:tc>
          <w:tcPr>
            <w:tcW w:w="0" w:type="auto"/>
            <w:vMerge w:val="restart"/>
            <w:tcBorders>
              <w:tl2br w:val="nil"/>
              <w:tr2bl w:val="nil"/>
            </w:tcBorders>
            <w:shd w:val="clear" w:color="auto" w:fill="auto"/>
            <w:noWrap/>
            <w:vAlign w:val="center"/>
          </w:tcPr>
          <w:p w14:paraId="5D570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82" w:type="dxa"/>
            <w:vMerge w:val="restart"/>
            <w:tcBorders>
              <w:tl2br w:val="nil"/>
              <w:tr2bl w:val="nil"/>
            </w:tcBorders>
            <w:shd w:val="clear" w:color="auto" w:fill="auto"/>
            <w:vAlign w:val="center"/>
          </w:tcPr>
          <w:p w14:paraId="12433E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干储饲草裹包生产线</w:t>
            </w:r>
          </w:p>
        </w:tc>
        <w:tc>
          <w:tcPr>
            <w:tcW w:w="4359" w:type="dxa"/>
            <w:vMerge w:val="restart"/>
            <w:tcBorders>
              <w:tl2br w:val="nil"/>
              <w:tr2bl w:val="nil"/>
            </w:tcBorders>
            <w:shd w:val="clear" w:color="auto" w:fill="auto"/>
            <w:vAlign w:val="center"/>
          </w:tcPr>
          <w:p w14:paraId="67D892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1.圆盘粉碎机：主机功率：110kw； 泵站功率：5.5kw；出料形式：液压传动；旋转形式：液压传动;产量：10t/H（青秸秆）；形式：移动式；揉丝长度：3-10cm；主轴转速：1400-1900r/min ；刀片数量：120；上料口直径：3000mm;转筒直径：2200mm；外形 尺寸：4500*3000*2700；设备质量：3300kg；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2.刮板输送机：输送机尺寸（长X宽）mm：6000*1100；配套动力（kw）：4；输送机侧板：钢板折弯；侧板高度：40cm;输送形式：链条刮板输送;减速机：摆线针轮减速机BWD-17-4kw；整机重量（kg）：850；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3.滚筒筛：外形尺寸 (长 X 宽 X高)mm:8700 X 2240 X 3200；滚筒转动功率 (kw):5.5；输送功率：3kw；皮带宽度：600mm；整机重量 (kg) ：2600kg；结构形式：无轴；滚筒直径：1800mm；内部9块拨料板；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4.输送机：输送带尺寸（长X宽）mm：6000 X 600；配套动力（kw）：1.5；；输送机侧板：钢板折弯；侧板高度：34.5cm;输送机皮带厚度：10mm;整机重量（kg）：260；移动方式：实芯轮*2 万向轮*2；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5.输送机：输送带尺寸（长X宽）mm：8000 X 800；配套动力（kw）：3；；输送机侧板：钢板折弯；侧板高度：34.5cm;输送机皮带厚度：10mm;整机重量（kg）：650；移动方式：实芯轮*2 万向轮*2；升起高度：3050mm；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6.单向分料仓：容量：5m³；外形尺寸（长X宽X高）mm:3600 X 2300X 2800（含60cm增高腿）;配套动力:4 Kw(4级）1450r/min；减速机型号:ZQ350 ①装 ：速比:48.57;链条型号28A,156*2块；出料形式：链条刮板；整机重量（kg）1320kg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7.刮板输送机：输送机尺寸（长X宽）mm：9000*1230；配套动力（kw）：5.5；输送机侧板：钢板折弯；侧板高度：40cm;输送形式：链条刮板输送;减速机：RV130-5.5-20；整机重量（kg）：1100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8.三缸打包机：配套动力：55kw (双输出轴) ；油泵：双联高低压叶片泵1台（低压237L,10Mpa；高压121.6L，21Mpa），153L高压叶片泵1台（21Mpa）；32-3路电液阀换向阀高低压集成阀块；液 压油箱容量：1000L ；液压油冷却方式： OR-350水冷；称重范围：10-100kg；操作方式：全自动控制；压捆能力(捆/h) :180-240捆/h;整捆重量(Kg) ≥60(青秸秆) ；30-40 (干秸秆) ;草捆规格  (mm) :450 Χ300 X750； 整机重量 (kg) :6200;整机尺寸 (mm) ：6000*3080*4800；下料方式：气动开关仓；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9.拖拉机：发动机标定功率：162KW；五代豪华空调驾驶室；轴距：2857mm；32+32档、八个工作档、标配爬行档；主副油箱470L;15寸液压助力离合；鸡腿档把、梭形档同步器、主变速同步器；</w:t>
            </w:r>
          </w:p>
        </w:tc>
        <w:tc>
          <w:tcPr>
            <w:tcW w:w="0" w:type="auto"/>
            <w:vMerge w:val="restart"/>
            <w:tcBorders>
              <w:tl2br w:val="nil"/>
              <w:tr2bl w:val="nil"/>
            </w:tcBorders>
            <w:shd w:val="clear" w:color="auto" w:fill="auto"/>
            <w:noWrap/>
            <w:vAlign w:val="center"/>
          </w:tcPr>
          <w:p w14:paraId="45DB4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0" w:type="auto"/>
            <w:vMerge w:val="restart"/>
            <w:tcBorders>
              <w:tl2br w:val="nil"/>
              <w:tr2bl w:val="nil"/>
            </w:tcBorders>
            <w:shd w:val="clear" w:color="auto" w:fill="auto"/>
            <w:noWrap/>
            <w:vAlign w:val="center"/>
          </w:tcPr>
          <w:p w14:paraId="0BD78F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vMerge w:val="restart"/>
            <w:tcBorders>
              <w:tl2br w:val="nil"/>
              <w:tr2bl w:val="nil"/>
            </w:tcBorders>
            <w:shd w:val="clear" w:color="auto" w:fill="auto"/>
            <w:noWrap/>
            <w:vAlign w:val="center"/>
          </w:tcPr>
          <w:p w14:paraId="557D8376">
            <w:pPr>
              <w:jc w:val="center"/>
              <w:rPr>
                <w:rFonts w:hint="eastAsia" w:ascii="宋体" w:hAnsi="宋体" w:eastAsia="宋体" w:cs="宋体"/>
                <w:i w:val="0"/>
                <w:iCs w:val="0"/>
                <w:color w:val="000000"/>
                <w:sz w:val="22"/>
                <w:szCs w:val="22"/>
                <w:u w:val="none"/>
              </w:rPr>
            </w:pPr>
          </w:p>
        </w:tc>
        <w:tc>
          <w:tcPr>
            <w:tcW w:w="0" w:type="auto"/>
            <w:vMerge w:val="restart"/>
            <w:tcBorders>
              <w:tl2br w:val="nil"/>
              <w:tr2bl w:val="nil"/>
            </w:tcBorders>
            <w:shd w:val="clear" w:color="auto" w:fill="auto"/>
            <w:noWrap/>
            <w:vAlign w:val="center"/>
          </w:tcPr>
          <w:p w14:paraId="45EF95BC">
            <w:pPr>
              <w:jc w:val="center"/>
              <w:rPr>
                <w:rFonts w:hint="eastAsia" w:ascii="宋体" w:hAnsi="宋体" w:eastAsia="宋体" w:cs="宋体"/>
                <w:i w:val="0"/>
                <w:iCs w:val="0"/>
                <w:color w:val="000000"/>
                <w:sz w:val="22"/>
                <w:szCs w:val="22"/>
                <w:u w:val="none"/>
              </w:rPr>
            </w:pPr>
          </w:p>
        </w:tc>
        <w:tc>
          <w:tcPr>
            <w:tcW w:w="1424" w:type="dxa"/>
            <w:vMerge w:val="restart"/>
            <w:tcBorders>
              <w:tl2br w:val="nil"/>
              <w:tr2bl w:val="nil"/>
            </w:tcBorders>
            <w:shd w:val="clear" w:color="auto" w:fill="auto"/>
            <w:vAlign w:val="center"/>
          </w:tcPr>
          <w:p w14:paraId="5A128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726AC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00" w:hRule="atLeast"/>
          <w:jc w:val="center"/>
        </w:trPr>
        <w:tc>
          <w:tcPr>
            <w:tcW w:w="0" w:type="auto"/>
            <w:vMerge w:val="continue"/>
            <w:tcBorders>
              <w:tl2br w:val="nil"/>
              <w:tr2bl w:val="nil"/>
            </w:tcBorders>
            <w:shd w:val="clear" w:color="auto" w:fill="auto"/>
            <w:noWrap/>
            <w:vAlign w:val="center"/>
          </w:tcPr>
          <w:p w14:paraId="14D8F4D3">
            <w:pPr>
              <w:jc w:val="center"/>
              <w:rPr>
                <w:rFonts w:hint="eastAsia" w:ascii="宋体" w:hAnsi="宋体" w:eastAsia="宋体" w:cs="宋体"/>
                <w:i w:val="0"/>
                <w:iCs w:val="0"/>
                <w:color w:val="000000"/>
                <w:sz w:val="22"/>
                <w:szCs w:val="22"/>
                <w:u w:val="none"/>
              </w:rPr>
            </w:pPr>
          </w:p>
        </w:tc>
        <w:tc>
          <w:tcPr>
            <w:tcW w:w="1082" w:type="dxa"/>
            <w:vMerge w:val="continue"/>
            <w:tcBorders>
              <w:tl2br w:val="nil"/>
              <w:tr2bl w:val="nil"/>
            </w:tcBorders>
            <w:shd w:val="clear" w:color="auto" w:fill="auto"/>
            <w:vAlign w:val="center"/>
          </w:tcPr>
          <w:p w14:paraId="446E286B">
            <w:pPr>
              <w:jc w:val="center"/>
              <w:rPr>
                <w:rFonts w:hint="eastAsia" w:ascii="宋体" w:hAnsi="宋体" w:eastAsia="宋体" w:cs="宋体"/>
                <w:i w:val="0"/>
                <w:iCs w:val="0"/>
                <w:color w:val="000000"/>
                <w:sz w:val="22"/>
                <w:szCs w:val="22"/>
                <w:u w:val="none"/>
              </w:rPr>
            </w:pPr>
          </w:p>
        </w:tc>
        <w:tc>
          <w:tcPr>
            <w:tcW w:w="4359" w:type="dxa"/>
            <w:vMerge w:val="continue"/>
            <w:tcBorders>
              <w:tl2br w:val="nil"/>
              <w:tr2bl w:val="nil"/>
            </w:tcBorders>
            <w:shd w:val="clear" w:color="auto" w:fill="auto"/>
            <w:vAlign w:val="center"/>
          </w:tcPr>
          <w:p w14:paraId="51BCD45D">
            <w:pPr>
              <w:rPr>
                <w:rFonts w:hint="eastAsia" w:ascii="宋体" w:hAnsi="宋体" w:eastAsia="宋体" w:cs="宋体"/>
                <w:i w:val="0"/>
                <w:iCs w:val="0"/>
                <w:color w:val="000000"/>
                <w:sz w:val="22"/>
                <w:szCs w:val="22"/>
                <w:u w:val="none"/>
              </w:rPr>
            </w:pPr>
          </w:p>
        </w:tc>
        <w:tc>
          <w:tcPr>
            <w:tcW w:w="0" w:type="auto"/>
            <w:vMerge w:val="continue"/>
            <w:tcBorders>
              <w:tl2br w:val="nil"/>
              <w:tr2bl w:val="nil"/>
            </w:tcBorders>
            <w:shd w:val="clear" w:color="auto" w:fill="auto"/>
            <w:noWrap/>
            <w:vAlign w:val="center"/>
          </w:tcPr>
          <w:p w14:paraId="522F2E4B">
            <w:pPr>
              <w:jc w:val="center"/>
              <w:rPr>
                <w:rFonts w:hint="eastAsia" w:ascii="宋体" w:hAnsi="宋体" w:eastAsia="宋体" w:cs="宋体"/>
                <w:i w:val="0"/>
                <w:iCs w:val="0"/>
                <w:color w:val="000000"/>
                <w:sz w:val="22"/>
                <w:szCs w:val="22"/>
                <w:u w:val="none"/>
              </w:rPr>
            </w:pPr>
          </w:p>
        </w:tc>
        <w:tc>
          <w:tcPr>
            <w:tcW w:w="0" w:type="auto"/>
            <w:vMerge w:val="continue"/>
            <w:tcBorders>
              <w:tl2br w:val="nil"/>
              <w:tr2bl w:val="nil"/>
            </w:tcBorders>
            <w:shd w:val="clear" w:color="auto" w:fill="auto"/>
            <w:noWrap/>
            <w:vAlign w:val="center"/>
          </w:tcPr>
          <w:p w14:paraId="1C25A0BB">
            <w:pPr>
              <w:jc w:val="center"/>
              <w:rPr>
                <w:rFonts w:hint="eastAsia" w:ascii="宋体" w:hAnsi="宋体" w:eastAsia="宋体" w:cs="宋体"/>
                <w:i w:val="0"/>
                <w:iCs w:val="0"/>
                <w:color w:val="000000"/>
                <w:sz w:val="22"/>
                <w:szCs w:val="22"/>
                <w:u w:val="none"/>
              </w:rPr>
            </w:pPr>
          </w:p>
        </w:tc>
        <w:tc>
          <w:tcPr>
            <w:tcW w:w="0" w:type="auto"/>
            <w:vMerge w:val="continue"/>
            <w:tcBorders>
              <w:tl2br w:val="nil"/>
              <w:tr2bl w:val="nil"/>
            </w:tcBorders>
            <w:shd w:val="clear" w:color="auto" w:fill="auto"/>
            <w:noWrap/>
            <w:vAlign w:val="center"/>
          </w:tcPr>
          <w:p w14:paraId="5CB344CA">
            <w:pPr>
              <w:jc w:val="center"/>
              <w:rPr>
                <w:rFonts w:hint="eastAsia" w:ascii="宋体" w:hAnsi="宋体" w:eastAsia="宋体" w:cs="宋体"/>
                <w:i w:val="0"/>
                <w:iCs w:val="0"/>
                <w:color w:val="000000"/>
                <w:sz w:val="22"/>
                <w:szCs w:val="22"/>
                <w:u w:val="none"/>
              </w:rPr>
            </w:pPr>
          </w:p>
        </w:tc>
        <w:tc>
          <w:tcPr>
            <w:tcW w:w="0" w:type="auto"/>
            <w:vMerge w:val="continue"/>
            <w:tcBorders>
              <w:tl2br w:val="nil"/>
              <w:tr2bl w:val="nil"/>
            </w:tcBorders>
            <w:shd w:val="clear" w:color="auto" w:fill="auto"/>
            <w:noWrap/>
            <w:vAlign w:val="center"/>
          </w:tcPr>
          <w:p w14:paraId="731C728C">
            <w:pPr>
              <w:jc w:val="center"/>
              <w:rPr>
                <w:rFonts w:hint="eastAsia" w:ascii="宋体" w:hAnsi="宋体" w:eastAsia="宋体" w:cs="宋体"/>
                <w:i w:val="0"/>
                <w:iCs w:val="0"/>
                <w:color w:val="000000"/>
                <w:sz w:val="22"/>
                <w:szCs w:val="22"/>
                <w:u w:val="none"/>
              </w:rPr>
            </w:pPr>
          </w:p>
        </w:tc>
        <w:tc>
          <w:tcPr>
            <w:tcW w:w="1424" w:type="dxa"/>
            <w:vMerge w:val="continue"/>
            <w:tcBorders>
              <w:tl2br w:val="nil"/>
              <w:tr2bl w:val="nil"/>
            </w:tcBorders>
            <w:shd w:val="clear" w:color="auto" w:fill="auto"/>
            <w:vAlign w:val="center"/>
          </w:tcPr>
          <w:p w14:paraId="1974A02C">
            <w:pPr>
              <w:jc w:val="center"/>
              <w:rPr>
                <w:rFonts w:hint="eastAsia" w:ascii="宋体" w:hAnsi="宋体" w:eastAsia="宋体" w:cs="宋体"/>
                <w:i w:val="0"/>
                <w:iCs w:val="0"/>
                <w:color w:val="000000"/>
                <w:sz w:val="22"/>
                <w:szCs w:val="22"/>
                <w:u w:val="none"/>
              </w:rPr>
            </w:pPr>
          </w:p>
        </w:tc>
      </w:tr>
      <w:tr w14:paraId="1C96B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0" w:hRule="atLeast"/>
          <w:jc w:val="center"/>
        </w:trPr>
        <w:tc>
          <w:tcPr>
            <w:tcW w:w="0" w:type="auto"/>
            <w:tcBorders>
              <w:tl2br w:val="nil"/>
              <w:tr2bl w:val="nil"/>
            </w:tcBorders>
            <w:shd w:val="clear" w:color="auto" w:fill="auto"/>
            <w:noWrap/>
            <w:vAlign w:val="center"/>
          </w:tcPr>
          <w:p w14:paraId="69AFD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2" w:type="dxa"/>
            <w:tcBorders>
              <w:tl2br w:val="nil"/>
              <w:tr2bl w:val="nil"/>
            </w:tcBorders>
            <w:shd w:val="clear" w:color="auto" w:fill="auto"/>
            <w:vAlign w:val="center"/>
          </w:tcPr>
          <w:p w14:paraId="7E386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抓草机</w:t>
            </w:r>
          </w:p>
        </w:tc>
        <w:tc>
          <w:tcPr>
            <w:tcW w:w="4359" w:type="dxa"/>
            <w:tcBorders>
              <w:tl2br w:val="nil"/>
              <w:tr2bl w:val="nil"/>
            </w:tcBorders>
            <w:shd w:val="clear" w:color="auto" w:fill="auto"/>
            <w:vAlign w:val="center"/>
          </w:tcPr>
          <w:p w14:paraId="2450A9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形尺寸：6750*1940*2700mm；整机重量：4600kg；发动机型号：498增压国四；额定功率：36.8KW；额定转速：2400r/min；卸载高度：4200mm；卸载距离：980mm；轴距：2240mm；轮距：1492mm；变速箱形式：265高低速变矩器；轮胎型号：20.5/70-16；车桥：轮边气刹桥</w:t>
            </w:r>
          </w:p>
        </w:tc>
        <w:tc>
          <w:tcPr>
            <w:tcW w:w="0" w:type="auto"/>
            <w:tcBorders>
              <w:tl2br w:val="nil"/>
              <w:tr2bl w:val="nil"/>
            </w:tcBorders>
            <w:shd w:val="clear" w:color="auto" w:fill="auto"/>
            <w:noWrap/>
            <w:vAlign w:val="center"/>
          </w:tcPr>
          <w:p w14:paraId="2DBAB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l2br w:val="nil"/>
              <w:tr2bl w:val="nil"/>
            </w:tcBorders>
            <w:shd w:val="clear" w:color="auto" w:fill="auto"/>
            <w:noWrap/>
            <w:vAlign w:val="center"/>
          </w:tcPr>
          <w:p w14:paraId="413C8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l2br w:val="nil"/>
              <w:tr2bl w:val="nil"/>
            </w:tcBorders>
            <w:shd w:val="clear" w:color="auto" w:fill="auto"/>
            <w:noWrap/>
            <w:vAlign w:val="center"/>
          </w:tcPr>
          <w:p w14:paraId="2C539639">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231C99C5">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2185A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55E60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24" w:hRule="atLeast"/>
          <w:jc w:val="center"/>
        </w:trPr>
        <w:tc>
          <w:tcPr>
            <w:tcW w:w="0" w:type="auto"/>
            <w:tcBorders>
              <w:tl2br w:val="nil"/>
              <w:tr2bl w:val="nil"/>
            </w:tcBorders>
            <w:shd w:val="clear" w:color="auto" w:fill="auto"/>
            <w:noWrap/>
            <w:vAlign w:val="center"/>
          </w:tcPr>
          <w:p w14:paraId="36A5E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82" w:type="dxa"/>
            <w:tcBorders>
              <w:tl2br w:val="nil"/>
              <w:tr2bl w:val="nil"/>
            </w:tcBorders>
            <w:shd w:val="clear" w:color="auto" w:fill="auto"/>
            <w:vAlign w:val="center"/>
          </w:tcPr>
          <w:p w14:paraId="6F867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生物质颗粒生产线</w:t>
            </w:r>
          </w:p>
        </w:tc>
        <w:tc>
          <w:tcPr>
            <w:tcW w:w="4359" w:type="dxa"/>
            <w:tcBorders>
              <w:tl2br w:val="nil"/>
              <w:tr2bl w:val="nil"/>
            </w:tcBorders>
            <w:shd w:val="clear" w:color="auto" w:fill="auto"/>
            <w:vAlign w:val="center"/>
          </w:tcPr>
          <w:p w14:paraId="1EC54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1.圆盘粉碎机：主机功率：110kw； 泵站功率：5.5kw；出料形式：液压传动；旋转形式：液压传动;产量：10t/H（青秸秆）；形式：移动式；揉丝长度：3-10cm；主轴转速：1400-1900r/min ；刀片数量：120；上料口直径：3000mm;转筒直径：2200mm；外形 尺寸：4500*3000*2700；设备质量：3300kg；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2.输送机：输送带尺寸（长X宽）mm：8000 X 800；配套动力（kw）：3；；输送机侧板：钢板折弯；侧板高度：34.5cm;输送机皮带厚度：10mm;整机重量（kg）：650；移动方式：实芯轮*2 万向轮*2；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3.单向分料仓：容量：5m³；外形尺寸（长X宽X高）mm:3600 X 2300X 2800（含60cm增高腿）;配套动力:4 Kw(4级）1450r/min；减速机型号:ZQ350 ①装 ：速比:48.57;链条型号28A,156*2块；出料形式：链条刮板；整机重量（kg）;1320kg，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4.输送机：输送带尺寸（长X宽）mm：6000 X 800；配套动力（kw）：3；；输送机侧板：钢板折弯；侧板高度：34.5cm;输送机皮带厚度：10mm;整机重量（kg）：510；移动方式：实芯轮*2 万向轮*2；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5.多功能粉碎机：主机功率：90kw；锤片数量：70片；进料口宽度：1000mm；风机功率：11kw；沙克龙：直径1000cm*2 .7m*12 袋；产量：3-4t/h；外形尺寸：2500mm*2000mm*1500mm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6.螺旋输送机：长度：6米；功率：3kw；φ273mm；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7.缓存仓：功率：4kw；容积：5m³；出料方式：螺旋出料；出料口数量：1个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8.螺旋输送机：长度：6米；功率：3kw；φ273mm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9.颗粒机：配套动力：电机；配套功率：160kw-4;环膜内径：700mm；产量（秸秆木屑类）：2.3-3.5t/h；设备自重：7.5t；颗粒规格：∅6-∅12mm；颗粒密度：1.0-1.3t/m³；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10.上料输送机：功率：3kw；皮带尺寸：600*10000mm；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11.逆流式冷却机：用于制粒后的物料冷却逆流式冷却机,出料功率:1.5KW,风机功率:15KW ,带物料限位装置,自动下料.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12.上料输送机：功率：3kw；皮带尺寸：600*10000mm；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13.包装秤：用于颗粒的包装功率:1.5KW,产能:300包/H, 长:3000mm,宽:800mm,高:3400mm。 每包：25-50KG可调。</w:t>
            </w:r>
          </w:p>
        </w:tc>
        <w:tc>
          <w:tcPr>
            <w:tcW w:w="0" w:type="auto"/>
            <w:tcBorders>
              <w:tl2br w:val="nil"/>
              <w:tr2bl w:val="nil"/>
            </w:tcBorders>
            <w:shd w:val="clear" w:color="auto" w:fill="auto"/>
            <w:noWrap/>
            <w:vAlign w:val="center"/>
          </w:tcPr>
          <w:p w14:paraId="70DBF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l2br w:val="nil"/>
              <w:tr2bl w:val="nil"/>
            </w:tcBorders>
            <w:shd w:val="clear" w:color="auto" w:fill="auto"/>
            <w:noWrap/>
            <w:vAlign w:val="center"/>
          </w:tcPr>
          <w:p w14:paraId="7A544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l2br w:val="nil"/>
              <w:tr2bl w:val="nil"/>
            </w:tcBorders>
            <w:shd w:val="clear" w:color="auto" w:fill="auto"/>
            <w:noWrap/>
            <w:vAlign w:val="center"/>
          </w:tcPr>
          <w:p w14:paraId="32F423D5">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229A3164">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0244D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4A6C0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40" w:hRule="atLeast"/>
          <w:jc w:val="center"/>
        </w:trPr>
        <w:tc>
          <w:tcPr>
            <w:tcW w:w="0" w:type="auto"/>
            <w:tcBorders>
              <w:tl2br w:val="nil"/>
              <w:tr2bl w:val="nil"/>
            </w:tcBorders>
            <w:shd w:val="clear" w:color="auto" w:fill="auto"/>
            <w:noWrap/>
            <w:vAlign w:val="center"/>
          </w:tcPr>
          <w:p w14:paraId="0C271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2" w:type="dxa"/>
            <w:tcBorders>
              <w:tl2br w:val="nil"/>
              <w:tr2bl w:val="nil"/>
            </w:tcBorders>
            <w:shd w:val="clear" w:color="auto" w:fill="auto"/>
            <w:vAlign w:val="center"/>
          </w:tcPr>
          <w:p w14:paraId="2F210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饲草生产线除尘系统</w:t>
            </w:r>
          </w:p>
        </w:tc>
        <w:tc>
          <w:tcPr>
            <w:tcW w:w="4359" w:type="dxa"/>
            <w:tcBorders>
              <w:tl2br w:val="nil"/>
              <w:tr2bl w:val="nil"/>
            </w:tcBorders>
            <w:shd w:val="clear" w:color="auto" w:fill="auto"/>
            <w:vAlign w:val="center"/>
          </w:tcPr>
          <w:p w14:paraId="0C2E7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尺寸：3800*1900*4500mm，滤袋规格：φ133*2000mm;滤袋材质：涤纶针刺毡；滤袋数量：128；处理风量：12734-17824m³/h；净过滤面积：102.4㎡；脉冲阀：16个；风机：4-72-5.6A-2-18.5kw；风压：3209-2541Pa；除尘效率：≥99.5%；电控：脉冲阀控制柜，风机控制柜；</w:t>
            </w:r>
          </w:p>
        </w:tc>
        <w:tc>
          <w:tcPr>
            <w:tcW w:w="0" w:type="auto"/>
            <w:tcBorders>
              <w:tl2br w:val="nil"/>
              <w:tr2bl w:val="nil"/>
            </w:tcBorders>
            <w:shd w:val="clear" w:color="auto" w:fill="auto"/>
            <w:noWrap/>
            <w:vAlign w:val="center"/>
          </w:tcPr>
          <w:p w14:paraId="6375E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l2br w:val="nil"/>
              <w:tr2bl w:val="nil"/>
            </w:tcBorders>
            <w:shd w:val="clear" w:color="auto" w:fill="auto"/>
            <w:noWrap/>
            <w:vAlign w:val="center"/>
          </w:tcPr>
          <w:p w14:paraId="16F744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l2br w:val="nil"/>
              <w:tr2bl w:val="nil"/>
            </w:tcBorders>
            <w:shd w:val="clear" w:color="auto" w:fill="auto"/>
            <w:noWrap/>
            <w:vAlign w:val="center"/>
          </w:tcPr>
          <w:p w14:paraId="33A254F7">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50FFE61D">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418AB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7DF86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40" w:hRule="atLeast"/>
          <w:jc w:val="center"/>
        </w:trPr>
        <w:tc>
          <w:tcPr>
            <w:tcW w:w="0" w:type="auto"/>
            <w:tcBorders>
              <w:tl2br w:val="nil"/>
              <w:tr2bl w:val="nil"/>
            </w:tcBorders>
            <w:shd w:val="clear" w:color="auto" w:fill="auto"/>
            <w:noWrap/>
            <w:vAlign w:val="center"/>
          </w:tcPr>
          <w:p w14:paraId="1D16E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82" w:type="dxa"/>
            <w:tcBorders>
              <w:tl2br w:val="nil"/>
              <w:tr2bl w:val="nil"/>
            </w:tcBorders>
            <w:shd w:val="clear" w:color="auto" w:fill="auto"/>
            <w:vAlign w:val="center"/>
          </w:tcPr>
          <w:p w14:paraId="6D110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生物质颗粒生产线除尘系统</w:t>
            </w:r>
          </w:p>
        </w:tc>
        <w:tc>
          <w:tcPr>
            <w:tcW w:w="4359" w:type="dxa"/>
            <w:tcBorders>
              <w:tl2br w:val="nil"/>
              <w:tr2bl w:val="nil"/>
            </w:tcBorders>
            <w:shd w:val="clear" w:color="auto" w:fill="auto"/>
            <w:vAlign w:val="center"/>
          </w:tcPr>
          <w:p w14:paraId="6C74BA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尺寸：3800*1900*4500mm，滤袋规格：φ133*2000mm;滤袋材质：涤纶针刺毡；滤袋数量：128；处理风量：12734-17824m³/h；净过滤面积：102.4㎡；脉冲阀：16个；风机：4-72-5.6A-2-18.5kw；风压：3209-2541Pa；除尘效率：≥99.5%；电控：脉冲阀控制柜，风机控制柜；</w:t>
            </w:r>
          </w:p>
        </w:tc>
        <w:tc>
          <w:tcPr>
            <w:tcW w:w="0" w:type="auto"/>
            <w:tcBorders>
              <w:tl2br w:val="nil"/>
              <w:tr2bl w:val="nil"/>
            </w:tcBorders>
            <w:shd w:val="clear" w:color="auto" w:fill="auto"/>
            <w:noWrap/>
            <w:vAlign w:val="center"/>
          </w:tcPr>
          <w:p w14:paraId="2C7A6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l2br w:val="nil"/>
              <w:tr2bl w:val="nil"/>
            </w:tcBorders>
            <w:shd w:val="clear" w:color="auto" w:fill="auto"/>
            <w:noWrap/>
            <w:vAlign w:val="center"/>
          </w:tcPr>
          <w:p w14:paraId="3639D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l2br w:val="nil"/>
              <w:tr2bl w:val="nil"/>
            </w:tcBorders>
            <w:shd w:val="clear" w:color="auto" w:fill="auto"/>
            <w:noWrap/>
            <w:vAlign w:val="center"/>
          </w:tcPr>
          <w:p w14:paraId="1C7562CA">
            <w:pPr>
              <w:jc w:val="center"/>
              <w:rPr>
                <w:rFonts w:hint="eastAsia" w:ascii="宋体" w:hAnsi="宋体" w:eastAsia="宋体" w:cs="宋体"/>
                <w:i w:val="0"/>
                <w:iCs w:val="0"/>
                <w:color w:val="000000"/>
                <w:sz w:val="22"/>
                <w:szCs w:val="22"/>
                <w:u w:val="none"/>
              </w:rPr>
            </w:pPr>
          </w:p>
        </w:tc>
        <w:tc>
          <w:tcPr>
            <w:tcW w:w="0" w:type="auto"/>
            <w:tcBorders>
              <w:tl2br w:val="nil"/>
              <w:tr2bl w:val="nil"/>
            </w:tcBorders>
            <w:shd w:val="clear" w:color="auto" w:fill="auto"/>
            <w:noWrap/>
            <w:vAlign w:val="center"/>
          </w:tcPr>
          <w:p w14:paraId="161102F7">
            <w:pPr>
              <w:jc w:val="center"/>
              <w:rPr>
                <w:rFonts w:hint="eastAsia" w:ascii="宋体" w:hAnsi="宋体" w:eastAsia="宋体" w:cs="宋体"/>
                <w:i w:val="0"/>
                <w:iCs w:val="0"/>
                <w:color w:val="000000"/>
                <w:sz w:val="22"/>
                <w:szCs w:val="22"/>
                <w:u w:val="none"/>
              </w:rPr>
            </w:pPr>
          </w:p>
        </w:tc>
        <w:tc>
          <w:tcPr>
            <w:tcW w:w="1424" w:type="dxa"/>
            <w:tcBorders>
              <w:tl2br w:val="nil"/>
              <w:tr2bl w:val="nil"/>
            </w:tcBorders>
            <w:shd w:val="clear" w:color="auto" w:fill="auto"/>
            <w:vAlign w:val="center"/>
          </w:tcPr>
          <w:p w14:paraId="66AB01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此价格包含安装、调试、税金等费用</w:t>
            </w:r>
          </w:p>
        </w:tc>
      </w:tr>
      <w:tr w14:paraId="02958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jc w:val="center"/>
        </w:trPr>
        <w:tc>
          <w:tcPr>
            <w:tcW w:w="0" w:type="auto"/>
            <w:gridSpan w:val="2"/>
            <w:tcBorders>
              <w:tl2br w:val="nil"/>
              <w:tr2bl w:val="nil"/>
            </w:tcBorders>
            <w:shd w:val="clear" w:color="auto" w:fill="auto"/>
            <w:noWrap/>
            <w:vAlign w:val="center"/>
          </w:tcPr>
          <w:p w14:paraId="13954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gridSpan w:val="3"/>
            <w:tcBorders>
              <w:tl2br w:val="nil"/>
              <w:tr2bl w:val="nil"/>
            </w:tcBorders>
            <w:shd w:val="clear" w:color="auto" w:fill="auto"/>
            <w:noWrap/>
            <w:vAlign w:val="center"/>
          </w:tcPr>
          <w:p w14:paraId="049832DB">
            <w:pPr>
              <w:jc w:val="center"/>
              <w:rPr>
                <w:rFonts w:hint="eastAsia" w:ascii="宋体" w:hAnsi="宋体" w:eastAsia="宋体" w:cs="宋体"/>
                <w:i w:val="0"/>
                <w:iCs w:val="0"/>
                <w:color w:val="000000"/>
                <w:sz w:val="22"/>
                <w:szCs w:val="22"/>
                <w:u w:val="none"/>
              </w:rPr>
            </w:pPr>
          </w:p>
        </w:tc>
        <w:tc>
          <w:tcPr>
            <w:tcW w:w="0" w:type="auto"/>
            <w:gridSpan w:val="3"/>
            <w:tcBorders>
              <w:tl2br w:val="nil"/>
              <w:tr2bl w:val="nil"/>
            </w:tcBorders>
            <w:shd w:val="clear" w:color="auto" w:fill="auto"/>
            <w:noWrap/>
            <w:vAlign w:val="center"/>
          </w:tcPr>
          <w:p w14:paraId="43FF9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bl>
    <w:p w14:paraId="46012D03">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cs="宋体"/>
          <w:color w:val="000000"/>
          <w:kern w:val="0"/>
          <w:sz w:val="24"/>
          <w:szCs w:val="24"/>
        </w:rPr>
      </w:pPr>
    </w:p>
    <w:p w14:paraId="6FF79EAA">
      <w:pPr>
        <w:rPr>
          <w:rStyle w:val="41"/>
          <w:rFonts w:hint="eastAsia" w:ascii="宋体" w:hAnsi="宋体" w:eastAsia="宋体" w:cs="宋体"/>
          <w:color w:val="auto"/>
          <w:sz w:val="21"/>
          <w:szCs w:val="21"/>
        </w:rPr>
      </w:pPr>
    </w:p>
    <w:p w14:paraId="6BA94007">
      <w:pPr>
        <w:rPr>
          <w:rStyle w:val="41"/>
          <w:rFonts w:hint="eastAsia" w:ascii="宋体" w:hAnsi="宋体" w:cs="宋体"/>
          <w:color w:val="auto"/>
          <w:lang w:val="en-US" w:eastAsia="zh-CN"/>
        </w:rPr>
      </w:pPr>
      <w:bookmarkStart w:id="507" w:name="_Toc13286"/>
      <w:bookmarkStart w:id="508" w:name="_Toc18100"/>
      <w:r>
        <w:rPr>
          <w:rStyle w:val="41"/>
          <w:rFonts w:hint="eastAsia" w:ascii="宋体" w:hAnsi="宋体" w:cs="宋体"/>
          <w:color w:val="auto"/>
          <w:lang w:val="en-US" w:eastAsia="zh-CN"/>
        </w:rPr>
        <w:br w:type="page"/>
      </w:r>
    </w:p>
    <w:p w14:paraId="7D26B54E">
      <w:pPr>
        <w:numPr>
          <w:ilvl w:val="0"/>
          <w:numId w:val="0"/>
        </w:numPr>
        <w:spacing w:line="340" w:lineRule="exact"/>
        <w:ind w:leftChars="0"/>
        <w:jc w:val="center"/>
        <w:outlineLvl w:val="0"/>
        <w:rPr>
          <w:rStyle w:val="41"/>
          <w:rFonts w:hint="eastAsia" w:ascii="宋体" w:hAnsi="宋体" w:cs="宋体"/>
          <w:color w:val="auto"/>
          <w:lang w:val="en-US" w:eastAsia="zh-CN"/>
        </w:rPr>
      </w:pPr>
      <w:r>
        <w:rPr>
          <w:rStyle w:val="41"/>
          <w:rFonts w:hint="eastAsia" w:ascii="宋体" w:hAnsi="宋体" w:cs="宋体"/>
          <w:color w:val="auto"/>
          <w:lang w:val="en-US" w:eastAsia="zh-CN"/>
        </w:rPr>
        <w:t>第四章  评标办法（综合评分法）</w:t>
      </w:r>
      <w:bookmarkEnd w:id="503"/>
      <w:bookmarkEnd w:id="504"/>
      <w:bookmarkEnd w:id="505"/>
      <w:bookmarkEnd w:id="506"/>
      <w:bookmarkEnd w:id="507"/>
      <w:bookmarkEnd w:id="508"/>
      <w:bookmarkStart w:id="509" w:name="_Toc9836"/>
    </w:p>
    <w:tbl>
      <w:tblPr>
        <w:tblStyle w:val="23"/>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56"/>
        <w:gridCol w:w="1078"/>
        <w:gridCol w:w="56"/>
        <w:gridCol w:w="1939"/>
        <w:gridCol w:w="56"/>
        <w:gridCol w:w="5409"/>
      </w:tblGrid>
      <w:tr w14:paraId="6A69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1996" w:type="dxa"/>
            <w:gridSpan w:val="4"/>
            <w:vAlign w:val="center"/>
          </w:tcPr>
          <w:p w14:paraId="35CB99CC">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条款号</w:t>
            </w:r>
          </w:p>
        </w:tc>
        <w:tc>
          <w:tcPr>
            <w:tcW w:w="1995" w:type="dxa"/>
            <w:gridSpan w:val="2"/>
            <w:vAlign w:val="center"/>
          </w:tcPr>
          <w:p w14:paraId="6D6B31D7">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rPr>
            </w:pPr>
            <w:r>
              <w:rPr>
                <w:rFonts w:hint="eastAsia" w:ascii="宋体" w:hAnsi="宋体" w:eastAsia="宋体" w:cs="宋体"/>
                <w:kern w:val="0"/>
                <w:sz w:val="24"/>
                <w:szCs w:val="24"/>
              </w:rPr>
              <w:t>评审因素</w:t>
            </w:r>
          </w:p>
        </w:tc>
        <w:tc>
          <w:tcPr>
            <w:tcW w:w="5409" w:type="dxa"/>
            <w:vAlign w:val="center"/>
          </w:tcPr>
          <w:p w14:paraId="497976BC">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sz w:val="24"/>
                <w:szCs w:val="24"/>
              </w:rPr>
            </w:pPr>
            <w:r>
              <w:rPr>
                <w:rFonts w:hint="eastAsia" w:ascii="宋体" w:hAnsi="宋体" w:eastAsia="宋体" w:cs="宋体"/>
                <w:kern w:val="0"/>
                <w:sz w:val="24"/>
                <w:szCs w:val="24"/>
              </w:rPr>
              <w:t>评审标准</w:t>
            </w:r>
          </w:p>
        </w:tc>
      </w:tr>
      <w:tr w14:paraId="735D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862" w:type="dxa"/>
            <w:gridSpan w:val="2"/>
            <w:vMerge w:val="restart"/>
            <w:vAlign w:val="center"/>
          </w:tcPr>
          <w:p w14:paraId="4AFAA0F2">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p>
          <w:p w14:paraId="789E5E56">
            <w:pPr>
              <w:pStyle w:val="9"/>
              <w:keepNext w:val="0"/>
              <w:keepLines w:val="0"/>
              <w:suppressLineNumbers w:val="0"/>
              <w:spacing w:before="0" w:beforeAutospacing="0" w:after="0" w:afterAutospacing="0"/>
              <w:ind w:left="0" w:right="0" w:firstLine="0" w:firstLineChars="0"/>
              <w:jc w:val="center"/>
              <w:rPr>
                <w:rFonts w:hint="eastAsia" w:ascii="宋体" w:hAnsi="宋体" w:eastAsia="宋体" w:cs="宋体"/>
                <w:sz w:val="24"/>
                <w:szCs w:val="24"/>
              </w:rPr>
            </w:pPr>
            <w:r>
              <w:rPr>
                <w:rFonts w:hint="eastAsia" w:ascii="宋体" w:hAnsi="宋体" w:eastAsia="宋体" w:cs="宋体"/>
                <w:kern w:val="0"/>
                <w:sz w:val="24"/>
                <w:szCs w:val="24"/>
              </w:rPr>
              <w:t>1.1</w:t>
            </w:r>
          </w:p>
        </w:tc>
        <w:tc>
          <w:tcPr>
            <w:tcW w:w="1134" w:type="dxa"/>
            <w:gridSpan w:val="2"/>
            <w:vMerge w:val="restart"/>
            <w:vAlign w:val="center"/>
          </w:tcPr>
          <w:p w14:paraId="286A950D">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符合性评审标准</w:t>
            </w:r>
          </w:p>
        </w:tc>
        <w:tc>
          <w:tcPr>
            <w:tcW w:w="1995" w:type="dxa"/>
            <w:gridSpan w:val="2"/>
            <w:vAlign w:val="center"/>
          </w:tcPr>
          <w:p w14:paraId="17CC1E2A">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名称</w:t>
            </w:r>
          </w:p>
        </w:tc>
        <w:tc>
          <w:tcPr>
            <w:tcW w:w="5409" w:type="dxa"/>
            <w:vAlign w:val="center"/>
          </w:tcPr>
          <w:p w14:paraId="2C548118">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与营业执照一致</w:t>
            </w:r>
          </w:p>
        </w:tc>
      </w:tr>
      <w:tr w14:paraId="04635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exact"/>
          <w:jc w:val="center"/>
        </w:trPr>
        <w:tc>
          <w:tcPr>
            <w:tcW w:w="862" w:type="dxa"/>
            <w:gridSpan w:val="2"/>
            <w:vMerge w:val="continue"/>
            <w:vAlign w:val="center"/>
          </w:tcPr>
          <w:p w14:paraId="13646D6B">
            <w:pPr>
              <w:pStyle w:val="9"/>
              <w:keepNext w:val="0"/>
              <w:keepLines w:val="0"/>
              <w:suppressLineNumbers w:val="0"/>
              <w:spacing w:before="0" w:beforeAutospacing="0" w:after="0" w:afterAutospacing="0"/>
              <w:ind w:left="0" w:right="0" w:firstLine="480"/>
              <w:rPr>
                <w:rFonts w:hint="eastAsia" w:ascii="宋体" w:hAnsi="宋体" w:eastAsia="宋体" w:cs="宋体"/>
                <w:sz w:val="24"/>
                <w:szCs w:val="24"/>
              </w:rPr>
            </w:pPr>
          </w:p>
        </w:tc>
        <w:tc>
          <w:tcPr>
            <w:tcW w:w="1134" w:type="dxa"/>
            <w:gridSpan w:val="2"/>
            <w:vMerge w:val="continue"/>
            <w:vAlign w:val="center"/>
          </w:tcPr>
          <w:p w14:paraId="23529F27">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p>
        </w:tc>
        <w:tc>
          <w:tcPr>
            <w:tcW w:w="1995" w:type="dxa"/>
            <w:gridSpan w:val="2"/>
            <w:vAlign w:val="center"/>
          </w:tcPr>
          <w:p w14:paraId="2ED7EF53">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报价唯一</w:t>
            </w:r>
          </w:p>
        </w:tc>
        <w:tc>
          <w:tcPr>
            <w:tcW w:w="5409" w:type="dxa"/>
            <w:vAlign w:val="center"/>
          </w:tcPr>
          <w:p w14:paraId="7FF58936">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只有一个有效报价</w:t>
            </w:r>
          </w:p>
        </w:tc>
      </w:tr>
      <w:tr w14:paraId="1812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exact"/>
          <w:jc w:val="center"/>
        </w:trPr>
        <w:tc>
          <w:tcPr>
            <w:tcW w:w="862" w:type="dxa"/>
            <w:gridSpan w:val="2"/>
            <w:vMerge w:val="continue"/>
            <w:vAlign w:val="center"/>
          </w:tcPr>
          <w:p w14:paraId="23FEE9F0">
            <w:pPr>
              <w:pStyle w:val="9"/>
              <w:keepNext w:val="0"/>
              <w:keepLines w:val="0"/>
              <w:suppressLineNumbers w:val="0"/>
              <w:spacing w:before="0" w:beforeAutospacing="0" w:after="0" w:afterAutospacing="0"/>
              <w:ind w:left="0" w:right="0" w:firstLine="480"/>
              <w:rPr>
                <w:rFonts w:hint="eastAsia" w:ascii="宋体" w:hAnsi="宋体" w:eastAsia="宋体" w:cs="宋体"/>
                <w:sz w:val="24"/>
                <w:szCs w:val="24"/>
              </w:rPr>
            </w:pPr>
          </w:p>
        </w:tc>
        <w:tc>
          <w:tcPr>
            <w:tcW w:w="1134" w:type="dxa"/>
            <w:gridSpan w:val="2"/>
            <w:vMerge w:val="continue"/>
            <w:vAlign w:val="center"/>
          </w:tcPr>
          <w:p w14:paraId="349A0B79">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p>
        </w:tc>
        <w:tc>
          <w:tcPr>
            <w:tcW w:w="1995" w:type="dxa"/>
            <w:gridSpan w:val="2"/>
            <w:vAlign w:val="center"/>
          </w:tcPr>
          <w:p w14:paraId="05361602">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lang w:eastAsia="en-US"/>
              </w:rPr>
              <w:t>投标文件格式</w:t>
            </w:r>
          </w:p>
        </w:tc>
        <w:tc>
          <w:tcPr>
            <w:tcW w:w="5409" w:type="dxa"/>
            <w:vAlign w:val="center"/>
          </w:tcPr>
          <w:p w14:paraId="04CF50D1">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lang w:eastAsia="en-US"/>
              </w:rPr>
              <w:t>符合 “投标文件格式”的要求</w:t>
            </w:r>
          </w:p>
        </w:tc>
      </w:tr>
      <w:tr w14:paraId="34F5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8" w:hRule="exact"/>
          <w:jc w:val="center"/>
        </w:trPr>
        <w:tc>
          <w:tcPr>
            <w:tcW w:w="862" w:type="dxa"/>
            <w:gridSpan w:val="2"/>
            <w:vMerge w:val="restart"/>
            <w:shd w:val="clear" w:color="auto" w:fill="auto"/>
            <w:vAlign w:val="center"/>
          </w:tcPr>
          <w:p w14:paraId="19166433">
            <w:pPr>
              <w:pStyle w:val="9"/>
              <w:keepNext w:val="0"/>
              <w:keepLines w:val="0"/>
              <w:suppressLineNumbers w:val="0"/>
              <w:spacing w:before="0" w:beforeAutospacing="0" w:after="0" w:afterAutospacing="0"/>
              <w:ind w:left="0" w:right="0" w:firstLine="0" w:firstLineChars="0"/>
              <w:jc w:val="center"/>
              <w:rPr>
                <w:rFonts w:hint="eastAsia" w:ascii="宋体" w:hAnsi="宋体" w:eastAsia="宋体" w:cs="宋体"/>
                <w:sz w:val="24"/>
                <w:szCs w:val="24"/>
              </w:rPr>
            </w:pPr>
            <w:r>
              <w:rPr>
                <w:rFonts w:hint="eastAsia" w:ascii="宋体" w:hAnsi="宋体" w:eastAsia="宋体" w:cs="宋体"/>
                <w:kern w:val="0"/>
                <w:sz w:val="24"/>
                <w:szCs w:val="24"/>
              </w:rPr>
              <w:t>1.2</w:t>
            </w:r>
          </w:p>
        </w:tc>
        <w:tc>
          <w:tcPr>
            <w:tcW w:w="1134" w:type="dxa"/>
            <w:gridSpan w:val="2"/>
            <w:vMerge w:val="restart"/>
            <w:shd w:val="clear" w:color="auto" w:fill="auto"/>
            <w:vAlign w:val="center"/>
          </w:tcPr>
          <w:p w14:paraId="49816828">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资格评审标准</w:t>
            </w:r>
          </w:p>
        </w:tc>
        <w:tc>
          <w:tcPr>
            <w:tcW w:w="1995" w:type="dxa"/>
            <w:gridSpan w:val="2"/>
            <w:vAlign w:val="center"/>
          </w:tcPr>
          <w:p w14:paraId="16BF6FAC">
            <w:pPr>
              <w:keepNext w:val="0"/>
              <w:keepLines w:val="0"/>
              <w:suppressLineNumbers w:val="0"/>
              <w:autoSpaceDE w:val="0"/>
              <w:autoSpaceDN w:val="0"/>
              <w:adjustRightInd w:val="0"/>
              <w:spacing w:before="0" w:beforeAutospacing="0" w:after="0" w:afterAutospacing="0" w:line="400" w:lineRule="exact"/>
              <w:ind w:left="38" w:leftChars="18" w:right="0" w:rightChars="0"/>
              <w:jc w:val="center"/>
              <w:rPr>
                <w:rFonts w:hint="eastAsia" w:ascii="宋体" w:hAnsi="宋体" w:eastAsia="宋体" w:cs="宋体"/>
                <w:kern w:val="0"/>
                <w:sz w:val="24"/>
                <w:szCs w:val="24"/>
              </w:rPr>
            </w:pPr>
            <w:r>
              <w:rPr>
                <w:rFonts w:hint="eastAsia" w:ascii="宋体" w:hAnsi="宋体" w:eastAsia="宋体" w:cs="宋体"/>
                <w:kern w:val="0"/>
                <w:sz w:val="24"/>
                <w:szCs w:val="24"/>
              </w:rPr>
              <w:t>满足《中华人民共和国政府采购法》第二十二条规定</w:t>
            </w:r>
          </w:p>
        </w:tc>
        <w:tc>
          <w:tcPr>
            <w:tcW w:w="5409" w:type="dxa"/>
            <w:vAlign w:val="center"/>
          </w:tcPr>
          <w:p w14:paraId="2AE46238">
            <w:pPr>
              <w:keepNext w:val="0"/>
              <w:keepLines w:val="0"/>
              <w:suppressLineNumbers w:val="0"/>
              <w:autoSpaceDE w:val="0"/>
              <w:autoSpaceDN w:val="0"/>
              <w:adjustRightInd w:val="0"/>
              <w:spacing w:before="0" w:beforeAutospacing="0" w:after="0" w:afterAutospacing="0" w:line="400" w:lineRule="exact"/>
              <w:ind w:left="38" w:leftChars="18" w:right="0" w:rightChars="0"/>
              <w:jc w:val="center"/>
              <w:rPr>
                <w:rFonts w:hint="eastAsia" w:ascii="宋体" w:hAnsi="宋体" w:eastAsia="宋体" w:cs="宋体"/>
                <w:kern w:val="0"/>
                <w:sz w:val="24"/>
                <w:szCs w:val="24"/>
              </w:rPr>
            </w:pPr>
            <w:r>
              <w:rPr>
                <w:rFonts w:hint="eastAsia" w:ascii="宋体" w:hAnsi="宋体" w:eastAsia="宋体" w:cs="宋体"/>
                <w:kern w:val="0"/>
                <w:sz w:val="24"/>
                <w:szCs w:val="24"/>
              </w:rPr>
              <w:t>满足《中华人民共和国政府采购法》第二十二条规定</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供应商提供承诺书</w:t>
            </w:r>
          </w:p>
        </w:tc>
      </w:tr>
      <w:tr w14:paraId="29F7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4" w:hRule="exact"/>
          <w:jc w:val="center"/>
        </w:trPr>
        <w:tc>
          <w:tcPr>
            <w:tcW w:w="862" w:type="dxa"/>
            <w:gridSpan w:val="2"/>
            <w:vMerge w:val="continue"/>
            <w:shd w:val="clear" w:color="auto" w:fill="auto"/>
            <w:vAlign w:val="center"/>
          </w:tcPr>
          <w:p w14:paraId="77CAB9BB">
            <w:pPr>
              <w:pStyle w:val="9"/>
              <w:keepNext w:val="0"/>
              <w:keepLines w:val="0"/>
              <w:suppressLineNumbers w:val="0"/>
              <w:spacing w:before="0" w:beforeAutospacing="0" w:after="0" w:afterAutospacing="0"/>
              <w:ind w:left="0" w:right="0" w:firstLine="0" w:firstLineChars="0"/>
              <w:jc w:val="center"/>
              <w:rPr>
                <w:rFonts w:hint="eastAsia" w:ascii="宋体" w:hAnsi="宋体" w:eastAsia="宋体" w:cs="宋体"/>
                <w:kern w:val="0"/>
                <w:sz w:val="24"/>
                <w:szCs w:val="24"/>
              </w:rPr>
            </w:pPr>
          </w:p>
        </w:tc>
        <w:tc>
          <w:tcPr>
            <w:tcW w:w="1134" w:type="dxa"/>
            <w:gridSpan w:val="2"/>
            <w:vMerge w:val="continue"/>
            <w:shd w:val="clear" w:color="auto" w:fill="auto"/>
            <w:vAlign w:val="center"/>
          </w:tcPr>
          <w:p w14:paraId="0CD529FC">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p>
        </w:tc>
        <w:tc>
          <w:tcPr>
            <w:tcW w:w="1995" w:type="dxa"/>
            <w:gridSpan w:val="2"/>
            <w:vAlign w:val="center"/>
          </w:tcPr>
          <w:p w14:paraId="794F52E7">
            <w:pPr>
              <w:keepNext w:val="0"/>
              <w:keepLines w:val="0"/>
              <w:suppressLineNumbers w:val="0"/>
              <w:autoSpaceDE w:val="0"/>
              <w:autoSpaceDN w:val="0"/>
              <w:adjustRightInd w:val="0"/>
              <w:spacing w:before="0" w:beforeAutospacing="0" w:after="0" w:afterAutospacing="0" w:line="400" w:lineRule="exact"/>
              <w:ind w:left="38" w:leftChars="18" w:right="0" w:rightChars="0"/>
              <w:jc w:val="center"/>
              <w:rPr>
                <w:rFonts w:hint="eastAsia" w:ascii="宋体" w:hAnsi="宋体" w:eastAsia="宋体" w:cs="宋体"/>
                <w:kern w:val="0"/>
                <w:sz w:val="24"/>
                <w:szCs w:val="24"/>
              </w:rPr>
            </w:pPr>
            <w:r>
              <w:rPr>
                <w:rFonts w:hint="eastAsia" w:ascii="宋体" w:hAnsi="宋体" w:eastAsia="宋体" w:cs="宋体"/>
                <w:kern w:val="0"/>
                <w:sz w:val="24"/>
                <w:szCs w:val="24"/>
              </w:rPr>
              <w:t>营业执照</w:t>
            </w:r>
          </w:p>
        </w:tc>
        <w:tc>
          <w:tcPr>
            <w:tcW w:w="5409" w:type="dxa"/>
            <w:vAlign w:val="center"/>
          </w:tcPr>
          <w:p w14:paraId="3C00BB77">
            <w:pPr>
              <w:keepNext w:val="0"/>
              <w:keepLines w:val="0"/>
              <w:suppressLineNumbers w:val="0"/>
              <w:autoSpaceDE w:val="0"/>
              <w:autoSpaceDN w:val="0"/>
              <w:adjustRightInd w:val="0"/>
              <w:spacing w:before="0" w:beforeAutospacing="0" w:after="0" w:afterAutospacing="0" w:line="400" w:lineRule="exact"/>
              <w:ind w:left="38" w:leftChars="18" w:right="0" w:rightChars="0"/>
              <w:jc w:val="center"/>
              <w:rPr>
                <w:rFonts w:hint="eastAsia" w:ascii="宋体" w:hAnsi="宋体" w:cs="宋体"/>
                <w:sz w:val="24"/>
                <w:szCs w:val="24"/>
                <w:lang w:eastAsia="zh-CN"/>
              </w:rPr>
            </w:pPr>
            <w:r>
              <w:rPr>
                <w:rFonts w:hint="eastAsia" w:ascii="宋体" w:hAnsi="宋体" w:cs="宋体"/>
                <w:sz w:val="24"/>
                <w:szCs w:val="24"/>
                <w:lang w:eastAsia="zh-CN"/>
              </w:rPr>
              <w:t>供应商须具备独立承担民事责任的能力，提供有效的营业执照或事业单位法人证书，或其他依法成立、合法存续的有效登记（证明）证书；提供具有履行合同所必需的设备和专业技术能力（自行作出承诺，格式自拟）</w:t>
            </w:r>
            <w:r>
              <w:rPr>
                <w:rFonts w:hint="eastAsia" w:ascii="宋体" w:hAnsi="宋体" w:eastAsia="宋体" w:cs="宋体"/>
                <w:sz w:val="24"/>
                <w:szCs w:val="24"/>
              </w:rPr>
              <w:t xml:space="preserve"> </w:t>
            </w:r>
          </w:p>
        </w:tc>
      </w:tr>
      <w:tr w14:paraId="3F52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exact"/>
          <w:jc w:val="center"/>
        </w:trPr>
        <w:tc>
          <w:tcPr>
            <w:tcW w:w="862" w:type="dxa"/>
            <w:gridSpan w:val="2"/>
            <w:vMerge w:val="continue"/>
            <w:shd w:val="clear" w:color="auto" w:fill="auto"/>
            <w:vAlign w:val="center"/>
          </w:tcPr>
          <w:p w14:paraId="25335F00">
            <w:pPr>
              <w:pStyle w:val="9"/>
              <w:keepNext w:val="0"/>
              <w:keepLines w:val="0"/>
              <w:suppressLineNumbers w:val="0"/>
              <w:spacing w:before="0" w:beforeAutospacing="0" w:after="0" w:afterAutospacing="0"/>
              <w:ind w:left="0" w:right="0" w:firstLine="480"/>
              <w:rPr>
                <w:rFonts w:hint="eastAsia" w:ascii="宋体" w:hAnsi="宋体" w:eastAsia="宋体" w:cs="宋体"/>
                <w:sz w:val="24"/>
                <w:szCs w:val="24"/>
                <w:highlight w:val="yellow"/>
              </w:rPr>
            </w:pPr>
          </w:p>
        </w:tc>
        <w:tc>
          <w:tcPr>
            <w:tcW w:w="1134" w:type="dxa"/>
            <w:gridSpan w:val="2"/>
            <w:vMerge w:val="continue"/>
            <w:shd w:val="clear" w:color="auto" w:fill="auto"/>
            <w:vAlign w:val="center"/>
          </w:tcPr>
          <w:p w14:paraId="186BB84E">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highlight w:val="yellow"/>
              </w:rPr>
            </w:pPr>
          </w:p>
        </w:tc>
        <w:tc>
          <w:tcPr>
            <w:tcW w:w="1995" w:type="dxa"/>
            <w:gridSpan w:val="2"/>
            <w:vAlign w:val="center"/>
          </w:tcPr>
          <w:p w14:paraId="2E6CC847">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sz w:val="24"/>
                <w:szCs w:val="24"/>
                <w:lang w:eastAsia="zh-CN"/>
              </w:rPr>
              <w:t>无商业贿赂及无不正当竞争行为</w:t>
            </w:r>
          </w:p>
        </w:tc>
        <w:tc>
          <w:tcPr>
            <w:tcW w:w="5409" w:type="dxa"/>
            <w:vAlign w:val="center"/>
          </w:tcPr>
          <w:p w14:paraId="40149383">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cs="宋体"/>
                <w:sz w:val="24"/>
                <w:szCs w:val="24"/>
                <w:lang w:eastAsia="zh-CN"/>
              </w:rPr>
              <w:t>供应商</w:t>
            </w:r>
            <w:r>
              <w:rPr>
                <w:rFonts w:hint="eastAsia" w:ascii="宋体" w:hAnsi="宋体" w:eastAsia="宋体" w:cs="宋体"/>
                <w:sz w:val="24"/>
                <w:szCs w:val="24"/>
                <w:lang w:eastAsia="zh-CN"/>
              </w:rPr>
              <w:t>出具的本单位无商业贿赂及无不正当竞争行为承诺书</w:t>
            </w:r>
            <w:r>
              <w:rPr>
                <w:rFonts w:hint="eastAsia" w:ascii="宋体" w:hAnsi="宋体" w:eastAsia="宋体" w:cs="宋体"/>
                <w:sz w:val="24"/>
                <w:szCs w:val="24"/>
              </w:rPr>
              <w:t>；</w:t>
            </w:r>
          </w:p>
        </w:tc>
      </w:tr>
      <w:tr w14:paraId="28BC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exact"/>
          <w:jc w:val="center"/>
        </w:trPr>
        <w:tc>
          <w:tcPr>
            <w:tcW w:w="862" w:type="dxa"/>
            <w:gridSpan w:val="2"/>
            <w:vMerge w:val="continue"/>
            <w:shd w:val="clear" w:color="auto" w:fill="auto"/>
            <w:vAlign w:val="center"/>
          </w:tcPr>
          <w:p w14:paraId="369ED3A9">
            <w:pPr>
              <w:pStyle w:val="9"/>
              <w:keepNext w:val="0"/>
              <w:keepLines w:val="0"/>
              <w:suppressLineNumbers w:val="0"/>
              <w:spacing w:before="0" w:beforeAutospacing="0" w:after="0" w:afterAutospacing="0"/>
              <w:ind w:left="0" w:right="0" w:firstLine="480"/>
              <w:rPr>
                <w:rFonts w:hint="eastAsia" w:ascii="宋体" w:hAnsi="宋体" w:eastAsia="宋体" w:cs="宋体"/>
                <w:sz w:val="24"/>
                <w:szCs w:val="24"/>
                <w:highlight w:val="yellow"/>
              </w:rPr>
            </w:pPr>
          </w:p>
        </w:tc>
        <w:tc>
          <w:tcPr>
            <w:tcW w:w="1134" w:type="dxa"/>
            <w:gridSpan w:val="2"/>
            <w:vMerge w:val="continue"/>
            <w:shd w:val="clear" w:color="auto" w:fill="auto"/>
            <w:vAlign w:val="center"/>
          </w:tcPr>
          <w:p w14:paraId="2BA493D2">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highlight w:val="yellow"/>
              </w:rPr>
            </w:pPr>
          </w:p>
        </w:tc>
        <w:tc>
          <w:tcPr>
            <w:tcW w:w="1995" w:type="dxa"/>
            <w:gridSpan w:val="2"/>
            <w:vAlign w:val="center"/>
          </w:tcPr>
          <w:p w14:paraId="2A2F196E">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cs="宋体"/>
                <w:sz w:val="24"/>
                <w:szCs w:val="24"/>
                <w:lang w:eastAsia="zh-CN"/>
              </w:rPr>
              <w:t>无行贿记录</w:t>
            </w:r>
          </w:p>
        </w:tc>
        <w:tc>
          <w:tcPr>
            <w:tcW w:w="5409" w:type="dxa"/>
            <w:vAlign w:val="center"/>
          </w:tcPr>
          <w:p w14:paraId="19348D4D">
            <w:pPr>
              <w:pStyle w:val="21"/>
              <w:keepNext w:val="0"/>
              <w:keepLines w:val="0"/>
              <w:suppressLineNumbers w:val="0"/>
              <w:spacing w:before="0" w:beforeAutospacing="0" w:after="0" w:afterAutospacing="0" w:line="23" w:lineRule="atLeast"/>
              <w:ind w:left="0" w:right="0"/>
              <w:jc w:val="both"/>
              <w:rPr>
                <w:rFonts w:hint="eastAsia" w:ascii="宋体" w:hAnsi="宋体" w:eastAsia="宋体" w:cs="宋体"/>
                <w:kern w:val="0"/>
                <w:sz w:val="24"/>
                <w:szCs w:val="24"/>
                <w:highlight w:val="yellow"/>
              </w:rPr>
            </w:pPr>
            <w:r>
              <w:rPr>
                <w:rFonts w:hint="eastAsia" w:cs="宋体"/>
                <w:sz w:val="24"/>
                <w:szCs w:val="24"/>
                <w:lang w:eastAsia="zh-CN"/>
              </w:rPr>
              <w:t>供应商出具无行贿记录在中国裁判文书网自行查询或自行承诺（查询对象：企业、法定代表人）</w:t>
            </w:r>
          </w:p>
        </w:tc>
      </w:tr>
      <w:tr w14:paraId="2363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exact"/>
          <w:jc w:val="center"/>
        </w:trPr>
        <w:tc>
          <w:tcPr>
            <w:tcW w:w="862" w:type="dxa"/>
            <w:gridSpan w:val="2"/>
            <w:vMerge w:val="continue"/>
            <w:shd w:val="clear" w:color="auto" w:fill="auto"/>
            <w:vAlign w:val="center"/>
          </w:tcPr>
          <w:p w14:paraId="6F9A1134">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highlight w:val="yellow"/>
              </w:rPr>
            </w:pPr>
          </w:p>
        </w:tc>
        <w:tc>
          <w:tcPr>
            <w:tcW w:w="1134" w:type="dxa"/>
            <w:gridSpan w:val="2"/>
            <w:vMerge w:val="continue"/>
            <w:shd w:val="clear" w:color="auto" w:fill="auto"/>
            <w:vAlign w:val="center"/>
          </w:tcPr>
          <w:p w14:paraId="064AC123">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highlight w:val="yellow"/>
              </w:rPr>
            </w:pPr>
          </w:p>
        </w:tc>
        <w:tc>
          <w:tcPr>
            <w:tcW w:w="1995" w:type="dxa"/>
            <w:gridSpan w:val="2"/>
            <w:vAlign w:val="center"/>
          </w:tcPr>
          <w:p w14:paraId="29AB6715">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bookmarkStart w:id="510" w:name="OLE_LINK2"/>
            <w:r>
              <w:rPr>
                <w:rFonts w:hint="eastAsia" w:ascii="宋体" w:hAnsi="宋体" w:eastAsia="宋体" w:cs="宋体"/>
                <w:sz w:val="24"/>
                <w:szCs w:val="24"/>
              </w:rPr>
              <w:t>参加政府采购活动前三年内，在经营活动中没有重大违法记录</w:t>
            </w:r>
            <w:bookmarkEnd w:id="510"/>
          </w:p>
        </w:tc>
        <w:tc>
          <w:tcPr>
            <w:tcW w:w="5409" w:type="dxa"/>
            <w:vAlign w:val="center"/>
          </w:tcPr>
          <w:p w14:paraId="59DD99AC">
            <w:pPr>
              <w:keepNext w:val="0"/>
              <w:keepLines w:val="0"/>
              <w:suppressLineNumbers w:val="0"/>
              <w:autoSpaceDE w:val="0"/>
              <w:autoSpaceDN w:val="0"/>
              <w:adjustRightInd w:val="0"/>
              <w:spacing w:before="0" w:beforeAutospacing="0" w:after="0" w:afterAutospacing="0" w:line="400" w:lineRule="exact"/>
              <w:ind w:left="38" w:leftChars="18" w:right="0"/>
              <w:jc w:val="left"/>
              <w:rPr>
                <w:rFonts w:hint="eastAsia" w:ascii="宋体" w:hAnsi="宋体" w:eastAsia="宋体" w:cs="宋体"/>
                <w:kern w:val="0"/>
                <w:sz w:val="24"/>
                <w:szCs w:val="24"/>
                <w:highlight w:val="yellow"/>
              </w:rPr>
            </w:pPr>
            <w:r>
              <w:rPr>
                <w:rFonts w:hint="eastAsia" w:ascii="宋体" w:hAnsi="宋体" w:eastAsia="宋体" w:cs="宋体"/>
                <w:sz w:val="24"/>
                <w:szCs w:val="24"/>
              </w:rPr>
              <w:t>参加政府采购活动前三年内，在经营活动中没有重大违法记录（提供书面声明）；</w:t>
            </w:r>
          </w:p>
        </w:tc>
      </w:tr>
      <w:tr w14:paraId="1DEF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1" w:hRule="exact"/>
          <w:jc w:val="center"/>
        </w:trPr>
        <w:tc>
          <w:tcPr>
            <w:tcW w:w="862" w:type="dxa"/>
            <w:gridSpan w:val="2"/>
            <w:vMerge w:val="continue"/>
            <w:shd w:val="clear" w:color="auto" w:fill="auto"/>
            <w:vAlign w:val="center"/>
          </w:tcPr>
          <w:p w14:paraId="608CA9AF">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highlight w:val="yellow"/>
              </w:rPr>
            </w:pPr>
          </w:p>
        </w:tc>
        <w:tc>
          <w:tcPr>
            <w:tcW w:w="1134" w:type="dxa"/>
            <w:gridSpan w:val="2"/>
            <w:vMerge w:val="continue"/>
            <w:shd w:val="clear" w:color="auto" w:fill="auto"/>
            <w:vAlign w:val="center"/>
          </w:tcPr>
          <w:p w14:paraId="4E77A998">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highlight w:val="yellow"/>
              </w:rPr>
            </w:pPr>
          </w:p>
        </w:tc>
        <w:tc>
          <w:tcPr>
            <w:tcW w:w="1995" w:type="dxa"/>
            <w:gridSpan w:val="2"/>
            <w:vAlign w:val="center"/>
          </w:tcPr>
          <w:p w14:paraId="7AD80B22">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sz w:val="24"/>
                <w:szCs w:val="24"/>
              </w:rPr>
              <w:t>信用查询</w:t>
            </w:r>
          </w:p>
        </w:tc>
        <w:tc>
          <w:tcPr>
            <w:tcW w:w="5409" w:type="dxa"/>
            <w:vAlign w:val="center"/>
          </w:tcPr>
          <w:p w14:paraId="7D85A65C">
            <w:pPr>
              <w:pStyle w:val="21"/>
              <w:keepNext w:val="0"/>
              <w:keepLines w:val="0"/>
              <w:suppressLineNumbers w:val="0"/>
              <w:spacing w:before="0" w:beforeAutospacing="0" w:after="0" w:afterAutospacing="0" w:line="23" w:lineRule="atLeast"/>
              <w:ind w:left="0" w:right="0"/>
              <w:jc w:val="both"/>
              <w:rPr>
                <w:rFonts w:hint="eastAsia" w:ascii="宋体" w:hAnsi="宋体" w:eastAsia="宋体" w:cs="宋体"/>
                <w:sz w:val="24"/>
                <w:szCs w:val="24"/>
              </w:rPr>
            </w:pPr>
            <w:r>
              <w:rPr>
                <w:rFonts w:hint="eastAsia" w:ascii="宋体" w:hAnsi="宋体" w:eastAsia="宋体" w:cs="宋体"/>
                <w:sz w:val="24"/>
                <w:szCs w:val="24"/>
              </w:rPr>
              <w:t>根据《关于在政府采购活动中查询及使用信用记录有关问题的通知》（财库[2016]125号）和豫财购【2016】15号的规定，对列入失信被执行人、</w:t>
            </w:r>
            <w:r>
              <w:rPr>
                <w:rFonts w:hint="eastAsia" w:ascii="宋体" w:hAnsi="宋体" w:eastAsia="宋体" w:cs="宋体"/>
                <w:sz w:val="24"/>
                <w:szCs w:val="24"/>
                <w:lang w:eastAsia="zh-CN"/>
              </w:rPr>
              <w:t>重大税收违法失信主体</w:t>
            </w:r>
            <w:r>
              <w:rPr>
                <w:rFonts w:hint="eastAsia" w:ascii="宋体" w:hAnsi="宋体" w:eastAsia="宋体" w:cs="宋体"/>
                <w:sz w:val="24"/>
                <w:szCs w:val="24"/>
              </w:rPr>
              <w:t>、政府采购严重违法失信行为记录名单的</w:t>
            </w:r>
            <w:r>
              <w:rPr>
                <w:rFonts w:hint="eastAsia" w:cs="宋体"/>
                <w:sz w:val="24"/>
                <w:szCs w:val="24"/>
                <w:lang w:eastAsia="zh-CN"/>
              </w:rPr>
              <w:t>供应商</w:t>
            </w:r>
            <w:r>
              <w:rPr>
                <w:rFonts w:hint="eastAsia" w:ascii="宋体" w:hAnsi="宋体" w:eastAsia="宋体" w:cs="宋体"/>
                <w:sz w:val="24"/>
                <w:szCs w:val="24"/>
              </w:rPr>
              <w:t>，拒绝参与本项目采购活动；须提供“信用中国”网站（</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"http://gzjy.smx.gov.cn/SMX/ContentController/www.creditchina.gov.cn" </w:instrText>
            </w:r>
            <w:r>
              <w:rPr>
                <w:rFonts w:hint="eastAsia" w:ascii="宋体" w:hAnsi="宋体" w:eastAsia="宋体" w:cs="宋体"/>
                <w:sz w:val="24"/>
                <w:szCs w:val="24"/>
              </w:rPr>
              <w:fldChar w:fldCharType="separate"/>
            </w:r>
            <w:r>
              <w:rPr>
                <w:rFonts w:hint="eastAsia" w:ascii="宋体" w:hAnsi="宋体" w:eastAsia="宋体" w:cs="宋体"/>
                <w:sz w:val="24"/>
                <w:szCs w:val="24"/>
              </w:rPr>
              <w:t>www.creditchina.gov.cn</w:t>
            </w:r>
            <w:r>
              <w:rPr>
                <w:rFonts w:hint="eastAsia" w:ascii="宋体" w:hAnsi="宋体" w:eastAsia="宋体" w:cs="宋体"/>
                <w:sz w:val="24"/>
                <w:szCs w:val="24"/>
              </w:rPr>
              <w:fldChar w:fldCharType="end"/>
            </w:r>
            <w:r>
              <w:rPr>
                <w:rFonts w:hint="eastAsia" w:ascii="宋体" w:hAnsi="宋体" w:eastAsia="宋体" w:cs="宋体"/>
                <w:sz w:val="24"/>
                <w:szCs w:val="24"/>
              </w:rPr>
              <w:t>）、中国政府采购网（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"http://gzjy.smx.gov.cn/SMX/ContentController/www.ccgp.gov.cn" </w:instrText>
            </w:r>
            <w:r>
              <w:rPr>
                <w:rFonts w:hint="eastAsia" w:ascii="宋体" w:hAnsi="宋体" w:eastAsia="宋体" w:cs="宋体"/>
                <w:sz w:val="24"/>
                <w:szCs w:val="24"/>
              </w:rP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）的网页查询结果。查询时间为招标公告发布日期之后。</w:t>
            </w:r>
          </w:p>
        </w:tc>
      </w:tr>
      <w:tr w14:paraId="3DC6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exact"/>
          <w:jc w:val="center"/>
        </w:trPr>
        <w:tc>
          <w:tcPr>
            <w:tcW w:w="862" w:type="dxa"/>
            <w:gridSpan w:val="2"/>
            <w:vMerge w:val="restart"/>
            <w:vAlign w:val="center"/>
          </w:tcPr>
          <w:p w14:paraId="015C49DA">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c>
          <w:tcPr>
            <w:tcW w:w="1134" w:type="dxa"/>
            <w:gridSpan w:val="2"/>
            <w:vMerge w:val="restart"/>
            <w:vAlign w:val="center"/>
          </w:tcPr>
          <w:p w14:paraId="42D9DE01">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sz w:val="24"/>
                <w:szCs w:val="24"/>
              </w:rPr>
              <w:t>实质性响应审查</w:t>
            </w:r>
            <w:r>
              <w:rPr>
                <w:rFonts w:hint="eastAsia" w:ascii="宋体" w:hAnsi="宋体" w:eastAsia="宋体" w:cs="宋体"/>
                <w:color w:val="000000"/>
                <w:kern w:val="0"/>
                <w:sz w:val="24"/>
                <w:szCs w:val="24"/>
              </w:rPr>
              <w:t>标准</w:t>
            </w:r>
          </w:p>
        </w:tc>
        <w:tc>
          <w:tcPr>
            <w:tcW w:w="1995" w:type="dxa"/>
            <w:gridSpan w:val="2"/>
            <w:vAlign w:val="center"/>
          </w:tcPr>
          <w:p w14:paraId="738AE5BA">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投标文件签署、盖章</w:t>
            </w:r>
          </w:p>
        </w:tc>
        <w:tc>
          <w:tcPr>
            <w:tcW w:w="5409" w:type="dxa"/>
            <w:vAlign w:val="center"/>
          </w:tcPr>
          <w:p w14:paraId="212691C4">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sz w:val="24"/>
                <w:szCs w:val="24"/>
              </w:rPr>
              <w:t>投标文件按招标文件要求签署、盖章的</w:t>
            </w:r>
          </w:p>
        </w:tc>
      </w:tr>
      <w:tr w14:paraId="5581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jc w:val="center"/>
        </w:trPr>
        <w:tc>
          <w:tcPr>
            <w:tcW w:w="862" w:type="dxa"/>
            <w:gridSpan w:val="2"/>
            <w:vMerge w:val="continue"/>
            <w:vAlign w:val="center"/>
          </w:tcPr>
          <w:p w14:paraId="2F020E84">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p>
        </w:tc>
        <w:tc>
          <w:tcPr>
            <w:tcW w:w="1134" w:type="dxa"/>
            <w:gridSpan w:val="2"/>
            <w:vMerge w:val="continue"/>
            <w:vAlign w:val="center"/>
          </w:tcPr>
          <w:p w14:paraId="440599AD">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p>
        </w:tc>
        <w:tc>
          <w:tcPr>
            <w:tcW w:w="1995" w:type="dxa"/>
            <w:gridSpan w:val="2"/>
            <w:vAlign w:val="center"/>
          </w:tcPr>
          <w:p w14:paraId="5D7B6745">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投标报价</w:t>
            </w:r>
          </w:p>
        </w:tc>
        <w:tc>
          <w:tcPr>
            <w:tcW w:w="5409" w:type="dxa"/>
            <w:vAlign w:val="center"/>
          </w:tcPr>
          <w:p w14:paraId="3274CDBB">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不超过招标控制价，否则其投标做无效标处理</w:t>
            </w:r>
          </w:p>
        </w:tc>
      </w:tr>
      <w:tr w14:paraId="2B25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862" w:type="dxa"/>
            <w:gridSpan w:val="2"/>
            <w:vMerge w:val="continue"/>
            <w:vAlign w:val="center"/>
          </w:tcPr>
          <w:p w14:paraId="7B358AAC">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134" w:type="dxa"/>
            <w:gridSpan w:val="2"/>
            <w:vMerge w:val="continue"/>
            <w:vAlign w:val="center"/>
          </w:tcPr>
          <w:p w14:paraId="6E679CE8">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995" w:type="dxa"/>
            <w:gridSpan w:val="2"/>
            <w:vAlign w:val="center"/>
          </w:tcPr>
          <w:p w14:paraId="41D78AF7">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lang w:eastAsia="zh-CN"/>
              </w:rPr>
            </w:pPr>
            <w:r>
              <w:rPr>
                <w:rFonts w:hint="eastAsia" w:ascii="宋体" w:hAnsi="宋体" w:eastAsia="宋体" w:cs="宋体"/>
                <w:kern w:val="0"/>
                <w:sz w:val="24"/>
                <w:szCs w:val="24"/>
              </w:rPr>
              <w:t>采购</w:t>
            </w:r>
            <w:r>
              <w:rPr>
                <w:rFonts w:hint="eastAsia" w:ascii="宋体" w:hAnsi="宋体" w:eastAsia="宋体" w:cs="宋体"/>
                <w:kern w:val="0"/>
                <w:sz w:val="24"/>
                <w:szCs w:val="24"/>
                <w:lang w:val="en-US" w:eastAsia="zh-CN"/>
              </w:rPr>
              <w:t>内容</w:t>
            </w:r>
          </w:p>
        </w:tc>
        <w:tc>
          <w:tcPr>
            <w:tcW w:w="5409" w:type="dxa"/>
            <w:vAlign w:val="center"/>
          </w:tcPr>
          <w:p w14:paraId="70C4AADB">
            <w:pPr>
              <w:pStyle w:val="3"/>
              <w:numPr>
                <w:ilvl w:val="0"/>
                <w:numId w:val="0"/>
              </w:numPr>
              <w:suppressLineNumbers w:val="0"/>
              <w:tabs>
                <w:tab w:val="clear" w:pos="840"/>
              </w:tabs>
              <w:spacing w:before="0" w:beforeAutospacing="0" w:after="0" w:afterAutospacing="0" w:line="360" w:lineRule="auto"/>
              <w:ind w:right="0"/>
              <w:jc w:val="center"/>
              <w:rPr>
                <w:rFonts w:hint="eastAsia" w:ascii="宋体" w:hAnsi="宋体" w:eastAsia="宋体" w:cs="宋体"/>
                <w:b w:val="0"/>
                <w:kern w:val="0"/>
                <w:sz w:val="24"/>
                <w:szCs w:val="24"/>
              </w:rPr>
            </w:pPr>
            <w:r>
              <w:rPr>
                <w:rFonts w:hint="eastAsia" w:ascii="宋体" w:hAnsi="宋体" w:eastAsia="宋体" w:cs="宋体"/>
                <w:b w:val="0"/>
                <w:kern w:val="0"/>
                <w:sz w:val="24"/>
                <w:szCs w:val="24"/>
              </w:rPr>
              <w:t>详见</w:t>
            </w:r>
            <w:r>
              <w:rPr>
                <w:rFonts w:hint="eastAsia" w:ascii="宋体" w:hAnsi="宋体" w:eastAsia="宋体" w:cs="宋体"/>
                <w:b w:val="0"/>
                <w:kern w:val="0"/>
                <w:sz w:val="24"/>
                <w:szCs w:val="24"/>
                <w:lang w:eastAsia="zh-CN"/>
              </w:rPr>
              <w:t>供应商</w:t>
            </w:r>
            <w:r>
              <w:rPr>
                <w:rFonts w:hint="eastAsia" w:ascii="宋体" w:hAnsi="宋体" w:eastAsia="宋体" w:cs="宋体"/>
                <w:b w:val="0"/>
                <w:kern w:val="0"/>
                <w:sz w:val="24"/>
                <w:szCs w:val="24"/>
              </w:rPr>
              <w:t>须知前附表</w:t>
            </w:r>
          </w:p>
          <w:p w14:paraId="30DEA21B">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r>
      <w:tr w14:paraId="1DE7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jc w:val="center"/>
        </w:trPr>
        <w:tc>
          <w:tcPr>
            <w:tcW w:w="862" w:type="dxa"/>
            <w:gridSpan w:val="2"/>
            <w:vMerge w:val="continue"/>
            <w:vAlign w:val="center"/>
          </w:tcPr>
          <w:p w14:paraId="03B2E352">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134" w:type="dxa"/>
            <w:gridSpan w:val="2"/>
            <w:vMerge w:val="continue"/>
            <w:vAlign w:val="center"/>
          </w:tcPr>
          <w:p w14:paraId="43F8C611">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995" w:type="dxa"/>
            <w:gridSpan w:val="2"/>
            <w:vAlign w:val="center"/>
          </w:tcPr>
          <w:p w14:paraId="1D3A2630">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sz w:val="24"/>
                <w:szCs w:val="24"/>
              </w:rPr>
              <w:t>质保期</w:t>
            </w:r>
          </w:p>
        </w:tc>
        <w:tc>
          <w:tcPr>
            <w:tcW w:w="5409" w:type="dxa"/>
            <w:vAlign w:val="center"/>
          </w:tcPr>
          <w:p w14:paraId="7210DDD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不得低于1年</w:t>
            </w:r>
          </w:p>
        </w:tc>
      </w:tr>
      <w:tr w14:paraId="2A95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exact"/>
          <w:jc w:val="center"/>
        </w:trPr>
        <w:tc>
          <w:tcPr>
            <w:tcW w:w="862" w:type="dxa"/>
            <w:gridSpan w:val="2"/>
            <w:vMerge w:val="continue"/>
            <w:vAlign w:val="center"/>
          </w:tcPr>
          <w:p w14:paraId="7439596D">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134" w:type="dxa"/>
            <w:gridSpan w:val="2"/>
            <w:vMerge w:val="continue"/>
            <w:vAlign w:val="center"/>
          </w:tcPr>
          <w:p w14:paraId="33F4C360">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995" w:type="dxa"/>
            <w:gridSpan w:val="2"/>
            <w:vAlign w:val="center"/>
          </w:tcPr>
          <w:p w14:paraId="54FC695B">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sz w:val="24"/>
                <w:szCs w:val="24"/>
              </w:rPr>
              <w:t>交货地点</w:t>
            </w:r>
          </w:p>
        </w:tc>
        <w:tc>
          <w:tcPr>
            <w:tcW w:w="5409" w:type="dxa"/>
            <w:vAlign w:val="center"/>
          </w:tcPr>
          <w:p w14:paraId="2C8B2EB9">
            <w:pPr>
              <w:keepNext w:val="0"/>
              <w:keepLines w:val="0"/>
              <w:widowControl/>
              <w:suppressLineNumbers w:val="0"/>
              <w:spacing w:before="0" w:beforeAutospacing="0" w:after="0" w:afterAutospacing="0"/>
              <w:ind w:left="0" w:right="0" w:firstLine="1440" w:firstLineChars="600"/>
              <w:jc w:val="left"/>
              <w:rPr>
                <w:rFonts w:hint="eastAsia" w:ascii="宋体" w:hAnsi="宋体" w:eastAsia="宋体" w:cs="宋体"/>
                <w:color w:val="auto"/>
                <w:kern w:val="0"/>
                <w:sz w:val="24"/>
                <w:szCs w:val="24"/>
              </w:rPr>
            </w:pPr>
            <w:r>
              <w:rPr>
                <w:rFonts w:hint="eastAsia" w:ascii="宋体" w:hAnsi="宋体" w:eastAsia="宋体" w:cs="宋体"/>
                <w:color w:val="auto"/>
                <w:sz w:val="24"/>
                <w:szCs w:val="24"/>
              </w:rPr>
              <w:t>采购人指定地点</w:t>
            </w:r>
          </w:p>
        </w:tc>
      </w:tr>
      <w:tr w14:paraId="48D9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exact"/>
          <w:jc w:val="center"/>
        </w:trPr>
        <w:tc>
          <w:tcPr>
            <w:tcW w:w="862" w:type="dxa"/>
            <w:gridSpan w:val="2"/>
            <w:vMerge w:val="continue"/>
            <w:vAlign w:val="center"/>
          </w:tcPr>
          <w:p w14:paraId="6C6F1EFC">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134" w:type="dxa"/>
            <w:gridSpan w:val="2"/>
            <w:vMerge w:val="continue"/>
            <w:vAlign w:val="center"/>
          </w:tcPr>
          <w:p w14:paraId="59DEF6F2">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995" w:type="dxa"/>
            <w:gridSpan w:val="2"/>
            <w:vAlign w:val="center"/>
          </w:tcPr>
          <w:p w14:paraId="5FA5A655">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交货期</w:t>
            </w:r>
          </w:p>
        </w:tc>
        <w:tc>
          <w:tcPr>
            <w:tcW w:w="5409" w:type="dxa"/>
            <w:vAlign w:val="center"/>
          </w:tcPr>
          <w:p w14:paraId="092409D6">
            <w:pPr>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签订合同后60日历天交货</w:t>
            </w:r>
          </w:p>
        </w:tc>
      </w:tr>
      <w:tr w14:paraId="3672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862" w:type="dxa"/>
            <w:gridSpan w:val="2"/>
            <w:vMerge w:val="continue"/>
            <w:vAlign w:val="center"/>
          </w:tcPr>
          <w:p w14:paraId="69CC7624">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134" w:type="dxa"/>
            <w:gridSpan w:val="2"/>
            <w:vMerge w:val="continue"/>
            <w:vAlign w:val="center"/>
          </w:tcPr>
          <w:p w14:paraId="52B1B190">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995" w:type="dxa"/>
            <w:gridSpan w:val="2"/>
            <w:vAlign w:val="center"/>
          </w:tcPr>
          <w:p w14:paraId="734C89BE">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sz w:val="24"/>
                <w:szCs w:val="24"/>
              </w:rPr>
              <w:t>投标有效期</w:t>
            </w:r>
          </w:p>
        </w:tc>
        <w:tc>
          <w:tcPr>
            <w:tcW w:w="5409" w:type="dxa"/>
            <w:vAlign w:val="center"/>
          </w:tcPr>
          <w:p w14:paraId="0FE3CB62">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rPr>
            </w:pPr>
            <w:r>
              <w:rPr>
                <w:rFonts w:hint="eastAsia" w:ascii="宋体" w:hAnsi="宋体" w:eastAsia="宋体" w:cs="宋体"/>
                <w:sz w:val="24"/>
                <w:szCs w:val="24"/>
              </w:rPr>
              <w:t>递交投标文件的截止之日起</w:t>
            </w:r>
            <w:r>
              <w:rPr>
                <w:rFonts w:hint="eastAsia" w:ascii="宋体" w:hAnsi="宋体" w:eastAsia="宋体" w:cs="宋体"/>
                <w:sz w:val="24"/>
                <w:szCs w:val="24"/>
                <w:u w:val="single"/>
              </w:rPr>
              <w:t xml:space="preserve">  60  </w:t>
            </w:r>
            <w:r>
              <w:rPr>
                <w:rFonts w:hint="eastAsia" w:ascii="宋体" w:hAnsi="宋体" w:eastAsia="宋体" w:cs="宋体"/>
                <w:sz w:val="24"/>
                <w:szCs w:val="24"/>
              </w:rPr>
              <w:t>日历天</w:t>
            </w:r>
          </w:p>
        </w:tc>
      </w:tr>
      <w:tr w14:paraId="3979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996" w:type="dxa"/>
            <w:gridSpan w:val="4"/>
            <w:shd w:val="clear" w:color="auto" w:fill="auto"/>
            <w:vAlign w:val="center"/>
          </w:tcPr>
          <w:p w14:paraId="2C3A4D83">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kern w:val="0"/>
                <w:sz w:val="24"/>
                <w:szCs w:val="24"/>
              </w:rPr>
              <w:t>条款号</w:t>
            </w:r>
          </w:p>
        </w:tc>
        <w:tc>
          <w:tcPr>
            <w:tcW w:w="1995" w:type="dxa"/>
            <w:gridSpan w:val="2"/>
            <w:shd w:val="clear" w:color="auto" w:fill="auto"/>
            <w:vAlign w:val="center"/>
          </w:tcPr>
          <w:p w14:paraId="77D95462">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kern w:val="0"/>
                <w:sz w:val="24"/>
                <w:szCs w:val="24"/>
              </w:rPr>
              <w:t>条款内容</w:t>
            </w:r>
          </w:p>
        </w:tc>
        <w:tc>
          <w:tcPr>
            <w:tcW w:w="5409" w:type="dxa"/>
            <w:shd w:val="clear" w:color="auto" w:fill="auto"/>
            <w:vAlign w:val="center"/>
          </w:tcPr>
          <w:p w14:paraId="46924439">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kern w:val="0"/>
                <w:sz w:val="24"/>
                <w:szCs w:val="24"/>
              </w:rPr>
              <w:t>编列内容</w:t>
            </w:r>
          </w:p>
        </w:tc>
      </w:tr>
      <w:tr w14:paraId="7D30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1940" w:type="dxa"/>
            <w:gridSpan w:val="3"/>
            <w:shd w:val="clear" w:color="auto" w:fill="auto"/>
            <w:vAlign w:val="center"/>
          </w:tcPr>
          <w:p w14:paraId="4CB854C5">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kern w:val="0"/>
                <w:sz w:val="24"/>
                <w:szCs w:val="24"/>
              </w:rPr>
              <w:t>1.2.1</w:t>
            </w:r>
          </w:p>
        </w:tc>
        <w:tc>
          <w:tcPr>
            <w:tcW w:w="1995" w:type="dxa"/>
            <w:gridSpan w:val="2"/>
            <w:shd w:val="clear" w:color="auto" w:fill="auto"/>
            <w:vAlign w:val="center"/>
          </w:tcPr>
          <w:p w14:paraId="64EC54A7">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kern w:val="0"/>
                <w:sz w:val="24"/>
                <w:szCs w:val="24"/>
              </w:rPr>
              <w:t>分值构成(总分100分)</w:t>
            </w:r>
          </w:p>
        </w:tc>
        <w:tc>
          <w:tcPr>
            <w:tcW w:w="5465" w:type="dxa"/>
            <w:gridSpan w:val="2"/>
            <w:shd w:val="clear" w:color="auto" w:fill="auto"/>
            <w:vAlign w:val="center"/>
          </w:tcPr>
          <w:p w14:paraId="3EF1D79E">
            <w:pPr>
              <w:keepNext w:val="0"/>
              <w:keepLines w:val="0"/>
              <w:suppressLineNumbers w:val="0"/>
              <w:autoSpaceDE w:val="0"/>
              <w:autoSpaceDN w:val="0"/>
              <w:adjustRightInd w:val="0"/>
              <w:spacing w:before="0" w:beforeAutospacing="0" w:after="0" w:afterAutospacing="0" w:line="400" w:lineRule="exact"/>
              <w:ind w:left="38" w:leftChars="18" w:right="0"/>
              <w:jc w:val="left"/>
              <w:rPr>
                <w:rFonts w:hint="eastAsia" w:ascii="宋体" w:hAnsi="宋体" w:eastAsia="宋体" w:cs="宋体"/>
                <w:b/>
                <w:sz w:val="24"/>
                <w:szCs w:val="24"/>
              </w:rPr>
            </w:pPr>
            <w:r>
              <w:rPr>
                <w:rFonts w:hint="eastAsia" w:ascii="宋体" w:hAnsi="宋体" w:eastAsia="宋体" w:cs="宋体"/>
                <w:b/>
                <w:sz w:val="24"/>
                <w:szCs w:val="24"/>
              </w:rPr>
              <w:t>报价部分：30分</w:t>
            </w:r>
          </w:p>
          <w:p w14:paraId="066CD088">
            <w:pPr>
              <w:keepNext w:val="0"/>
              <w:keepLines w:val="0"/>
              <w:suppressLineNumbers w:val="0"/>
              <w:autoSpaceDE w:val="0"/>
              <w:autoSpaceDN w:val="0"/>
              <w:adjustRightInd w:val="0"/>
              <w:spacing w:before="0" w:beforeAutospacing="0" w:after="0" w:afterAutospacing="0" w:line="400" w:lineRule="exact"/>
              <w:ind w:left="38" w:leftChars="18" w:right="0"/>
              <w:jc w:val="left"/>
              <w:rPr>
                <w:rFonts w:hint="eastAsia" w:ascii="宋体" w:hAnsi="宋体" w:eastAsia="宋体" w:cs="宋体"/>
                <w:b/>
                <w:sz w:val="24"/>
                <w:szCs w:val="24"/>
              </w:rPr>
            </w:pPr>
            <w:r>
              <w:rPr>
                <w:rFonts w:hint="eastAsia" w:ascii="宋体" w:hAnsi="宋体" w:eastAsia="宋体" w:cs="宋体"/>
                <w:b/>
                <w:sz w:val="24"/>
                <w:szCs w:val="24"/>
              </w:rPr>
              <w:t>技术部分：</w:t>
            </w:r>
            <w:r>
              <w:rPr>
                <w:rFonts w:hint="eastAsia" w:ascii="宋体" w:hAnsi="宋体" w:eastAsia="宋体" w:cs="宋体"/>
                <w:b/>
                <w:sz w:val="24"/>
                <w:szCs w:val="24"/>
                <w:lang w:val="en-US" w:eastAsia="zh-CN"/>
              </w:rPr>
              <w:t>4</w:t>
            </w:r>
            <w:r>
              <w:rPr>
                <w:rFonts w:hint="eastAsia" w:ascii="宋体" w:hAnsi="宋体" w:cs="宋体"/>
                <w:b/>
                <w:sz w:val="24"/>
                <w:szCs w:val="24"/>
                <w:lang w:val="en-US" w:eastAsia="zh-CN"/>
              </w:rPr>
              <w:t>5</w:t>
            </w:r>
            <w:r>
              <w:rPr>
                <w:rFonts w:hint="eastAsia" w:ascii="宋体" w:hAnsi="宋体" w:eastAsia="宋体" w:cs="宋体"/>
                <w:b/>
                <w:sz w:val="24"/>
                <w:szCs w:val="24"/>
              </w:rPr>
              <w:t>分</w:t>
            </w:r>
          </w:p>
          <w:p w14:paraId="5C5E33DD">
            <w:pPr>
              <w:keepNext w:val="0"/>
              <w:keepLines w:val="0"/>
              <w:suppressLineNumbers w:val="0"/>
              <w:autoSpaceDE w:val="0"/>
              <w:autoSpaceDN w:val="0"/>
              <w:adjustRightInd w:val="0"/>
              <w:spacing w:before="0" w:beforeAutospacing="0" w:after="0" w:afterAutospacing="0" w:line="400" w:lineRule="exact"/>
              <w:ind w:left="38" w:leftChars="18" w:right="0"/>
              <w:jc w:val="left"/>
              <w:rPr>
                <w:rFonts w:hint="eastAsia" w:ascii="宋体" w:hAnsi="宋体" w:eastAsia="宋体" w:cs="宋体"/>
                <w:b/>
                <w:sz w:val="24"/>
                <w:szCs w:val="24"/>
                <w:highlight w:val="yellow"/>
              </w:rPr>
            </w:pPr>
            <w:r>
              <w:rPr>
                <w:rFonts w:hint="eastAsia" w:ascii="宋体" w:hAnsi="宋体" w:eastAsia="宋体" w:cs="宋体"/>
                <w:b/>
                <w:sz w:val="24"/>
                <w:szCs w:val="24"/>
              </w:rPr>
              <w:t>商务部分：</w:t>
            </w:r>
            <w:r>
              <w:rPr>
                <w:rFonts w:hint="eastAsia" w:ascii="宋体" w:hAnsi="宋体" w:cs="宋体"/>
                <w:b/>
                <w:sz w:val="24"/>
                <w:szCs w:val="24"/>
                <w:lang w:val="en-US" w:eastAsia="zh-CN"/>
              </w:rPr>
              <w:t>25</w:t>
            </w:r>
            <w:r>
              <w:rPr>
                <w:rFonts w:hint="eastAsia" w:ascii="宋体" w:hAnsi="宋体" w:eastAsia="宋体" w:cs="宋体"/>
                <w:b/>
                <w:sz w:val="24"/>
                <w:szCs w:val="24"/>
              </w:rPr>
              <w:t>分</w:t>
            </w:r>
          </w:p>
        </w:tc>
      </w:tr>
      <w:tr w14:paraId="344D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940" w:type="dxa"/>
            <w:gridSpan w:val="3"/>
            <w:shd w:val="clear" w:color="auto" w:fill="auto"/>
            <w:vAlign w:val="center"/>
          </w:tcPr>
          <w:p w14:paraId="24F35AAD">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kern w:val="0"/>
                <w:sz w:val="24"/>
                <w:szCs w:val="24"/>
              </w:rPr>
              <w:t>条款号</w:t>
            </w:r>
          </w:p>
        </w:tc>
        <w:tc>
          <w:tcPr>
            <w:tcW w:w="1995" w:type="dxa"/>
            <w:gridSpan w:val="2"/>
            <w:shd w:val="clear" w:color="auto" w:fill="auto"/>
            <w:vAlign w:val="center"/>
          </w:tcPr>
          <w:p w14:paraId="732E9D24">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highlight w:val="yellow"/>
              </w:rPr>
            </w:pPr>
            <w:r>
              <w:rPr>
                <w:rFonts w:hint="eastAsia" w:ascii="宋体" w:hAnsi="宋体" w:eastAsia="宋体" w:cs="宋体"/>
                <w:kern w:val="0"/>
                <w:sz w:val="24"/>
                <w:szCs w:val="24"/>
              </w:rPr>
              <w:t>评分因素</w:t>
            </w:r>
          </w:p>
        </w:tc>
        <w:tc>
          <w:tcPr>
            <w:tcW w:w="5465" w:type="dxa"/>
            <w:gridSpan w:val="2"/>
            <w:shd w:val="clear" w:color="auto" w:fill="auto"/>
            <w:vAlign w:val="center"/>
          </w:tcPr>
          <w:p w14:paraId="2F44AD96">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b/>
                <w:sz w:val="24"/>
                <w:szCs w:val="24"/>
                <w:highlight w:val="yellow"/>
              </w:rPr>
            </w:pPr>
            <w:r>
              <w:rPr>
                <w:rFonts w:hint="eastAsia" w:ascii="宋体" w:hAnsi="宋体" w:eastAsia="宋体" w:cs="宋体"/>
                <w:kern w:val="0"/>
                <w:sz w:val="24"/>
                <w:szCs w:val="24"/>
              </w:rPr>
              <w:t>评分标准</w:t>
            </w:r>
          </w:p>
        </w:tc>
      </w:tr>
      <w:tr w14:paraId="7B3B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806" w:type="dxa"/>
            <w:vMerge w:val="restart"/>
            <w:vAlign w:val="center"/>
          </w:tcPr>
          <w:p w14:paraId="12BFAF28">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1.2.2（1）</w:t>
            </w:r>
          </w:p>
        </w:tc>
        <w:tc>
          <w:tcPr>
            <w:tcW w:w="3129" w:type="dxa"/>
            <w:gridSpan w:val="4"/>
            <w:vAlign w:val="center"/>
          </w:tcPr>
          <w:p w14:paraId="00213452">
            <w:pPr>
              <w:keepNext w:val="0"/>
              <w:keepLines w:val="0"/>
              <w:suppressLineNumbers w:val="0"/>
              <w:autoSpaceDE w:val="0"/>
              <w:autoSpaceDN w:val="0"/>
              <w:adjustRightInd w:val="0"/>
              <w:spacing w:before="0" w:beforeAutospacing="0" w:after="0" w:afterAutospacing="0" w:line="400" w:lineRule="exact"/>
              <w:ind w:left="38" w:leftChars="18" w:right="0"/>
              <w:jc w:val="center"/>
              <w:rPr>
                <w:rFonts w:hint="eastAsia" w:ascii="宋体" w:hAnsi="宋体" w:eastAsia="宋体" w:cs="宋体"/>
                <w:kern w:val="0"/>
                <w:sz w:val="24"/>
                <w:szCs w:val="24"/>
              </w:rPr>
            </w:pPr>
            <w:r>
              <w:rPr>
                <w:rFonts w:hint="eastAsia" w:ascii="宋体" w:hAnsi="宋体" w:eastAsia="宋体" w:cs="宋体"/>
                <w:b/>
                <w:bCs/>
                <w:kern w:val="0"/>
                <w:sz w:val="24"/>
                <w:szCs w:val="24"/>
              </w:rPr>
              <w:t>投标报价（30分）</w:t>
            </w:r>
          </w:p>
        </w:tc>
        <w:tc>
          <w:tcPr>
            <w:tcW w:w="5465" w:type="dxa"/>
            <w:gridSpan w:val="2"/>
            <w:vAlign w:val="center"/>
          </w:tcPr>
          <w:p w14:paraId="2CB2F2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1、超出采购人最高限价的投标报价为无效报价、按废标处理。</w:t>
            </w:r>
          </w:p>
          <w:p w14:paraId="5240646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2、所有未进入详细评审的投标为无效投标，其报价不作为评分依据。</w:t>
            </w:r>
          </w:p>
          <w:p w14:paraId="2A0150A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3、价格分统一采用低价优先法计算，既满足招标文件要求且投标价格最低的投标报价为评标基准价，其价格分为满分。其他供应商的价格分统一按照下列公式计算：</w:t>
            </w:r>
          </w:p>
          <w:p w14:paraId="6FDC2B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供应商报价得分=（评标基准价/供应商投标报价）×30</w:t>
            </w:r>
          </w:p>
          <w:p w14:paraId="48215C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项目对小微企业、监狱企业、残疾人福利性企业作为供应商所提供的本企业生产的产品的价格给予20%的扣除，同一供应商中小微企业产品、监狱企业产品、残疾人福利性单位产品的价格扣除优惠只享受一次，不得重复享受。</w:t>
            </w:r>
          </w:p>
          <w:p w14:paraId="37CF13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备注：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tc>
      </w:tr>
      <w:tr w14:paraId="200F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06" w:type="dxa"/>
            <w:vMerge w:val="restart"/>
            <w:vAlign w:val="center"/>
          </w:tcPr>
          <w:p w14:paraId="0A351F0A">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1.2.2（2）</w:t>
            </w:r>
          </w:p>
        </w:tc>
        <w:tc>
          <w:tcPr>
            <w:tcW w:w="1134" w:type="dxa"/>
            <w:gridSpan w:val="2"/>
            <w:vMerge w:val="restart"/>
            <w:vAlign w:val="center"/>
          </w:tcPr>
          <w:p w14:paraId="72015230">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c>
          <w:tcPr>
            <w:tcW w:w="1995" w:type="dxa"/>
            <w:gridSpan w:val="2"/>
            <w:vAlign w:val="center"/>
          </w:tcPr>
          <w:p w14:paraId="3FA7AA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技术规格、和功能要求（30分）</w:t>
            </w:r>
          </w:p>
        </w:tc>
        <w:tc>
          <w:tcPr>
            <w:tcW w:w="5465" w:type="dxa"/>
            <w:gridSpan w:val="2"/>
            <w:vAlign w:val="center"/>
          </w:tcPr>
          <w:p w14:paraId="5D5BEE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评审专家根据招标文件要求的技术参数条款及投标文件中《技术规格偏离表》响应的条款进行打分评审，判断所投设备是否满足招标文件要求，所有条款均符合或优于招标文件技术参数要求的，得</w:t>
            </w:r>
            <w:r>
              <w:rPr>
                <w:rFonts w:hint="eastAsia" w:ascii="宋体" w:hAnsi="宋体" w:cs="宋体"/>
                <w:color w:val="auto"/>
                <w:kern w:val="2"/>
                <w:sz w:val="24"/>
                <w:szCs w:val="24"/>
                <w:lang w:val="en-US" w:eastAsia="zh-CN" w:bidi="ar-SA"/>
              </w:rPr>
              <w:t>3</w:t>
            </w:r>
            <w:r>
              <w:rPr>
                <w:rFonts w:hint="eastAsia" w:ascii="宋体" w:hAnsi="宋体" w:eastAsia="宋体" w:cs="宋体"/>
                <w:color w:val="auto"/>
                <w:kern w:val="2"/>
                <w:sz w:val="24"/>
                <w:szCs w:val="24"/>
                <w:lang w:val="en-US" w:eastAsia="zh-CN" w:bidi="ar-SA"/>
              </w:rPr>
              <w:t>0分；技术参数不满足(负偏离)招标文件要求的,每有一项不满足在基础分</w:t>
            </w:r>
            <w:r>
              <w:rPr>
                <w:rFonts w:hint="eastAsia" w:ascii="宋体" w:hAnsi="宋体" w:cs="宋体"/>
                <w:color w:val="auto"/>
                <w:kern w:val="2"/>
                <w:sz w:val="24"/>
                <w:szCs w:val="24"/>
                <w:lang w:val="en-US" w:eastAsia="zh-CN" w:bidi="ar-SA"/>
              </w:rPr>
              <w:t>3</w:t>
            </w:r>
            <w:r>
              <w:rPr>
                <w:rFonts w:hint="eastAsia" w:ascii="宋体" w:hAnsi="宋体" w:eastAsia="宋体" w:cs="宋体"/>
                <w:color w:val="auto"/>
                <w:kern w:val="2"/>
                <w:sz w:val="24"/>
                <w:szCs w:val="24"/>
                <w:lang w:val="en-US" w:eastAsia="zh-CN" w:bidi="ar-SA"/>
              </w:rPr>
              <w:t>0分上扣1分，扣完为止。注：正偏离参数必须提供相关证明材料，未提供相关证明材料不予认可，不得分。</w:t>
            </w:r>
          </w:p>
        </w:tc>
      </w:tr>
      <w:tr w14:paraId="78E8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06" w:type="dxa"/>
            <w:vMerge w:val="continue"/>
            <w:vAlign w:val="center"/>
          </w:tcPr>
          <w:p w14:paraId="21F5F205">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p>
        </w:tc>
        <w:tc>
          <w:tcPr>
            <w:tcW w:w="1134" w:type="dxa"/>
            <w:gridSpan w:val="2"/>
            <w:vMerge w:val="continue"/>
            <w:vAlign w:val="center"/>
          </w:tcPr>
          <w:p w14:paraId="15A24198">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p>
        </w:tc>
        <w:tc>
          <w:tcPr>
            <w:tcW w:w="1995" w:type="dxa"/>
            <w:gridSpan w:val="2"/>
            <w:vAlign w:val="center"/>
          </w:tcPr>
          <w:p w14:paraId="659D5B9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产品综合性能（10分）</w:t>
            </w:r>
          </w:p>
        </w:tc>
        <w:tc>
          <w:tcPr>
            <w:tcW w:w="5465" w:type="dxa"/>
            <w:gridSpan w:val="2"/>
            <w:vAlign w:val="center"/>
          </w:tcPr>
          <w:p w14:paraId="1BCFD9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根据投标人所提供的产品技术先进性、设备的综合性能横向比较进行综合评分：</w:t>
            </w:r>
          </w:p>
          <w:p w14:paraId="66A439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第一档：产品技术先进、设备综合性能优、非常适用的，计10分；</w:t>
            </w:r>
          </w:p>
          <w:p w14:paraId="098A1A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第二档：产品技术良好、设备综合性能良好、基本满足，计7分；</w:t>
            </w:r>
          </w:p>
          <w:p w14:paraId="25EB77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第三档：产品技术一般、设备综合性能一般的，计4分；</w:t>
            </w:r>
          </w:p>
          <w:p w14:paraId="5574DD5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第四档：产品技术差、设备综合性能差的，计0分；</w:t>
            </w:r>
          </w:p>
        </w:tc>
      </w:tr>
      <w:tr w14:paraId="2D2B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806" w:type="dxa"/>
            <w:vMerge w:val="continue"/>
            <w:vAlign w:val="center"/>
          </w:tcPr>
          <w:p w14:paraId="529C70F8">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p>
        </w:tc>
        <w:tc>
          <w:tcPr>
            <w:tcW w:w="1134" w:type="dxa"/>
            <w:gridSpan w:val="2"/>
            <w:vMerge w:val="continue"/>
            <w:vAlign w:val="center"/>
          </w:tcPr>
          <w:p w14:paraId="455C39FE">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p>
        </w:tc>
        <w:tc>
          <w:tcPr>
            <w:tcW w:w="1995" w:type="dxa"/>
            <w:gridSpan w:val="2"/>
            <w:vAlign w:val="center"/>
          </w:tcPr>
          <w:p w14:paraId="69CAB7D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产品质量保证措施（5分）</w:t>
            </w:r>
          </w:p>
        </w:tc>
        <w:tc>
          <w:tcPr>
            <w:tcW w:w="5465" w:type="dxa"/>
            <w:gridSpan w:val="2"/>
            <w:vAlign w:val="center"/>
          </w:tcPr>
          <w:p w14:paraId="5E9C34F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供货进度安排及项目实施保证措施：</w:t>
            </w:r>
          </w:p>
          <w:p w14:paraId="49B9E9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根据投标人或生产厂家针对本项目的所有产品分别提供供货进度安排及保证措施：①供货安装进度计划；②人员安排；③培训方案；④产品验收方案；⑤应急情况处理保障等。方案内容完整、合理且符合项目实际情况的得5分，有1 项内容缺失扣1 分；有1项内容不合理、不完整、不符合项目实际情况的扣0.5分。</w:t>
            </w:r>
          </w:p>
        </w:tc>
      </w:tr>
      <w:tr w14:paraId="15D7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806" w:type="dxa"/>
            <w:vMerge w:val="restart"/>
            <w:vAlign w:val="center"/>
          </w:tcPr>
          <w:p w14:paraId="10AA6C14">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1.2.2（3）</w:t>
            </w:r>
          </w:p>
        </w:tc>
        <w:tc>
          <w:tcPr>
            <w:tcW w:w="1134" w:type="dxa"/>
            <w:gridSpan w:val="2"/>
            <w:vMerge w:val="restart"/>
            <w:vAlign w:val="center"/>
          </w:tcPr>
          <w:p w14:paraId="3E086556">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val="en-US" w:eastAsia="zh-CN"/>
              </w:rPr>
              <w:t>2</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1995" w:type="dxa"/>
            <w:gridSpan w:val="2"/>
            <w:vAlign w:val="center"/>
          </w:tcPr>
          <w:p w14:paraId="062A0A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类似业绩（9分）</w:t>
            </w:r>
          </w:p>
        </w:tc>
        <w:tc>
          <w:tcPr>
            <w:tcW w:w="5465" w:type="dxa"/>
            <w:gridSpan w:val="2"/>
            <w:vAlign w:val="top"/>
          </w:tcPr>
          <w:p w14:paraId="2D68BA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投标人或生产厂家自 202</w:t>
            </w:r>
            <w:r>
              <w:rPr>
                <w:rFonts w:hint="eastAsia" w:ascii="宋体" w:hAnsi="宋体" w:cs="宋体"/>
                <w:color w:val="auto"/>
                <w:kern w:val="2"/>
                <w:sz w:val="24"/>
                <w:szCs w:val="24"/>
                <w:lang w:val="en-US" w:eastAsia="zh-CN" w:bidi="ar-SA"/>
              </w:rPr>
              <w:t>3</w:t>
            </w:r>
            <w:r>
              <w:rPr>
                <w:rFonts w:hint="eastAsia" w:ascii="宋体" w:hAnsi="宋体" w:eastAsia="宋体" w:cs="宋体"/>
                <w:color w:val="auto"/>
                <w:kern w:val="2"/>
                <w:sz w:val="24"/>
                <w:szCs w:val="24"/>
                <w:lang w:val="en-US" w:eastAsia="zh-CN" w:bidi="ar-SA"/>
              </w:rPr>
              <w:t>年1月1日至投标截止日期，每提供1个类似经营业绩计3分，最多计9分，未提供不计分。</w:t>
            </w:r>
          </w:p>
          <w:p w14:paraId="26EC0E5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须提供中标通知书</w:t>
            </w:r>
            <w:r>
              <w:rPr>
                <w:rFonts w:hint="eastAsia" w:ascii="宋体" w:hAnsi="宋体" w:cs="宋体"/>
                <w:color w:val="auto"/>
                <w:kern w:val="2"/>
                <w:sz w:val="24"/>
                <w:szCs w:val="24"/>
                <w:lang w:val="en-US" w:eastAsia="zh-CN" w:bidi="ar-SA"/>
              </w:rPr>
              <w:t>或</w:t>
            </w:r>
            <w:r>
              <w:rPr>
                <w:rFonts w:hint="eastAsia" w:ascii="宋体" w:hAnsi="宋体" w:eastAsia="宋体" w:cs="宋体"/>
                <w:color w:val="auto"/>
                <w:kern w:val="2"/>
                <w:sz w:val="24"/>
                <w:szCs w:val="24"/>
                <w:lang w:val="en-US" w:eastAsia="zh-CN" w:bidi="ar-SA"/>
              </w:rPr>
              <w:t>经营业绩的合同扫描件（合同扫描件包括合同首页、金额页和盖章页），并标记同类产品。否则，不计分。</w:t>
            </w:r>
          </w:p>
        </w:tc>
      </w:tr>
      <w:tr w14:paraId="4EF4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8" w:hRule="atLeast"/>
          <w:jc w:val="center"/>
        </w:trPr>
        <w:tc>
          <w:tcPr>
            <w:tcW w:w="806" w:type="dxa"/>
            <w:vMerge w:val="continue"/>
            <w:vAlign w:val="center"/>
          </w:tcPr>
          <w:p w14:paraId="245EE69C">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p>
        </w:tc>
        <w:tc>
          <w:tcPr>
            <w:tcW w:w="1134" w:type="dxa"/>
            <w:gridSpan w:val="2"/>
            <w:vMerge w:val="continue"/>
            <w:vAlign w:val="center"/>
          </w:tcPr>
          <w:p w14:paraId="08B790F3">
            <w:pPr>
              <w:keepNext w:val="0"/>
              <w:keepLines w:val="0"/>
              <w:widowControl/>
              <w:suppressLineNumbers w:val="0"/>
              <w:spacing w:before="0" w:beforeAutospacing="0" w:after="0" w:afterAutospacing="0" w:line="400" w:lineRule="exact"/>
              <w:ind w:left="0" w:right="0"/>
              <w:rPr>
                <w:rFonts w:hint="eastAsia" w:ascii="宋体" w:hAnsi="宋体" w:eastAsia="宋体" w:cs="宋体"/>
                <w:sz w:val="24"/>
                <w:szCs w:val="24"/>
              </w:rPr>
            </w:pPr>
          </w:p>
        </w:tc>
        <w:tc>
          <w:tcPr>
            <w:tcW w:w="1995" w:type="dxa"/>
            <w:gridSpan w:val="2"/>
            <w:vAlign w:val="center"/>
          </w:tcPr>
          <w:p w14:paraId="526C52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售后服务方案（8分）</w:t>
            </w:r>
          </w:p>
        </w:tc>
        <w:tc>
          <w:tcPr>
            <w:tcW w:w="5465" w:type="dxa"/>
            <w:gridSpan w:val="2"/>
            <w:vAlign w:val="center"/>
          </w:tcPr>
          <w:p w14:paraId="7D5C9B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投标人或生产厂家根据本项目特点提供售后服务方案，方案内容及措施 (至少应包含但不限于：售后人员配备名单、售后响应时间、售后流程、售后培训计划、售后服务承诺、故障解决流程、制造厂商售后服务承诺等) 进行分档计分：</w:t>
            </w:r>
          </w:p>
          <w:p w14:paraId="6B82D2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第一档：方案思路清晰、合理、措施完善、科学、针对性强的计8分；</w:t>
            </w:r>
          </w:p>
          <w:p w14:paraId="4E63954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第二档：方案思路较清晰、较合理、措施较完善、较科学、针对性较 强的计4分；</w:t>
            </w:r>
          </w:p>
          <w:p w14:paraId="33B2D4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第三档：方案思路欠清晰、欠合理、措施欠完善、欠科学、针对性一 般的计1分；</w:t>
            </w:r>
          </w:p>
          <w:p w14:paraId="558649D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未提供的不计分。</w:t>
            </w:r>
          </w:p>
        </w:tc>
      </w:tr>
      <w:tr w14:paraId="797A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806" w:type="dxa"/>
            <w:vMerge w:val="continue"/>
            <w:vAlign w:val="center"/>
          </w:tcPr>
          <w:p w14:paraId="7D8608F0">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4"/>
                <w:szCs w:val="24"/>
                <w:highlight w:val="yellow"/>
              </w:rPr>
            </w:pPr>
          </w:p>
        </w:tc>
        <w:tc>
          <w:tcPr>
            <w:tcW w:w="1134" w:type="dxa"/>
            <w:gridSpan w:val="2"/>
            <w:vMerge w:val="continue"/>
            <w:vAlign w:val="center"/>
          </w:tcPr>
          <w:p w14:paraId="22AF7D16">
            <w:pPr>
              <w:keepNext w:val="0"/>
              <w:keepLines w:val="0"/>
              <w:widowControl/>
              <w:suppressLineNumbers w:val="0"/>
              <w:spacing w:before="0" w:beforeAutospacing="0" w:after="0" w:afterAutospacing="0"/>
              <w:ind w:left="0" w:right="0"/>
              <w:rPr>
                <w:rFonts w:hint="eastAsia" w:ascii="宋体" w:hAnsi="宋体" w:eastAsia="宋体" w:cs="宋体"/>
                <w:kern w:val="0"/>
                <w:sz w:val="24"/>
                <w:szCs w:val="24"/>
                <w:highlight w:val="yellow"/>
              </w:rPr>
            </w:pPr>
          </w:p>
        </w:tc>
        <w:tc>
          <w:tcPr>
            <w:tcW w:w="1995" w:type="dxa"/>
            <w:gridSpan w:val="2"/>
            <w:vAlign w:val="center"/>
          </w:tcPr>
          <w:p w14:paraId="11D0C5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应急保障方案（8分）</w:t>
            </w:r>
          </w:p>
        </w:tc>
        <w:tc>
          <w:tcPr>
            <w:tcW w:w="5465" w:type="dxa"/>
            <w:gridSpan w:val="2"/>
            <w:vAlign w:val="center"/>
          </w:tcPr>
          <w:p w14:paraId="08F2F3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投标人或生产厂家根据本项目特点提供应急保障方案，方案内容及措施 (至少应包含但不限于：应急保障方案的可操作性、应急救援保障服务能力、 完整的应急救援体系、完善的风险保障措施等) 进行分档计分：</w:t>
            </w:r>
          </w:p>
          <w:p w14:paraId="5DDFDE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第一档：方案思路清晰、合理、措施完善、科学、针对性强的计8分；</w:t>
            </w:r>
          </w:p>
          <w:p w14:paraId="27E13A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第二档：方案思路较清晰、较合理、措施较完善、较科学、针对性较 强的计4分；</w:t>
            </w:r>
          </w:p>
          <w:p w14:paraId="3C9C8D2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第三档：方案思路欠清晰、欠合理、措施欠完善、欠科学、针对性一 般的计1分；                                                  </w:t>
            </w:r>
          </w:p>
          <w:p w14:paraId="26792BB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rightChars="0"/>
              <w:textAlignment w:val="auto"/>
              <w:rPr>
                <w:rFonts w:hint="eastAsia" w:ascii="宋体" w:hAnsi="宋体" w:eastAsia="宋体" w:cs="宋体"/>
                <w:color w:val="auto"/>
                <w:kern w:val="2"/>
                <w:sz w:val="24"/>
                <w:szCs w:val="24"/>
                <w:lang w:val="zh-CN" w:eastAsia="zh-CN" w:bidi="ar-SA"/>
              </w:rPr>
            </w:pPr>
            <w:r>
              <w:rPr>
                <w:rFonts w:hint="eastAsia" w:ascii="宋体" w:hAnsi="宋体" w:eastAsia="宋体" w:cs="宋体"/>
                <w:color w:val="auto"/>
                <w:kern w:val="2"/>
                <w:sz w:val="24"/>
                <w:szCs w:val="24"/>
                <w:lang w:val="en-US" w:eastAsia="zh-CN" w:bidi="ar-SA"/>
              </w:rPr>
              <w:t>未提供的不计分。</w:t>
            </w:r>
          </w:p>
        </w:tc>
      </w:tr>
    </w:tbl>
    <w:p w14:paraId="5C75ABC6">
      <w:pPr>
        <w:spacing w:line="360" w:lineRule="auto"/>
        <w:rPr>
          <w:rFonts w:hint="eastAsia" w:ascii="宋体" w:hAnsi="宋体" w:eastAsia="宋体" w:cs="宋体"/>
          <w:bCs/>
          <w:sz w:val="24"/>
          <w:szCs w:val="24"/>
          <w:lang w:val="en-GB"/>
        </w:rPr>
      </w:pPr>
    </w:p>
    <w:p w14:paraId="172C11AD">
      <w:pPr>
        <w:spacing w:line="360" w:lineRule="auto"/>
        <w:rPr>
          <w:rFonts w:hint="eastAsia" w:ascii="宋体" w:hAnsi="宋体" w:eastAsia="宋体" w:cs="宋体"/>
          <w:bCs/>
          <w:sz w:val="24"/>
          <w:szCs w:val="24"/>
          <w:lang w:val="en-GB"/>
        </w:rPr>
      </w:pPr>
      <w:r>
        <w:rPr>
          <w:rFonts w:hint="eastAsia" w:ascii="宋体" w:hAnsi="宋体" w:eastAsia="宋体" w:cs="宋体"/>
          <w:bCs/>
          <w:sz w:val="24"/>
          <w:szCs w:val="24"/>
          <w:lang w:val="en-GB"/>
        </w:rPr>
        <w:t>备注：</w:t>
      </w:r>
    </w:p>
    <w:p w14:paraId="630868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对</w:t>
      </w:r>
      <w:r>
        <w:rPr>
          <w:rFonts w:hint="eastAsia" w:ascii="宋体" w:hAnsi="宋体" w:cs="宋体"/>
          <w:sz w:val="24"/>
          <w:szCs w:val="24"/>
          <w:lang w:eastAsia="zh-CN"/>
        </w:rPr>
        <w:t>供应商</w:t>
      </w:r>
      <w:r>
        <w:rPr>
          <w:rFonts w:hint="eastAsia" w:ascii="宋体" w:hAnsi="宋体" w:eastAsia="宋体" w:cs="宋体"/>
          <w:sz w:val="24"/>
          <w:szCs w:val="24"/>
        </w:rPr>
        <w:t>挂靠借用资质、提供虚假业绩、证书投标行为，一经发现，将按照《政府采购法》给与行政处罚，将其列入“中国政府采购网” 政府采购严重违法失信行为记录名单，并予以公示。</w:t>
      </w:r>
    </w:p>
    <w:p w14:paraId="308D2F71">
      <w:pPr>
        <w:spacing w:line="360" w:lineRule="auto"/>
        <w:ind w:firstLine="480" w:firstLineChars="200"/>
        <w:rPr>
          <w:rFonts w:hint="eastAsia" w:ascii="宋体" w:hAnsi="宋体" w:eastAsia="宋体" w:cs="宋体"/>
          <w:sz w:val="24"/>
          <w:szCs w:val="24"/>
          <w:lang w:val="en-GB"/>
        </w:rPr>
      </w:pPr>
      <w:r>
        <w:rPr>
          <w:rFonts w:hint="eastAsia" w:ascii="宋体" w:hAnsi="宋体" w:eastAsia="宋体" w:cs="宋体"/>
          <w:sz w:val="24"/>
          <w:szCs w:val="24"/>
          <w:lang w:val="en-GB"/>
        </w:rPr>
        <w:t>根据87号令第四十四条规定，公开招标采购项目开标结束后，采购人或者采购代理机构应当依法对</w:t>
      </w:r>
      <w:r>
        <w:rPr>
          <w:rFonts w:hint="eastAsia" w:ascii="宋体" w:hAnsi="宋体" w:cs="宋体"/>
          <w:sz w:val="24"/>
          <w:szCs w:val="24"/>
          <w:lang w:val="en-US" w:eastAsia="zh-CN"/>
        </w:rPr>
        <w:t>供应商</w:t>
      </w:r>
      <w:r>
        <w:rPr>
          <w:rFonts w:hint="eastAsia" w:ascii="宋体" w:hAnsi="宋体" w:eastAsia="宋体" w:cs="宋体"/>
          <w:sz w:val="24"/>
          <w:szCs w:val="24"/>
          <w:lang w:val="en-GB"/>
        </w:rPr>
        <w:t>的资格进行审查，未通过资格审查的</w:t>
      </w:r>
      <w:r>
        <w:rPr>
          <w:rFonts w:hint="eastAsia" w:ascii="宋体" w:hAnsi="宋体" w:cs="宋体"/>
          <w:sz w:val="24"/>
          <w:szCs w:val="24"/>
          <w:lang w:val="en-US" w:eastAsia="zh-CN"/>
        </w:rPr>
        <w:t>供应商</w:t>
      </w:r>
      <w:r>
        <w:rPr>
          <w:rFonts w:hint="eastAsia" w:ascii="宋体" w:hAnsi="宋体" w:eastAsia="宋体" w:cs="宋体"/>
          <w:sz w:val="24"/>
          <w:szCs w:val="24"/>
          <w:lang w:val="en-GB"/>
        </w:rPr>
        <w:t>不参与评标。</w:t>
      </w:r>
    </w:p>
    <w:p w14:paraId="7ABBA980">
      <w:pPr>
        <w:spacing w:line="360" w:lineRule="auto"/>
        <w:ind w:firstLine="480" w:firstLineChars="200"/>
        <w:rPr>
          <w:rFonts w:hint="eastAsia" w:ascii="宋体" w:hAnsi="宋体" w:eastAsia="宋体" w:cs="宋体"/>
          <w:bCs/>
          <w:sz w:val="24"/>
          <w:szCs w:val="24"/>
          <w:lang w:val="en-GB"/>
        </w:rPr>
      </w:pPr>
      <w:r>
        <w:rPr>
          <w:rFonts w:hint="eastAsia" w:ascii="宋体" w:hAnsi="宋体" w:cs="宋体"/>
          <w:bCs/>
          <w:sz w:val="24"/>
          <w:szCs w:val="24"/>
          <w:lang w:val="en-US" w:eastAsia="zh-CN"/>
        </w:rPr>
        <w:t>a</w:t>
      </w:r>
      <w:r>
        <w:rPr>
          <w:rFonts w:hint="eastAsia" w:ascii="宋体" w:hAnsi="宋体" w:eastAsia="宋体" w:cs="宋体"/>
          <w:bCs/>
          <w:sz w:val="24"/>
          <w:szCs w:val="24"/>
          <w:lang w:val="en-GB"/>
        </w:rPr>
        <w:t>、小型和微型企业产品包括货物及其提供的服务与工程。</w:t>
      </w:r>
    </w:p>
    <w:p w14:paraId="39DBE7D2">
      <w:pPr>
        <w:spacing w:line="360" w:lineRule="auto"/>
        <w:ind w:firstLine="480" w:firstLineChars="200"/>
        <w:rPr>
          <w:rFonts w:hint="eastAsia" w:ascii="宋体" w:hAnsi="宋体" w:eastAsia="宋体" w:cs="宋体"/>
          <w:bCs/>
          <w:sz w:val="24"/>
          <w:szCs w:val="24"/>
          <w:lang w:val="en-GB"/>
        </w:rPr>
      </w:pPr>
      <w:r>
        <w:rPr>
          <w:rFonts w:hint="eastAsia" w:ascii="宋体" w:hAnsi="宋体" w:cs="宋体"/>
          <w:bCs/>
          <w:sz w:val="24"/>
          <w:szCs w:val="24"/>
          <w:lang w:val="en-US" w:eastAsia="zh-CN"/>
        </w:rPr>
        <w:t>b</w:t>
      </w:r>
      <w:r>
        <w:rPr>
          <w:rFonts w:hint="eastAsia" w:ascii="宋体" w:hAnsi="宋体" w:eastAsia="宋体" w:cs="宋体"/>
          <w:bCs/>
          <w:sz w:val="24"/>
          <w:szCs w:val="24"/>
          <w:lang w:val="en-GB"/>
        </w:rPr>
        <w:t>、中小企业、残疾人福利性单位提供其他企业制造的货物的，则该货物的制造商也必须为上述企业，否则不能享受价格优惠。</w:t>
      </w:r>
    </w:p>
    <w:p w14:paraId="018DF879">
      <w:pPr>
        <w:spacing w:line="360" w:lineRule="auto"/>
        <w:ind w:firstLine="480" w:firstLineChars="200"/>
        <w:rPr>
          <w:rFonts w:hint="eastAsia" w:ascii="宋体" w:hAnsi="宋体" w:eastAsia="宋体" w:cs="宋体"/>
          <w:sz w:val="24"/>
          <w:szCs w:val="24"/>
        </w:rPr>
      </w:pPr>
      <w:r>
        <w:rPr>
          <w:rFonts w:hint="eastAsia" w:ascii="宋体" w:hAnsi="宋体" w:cs="宋体"/>
          <w:bCs/>
          <w:sz w:val="24"/>
          <w:szCs w:val="24"/>
          <w:lang w:val="en-US" w:eastAsia="zh-CN"/>
        </w:rPr>
        <w:t>c</w:t>
      </w:r>
      <w:r>
        <w:rPr>
          <w:rFonts w:hint="eastAsia" w:ascii="宋体" w:hAnsi="宋体" w:eastAsia="宋体" w:cs="宋体"/>
          <w:bCs/>
          <w:sz w:val="24"/>
          <w:szCs w:val="24"/>
          <w:lang w:val="en-GB"/>
        </w:rPr>
        <w:t>、残疾人福利性单位属于小型、微型企业的，不重复享受政策。</w:t>
      </w:r>
    </w:p>
    <w:p w14:paraId="7AEFBFF2">
      <w:pPr>
        <w:spacing w:line="360" w:lineRule="auto"/>
        <w:rPr>
          <w:rFonts w:hint="eastAsia" w:ascii="宋体" w:hAnsi="宋体" w:eastAsia="宋体" w:cs="宋体"/>
          <w:sz w:val="24"/>
          <w:szCs w:val="24"/>
        </w:rPr>
      </w:pPr>
      <w:bookmarkStart w:id="511" w:name="_Toc3242"/>
      <w:bookmarkStart w:id="512" w:name="_Toc25637"/>
      <w:bookmarkStart w:id="513" w:name="_Toc30301"/>
      <w:bookmarkStart w:id="514" w:name="_Toc31078"/>
      <w:bookmarkStart w:id="515" w:name="_Toc26309"/>
      <w:bookmarkStart w:id="516" w:name="_Toc3589"/>
      <w:bookmarkStart w:id="517" w:name="_Toc5114"/>
      <w:bookmarkStart w:id="518" w:name="_Toc5251"/>
      <w:bookmarkStart w:id="519" w:name="_Toc711"/>
      <w:bookmarkStart w:id="520" w:name="_Toc13371"/>
      <w:r>
        <w:rPr>
          <w:rFonts w:hint="eastAsia" w:ascii="宋体" w:hAnsi="宋体" w:eastAsia="宋体" w:cs="宋体"/>
          <w:sz w:val="24"/>
          <w:szCs w:val="24"/>
        </w:rPr>
        <w:t>评标办法</w:t>
      </w:r>
      <w:bookmarkEnd w:id="509"/>
      <w:bookmarkEnd w:id="511"/>
      <w:bookmarkEnd w:id="512"/>
      <w:bookmarkEnd w:id="513"/>
      <w:bookmarkEnd w:id="514"/>
      <w:bookmarkEnd w:id="515"/>
      <w:bookmarkEnd w:id="516"/>
      <w:bookmarkEnd w:id="517"/>
      <w:bookmarkEnd w:id="518"/>
      <w:bookmarkEnd w:id="519"/>
      <w:bookmarkEnd w:id="520"/>
    </w:p>
    <w:p w14:paraId="76D4F7CC">
      <w:pPr>
        <w:autoSpaceDE w:val="0"/>
        <w:autoSpaceDN w:val="0"/>
        <w:adjustRightInd w:val="0"/>
        <w:spacing w:line="360" w:lineRule="auto"/>
        <w:ind w:right="-23"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本次招标采用综合评分法评标，投标文件满足招标文件全部实质性要求，且按照评审因素的量化指标评审得分由高到低选取中标候选人的评标方法。</w:t>
      </w:r>
    </w:p>
    <w:p w14:paraId="4E973790">
      <w:pPr>
        <w:pStyle w:val="4"/>
        <w:numPr>
          <w:ilvl w:val="0"/>
          <w:numId w:val="11"/>
        </w:numPr>
        <w:rPr>
          <w:rFonts w:hint="eastAsia" w:ascii="宋体" w:hAnsi="宋体" w:eastAsia="宋体" w:cs="宋体"/>
          <w:sz w:val="24"/>
          <w:szCs w:val="24"/>
        </w:rPr>
      </w:pPr>
      <w:bookmarkStart w:id="521" w:name="_Toc2783"/>
      <w:bookmarkStart w:id="522" w:name="_Toc70"/>
      <w:bookmarkStart w:id="523" w:name="_Toc29522"/>
      <w:bookmarkStart w:id="524" w:name="_Toc20383_WPSOffice_Level2"/>
      <w:bookmarkStart w:id="525" w:name="_Toc14806"/>
      <w:bookmarkStart w:id="526" w:name="_Toc5920"/>
      <w:bookmarkStart w:id="527" w:name="_Toc13150088"/>
      <w:bookmarkStart w:id="528" w:name="_Toc4003"/>
      <w:bookmarkStart w:id="529" w:name="_Toc1402"/>
      <w:bookmarkStart w:id="530" w:name="_Toc21995"/>
      <w:bookmarkStart w:id="531" w:name="_Toc26533"/>
      <w:bookmarkStart w:id="532" w:name="_Toc3406"/>
      <w:bookmarkStart w:id="533" w:name="_Toc6135"/>
      <w:bookmarkStart w:id="534" w:name="_Toc9043_WPSOffice_Level2"/>
      <w:bookmarkStart w:id="535" w:name="_Toc15517"/>
      <w:bookmarkStart w:id="536" w:name="_Toc32637"/>
      <w:bookmarkStart w:id="537" w:name="_Toc11771"/>
      <w:r>
        <w:rPr>
          <w:rFonts w:hint="eastAsia" w:ascii="宋体" w:hAnsi="宋体" w:eastAsia="宋体" w:cs="宋体"/>
          <w:sz w:val="24"/>
          <w:szCs w:val="24"/>
        </w:rPr>
        <w:t>评审标准</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5B700625">
      <w:pPr>
        <w:autoSpaceDE w:val="0"/>
        <w:autoSpaceDN w:val="0"/>
        <w:adjustRightInd w:val="0"/>
        <w:spacing w:line="360" w:lineRule="auto"/>
        <w:ind w:right="-23" w:firstLine="480" w:firstLineChars="200"/>
        <w:jc w:val="left"/>
        <w:rPr>
          <w:rFonts w:hint="eastAsia" w:ascii="宋体" w:hAnsi="宋体" w:eastAsia="宋体" w:cs="宋体"/>
          <w:kern w:val="0"/>
          <w:sz w:val="24"/>
          <w:szCs w:val="24"/>
        </w:rPr>
      </w:pPr>
      <w:bookmarkStart w:id="538" w:name="_Toc6703"/>
      <w:bookmarkStart w:id="539" w:name="_Toc21567"/>
      <w:bookmarkStart w:id="540" w:name="_Toc20701"/>
      <w:bookmarkStart w:id="541" w:name="_Toc4247"/>
      <w:bookmarkStart w:id="542" w:name="_Toc19624"/>
      <w:bookmarkStart w:id="543" w:name="_Toc13150089"/>
      <w:bookmarkStart w:id="544" w:name="_Toc12847"/>
      <w:bookmarkStart w:id="545" w:name="_Toc24699"/>
      <w:bookmarkStart w:id="546" w:name="_Toc21651"/>
      <w:bookmarkStart w:id="547" w:name="_Toc6998"/>
      <w:bookmarkStart w:id="548" w:name="_Toc27379"/>
      <w:r>
        <w:rPr>
          <w:rFonts w:hint="eastAsia" w:ascii="宋体" w:hAnsi="宋体" w:eastAsia="宋体" w:cs="宋体"/>
          <w:kern w:val="0"/>
          <w:sz w:val="24"/>
          <w:szCs w:val="24"/>
        </w:rPr>
        <w:t>1.1 符合性评审标准：见评标办法前附表；</w:t>
      </w:r>
    </w:p>
    <w:p w14:paraId="3F2B9992">
      <w:pPr>
        <w:autoSpaceDE w:val="0"/>
        <w:autoSpaceDN w:val="0"/>
        <w:adjustRightInd w:val="0"/>
        <w:spacing w:line="360" w:lineRule="auto"/>
        <w:ind w:right="-23"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1.2 资格性评审标准：见评标办法前附表；</w:t>
      </w:r>
    </w:p>
    <w:p w14:paraId="58A9E739">
      <w:pPr>
        <w:autoSpaceDE w:val="0"/>
        <w:autoSpaceDN w:val="0"/>
        <w:adjustRightInd w:val="0"/>
        <w:spacing w:line="360" w:lineRule="auto"/>
        <w:ind w:right="-23"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1.3 </w:t>
      </w:r>
      <w:bookmarkEnd w:id="538"/>
      <w:bookmarkEnd w:id="539"/>
      <w:bookmarkEnd w:id="540"/>
      <w:bookmarkEnd w:id="541"/>
      <w:bookmarkEnd w:id="542"/>
      <w:bookmarkEnd w:id="543"/>
      <w:bookmarkEnd w:id="544"/>
      <w:bookmarkEnd w:id="545"/>
      <w:bookmarkEnd w:id="546"/>
      <w:bookmarkEnd w:id="547"/>
      <w:bookmarkEnd w:id="548"/>
      <w:r>
        <w:rPr>
          <w:rFonts w:hint="eastAsia" w:ascii="宋体" w:hAnsi="宋体" w:eastAsia="宋体" w:cs="宋体"/>
          <w:sz w:val="24"/>
          <w:szCs w:val="24"/>
        </w:rPr>
        <w:t>实质性响应审查</w:t>
      </w:r>
      <w:r>
        <w:rPr>
          <w:rFonts w:hint="eastAsia" w:ascii="宋体" w:hAnsi="宋体" w:eastAsia="宋体" w:cs="宋体"/>
          <w:color w:val="000000"/>
          <w:kern w:val="0"/>
          <w:sz w:val="24"/>
          <w:szCs w:val="24"/>
        </w:rPr>
        <w:t>标准</w:t>
      </w:r>
      <w:r>
        <w:rPr>
          <w:rFonts w:hint="eastAsia" w:ascii="宋体" w:hAnsi="宋体" w:eastAsia="宋体" w:cs="宋体"/>
          <w:kern w:val="0"/>
          <w:sz w:val="24"/>
          <w:szCs w:val="24"/>
        </w:rPr>
        <w:t>：见评标办法前附表；</w:t>
      </w:r>
    </w:p>
    <w:p w14:paraId="015EDF00">
      <w:pPr>
        <w:pStyle w:val="4"/>
        <w:rPr>
          <w:rFonts w:hint="eastAsia" w:ascii="宋体" w:hAnsi="宋体" w:eastAsia="宋体" w:cs="宋体"/>
          <w:sz w:val="24"/>
          <w:szCs w:val="24"/>
        </w:rPr>
      </w:pPr>
      <w:bookmarkStart w:id="549" w:name="_Toc17437"/>
      <w:bookmarkStart w:id="550" w:name="_Toc17735"/>
      <w:bookmarkStart w:id="551" w:name="_Toc18343"/>
      <w:bookmarkStart w:id="552" w:name="_Toc29139"/>
      <w:bookmarkStart w:id="553" w:name="_Toc6495"/>
      <w:bookmarkStart w:id="554" w:name="_Toc3482"/>
      <w:bookmarkStart w:id="555" w:name="_Toc7259"/>
      <w:bookmarkStart w:id="556" w:name="_Toc31413"/>
      <w:bookmarkStart w:id="557" w:name="_Toc29190"/>
      <w:bookmarkStart w:id="558" w:name="_Toc13150090"/>
      <w:bookmarkStart w:id="559" w:name="_Toc31651"/>
      <w:bookmarkStart w:id="560" w:name="_Toc30052"/>
      <w:bookmarkStart w:id="561" w:name="_Toc28336"/>
      <w:r>
        <w:rPr>
          <w:rFonts w:hint="eastAsia" w:ascii="宋体" w:hAnsi="宋体" w:eastAsia="宋体" w:cs="宋体"/>
          <w:sz w:val="24"/>
          <w:szCs w:val="24"/>
        </w:rPr>
        <w:t>1.2 分值构成与评分标准</w:t>
      </w:r>
      <w:bookmarkEnd w:id="549"/>
      <w:bookmarkEnd w:id="550"/>
      <w:bookmarkEnd w:id="551"/>
      <w:bookmarkEnd w:id="552"/>
      <w:bookmarkEnd w:id="553"/>
      <w:bookmarkEnd w:id="554"/>
      <w:bookmarkEnd w:id="555"/>
      <w:bookmarkEnd w:id="556"/>
      <w:bookmarkEnd w:id="557"/>
      <w:bookmarkEnd w:id="558"/>
      <w:bookmarkEnd w:id="559"/>
      <w:bookmarkEnd w:id="560"/>
      <w:bookmarkEnd w:id="561"/>
    </w:p>
    <w:p w14:paraId="0D401705">
      <w:pPr>
        <w:autoSpaceDE w:val="0"/>
        <w:autoSpaceDN w:val="0"/>
        <w:adjustRightInd w:val="0"/>
        <w:spacing w:line="360" w:lineRule="auto"/>
        <w:ind w:left="520" w:right="-20"/>
        <w:jc w:val="left"/>
        <w:rPr>
          <w:rFonts w:hint="eastAsia" w:ascii="宋体" w:hAnsi="宋体" w:eastAsia="宋体" w:cs="宋体"/>
          <w:kern w:val="0"/>
          <w:sz w:val="24"/>
          <w:szCs w:val="24"/>
        </w:rPr>
      </w:pPr>
      <w:r>
        <w:rPr>
          <w:rFonts w:hint="eastAsia" w:ascii="宋体" w:hAnsi="宋体" w:eastAsia="宋体" w:cs="宋体"/>
          <w:kern w:val="0"/>
          <w:sz w:val="24"/>
          <w:szCs w:val="24"/>
        </w:rPr>
        <w:t>1.2.1 分</w:t>
      </w:r>
      <w:r>
        <w:rPr>
          <w:rFonts w:hint="eastAsia" w:ascii="宋体" w:hAnsi="宋体" w:eastAsia="宋体" w:cs="宋体"/>
          <w:spacing w:val="-2"/>
          <w:kern w:val="0"/>
          <w:sz w:val="24"/>
          <w:szCs w:val="24"/>
        </w:rPr>
        <w:t>值</w:t>
      </w:r>
      <w:r>
        <w:rPr>
          <w:rFonts w:hint="eastAsia" w:ascii="宋体" w:hAnsi="宋体" w:eastAsia="宋体" w:cs="宋体"/>
          <w:kern w:val="0"/>
          <w:sz w:val="24"/>
          <w:szCs w:val="24"/>
        </w:rPr>
        <w:t>构成</w:t>
      </w:r>
    </w:p>
    <w:p w14:paraId="6A5770F7">
      <w:pPr>
        <w:numPr>
          <w:ilvl w:val="0"/>
          <w:numId w:val="12"/>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报价部分：见评标办法前附表；</w:t>
      </w:r>
    </w:p>
    <w:p w14:paraId="7A6786B0">
      <w:pPr>
        <w:numPr>
          <w:ilvl w:val="0"/>
          <w:numId w:val="12"/>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技术部分：见评标办法前附表；</w:t>
      </w:r>
    </w:p>
    <w:p w14:paraId="0E02BCFA">
      <w:pPr>
        <w:numPr>
          <w:ilvl w:val="0"/>
          <w:numId w:val="12"/>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商务部分：见评标办法前附表；</w:t>
      </w:r>
    </w:p>
    <w:p w14:paraId="66CF0887">
      <w:pPr>
        <w:autoSpaceDE w:val="0"/>
        <w:autoSpaceDN w:val="0"/>
        <w:adjustRightInd w:val="0"/>
        <w:spacing w:before="7" w:line="360" w:lineRule="auto"/>
        <w:ind w:left="520" w:right="-20"/>
        <w:jc w:val="left"/>
        <w:rPr>
          <w:rFonts w:hint="eastAsia" w:ascii="宋体" w:hAnsi="宋体" w:eastAsia="宋体" w:cs="宋体"/>
          <w:kern w:val="0"/>
          <w:sz w:val="24"/>
          <w:szCs w:val="24"/>
        </w:rPr>
      </w:pPr>
      <w:r>
        <w:rPr>
          <w:rFonts w:hint="eastAsia" w:ascii="宋体" w:hAnsi="宋体" w:eastAsia="宋体" w:cs="宋体"/>
          <w:kern w:val="0"/>
          <w:sz w:val="24"/>
          <w:szCs w:val="24"/>
        </w:rPr>
        <w:t>1.2.2 评</w:t>
      </w:r>
      <w:r>
        <w:rPr>
          <w:rFonts w:hint="eastAsia" w:ascii="宋体" w:hAnsi="宋体" w:eastAsia="宋体" w:cs="宋体"/>
          <w:spacing w:val="-2"/>
          <w:kern w:val="0"/>
          <w:sz w:val="24"/>
          <w:szCs w:val="24"/>
        </w:rPr>
        <w:t>分</w:t>
      </w:r>
      <w:r>
        <w:rPr>
          <w:rFonts w:hint="eastAsia" w:ascii="宋体" w:hAnsi="宋体" w:eastAsia="宋体" w:cs="宋体"/>
          <w:kern w:val="0"/>
          <w:sz w:val="24"/>
          <w:szCs w:val="24"/>
        </w:rPr>
        <w:t>标准</w:t>
      </w:r>
    </w:p>
    <w:p w14:paraId="7F9988A4">
      <w:pPr>
        <w:autoSpaceDE w:val="0"/>
        <w:autoSpaceDN w:val="0"/>
        <w:adjustRightInd w:val="0"/>
        <w:spacing w:line="360" w:lineRule="auto"/>
        <w:ind w:left="420" w:leftChars="200" w:right="40"/>
        <w:jc w:val="left"/>
        <w:rPr>
          <w:rFonts w:hint="eastAsia" w:ascii="宋体" w:hAnsi="宋体" w:eastAsia="宋体" w:cs="宋体"/>
          <w:sz w:val="24"/>
          <w:szCs w:val="24"/>
        </w:rPr>
      </w:pPr>
      <w:r>
        <w:rPr>
          <w:rFonts w:hint="eastAsia" w:ascii="宋体" w:hAnsi="宋体" w:eastAsia="宋体" w:cs="宋体"/>
          <w:kern w:val="0"/>
          <w:sz w:val="24"/>
          <w:szCs w:val="24"/>
        </w:rPr>
        <w:t>（1）报价评分标准：见评标办法前附表；</w:t>
      </w:r>
    </w:p>
    <w:p w14:paraId="587F44C3">
      <w:pPr>
        <w:autoSpaceDE w:val="0"/>
        <w:autoSpaceDN w:val="0"/>
        <w:adjustRightInd w:val="0"/>
        <w:spacing w:line="360" w:lineRule="auto"/>
        <w:ind w:left="420" w:leftChars="200" w:right="40"/>
        <w:jc w:val="left"/>
        <w:rPr>
          <w:rFonts w:hint="eastAsia" w:ascii="宋体" w:hAnsi="宋体" w:eastAsia="宋体" w:cs="宋体"/>
          <w:sz w:val="24"/>
          <w:szCs w:val="24"/>
        </w:rPr>
      </w:pPr>
      <w:r>
        <w:rPr>
          <w:rFonts w:hint="eastAsia" w:ascii="宋体" w:hAnsi="宋体" w:eastAsia="宋体" w:cs="宋体"/>
          <w:kern w:val="0"/>
          <w:sz w:val="24"/>
          <w:szCs w:val="24"/>
        </w:rPr>
        <w:t>（2）技术评分标准：见评标办法前附表；</w:t>
      </w:r>
    </w:p>
    <w:p w14:paraId="6591F2FC">
      <w:pPr>
        <w:autoSpaceDE w:val="0"/>
        <w:autoSpaceDN w:val="0"/>
        <w:adjustRightInd w:val="0"/>
        <w:spacing w:line="360" w:lineRule="auto"/>
        <w:ind w:left="420" w:leftChars="200" w:right="40"/>
        <w:jc w:val="left"/>
        <w:rPr>
          <w:rFonts w:hint="eastAsia" w:ascii="宋体" w:hAnsi="宋体" w:eastAsia="宋体" w:cs="宋体"/>
          <w:sz w:val="24"/>
          <w:szCs w:val="24"/>
        </w:rPr>
      </w:pPr>
      <w:r>
        <w:rPr>
          <w:rFonts w:hint="eastAsia" w:ascii="宋体" w:hAnsi="宋体" w:eastAsia="宋体" w:cs="宋体"/>
          <w:kern w:val="0"/>
          <w:sz w:val="24"/>
          <w:szCs w:val="24"/>
        </w:rPr>
        <w:t>（3）商务评分标准：见评标办法前附表；</w:t>
      </w:r>
    </w:p>
    <w:p w14:paraId="7F24D9DC">
      <w:pPr>
        <w:pStyle w:val="4"/>
        <w:numPr>
          <w:ilvl w:val="0"/>
          <w:numId w:val="11"/>
        </w:numPr>
        <w:rPr>
          <w:rFonts w:hint="eastAsia" w:ascii="宋体" w:hAnsi="宋体" w:eastAsia="宋体" w:cs="宋体"/>
          <w:sz w:val="24"/>
          <w:szCs w:val="24"/>
        </w:rPr>
      </w:pPr>
      <w:bookmarkStart w:id="562" w:name="_Toc5255"/>
      <w:bookmarkStart w:id="563" w:name="_Toc13150091"/>
      <w:bookmarkStart w:id="564" w:name="_Toc27262"/>
      <w:bookmarkStart w:id="565" w:name="_Toc21732"/>
      <w:bookmarkStart w:id="566" w:name="_Toc21564_WPSOffice_Level2"/>
      <w:bookmarkStart w:id="567" w:name="_Toc32653"/>
      <w:bookmarkStart w:id="568" w:name="_Toc31277"/>
      <w:bookmarkStart w:id="569" w:name="_Toc16356"/>
      <w:bookmarkStart w:id="570" w:name="_Toc4338"/>
      <w:bookmarkStart w:id="571" w:name="_Toc26726"/>
      <w:bookmarkStart w:id="572" w:name="_Toc11872"/>
      <w:bookmarkStart w:id="573" w:name="_Toc4603"/>
      <w:bookmarkStart w:id="574" w:name="_Toc12793_WPSOffice_Level2"/>
      <w:bookmarkStart w:id="575" w:name="_Toc3161"/>
      <w:bookmarkStart w:id="576" w:name="_Toc28724"/>
      <w:bookmarkStart w:id="577" w:name="_Toc30199"/>
      <w:bookmarkStart w:id="578" w:name="_Toc4929"/>
      <w:r>
        <w:rPr>
          <w:rFonts w:hint="eastAsia" w:ascii="宋体" w:hAnsi="宋体" w:eastAsia="宋体" w:cs="宋体"/>
          <w:sz w:val="24"/>
          <w:szCs w:val="24"/>
        </w:rPr>
        <w:t>评标程序</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294BBC89">
      <w:pPr>
        <w:pStyle w:val="4"/>
        <w:rPr>
          <w:rFonts w:hint="eastAsia" w:ascii="宋体" w:hAnsi="宋体" w:eastAsia="宋体" w:cs="宋体"/>
          <w:sz w:val="24"/>
          <w:szCs w:val="24"/>
        </w:rPr>
      </w:pPr>
      <w:bookmarkStart w:id="579" w:name="_Toc13097"/>
      <w:bookmarkStart w:id="580" w:name="_Toc13150092"/>
      <w:bookmarkStart w:id="581" w:name="_Toc32038"/>
      <w:bookmarkStart w:id="582" w:name="_Toc2597"/>
      <w:bookmarkStart w:id="583" w:name="_Toc1654"/>
      <w:bookmarkStart w:id="584" w:name="_Toc5708"/>
      <w:bookmarkStart w:id="585" w:name="_Toc4311"/>
      <w:bookmarkStart w:id="586" w:name="_Toc9443"/>
      <w:bookmarkStart w:id="587" w:name="_Toc16287"/>
      <w:bookmarkStart w:id="588" w:name="_Toc10682"/>
      <w:bookmarkStart w:id="589" w:name="_Toc32083"/>
      <w:bookmarkStart w:id="590" w:name="_Toc12112"/>
      <w:bookmarkStart w:id="591" w:name="_Toc1174"/>
      <w:r>
        <w:rPr>
          <w:rFonts w:hint="eastAsia" w:ascii="宋体" w:hAnsi="宋体" w:eastAsia="宋体" w:cs="宋体"/>
          <w:sz w:val="24"/>
          <w:szCs w:val="24"/>
        </w:rPr>
        <w:t>2.1 符合性审查</w:t>
      </w:r>
      <w:bookmarkEnd w:id="579"/>
      <w:bookmarkEnd w:id="580"/>
      <w:bookmarkEnd w:id="581"/>
      <w:bookmarkEnd w:id="582"/>
      <w:bookmarkEnd w:id="583"/>
      <w:bookmarkEnd w:id="584"/>
      <w:bookmarkEnd w:id="585"/>
      <w:bookmarkEnd w:id="586"/>
      <w:bookmarkEnd w:id="587"/>
      <w:bookmarkEnd w:id="588"/>
      <w:bookmarkEnd w:id="589"/>
      <w:bookmarkEnd w:id="590"/>
      <w:bookmarkEnd w:id="591"/>
    </w:p>
    <w:p w14:paraId="2B7D9F6B">
      <w:pPr>
        <w:autoSpaceDE w:val="0"/>
        <w:autoSpaceDN w:val="0"/>
        <w:adjustRightInd w:val="0"/>
        <w:spacing w:line="360" w:lineRule="auto"/>
        <w:ind w:left="100" w:right="40" w:firstLine="420"/>
        <w:jc w:val="left"/>
        <w:rPr>
          <w:rFonts w:hint="eastAsia" w:ascii="宋体" w:hAnsi="宋体" w:eastAsia="宋体" w:cs="宋体"/>
          <w:b/>
          <w:spacing w:val="-2"/>
          <w:kern w:val="0"/>
          <w:sz w:val="24"/>
          <w:szCs w:val="24"/>
        </w:rPr>
      </w:pPr>
      <w:r>
        <w:rPr>
          <w:rFonts w:hint="eastAsia" w:ascii="宋体" w:hAnsi="宋体" w:eastAsia="宋体" w:cs="宋体"/>
          <w:kern w:val="0"/>
          <w:sz w:val="24"/>
          <w:szCs w:val="24"/>
        </w:rPr>
        <w:t>评标委员会</w:t>
      </w:r>
      <w:r>
        <w:rPr>
          <w:rFonts w:hint="eastAsia" w:ascii="宋体" w:hAnsi="宋体" w:eastAsia="宋体" w:cs="宋体"/>
          <w:spacing w:val="-2"/>
          <w:kern w:val="0"/>
          <w:sz w:val="24"/>
          <w:szCs w:val="24"/>
        </w:rPr>
        <w:t>依</w:t>
      </w:r>
      <w:r>
        <w:rPr>
          <w:rFonts w:hint="eastAsia" w:ascii="宋体" w:hAnsi="宋体" w:eastAsia="宋体" w:cs="宋体"/>
          <w:kern w:val="0"/>
          <w:sz w:val="24"/>
          <w:szCs w:val="24"/>
        </w:rPr>
        <w:t>据本</w:t>
      </w:r>
      <w:r>
        <w:rPr>
          <w:rFonts w:hint="eastAsia" w:ascii="宋体" w:hAnsi="宋体" w:eastAsia="宋体" w:cs="宋体"/>
          <w:spacing w:val="-2"/>
          <w:kern w:val="0"/>
          <w:sz w:val="24"/>
          <w:szCs w:val="24"/>
        </w:rPr>
        <w:t>章</w:t>
      </w:r>
      <w:r>
        <w:rPr>
          <w:rFonts w:hint="eastAsia" w:ascii="宋体" w:hAnsi="宋体" w:eastAsia="宋体" w:cs="宋体"/>
          <w:kern w:val="0"/>
          <w:sz w:val="24"/>
          <w:szCs w:val="24"/>
        </w:rPr>
        <w:t>评标办法前附表</w:t>
      </w:r>
      <w:r>
        <w:rPr>
          <w:rFonts w:hint="eastAsia" w:ascii="宋体" w:hAnsi="宋体" w:eastAsia="宋体" w:cs="宋体"/>
          <w:spacing w:val="-2"/>
          <w:kern w:val="0"/>
          <w:sz w:val="24"/>
          <w:szCs w:val="24"/>
        </w:rPr>
        <w:t>规</w:t>
      </w:r>
      <w:r>
        <w:rPr>
          <w:rFonts w:hint="eastAsia" w:ascii="宋体" w:hAnsi="宋体" w:eastAsia="宋体" w:cs="宋体"/>
          <w:kern w:val="0"/>
          <w:sz w:val="24"/>
          <w:szCs w:val="24"/>
        </w:rPr>
        <w:t>定</w:t>
      </w:r>
      <w:r>
        <w:rPr>
          <w:rFonts w:hint="eastAsia" w:ascii="宋体" w:hAnsi="宋体" w:eastAsia="宋体" w:cs="宋体"/>
          <w:spacing w:val="-2"/>
          <w:kern w:val="0"/>
          <w:sz w:val="24"/>
          <w:szCs w:val="24"/>
        </w:rPr>
        <w:t>的标</w:t>
      </w:r>
      <w:r>
        <w:rPr>
          <w:rFonts w:hint="eastAsia" w:ascii="宋体" w:hAnsi="宋体" w:eastAsia="宋体" w:cs="宋体"/>
          <w:kern w:val="0"/>
          <w:sz w:val="24"/>
          <w:szCs w:val="24"/>
        </w:rPr>
        <w:t>准，对</w:t>
      </w:r>
      <w:r>
        <w:rPr>
          <w:rFonts w:hint="eastAsia" w:ascii="宋体" w:hAnsi="宋体" w:eastAsia="宋体" w:cs="宋体"/>
          <w:spacing w:val="-2"/>
          <w:kern w:val="0"/>
          <w:sz w:val="24"/>
          <w:szCs w:val="24"/>
        </w:rPr>
        <w:t>符合资格的</w:t>
      </w:r>
      <w:r>
        <w:rPr>
          <w:rFonts w:hint="eastAsia" w:ascii="宋体" w:hAnsi="宋体" w:cs="宋体"/>
          <w:spacing w:val="-2"/>
          <w:kern w:val="0"/>
          <w:sz w:val="24"/>
          <w:szCs w:val="24"/>
          <w:lang w:eastAsia="zh-CN"/>
        </w:rPr>
        <w:t>供应商</w:t>
      </w:r>
      <w:r>
        <w:rPr>
          <w:rFonts w:hint="eastAsia" w:ascii="宋体" w:hAnsi="宋体" w:eastAsia="宋体" w:cs="宋体"/>
          <w:spacing w:val="-2"/>
          <w:kern w:val="0"/>
          <w:sz w:val="24"/>
          <w:szCs w:val="24"/>
        </w:rPr>
        <w:t>的投标文件进行</w:t>
      </w:r>
      <w:r>
        <w:rPr>
          <w:rFonts w:hint="eastAsia" w:ascii="宋体" w:hAnsi="宋体" w:cs="宋体"/>
          <w:spacing w:val="-2"/>
          <w:kern w:val="0"/>
          <w:sz w:val="24"/>
          <w:szCs w:val="24"/>
          <w:lang w:val="en-US" w:eastAsia="zh-CN"/>
        </w:rPr>
        <w:t>响应</w:t>
      </w:r>
      <w:r>
        <w:rPr>
          <w:rFonts w:hint="eastAsia" w:ascii="宋体" w:hAnsi="宋体" w:eastAsia="宋体" w:cs="宋体"/>
          <w:spacing w:val="-2"/>
          <w:kern w:val="0"/>
          <w:sz w:val="24"/>
          <w:szCs w:val="24"/>
        </w:rPr>
        <w:t>性审查和符合性审查，以确定其是否满足招标文件的实质性要求</w:t>
      </w:r>
      <w:r>
        <w:rPr>
          <w:rFonts w:hint="eastAsia" w:ascii="宋体" w:hAnsi="宋体" w:eastAsia="宋体" w:cs="宋体"/>
          <w:kern w:val="0"/>
          <w:sz w:val="24"/>
          <w:szCs w:val="24"/>
        </w:rPr>
        <w:t>，</w:t>
      </w:r>
      <w:r>
        <w:rPr>
          <w:rFonts w:hint="eastAsia" w:ascii="宋体" w:hAnsi="宋体" w:eastAsia="宋体" w:cs="宋体"/>
          <w:spacing w:val="-2"/>
          <w:kern w:val="0"/>
          <w:sz w:val="24"/>
          <w:szCs w:val="24"/>
        </w:rPr>
        <w:t>有</w:t>
      </w:r>
      <w:r>
        <w:rPr>
          <w:rFonts w:hint="eastAsia" w:ascii="宋体" w:hAnsi="宋体" w:eastAsia="宋体" w:cs="宋体"/>
          <w:kern w:val="0"/>
          <w:sz w:val="24"/>
          <w:szCs w:val="24"/>
        </w:rPr>
        <w:t>一</w:t>
      </w:r>
      <w:r>
        <w:rPr>
          <w:rFonts w:hint="eastAsia" w:ascii="宋体" w:hAnsi="宋体" w:eastAsia="宋体" w:cs="宋体"/>
          <w:spacing w:val="-2"/>
          <w:kern w:val="0"/>
          <w:sz w:val="24"/>
          <w:szCs w:val="24"/>
        </w:rPr>
        <w:t>项</w:t>
      </w:r>
      <w:r>
        <w:rPr>
          <w:rFonts w:hint="eastAsia" w:ascii="宋体" w:hAnsi="宋体" w:eastAsia="宋体" w:cs="宋体"/>
          <w:kern w:val="0"/>
          <w:sz w:val="24"/>
          <w:szCs w:val="24"/>
        </w:rPr>
        <w:t>不</w:t>
      </w:r>
      <w:r>
        <w:rPr>
          <w:rFonts w:hint="eastAsia" w:ascii="宋体" w:hAnsi="宋体" w:eastAsia="宋体" w:cs="宋体"/>
          <w:spacing w:val="-2"/>
          <w:kern w:val="0"/>
          <w:sz w:val="24"/>
          <w:szCs w:val="24"/>
        </w:rPr>
        <w:t>符</w:t>
      </w:r>
      <w:r>
        <w:rPr>
          <w:rFonts w:hint="eastAsia" w:ascii="宋体" w:hAnsi="宋体" w:eastAsia="宋体" w:cs="宋体"/>
          <w:kern w:val="0"/>
          <w:sz w:val="24"/>
          <w:szCs w:val="24"/>
        </w:rPr>
        <w:t>合评审</w:t>
      </w:r>
      <w:r>
        <w:rPr>
          <w:rFonts w:hint="eastAsia" w:ascii="宋体" w:hAnsi="宋体" w:eastAsia="宋体" w:cs="宋体"/>
          <w:spacing w:val="-2"/>
          <w:kern w:val="0"/>
          <w:sz w:val="24"/>
          <w:szCs w:val="24"/>
        </w:rPr>
        <w:t>标</w:t>
      </w:r>
      <w:r>
        <w:rPr>
          <w:rFonts w:hint="eastAsia" w:ascii="宋体" w:hAnsi="宋体" w:eastAsia="宋体" w:cs="宋体"/>
          <w:kern w:val="0"/>
          <w:sz w:val="24"/>
          <w:szCs w:val="24"/>
        </w:rPr>
        <w:t>准</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w:t>
      </w:r>
      <w:r>
        <w:rPr>
          <w:rFonts w:hint="eastAsia" w:ascii="宋体" w:hAnsi="宋体" w:eastAsia="宋体" w:cs="宋体"/>
          <w:spacing w:val="-2"/>
          <w:kern w:val="0"/>
          <w:sz w:val="24"/>
          <w:szCs w:val="24"/>
        </w:rPr>
        <w:t>评标委员会</w:t>
      </w:r>
      <w:r>
        <w:rPr>
          <w:rFonts w:hint="eastAsia" w:ascii="宋体" w:hAnsi="宋体" w:eastAsia="宋体" w:cs="宋体"/>
          <w:kern w:val="0"/>
          <w:sz w:val="24"/>
          <w:szCs w:val="24"/>
        </w:rPr>
        <w:t>应当</w:t>
      </w:r>
      <w:r>
        <w:rPr>
          <w:rFonts w:hint="eastAsia" w:ascii="宋体" w:hAnsi="宋体" w:eastAsia="宋体" w:cs="宋体"/>
          <w:sz w:val="24"/>
          <w:szCs w:val="24"/>
        </w:rPr>
        <w:t>认定其投标无效</w:t>
      </w:r>
      <w:r>
        <w:rPr>
          <w:rFonts w:hint="eastAsia" w:ascii="宋体" w:hAnsi="宋体" w:eastAsia="宋体" w:cs="宋体"/>
          <w:spacing w:val="-2"/>
          <w:kern w:val="0"/>
          <w:sz w:val="24"/>
          <w:szCs w:val="24"/>
        </w:rPr>
        <w:t>。</w:t>
      </w:r>
    </w:p>
    <w:p w14:paraId="3C391250">
      <w:pPr>
        <w:pStyle w:val="4"/>
        <w:rPr>
          <w:rFonts w:hint="eastAsia" w:ascii="宋体" w:hAnsi="宋体" w:eastAsia="宋体" w:cs="宋体"/>
          <w:sz w:val="24"/>
          <w:szCs w:val="24"/>
        </w:rPr>
      </w:pPr>
      <w:bookmarkStart w:id="592" w:name="_Toc13150093"/>
      <w:bookmarkStart w:id="593" w:name="_Toc4232"/>
      <w:bookmarkStart w:id="594" w:name="_Toc10132"/>
      <w:bookmarkStart w:id="595" w:name="_Toc13336"/>
      <w:bookmarkStart w:id="596" w:name="_Toc30428"/>
      <w:bookmarkStart w:id="597" w:name="_Toc1221"/>
      <w:bookmarkStart w:id="598" w:name="_Toc14717"/>
      <w:bookmarkStart w:id="599" w:name="_Toc23593"/>
      <w:bookmarkStart w:id="600" w:name="_Toc29056"/>
      <w:bookmarkStart w:id="601" w:name="_Toc25601"/>
      <w:bookmarkStart w:id="602" w:name="_Toc5425"/>
      <w:bookmarkStart w:id="603" w:name="_Toc12596"/>
      <w:bookmarkStart w:id="604" w:name="_Toc18705"/>
      <w:r>
        <w:rPr>
          <w:rFonts w:hint="eastAsia" w:ascii="宋体" w:hAnsi="宋体" w:eastAsia="宋体" w:cs="宋体"/>
          <w:sz w:val="24"/>
          <w:szCs w:val="24"/>
        </w:rPr>
        <w:t>2.2 详细评审</w:t>
      </w:r>
      <w:bookmarkEnd w:id="592"/>
      <w:bookmarkEnd w:id="593"/>
      <w:bookmarkEnd w:id="594"/>
      <w:bookmarkEnd w:id="595"/>
      <w:bookmarkEnd w:id="596"/>
      <w:bookmarkEnd w:id="597"/>
      <w:bookmarkEnd w:id="598"/>
      <w:bookmarkEnd w:id="599"/>
      <w:bookmarkEnd w:id="600"/>
      <w:bookmarkEnd w:id="601"/>
      <w:bookmarkEnd w:id="602"/>
      <w:bookmarkEnd w:id="603"/>
      <w:bookmarkEnd w:id="604"/>
    </w:p>
    <w:p w14:paraId="73588D27">
      <w:pPr>
        <w:autoSpaceDE w:val="0"/>
        <w:autoSpaceDN w:val="0"/>
        <w:adjustRightInd w:val="0"/>
        <w:spacing w:line="360" w:lineRule="auto"/>
        <w:ind w:left="520" w:right="-20"/>
        <w:jc w:val="left"/>
        <w:rPr>
          <w:rFonts w:hint="eastAsia" w:ascii="宋体" w:hAnsi="宋体" w:eastAsia="宋体" w:cs="宋体"/>
          <w:kern w:val="0"/>
          <w:sz w:val="24"/>
          <w:szCs w:val="24"/>
        </w:rPr>
      </w:pPr>
      <w:r>
        <w:rPr>
          <w:rFonts w:hint="eastAsia" w:ascii="宋体" w:hAnsi="宋体" w:eastAsia="宋体" w:cs="宋体"/>
          <w:kern w:val="0"/>
          <w:sz w:val="24"/>
          <w:szCs w:val="24"/>
        </w:rPr>
        <w:t>2.2.1 评标委员会</w:t>
      </w:r>
      <w:r>
        <w:rPr>
          <w:rFonts w:hint="eastAsia" w:ascii="宋体" w:hAnsi="宋体" w:eastAsia="宋体" w:cs="宋体"/>
          <w:spacing w:val="-2"/>
          <w:kern w:val="0"/>
          <w:sz w:val="24"/>
          <w:szCs w:val="24"/>
        </w:rPr>
        <w:t>按</w:t>
      </w:r>
      <w:r>
        <w:rPr>
          <w:rFonts w:hint="eastAsia" w:ascii="宋体" w:hAnsi="宋体" w:eastAsia="宋体" w:cs="宋体"/>
          <w:kern w:val="0"/>
          <w:sz w:val="24"/>
          <w:szCs w:val="24"/>
        </w:rPr>
        <w:t>本</w:t>
      </w:r>
      <w:r>
        <w:rPr>
          <w:rFonts w:hint="eastAsia" w:ascii="宋体" w:hAnsi="宋体" w:eastAsia="宋体" w:cs="宋体"/>
          <w:spacing w:val="-2"/>
          <w:kern w:val="0"/>
          <w:sz w:val="24"/>
          <w:szCs w:val="24"/>
        </w:rPr>
        <w:t>章</w:t>
      </w:r>
      <w:r>
        <w:rPr>
          <w:rFonts w:hint="eastAsia" w:ascii="宋体" w:hAnsi="宋体" w:eastAsia="宋体" w:cs="宋体"/>
          <w:kern w:val="0"/>
          <w:sz w:val="24"/>
          <w:szCs w:val="24"/>
        </w:rPr>
        <w:t>评标方法规</w:t>
      </w:r>
      <w:r>
        <w:rPr>
          <w:rFonts w:hint="eastAsia" w:ascii="宋体" w:hAnsi="宋体" w:eastAsia="宋体" w:cs="宋体"/>
          <w:spacing w:val="-2"/>
          <w:kern w:val="0"/>
          <w:sz w:val="24"/>
          <w:szCs w:val="24"/>
        </w:rPr>
        <w:t>定</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量</w:t>
      </w:r>
      <w:r>
        <w:rPr>
          <w:rFonts w:hint="eastAsia" w:ascii="宋体" w:hAnsi="宋体" w:eastAsia="宋体" w:cs="宋体"/>
          <w:kern w:val="0"/>
          <w:sz w:val="24"/>
          <w:szCs w:val="24"/>
        </w:rPr>
        <w:t>化</w:t>
      </w:r>
      <w:r>
        <w:rPr>
          <w:rFonts w:hint="eastAsia" w:ascii="宋体" w:hAnsi="宋体" w:eastAsia="宋体" w:cs="宋体"/>
          <w:spacing w:val="-2"/>
          <w:kern w:val="0"/>
          <w:sz w:val="24"/>
          <w:szCs w:val="24"/>
        </w:rPr>
        <w:t>因</w:t>
      </w:r>
      <w:r>
        <w:rPr>
          <w:rFonts w:hint="eastAsia" w:ascii="宋体" w:hAnsi="宋体" w:eastAsia="宋体" w:cs="宋体"/>
          <w:kern w:val="0"/>
          <w:sz w:val="24"/>
          <w:szCs w:val="24"/>
        </w:rPr>
        <w:t>素</w:t>
      </w:r>
      <w:r>
        <w:rPr>
          <w:rFonts w:hint="eastAsia" w:ascii="宋体" w:hAnsi="宋体" w:eastAsia="宋体" w:cs="宋体"/>
          <w:spacing w:val="-2"/>
          <w:kern w:val="0"/>
          <w:sz w:val="24"/>
          <w:szCs w:val="24"/>
        </w:rPr>
        <w:t>和</w:t>
      </w:r>
      <w:r>
        <w:rPr>
          <w:rFonts w:hint="eastAsia" w:ascii="宋体" w:hAnsi="宋体" w:eastAsia="宋体" w:cs="宋体"/>
          <w:kern w:val="0"/>
          <w:sz w:val="24"/>
          <w:szCs w:val="24"/>
        </w:rPr>
        <w:t>分值</w:t>
      </w:r>
      <w:r>
        <w:rPr>
          <w:rFonts w:hint="eastAsia" w:ascii="宋体" w:hAnsi="宋体" w:eastAsia="宋体" w:cs="宋体"/>
          <w:spacing w:val="-2"/>
          <w:kern w:val="0"/>
          <w:sz w:val="24"/>
          <w:szCs w:val="24"/>
        </w:rPr>
        <w:t>进</w:t>
      </w:r>
      <w:r>
        <w:rPr>
          <w:rFonts w:hint="eastAsia" w:ascii="宋体" w:hAnsi="宋体" w:eastAsia="宋体" w:cs="宋体"/>
          <w:kern w:val="0"/>
          <w:sz w:val="24"/>
          <w:szCs w:val="24"/>
        </w:rPr>
        <w:t>行</w:t>
      </w:r>
      <w:r>
        <w:rPr>
          <w:rFonts w:hint="eastAsia" w:ascii="宋体" w:hAnsi="宋体" w:eastAsia="宋体" w:cs="宋体"/>
          <w:spacing w:val="-2"/>
          <w:kern w:val="0"/>
          <w:sz w:val="24"/>
          <w:szCs w:val="24"/>
        </w:rPr>
        <w:t>打</w:t>
      </w:r>
      <w:r>
        <w:rPr>
          <w:rFonts w:hint="eastAsia" w:ascii="宋体" w:hAnsi="宋体" w:eastAsia="宋体" w:cs="宋体"/>
          <w:kern w:val="0"/>
          <w:sz w:val="24"/>
          <w:szCs w:val="24"/>
        </w:rPr>
        <w:t>分</w:t>
      </w:r>
      <w:r>
        <w:rPr>
          <w:rFonts w:hint="eastAsia" w:ascii="宋体" w:hAnsi="宋体" w:eastAsia="宋体" w:cs="宋体"/>
          <w:spacing w:val="-2"/>
          <w:kern w:val="0"/>
          <w:sz w:val="24"/>
          <w:szCs w:val="24"/>
        </w:rPr>
        <w:t>计</w:t>
      </w:r>
      <w:r>
        <w:rPr>
          <w:rFonts w:hint="eastAsia" w:ascii="宋体" w:hAnsi="宋体" w:eastAsia="宋体" w:cs="宋体"/>
          <w:kern w:val="0"/>
          <w:sz w:val="24"/>
          <w:szCs w:val="24"/>
        </w:rPr>
        <w:t>算</w:t>
      </w:r>
      <w:r>
        <w:rPr>
          <w:rFonts w:hint="eastAsia" w:ascii="宋体" w:hAnsi="宋体" w:eastAsia="宋体" w:cs="宋体"/>
          <w:spacing w:val="-2"/>
          <w:kern w:val="0"/>
          <w:sz w:val="24"/>
          <w:szCs w:val="24"/>
        </w:rPr>
        <w:t>出综</w:t>
      </w:r>
      <w:r>
        <w:rPr>
          <w:rFonts w:hint="eastAsia" w:ascii="宋体" w:hAnsi="宋体" w:eastAsia="宋体" w:cs="宋体"/>
          <w:kern w:val="0"/>
          <w:sz w:val="24"/>
          <w:szCs w:val="24"/>
        </w:rPr>
        <w:t>合得</w:t>
      </w:r>
      <w:r>
        <w:rPr>
          <w:rFonts w:hint="eastAsia" w:ascii="宋体" w:hAnsi="宋体" w:eastAsia="宋体" w:cs="宋体"/>
          <w:spacing w:val="-2"/>
          <w:kern w:val="0"/>
          <w:sz w:val="24"/>
          <w:szCs w:val="24"/>
        </w:rPr>
        <w:t>分，</w:t>
      </w:r>
    </w:p>
    <w:p w14:paraId="5CAA1FA5">
      <w:pPr>
        <w:numPr>
          <w:ilvl w:val="0"/>
          <w:numId w:val="13"/>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按本章第1.2.2（1）目规定的评审因素和分值对报价部分计算出得分A；</w:t>
      </w:r>
    </w:p>
    <w:p w14:paraId="000D3A04">
      <w:pPr>
        <w:numPr>
          <w:ilvl w:val="0"/>
          <w:numId w:val="13"/>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按本章第1.2.2（2）目规定的评审因素和分值对技术部分计算出得分B：</w:t>
      </w:r>
    </w:p>
    <w:p w14:paraId="479B627E">
      <w:pPr>
        <w:numPr>
          <w:ilvl w:val="0"/>
          <w:numId w:val="13"/>
        </w:numPr>
        <w:autoSpaceDE w:val="0"/>
        <w:autoSpaceDN w:val="0"/>
        <w:adjustRightInd w:val="0"/>
        <w:spacing w:line="360" w:lineRule="auto"/>
        <w:ind w:left="0" w:right="4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按本章第1.2.2（3）目规定的评审因素和分值对综合部分计算出得分C。</w:t>
      </w:r>
    </w:p>
    <w:p w14:paraId="508485A4">
      <w:pPr>
        <w:autoSpaceDE w:val="0"/>
        <w:autoSpaceDN w:val="0"/>
        <w:adjustRightInd w:val="0"/>
        <w:spacing w:before="42" w:line="360" w:lineRule="auto"/>
        <w:ind w:left="520" w:right="-20"/>
        <w:jc w:val="left"/>
        <w:rPr>
          <w:rFonts w:hint="eastAsia" w:ascii="宋体" w:hAnsi="宋体" w:eastAsia="宋体" w:cs="宋体"/>
          <w:kern w:val="0"/>
          <w:sz w:val="24"/>
          <w:szCs w:val="24"/>
        </w:rPr>
      </w:pPr>
      <w:r>
        <w:rPr>
          <w:rFonts w:hint="eastAsia" w:ascii="宋体" w:hAnsi="宋体" w:eastAsia="宋体" w:cs="宋体"/>
          <w:kern w:val="0"/>
          <w:sz w:val="24"/>
          <w:szCs w:val="24"/>
        </w:rPr>
        <w:t>2.2.2</w:t>
      </w:r>
      <w:r>
        <w:rPr>
          <w:rFonts w:hint="eastAsia" w:ascii="宋体" w:hAnsi="宋体" w:eastAsia="宋体" w:cs="宋体"/>
          <w:spacing w:val="51"/>
          <w:kern w:val="0"/>
          <w:sz w:val="24"/>
          <w:szCs w:val="24"/>
        </w:rPr>
        <w:t xml:space="preserve"> </w:t>
      </w:r>
      <w:r>
        <w:rPr>
          <w:rFonts w:hint="eastAsia" w:ascii="宋体" w:hAnsi="宋体" w:eastAsia="宋体" w:cs="宋体"/>
          <w:kern w:val="0"/>
          <w:sz w:val="24"/>
          <w:szCs w:val="24"/>
        </w:rPr>
        <w:t>评</w:t>
      </w:r>
      <w:r>
        <w:rPr>
          <w:rFonts w:hint="eastAsia" w:ascii="宋体" w:hAnsi="宋体" w:eastAsia="宋体" w:cs="宋体"/>
          <w:spacing w:val="-2"/>
          <w:kern w:val="0"/>
          <w:sz w:val="24"/>
          <w:szCs w:val="24"/>
        </w:rPr>
        <w:t>分</w:t>
      </w:r>
      <w:r>
        <w:rPr>
          <w:rFonts w:hint="eastAsia" w:ascii="宋体" w:hAnsi="宋体" w:eastAsia="宋体" w:cs="宋体"/>
          <w:kern w:val="0"/>
          <w:sz w:val="24"/>
          <w:szCs w:val="24"/>
        </w:rPr>
        <w:t>分</w:t>
      </w:r>
      <w:r>
        <w:rPr>
          <w:rFonts w:hint="eastAsia" w:ascii="宋体" w:hAnsi="宋体" w:eastAsia="宋体" w:cs="宋体"/>
          <w:spacing w:val="-2"/>
          <w:kern w:val="0"/>
          <w:sz w:val="24"/>
          <w:szCs w:val="24"/>
        </w:rPr>
        <w:t>值</w:t>
      </w:r>
      <w:r>
        <w:rPr>
          <w:rFonts w:hint="eastAsia" w:ascii="宋体" w:hAnsi="宋体" w:eastAsia="宋体" w:cs="宋体"/>
          <w:kern w:val="0"/>
          <w:sz w:val="24"/>
          <w:szCs w:val="24"/>
        </w:rPr>
        <w:t>计</w:t>
      </w:r>
      <w:r>
        <w:rPr>
          <w:rFonts w:hint="eastAsia" w:ascii="宋体" w:hAnsi="宋体" w:eastAsia="宋体" w:cs="宋体"/>
          <w:spacing w:val="-2"/>
          <w:kern w:val="0"/>
          <w:sz w:val="24"/>
          <w:szCs w:val="24"/>
        </w:rPr>
        <w:t>算</w:t>
      </w:r>
      <w:r>
        <w:rPr>
          <w:rFonts w:hint="eastAsia" w:ascii="宋体" w:hAnsi="宋体" w:eastAsia="宋体" w:cs="宋体"/>
          <w:kern w:val="0"/>
          <w:sz w:val="24"/>
          <w:szCs w:val="24"/>
        </w:rPr>
        <w:t>保</w:t>
      </w:r>
      <w:r>
        <w:rPr>
          <w:rFonts w:hint="eastAsia" w:ascii="宋体" w:hAnsi="宋体" w:eastAsia="宋体" w:cs="宋体"/>
          <w:spacing w:val="-2"/>
          <w:kern w:val="0"/>
          <w:sz w:val="24"/>
          <w:szCs w:val="24"/>
        </w:rPr>
        <w:t>留小</w:t>
      </w:r>
      <w:r>
        <w:rPr>
          <w:rFonts w:hint="eastAsia" w:ascii="宋体" w:hAnsi="宋体" w:eastAsia="宋体" w:cs="宋体"/>
          <w:kern w:val="0"/>
          <w:sz w:val="24"/>
          <w:szCs w:val="24"/>
        </w:rPr>
        <w:t>数点</w:t>
      </w:r>
      <w:r>
        <w:rPr>
          <w:rFonts w:hint="eastAsia" w:ascii="宋体" w:hAnsi="宋体" w:eastAsia="宋体" w:cs="宋体"/>
          <w:spacing w:val="-2"/>
          <w:kern w:val="0"/>
          <w:sz w:val="24"/>
          <w:szCs w:val="24"/>
        </w:rPr>
        <w:t>后</w:t>
      </w:r>
      <w:r>
        <w:rPr>
          <w:rFonts w:hint="eastAsia" w:ascii="宋体" w:hAnsi="宋体" w:eastAsia="宋体" w:cs="宋体"/>
          <w:kern w:val="0"/>
          <w:sz w:val="24"/>
          <w:szCs w:val="24"/>
        </w:rPr>
        <w:t>两</w:t>
      </w:r>
      <w:r>
        <w:rPr>
          <w:rFonts w:hint="eastAsia" w:ascii="宋体" w:hAnsi="宋体" w:eastAsia="宋体" w:cs="宋体"/>
          <w:spacing w:val="-2"/>
          <w:kern w:val="0"/>
          <w:sz w:val="24"/>
          <w:szCs w:val="24"/>
        </w:rPr>
        <w:t>位</w:t>
      </w:r>
      <w:r>
        <w:rPr>
          <w:rFonts w:hint="eastAsia" w:ascii="宋体" w:hAnsi="宋体" w:eastAsia="宋体" w:cs="宋体"/>
          <w:kern w:val="0"/>
          <w:sz w:val="24"/>
          <w:szCs w:val="24"/>
        </w:rPr>
        <w:t>，</w:t>
      </w:r>
      <w:r>
        <w:rPr>
          <w:rFonts w:hint="eastAsia" w:ascii="宋体" w:hAnsi="宋体" w:eastAsia="宋体" w:cs="宋体"/>
          <w:spacing w:val="-2"/>
          <w:kern w:val="0"/>
          <w:sz w:val="24"/>
          <w:szCs w:val="24"/>
        </w:rPr>
        <w:t>小</w:t>
      </w:r>
      <w:r>
        <w:rPr>
          <w:rFonts w:hint="eastAsia" w:ascii="宋体" w:hAnsi="宋体" w:eastAsia="宋体" w:cs="宋体"/>
          <w:kern w:val="0"/>
          <w:sz w:val="24"/>
          <w:szCs w:val="24"/>
        </w:rPr>
        <w:t>数</w:t>
      </w:r>
      <w:r>
        <w:rPr>
          <w:rFonts w:hint="eastAsia" w:ascii="宋体" w:hAnsi="宋体" w:eastAsia="宋体" w:cs="宋体"/>
          <w:spacing w:val="-2"/>
          <w:kern w:val="0"/>
          <w:sz w:val="24"/>
          <w:szCs w:val="24"/>
        </w:rPr>
        <w:t>点</w:t>
      </w:r>
      <w:r>
        <w:rPr>
          <w:rFonts w:hint="eastAsia" w:ascii="宋体" w:hAnsi="宋体" w:eastAsia="宋体" w:cs="宋体"/>
          <w:kern w:val="0"/>
          <w:sz w:val="24"/>
          <w:szCs w:val="24"/>
        </w:rPr>
        <w:t>后</w:t>
      </w:r>
      <w:r>
        <w:rPr>
          <w:rFonts w:hint="eastAsia" w:ascii="宋体" w:hAnsi="宋体" w:eastAsia="宋体" w:cs="宋体"/>
          <w:spacing w:val="-2"/>
          <w:kern w:val="0"/>
          <w:sz w:val="24"/>
          <w:szCs w:val="24"/>
        </w:rPr>
        <w:t>第</w:t>
      </w:r>
      <w:r>
        <w:rPr>
          <w:rFonts w:hint="eastAsia" w:ascii="宋体" w:hAnsi="宋体" w:eastAsia="宋体" w:cs="宋体"/>
          <w:kern w:val="0"/>
          <w:sz w:val="24"/>
          <w:szCs w:val="24"/>
        </w:rPr>
        <w:t>三位</w:t>
      </w:r>
      <w:r>
        <w:rPr>
          <w:rFonts w:hint="eastAsia" w:ascii="宋体" w:hAnsi="宋体" w:eastAsia="宋体" w:cs="宋体"/>
          <w:spacing w:val="-3"/>
          <w:kern w:val="0"/>
          <w:sz w:val="24"/>
          <w:szCs w:val="24"/>
        </w:rPr>
        <w:t>“</w:t>
      </w:r>
      <w:r>
        <w:rPr>
          <w:rFonts w:hint="eastAsia" w:ascii="宋体" w:hAnsi="宋体" w:eastAsia="宋体" w:cs="宋体"/>
          <w:kern w:val="0"/>
          <w:sz w:val="24"/>
          <w:szCs w:val="24"/>
        </w:rPr>
        <w:t>四</w:t>
      </w:r>
      <w:r>
        <w:rPr>
          <w:rFonts w:hint="eastAsia" w:ascii="宋体" w:hAnsi="宋体" w:eastAsia="宋体" w:cs="宋体"/>
          <w:spacing w:val="-2"/>
          <w:kern w:val="0"/>
          <w:sz w:val="24"/>
          <w:szCs w:val="24"/>
        </w:rPr>
        <w:t>舍</w:t>
      </w:r>
      <w:r>
        <w:rPr>
          <w:rFonts w:hint="eastAsia" w:ascii="宋体" w:hAnsi="宋体" w:eastAsia="宋体" w:cs="宋体"/>
          <w:kern w:val="0"/>
          <w:sz w:val="24"/>
          <w:szCs w:val="24"/>
        </w:rPr>
        <w:t>五入</w:t>
      </w:r>
      <w:r>
        <w:rPr>
          <w:rFonts w:hint="eastAsia" w:ascii="宋体" w:hAnsi="宋体" w:eastAsia="宋体" w:cs="宋体"/>
          <w:spacing w:val="-3"/>
          <w:kern w:val="0"/>
          <w:sz w:val="24"/>
          <w:szCs w:val="24"/>
        </w:rPr>
        <w:t>”</w:t>
      </w:r>
      <w:r>
        <w:rPr>
          <w:rFonts w:hint="eastAsia" w:ascii="宋体" w:hAnsi="宋体" w:eastAsia="宋体" w:cs="宋体"/>
          <w:kern w:val="0"/>
          <w:sz w:val="24"/>
          <w:szCs w:val="24"/>
        </w:rPr>
        <w:t>。</w:t>
      </w:r>
    </w:p>
    <w:p w14:paraId="26614267">
      <w:pPr>
        <w:autoSpaceDE w:val="0"/>
        <w:autoSpaceDN w:val="0"/>
        <w:adjustRightInd w:val="0"/>
        <w:spacing w:before="42" w:line="360" w:lineRule="auto"/>
        <w:ind w:left="520" w:right="-20"/>
        <w:jc w:val="left"/>
        <w:rPr>
          <w:rFonts w:hint="eastAsia" w:ascii="宋体" w:hAnsi="宋体" w:eastAsia="宋体" w:cs="宋体"/>
          <w:kern w:val="0"/>
          <w:sz w:val="24"/>
          <w:szCs w:val="24"/>
        </w:rPr>
      </w:pPr>
      <w:r>
        <w:rPr>
          <w:rFonts w:hint="eastAsia" w:ascii="宋体" w:hAnsi="宋体" w:eastAsia="宋体" w:cs="宋体"/>
          <w:kern w:val="0"/>
          <w:sz w:val="24"/>
          <w:szCs w:val="24"/>
        </w:rPr>
        <w:t>2.2.3</w:t>
      </w:r>
      <w:r>
        <w:rPr>
          <w:rFonts w:hint="eastAsia" w:ascii="宋体" w:hAnsi="宋体" w:eastAsia="宋体" w:cs="宋体"/>
          <w:spacing w:val="51"/>
          <w:kern w:val="0"/>
          <w:sz w:val="24"/>
          <w:szCs w:val="24"/>
        </w:rPr>
        <w:t xml:space="preserve"> </w:t>
      </w:r>
      <w:r>
        <w:rPr>
          <w:rFonts w:hint="eastAsia" w:ascii="宋体" w:hAnsi="宋体" w:cs="宋体"/>
          <w:kern w:val="0"/>
          <w:sz w:val="24"/>
          <w:szCs w:val="24"/>
          <w:lang w:eastAsia="zh-CN"/>
        </w:rPr>
        <w:t>供应商</w:t>
      </w:r>
      <w:r>
        <w:rPr>
          <w:rFonts w:hint="eastAsia" w:ascii="宋体" w:hAnsi="宋体" w:eastAsia="宋体" w:cs="宋体"/>
          <w:kern w:val="0"/>
          <w:sz w:val="24"/>
          <w:szCs w:val="24"/>
        </w:rPr>
        <w:t>综合</w:t>
      </w:r>
      <w:r>
        <w:rPr>
          <w:rFonts w:hint="eastAsia" w:ascii="宋体" w:hAnsi="宋体" w:eastAsia="宋体" w:cs="宋体"/>
          <w:spacing w:val="-2"/>
          <w:kern w:val="0"/>
          <w:sz w:val="24"/>
          <w:szCs w:val="24"/>
        </w:rPr>
        <w:t>得</w:t>
      </w:r>
      <w:r>
        <w:rPr>
          <w:rFonts w:hint="eastAsia" w:ascii="宋体" w:hAnsi="宋体" w:eastAsia="宋体" w:cs="宋体"/>
          <w:kern w:val="0"/>
          <w:sz w:val="24"/>
          <w:szCs w:val="24"/>
        </w:rPr>
        <w:t>分</w:t>
      </w:r>
      <w:r>
        <w:rPr>
          <w:rFonts w:hint="eastAsia" w:ascii="宋体" w:hAnsi="宋体" w:eastAsia="宋体" w:cs="宋体"/>
          <w:spacing w:val="-1"/>
          <w:kern w:val="0"/>
          <w:sz w:val="24"/>
          <w:szCs w:val="24"/>
        </w:rPr>
        <w:t>=A</w:t>
      </w:r>
      <w:r>
        <w:rPr>
          <w:rFonts w:hint="eastAsia" w:ascii="宋体" w:hAnsi="宋体" w:eastAsia="宋体" w:cs="宋体"/>
          <w:spacing w:val="1"/>
          <w:kern w:val="0"/>
          <w:sz w:val="24"/>
          <w:szCs w:val="24"/>
        </w:rPr>
        <w:t>+</w:t>
      </w:r>
      <w:r>
        <w:rPr>
          <w:rFonts w:hint="eastAsia" w:ascii="宋体" w:hAnsi="宋体" w:eastAsia="宋体" w:cs="宋体"/>
          <w:spacing w:val="-2"/>
          <w:kern w:val="0"/>
          <w:sz w:val="24"/>
          <w:szCs w:val="24"/>
        </w:rPr>
        <w:t>B+C</w:t>
      </w:r>
      <w:r>
        <w:rPr>
          <w:rFonts w:hint="eastAsia" w:ascii="宋体" w:hAnsi="宋体" w:eastAsia="宋体" w:cs="宋体"/>
          <w:kern w:val="0"/>
          <w:sz w:val="24"/>
          <w:szCs w:val="24"/>
        </w:rPr>
        <w:t>。</w:t>
      </w:r>
    </w:p>
    <w:p w14:paraId="035C3E96">
      <w:pPr>
        <w:pStyle w:val="4"/>
        <w:rPr>
          <w:rFonts w:hint="eastAsia" w:ascii="宋体" w:hAnsi="宋体" w:eastAsia="宋体" w:cs="宋体"/>
          <w:sz w:val="24"/>
          <w:szCs w:val="24"/>
        </w:rPr>
      </w:pPr>
      <w:bookmarkStart w:id="605" w:name="_Toc18083"/>
      <w:bookmarkStart w:id="606" w:name="_Toc3021"/>
      <w:bookmarkStart w:id="607" w:name="_Toc31327"/>
      <w:bookmarkStart w:id="608" w:name="_Toc11785"/>
      <w:bookmarkStart w:id="609" w:name="_Toc18738"/>
      <w:bookmarkStart w:id="610" w:name="_Toc19568"/>
      <w:bookmarkStart w:id="611" w:name="_Toc18469"/>
      <w:bookmarkStart w:id="612" w:name="_Toc13854"/>
      <w:bookmarkStart w:id="613" w:name="_Toc11722"/>
      <w:bookmarkStart w:id="614" w:name="_Toc13150094"/>
      <w:bookmarkStart w:id="615" w:name="_Toc25051"/>
      <w:bookmarkStart w:id="616" w:name="_Toc7845"/>
      <w:bookmarkStart w:id="617" w:name="_Toc5640"/>
      <w:r>
        <w:rPr>
          <w:rFonts w:hint="eastAsia" w:ascii="宋体" w:hAnsi="宋体" w:eastAsia="宋体" w:cs="宋体"/>
          <w:sz w:val="24"/>
          <w:szCs w:val="24"/>
        </w:rPr>
        <w:t>2.3 投标文件的澄清</w:t>
      </w:r>
      <w:bookmarkEnd w:id="605"/>
      <w:bookmarkEnd w:id="606"/>
      <w:bookmarkEnd w:id="607"/>
      <w:bookmarkEnd w:id="608"/>
      <w:bookmarkEnd w:id="609"/>
      <w:bookmarkEnd w:id="610"/>
      <w:bookmarkEnd w:id="611"/>
      <w:bookmarkEnd w:id="612"/>
      <w:bookmarkEnd w:id="613"/>
      <w:bookmarkEnd w:id="614"/>
      <w:bookmarkEnd w:id="615"/>
      <w:bookmarkEnd w:id="616"/>
      <w:bookmarkEnd w:id="617"/>
    </w:p>
    <w:p w14:paraId="1421C623">
      <w:pPr>
        <w:autoSpaceDE w:val="0"/>
        <w:autoSpaceDN w:val="0"/>
        <w:adjustRightInd w:val="0"/>
        <w:spacing w:line="360" w:lineRule="auto"/>
        <w:ind w:left="100" w:right="139" w:firstLine="420"/>
        <w:rPr>
          <w:rFonts w:hint="eastAsia" w:ascii="宋体" w:hAnsi="宋体" w:eastAsia="宋体" w:cs="宋体"/>
          <w:kern w:val="0"/>
          <w:sz w:val="24"/>
          <w:szCs w:val="24"/>
        </w:rPr>
      </w:pPr>
      <w:r>
        <w:rPr>
          <w:rFonts w:hint="eastAsia" w:ascii="宋体" w:hAnsi="宋体" w:eastAsia="宋体" w:cs="宋体"/>
          <w:kern w:val="0"/>
          <w:sz w:val="24"/>
          <w:szCs w:val="24"/>
        </w:rPr>
        <w:t>2.3.1 在</w:t>
      </w:r>
      <w:r>
        <w:rPr>
          <w:rFonts w:hint="eastAsia" w:ascii="宋体" w:hAnsi="宋体" w:eastAsia="宋体" w:cs="宋体"/>
          <w:spacing w:val="-2"/>
          <w:kern w:val="0"/>
          <w:sz w:val="24"/>
          <w:szCs w:val="24"/>
        </w:rPr>
        <w:t>评</w:t>
      </w:r>
      <w:r>
        <w:rPr>
          <w:rFonts w:hint="eastAsia" w:ascii="宋体" w:hAnsi="宋体" w:eastAsia="宋体" w:cs="宋体"/>
          <w:kern w:val="0"/>
          <w:sz w:val="24"/>
          <w:szCs w:val="24"/>
        </w:rPr>
        <w:t>标</w:t>
      </w:r>
      <w:r>
        <w:rPr>
          <w:rFonts w:hint="eastAsia" w:ascii="宋体" w:hAnsi="宋体" w:eastAsia="宋体" w:cs="宋体"/>
          <w:spacing w:val="-2"/>
          <w:kern w:val="0"/>
          <w:sz w:val="24"/>
          <w:szCs w:val="24"/>
        </w:rPr>
        <w:t>过</w:t>
      </w:r>
      <w:r>
        <w:rPr>
          <w:rFonts w:hint="eastAsia" w:ascii="宋体" w:hAnsi="宋体" w:eastAsia="宋体" w:cs="宋体"/>
          <w:kern w:val="0"/>
          <w:sz w:val="24"/>
          <w:szCs w:val="24"/>
        </w:rPr>
        <w:t>程中</w:t>
      </w:r>
      <w:r>
        <w:rPr>
          <w:rFonts w:hint="eastAsia" w:ascii="宋体" w:hAnsi="宋体" w:eastAsia="宋体" w:cs="宋体"/>
          <w:spacing w:val="-41"/>
          <w:kern w:val="0"/>
          <w:sz w:val="24"/>
          <w:szCs w:val="24"/>
        </w:rPr>
        <w:t>，</w:t>
      </w:r>
      <w:r>
        <w:rPr>
          <w:rFonts w:hint="eastAsia" w:ascii="宋体" w:hAnsi="宋体" w:eastAsia="宋体" w:cs="宋体"/>
          <w:kern w:val="0"/>
          <w:sz w:val="24"/>
          <w:szCs w:val="24"/>
        </w:rPr>
        <w:t>评标委员会可</w:t>
      </w:r>
      <w:r>
        <w:rPr>
          <w:rFonts w:hint="eastAsia" w:ascii="宋体" w:hAnsi="宋体" w:eastAsia="宋体" w:cs="宋体"/>
          <w:spacing w:val="-2"/>
          <w:kern w:val="0"/>
          <w:sz w:val="24"/>
          <w:szCs w:val="24"/>
        </w:rPr>
        <w:t>以</w:t>
      </w:r>
      <w:r>
        <w:rPr>
          <w:rFonts w:hint="eastAsia" w:ascii="宋体" w:hAnsi="宋体" w:eastAsia="宋体" w:cs="宋体"/>
          <w:kern w:val="0"/>
          <w:sz w:val="24"/>
          <w:szCs w:val="24"/>
        </w:rPr>
        <w:t>书</w:t>
      </w:r>
      <w:r>
        <w:rPr>
          <w:rFonts w:hint="eastAsia" w:ascii="宋体" w:hAnsi="宋体" w:eastAsia="宋体" w:cs="宋体"/>
          <w:spacing w:val="-2"/>
          <w:kern w:val="0"/>
          <w:sz w:val="24"/>
          <w:szCs w:val="24"/>
        </w:rPr>
        <w:t>面</w:t>
      </w:r>
      <w:r>
        <w:rPr>
          <w:rFonts w:hint="eastAsia" w:ascii="宋体" w:hAnsi="宋体" w:eastAsia="宋体" w:cs="宋体"/>
          <w:kern w:val="0"/>
          <w:sz w:val="24"/>
          <w:szCs w:val="24"/>
        </w:rPr>
        <w:t>形</w:t>
      </w:r>
      <w:r>
        <w:rPr>
          <w:rFonts w:hint="eastAsia" w:ascii="宋体" w:hAnsi="宋体" w:eastAsia="宋体" w:cs="宋体"/>
          <w:spacing w:val="-2"/>
          <w:kern w:val="0"/>
          <w:sz w:val="24"/>
          <w:szCs w:val="24"/>
        </w:rPr>
        <w:t>式</w:t>
      </w:r>
      <w:r>
        <w:rPr>
          <w:rFonts w:hint="eastAsia" w:ascii="宋体" w:hAnsi="宋体" w:eastAsia="宋体" w:cs="宋体"/>
          <w:kern w:val="0"/>
          <w:sz w:val="24"/>
          <w:szCs w:val="24"/>
        </w:rPr>
        <w:t>要</w:t>
      </w:r>
      <w:r>
        <w:rPr>
          <w:rFonts w:hint="eastAsia" w:ascii="宋体" w:hAnsi="宋体" w:eastAsia="宋体" w:cs="宋体"/>
          <w:spacing w:val="-2"/>
          <w:kern w:val="0"/>
          <w:sz w:val="24"/>
          <w:szCs w:val="24"/>
        </w:rPr>
        <w:t>求</w:t>
      </w:r>
      <w:r>
        <w:rPr>
          <w:rFonts w:hint="eastAsia" w:ascii="宋体" w:hAnsi="宋体" w:cs="宋体"/>
          <w:kern w:val="0"/>
          <w:sz w:val="24"/>
          <w:szCs w:val="24"/>
          <w:lang w:eastAsia="zh-CN"/>
        </w:rPr>
        <w:t>供应商</w:t>
      </w:r>
      <w:r>
        <w:rPr>
          <w:rFonts w:hint="eastAsia" w:ascii="宋体" w:hAnsi="宋体" w:eastAsia="宋体" w:cs="宋体"/>
          <w:kern w:val="0"/>
          <w:sz w:val="24"/>
          <w:szCs w:val="24"/>
        </w:rPr>
        <w:t>对</w:t>
      </w:r>
      <w:r>
        <w:rPr>
          <w:rFonts w:hint="eastAsia" w:ascii="宋体" w:hAnsi="宋体" w:eastAsia="宋体" w:cs="宋体"/>
          <w:spacing w:val="-2"/>
          <w:kern w:val="0"/>
          <w:sz w:val="24"/>
          <w:szCs w:val="24"/>
        </w:rPr>
        <w:t>投标文件中</w:t>
      </w:r>
      <w:r>
        <w:rPr>
          <w:rFonts w:hint="eastAsia" w:ascii="宋体" w:hAnsi="宋体" w:eastAsia="宋体" w:cs="宋体"/>
          <w:kern w:val="0"/>
          <w:sz w:val="24"/>
          <w:szCs w:val="24"/>
        </w:rPr>
        <w:t>含</w:t>
      </w:r>
      <w:r>
        <w:rPr>
          <w:rFonts w:hint="eastAsia" w:ascii="宋体" w:hAnsi="宋体" w:eastAsia="宋体" w:cs="宋体"/>
          <w:spacing w:val="-2"/>
          <w:kern w:val="0"/>
          <w:sz w:val="24"/>
          <w:szCs w:val="24"/>
        </w:rPr>
        <w:t>义</w:t>
      </w:r>
      <w:r>
        <w:rPr>
          <w:rFonts w:hint="eastAsia" w:ascii="宋体" w:hAnsi="宋体" w:eastAsia="宋体" w:cs="宋体"/>
          <w:kern w:val="0"/>
          <w:sz w:val="24"/>
          <w:szCs w:val="24"/>
        </w:rPr>
        <w:t>不明</w:t>
      </w:r>
      <w:r>
        <w:rPr>
          <w:rFonts w:hint="eastAsia" w:ascii="宋体" w:hAnsi="宋体" w:eastAsia="宋体" w:cs="宋体"/>
          <w:spacing w:val="-2"/>
          <w:kern w:val="0"/>
          <w:sz w:val="24"/>
          <w:szCs w:val="24"/>
        </w:rPr>
        <w:t>确</w:t>
      </w:r>
      <w:r>
        <w:rPr>
          <w:rFonts w:hint="eastAsia" w:ascii="宋体" w:hAnsi="宋体" w:eastAsia="宋体" w:cs="宋体"/>
          <w:spacing w:val="-38"/>
          <w:kern w:val="0"/>
          <w:sz w:val="24"/>
          <w:szCs w:val="24"/>
        </w:rPr>
        <w:t>、</w:t>
      </w:r>
      <w:r>
        <w:rPr>
          <w:rFonts w:hint="eastAsia" w:ascii="宋体" w:hAnsi="宋体" w:eastAsia="宋体" w:cs="宋体"/>
          <w:spacing w:val="-2"/>
          <w:kern w:val="0"/>
          <w:sz w:val="24"/>
          <w:szCs w:val="24"/>
        </w:rPr>
        <w:t>对</w:t>
      </w:r>
      <w:r>
        <w:rPr>
          <w:rFonts w:hint="eastAsia" w:ascii="宋体" w:hAnsi="宋体" w:eastAsia="宋体" w:cs="宋体"/>
          <w:kern w:val="0"/>
          <w:sz w:val="24"/>
          <w:szCs w:val="24"/>
        </w:rPr>
        <w:t>同类问题表述不一</w:t>
      </w:r>
      <w:r>
        <w:rPr>
          <w:rFonts w:hint="eastAsia" w:ascii="宋体" w:hAnsi="宋体" w:eastAsia="宋体" w:cs="宋体"/>
          <w:spacing w:val="-2"/>
          <w:kern w:val="0"/>
          <w:sz w:val="24"/>
          <w:szCs w:val="24"/>
        </w:rPr>
        <w:t>致</w:t>
      </w:r>
      <w:r>
        <w:rPr>
          <w:rFonts w:hint="eastAsia" w:ascii="宋体" w:hAnsi="宋体" w:eastAsia="宋体" w:cs="宋体"/>
          <w:kern w:val="0"/>
          <w:sz w:val="24"/>
          <w:szCs w:val="24"/>
        </w:rPr>
        <w:t>或者</w:t>
      </w:r>
      <w:r>
        <w:rPr>
          <w:rFonts w:hint="eastAsia" w:ascii="宋体" w:hAnsi="宋体" w:eastAsia="宋体" w:cs="宋体"/>
          <w:spacing w:val="-2"/>
          <w:kern w:val="0"/>
          <w:sz w:val="24"/>
          <w:szCs w:val="24"/>
        </w:rPr>
        <w:t>有</w:t>
      </w:r>
      <w:r>
        <w:rPr>
          <w:rFonts w:hint="eastAsia" w:ascii="宋体" w:hAnsi="宋体" w:eastAsia="宋体" w:cs="宋体"/>
          <w:kern w:val="0"/>
          <w:sz w:val="24"/>
          <w:szCs w:val="24"/>
        </w:rPr>
        <w:t>明显文字和计算</w:t>
      </w:r>
      <w:r>
        <w:rPr>
          <w:rFonts w:hint="eastAsia" w:ascii="宋体" w:hAnsi="宋体" w:eastAsia="宋体" w:cs="宋体"/>
          <w:spacing w:val="-2"/>
          <w:kern w:val="0"/>
          <w:sz w:val="24"/>
          <w:szCs w:val="24"/>
        </w:rPr>
        <w:t>错</w:t>
      </w:r>
      <w:r>
        <w:rPr>
          <w:rFonts w:hint="eastAsia" w:ascii="宋体" w:hAnsi="宋体" w:eastAsia="宋体" w:cs="宋体"/>
          <w:kern w:val="0"/>
          <w:sz w:val="24"/>
          <w:szCs w:val="24"/>
        </w:rPr>
        <w:t>误的</w:t>
      </w:r>
      <w:r>
        <w:rPr>
          <w:rFonts w:hint="eastAsia" w:ascii="宋体" w:hAnsi="宋体" w:eastAsia="宋体" w:cs="宋体"/>
          <w:spacing w:val="-2"/>
          <w:kern w:val="0"/>
          <w:sz w:val="24"/>
          <w:szCs w:val="24"/>
        </w:rPr>
        <w:t>内</w:t>
      </w:r>
      <w:r>
        <w:rPr>
          <w:rFonts w:hint="eastAsia" w:ascii="宋体" w:hAnsi="宋体" w:eastAsia="宋体" w:cs="宋体"/>
          <w:kern w:val="0"/>
          <w:sz w:val="24"/>
          <w:szCs w:val="24"/>
        </w:rPr>
        <w:t>容作必要的澄</w:t>
      </w:r>
      <w:r>
        <w:rPr>
          <w:rFonts w:hint="eastAsia" w:ascii="宋体" w:hAnsi="宋体" w:eastAsia="宋体" w:cs="宋体"/>
          <w:spacing w:val="1"/>
          <w:kern w:val="0"/>
          <w:sz w:val="24"/>
          <w:szCs w:val="24"/>
        </w:rPr>
        <w:t>清</w:t>
      </w:r>
      <w:r>
        <w:rPr>
          <w:rFonts w:hint="eastAsia" w:ascii="宋体" w:hAnsi="宋体" w:eastAsia="宋体" w:cs="宋体"/>
          <w:spacing w:val="-2"/>
          <w:kern w:val="0"/>
          <w:sz w:val="24"/>
          <w:szCs w:val="24"/>
        </w:rPr>
        <w:t>、</w:t>
      </w:r>
      <w:r>
        <w:rPr>
          <w:rFonts w:hint="eastAsia" w:ascii="宋体" w:hAnsi="宋体" w:eastAsia="宋体" w:cs="宋体"/>
          <w:kern w:val="0"/>
          <w:sz w:val="24"/>
          <w:szCs w:val="24"/>
        </w:rPr>
        <w:t>说明</w:t>
      </w:r>
      <w:r>
        <w:rPr>
          <w:rFonts w:hint="eastAsia" w:ascii="宋体" w:hAnsi="宋体" w:eastAsia="宋体" w:cs="宋体"/>
          <w:spacing w:val="-2"/>
          <w:kern w:val="0"/>
          <w:sz w:val="24"/>
          <w:szCs w:val="24"/>
        </w:rPr>
        <w:t>或</w:t>
      </w:r>
      <w:r>
        <w:rPr>
          <w:rFonts w:hint="eastAsia" w:ascii="宋体" w:hAnsi="宋体" w:eastAsia="宋体" w:cs="宋体"/>
          <w:kern w:val="0"/>
          <w:sz w:val="24"/>
          <w:szCs w:val="24"/>
        </w:rPr>
        <w:t>补正。澄</w:t>
      </w:r>
      <w:r>
        <w:rPr>
          <w:rFonts w:hint="eastAsia" w:ascii="宋体" w:hAnsi="宋体" w:eastAsia="宋体" w:cs="宋体"/>
          <w:spacing w:val="1"/>
          <w:kern w:val="0"/>
          <w:sz w:val="24"/>
          <w:szCs w:val="24"/>
        </w:rPr>
        <w:t>清</w:t>
      </w:r>
      <w:r>
        <w:rPr>
          <w:rFonts w:hint="eastAsia" w:ascii="宋体" w:hAnsi="宋体" w:eastAsia="宋体" w:cs="宋体"/>
          <w:kern w:val="0"/>
          <w:sz w:val="24"/>
          <w:szCs w:val="24"/>
        </w:rPr>
        <w:t>、</w:t>
      </w:r>
      <w:r>
        <w:rPr>
          <w:rFonts w:hint="eastAsia" w:ascii="宋体" w:hAnsi="宋体" w:eastAsia="宋体" w:cs="宋体"/>
          <w:spacing w:val="-2"/>
          <w:kern w:val="0"/>
          <w:sz w:val="24"/>
          <w:szCs w:val="24"/>
        </w:rPr>
        <w:t>说</w:t>
      </w:r>
      <w:r>
        <w:rPr>
          <w:rFonts w:hint="eastAsia" w:ascii="宋体" w:hAnsi="宋体" w:eastAsia="宋体" w:cs="宋体"/>
          <w:kern w:val="0"/>
          <w:sz w:val="24"/>
          <w:szCs w:val="24"/>
        </w:rPr>
        <w:t>明或补</w:t>
      </w:r>
      <w:r>
        <w:rPr>
          <w:rFonts w:hint="eastAsia" w:ascii="宋体" w:hAnsi="宋体" w:eastAsia="宋体" w:cs="宋体"/>
          <w:spacing w:val="-2"/>
          <w:kern w:val="0"/>
          <w:sz w:val="24"/>
          <w:szCs w:val="24"/>
        </w:rPr>
        <w:t>正</w:t>
      </w:r>
      <w:r>
        <w:rPr>
          <w:rFonts w:hint="eastAsia" w:ascii="宋体" w:hAnsi="宋体" w:eastAsia="宋体" w:cs="宋体"/>
          <w:kern w:val="0"/>
          <w:sz w:val="24"/>
          <w:szCs w:val="24"/>
        </w:rPr>
        <w:t>应</w:t>
      </w:r>
      <w:r>
        <w:rPr>
          <w:rFonts w:hint="eastAsia" w:ascii="宋体" w:hAnsi="宋体" w:eastAsia="宋体" w:cs="宋体"/>
          <w:spacing w:val="-2"/>
          <w:kern w:val="0"/>
          <w:sz w:val="24"/>
          <w:szCs w:val="24"/>
        </w:rPr>
        <w:t>以</w:t>
      </w:r>
      <w:r>
        <w:rPr>
          <w:rFonts w:hint="eastAsia" w:ascii="宋体" w:hAnsi="宋体" w:eastAsia="宋体" w:cs="宋体"/>
          <w:kern w:val="0"/>
          <w:sz w:val="24"/>
          <w:szCs w:val="24"/>
        </w:rPr>
        <w:t>书</w:t>
      </w:r>
      <w:r>
        <w:rPr>
          <w:rFonts w:hint="eastAsia" w:ascii="宋体" w:hAnsi="宋体" w:eastAsia="宋体" w:cs="宋体"/>
          <w:spacing w:val="-2"/>
          <w:kern w:val="0"/>
          <w:sz w:val="24"/>
          <w:szCs w:val="24"/>
        </w:rPr>
        <w:t>面</w:t>
      </w:r>
      <w:r>
        <w:rPr>
          <w:rFonts w:hint="eastAsia" w:ascii="宋体" w:hAnsi="宋体" w:eastAsia="宋体" w:cs="宋体"/>
          <w:kern w:val="0"/>
          <w:sz w:val="24"/>
          <w:szCs w:val="24"/>
        </w:rPr>
        <w:t>方</w:t>
      </w:r>
      <w:r>
        <w:rPr>
          <w:rFonts w:hint="eastAsia" w:ascii="宋体" w:hAnsi="宋体" w:eastAsia="宋体" w:cs="宋体"/>
          <w:spacing w:val="-2"/>
          <w:kern w:val="0"/>
          <w:sz w:val="24"/>
          <w:szCs w:val="24"/>
        </w:rPr>
        <w:t>式</w:t>
      </w:r>
      <w:r>
        <w:rPr>
          <w:rFonts w:hint="eastAsia" w:ascii="宋体" w:hAnsi="宋体" w:eastAsia="宋体" w:cs="宋体"/>
          <w:kern w:val="0"/>
          <w:sz w:val="24"/>
          <w:szCs w:val="24"/>
        </w:rPr>
        <w:t>进</w:t>
      </w:r>
      <w:r>
        <w:rPr>
          <w:rFonts w:hint="eastAsia" w:ascii="宋体" w:hAnsi="宋体" w:eastAsia="宋体" w:cs="宋体"/>
          <w:spacing w:val="-2"/>
          <w:kern w:val="0"/>
          <w:sz w:val="24"/>
          <w:szCs w:val="24"/>
        </w:rPr>
        <w:t>行</w:t>
      </w:r>
      <w:r>
        <w:rPr>
          <w:rFonts w:hint="eastAsia" w:ascii="宋体" w:hAnsi="宋体" w:eastAsia="宋体" w:cs="宋体"/>
          <w:sz w:val="24"/>
          <w:szCs w:val="24"/>
        </w:rPr>
        <w:t>，并加盖公章，或者由法定代表人或其授权的代表签字</w:t>
      </w:r>
      <w:r>
        <w:rPr>
          <w:rFonts w:hint="eastAsia" w:ascii="宋体" w:hAnsi="宋体" w:eastAsia="宋体" w:cs="宋体"/>
          <w:kern w:val="0"/>
          <w:sz w:val="24"/>
          <w:szCs w:val="24"/>
        </w:rPr>
        <w:t>。评标委员会</w:t>
      </w:r>
      <w:r>
        <w:rPr>
          <w:rFonts w:hint="eastAsia" w:ascii="宋体" w:hAnsi="宋体" w:eastAsia="宋体" w:cs="宋体"/>
          <w:spacing w:val="-2"/>
          <w:kern w:val="0"/>
          <w:sz w:val="24"/>
          <w:szCs w:val="24"/>
        </w:rPr>
        <w:t>不</w:t>
      </w:r>
      <w:r>
        <w:rPr>
          <w:rFonts w:hint="eastAsia" w:ascii="宋体" w:hAnsi="宋体" w:eastAsia="宋体" w:cs="宋体"/>
          <w:kern w:val="0"/>
          <w:sz w:val="24"/>
          <w:szCs w:val="24"/>
        </w:rPr>
        <w:t>接</w:t>
      </w:r>
      <w:r>
        <w:rPr>
          <w:rFonts w:hint="eastAsia" w:ascii="宋体" w:hAnsi="宋体" w:eastAsia="宋体" w:cs="宋体"/>
          <w:spacing w:val="-2"/>
          <w:kern w:val="0"/>
          <w:sz w:val="24"/>
          <w:szCs w:val="24"/>
        </w:rPr>
        <w:t>受</w:t>
      </w:r>
      <w:r>
        <w:rPr>
          <w:rFonts w:hint="eastAsia" w:ascii="宋体" w:hAnsi="宋体" w:cs="宋体"/>
          <w:kern w:val="0"/>
          <w:sz w:val="24"/>
          <w:szCs w:val="24"/>
          <w:lang w:eastAsia="zh-CN"/>
        </w:rPr>
        <w:t>供应商</w:t>
      </w:r>
      <w:r>
        <w:rPr>
          <w:rFonts w:hint="eastAsia" w:ascii="宋体" w:hAnsi="宋体" w:eastAsia="宋体" w:cs="宋体"/>
          <w:kern w:val="0"/>
          <w:sz w:val="24"/>
          <w:szCs w:val="24"/>
        </w:rPr>
        <w:t>主</w:t>
      </w:r>
      <w:r>
        <w:rPr>
          <w:rFonts w:hint="eastAsia" w:ascii="宋体" w:hAnsi="宋体" w:eastAsia="宋体" w:cs="宋体"/>
          <w:spacing w:val="-2"/>
          <w:kern w:val="0"/>
          <w:sz w:val="24"/>
          <w:szCs w:val="24"/>
        </w:rPr>
        <w:t>动</w:t>
      </w:r>
      <w:r>
        <w:rPr>
          <w:rFonts w:hint="eastAsia" w:ascii="宋体" w:hAnsi="宋体" w:eastAsia="宋体" w:cs="宋体"/>
          <w:kern w:val="0"/>
          <w:sz w:val="24"/>
          <w:szCs w:val="24"/>
        </w:rPr>
        <w:t>提</w:t>
      </w:r>
      <w:r>
        <w:rPr>
          <w:rFonts w:hint="eastAsia" w:ascii="宋体" w:hAnsi="宋体" w:eastAsia="宋体" w:cs="宋体"/>
          <w:spacing w:val="-2"/>
          <w:kern w:val="0"/>
          <w:sz w:val="24"/>
          <w:szCs w:val="24"/>
        </w:rPr>
        <w:t>出</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澄</w:t>
      </w:r>
      <w:r>
        <w:rPr>
          <w:rFonts w:hint="eastAsia" w:ascii="宋体" w:hAnsi="宋体" w:eastAsia="宋体" w:cs="宋体"/>
          <w:kern w:val="0"/>
          <w:sz w:val="24"/>
          <w:szCs w:val="24"/>
        </w:rPr>
        <w:t>清</w:t>
      </w:r>
      <w:r>
        <w:rPr>
          <w:rFonts w:hint="eastAsia" w:ascii="宋体" w:hAnsi="宋体" w:eastAsia="宋体" w:cs="宋体"/>
          <w:spacing w:val="-2"/>
          <w:kern w:val="0"/>
          <w:sz w:val="24"/>
          <w:szCs w:val="24"/>
        </w:rPr>
        <w:t>、</w:t>
      </w:r>
      <w:r>
        <w:rPr>
          <w:rFonts w:hint="eastAsia" w:ascii="宋体" w:hAnsi="宋体" w:eastAsia="宋体" w:cs="宋体"/>
          <w:kern w:val="0"/>
          <w:sz w:val="24"/>
          <w:szCs w:val="24"/>
        </w:rPr>
        <w:t>说</w:t>
      </w:r>
      <w:r>
        <w:rPr>
          <w:rFonts w:hint="eastAsia" w:ascii="宋体" w:hAnsi="宋体" w:eastAsia="宋体" w:cs="宋体"/>
          <w:spacing w:val="-2"/>
          <w:kern w:val="0"/>
          <w:sz w:val="24"/>
          <w:szCs w:val="24"/>
        </w:rPr>
        <w:t>明</w:t>
      </w:r>
      <w:r>
        <w:rPr>
          <w:rFonts w:hint="eastAsia" w:ascii="宋体" w:hAnsi="宋体" w:eastAsia="宋体" w:cs="宋体"/>
          <w:kern w:val="0"/>
          <w:sz w:val="24"/>
          <w:szCs w:val="24"/>
        </w:rPr>
        <w:t>或补</w:t>
      </w:r>
      <w:r>
        <w:rPr>
          <w:rFonts w:hint="eastAsia" w:ascii="宋体" w:hAnsi="宋体" w:eastAsia="宋体" w:cs="宋体"/>
          <w:spacing w:val="-2"/>
          <w:kern w:val="0"/>
          <w:sz w:val="24"/>
          <w:szCs w:val="24"/>
        </w:rPr>
        <w:t>正</w:t>
      </w:r>
      <w:r>
        <w:rPr>
          <w:rFonts w:hint="eastAsia" w:ascii="宋体" w:hAnsi="宋体" w:eastAsia="宋体" w:cs="宋体"/>
          <w:kern w:val="0"/>
          <w:sz w:val="24"/>
          <w:szCs w:val="24"/>
        </w:rPr>
        <w:t>。</w:t>
      </w:r>
    </w:p>
    <w:p w14:paraId="0D201E3C">
      <w:pPr>
        <w:autoSpaceDE w:val="0"/>
        <w:autoSpaceDN w:val="0"/>
        <w:adjustRightInd w:val="0"/>
        <w:spacing w:before="10" w:line="360" w:lineRule="auto"/>
        <w:ind w:left="100" w:right="139" w:firstLine="420"/>
        <w:rPr>
          <w:rFonts w:hint="eastAsia" w:ascii="宋体" w:hAnsi="宋体" w:eastAsia="宋体" w:cs="宋体"/>
          <w:kern w:val="0"/>
          <w:sz w:val="24"/>
          <w:szCs w:val="24"/>
        </w:rPr>
      </w:pPr>
      <w:r>
        <w:rPr>
          <w:rFonts w:hint="eastAsia" w:ascii="宋体" w:hAnsi="宋体" w:eastAsia="宋体" w:cs="宋体"/>
          <w:kern w:val="0"/>
          <w:sz w:val="24"/>
          <w:szCs w:val="24"/>
        </w:rPr>
        <w:t>2.3.2 澄清</w:t>
      </w:r>
      <w:r>
        <w:rPr>
          <w:rFonts w:hint="eastAsia" w:ascii="宋体" w:hAnsi="宋体" w:eastAsia="宋体" w:cs="宋体"/>
          <w:spacing w:val="-41"/>
          <w:kern w:val="0"/>
          <w:sz w:val="24"/>
          <w:szCs w:val="24"/>
        </w:rPr>
        <w:t>、</w:t>
      </w:r>
      <w:r>
        <w:rPr>
          <w:rFonts w:hint="eastAsia" w:ascii="宋体" w:hAnsi="宋体" w:eastAsia="宋体" w:cs="宋体"/>
          <w:kern w:val="0"/>
          <w:sz w:val="24"/>
          <w:szCs w:val="24"/>
        </w:rPr>
        <w:t>说</w:t>
      </w:r>
      <w:r>
        <w:rPr>
          <w:rFonts w:hint="eastAsia" w:ascii="宋体" w:hAnsi="宋体" w:eastAsia="宋体" w:cs="宋体"/>
          <w:spacing w:val="-2"/>
          <w:kern w:val="0"/>
          <w:sz w:val="24"/>
          <w:szCs w:val="24"/>
        </w:rPr>
        <w:t>明</w:t>
      </w:r>
      <w:r>
        <w:rPr>
          <w:rFonts w:hint="eastAsia" w:ascii="宋体" w:hAnsi="宋体" w:eastAsia="宋体" w:cs="宋体"/>
          <w:kern w:val="0"/>
          <w:sz w:val="24"/>
          <w:szCs w:val="24"/>
        </w:rPr>
        <w:t>或</w:t>
      </w:r>
      <w:r>
        <w:rPr>
          <w:rFonts w:hint="eastAsia" w:ascii="宋体" w:hAnsi="宋体" w:eastAsia="宋体" w:cs="宋体"/>
          <w:spacing w:val="-2"/>
          <w:kern w:val="0"/>
          <w:sz w:val="24"/>
          <w:szCs w:val="24"/>
        </w:rPr>
        <w:t>补</w:t>
      </w:r>
      <w:r>
        <w:rPr>
          <w:rFonts w:hint="eastAsia" w:ascii="宋体" w:hAnsi="宋体" w:eastAsia="宋体" w:cs="宋体"/>
          <w:kern w:val="0"/>
          <w:sz w:val="24"/>
          <w:szCs w:val="24"/>
        </w:rPr>
        <w:t>正</w:t>
      </w:r>
      <w:r>
        <w:rPr>
          <w:rFonts w:hint="eastAsia" w:ascii="宋体" w:hAnsi="宋体" w:eastAsia="宋体" w:cs="宋体"/>
          <w:spacing w:val="-2"/>
          <w:kern w:val="0"/>
          <w:sz w:val="24"/>
          <w:szCs w:val="24"/>
        </w:rPr>
        <w:t>不</w:t>
      </w:r>
      <w:r>
        <w:rPr>
          <w:rFonts w:hint="eastAsia" w:ascii="宋体" w:hAnsi="宋体" w:eastAsia="宋体" w:cs="宋体"/>
          <w:kern w:val="0"/>
          <w:sz w:val="24"/>
          <w:szCs w:val="24"/>
        </w:rPr>
        <w:t>得超</w:t>
      </w:r>
      <w:r>
        <w:rPr>
          <w:rFonts w:hint="eastAsia" w:ascii="宋体" w:hAnsi="宋体" w:eastAsia="宋体" w:cs="宋体"/>
          <w:spacing w:val="-2"/>
          <w:kern w:val="0"/>
          <w:sz w:val="24"/>
          <w:szCs w:val="24"/>
        </w:rPr>
        <w:t>出</w:t>
      </w:r>
      <w:r>
        <w:rPr>
          <w:rFonts w:hint="eastAsia" w:ascii="宋体" w:hAnsi="宋体" w:eastAsia="宋体" w:cs="宋体"/>
          <w:kern w:val="0"/>
          <w:sz w:val="24"/>
          <w:szCs w:val="24"/>
        </w:rPr>
        <w:t>投标文件的</w:t>
      </w:r>
      <w:r>
        <w:rPr>
          <w:rFonts w:hint="eastAsia" w:ascii="宋体" w:hAnsi="宋体" w:eastAsia="宋体" w:cs="宋体"/>
          <w:spacing w:val="-2"/>
          <w:kern w:val="0"/>
          <w:sz w:val="24"/>
          <w:szCs w:val="24"/>
        </w:rPr>
        <w:t>范</w:t>
      </w:r>
      <w:r>
        <w:rPr>
          <w:rFonts w:hint="eastAsia" w:ascii="宋体" w:hAnsi="宋体" w:eastAsia="宋体" w:cs="宋体"/>
          <w:kern w:val="0"/>
          <w:sz w:val="24"/>
          <w:szCs w:val="24"/>
        </w:rPr>
        <w:t>围</w:t>
      </w:r>
      <w:r>
        <w:rPr>
          <w:rFonts w:hint="eastAsia" w:ascii="宋体" w:hAnsi="宋体" w:eastAsia="宋体" w:cs="宋体"/>
          <w:spacing w:val="-2"/>
          <w:kern w:val="0"/>
          <w:sz w:val="24"/>
          <w:szCs w:val="24"/>
        </w:rPr>
        <w:t>且</w:t>
      </w:r>
      <w:r>
        <w:rPr>
          <w:rFonts w:hint="eastAsia" w:ascii="宋体" w:hAnsi="宋体" w:eastAsia="宋体" w:cs="宋体"/>
          <w:kern w:val="0"/>
          <w:sz w:val="24"/>
          <w:szCs w:val="24"/>
        </w:rPr>
        <w:t>不得</w:t>
      </w:r>
      <w:r>
        <w:rPr>
          <w:rFonts w:hint="eastAsia" w:ascii="宋体" w:hAnsi="宋体" w:eastAsia="宋体" w:cs="宋体"/>
          <w:spacing w:val="-2"/>
          <w:kern w:val="0"/>
          <w:sz w:val="24"/>
          <w:szCs w:val="24"/>
        </w:rPr>
        <w:t>改</w:t>
      </w:r>
      <w:r>
        <w:rPr>
          <w:rFonts w:hint="eastAsia" w:ascii="宋体" w:hAnsi="宋体" w:eastAsia="宋体" w:cs="宋体"/>
          <w:kern w:val="0"/>
          <w:sz w:val="24"/>
          <w:szCs w:val="24"/>
        </w:rPr>
        <w:t>变</w:t>
      </w:r>
      <w:r>
        <w:rPr>
          <w:rFonts w:hint="eastAsia" w:ascii="宋体" w:hAnsi="宋体" w:eastAsia="宋体" w:cs="宋体"/>
          <w:spacing w:val="-2"/>
          <w:kern w:val="0"/>
          <w:sz w:val="24"/>
          <w:szCs w:val="24"/>
        </w:rPr>
        <w:t>投标文件的</w:t>
      </w:r>
      <w:r>
        <w:rPr>
          <w:rFonts w:hint="eastAsia" w:ascii="宋体" w:hAnsi="宋体" w:eastAsia="宋体" w:cs="宋体"/>
          <w:kern w:val="0"/>
          <w:sz w:val="24"/>
          <w:szCs w:val="24"/>
        </w:rPr>
        <w:t>实</w:t>
      </w:r>
      <w:r>
        <w:rPr>
          <w:rFonts w:hint="eastAsia" w:ascii="宋体" w:hAnsi="宋体" w:eastAsia="宋体" w:cs="宋体"/>
          <w:spacing w:val="-2"/>
          <w:kern w:val="0"/>
          <w:sz w:val="24"/>
          <w:szCs w:val="24"/>
        </w:rPr>
        <w:t>质</w:t>
      </w:r>
      <w:r>
        <w:rPr>
          <w:rFonts w:hint="eastAsia" w:ascii="宋体" w:hAnsi="宋体" w:eastAsia="宋体" w:cs="宋体"/>
          <w:kern w:val="0"/>
          <w:sz w:val="24"/>
          <w:szCs w:val="24"/>
        </w:rPr>
        <w:t>性内</w:t>
      </w:r>
      <w:r>
        <w:rPr>
          <w:rFonts w:hint="eastAsia" w:ascii="宋体" w:hAnsi="宋体" w:eastAsia="宋体" w:cs="宋体"/>
          <w:spacing w:val="-2"/>
          <w:kern w:val="0"/>
          <w:sz w:val="24"/>
          <w:szCs w:val="24"/>
        </w:rPr>
        <w:t>容</w:t>
      </w:r>
      <w:r>
        <w:rPr>
          <w:rFonts w:hint="eastAsia" w:ascii="宋体" w:hAnsi="宋体" w:eastAsia="宋体" w:cs="宋体"/>
          <w:spacing w:val="-38"/>
          <w:kern w:val="0"/>
          <w:sz w:val="24"/>
          <w:szCs w:val="24"/>
        </w:rPr>
        <w:t>，</w:t>
      </w:r>
      <w:r>
        <w:rPr>
          <w:rFonts w:hint="eastAsia" w:ascii="宋体" w:hAnsi="宋体" w:eastAsia="宋体" w:cs="宋体"/>
          <w:spacing w:val="-2"/>
          <w:kern w:val="0"/>
          <w:sz w:val="24"/>
          <w:szCs w:val="24"/>
        </w:rPr>
        <w:t>并</w:t>
      </w:r>
      <w:r>
        <w:rPr>
          <w:rFonts w:hint="eastAsia" w:ascii="宋体" w:hAnsi="宋体" w:eastAsia="宋体" w:cs="宋体"/>
          <w:kern w:val="0"/>
          <w:sz w:val="24"/>
          <w:szCs w:val="24"/>
        </w:rPr>
        <w:t>构成投标文件的</w:t>
      </w:r>
      <w:r>
        <w:rPr>
          <w:rFonts w:hint="eastAsia" w:ascii="宋体" w:hAnsi="宋体" w:eastAsia="宋体" w:cs="宋体"/>
          <w:spacing w:val="-2"/>
          <w:kern w:val="0"/>
          <w:sz w:val="24"/>
          <w:szCs w:val="24"/>
        </w:rPr>
        <w:t>组</w:t>
      </w:r>
      <w:r>
        <w:rPr>
          <w:rFonts w:hint="eastAsia" w:ascii="宋体" w:hAnsi="宋体" w:eastAsia="宋体" w:cs="宋体"/>
          <w:kern w:val="0"/>
          <w:sz w:val="24"/>
          <w:szCs w:val="24"/>
        </w:rPr>
        <w:t>成</w:t>
      </w:r>
      <w:r>
        <w:rPr>
          <w:rFonts w:hint="eastAsia" w:ascii="宋体" w:hAnsi="宋体" w:eastAsia="宋体" w:cs="宋体"/>
          <w:spacing w:val="-2"/>
          <w:kern w:val="0"/>
          <w:sz w:val="24"/>
          <w:szCs w:val="24"/>
        </w:rPr>
        <w:t>部</w:t>
      </w:r>
      <w:r>
        <w:rPr>
          <w:rFonts w:hint="eastAsia" w:ascii="宋体" w:hAnsi="宋体" w:eastAsia="宋体" w:cs="宋体"/>
          <w:kern w:val="0"/>
          <w:sz w:val="24"/>
          <w:szCs w:val="24"/>
        </w:rPr>
        <w:t>分。</w:t>
      </w:r>
    </w:p>
    <w:p w14:paraId="4750BF7F">
      <w:pPr>
        <w:autoSpaceDE w:val="0"/>
        <w:autoSpaceDN w:val="0"/>
        <w:adjustRightInd w:val="0"/>
        <w:spacing w:before="11" w:line="360" w:lineRule="auto"/>
        <w:ind w:left="100" w:right="34" w:firstLine="420"/>
        <w:jc w:val="left"/>
        <w:rPr>
          <w:rFonts w:hint="eastAsia" w:ascii="宋体" w:hAnsi="宋体" w:eastAsia="宋体" w:cs="宋体"/>
          <w:kern w:val="0"/>
          <w:sz w:val="24"/>
          <w:szCs w:val="24"/>
        </w:rPr>
      </w:pPr>
      <w:r>
        <w:rPr>
          <w:rFonts w:hint="eastAsia" w:ascii="宋体" w:hAnsi="宋体" w:eastAsia="宋体" w:cs="宋体"/>
          <w:kern w:val="0"/>
          <w:sz w:val="24"/>
          <w:szCs w:val="24"/>
        </w:rPr>
        <w:t>2.3.3</w:t>
      </w:r>
      <w:r>
        <w:rPr>
          <w:rFonts w:hint="eastAsia" w:ascii="宋体" w:hAnsi="宋体" w:eastAsia="宋体" w:cs="宋体"/>
          <w:spacing w:val="51"/>
          <w:kern w:val="0"/>
          <w:sz w:val="24"/>
          <w:szCs w:val="24"/>
        </w:rPr>
        <w:t xml:space="preserve"> </w:t>
      </w:r>
      <w:r>
        <w:rPr>
          <w:rFonts w:hint="eastAsia" w:ascii="宋体" w:hAnsi="宋体" w:eastAsia="宋体" w:cs="宋体"/>
          <w:kern w:val="0"/>
          <w:sz w:val="24"/>
          <w:szCs w:val="24"/>
        </w:rPr>
        <w:t>评标委员会</w:t>
      </w:r>
      <w:r>
        <w:rPr>
          <w:rFonts w:hint="eastAsia" w:ascii="宋体" w:hAnsi="宋体" w:eastAsia="宋体" w:cs="宋体"/>
          <w:spacing w:val="-2"/>
          <w:kern w:val="0"/>
          <w:sz w:val="24"/>
          <w:szCs w:val="24"/>
        </w:rPr>
        <w:t>对</w:t>
      </w:r>
      <w:r>
        <w:rPr>
          <w:rFonts w:hint="eastAsia" w:ascii="宋体" w:hAnsi="宋体" w:cs="宋体"/>
          <w:kern w:val="0"/>
          <w:sz w:val="24"/>
          <w:szCs w:val="24"/>
          <w:lang w:eastAsia="zh-CN"/>
        </w:rPr>
        <w:t>供应商</w:t>
      </w:r>
      <w:r>
        <w:rPr>
          <w:rFonts w:hint="eastAsia" w:ascii="宋体" w:hAnsi="宋体" w:eastAsia="宋体" w:cs="宋体"/>
          <w:kern w:val="0"/>
          <w:sz w:val="24"/>
          <w:szCs w:val="24"/>
        </w:rPr>
        <w:t>提交</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澄清</w:t>
      </w:r>
      <w:r>
        <w:rPr>
          <w:rFonts w:hint="eastAsia" w:ascii="宋体" w:hAnsi="宋体" w:eastAsia="宋体" w:cs="宋体"/>
          <w:spacing w:val="-94"/>
          <w:kern w:val="0"/>
          <w:sz w:val="24"/>
          <w:szCs w:val="24"/>
        </w:rPr>
        <w:t>、</w:t>
      </w:r>
      <w:r>
        <w:rPr>
          <w:rFonts w:hint="eastAsia" w:ascii="宋体" w:hAnsi="宋体" w:eastAsia="宋体" w:cs="宋体"/>
          <w:kern w:val="0"/>
          <w:sz w:val="24"/>
          <w:szCs w:val="24"/>
        </w:rPr>
        <w:t>说</w:t>
      </w:r>
      <w:r>
        <w:rPr>
          <w:rFonts w:hint="eastAsia" w:ascii="宋体" w:hAnsi="宋体" w:eastAsia="宋体" w:cs="宋体"/>
          <w:spacing w:val="-2"/>
          <w:kern w:val="0"/>
          <w:sz w:val="24"/>
          <w:szCs w:val="24"/>
        </w:rPr>
        <w:t>明</w:t>
      </w:r>
      <w:r>
        <w:rPr>
          <w:rFonts w:hint="eastAsia" w:ascii="宋体" w:hAnsi="宋体" w:eastAsia="宋体" w:cs="宋体"/>
          <w:kern w:val="0"/>
          <w:sz w:val="24"/>
          <w:szCs w:val="24"/>
        </w:rPr>
        <w:t>或</w:t>
      </w:r>
      <w:r>
        <w:rPr>
          <w:rFonts w:hint="eastAsia" w:ascii="宋体" w:hAnsi="宋体" w:eastAsia="宋体" w:cs="宋体"/>
          <w:spacing w:val="-2"/>
          <w:kern w:val="0"/>
          <w:sz w:val="24"/>
          <w:szCs w:val="24"/>
        </w:rPr>
        <w:t>补</w:t>
      </w:r>
      <w:r>
        <w:rPr>
          <w:rFonts w:hint="eastAsia" w:ascii="宋体" w:hAnsi="宋体" w:eastAsia="宋体" w:cs="宋体"/>
          <w:kern w:val="0"/>
          <w:sz w:val="24"/>
          <w:szCs w:val="24"/>
        </w:rPr>
        <w:t>正</w:t>
      </w:r>
      <w:r>
        <w:rPr>
          <w:rFonts w:hint="eastAsia" w:ascii="宋体" w:hAnsi="宋体" w:eastAsia="宋体" w:cs="宋体"/>
          <w:spacing w:val="-2"/>
          <w:kern w:val="0"/>
          <w:sz w:val="24"/>
          <w:szCs w:val="24"/>
        </w:rPr>
        <w:t>有</w:t>
      </w:r>
      <w:r>
        <w:rPr>
          <w:rFonts w:hint="eastAsia" w:ascii="宋体" w:hAnsi="宋体" w:eastAsia="宋体" w:cs="宋体"/>
          <w:kern w:val="0"/>
          <w:sz w:val="24"/>
          <w:szCs w:val="24"/>
        </w:rPr>
        <w:t>疑问的</w:t>
      </w:r>
      <w:r>
        <w:rPr>
          <w:rFonts w:hint="eastAsia" w:ascii="宋体" w:hAnsi="宋体" w:eastAsia="宋体" w:cs="宋体"/>
          <w:spacing w:val="-94"/>
          <w:kern w:val="0"/>
          <w:sz w:val="24"/>
          <w:szCs w:val="24"/>
        </w:rPr>
        <w:t>，</w:t>
      </w:r>
      <w:r>
        <w:rPr>
          <w:rFonts w:hint="eastAsia" w:ascii="宋体" w:hAnsi="宋体" w:eastAsia="宋体" w:cs="宋体"/>
          <w:kern w:val="0"/>
          <w:sz w:val="24"/>
          <w:szCs w:val="24"/>
        </w:rPr>
        <w:t>可</w:t>
      </w:r>
      <w:r>
        <w:rPr>
          <w:rFonts w:hint="eastAsia" w:ascii="宋体" w:hAnsi="宋体" w:eastAsia="宋体" w:cs="宋体"/>
          <w:spacing w:val="-2"/>
          <w:kern w:val="0"/>
          <w:sz w:val="24"/>
          <w:szCs w:val="24"/>
        </w:rPr>
        <w:t>以</w:t>
      </w:r>
      <w:r>
        <w:rPr>
          <w:rFonts w:hint="eastAsia" w:ascii="宋体" w:hAnsi="宋体" w:eastAsia="宋体" w:cs="宋体"/>
          <w:kern w:val="0"/>
          <w:sz w:val="24"/>
          <w:szCs w:val="24"/>
        </w:rPr>
        <w:t>要</w:t>
      </w:r>
      <w:r>
        <w:rPr>
          <w:rFonts w:hint="eastAsia" w:ascii="宋体" w:hAnsi="宋体" w:eastAsia="宋体" w:cs="宋体"/>
          <w:spacing w:val="-2"/>
          <w:kern w:val="0"/>
          <w:sz w:val="24"/>
          <w:szCs w:val="24"/>
        </w:rPr>
        <w:t>求</w:t>
      </w:r>
      <w:r>
        <w:rPr>
          <w:rFonts w:hint="eastAsia" w:ascii="宋体" w:hAnsi="宋体" w:cs="宋体"/>
          <w:kern w:val="0"/>
          <w:sz w:val="24"/>
          <w:szCs w:val="24"/>
          <w:lang w:eastAsia="zh-CN"/>
        </w:rPr>
        <w:t>供应商</w:t>
      </w:r>
      <w:r>
        <w:rPr>
          <w:rFonts w:hint="eastAsia" w:ascii="宋体" w:hAnsi="宋体" w:eastAsia="宋体" w:cs="宋体"/>
          <w:spacing w:val="-2"/>
          <w:kern w:val="0"/>
          <w:sz w:val="24"/>
          <w:szCs w:val="24"/>
        </w:rPr>
        <w:t>进</w:t>
      </w:r>
      <w:r>
        <w:rPr>
          <w:rFonts w:hint="eastAsia" w:ascii="宋体" w:hAnsi="宋体" w:eastAsia="宋体" w:cs="宋体"/>
          <w:kern w:val="0"/>
          <w:sz w:val="24"/>
          <w:szCs w:val="24"/>
        </w:rPr>
        <w:t>一步</w:t>
      </w:r>
      <w:r>
        <w:rPr>
          <w:rFonts w:hint="eastAsia" w:ascii="宋体" w:hAnsi="宋体" w:eastAsia="宋体" w:cs="宋体"/>
          <w:spacing w:val="-2"/>
          <w:kern w:val="0"/>
          <w:sz w:val="24"/>
          <w:szCs w:val="24"/>
        </w:rPr>
        <w:t>澄</w:t>
      </w:r>
      <w:r>
        <w:rPr>
          <w:rFonts w:hint="eastAsia" w:ascii="宋体" w:hAnsi="宋体" w:eastAsia="宋体" w:cs="宋体"/>
          <w:kern w:val="0"/>
          <w:sz w:val="24"/>
          <w:szCs w:val="24"/>
        </w:rPr>
        <w:t>清、说明</w:t>
      </w:r>
      <w:r>
        <w:rPr>
          <w:rFonts w:hint="eastAsia" w:ascii="宋体" w:hAnsi="宋体" w:eastAsia="宋体" w:cs="宋体"/>
          <w:spacing w:val="-2"/>
          <w:kern w:val="0"/>
          <w:sz w:val="24"/>
          <w:szCs w:val="24"/>
        </w:rPr>
        <w:t>或</w:t>
      </w:r>
      <w:r>
        <w:rPr>
          <w:rFonts w:hint="eastAsia" w:ascii="宋体" w:hAnsi="宋体" w:eastAsia="宋体" w:cs="宋体"/>
          <w:kern w:val="0"/>
          <w:sz w:val="24"/>
          <w:szCs w:val="24"/>
        </w:rPr>
        <w:t>补</w:t>
      </w:r>
      <w:r>
        <w:rPr>
          <w:rFonts w:hint="eastAsia" w:ascii="宋体" w:hAnsi="宋体" w:eastAsia="宋体" w:cs="宋体"/>
          <w:spacing w:val="-3"/>
          <w:kern w:val="0"/>
          <w:sz w:val="24"/>
          <w:szCs w:val="24"/>
        </w:rPr>
        <w:t>正</w:t>
      </w:r>
      <w:r>
        <w:rPr>
          <w:rFonts w:hint="eastAsia" w:ascii="宋体" w:hAnsi="宋体" w:eastAsia="宋体" w:cs="宋体"/>
          <w:kern w:val="0"/>
          <w:sz w:val="24"/>
          <w:szCs w:val="24"/>
        </w:rPr>
        <w:t>，</w:t>
      </w:r>
      <w:r>
        <w:rPr>
          <w:rFonts w:hint="eastAsia" w:ascii="宋体" w:hAnsi="宋体" w:eastAsia="宋体" w:cs="宋体"/>
          <w:spacing w:val="-2"/>
          <w:kern w:val="0"/>
          <w:sz w:val="24"/>
          <w:szCs w:val="24"/>
        </w:rPr>
        <w:t>直</w:t>
      </w:r>
      <w:r>
        <w:rPr>
          <w:rFonts w:hint="eastAsia" w:ascii="宋体" w:hAnsi="宋体" w:eastAsia="宋体" w:cs="宋体"/>
          <w:kern w:val="0"/>
          <w:sz w:val="24"/>
          <w:szCs w:val="24"/>
        </w:rPr>
        <w:t>至</w:t>
      </w:r>
      <w:r>
        <w:rPr>
          <w:rFonts w:hint="eastAsia" w:ascii="宋体" w:hAnsi="宋体" w:eastAsia="宋体" w:cs="宋体"/>
          <w:spacing w:val="-2"/>
          <w:kern w:val="0"/>
          <w:sz w:val="24"/>
          <w:szCs w:val="24"/>
        </w:rPr>
        <w:t>满</w:t>
      </w:r>
      <w:r>
        <w:rPr>
          <w:rFonts w:hint="eastAsia" w:ascii="宋体" w:hAnsi="宋体" w:eastAsia="宋体" w:cs="宋体"/>
          <w:kern w:val="0"/>
          <w:sz w:val="24"/>
          <w:szCs w:val="24"/>
        </w:rPr>
        <w:t>足评标委员会</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要</w:t>
      </w:r>
      <w:r>
        <w:rPr>
          <w:rFonts w:hint="eastAsia" w:ascii="宋体" w:hAnsi="宋体" w:eastAsia="宋体" w:cs="宋体"/>
          <w:spacing w:val="-2"/>
          <w:kern w:val="0"/>
          <w:sz w:val="24"/>
          <w:szCs w:val="24"/>
        </w:rPr>
        <w:t>求</w:t>
      </w:r>
      <w:r>
        <w:rPr>
          <w:rFonts w:hint="eastAsia" w:ascii="宋体" w:hAnsi="宋体" w:eastAsia="宋体" w:cs="宋体"/>
          <w:kern w:val="0"/>
          <w:sz w:val="24"/>
          <w:szCs w:val="24"/>
        </w:rPr>
        <w:t>。</w:t>
      </w:r>
    </w:p>
    <w:p w14:paraId="6BAC685F">
      <w:pPr>
        <w:pStyle w:val="4"/>
        <w:rPr>
          <w:rFonts w:hint="eastAsia" w:ascii="宋体" w:hAnsi="宋体" w:eastAsia="宋体" w:cs="宋体"/>
          <w:sz w:val="24"/>
          <w:szCs w:val="24"/>
        </w:rPr>
      </w:pPr>
      <w:bookmarkStart w:id="618" w:name="_Toc17538"/>
      <w:bookmarkStart w:id="619" w:name="_Toc30334"/>
      <w:bookmarkStart w:id="620" w:name="_Toc4217"/>
      <w:bookmarkStart w:id="621" w:name="_Toc19426"/>
      <w:bookmarkStart w:id="622" w:name="_Toc25388"/>
      <w:bookmarkStart w:id="623" w:name="_Toc11237"/>
      <w:bookmarkStart w:id="624" w:name="_Toc12108"/>
      <w:bookmarkStart w:id="625" w:name="_Toc10336"/>
      <w:bookmarkStart w:id="626" w:name="_Toc25857"/>
      <w:bookmarkStart w:id="627" w:name="_Toc27845"/>
      <w:bookmarkStart w:id="628" w:name="_Toc26739"/>
      <w:bookmarkStart w:id="629" w:name="_Toc16166"/>
      <w:bookmarkStart w:id="630" w:name="_Toc13150095"/>
      <w:r>
        <w:rPr>
          <w:rFonts w:hint="eastAsia" w:ascii="宋体" w:hAnsi="宋体" w:eastAsia="宋体" w:cs="宋体"/>
          <w:sz w:val="24"/>
          <w:szCs w:val="24"/>
        </w:rPr>
        <w:t>2.4 评标结果</w:t>
      </w:r>
      <w:bookmarkEnd w:id="618"/>
      <w:bookmarkEnd w:id="619"/>
      <w:bookmarkEnd w:id="620"/>
      <w:bookmarkEnd w:id="621"/>
      <w:bookmarkEnd w:id="622"/>
      <w:bookmarkEnd w:id="623"/>
      <w:bookmarkEnd w:id="624"/>
      <w:bookmarkEnd w:id="625"/>
      <w:bookmarkEnd w:id="626"/>
      <w:bookmarkEnd w:id="627"/>
      <w:bookmarkEnd w:id="628"/>
      <w:bookmarkEnd w:id="629"/>
      <w:bookmarkEnd w:id="630"/>
    </w:p>
    <w:p w14:paraId="07D20EC0">
      <w:pPr>
        <w:autoSpaceDE w:val="0"/>
        <w:autoSpaceDN w:val="0"/>
        <w:adjustRightInd w:val="0"/>
        <w:spacing w:before="11" w:line="360" w:lineRule="auto"/>
        <w:ind w:left="100" w:right="34" w:firstLine="420"/>
        <w:jc w:val="left"/>
        <w:rPr>
          <w:rFonts w:hint="eastAsia" w:ascii="宋体" w:hAnsi="宋体" w:eastAsia="宋体" w:cs="宋体"/>
          <w:spacing w:val="-2"/>
          <w:kern w:val="0"/>
          <w:sz w:val="24"/>
          <w:szCs w:val="24"/>
        </w:rPr>
      </w:pPr>
      <w:r>
        <w:rPr>
          <w:rFonts w:hint="eastAsia" w:ascii="宋体" w:hAnsi="宋体" w:eastAsia="宋体" w:cs="宋体"/>
          <w:spacing w:val="-2"/>
          <w:kern w:val="0"/>
          <w:sz w:val="24"/>
          <w:szCs w:val="24"/>
        </w:rPr>
        <w:t>2.4.1 除采购人授权直接确定中标人外，</w:t>
      </w:r>
      <w:r>
        <w:rPr>
          <w:rFonts w:hint="eastAsia" w:ascii="宋体" w:hAnsi="宋体" w:eastAsia="宋体" w:cs="宋体"/>
          <w:kern w:val="0"/>
          <w:sz w:val="24"/>
          <w:szCs w:val="24"/>
        </w:rPr>
        <w:t>评标委员会</w:t>
      </w:r>
      <w:r>
        <w:rPr>
          <w:rFonts w:hint="eastAsia" w:ascii="宋体" w:hAnsi="宋体" w:eastAsia="宋体" w:cs="宋体"/>
          <w:spacing w:val="-2"/>
          <w:kern w:val="0"/>
          <w:sz w:val="24"/>
          <w:szCs w:val="24"/>
        </w:rPr>
        <w:t>按照综合得分由高到低的顺序推荐3名中标候选人，若不同</w:t>
      </w:r>
      <w:r>
        <w:rPr>
          <w:rFonts w:hint="eastAsia" w:ascii="宋体" w:hAnsi="宋体" w:cs="宋体"/>
          <w:spacing w:val="-2"/>
          <w:kern w:val="0"/>
          <w:sz w:val="24"/>
          <w:szCs w:val="24"/>
          <w:lang w:eastAsia="zh-CN"/>
        </w:rPr>
        <w:t>供应商</w:t>
      </w:r>
      <w:r>
        <w:rPr>
          <w:rFonts w:hint="eastAsia" w:ascii="宋体" w:hAnsi="宋体" w:eastAsia="宋体" w:cs="宋体"/>
          <w:spacing w:val="-2"/>
          <w:kern w:val="0"/>
          <w:sz w:val="24"/>
          <w:szCs w:val="24"/>
        </w:rPr>
        <w:t>的综合得分相同时：</w:t>
      </w:r>
    </w:p>
    <w:p w14:paraId="0BB7F6B2">
      <w:pPr>
        <w:autoSpaceDE w:val="0"/>
        <w:autoSpaceDN w:val="0"/>
        <w:adjustRightInd w:val="0"/>
        <w:spacing w:before="11" w:line="360" w:lineRule="auto"/>
        <w:ind w:left="100" w:right="34" w:firstLine="420"/>
        <w:jc w:val="left"/>
        <w:rPr>
          <w:rFonts w:hint="eastAsia" w:ascii="宋体" w:hAnsi="宋体" w:eastAsia="宋体" w:cs="宋体"/>
          <w:spacing w:val="-2"/>
          <w:kern w:val="0"/>
          <w:sz w:val="24"/>
          <w:szCs w:val="24"/>
        </w:rPr>
      </w:pPr>
      <w:r>
        <w:rPr>
          <w:rFonts w:hint="eastAsia" w:ascii="宋体" w:hAnsi="宋体" w:eastAsia="宋体" w:cs="宋体"/>
          <w:spacing w:val="-2"/>
          <w:kern w:val="0"/>
          <w:sz w:val="24"/>
          <w:szCs w:val="24"/>
        </w:rPr>
        <w:t>（1）按“报价部分”得分由高到低顺序排序；</w:t>
      </w:r>
    </w:p>
    <w:p w14:paraId="552F4AF7">
      <w:pPr>
        <w:autoSpaceDE w:val="0"/>
        <w:autoSpaceDN w:val="0"/>
        <w:adjustRightInd w:val="0"/>
        <w:spacing w:before="11" w:line="360" w:lineRule="auto"/>
        <w:ind w:left="100" w:right="34" w:firstLine="420"/>
        <w:jc w:val="left"/>
        <w:rPr>
          <w:rFonts w:hint="eastAsia" w:ascii="宋体" w:hAnsi="宋体" w:eastAsia="宋体" w:cs="宋体"/>
          <w:spacing w:val="-2"/>
          <w:kern w:val="0"/>
          <w:sz w:val="24"/>
          <w:szCs w:val="24"/>
        </w:rPr>
      </w:pPr>
      <w:r>
        <w:rPr>
          <w:rFonts w:hint="eastAsia" w:ascii="宋体" w:hAnsi="宋体" w:eastAsia="宋体" w:cs="宋体"/>
          <w:spacing w:val="-2"/>
          <w:kern w:val="0"/>
          <w:sz w:val="24"/>
          <w:szCs w:val="24"/>
        </w:rPr>
        <w:t>（2）若“报价部分”得分仍相同，按“</w:t>
      </w:r>
      <w:r>
        <w:rPr>
          <w:rFonts w:hint="eastAsia" w:ascii="宋体" w:hAnsi="宋体" w:eastAsia="宋体" w:cs="宋体"/>
          <w:kern w:val="0"/>
          <w:sz w:val="24"/>
          <w:szCs w:val="24"/>
        </w:rPr>
        <w:t>综合</w:t>
      </w:r>
      <w:r>
        <w:rPr>
          <w:rFonts w:hint="eastAsia" w:ascii="宋体" w:hAnsi="宋体" w:eastAsia="宋体" w:cs="宋体"/>
          <w:spacing w:val="-2"/>
          <w:kern w:val="0"/>
          <w:sz w:val="24"/>
          <w:szCs w:val="24"/>
        </w:rPr>
        <w:t>部分”得分由高到低顺序排序；</w:t>
      </w:r>
    </w:p>
    <w:p w14:paraId="16B3636F">
      <w:pPr>
        <w:autoSpaceDE w:val="0"/>
        <w:autoSpaceDN w:val="0"/>
        <w:adjustRightInd w:val="0"/>
        <w:spacing w:before="11" w:line="360" w:lineRule="auto"/>
        <w:ind w:left="100" w:right="34" w:firstLine="420"/>
        <w:jc w:val="left"/>
        <w:rPr>
          <w:rFonts w:hint="eastAsia" w:ascii="宋体" w:hAnsi="宋体" w:eastAsia="宋体" w:cs="宋体"/>
          <w:spacing w:val="-2"/>
          <w:kern w:val="0"/>
          <w:sz w:val="24"/>
          <w:szCs w:val="24"/>
        </w:rPr>
      </w:pPr>
      <w:r>
        <w:rPr>
          <w:rFonts w:hint="eastAsia" w:ascii="宋体" w:hAnsi="宋体" w:eastAsia="宋体" w:cs="宋体"/>
          <w:spacing w:val="-2"/>
          <w:kern w:val="0"/>
          <w:sz w:val="24"/>
          <w:szCs w:val="24"/>
        </w:rPr>
        <w:t>（3）若“</w:t>
      </w:r>
      <w:r>
        <w:rPr>
          <w:rFonts w:hint="eastAsia" w:ascii="宋体" w:hAnsi="宋体" w:eastAsia="宋体" w:cs="宋体"/>
          <w:kern w:val="0"/>
          <w:sz w:val="24"/>
          <w:szCs w:val="24"/>
        </w:rPr>
        <w:t>综合</w:t>
      </w:r>
      <w:r>
        <w:rPr>
          <w:rFonts w:hint="eastAsia" w:ascii="宋体" w:hAnsi="宋体" w:eastAsia="宋体" w:cs="宋体"/>
          <w:spacing w:val="-2"/>
          <w:kern w:val="0"/>
          <w:sz w:val="24"/>
          <w:szCs w:val="24"/>
        </w:rPr>
        <w:t>部分”得分仍相同，按“技术部分”得分由高到低顺序排序。</w:t>
      </w:r>
    </w:p>
    <w:p w14:paraId="3E219820">
      <w:pPr>
        <w:autoSpaceDE w:val="0"/>
        <w:autoSpaceDN w:val="0"/>
        <w:adjustRightInd w:val="0"/>
        <w:spacing w:before="40" w:line="360" w:lineRule="auto"/>
        <w:ind w:left="100" w:right="140" w:firstLine="420"/>
        <w:rPr>
          <w:rFonts w:hint="eastAsia" w:ascii="宋体" w:hAnsi="宋体" w:eastAsia="宋体" w:cs="宋体"/>
          <w:spacing w:val="-2"/>
          <w:kern w:val="0"/>
          <w:sz w:val="24"/>
          <w:szCs w:val="24"/>
        </w:rPr>
        <w:sectPr>
          <w:footerReference r:id="rId7" w:type="default"/>
          <w:pgSz w:w="11906" w:h="16838"/>
          <w:pgMar w:top="1417" w:right="1417" w:bottom="1417" w:left="1417" w:header="777" w:footer="641"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kern w:val="0"/>
          <w:sz w:val="24"/>
          <w:szCs w:val="24"/>
        </w:rPr>
        <w:t>2.4.2评标委员会</w:t>
      </w:r>
      <w:r>
        <w:rPr>
          <w:rFonts w:hint="eastAsia" w:ascii="宋体" w:hAnsi="宋体" w:eastAsia="宋体" w:cs="宋体"/>
          <w:spacing w:val="-2"/>
          <w:kern w:val="0"/>
          <w:sz w:val="24"/>
          <w:szCs w:val="24"/>
        </w:rPr>
        <w:t>完</w:t>
      </w:r>
      <w:r>
        <w:rPr>
          <w:rFonts w:hint="eastAsia" w:ascii="宋体" w:hAnsi="宋体" w:eastAsia="宋体" w:cs="宋体"/>
          <w:kern w:val="0"/>
          <w:sz w:val="24"/>
          <w:szCs w:val="24"/>
        </w:rPr>
        <w:t>成</w:t>
      </w:r>
      <w:r>
        <w:rPr>
          <w:rFonts w:hint="eastAsia" w:ascii="宋体" w:hAnsi="宋体" w:eastAsia="宋体" w:cs="宋体"/>
          <w:spacing w:val="-2"/>
          <w:kern w:val="0"/>
          <w:sz w:val="24"/>
          <w:szCs w:val="24"/>
        </w:rPr>
        <w:t>评标</w:t>
      </w:r>
      <w:r>
        <w:rPr>
          <w:rFonts w:hint="eastAsia" w:ascii="宋体" w:hAnsi="宋体" w:eastAsia="宋体" w:cs="宋体"/>
          <w:kern w:val="0"/>
          <w:sz w:val="24"/>
          <w:szCs w:val="24"/>
        </w:rPr>
        <w:t>后，</w:t>
      </w:r>
      <w:r>
        <w:rPr>
          <w:rFonts w:hint="eastAsia" w:ascii="宋体" w:hAnsi="宋体" w:eastAsia="宋体" w:cs="宋体"/>
          <w:spacing w:val="-2"/>
          <w:kern w:val="0"/>
          <w:sz w:val="24"/>
          <w:szCs w:val="24"/>
        </w:rPr>
        <w:t>应</w:t>
      </w:r>
      <w:r>
        <w:rPr>
          <w:rFonts w:hint="eastAsia" w:ascii="宋体" w:hAnsi="宋体" w:eastAsia="宋体" w:cs="宋体"/>
          <w:kern w:val="0"/>
          <w:sz w:val="24"/>
          <w:szCs w:val="24"/>
        </w:rPr>
        <w:t>当</w:t>
      </w:r>
      <w:r>
        <w:rPr>
          <w:rFonts w:hint="eastAsia" w:ascii="宋体" w:hAnsi="宋体" w:eastAsia="宋体" w:cs="宋体"/>
          <w:spacing w:val="-2"/>
          <w:kern w:val="0"/>
          <w:sz w:val="24"/>
          <w:szCs w:val="24"/>
        </w:rPr>
        <w:t>向采购人提交书面评标报告和中标候选人名单。</w:t>
      </w:r>
    </w:p>
    <w:p w14:paraId="25914D04">
      <w:pPr>
        <w:numPr>
          <w:ilvl w:val="0"/>
          <w:numId w:val="0"/>
        </w:numPr>
        <w:spacing w:line="340" w:lineRule="exact"/>
        <w:ind w:leftChars="0"/>
        <w:jc w:val="center"/>
        <w:outlineLvl w:val="0"/>
        <w:rPr>
          <w:rStyle w:val="41"/>
          <w:rFonts w:hint="eastAsia" w:ascii="宋体" w:hAnsi="宋体" w:cs="宋体"/>
          <w:color w:val="auto"/>
          <w:lang w:val="en-US" w:eastAsia="zh-CN"/>
        </w:rPr>
      </w:pPr>
      <w:bookmarkStart w:id="631" w:name="_Toc5144"/>
      <w:bookmarkStart w:id="632" w:name="_Toc7959"/>
      <w:bookmarkStart w:id="633" w:name="_Toc18202"/>
      <w:bookmarkStart w:id="634" w:name="_Toc9202_WPSOffice_Level1"/>
      <w:bookmarkStart w:id="635" w:name="_Toc18056"/>
      <w:bookmarkStart w:id="636" w:name="_Toc26742"/>
      <w:bookmarkStart w:id="637" w:name="_Toc312133549"/>
      <w:r>
        <w:rPr>
          <w:rStyle w:val="41"/>
          <w:rFonts w:hint="eastAsia" w:ascii="宋体" w:hAnsi="宋体" w:cs="宋体"/>
          <w:color w:val="auto"/>
          <w:lang w:val="en-US" w:eastAsia="zh-CN"/>
        </w:rPr>
        <w:t>第五章  合同条款及格式（仅供参考）</w:t>
      </w:r>
      <w:bookmarkEnd w:id="631"/>
      <w:bookmarkEnd w:id="632"/>
      <w:bookmarkEnd w:id="633"/>
      <w:bookmarkEnd w:id="634"/>
      <w:bookmarkEnd w:id="635"/>
      <w:bookmarkEnd w:id="636"/>
    </w:p>
    <w:p w14:paraId="7004395F">
      <w:pPr>
        <w:snapToGrid w:val="0"/>
        <w:spacing w:line="360" w:lineRule="exact"/>
        <w:ind w:firstLine="480" w:firstLineChars="200"/>
        <w:rPr>
          <w:rFonts w:hint="eastAsia" w:ascii="宋体" w:hAnsi="宋体" w:eastAsia="宋体" w:cs="宋体"/>
          <w:b/>
          <w:sz w:val="24"/>
          <w:szCs w:val="24"/>
          <w:u w:val="single"/>
        </w:rPr>
      </w:pPr>
      <w:r>
        <w:rPr>
          <w:rFonts w:hint="eastAsia" w:ascii="宋体" w:hAnsi="宋体" w:eastAsia="宋体" w:cs="宋体"/>
          <w:sz w:val="24"/>
          <w:szCs w:val="24"/>
        </w:rPr>
        <w:t>（以下“合同条款及格式”为合同签订时的基本内容，若需修改及未尽事宜，待</w:t>
      </w:r>
      <w:r>
        <w:rPr>
          <w:rFonts w:hint="eastAsia" w:ascii="宋体" w:hAnsi="宋体" w:cs="宋体"/>
          <w:sz w:val="24"/>
          <w:szCs w:val="24"/>
          <w:lang w:eastAsia="zh-CN"/>
        </w:rPr>
        <w:t>供应商</w:t>
      </w:r>
      <w:r>
        <w:rPr>
          <w:rFonts w:hint="eastAsia" w:ascii="宋体" w:hAnsi="宋体" w:eastAsia="宋体" w:cs="宋体"/>
          <w:sz w:val="24"/>
          <w:szCs w:val="24"/>
        </w:rPr>
        <w:t>中标后签订合同时与招标单位协商确定。最终以甲、乙双方签订的合同为准）</w:t>
      </w:r>
    </w:p>
    <w:p w14:paraId="17DA7A34">
      <w:pPr>
        <w:spacing w:line="500" w:lineRule="exact"/>
        <w:jc w:val="center"/>
        <w:rPr>
          <w:rFonts w:hint="eastAsia" w:ascii="宋体" w:hAnsi="宋体" w:eastAsia="宋体" w:cs="宋体"/>
          <w:b/>
          <w:sz w:val="24"/>
          <w:szCs w:val="24"/>
          <w:u w:val="single"/>
        </w:rPr>
      </w:pPr>
      <w:bookmarkStart w:id="638" w:name="_Toc9314"/>
      <w:bookmarkEnd w:id="638"/>
    </w:p>
    <w:p w14:paraId="707465BD">
      <w:pPr>
        <w:spacing w:line="500" w:lineRule="exact"/>
        <w:jc w:val="center"/>
        <w:outlineLvl w:val="1"/>
        <w:rPr>
          <w:rFonts w:hint="eastAsia" w:ascii="宋体" w:hAnsi="宋体" w:eastAsia="宋体" w:cs="宋体"/>
          <w:b/>
          <w:sz w:val="24"/>
          <w:szCs w:val="24"/>
        </w:rPr>
      </w:pPr>
      <w:r>
        <w:rPr>
          <w:rFonts w:hint="eastAsia" w:ascii="宋体" w:hAnsi="宋体" w:eastAsia="宋体" w:cs="宋体"/>
          <w:b/>
          <w:sz w:val="24"/>
          <w:szCs w:val="24"/>
          <w:u w:val="single"/>
        </w:rPr>
        <w:t xml:space="preserve">                         </w:t>
      </w:r>
      <w:bookmarkStart w:id="639" w:name="_Toc15899"/>
      <w:bookmarkStart w:id="640" w:name="_Toc6809_WPSOffice_Level2"/>
      <w:bookmarkStart w:id="641" w:name="_Toc25921"/>
      <w:bookmarkStart w:id="642" w:name="_Toc32180_WPSOffice_Level2"/>
      <w:r>
        <w:rPr>
          <w:rFonts w:hint="eastAsia" w:ascii="宋体" w:hAnsi="宋体" w:eastAsia="宋体" w:cs="宋体"/>
          <w:b/>
          <w:sz w:val="24"/>
          <w:szCs w:val="24"/>
        </w:rPr>
        <w:t>项目合同</w:t>
      </w:r>
      <w:bookmarkEnd w:id="639"/>
      <w:bookmarkEnd w:id="640"/>
      <w:bookmarkEnd w:id="641"/>
      <w:bookmarkEnd w:id="642"/>
    </w:p>
    <w:p w14:paraId="57BA0F5B">
      <w:pPr>
        <w:spacing w:line="48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3A7923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合同编号：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F7E7D9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6690F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合同名称：</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6D3E144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22F1CA44">
      <w:pPr>
        <w:snapToGrid w:val="0"/>
        <w:spacing w:line="360" w:lineRule="auto"/>
        <w:ind w:firstLine="480" w:firstLineChars="200"/>
        <w:rPr>
          <w:rFonts w:hint="eastAsia" w:ascii="宋体" w:hAnsi="宋体" w:eastAsia="宋体" w:cs="宋体"/>
          <w:sz w:val="24"/>
          <w:szCs w:val="24"/>
          <w:u w:val="single"/>
        </w:rPr>
      </w:pPr>
      <w:bookmarkStart w:id="643" w:name="_Toc18936_WPSOffice_Level2"/>
      <w:bookmarkStart w:id="644" w:name="_Toc14583_WPSOffice_Level2"/>
      <w:r>
        <w:rPr>
          <w:rFonts w:hint="eastAsia" w:ascii="宋体" w:hAnsi="宋体" w:eastAsia="宋体" w:cs="宋体"/>
          <w:sz w:val="24"/>
          <w:szCs w:val="24"/>
        </w:rPr>
        <w:t>甲    方：</w:t>
      </w:r>
      <w:r>
        <w:rPr>
          <w:rFonts w:hint="eastAsia" w:ascii="宋体" w:hAnsi="宋体" w:eastAsia="宋体" w:cs="宋体"/>
          <w:b/>
          <w:sz w:val="24"/>
          <w:szCs w:val="24"/>
          <w:u w:val="single"/>
        </w:rPr>
        <w:t xml:space="preserve">                      （采购单位）</w:t>
      </w:r>
      <w:bookmarkEnd w:id="643"/>
      <w:bookmarkEnd w:id="644"/>
    </w:p>
    <w:p w14:paraId="31B28ACD">
      <w:pPr>
        <w:spacing w:line="360" w:lineRule="auto"/>
        <w:ind w:firstLine="480" w:firstLineChars="200"/>
        <w:rPr>
          <w:rFonts w:hint="eastAsia" w:ascii="宋体" w:hAnsi="宋体" w:eastAsia="宋体" w:cs="宋体"/>
          <w:b/>
          <w:sz w:val="24"/>
          <w:szCs w:val="24"/>
        </w:rPr>
      </w:pPr>
      <w:bookmarkStart w:id="645" w:name="_Toc26333_WPSOffice_Level2"/>
      <w:bookmarkStart w:id="646" w:name="_Toc29648_WPSOffice_Level2"/>
      <w:r>
        <w:rPr>
          <w:rFonts w:hint="eastAsia" w:ascii="宋体" w:hAnsi="宋体" w:eastAsia="宋体" w:cs="宋体"/>
          <w:sz w:val="24"/>
          <w:szCs w:val="24"/>
        </w:rPr>
        <w:t>乙    方：</w:t>
      </w:r>
      <w:r>
        <w:rPr>
          <w:rFonts w:hint="eastAsia" w:ascii="宋体" w:hAnsi="宋体" w:eastAsia="宋体" w:cs="宋体"/>
          <w:b/>
          <w:sz w:val="24"/>
          <w:szCs w:val="24"/>
          <w:u w:val="single"/>
        </w:rPr>
        <w:t xml:space="preserve">                    （中标</w:t>
      </w:r>
      <w:r>
        <w:rPr>
          <w:rFonts w:hint="eastAsia" w:ascii="宋体" w:hAnsi="宋体" w:cs="宋体"/>
          <w:b/>
          <w:sz w:val="24"/>
          <w:szCs w:val="24"/>
          <w:u w:val="single"/>
          <w:lang w:eastAsia="zh-CN"/>
        </w:rPr>
        <w:t>供应商</w:t>
      </w:r>
      <w:r>
        <w:rPr>
          <w:rFonts w:hint="eastAsia" w:ascii="宋体" w:hAnsi="宋体" w:eastAsia="宋体" w:cs="宋体"/>
          <w:b/>
          <w:sz w:val="24"/>
          <w:szCs w:val="24"/>
          <w:u w:val="single"/>
        </w:rPr>
        <w:t>人）</w:t>
      </w:r>
      <w:bookmarkEnd w:id="645"/>
      <w:bookmarkEnd w:id="646"/>
    </w:p>
    <w:p w14:paraId="4E0E1BF1">
      <w:pPr>
        <w:spacing w:line="500" w:lineRule="exact"/>
        <w:outlineLvl w:val="1"/>
        <w:rPr>
          <w:rFonts w:hint="eastAsia" w:ascii="宋体" w:hAnsi="宋体" w:eastAsia="宋体" w:cs="宋体"/>
          <w:b/>
          <w:sz w:val="24"/>
          <w:szCs w:val="24"/>
        </w:rPr>
      </w:pPr>
      <w:bookmarkStart w:id="647" w:name="_Toc17551_WPSOffice_Level2"/>
      <w:bookmarkStart w:id="648" w:name="_Toc1328"/>
      <w:bookmarkStart w:id="649" w:name="_Toc14490_WPSOffice_Level2"/>
      <w:bookmarkStart w:id="650" w:name="_Toc32542"/>
      <w:r>
        <w:rPr>
          <w:rFonts w:hint="eastAsia" w:ascii="宋体" w:hAnsi="宋体" w:eastAsia="宋体" w:cs="宋体"/>
          <w:b/>
          <w:sz w:val="24"/>
          <w:szCs w:val="24"/>
        </w:rPr>
        <w:t>1．总则</w:t>
      </w:r>
      <w:bookmarkEnd w:id="647"/>
      <w:bookmarkEnd w:id="648"/>
      <w:bookmarkEnd w:id="649"/>
      <w:bookmarkEnd w:id="650"/>
      <w:r>
        <w:rPr>
          <w:rFonts w:hint="eastAsia" w:ascii="宋体" w:hAnsi="宋体" w:eastAsia="宋体" w:cs="宋体"/>
          <w:b/>
          <w:sz w:val="24"/>
          <w:szCs w:val="24"/>
        </w:rPr>
        <w:t xml:space="preserve"> </w:t>
      </w:r>
    </w:p>
    <w:p w14:paraId="7E42B18C">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甲、乙双方根据</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r>
        <w:rPr>
          <w:rFonts w:hint="eastAsia" w:ascii="宋体" w:hAnsi="宋体" w:eastAsia="宋体" w:cs="宋体"/>
          <w:sz w:val="24"/>
          <w:szCs w:val="24"/>
          <w:u w:val="single"/>
        </w:rPr>
        <w:t xml:space="preserve">       (采购单位)     </w:t>
      </w:r>
      <w:r>
        <w:rPr>
          <w:rFonts w:hint="eastAsia" w:ascii="宋体" w:hAnsi="宋体" w:eastAsia="宋体" w:cs="宋体"/>
          <w:sz w:val="24"/>
          <w:szCs w:val="24"/>
        </w:rPr>
        <w:t>的</w:t>
      </w:r>
      <w:r>
        <w:rPr>
          <w:rFonts w:hint="eastAsia" w:ascii="宋体" w:hAnsi="宋体" w:eastAsia="宋体" w:cs="宋体"/>
          <w:sz w:val="24"/>
          <w:szCs w:val="24"/>
          <w:u w:val="single"/>
        </w:rPr>
        <w:t xml:space="preserve">         </w:t>
      </w:r>
      <w:r>
        <w:rPr>
          <w:rFonts w:hint="eastAsia" w:ascii="宋体" w:hAnsi="宋体" w:eastAsia="宋体" w:cs="宋体"/>
          <w:sz w:val="24"/>
          <w:szCs w:val="24"/>
        </w:rPr>
        <w:t>项目(以下简称本项目)的成交结果，甲方同意接受乙方为本项目招标所做的投标文件，乙方必须完全按成交通知书和本合同条款履行义务。甲、乙双方同意签署本合同。</w:t>
      </w:r>
    </w:p>
    <w:p w14:paraId="0E44C529">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注:本项目合同由中标单位与需方签订。</w:t>
      </w:r>
    </w:p>
    <w:p w14:paraId="3CD7011C">
      <w:pPr>
        <w:spacing w:line="500" w:lineRule="exact"/>
        <w:outlineLvl w:val="1"/>
        <w:rPr>
          <w:rFonts w:hint="eastAsia" w:ascii="宋体" w:hAnsi="宋体" w:eastAsia="宋体" w:cs="宋体"/>
          <w:b/>
          <w:sz w:val="24"/>
          <w:szCs w:val="24"/>
        </w:rPr>
      </w:pPr>
      <w:bookmarkStart w:id="651" w:name="_Toc8702_WPSOffice_Level2"/>
      <w:bookmarkStart w:id="652" w:name="_Toc15652"/>
      <w:bookmarkStart w:id="653" w:name="_Toc28941"/>
      <w:bookmarkStart w:id="654" w:name="_Toc9399_WPSOffice_Level2"/>
      <w:r>
        <w:rPr>
          <w:rFonts w:hint="eastAsia" w:ascii="宋体" w:hAnsi="宋体" w:eastAsia="宋体" w:cs="宋体"/>
          <w:b/>
          <w:sz w:val="24"/>
          <w:szCs w:val="24"/>
        </w:rPr>
        <w:t>2．合同文件</w:t>
      </w:r>
      <w:bookmarkEnd w:id="651"/>
      <w:bookmarkEnd w:id="652"/>
      <w:bookmarkEnd w:id="653"/>
      <w:bookmarkEnd w:id="654"/>
    </w:p>
    <w:p w14:paraId="75C2720A">
      <w:pPr>
        <w:spacing w:line="500" w:lineRule="exact"/>
        <w:rPr>
          <w:rFonts w:hint="eastAsia" w:ascii="宋体" w:hAnsi="宋体" w:eastAsia="宋体" w:cs="宋体"/>
          <w:sz w:val="24"/>
          <w:szCs w:val="24"/>
        </w:rPr>
      </w:pPr>
      <w:r>
        <w:rPr>
          <w:rFonts w:hint="eastAsia" w:ascii="宋体" w:hAnsi="宋体" w:eastAsia="宋体" w:cs="宋体"/>
          <w:sz w:val="24"/>
          <w:szCs w:val="24"/>
        </w:rPr>
        <w:t xml:space="preserve">   2.1   本合同条款。</w:t>
      </w:r>
    </w:p>
    <w:p w14:paraId="6D60A6BA">
      <w:pPr>
        <w:spacing w:line="500" w:lineRule="exact"/>
        <w:rPr>
          <w:rFonts w:hint="eastAsia" w:ascii="宋体" w:hAnsi="宋体" w:eastAsia="宋体" w:cs="宋体"/>
          <w:sz w:val="24"/>
          <w:szCs w:val="24"/>
        </w:rPr>
      </w:pPr>
      <w:r>
        <w:rPr>
          <w:rFonts w:hint="eastAsia" w:ascii="宋体" w:hAnsi="宋体" w:eastAsia="宋体" w:cs="宋体"/>
          <w:sz w:val="24"/>
          <w:szCs w:val="24"/>
        </w:rPr>
        <w:t xml:space="preserve">   2.2   中标通知书。</w:t>
      </w:r>
    </w:p>
    <w:p w14:paraId="4A2F75F1">
      <w:pPr>
        <w:spacing w:line="500" w:lineRule="exact"/>
        <w:rPr>
          <w:rFonts w:hint="eastAsia" w:ascii="宋体" w:hAnsi="宋体" w:eastAsia="宋体" w:cs="宋体"/>
          <w:sz w:val="24"/>
          <w:szCs w:val="24"/>
        </w:rPr>
      </w:pPr>
      <w:r>
        <w:rPr>
          <w:rFonts w:hint="eastAsia" w:ascii="宋体" w:hAnsi="宋体" w:eastAsia="宋体" w:cs="宋体"/>
          <w:sz w:val="24"/>
          <w:szCs w:val="24"/>
        </w:rPr>
        <w:t xml:space="preserve">   2.3   变更补充文件</w:t>
      </w:r>
    </w:p>
    <w:p w14:paraId="393E32BC">
      <w:pPr>
        <w:spacing w:line="500" w:lineRule="exact"/>
        <w:rPr>
          <w:rFonts w:hint="eastAsia" w:ascii="宋体" w:hAnsi="宋体" w:eastAsia="宋体" w:cs="宋体"/>
          <w:sz w:val="24"/>
          <w:szCs w:val="24"/>
        </w:rPr>
      </w:pPr>
      <w:r>
        <w:rPr>
          <w:rFonts w:hint="eastAsia" w:ascii="宋体" w:hAnsi="宋体" w:eastAsia="宋体" w:cs="宋体"/>
          <w:sz w:val="24"/>
          <w:szCs w:val="24"/>
        </w:rPr>
        <w:t xml:space="preserve">   2.4   技术规格及要求。</w:t>
      </w:r>
    </w:p>
    <w:p w14:paraId="294FB30B">
      <w:pPr>
        <w:spacing w:line="500" w:lineRule="exact"/>
        <w:rPr>
          <w:rFonts w:hint="eastAsia" w:ascii="宋体" w:hAnsi="宋体" w:eastAsia="宋体" w:cs="宋体"/>
          <w:b/>
          <w:sz w:val="24"/>
          <w:szCs w:val="24"/>
        </w:rPr>
      </w:pPr>
      <w:r>
        <w:rPr>
          <w:rFonts w:hint="eastAsia" w:ascii="宋体" w:hAnsi="宋体" w:eastAsia="宋体" w:cs="宋体"/>
          <w:sz w:val="24"/>
          <w:szCs w:val="24"/>
        </w:rPr>
        <w:t xml:space="preserve">   2.5   投标文件。</w:t>
      </w:r>
    </w:p>
    <w:p w14:paraId="77680B65">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2.6   其它</w:t>
      </w:r>
    </w:p>
    <w:p w14:paraId="0A22B349">
      <w:pPr>
        <w:spacing w:line="500" w:lineRule="exact"/>
        <w:rPr>
          <w:rFonts w:hint="eastAsia" w:ascii="宋体" w:hAnsi="宋体" w:eastAsia="宋体" w:cs="宋体"/>
          <w:b/>
          <w:sz w:val="24"/>
          <w:szCs w:val="24"/>
        </w:rPr>
      </w:pPr>
      <w:r>
        <w:rPr>
          <w:rFonts w:hint="eastAsia" w:ascii="宋体" w:hAnsi="宋体" w:eastAsia="宋体" w:cs="宋体"/>
          <w:sz w:val="24"/>
          <w:szCs w:val="24"/>
        </w:rPr>
        <w:t xml:space="preserve">   上述所指合同文件应认为是互相补充和解释的，但是有模棱两可或互相矛盾之处，以其所列内容先后顺序为准。</w:t>
      </w:r>
    </w:p>
    <w:p w14:paraId="58453F04">
      <w:pPr>
        <w:spacing w:line="500" w:lineRule="exact"/>
        <w:outlineLvl w:val="1"/>
        <w:rPr>
          <w:rFonts w:hint="eastAsia" w:ascii="宋体" w:hAnsi="宋体" w:eastAsia="宋体" w:cs="宋体"/>
          <w:b/>
          <w:sz w:val="24"/>
          <w:szCs w:val="24"/>
        </w:rPr>
      </w:pPr>
      <w:bookmarkStart w:id="655" w:name="_Toc24590_WPSOffice_Level2"/>
      <w:bookmarkStart w:id="656" w:name="_Toc27808_WPSOffice_Level2"/>
      <w:bookmarkStart w:id="657" w:name="_Toc10063"/>
      <w:bookmarkStart w:id="658" w:name="_Toc7084"/>
      <w:r>
        <w:rPr>
          <w:rFonts w:hint="eastAsia" w:ascii="宋体" w:hAnsi="宋体" w:eastAsia="宋体" w:cs="宋体"/>
          <w:b/>
          <w:sz w:val="24"/>
          <w:szCs w:val="24"/>
        </w:rPr>
        <w:t>3．货物名称、型号、规格、配置、技术参数、数量及合同价款</w:t>
      </w:r>
      <w:bookmarkEnd w:id="655"/>
      <w:bookmarkEnd w:id="656"/>
      <w:bookmarkEnd w:id="657"/>
      <w:bookmarkEnd w:id="658"/>
    </w:p>
    <w:tbl>
      <w:tblPr>
        <w:tblStyle w:val="23"/>
        <w:tblW w:w="0" w:type="auto"/>
        <w:tblInd w:w="108" w:type="dxa"/>
        <w:tblLayout w:type="fixed"/>
        <w:tblCellMar>
          <w:top w:w="0" w:type="dxa"/>
          <w:left w:w="108" w:type="dxa"/>
          <w:bottom w:w="0" w:type="dxa"/>
          <w:right w:w="108" w:type="dxa"/>
        </w:tblCellMar>
      </w:tblPr>
      <w:tblGrid>
        <w:gridCol w:w="689"/>
        <w:gridCol w:w="1516"/>
        <w:gridCol w:w="2940"/>
        <w:gridCol w:w="832"/>
        <w:gridCol w:w="987"/>
        <w:gridCol w:w="936"/>
        <w:gridCol w:w="1280"/>
      </w:tblGrid>
      <w:tr w14:paraId="0E04CC54">
        <w:tblPrEx>
          <w:tblCellMar>
            <w:top w:w="0" w:type="dxa"/>
            <w:left w:w="108" w:type="dxa"/>
            <w:bottom w:w="0" w:type="dxa"/>
            <w:right w:w="108" w:type="dxa"/>
          </w:tblCellMar>
        </w:tblPrEx>
        <w:trPr>
          <w:trHeight w:val="738" w:hRule="atLeast"/>
        </w:trPr>
        <w:tc>
          <w:tcPr>
            <w:tcW w:w="689" w:type="dxa"/>
            <w:tcBorders>
              <w:top w:val="single" w:color="auto" w:sz="4" w:space="0"/>
              <w:left w:val="single" w:color="auto" w:sz="4" w:space="0"/>
              <w:bottom w:val="single" w:color="auto" w:sz="4" w:space="0"/>
              <w:right w:val="single" w:color="auto" w:sz="4" w:space="0"/>
            </w:tcBorders>
            <w:vAlign w:val="center"/>
          </w:tcPr>
          <w:p w14:paraId="7D762053">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516" w:type="dxa"/>
            <w:tcBorders>
              <w:top w:val="single" w:color="auto" w:sz="4" w:space="0"/>
              <w:left w:val="nil"/>
              <w:bottom w:val="single" w:color="auto" w:sz="4" w:space="0"/>
              <w:right w:val="single" w:color="auto" w:sz="4" w:space="0"/>
            </w:tcBorders>
            <w:vAlign w:val="center"/>
          </w:tcPr>
          <w:p w14:paraId="67F4737D">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货物名称</w:t>
            </w:r>
          </w:p>
        </w:tc>
        <w:tc>
          <w:tcPr>
            <w:tcW w:w="2940" w:type="dxa"/>
            <w:tcBorders>
              <w:top w:val="single" w:color="auto" w:sz="4" w:space="0"/>
              <w:left w:val="nil"/>
              <w:bottom w:val="single" w:color="auto" w:sz="4" w:space="0"/>
              <w:right w:val="single" w:color="auto" w:sz="4" w:space="0"/>
            </w:tcBorders>
            <w:vAlign w:val="center"/>
          </w:tcPr>
          <w:p w14:paraId="519F9D98">
            <w:pPr>
              <w:keepNext w:val="0"/>
              <w:keepLines w:val="0"/>
              <w:suppressLineNumbers w:val="0"/>
              <w:spacing w:before="0" w:beforeAutospacing="0" w:after="0" w:afterAutospacing="0" w:line="500" w:lineRule="exact"/>
              <w:ind w:left="0" w:right="0" w:firstLine="480" w:firstLineChars="200"/>
              <w:jc w:val="center"/>
              <w:rPr>
                <w:rFonts w:hint="eastAsia" w:ascii="宋体" w:hAnsi="宋体" w:eastAsia="宋体" w:cs="宋体"/>
                <w:sz w:val="24"/>
                <w:szCs w:val="24"/>
              </w:rPr>
            </w:pPr>
            <w:r>
              <w:rPr>
                <w:rFonts w:hint="eastAsia" w:ascii="宋体" w:hAnsi="宋体" w:eastAsia="宋体" w:cs="宋体"/>
                <w:sz w:val="24"/>
                <w:szCs w:val="24"/>
              </w:rPr>
              <w:t>型号规格配置</w:t>
            </w:r>
          </w:p>
          <w:p w14:paraId="646602AC">
            <w:pPr>
              <w:keepNext w:val="0"/>
              <w:keepLines w:val="0"/>
              <w:suppressLineNumbers w:val="0"/>
              <w:spacing w:before="0" w:beforeAutospacing="0" w:after="0" w:afterAutospacing="0" w:line="500" w:lineRule="exact"/>
              <w:ind w:left="0" w:right="0" w:firstLine="480" w:firstLineChars="200"/>
              <w:jc w:val="center"/>
              <w:rPr>
                <w:rFonts w:hint="eastAsia" w:ascii="宋体" w:hAnsi="宋体" w:eastAsia="宋体" w:cs="宋体"/>
                <w:sz w:val="24"/>
                <w:szCs w:val="24"/>
              </w:rPr>
            </w:pPr>
            <w:r>
              <w:rPr>
                <w:rFonts w:hint="eastAsia" w:ascii="宋体" w:hAnsi="宋体" w:eastAsia="宋体" w:cs="宋体"/>
                <w:sz w:val="24"/>
                <w:szCs w:val="24"/>
              </w:rPr>
              <w:t>及技术参数</w:t>
            </w:r>
          </w:p>
        </w:tc>
        <w:tc>
          <w:tcPr>
            <w:tcW w:w="832" w:type="dxa"/>
            <w:tcBorders>
              <w:top w:val="single" w:color="auto" w:sz="4" w:space="0"/>
              <w:left w:val="nil"/>
              <w:bottom w:val="single" w:color="auto" w:sz="4" w:space="0"/>
              <w:right w:val="single" w:color="auto" w:sz="4" w:space="0"/>
            </w:tcBorders>
            <w:vAlign w:val="center"/>
          </w:tcPr>
          <w:p w14:paraId="5D39AC30">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单价(元)</w:t>
            </w:r>
          </w:p>
        </w:tc>
        <w:tc>
          <w:tcPr>
            <w:tcW w:w="987" w:type="dxa"/>
            <w:tcBorders>
              <w:top w:val="single" w:color="auto" w:sz="4" w:space="0"/>
              <w:left w:val="nil"/>
              <w:bottom w:val="single" w:color="auto" w:sz="4" w:space="0"/>
              <w:right w:val="single" w:color="auto" w:sz="4" w:space="0"/>
            </w:tcBorders>
            <w:vAlign w:val="center"/>
          </w:tcPr>
          <w:p w14:paraId="3F4BA16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数量(台)</w:t>
            </w:r>
          </w:p>
        </w:tc>
        <w:tc>
          <w:tcPr>
            <w:tcW w:w="936" w:type="dxa"/>
            <w:tcBorders>
              <w:top w:val="single" w:color="auto" w:sz="4" w:space="0"/>
              <w:left w:val="nil"/>
              <w:bottom w:val="single" w:color="auto" w:sz="4" w:space="0"/>
              <w:right w:val="single" w:color="auto" w:sz="4" w:space="0"/>
            </w:tcBorders>
            <w:vAlign w:val="center"/>
          </w:tcPr>
          <w:p w14:paraId="54098D4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合价(元)</w:t>
            </w:r>
          </w:p>
        </w:tc>
        <w:tc>
          <w:tcPr>
            <w:tcW w:w="1280" w:type="dxa"/>
            <w:tcBorders>
              <w:top w:val="single" w:color="auto" w:sz="4" w:space="0"/>
              <w:left w:val="nil"/>
              <w:bottom w:val="single" w:color="auto" w:sz="4" w:space="0"/>
              <w:right w:val="single" w:color="auto" w:sz="4" w:space="0"/>
            </w:tcBorders>
            <w:vAlign w:val="center"/>
          </w:tcPr>
          <w:p w14:paraId="1FE9A663">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备注</w:t>
            </w:r>
          </w:p>
        </w:tc>
      </w:tr>
      <w:tr w14:paraId="47ED6478">
        <w:tblPrEx>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vAlign w:val="center"/>
          </w:tcPr>
          <w:p w14:paraId="1A590C19">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516" w:type="dxa"/>
            <w:tcBorders>
              <w:top w:val="single" w:color="auto" w:sz="4" w:space="0"/>
              <w:left w:val="nil"/>
              <w:bottom w:val="single" w:color="auto" w:sz="4" w:space="0"/>
              <w:right w:val="single" w:color="auto" w:sz="4" w:space="0"/>
            </w:tcBorders>
            <w:vAlign w:val="center"/>
          </w:tcPr>
          <w:p w14:paraId="406A83B7">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2940" w:type="dxa"/>
            <w:tcBorders>
              <w:top w:val="single" w:color="auto" w:sz="4" w:space="0"/>
              <w:left w:val="nil"/>
              <w:bottom w:val="single" w:color="auto" w:sz="4" w:space="0"/>
              <w:right w:val="single" w:color="auto" w:sz="4" w:space="0"/>
            </w:tcBorders>
            <w:vAlign w:val="center"/>
          </w:tcPr>
          <w:p w14:paraId="6DCCB014">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832" w:type="dxa"/>
            <w:tcBorders>
              <w:top w:val="single" w:color="auto" w:sz="4" w:space="0"/>
              <w:left w:val="nil"/>
              <w:bottom w:val="single" w:color="auto" w:sz="4" w:space="0"/>
              <w:right w:val="single" w:color="auto" w:sz="4" w:space="0"/>
            </w:tcBorders>
            <w:vAlign w:val="center"/>
          </w:tcPr>
          <w:p w14:paraId="11A57249">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87" w:type="dxa"/>
            <w:tcBorders>
              <w:top w:val="single" w:color="auto" w:sz="4" w:space="0"/>
              <w:left w:val="nil"/>
              <w:bottom w:val="single" w:color="auto" w:sz="4" w:space="0"/>
              <w:right w:val="single" w:color="auto" w:sz="4" w:space="0"/>
            </w:tcBorders>
            <w:vAlign w:val="center"/>
          </w:tcPr>
          <w:p w14:paraId="5D6826A9">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36" w:type="dxa"/>
            <w:tcBorders>
              <w:top w:val="single" w:color="auto" w:sz="4" w:space="0"/>
              <w:left w:val="nil"/>
              <w:bottom w:val="single" w:color="auto" w:sz="4" w:space="0"/>
              <w:right w:val="single" w:color="auto" w:sz="4" w:space="0"/>
            </w:tcBorders>
            <w:vAlign w:val="center"/>
          </w:tcPr>
          <w:p w14:paraId="2BAFCD3F">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280" w:type="dxa"/>
            <w:tcBorders>
              <w:top w:val="single" w:color="auto" w:sz="4" w:space="0"/>
              <w:left w:val="nil"/>
              <w:bottom w:val="single" w:color="auto" w:sz="4" w:space="0"/>
              <w:right w:val="single" w:color="auto" w:sz="4" w:space="0"/>
            </w:tcBorders>
            <w:vAlign w:val="center"/>
          </w:tcPr>
          <w:p w14:paraId="62423182">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r>
      <w:tr w14:paraId="40C1F6E2">
        <w:tblPrEx>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vAlign w:val="center"/>
          </w:tcPr>
          <w:p w14:paraId="54B467BF">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516" w:type="dxa"/>
            <w:tcBorders>
              <w:top w:val="single" w:color="auto" w:sz="4" w:space="0"/>
              <w:left w:val="nil"/>
              <w:bottom w:val="single" w:color="auto" w:sz="4" w:space="0"/>
              <w:right w:val="single" w:color="auto" w:sz="4" w:space="0"/>
            </w:tcBorders>
            <w:vAlign w:val="center"/>
          </w:tcPr>
          <w:p w14:paraId="48C79CE1">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2940" w:type="dxa"/>
            <w:tcBorders>
              <w:top w:val="single" w:color="auto" w:sz="4" w:space="0"/>
              <w:left w:val="nil"/>
              <w:bottom w:val="single" w:color="auto" w:sz="4" w:space="0"/>
              <w:right w:val="single" w:color="auto" w:sz="4" w:space="0"/>
            </w:tcBorders>
            <w:vAlign w:val="center"/>
          </w:tcPr>
          <w:p w14:paraId="5868DA3C">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832" w:type="dxa"/>
            <w:tcBorders>
              <w:top w:val="single" w:color="auto" w:sz="4" w:space="0"/>
              <w:left w:val="nil"/>
              <w:bottom w:val="single" w:color="auto" w:sz="4" w:space="0"/>
              <w:right w:val="single" w:color="auto" w:sz="4" w:space="0"/>
            </w:tcBorders>
            <w:vAlign w:val="center"/>
          </w:tcPr>
          <w:p w14:paraId="2D83176B">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87" w:type="dxa"/>
            <w:tcBorders>
              <w:top w:val="single" w:color="auto" w:sz="4" w:space="0"/>
              <w:left w:val="nil"/>
              <w:bottom w:val="single" w:color="auto" w:sz="4" w:space="0"/>
              <w:right w:val="single" w:color="auto" w:sz="4" w:space="0"/>
            </w:tcBorders>
            <w:vAlign w:val="center"/>
          </w:tcPr>
          <w:p w14:paraId="049B3545">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36" w:type="dxa"/>
            <w:tcBorders>
              <w:top w:val="single" w:color="auto" w:sz="4" w:space="0"/>
              <w:left w:val="nil"/>
              <w:bottom w:val="single" w:color="auto" w:sz="4" w:space="0"/>
              <w:right w:val="single" w:color="auto" w:sz="4" w:space="0"/>
            </w:tcBorders>
            <w:vAlign w:val="center"/>
          </w:tcPr>
          <w:p w14:paraId="7DB08AAD">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280" w:type="dxa"/>
            <w:tcBorders>
              <w:top w:val="single" w:color="auto" w:sz="4" w:space="0"/>
              <w:left w:val="nil"/>
              <w:bottom w:val="single" w:color="auto" w:sz="4" w:space="0"/>
              <w:right w:val="single" w:color="auto" w:sz="4" w:space="0"/>
            </w:tcBorders>
            <w:vAlign w:val="center"/>
          </w:tcPr>
          <w:p w14:paraId="451BA700">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r>
      <w:tr w14:paraId="2541B181">
        <w:tblPrEx>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vAlign w:val="center"/>
          </w:tcPr>
          <w:p w14:paraId="69F1E7A1">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516" w:type="dxa"/>
            <w:tcBorders>
              <w:top w:val="single" w:color="auto" w:sz="4" w:space="0"/>
              <w:left w:val="nil"/>
              <w:bottom w:val="single" w:color="auto" w:sz="4" w:space="0"/>
              <w:right w:val="single" w:color="auto" w:sz="4" w:space="0"/>
            </w:tcBorders>
            <w:vAlign w:val="center"/>
          </w:tcPr>
          <w:p w14:paraId="779906DA">
            <w:pPr>
              <w:keepNext w:val="0"/>
              <w:keepLines w:val="0"/>
              <w:suppressLineNumbers w:val="0"/>
              <w:spacing w:before="0" w:beforeAutospacing="0" w:after="0" w:afterAutospacing="0" w:line="500" w:lineRule="exact"/>
              <w:ind w:left="0" w:right="0"/>
              <w:rPr>
                <w:rFonts w:hint="eastAsia" w:ascii="宋体" w:hAnsi="宋体" w:eastAsia="宋体" w:cs="宋体"/>
                <w:sz w:val="24"/>
                <w:szCs w:val="24"/>
              </w:rPr>
            </w:pPr>
          </w:p>
        </w:tc>
        <w:tc>
          <w:tcPr>
            <w:tcW w:w="2940" w:type="dxa"/>
            <w:tcBorders>
              <w:top w:val="single" w:color="auto" w:sz="4" w:space="0"/>
              <w:left w:val="nil"/>
              <w:bottom w:val="single" w:color="auto" w:sz="4" w:space="0"/>
              <w:right w:val="single" w:color="auto" w:sz="4" w:space="0"/>
            </w:tcBorders>
            <w:vAlign w:val="center"/>
          </w:tcPr>
          <w:p w14:paraId="2A8593B8">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832" w:type="dxa"/>
            <w:tcBorders>
              <w:top w:val="single" w:color="auto" w:sz="4" w:space="0"/>
              <w:left w:val="nil"/>
              <w:bottom w:val="single" w:color="auto" w:sz="4" w:space="0"/>
              <w:right w:val="single" w:color="auto" w:sz="4" w:space="0"/>
            </w:tcBorders>
            <w:vAlign w:val="center"/>
          </w:tcPr>
          <w:p w14:paraId="6C720AF8">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87" w:type="dxa"/>
            <w:tcBorders>
              <w:top w:val="single" w:color="auto" w:sz="4" w:space="0"/>
              <w:left w:val="nil"/>
              <w:bottom w:val="single" w:color="auto" w:sz="4" w:space="0"/>
              <w:right w:val="single" w:color="auto" w:sz="4" w:space="0"/>
            </w:tcBorders>
            <w:vAlign w:val="center"/>
          </w:tcPr>
          <w:p w14:paraId="7316DEAF">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36" w:type="dxa"/>
            <w:tcBorders>
              <w:top w:val="single" w:color="auto" w:sz="4" w:space="0"/>
              <w:left w:val="nil"/>
              <w:bottom w:val="single" w:color="auto" w:sz="4" w:space="0"/>
              <w:right w:val="single" w:color="auto" w:sz="4" w:space="0"/>
            </w:tcBorders>
            <w:vAlign w:val="center"/>
          </w:tcPr>
          <w:p w14:paraId="5B622E50">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280" w:type="dxa"/>
            <w:tcBorders>
              <w:top w:val="single" w:color="auto" w:sz="4" w:space="0"/>
              <w:left w:val="nil"/>
              <w:bottom w:val="single" w:color="auto" w:sz="4" w:space="0"/>
              <w:right w:val="single" w:color="auto" w:sz="4" w:space="0"/>
            </w:tcBorders>
            <w:vAlign w:val="center"/>
          </w:tcPr>
          <w:p w14:paraId="532DE33E">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r>
      <w:tr w14:paraId="0F53BB12">
        <w:tblPrEx>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vAlign w:val="center"/>
          </w:tcPr>
          <w:p w14:paraId="0CB1B936">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516" w:type="dxa"/>
            <w:tcBorders>
              <w:top w:val="single" w:color="auto" w:sz="4" w:space="0"/>
              <w:left w:val="nil"/>
              <w:bottom w:val="single" w:color="auto" w:sz="4" w:space="0"/>
              <w:right w:val="single" w:color="auto" w:sz="4" w:space="0"/>
            </w:tcBorders>
            <w:vAlign w:val="center"/>
          </w:tcPr>
          <w:p w14:paraId="1108B7B6">
            <w:pPr>
              <w:keepNext w:val="0"/>
              <w:keepLines w:val="0"/>
              <w:suppressLineNumbers w:val="0"/>
              <w:spacing w:before="0" w:beforeAutospacing="0" w:after="0" w:afterAutospacing="0" w:line="500" w:lineRule="exact"/>
              <w:ind w:left="0" w:right="0"/>
              <w:rPr>
                <w:rFonts w:hint="eastAsia" w:ascii="宋体" w:hAnsi="宋体" w:eastAsia="宋体" w:cs="宋体"/>
                <w:sz w:val="24"/>
                <w:szCs w:val="24"/>
              </w:rPr>
            </w:pPr>
          </w:p>
        </w:tc>
        <w:tc>
          <w:tcPr>
            <w:tcW w:w="2940" w:type="dxa"/>
            <w:tcBorders>
              <w:top w:val="single" w:color="auto" w:sz="4" w:space="0"/>
              <w:left w:val="nil"/>
              <w:bottom w:val="single" w:color="auto" w:sz="4" w:space="0"/>
              <w:right w:val="single" w:color="auto" w:sz="4" w:space="0"/>
            </w:tcBorders>
            <w:vAlign w:val="center"/>
          </w:tcPr>
          <w:p w14:paraId="6275543D">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832" w:type="dxa"/>
            <w:tcBorders>
              <w:top w:val="single" w:color="auto" w:sz="4" w:space="0"/>
              <w:left w:val="nil"/>
              <w:bottom w:val="single" w:color="auto" w:sz="4" w:space="0"/>
              <w:right w:val="single" w:color="auto" w:sz="4" w:space="0"/>
            </w:tcBorders>
            <w:vAlign w:val="center"/>
          </w:tcPr>
          <w:p w14:paraId="1953A101">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87" w:type="dxa"/>
            <w:tcBorders>
              <w:top w:val="single" w:color="auto" w:sz="4" w:space="0"/>
              <w:left w:val="nil"/>
              <w:bottom w:val="single" w:color="auto" w:sz="4" w:space="0"/>
              <w:right w:val="single" w:color="auto" w:sz="4" w:space="0"/>
            </w:tcBorders>
            <w:vAlign w:val="center"/>
          </w:tcPr>
          <w:p w14:paraId="03097342">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36" w:type="dxa"/>
            <w:tcBorders>
              <w:top w:val="single" w:color="auto" w:sz="4" w:space="0"/>
              <w:left w:val="nil"/>
              <w:bottom w:val="single" w:color="auto" w:sz="4" w:space="0"/>
              <w:right w:val="single" w:color="auto" w:sz="4" w:space="0"/>
            </w:tcBorders>
            <w:vAlign w:val="center"/>
          </w:tcPr>
          <w:p w14:paraId="6FB50FCA">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280" w:type="dxa"/>
            <w:tcBorders>
              <w:top w:val="single" w:color="auto" w:sz="4" w:space="0"/>
              <w:left w:val="nil"/>
              <w:bottom w:val="single" w:color="auto" w:sz="4" w:space="0"/>
              <w:right w:val="single" w:color="auto" w:sz="4" w:space="0"/>
            </w:tcBorders>
            <w:vAlign w:val="center"/>
          </w:tcPr>
          <w:p w14:paraId="38E6C3E1">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r>
      <w:tr w14:paraId="53FD6D45">
        <w:tblPrEx>
          <w:tblCellMar>
            <w:top w:w="0" w:type="dxa"/>
            <w:left w:w="108" w:type="dxa"/>
            <w:bottom w:w="0" w:type="dxa"/>
            <w:right w:w="108" w:type="dxa"/>
          </w:tblCellMar>
        </w:tblPrEx>
        <w:tc>
          <w:tcPr>
            <w:tcW w:w="5977" w:type="dxa"/>
            <w:gridSpan w:val="4"/>
            <w:tcBorders>
              <w:top w:val="single" w:color="auto" w:sz="4" w:space="0"/>
              <w:left w:val="single" w:color="auto" w:sz="4" w:space="0"/>
              <w:bottom w:val="single" w:color="auto" w:sz="4" w:space="0"/>
              <w:right w:val="single" w:color="auto" w:sz="4" w:space="0"/>
            </w:tcBorders>
            <w:vAlign w:val="center"/>
          </w:tcPr>
          <w:p w14:paraId="32036166">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r>
              <w:rPr>
                <w:rFonts w:hint="eastAsia" w:ascii="宋体" w:hAnsi="宋体" w:eastAsia="宋体" w:cs="宋体"/>
                <w:sz w:val="24"/>
                <w:szCs w:val="24"/>
              </w:rPr>
              <w:t>合计</w:t>
            </w:r>
          </w:p>
        </w:tc>
        <w:tc>
          <w:tcPr>
            <w:tcW w:w="987" w:type="dxa"/>
            <w:tcBorders>
              <w:top w:val="single" w:color="auto" w:sz="4" w:space="0"/>
              <w:left w:val="nil"/>
              <w:bottom w:val="single" w:color="auto" w:sz="4" w:space="0"/>
              <w:right w:val="single" w:color="auto" w:sz="4" w:space="0"/>
            </w:tcBorders>
            <w:vAlign w:val="center"/>
          </w:tcPr>
          <w:p w14:paraId="4421B724">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936" w:type="dxa"/>
            <w:tcBorders>
              <w:top w:val="single" w:color="auto" w:sz="4" w:space="0"/>
              <w:left w:val="nil"/>
              <w:bottom w:val="single" w:color="auto" w:sz="4" w:space="0"/>
              <w:right w:val="single" w:color="auto" w:sz="4" w:space="0"/>
            </w:tcBorders>
            <w:vAlign w:val="center"/>
          </w:tcPr>
          <w:p w14:paraId="2D779142">
            <w:pPr>
              <w:keepNext w:val="0"/>
              <w:keepLines w:val="0"/>
              <w:suppressLineNumbers w:val="0"/>
              <w:spacing w:before="0" w:beforeAutospacing="0" w:after="0" w:afterAutospacing="0" w:line="500" w:lineRule="exact"/>
              <w:ind w:left="0" w:right="0" w:firstLine="600" w:firstLineChars="250"/>
              <w:jc w:val="center"/>
              <w:rPr>
                <w:rFonts w:hint="eastAsia" w:ascii="宋体" w:hAnsi="宋体" w:eastAsia="宋体" w:cs="宋体"/>
                <w:sz w:val="24"/>
                <w:szCs w:val="24"/>
              </w:rPr>
            </w:pPr>
          </w:p>
        </w:tc>
        <w:tc>
          <w:tcPr>
            <w:tcW w:w="1280" w:type="dxa"/>
            <w:tcBorders>
              <w:top w:val="single" w:color="auto" w:sz="4" w:space="0"/>
              <w:left w:val="nil"/>
              <w:bottom w:val="single" w:color="auto" w:sz="4" w:space="0"/>
              <w:right w:val="single" w:color="auto" w:sz="4" w:space="0"/>
            </w:tcBorders>
            <w:vAlign w:val="center"/>
          </w:tcPr>
          <w:p w14:paraId="20324818">
            <w:pPr>
              <w:keepNext w:val="0"/>
              <w:keepLines w:val="0"/>
              <w:suppressLineNumbers w:val="0"/>
              <w:spacing w:before="0" w:beforeAutospacing="0" w:after="0" w:afterAutospacing="0" w:line="500" w:lineRule="exact"/>
              <w:ind w:left="0" w:right="0"/>
              <w:rPr>
                <w:rFonts w:hint="eastAsia" w:ascii="宋体" w:hAnsi="宋体" w:eastAsia="宋体" w:cs="宋体"/>
                <w:sz w:val="24"/>
                <w:szCs w:val="24"/>
              </w:rPr>
            </w:pPr>
            <w:r>
              <w:rPr>
                <w:rFonts w:hint="eastAsia" w:ascii="宋体" w:hAnsi="宋体" w:eastAsia="宋体" w:cs="宋体"/>
                <w:sz w:val="24"/>
                <w:szCs w:val="24"/>
              </w:rPr>
              <w:t>----</w:t>
            </w:r>
          </w:p>
        </w:tc>
      </w:tr>
      <w:tr w14:paraId="7388B713">
        <w:tblPrEx>
          <w:tblCellMar>
            <w:top w:w="0" w:type="dxa"/>
            <w:left w:w="108" w:type="dxa"/>
            <w:bottom w:w="0" w:type="dxa"/>
            <w:right w:w="108" w:type="dxa"/>
          </w:tblCellMar>
        </w:tblPrEx>
        <w:tc>
          <w:tcPr>
            <w:tcW w:w="5977" w:type="dxa"/>
            <w:gridSpan w:val="4"/>
            <w:tcBorders>
              <w:top w:val="single" w:color="auto" w:sz="4" w:space="0"/>
              <w:left w:val="single" w:color="auto" w:sz="4" w:space="0"/>
              <w:bottom w:val="single" w:color="auto" w:sz="4" w:space="0"/>
              <w:right w:val="single" w:color="auto" w:sz="4" w:space="0"/>
            </w:tcBorders>
            <w:vAlign w:val="center"/>
          </w:tcPr>
          <w:p w14:paraId="231BB26E">
            <w:pPr>
              <w:keepNext w:val="0"/>
              <w:keepLines w:val="0"/>
              <w:suppressLineNumbers w:val="0"/>
              <w:spacing w:before="0" w:beforeAutospacing="0" w:after="0" w:afterAutospacing="0" w:line="500" w:lineRule="exact"/>
              <w:ind w:left="0" w:right="0"/>
              <w:rPr>
                <w:rFonts w:hint="eastAsia" w:ascii="宋体" w:hAnsi="宋体" w:eastAsia="宋体" w:cs="宋体"/>
                <w:sz w:val="24"/>
                <w:szCs w:val="24"/>
              </w:rPr>
            </w:pPr>
            <w:r>
              <w:rPr>
                <w:rFonts w:hint="eastAsia" w:ascii="宋体" w:hAnsi="宋体" w:eastAsia="宋体" w:cs="宋体"/>
                <w:sz w:val="24"/>
                <w:szCs w:val="24"/>
              </w:rPr>
              <w:t>合同价款大写：</w:t>
            </w:r>
          </w:p>
        </w:tc>
        <w:tc>
          <w:tcPr>
            <w:tcW w:w="3203" w:type="dxa"/>
            <w:gridSpan w:val="3"/>
            <w:tcBorders>
              <w:top w:val="single" w:color="auto" w:sz="4" w:space="0"/>
              <w:left w:val="nil"/>
              <w:bottom w:val="single" w:color="auto" w:sz="4" w:space="0"/>
              <w:right w:val="single" w:color="auto" w:sz="4" w:space="0"/>
            </w:tcBorders>
            <w:vAlign w:val="center"/>
          </w:tcPr>
          <w:p w14:paraId="51D701ED">
            <w:pPr>
              <w:keepNext w:val="0"/>
              <w:keepLines w:val="0"/>
              <w:suppressLineNumbers w:val="0"/>
              <w:spacing w:before="0" w:beforeAutospacing="0" w:after="0" w:afterAutospacing="0" w:line="500" w:lineRule="exact"/>
              <w:ind w:left="0" w:right="0"/>
              <w:rPr>
                <w:rFonts w:hint="eastAsia" w:ascii="宋体" w:hAnsi="宋体" w:eastAsia="宋体" w:cs="宋体"/>
                <w:sz w:val="24"/>
                <w:szCs w:val="24"/>
              </w:rPr>
            </w:pPr>
          </w:p>
        </w:tc>
      </w:tr>
    </w:tbl>
    <w:p w14:paraId="798F454C">
      <w:pPr>
        <w:spacing w:line="500" w:lineRule="exact"/>
        <w:rPr>
          <w:rFonts w:hint="eastAsia" w:ascii="宋体" w:hAnsi="宋体" w:eastAsia="宋体" w:cs="宋体"/>
          <w:sz w:val="24"/>
          <w:szCs w:val="24"/>
        </w:rPr>
      </w:pPr>
      <w:r>
        <w:rPr>
          <w:rFonts w:hint="eastAsia" w:ascii="宋体" w:hAnsi="宋体" w:eastAsia="宋体" w:cs="宋体"/>
          <w:sz w:val="24"/>
          <w:szCs w:val="24"/>
        </w:rPr>
        <w:t xml:space="preserve">   （合同价款包括含货款、标准附件、备品备件、专用工具、包装、运输、装卸、保险、税金、货到就位以及安装、调试、培训、保修等一切税金和费用及其他因本项目而产生的一切费用）。</w:t>
      </w:r>
    </w:p>
    <w:p w14:paraId="2C8C2591">
      <w:pPr>
        <w:snapToGrid w:val="0"/>
        <w:spacing w:line="500" w:lineRule="exact"/>
        <w:outlineLvl w:val="1"/>
        <w:rPr>
          <w:rFonts w:hint="eastAsia" w:ascii="宋体" w:hAnsi="宋体" w:eastAsia="宋体" w:cs="宋体"/>
          <w:b/>
          <w:sz w:val="24"/>
          <w:szCs w:val="24"/>
        </w:rPr>
      </w:pPr>
      <w:bookmarkStart w:id="659" w:name="_Toc32026_WPSOffice_Level2"/>
      <w:bookmarkStart w:id="660" w:name="_Toc17832"/>
      <w:bookmarkStart w:id="661" w:name="_Toc24234"/>
      <w:bookmarkStart w:id="662" w:name="_Toc13554_WPSOffice_Level2"/>
      <w:r>
        <w:rPr>
          <w:rFonts w:hint="eastAsia" w:ascii="宋体" w:hAnsi="宋体" w:eastAsia="宋体" w:cs="宋体"/>
          <w:b/>
          <w:sz w:val="24"/>
          <w:szCs w:val="24"/>
        </w:rPr>
        <w:t>4．合同的范围，交货时间、地点及方式。</w:t>
      </w:r>
      <w:bookmarkEnd w:id="659"/>
      <w:bookmarkEnd w:id="660"/>
      <w:bookmarkEnd w:id="661"/>
      <w:bookmarkEnd w:id="662"/>
    </w:p>
    <w:p w14:paraId="212CF19A">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4.1 合同的范围：仅指</w:t>
      </w:r>
      <w:r>
        <w:rPr>
          <w:rFonts w:hint="eastAsia" w:ascii="宋体" w:hAnsi="宋体" w:eastAsia="宋体" w:cs="宋体"/>
          <w:sz w:val="24"/>
          <w:szCs w:val="24"/>
          <w:u w:val="single"/>
        </w:rPr>
        <w:t xml:space="preserve">       （采购单位）      </w:t>
      </w:r>
      <w:r>
        <w:rPr>
          <w:rFonts w:hint="eastAsia" w:ascii="宋体" w:hAnsi="宋体" w:eastAsia="宋体" w:cs="宋体"/>
          <w:sz w:val="24"/>
          <w:szCs w:val="24"/>
        </w:rPr>
        <w:t>的</w:t>
      </w:r>
      <w:r>
        <w:rPr>
          <w:rFonts w:hint="eastAsia" w:ascii="宋体" w:hAnsi="宋体" w:eastAsia="宋体" w:cs="宋体"/>
          <w:sz w:val="24"/>
          <w:szCs w:val="24"/>
          <w:u w:val="single"/>
        </w:rPr>
        <w:t xml:space="preserve">               </w:t>
      </w:r>
      <w:r>
        <w:rPr>
          <w:rFonts w:hint="eastAsia" w:ascii="宋体" w:hAnsi="宋体" w:eastAsia="宋体" w:cs="宋体"/>
          <w:sz w:val="24"/>
          <w:szCs w:val="24"/>
        </w:rPr>
        <w:t>项目招标。</w:t>
      </w:r>
    </w:p>
    <w:p w14:paraId="7E4EA1D4">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4.2 交货及安装时间：按需方要求</w:t>
      </w:r>
    </w:p>
    <w:p w14:paraId="6FBF39F2">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4.3 交货地点：</w:t>
      </w:r>
      <w:r>
        <w:rPr>
          <w:rFonts w:hint="eastAsia" w:ascii="宋体" w:hAnsi="宋体" w:eastAsia="宋体" w:cs="宋体"/>
          <w:kern w:val="0"/>
          <w:sz w:val="24"/>
          <w:szCs w:val="24"/>
        </w:rPr>
        <w:t>采购单位指定地点</w:t>
      </w:r>
      <w:r>
        <w:rPr>
          <w:rFonts w:hint="eastAsia" w:ascii="宋体" w:hAnsi="宋体" w:eastAsia="宋体" w:cs="宋体"/>
          <w:sz w:val="24"/>
          <w:szCs w:val="24"/>
        </w:rPr>
        <w:t>。</w:t>
      </w:r>
    </w:p>
    <w:p w14:paraId="4C66E97C">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4.4 交货方式：乙方免费送至甲方指定地点并安装到位。</w:t>
      </w:r>
    </w:p>
    <w:p w14:paraId="1FEEF8FE">
      <w:pPr>
        <w:snapToGrid w:val="0"/>
        <w:spacing w:line="500" w:lineRule="exact"/>
        <w:outlineLvl w:val="1"/>
        <w:rPr>
          <w:rFonts w:hint="eastAsia" w:ascii="宋体" w:hAnsi="宋体" w:eastAsia="宋体" w:cs="宋体"/>
          <w:b/>
          <w:sz w:val="24"/>
          <w:szCs w:val="24"/>
        </w:rPr>
      </w:pPr>
      <w:bookmarkStart w:id="663" w:name="_Toc23365"/>
      <w:bookmarkStart w:id="664" w:name="_Toc11324_WPSOffice_Level2"/>
      <w:bookmarkStart w:id="665" w:name="_Toc4733_WPSOffice_Level2"/>
      <w:bookmarkStart w:id="666" w:name="_Toc17649"/>
      <w:r>
        <w:rPr>
          <w:rFonts w:hint="eastAsia" w:ascii="宋体" w:hAnsi="宋体" w:eastAsia="宋体" w:cs="宋体"/>
          <w:b/>
          <w:sz w:val="24"/>
          <w:szCs w:val="24"/>
        </w:rPr>
        <w:t>5．合同条款及特别条款</w:t>
      </w:r>
      <w:bookmarkEnd w:id="663"/>
      <w:bookmarkEnd w:id="664"/>
      <w:bookmarkEnd w:id="665"/>
      <w:bookmarkEnd w:id="666"/>
    </w:p>
    <w:p w14:paraId="203883D8">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5.1 货物验收：</w:t>
      </w:r>
    </w:p>
    <w:p w14:paraId="0A6B5082">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5.1.1 乙方交货前应对产品作出全面检查和产品资料的整理，作为甲方收货验收和使用的技术条件的主要依据。</w:t>
      </w:r>
    </w:p>
    <w:p w14:paraId="7A5E89EA">
      <w:pPr>
        <w:snapToGrid w:val="0"/>
        <w:spacing w:line="500" w:lineRule="exact"/>
        <w:rPr>
          <w:rFonts w:hint="eastAsia" w:ascii="宋体" w:hAnsi="宋体" w:eastAsia="宋体" w:cs="宋体"/>
          <w:sz w:val="24"/>
          <w:szCs w:val="24"/>
          <w:u w:val="single"/>
        </w:rPr>
      </w:pPr>
      <w:r>
        <w:rPr>
          <w:rFonts w:hint="eastAsia" w:ascii="宋体" w:hAnsi="宋体" w:eastAsia="宋体" w:cs="宋体"/>
          <w:sz w:val="24"/>
          <w:szCs w:val="24"/>
        </w:rPr>
        <w:t xml:space="preserve">   5.1.2 甲方组织专家或者第三方机构按照投标文件清单及承诺内容对产品质量及服务验收，在验收时发现质量问题或是相关技术规格与招标文件和投标文件不符的，应及时向招标采购代理机构反映，专家或者第三方机构服务费由中标企业承担。</w:t>
      </w:r>
    </w:p>
    <w:p w14:paraId="51864388">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5.1.3 验收:</w:t>
      </w:r>
    </w:p>
    <w:p w14:paraId="3B9D3F3C">
      <w:pPr>
        <w:snapToGrid w:val="0"/>
        <w:spacing w:line="360" w:lineRule="auto"/>
        <w:rPr>
          <w:rFonts w:hint="eastAsia" w:ascii="宋体" w:hAnsi="宋体" w:eastAsia="宋体" w:cs="宋体"/>
          <w:sz w:val="24"/>
          <w:szCs w:val="24"/>
          <w:u w:val="single"/>
        </w:rPr>
      </w:pPr>
      <w:r>
        <w:rPr>
          <w:rFonts w:hint="eastAsia" w:ascii="宋体" w:hAnsi="宋体" w:eastAsia="宋体" w:cs="宋体"/>
          <w:b/>
          <w:sz w:val="24"/>
          <w:szCs w:val="24"/>
        </w:rPr>
        <w:t xml:space="preserve">   到场验收:</w:t>
      </w:r>
      <w:r>
        <w:rPr>
          <w:rFonts w:hint="eastAsia" w:ascii="宋体" w:hAnsi="宋体" w:eastAsia="宋体" w:cs="宋体"/>
          <w:sz w:val="24"/>
          <w:szCs w:val="24"/>
          <w:u w:val="single"/>
        </w:rPr>
        <w:t xml:space="preserve">                                                         </w:t>
      </w:r>
    </w:p>
    <w:p w14:paraId="42530C05">
      <w:pPr>
        <w:snapToGri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D7B6EAD">
      <w:pPr>
        <w:snapToGri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5.1.4 货物试运行期间，乙方都要指定专门技术人员全程跟踪服务，及时解决出现的所有问题。</w:t>
      </w:r>
    </w:p>
    <w:p w14:paraId="508B1E38">
      <w:pPr>
        <w:snapToGrid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5.1.5 甲方根据上述第5.1.3条规定进行验收，并不能免除乙方根据本合同质量保证条款规定所应承担的质量保证责任。</w:t>
      </w:r>
    </w:p>
    <w:p w14:paraId="71F409CA">
      <w:pPr>
        <w:snapToGrid w:val="0"/>
        <w:spacing w:line="500" w:lineRule="exact"/>
        <w:rPr>
          <w:rFonts w:hint="eastAsia" w:ascii="宋体" w:hAnsi="宋体" w:eastAsia="宋体" w:cs="宋体"/>
          <w:b/>
          <w:sz w:val="24"/>
          <w:szCs w:val="24"/>
        </w:rPr>
      </w:pPr>
      <w:r>
        <w:rPr>
          <w:rFonts w:hint="eastAsia" w:ascii="宋体" w:hAnsi="宋体" w:eastAsia="宋体" w:cs="宋体"/>
          <w:b/>
          <w:sz w:val="24"/>
          <w:szCs w:val="24"/>
        </w:rPr>
        <w:t>5.2 质量保证、售后服务及故障处理</w:t>
      </w:r>
    </w:p>
    <w:p w14:paraId="02EB55AC">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5.2.1 乙方应按招标文件规定的货物性能、技术要求、质量标准向甲方提供未经使用的全新产品，按厂家承诺实行“三包”。</w:t>
      </w:r>
    </w:p>
    <w:p w14:paraId="75052586">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5.2.2 乙方提供本货物的质量保证期为自验收合格之日起不少于</w:t>
      </w:r>
      <w:r>
        <w:rPr>
          <w:rFonts w:hint="eastAsia" w:ascii="宋体" w:hAnsi="宋体" w:eastAsia="宋体" w:cs="宋体"/>
          <w:sz w:val="24"/>
          <w:szCs w:val="24"/>
          <w:u w:val="single"/>
        </w:rPr>
        <w:t xml:space="preserve">    </w:t>
      </w:r>
      <w:r>
        <w:rPr>
          <w:rFonts w:hint="eastAsia" w:ascii="宋体" w:hAnsi="宋体" w:eastAsia="宋体" w:cs="宋体"/>
          <w:sz w:val="24"/>
          <w:szCs w:val="24"/>
        </w:rPr>
        <w:t>年，如乙方提供本身质量保证期超过</w:t>
      </w:r>
      <w:r>
        <w:rPr>
          <w:rFonts w:hint="eastAsia" w:ascii="宋体" w:hAnsi="宋体" w:eastAsia="宋体" w:cs="宋体"/>
          <w:sz w:val="24"/>
          <w:szCs w:val="24"/>
          <w:u w:val="single"/>
        </w:rPr>
        <w:t>单</w:t>
      </w:r>
      <w:r>
        <w:rPr>
          <w:rFonts w:hint="eastAsia" w:ascii="宋体" w:hAnsi="宋体" w:eastAsia="宋体" w:cs="宋体"/>
          <w:sz w:val="24"/>
          <w:szCs w:val="24"/>
        </w:rPr>
        <w:t>年以上的，要根据乙方提供质保期执行。在质保期内发现因货物本身的质量问题，乙方应负责免费更换或免费修理或更换零部件。对达不到技术要求者，根据实际情况，经双方协商，可按以下办法处理：</w:t>
      </w:r>
    </w:p>
    <w:p w14:paraId="4AEF1613">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⑴更    换：由乙方承担所发生的全部费用。</w:t>
      </w:r>
    </w:p>
    <w:p w14:paraId="7ED97CAB">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⑵贬值处理：由甲方、乙方双方合议定价。</w:t>
      </w:r>
    </w:p>
    <w:p w14:paraId="1A7B67A6">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⑶退货处理：乙方应退还甲方支付的货物款，同时应承担该货物的直接费用（运输、保险、检验、货款利息及银行手续费等）。</w:t>
      </w:r>
    </w:p>
    <w:p w14:paraId="3090679E">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5.2.3 在质保期内，乙方应对货物出现的质量及安全问题负责处理解决并承担一切费用。</w:t>
      </w:r>
    </w:p>
    <w:p w14:paraId="71050EB4">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5.2.4 乙方须在质保期限满后提供全部货物的终身免费维护，因人为因素出现的故障（或不可抗力引起的故障）不在免费维护范围内。如货物出现故障需维修，乙方只收货物维修的材料费。</w:t>
      </w:r>
    </w:p>
    <w:p w14:paraId="00FF2423">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5.2.5 乙方应提供产品保修卡按产品规定保修期限及内容以及服务厂家的其它承诺条款实行保修，并提供终身维修服务卡。</w:t>
      </w:r>
    </w:p>
    <w:p w14:paraId="09F950B3">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5.2.6 乙方应对甲方的货物实行终身维护。</w:t>
      </w:r>
    </w:p>
    <w:p w14:paraId="64A8DF80">
      <w:pPr>
        <w:snapToGrid w:val="0"/>
        <w:spacing w:line="500" w:lineRule="exact"/>
        <w:outlineLvl w:val="1"/>
        <w:rPr>
          <w:rFonts w:hint="eastAsia" w:ascii="宋体" w:hAnsi="宋体" w:eastAsia="宋体" w:cs="宋体"/>
          <w:b/>
          <w:sz w:val="24"/>
          <w:szCs w:val="24"/>
        </w:rPr>
      </w:pPr>
      <w:bookmarkStart w:id="667" w:name="_Toc29072_WPSOffice_Level2"/>
      <w:bookmarkStart w:id="668" w:name="_Toc29414"/>
      <w:bookmarkStart w:id="669" w:name="_Toc2284_WPSOffice_Level2"/>
      <w:bookmarkStart w:id="670" w:name="_Toc21192"/>
      <w:r>
        <w:rPr>
          <w:rFonts w:hint="eastAsia" w:ascii="宋体" w:hAnsi="宋体" w:eastAsia="宋体" w:cs="宋体"/>
          <w:b/>
          <w:sz w:val="24"/>
          <w:szCs w:val="24"/>
        </w:rPr>
        <w:t>6.违约行为</w:t>
      </w:r>
      <w:bookmarkEnd w:id="667"/>
      <w:bookmarkEnd w:id="668"/>
      <w:bookmarkEnd w:id="669"/>
      <w:bookmarkEnd w:id="670"/>
    </w:p>
    <w:p w14:paraId="3EC28442">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6.1 乙方有下列行为将作为违约：</w:t>
      </w:r>
    </w:p>
    <w:p w14:paraId="2643CD8F">
      <w:pPr>
        <w:snapToGrid w:val="0"/>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⑴逾期交货及延迟竣工，不可抗力除外。</w:t>
      </w:r>
    </w:p>
    <w:p w14:paraId="2C30662C">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⑵交付货物的规格和技术参数、质量等跟乙方的投标文件中相关承诺存在着不符，并私自降低货物的规格和技术参数、质量等。</w:t>
      </w:r>
    </w:p>
    <w:p w14:paraId="559F334F">
      <w:pPr>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⑶本次招标设备及各种配件、易损件的价格高于市场平均价的。</w:t>
      </w:r>
    </w:p>
    <w:p w14:paraId="442CA98C">
      <w:pPr>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⑷不履行合同条款或只履行部分合同条款，或拒绝履行合同义务。</w:t>
      </w:r>
    </w:p>
    <w:p w14:paraId="78ACEA2F">
      <w:pPr>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⑸不履行售后服务承诺及相关的伴随服务。</w:t>
      </w:r>
    </w:p>
    <w:p w14:paraId="6C01FC67">
      <w:pPr>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⑹没有按本合同提供质量保证期。</w:t>
      </w:r>
    </w:p>
    <w:p w14:paraId="5C3172C7">
      <w:pPr>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⑺违反政府招标法和国家其他的相关法律法规。</w:t>
      </w:r>
    </w:p>
    <w:p w14:paraId="4C8D0A8F">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6.2 甲方有下列行为将作为违约： </w:t>
      </w:r>
    </w:p>
    <w:p w14:paraId="40B1629A">
      <w:pPr>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⑴无正当理由拒绝接受乙方交付的货物或逾期延迟验收。</w:t>
      </w:r>
    </w:p>
    <w:p w14:paraId="12844E09">
      <w:pPr>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⑵违反政府招标法和国家其他的相关法律法规。</w:t>
      </w:r>
    </w:p>
    <w:p w14:paraId="060D4F23">
      <w:pPr>
        <w:snapToGrid w:val="0"/>
        <w:spacing w:line="500" w:lineRule="exact"/>
        <w:outlineLvl w:val="1"/>
        <w:rPr>
          <w:rFonts w:hint="eastAsia" w:ascii="宋体" w:hAnsi="宋体" w:eastAsia="宋体" w:cs="宋体"/>
          <w:b/>
          <w:sz w:val="24"/>
          <w:szCs w:val="24"/>
        </w:rPr>
      </w:pPr>
      <w:bookmarkStart w:id="671" w:name="_Toc19806_WPSOffice_Level2"/>
      <w:bookmarkStart w:id="672" w:name="_Toc3097_WPSOffice_Level2"/>
      <w:bookmarkStart w:id="673" w:name="_Toc15340"/>
      <w:bookmarkStart w:id="674" w:name="_Toc25417"/>
      <w:r>
        <w:rPr>
          <w:rFonts w:hint="eastAsia" w:ascii="宋体" w:hAnsi="宋体" w:eastAsia="宋体" w:cs="宋体"/>
          <w:b/>
          <w:sz w:val="24"/>
          <w:szCs w:val="24"/>
        </w:rPr>
        <w:t>7. 违约责任</w:t>
      </w:r>
      <w:bookmarkEnd w:id="671"/>
      <w:bookmarkEnd w:id="672"/>
      <w:bookmarkEnd w:id="673"/>
      <w:bookmarkEnd w:id="674"/>
    </w:p>
    <w:p w14:paraId="2A4F18C0">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7.1乙方违反本合同条款第6.1条的，将受到以下制裁：</w:t>
      </w:r>
    </w:p>
    <w:p w14:paraId="7A4A78CA">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⑴违反本合同条款第6.1条第⑴款时，乙方应按合同款的每日千分之二向甲方支付违约金，直至交货为止。但违约金的最高限额不超过合同款的百分之五。其中违约金由甲方从应付款中扣除。逾期超过约定日期三十个工作日不能交付的，甲方可单方解除本合同，并追加乙方承提因此造成的损失和相关法律责任。</w:t>
      </w:r>
    </w:p>
    <w:p w14:paraId="238CB2BB">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⑵违反本合同条款第6.1条第⑵款时；一是甲方有权要求更换货物。而乙方愿意更换货物但逾期交货而造成交付延期的，则按乙方逾期交付处理；二是乙方拒绝更换货物的，甲方可单方面解除合同，并要求乙方承担甲方和招标</w:t>
      </w:r>
      <w:r>
        <w:rPr>
          <w:rFonts w:hint="eastAsia" w:ascii="宋体" w:hAnsi="宋体" w:eastAsia="宋体" w:cs="宋体"/>
          <w:sz w:val="24"/>
          <w:szCs w:val="24"/>
          <w:lang w:eastAsia="zh-CN"/>
        </w:rPr>
        <w:t>采购代理机构</w:t>
      </w:r>
      <w:r>
        <w:rPr>
          <w:rFonts w:hint="eastAsia" w:ascii="宋体" w:hAnsi="宋体" w:eastAsia="宋体" w:cs="宋体"/>
          <w:sz w:val="24"/>
          <w:szCs w:val="24"/>
        </w:rPr>
        <w:t>因此造成的损失及相关法律责任；三是甲方也可以有权拒绝接受货物，甲方有权单方中止合同，并追加乙方承担因此造成的损失和相关法律责任。</w:t>
      </w:r>
    </w:p>
    <w:p w14:paraId="61497CA7">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⑶违反本合同条款第6.1条第⑶-⑹款时，甲方有权单方中止合同，并追加乙方承担因此造成的损失及相关法律责任。</w:t>
      </w:r>
    </w:p>
    <w:p w14:paraId="5C5FA10E">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⑷因乙方的违约行为导致甲方单方解除合同的，乙方应要承担相应的法律责任。而因乙方违约行为此造成的损失超出由乙方继续承担赔偿责任。</w:t>
      </w:r>
    </w:p>
    <w:p w14:paraId="0B5604CE">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7.2甲方违反本合同条款第6.2条的，将受到以下制裁：</w:t>
      </w:r>
    </w:p>
    <w:p w14:paraId="4BECEF0F">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⑴违反本合同条款第6.2条时，甲方应按货款的每日千分之二向乙方支付违约金，但违约金的最高限额不超过货款的百分之五。</w:t>
      </w:r>
    </w:p>
    <w:p w14:paraId="0297FF55">
      <w:p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 xml:space="preserve">    ⑵乙方可有权单方面解除本合同，并追加甲方承担因此造成的损失和相关法律责任。</w:t>
      </w:r>
    </w:p>
    <w:p w14:paraId="23103095">
      <w:pPr>
        <w:snapToGrid w:val="0"/>
        <w:spacing w:line="500" w:lineRule="exact"/>
        <w:outlineLvl w:val="1"/>
        <w:rPr>
          <w:rFonts w:hint="eastAsia" w:ascii="宋体" w:hAnsi="宋体" w:eastAsia="宋体" w:cs="宋体"/>
          <w:b/>
          <w:sz w:val="24"/>
          <w:szCs w:val="24"/>
        </w:rPr>
      </w:pPr>
      <w:bookmarkStart w:id="675" w:name="_Toc27196"/>
      <w:bookmarkStart w:id="676" w:name="_Toc2681"/>
      <w:bookmarkStart w:id="677" w:name="_Toc5342_WPSOffice_Level2"/>
      <w:bookmarkStart w:id="678" w:name="_Toc18940_WPSOffice_Level2"/>
      <w:r>
        <w:rPr>
          <w:rFonts w:hint="eastAsia" w:ascii="宋体" w:hAnsi="宋体" w:eastAsia="宋体" w:cs="宋体"/>
          <w:b/>
          <w:sz w:val="24"/>
          <w:szCs w:val="24"/>
        </w:rPr>
        <w:t>8．</w:t>
      </w:r>
      <w:r>
        <w:rPr>
          <w:rFonts w:hint="eastAsia" w:ascii="宋体" w:hAnsi="宋体" w:eastAsia="宋体" w:cs="宋体"/>
          <w:sz w:val="24"/>
          <w:szCs w:val="24"/>
        </w:rPr>
        <w:t>付款方式：根据招标文件内规定或以甲乙双方协商为准。</w:t>
      </w:r>
      <w:bookmarkEnd w:id="675"/>
      <w:bookmarkEnd w:id="676"/>
      <w:bookmarkEnd w:id="677"/>
      <w:bookmarkEnd w:id="678"/>
    </w:p>
    <w:p w14:paraId="2031EEC8">
      <w:pPr>
        <w:snapToGrid w:val="0"/>
        <w:spacing w:line="500" w:lineRule="exact"/>
        <w:outlineLvl w:val="1"/>
        <w:rPr>
          <w:rFonts w:hint="eastAsia" w:ascii="宋体" w:hAnsi="宋体" w:eastAsia="宋体" w:cs="宋体"/>
          <w:b/>
          <w:sz w:val="24"/>
          <w:szCs w:val="24"/>
        </w:rPr>
      </w:pPr>
      <w:bookmarkStart w:id="679" w:name="_Toc31510"/>
      <w:bookmarkStart w:id="680" w:name="_Toc29363_WPSOffice_Level2"/>
      <w:bookmarkStart w:id="681" w:name="_Toc19472"/>
      <w:bookmarkStart w:id="682" w:name="_Toc27039_WPSOffice_Level2"/>
      <w:r>
        <w:rPr>
          <w:rFonts w:hint="eastAsia" w:ascii="宋体" w:hAnsi="宋体" w:eastAsia="宋体" w:cs="宋体"/>
          <w:b/>
          <w:sz w:val="24"/>
          <w:szCs w:val="24"/>
        </w:rPr>
        <w:t>9．合同生效</w:t>
      </w:r>
      <w:bookmarkEnd w:id="679"/>
      <w:bookmarkEnd w:id="680"/>
      <w:bookmarkEnd w:id="681"/>
      <w:bookmarkEnd w:id="682"/>
    </w:p>
    <w:p w14:paraId="355DEEEC">
      <w:pPr>
        <w:snapToGrid w:val="0"/>
        <w:spacing w:line="500" w:lineRule="exact"/>
        <w:ind w:left="2" w:leftChars="1" w:firstLine="480" w:firstLineChars="200"/>
        <w:rPr>
          <w:rFonts w:hint="eastAsia" w:ascii="宋体" w:hAnsi="宋体" w:eastAsia="宋体" w:cs="宋体"/>
          <w:sz w:val="24"/>
          <w:szCs w:val="24"/>
        </w:rPr>
      </w:pPr>
      <w:r>
        <w:rPr>
          <w:rFonts w:hint="eastAsia" w:ascii="宋体" w:hAnsi="宋体" w:eastAsia="宋体" w:cs="宋体"/>
          <w:sz w:val="24"/>
          <w:szCs w:val="24"/>
        </w:rPr>
        <w:t>9.1本合同一式六份，甲、乙双方各两份，另两份报送监督机构和</w:t>
      </w:r>
      <w:r>
        <w:rPr>
          <w:rFonts w:hint="eastAsia" w:ascii="宋体" w:hAnsi="宋体" w:eastAsia="宋体" w:cs="宋体"/>
          <w:sz w:val="24"/>
          <w:szCs w:val="24"/>
          <w:lang w:eastAsia="zh-CN"/>
        </w:rPr>
        <w:t>采购代理机构</w:t>
      </w:r>
      <w:r>
        <w:rPr>
          <w:rFonts w:hint="eastAsia" w:ascii="宋体" w:hAnsi="宋体" w:eastAsia="宋体" w:cs="宋体"/>
          <w:sz w:val="24"/>
          <w:szCs w:val="24"/>
        </w:rPr>
        <w:t>备案。</w:t>
      </w:r>
    </w:p>
    <w:p w14:paraId="0A8B1DB2">
      <w:pPr>
        <w:spacing w:line="360" w:lineRule="auto"/>
        <w:rPr>
          <w:rFonts w:hint="eastAsia" w:ascii="宋体" w:hAnsi="宋体" w:eastAsia="宋体" w:cs="宋体"/>
          <w:sz w:val="24"/>
          <w:szCs w:val="24"/>
        </w:rPr>
      </w:pPr>
      <w:r>
        <w:rPr>
          <w:rFonts w:hint="eastAsia" w:ascii="宋体" w:hAnsi="宋体" w:eastAsia="宋体" w:cs="宋体"/>
          <w:sz w:val="24"/>
          <w:szCs w:val="24"/>
        </w:rPr>
        <w:t>甲方（盖章）：                                   乙方（盖章）：</w:t>
      </w:r>
    </w:p>
    <w:p w14:paraId="7BD9105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6F6BA312">
      <w:pPr>
        <w:spacing w:line="360" w:lineRule="auto"/>
        <w:rPr>
          <w:rFonts w:hint="eastAsia" w:ascii="宋体" w:hAnsi="宋体" w:eastAsia="宋体" w:cs="宋体"/>
          <w:sz w:val="24"/>
          <w:szCs w:val="24"/>
        </w:rPr>
      </w:pPr>
      <w:r>
        <w:rPr>
          <w:rFonts w:hint="eastAsia" w:ascii="宋体" w:hAnsi="宋体" w:eastAsia="宋体" w:cs="宋体"/>
          <w:sz w:val="24"/>
          <w:szCs w:val="24"/>
        </w:rPr>
        <w:t>法定代表：（签字或盖章）                         法定代表：（签字或盖章）</w:t>
      </w:r>
    </w:p>
    <w:p w14:paraId="2C7E90FD">
      <w:pPr>
        <w:spacing w:line="360" w:lineRule="auto"/>
        <w:rPr>
          <w:rFonts w:hint="eastAsia" w:ascii="宋体" w:hAnsi="宋体" w:eastAsia="宋体" w:cs="宋体"/>
          <w:sz w:val="24"/>
          <w:szCs w:val="24"/>
        </w:rPr>
      </w:pPr>
      <w:r>
        <w:rPr>
          <w:rFonts w:hint="eastAsia" w:ascii="宋体" w:hAnsi="宋体" w:eastAsia="宋体" w:cs="宋体"/>
          <w:sz w:val="24"/>
          <w:szCs w:val="24"/>
        </w:rPr>
        <w:t>地址：                                           地址：</w:t>
      </w:r>
    </w:p>
    <w:p w14:paraId="74088400">
      <w:pPr>
        <w:spacing w:line="360" w:lineRule="auto"/>
        <w:rPr>
          <w:rFonts w:hint="eastAsia" w:ascii="宋体" w:hAnsi="宋体" w:eastAsia="宋体" w:cs="宋体"/>
          <w:sz w:val="24"/>
          <w:szCs w:val="24"/>
        </w:rPr>
      </w:pPr>
      <w:r>
        <w:rPr>
          <w:rFonts w:hint="eastAsia" w:ascii="宋体" w:hAnsi="宋体" w:eastAsia="宋体" w:cs="宋体"/>
          <w:sz w:val="24"/>
          <w:szCs w:val="24"/>
        </w:rPr>
        <w:t>邮政编码：                                       邮政编码：</w:t>
      </w:r>
    </w:p>
    <w:p w14:paraId="0986DE8E">
      <w:pPr>
        <w:spacing w:line="360" w:lineRule="auto"/>
        <w:rPr>
          <w:rFonts w:hint="eastAsia" w:ascii="宋体" w:hAnsi="宋体" w:eastAsia="宋体" w:cs="宋体"/>
          <w:sz w:val="24"/>
          <w:szCs w:val="24"/>
        </w:rPr>
      </w:pPr>
      <w:r>
        <w:rPr>
          <w:rFonts w:hint="eastAsia" w:ascii="宋体" w:hAnsi="宋体" w:eastAsia="宋体" w:cs="宋体"/>
          <w:sz w:val="24"/>
          <w:szCs w:val="24"/>
        </w:rPr>
        <w:t>电话：                                           电话：</w:t>
      </w:r>
    </w:p>
    <w:p w14:paraId="061CA571">
      <w:pPr>
        <w:spacing w:line="360" w:lineRule="auto"/>
        <w:rPr>
          <w:rFonts w:hint="eastAsia" w:ascii="宋体" w:hAnsi="宋体" w:eastAsia="宋体" w:cs="宋体"/>
          <w:sz w:val="24"/>
          <w:szCs w:val="24"/>
        </w:rPr>
      </w:pPr>
      <w:r>
        <w:rPr>
          <w:rFonts w:hint="eastAsia" w:ascii="宋体" w:hAnsi="宋体" w:eastAsia="宋体" w:cs="宋体"/>
          <w:sz w:val="24"/>
          <w:szCs w:val="24"/>
        </w:rPr>
        <w:t>开户行名称单位 ：                                开户单位：</w:t>
      </w:r>
    </w:p>
    <w:p w14:paraId="2CB43409">
      <w:pPr>
        <w:spacing w:line="360" w:lineRule="auto"/>
        <w:rPr>
          <w:rFonts w:hint="eastAsia" w:ascii="宋体" w:hAnsi="宋体" w:eastAsia="宋体" w:cs="宋体"/>
          <w:sz w:val="24"/>
          <w:szCs w:val="24"/>
        </w:rPr>
      </w:pPr>
      <w:r>
        <w:rPr>
          <w:rFonts w:hint="eastAsia" w:ascii="宋体" w:hAnsi="宋体" w:eastAsia="宋体" w:cs="宋体"/>
          <w:sz w:val="24"/>
          <w:szCs w:val="24"/>
        </w:rPr>
        <w:t>开户银行：                                       开户银行：</w:t>
      </w:r>
    </w:p>
    <w:p w14:paraId="6E8FFE42">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帐号：                                           帐号：                                            </w:t>
      </w:r>
    </w:p>
    <w:p w14:paraId="20559E8A">
      <w:pPr>
        <w:spacing w:line="360" w:lineRule="auto"/>
        <w:rPr>
          <w:rFonts w:hint="eastAsia" w:ascii="宋体" w:hAnsi="宋体" w:eastAsia="宋体" w:cs="宋体"/>
          <w:sz w:val="24"/>
          <w:szCs w:val="24"/>
        </w:rPr>
        <w:sectPr>
          <w:pgSz w:w="11900" w:h="16838"/>
          <w:pgMar w:top="1440" w:right="1406" w:bottom="650" w:left="1440" w:header="0" w:footer="0"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sz w:val="24"/>
          <w:szCs w:val="24"/>
        </w:rPr>
        <w:t>签订时间：                                       签订时间：</w:t>
      </w:r>
      <w:bookmarkEnd w:id="637"/>
    </w:p>
    <w:p w14:paraId="0E6B2091">
      <w:pPr>
        <w:pStyle w:val="49"/>
        <w:spacing w:line="360" w:lineRule="auto"/>
        <w:ind w:firstLine="480"/>
        <w:rPr>
          <w:rFonts w:ascii="宋体" w:hAnsi="宋体" w:cs="宋体"/>
          <w:sz w:val="24"/>
          <w:szCs w:val="24"/>
        </w:rPr>
      </w:pPr>
    </w:p>
    <w:p w14:paraId="792A008D">
      <w:pPr>
        <w:pStyle w:val="2"/>
        <w:bidi w:val="0"/>
      </w:pPr>
      <w:bookmarkStart w:id="683" w:name="_Toc26080"/>
      <w:bookmarkStart w:id="684" w:name="_Toc32190"/>
      <w:bookmarkStart w:id="685" w:name="_Toc30112_WPSOffice_Level1"/>
      <w:bookmarkStart w:id="686" w:name="_Toc16598"/>
      <w:bookmarkStart w:id="687" w:name="_Toc19164"/>
      <w:bookmarkStart w:id="688" w:name="_Toc12613"/>
      <w:r>
        <w:rPr>
          <w:rFonts w:hint="eastAsia"/>
        </w:rPr>
        <w:t>第六章  投标文件格式</w:t>
      </w:r>
      <w:bookmarkEnd w:id="683"/>
      <w:bookmarkEnd w:id="684"/>
      <w:bookmarkEnd w:id="685"/>
      <w:bookmarkEnd w:id="686"/>
      <w:bookmarkEnd w:id="687"/>
      <w:bookmarkEnd w:id="688"/>
    </w:p>
    <w:p w14:paraId="165F4350">
      <w:pPr>
        <w:pStyle w:val="13"/>
        <w:spacing w:beforeLines="100" w:afterLines="100" w:line="600" w:lineRule="exact"/>
        <w:jc w:val="center"/>
        <w:rPr>
          <w:rFonts w:hAnsi="宋体" w:cs="宋体"/>
          <w:b/>
          <w:sz w:val="52"/>
          <w:szCs w:val="52"/>
        </w:rPr>
      </w:pPr>
    </w:p>
    <w:p w14:paraId="5935A1FF">
      <w:pPr>
        <w:pStyle w:val="13"/>
        <w:spacing w:beforeLines="100" w:afterLines="100" w:line="600" w:lineRule="exact"/>
        <w:jc w:val="center"/>
        <w:outlineLvl w:val="0"/>
        <w:rPr>
          <w:rFonts w:hint="eastAsia" w:hAnsi="宋体" w:eastAsia="宋体" w:cs="宋体"/>
          <w:b/>
          <w:sz w:val="44"/>
          <w:szCs w:val="44"/>
          <w:u w:val="single"/>
          <w:lang w:val="en-US" w:eastAsia="zh-CN"/>
        </w:rPr>
      </w:pPr>
      <w:r>
        <w:rPr>
          <w:rFonts w:hint="eastAsia" w:hAnsi="宋体" w:cs="宋体"/>
          <w:b/>
          <w:sz w:val="44"/>
          <w:szCs w:val="44"/>
          <w:u w:val="single"/>
        </w:rPr>
        <w:t xml:space="preserve">                    </w:t>
      </w:r>
      <w:r>
        <w:rPr>
          <w:rFonts w:hint="eastAsia" w:hAnsi="宋体" w:cs="宋体"/>
          <w:b/>
          <w:sz w:val="44"/>
          <w:szCs w:val="44"/>
          <w:lang w:eastAsia="zh-CN"/>
        </w:rPr>
        <w:t>（</w:t>
      </w:r>
      <w:r>
        <w:rPr>
          <w:rFonts w:hint="eastAsia" w:hAnsi="宋体" w:cs="宋体"/>
          <w:b/>
          <w:sz w:val="44"/>
          <w:szCs w:val="44"/>
          <w:lang w:val="en-US" w:eastAsia="zh-CN"/>
        </w:rPr>
        <w:t>项目名称</w:t>
      </w:r>
      <w:r>
        <w:rPr>
          <w:rFonts w:hint="eastAsia" w:hAnsi="宋体" w:cs="宋体"/>
          <w:b/>
          <w:sz w:val="44"/>
          <w:szCs w:val="44"/>
          <w:lang w:eastAsia="zh-CN"/>
        </w:rPr>
        <w:t>）</w:t>
      </w:r>
    </w:p>
    <w:p w14:paraId="0ED24460">
      <w:pPr>
        <w:pStyle w:val="13"/>
        <w:spacing w:beforeLines="100" w:afterLines="100"/>
        <w:jc w:val="center"/>
        <w:outlineLvl w:val="0"/>
        <w:rPr>
          <w:rFonts w:hAnsi="宋体" w:cs="宋体"/>
          <w:b/>
          <w:bCs/>
          <w:sz w:val="48"/>
          <w:szCs w:val="48"/>
        </w:rPr>
      </w:pPr>
      <w:bookmarkStart w:id="689" w:name="_Toc25978_WPSOffice_Level1"/>
      <w:bookmarkStart w:id="690" w:name="_Toc27141"/>
      <w:bookmarkStart w:id="691" w:name="_Toc18960_WPSOffice_Level1"/>
      <w:bookmarkStart w:id="692" w:name="_Toc14724"/>
      <w:r>
        <w:rPr>
          <w:rFonts w:hint="eastAsia" w:hAnsi="宋体" w:cs="宋体"/>
          <w:b/>
          <w:bCs/>
          <w:sz w:val="48"/>
          <w:szCs w:val="48"/>
        </w:rPr>
        <w:t>投标文件</w:t>
      </w:r>
      <w:bookmarkEnd w:id="689"/>
      <w:bookmarkEnd w:id="690"/>
      <w:bookmarkEnd w:id="691"/>
      <w:bookmarkEnd w:id="692"/>
    </w:p>
    <w:p w14:paraId="42821425">
      <w:pPr>
        <w:spacing w:line="360" w:lineRule="auto"/>
        <w:ind w:left="-420" w:leftChars="-200" w:firstLine="3360" w:firstLineChars="1200"/>
        <w:rPr>
          <w:rFonts w:ascii="宋体" w:hAnsi="宋体" w:cs="宋体"/>
          <w:b/>
          <w:bCs/>
          <w:color w:val="FF0000"/>
          <w:sz w:val="28"/>
          <w:szCs w:val="28"/>
        </w:rPr>
      </w:pPr>
    </w:p>
    <w:p w14:paraId="2B434A64">
      <w:pPr>
        <w:spacing w:line="360" w:lineRule="auto"/>
        <w:ind w:left="-420" w:leftChars="-200" w:firstLine="2700" w:firstLineChars="900"/>
        <w:outlineLvl w:val="0"/>
        <w:rPr>
          <w:rFonts w:ascii="宋体" w:hAnsi="宋体" w:cs="宋体"/>
          <w:b/>
          <w:sz w:val="30"/>
          <w:szCs w:val="30"/>
        </w:rPr>
      </w:pPr>
      <w:bookmarkStart w:id="693" w:name="_Toc7558"/>
      <w:bookmarkStart w:id="694" w:name="_Toc7574"/>
      <w:r>
        <w:rPr>
          <w:rFonts w:hint="eastAsia" w:ascii="宋体" w:hAnsi="宋体" w:cs="宋体"/>
          <w:b/>
          <w:sz w:val="30"/>
          <w:szCs w:val="30"/>
        </w:rPr>
        <w:t>采购编号：</w:t>
      </w:r>
      <w:bookmarkEnd w:id="693"/>
      <w:bookmarkEnd w:id="694"/>
    </w:p>
    <w:p w14:paraId="16F1AD16">
      <w:pPr>
        <w:pStyle w:val="13"/>
        <w:spacing w:beforeLines="100" w:afterLines="100" w:line="600" w:lineRule="exact"/>
        <w:jc w:val="center"/>
        <w:rPr>
          <w:rFonts w:hAnsi="宋体" w:cs="宋体"/>
          <w:b/>
          <w:bCs/>
          <w:sz w:val="32"/>
          <w:u w:val="single"/>
        </w:rPr>
      </w:pPr>
    </w:p>
    <w:p w14:paraId="72268D12">
      <w:pPr>
        <w:pStyle w:val="13"/>
        <w:spacing w:beforeLines="100" w:afterLines="100" w:line="600" w:lineRule="exact"/>
        <w:rPr>
          <w:rFonts w:hAnsi="宋体" w:cs="宋体"/>
          <w:b/>
          <w:bCs/>
          <w:sz w:val="32"/>
          <w:u w:val="single"/>
        </w:rPr>
      </w:pPr>
    </w:p>
    <w:p w14:paraId="2CD971D4">
      <w:pPr>
        <w:pStyle w:val="13"/>
        <w:spacing w:beforeLines="100" w:afterLines="100" w:line="600" w:lineRule="exact"/>
        <w:rPr>
          <w:rFonts w:hAnsi="宋体" w:cs="宋体"/>
          <w:b/>
          <w:bCs/>
          <w:sz w:val="32"/>
          <w:u w:val="single"/>
        </w:rPr>
      </w:pPr>
    </w:p>
    <w:p w14:paraId="2461B6AE">
      <w:pPr>
        <w:pStyle w:val="13"/>
        <w:spacing w:beforeLines="100" w:afterLines="100" w:line="600" w:lineRule="exact"/>
        <w:rPr>
          <w:rFonts w:hAnsi="宋体" w:cs="宋体"/>
          <w:b/>
          <w:bCs/>
          <w:sz w:val="32"/>
          <w:u w:val="single"/>
        </w:rPr>
      </w:pPr>
    </w:p>
    <w:p w14:paraId="4FD2CCED">
      <w:pPr>
        <w:pStyle w:val="13"/>
        <w:spacing w:beforeLines="100" w:afterLines="100" w:line="600" w:lineRule="exact"/>
        <w:jc w:val="center"/>
        <w:rPr>
          <w:rFonts w:hAnsi="宋体" w:cs="宋体"/>
          <w:b/>
          <w:bCs/>
          <w:sz w:val="32"/>
          <w:u w:val="single"/>
        </w:rPr>
      </w:pPr>
    </w:p>
    <w:p w14:paraId="4EC4557F">
      <w:pPr>
        <w:pStyle w:val="13"/>
        <w:spacing w:beforeLines="100" w:afterLines="100" w:line="600" w:lineRule="exact"/>
        <w:jc w:val="center"/>
        <w:outlineLvl w:val="0"/>
        <w:rPr>
          <w:rFonts w:hAnsi="宋体" w:cs="宋体"/>
          <w:b/>
          <w:bCs/>
          <w:sz w:val="32"/>
          <w:u w:val="single"/>
        </w:rPr>
      </w:pPr>
      <w:bookmarkStart w:id="695" w:name="_Toc17592"/>
      <w:bookmarkStart w:id="696" w:name="_Toc7822"/>
      <w:bookmarkStart w:id="697" w:name="_Toc25852"/>
      <w:bookmarkStart w:id="698" w:name="_Toc27732_WPSOffice_Level1"/>
      <w:bookmarkStart w:id="699" w:name="_Toc23525"/>
      <w:bookmarkStart w:id="700" w:name="_Toc25373_WPSOffice_Level1"/>
      <w:r>
        <w:rPr>
          <w:rFonts w:hint="eastAsia" w:hAnsi="宋体" w:cs="宋体"/>
          <w:b/>
          <w:bCs/>
          <w:sz w:val="32"/>
        </w:rPr>
        <w:t>供 应 商：</w:t>
      </w:r>
      <w:r>
        <w:rPr>
          <w:rFonts w:hint="eastAsia" w:hAnsi="宋体" w:cs="宋体"/>
          <w:b/>
          <w:bCs/>
          <w:sz w:val="32"/>
          <w:u w:val="single"/>
        </w:rPr>
        <w:t xml:space="preserve">                          </w:t>
      </w:r>
      <w:r>
        <w:rPr>
          <w:rFonts w:hint="eastAsia" w:hAnsi="宋体" w:cs="宋体"/>
          <w:b/>
          <w:bCs/>
          <w:sz w:val="32"/>
        </w:rPr>
        <w:t>（盖单位章）</w:t>
      </w:r>
      <w:bookmarkEnd w:id="695"/>
      <w:bookmarkEnd w:id="696"/>
      <w:bookmarkEnd w:id="697"/>
      <w:bookmarkEnd w:id="698"/>
      <w:bookmarkEnd w:id="699"/>
      <w:bookmarkEnd w:id="700"/>
    </w:p>
    <w:p w14:paraId="520AC571">
      <w:pPr>
        <w:pStyle w:val="13"/>
        <w:spacing w:beforeLines="100" w:afterLines="100" w:line="600" w:lineRule="exact"/>
        <w:ind w:firstLine="594" w:firstLineChars="198"/>
        <w:outlineLvl w:val="0"/>
        <w:rPr>
          <w:rFonts w:hAnsi="宋体" w:cs="宋体"/>
          <w:b/>
          <w:bCs/>
          <w:sz w:val="30"/>
          <w:szCs w:val="30"/>
        </w:rPr>
      </w:pPr>
      <w:bookmarkStart w:id="701" w:name="_Toc12341"/>
      <w:bookmarkStart w:id="702" w:name="_Toc5581_WPSOffice_Level2"/>
      <w:bookmarkStart w:id="703" w:name="_Toc25487"/>
      <w:bookmarkStart w:id="704" w:name="_Toc13305_WPSOffice_Level2"/>
      <w:r>
        <w:rPr>
          <w:rFonts w:hint="eastAsia" w:hAnsi="宋体" w:cs="宋体"/>
          <w:b/>
          <w:bCs/>
          <w:sz w:val="30"/>
          <w:szCs w:val="30"/>
        </w:rPr>
        <w:t>法定代表人或其委托代理人：</w:t>
      </w:r>
      <w:r>
        <w:rPr>
          <w:rFonts w:hint="eastAsia" w:hAnsi="宋体" w:cs="宋体"/>
          <w:b/>
          <w:bCs/>
          <w:sz w:val="30"/>
          <w:szCs w:val="30"/>
          <w:u w:val="single"/>
        </w:rPr>
        <w:t xml:space="preserve">              </w:t>
      </w:r>
      <w:r>
        <w:rPr>
          <w:rFonts w:hint="eastAsia" w:hAnsi="宋体" w:cs="宋体"/>
          <w:b/>
          <w:bCs/>
          <w:sz w:val="30"/>
          <w:szCs w:val="30"/>
        </w:rPr>
        <w:t>（签字或盖章）</w:t>
      </w:r>
      <w:bookmarkEnd w:id="701"/>
      <w:bookmarkEnd w:id="702"/>
      <w:bookmarkEnd w:id="703"/>
      <w:bookmarkEnd w:id="704"/>
    </w:p>
    <w:p w14:paraId="538F9538">
      <w:pPr>
        <w:pStyle w:val="11"/>
        <w:spacing w:line="500" w:lineRule="exact"/>
        <w:ind w:left="0" w:leftChars="0" w:firstLine="2121" w:firstLineChars="707"/>
        <w:outlineLvl w:val="0"/>
        <w:rPr>
          <w:rFonts w:ascii="宋体" w:hAnsi="宋体" w:cs="宋体"/>
          <w:b/>
          <w:bCs/>
          <w:sz w:val="30"/>
          <w:szCs w:val="30"/>
        </w:rPr>
      </w:pPr>
      <w:bookmarkStart w:id="705" w:name="_Toc6129"/>
      <w:bookmarkStart w:id="706" w:name="_Toc3712"/>
      <w:bookmarkStart w:id="707" w:name="_Toc13875_WPSOffice_Level2"/>
      <w:bookmarkStart w:id="708" w:name="_Toc26936_WPSOffice_Level2"/>
      <w:r>
        <w:rPr>
          <w:rFonts w:hint="eastAsia" w:ascii="宋体" w:hAnsi="宋体" w:cs="宋体"/>
          <w:b/>
          <w:bCs/>
          <w:sz w:val="30"/>
          <w:szCs w:val="30"/>
        </w:rPr>
        <w:t>日      期：       年    月    日</w:t>
      </w:r>
      <w:bookmarkEnd w:id="705"/>
      <w:bookmarkEnd w:id="706"/>
      <w:bookmarkEnd w:id="707"/>
      <w:bookmarkEnd w:id="708"/>
    </w:p>
    <w:p w14:paraId="2A1BAF75">
      <w:pPr>
        <w:pStyle w:val="11"/>
        <w:spacing w:line="500" w:lineRule="exact"/>
        <w:ind w:left="0" w:leftChars="0" w:firstLine="2121" w:firstLineChars="707"/>
        <w:outlineLvl w:val="0"/>
        <w:rPr>
          <w:rFonts w:ascii="宋体" w:hAnsi="宋体" w:cs="宋体"/>
          <w:b/>
          <w:bCs/>
          <w:sz w:val="30"/>
          <w:szCs w:val="30"/>
        </w:rPr>
      </w:pPr>
    </w:p>
    <w:p w14:paraId="72383CA6">
      <w:pPr>
        <w:pStyle w:val="11"/>
        <w:spacing w:line="500" w:lineRule="exact"/>
        <w:ind w:left="0" w:leftChars="0" w:firstLine="2121" w:firstLineChars="707"/>
        <w:outlineLvl w:val="0"/>
        <w:rPr>
          <w:rFonts w:ascii="宋体" w:hAnsi="宋体" w:cs="宋体"/>
          <w:b/>
          <w:bCs/>
          <w:sz w:val="30"/>
          <w:szCs w:val="30"/>
        </w:rPr>
      </w:pPr>
    </w:p>
    <w:p w14:paraId="4204CB4D">
      <w:pPr>
        <w:pStyle w:val="11"/>
        <w:spacing w:line="500" w:lineRule="exact"/>
        <w:ind w:left="0" w:leftChars="0" w:firstLine="2121" w:firstLineChars="707"/>
        <w:outlineLvl w:val="0"/>
        <w:rPr>
          <w:rFonts w:ascii="宋体" w:hAnsi="宋体" w:cs="宋体"/>
          <w:b/>
          <w:bCs/>
          <w:sz w:val="30"/>
          <w:szCs w:val="30"/>
        </w:rPr>
      </w:pPr>
    </w:p>
    <w:p w14:paraId="01A6684E">
      <w:pPr>
        <w:pStyle w:val="11"/>
        <w:spacing w:line="500" w:lineRule="exact"/>
        <w:ind w:left="0" w:leftChars="0" w:firstLine="3021" w:firstLineChars="1007"/>
        <w:outlineLvl w:val="0"/>
        <w:rPr>
          <w:rFonts w:ascii="宋体" w:hAnsi="宋体" w:cs="宋体"/>
          <w:b/>
          <w:bCs/>
          <w:sz w:val="30"/>
          <w:szCs w:val="30"/>
        </w:rPr>
      </w:pPr>
      <w:bookmarkStart w:id="709" w:name="_Toc458"/>
      <w:r>
        <w:rPr>
          <w:rFonts w:hint="eastAsia" w:ascii="宋体" w:hAnsi="宋体" w:cs="宋体"/>
          <w:b/>
          <w:bCs/>
          <w:sz w:val="30"/>
          <w:szCs w:val="30"/>
        </w:rPr>
        <w:t>目录（格式自拟）</w:t>
      </w:r>
      <w:bookmarkEnd w:id="709"/>
    </w:p>
    <w:p w14:paraId="7C7A3BA3">
      <w:pPr>
        <w:pStyle w:val="11"/>
        <w:spacing w:line="500" w:lineRule="exact"/>
        <w:ind w:left="0" w:leftChars="0" w:firstLine="2121" w:firstLineChars="707"/>
        <w:outlineLvl w:val="0"/>
        <w:rPr>
          <w:rFonts w:ascii="宋体" w:hAnsi="宋体" w:cs="宋体"/>
          <w:b/>
          <w:bCs/>
          <w:sz w:val="30"/>
          <w:szCs w:val="30"/>
        </w:rPr>
      </w:pPr>
    </w:p>
    <w:p w14:paraId="0D0C7FDD">
      <w:pPr>
        <w:pStyle w:val="11"/>
        <w:spacing w:line="500" w:lineRule="exact"/>
        <w:ind w:left="0" w:leftChars="0" w:firstLine="2121" w:firstLineChars="707"/>
        <w:outlineLvl w:val="0"/>
        <w:rPr>
          <w:rFonts w:ascii="宋体" w:hAnsi="宋体" w:cs="宋体"/>
          <w:b/>
          <w:bCs/>
          <w:sz w:val="30"/>
          <w:szCs w:val="30"/>
        </w:rPr>
      </w:pPr>
    </w:p>
    <w:p w14:paraId="2E21EA3F">
      <w:pPr>
        <w:pStyle w:val="11"/>
        <w:spacing w:line="500" w:lineRule="exact"/>
        <w:ind w:left="0" w:leftChars="0" w:firstLine="2121" w:firstLineChars="707"/>
        <w:outlineLvl w:val="0"/>
        <w:rPr>
          <w:rFonts w:ascii="宋体" w:hAnsi="宋体" w:cs="宋体"/>
          <w:b/>
          <w:bCs/>
          <w:sz w:val="30"/>
          <w:szCs w:val="30"/>
        </w:rPr>
      </w:pPr>
    </w:p>
    <w:p w14:paraId="2F59FBB8">
      <w:pPr>
        <w:pStyle w:val="11"/>
        <w:spacing w:line="500" w:lineRule="exact"/>
        <w:ind w:left="0" w:leftChars="0" w:firstLine="2121" w:firstLineChars="707"/>
        <w:outlineLvl w:val="0"/>
        <w:rPr>
          <w:rFonts w:ascii="宋体" w:hAnsi="宋体" w:cs="宋体"/>
          <w:b/>
          <w:bCs/>
          <w:sz w:val="30"/>
          <w:szCs w:val="30"/>
        </w:rPr>
      </w:pPr>
    </w:p>
    <w:p w14:paraId="1B6C6EDC">
      <w:pPr>
        <w:pStyle w:val="11"/>
        <w:spacing w:line="500" w:lineRule="exact"/>
        <w:ind w:left="0" w:leftChars="0" w:firstLine="2121" w:firstLineChars="707"/>
        <w:outlineLvl w:val="0"/>
        <w:rPr>
          <w:rFonts w:ascii="宋体" w:hAnsi="宋体" w:cs="宋体"/>
          <w:b/>
          <w:bCs/>
          <w:sz w:val="30"/>
          <w:szCs w:val="30"/>
        </w:rPr>
      </w:pPr>
    </w:p>
    <w:p w14:paraId="73812892">
      <w:pPr>
        <w:pStyle w:val="11"/>
        <w:spacing w:line="500" w:lineRule="exact"/>
        <w:ind w:left="0" w:leftChars="0" w:firstLine="2121" w:firstLineChars="707"/>
        <w:outlineLvl w:val="0"/>
        <w:rPr>
          <w:rFonts w:ascii="宋体" w:hAnsi="宋体" w:cs="宋体"/>
          <w:b/>
          <w:bCs/>
          <w:sz w:val="30"/>
          <w:szCs w:val="30"/>
        </w:rPr>
      </w:pPr>
    </w:p>
    <w:p w14:paraId="6CB0E8C9">
      <w:pPr>
        <w:pStyle w:val="11"/>
        <w:spacing w:line="500" w:lineRule="exact"/>
        <w:ind w:left="0" w:leftChars="0" w:firstLine="2121" w:firstLineChars="707"/>
        <w:outlineLvl w:val="0"/>
        <w:rPr>
          <w:rFonts w:ascii="宋体" w:hAnsi="宋体" w:cs="宋体"/>
          <w:b/>
          <w:bCs/>
          <w:sz w:val="30"/>
          <w:szCs w:val="30"/>
        </w:rPr>
      </w:pPr>
    </w:p>
    <w:p w14:paraId="2326730F">
      <w:pPr>
        <w:pStyle w:val="11"/>
        <w:spacing w:line="500" w:lineRule="exact"/>
        <w:ind w:left="0" w:leftChars="0" w:firstLine="2121" w:firstLineChars="707"/>
        <w:outlineLvl w:val="0"/>
        <w:rPr>
          <w:rFonts w:ascii="宋体" w:hAnsi="宋体" w:cs="宋体"/>
          <w:b/>
          <w:bCs/>
          <w:sz w:val="30"/>
          <w:szCs w:val="30"/>
        </w:rPr>
      </w:pPr>
    </w:p>
    <w:p w14:paraId="4A8C32DB">
      <w:pPr>
        <w:pStyle w:val="11"/>
        <w:spacing w:line="500" w:lineRule="exact"/>
        <w:ind w:left="0" w:leftChars="0" w:firstLine="2121" w:firstLineChars="707"/>
        <w:outlineLvl w:val="0"/>
        <w:rPr>
          <w:rFonts w:ascii="宋体" w:hAnsi="宋体" w:cs="宋体"/>
          <w:b/>
          <w:bCs/>
          <w:sz w:val="30"/>
          <w:szCs w:val="30"/>
        </w:rPr>
      </w:pPr>
    </w:p>
    <w:p w14:paraId="0E010474">
      <w:pPr>
        <w:pStyle w:val="11"/>
        <w:spacing w:line="500" w:lineRule="exact"/>
        <w:ind w:left="0" w:leftChars="0" w:firstLine="2121" w:firstLineChars="707"/>
        <w:outlineLvl w:val="0"/>
        <w:rPr>
          <w:rFonts w:ascii="宋体" w:hAnsi="宋体" w:cs="宋体"/>
          <w:b/>
          <w:bCs/>
          <w:sz w:val="30"/>
          <w:szCs w:val="30"/>
        </w:rPr>
      </w:pPr>
    </w:p>
    <w:p w14:paraId="314E2A47">
      <w:pPr>
        <w:pStyle w:val="11"/>
        <w:spacing w:line="500" w:lineRule="exact"/>
        <w:ind w:left="0" w:leftChars="0" w:firstLine="2121" w:firstLineChars="707"/>
        <w:outlineLvl w:val="0"/>
        <w:rPr>
          <w:rFonts w:ascii="宋体" w:hAnsi="宋体" w:cs="宋体"/>
          <w:b/>
          <w:bCs/>
          <w:sz w:val="30"/>
          <w:szCs w:val="30"/>
        </w:rPr>
      </w:pPr>
    </w:p>
    <w:p w14:paraId="2A45FCF3">
      <w:pPr>
        <w:pStyle w:val="11"/>
        <w:spacing w:line="500" w:lineRule="exact"/>
        <w:ind w:left="0" w:leftChars="0" w:firstLine="2121" w:firstLineChars="707"/>
        <w:outlineLvl w:val="0"/>
        <w:rPr>
          <w:rFonts w:ascii="宋体" w:hAnsi="宋体" w:cs="宋体"/>
          <w:b/>
          <w:bCs/>
          <w:sz w:val="30"/>
          <w:szCs w:val="30"/>
        </w:rPr>
      </w:pPr>
    </w:p>
    <w:p w14:paraId="043B0FF3">
      <w:pPr>
        <w:pStyle w:val="11"/>
        <w:spacing w:line="500" w:lineRule="exact"/>
        <w:ind w:left="0" w:leftChars="0" w:firstLine="2121" w:firstLineChars="707"/>
        <w:outlineLvl w:val="0"/>
        <w:rPr>
          <w:rFonts w:ascii="宋体" w:hAnsi="宋体" w:cs="宋体"/>
          <w:b/>
          <w:bCs/>
          <w:sz w:val="30"/>
          <w:szCs w:val="30"/>
        </w:rPr>
      </w:pPr>
    </w:p>
    <w:p w14:paraId="63424197">
      <w:pPr>
        <w:pStyle w:val="11"/>
        <w:spacing w:line="500" w:lineRule="exact"/>
        <w:ind w:left="0" w:leftChars="0" w:firstLine="2121" w:firstLineChars="707"/>
        <w:outlineLvl w:val="0"/>
        <w:rPr>
          <w:rFonts w:ascii="宋体" w:hAnsi="宋体" w:cs="宋体"/>
          <w:b/>
          <w:bCs/>
          <w:sz w:val="30"/>
          <w:szCs w:val="30"/>
        </w:rPr>
      </w:pPr>
    </w:p>
    <w:p w14:paraId="28CCC488">
      <w:pPr>
        <w:pStyle w:val="11"/>
        <w:spacing w:line="500" w:lineRule="exact"/>
        <w:ind w:left="0" w:leftChars="0" w:firstLine="2121" w:firstLineChars="707"/>
        <w:outlineLvl w:val="0"/>
        <w:rPr>
          <w:rFonts w:ascii="宋体" w:hAnsi="宋体" w:cs="宋体"/>
          <w:b/>
          <w:bCs/>
          <w:sz w:val="30"/>
          <w:szCs w:val="30"/>
        </w:rPr>
      </w:pPr>
    </w:p>
    <w:p w14:paraId="7D9EAA97">
      <w:pPr>
        <w:pStyle w:val="11"/>
        <w:spacing w:line="500" w:lineRule="exact"/>
        <w:ind w:left="0" w:leftChars="0" w:firstLine="2121" w:firstLineChars="707"/>
        <w:outlineLvl w:val="0"/>
        <w:rPr>
          <w:rFonts w:ascii="宋体" w:hAnsi="宋体" w:cs="宋体"/>
          <w:b/>
          <w:bCs/>
          <w:sz w:val="30"/>
          <w:szCs w:val="30"/>
        </w:rPr>
      </w:pPr>
    </w:p>
    <w:p w14:paraId="27D2613B">
      <w:pPr>
        <w:pStyle w:val="11"/>
        <w:spacing w:line="500" w:lineRule="exact"/>
        <w:ind w:left="0" w:leftChars="0" w:firstLine="2121" w:firstLineChars="707"/>
        <w:outlineLvl w:val="0"/>
        <w:rPr>
          <w:rFonts w:ascii="宋体" w:hAnsi="宋体" w:cs="宋体"/>
          <w:b/>
          <w:bCs/>
          <w:sz w:val="30"/>
          <w:szCs w:val="30"/>
        </w:rPr>
      </w:pPr>
    </w:p>
    <w:p w14:paraId="61BAC34B">
      <w:pPr>
        <w:pStyle w:val="11"/>
        <w:spacing w:line="500" w:lineRule="exact"/>
        <w:ind w:left="0" w:leftChars="0" w:firstLine="2121" w:firstLineChars="707"/>
        <w:outlineLvl w:val="0"/>
        <w:rPr>
          <w:rFonts w:ascii="宋体" w:hAnsi="宋体" w:cs="宋体"/>
          <w:b/>
          <w:bCs/>
          <w:sz w:val="30"/>
          <w:szCs w:val="30"/>
        </w:rPr>
      </w:pPr>
    </w:p>
    <w:p w14:paraId="49AF6A39">
      <w:pPr>
        <w:rPr>
          <w:rFonts w:ascii="宋体" w:hAnsi="宋体" w:cs="宋体"/>
          <w:bCs/>
          <w:szCs w:val="21"/>
          <w:lang w:val="zh-CN"/>
        </w:rPr>
      </w:pPr>
      <w:bookmarkStart w:id="710" w:name="_Toc8403"/>
      <w:bookmarkStart w:id="711" w:name="_Toc20146"/>
    </w:p>
    <w:p w14:paraId="4DF68CA2">
      <w:pPr>
        <w:rPr>
          <w:rFonts w:ascii="宋体" w:hAnsi="宋体" w:eastAsia="宋体" w:cs="宋体"/>
          <w:b w:val="0"/>
          <w:kern w:val="2"/>
          <w:sz w:val="32"/>
          <w:szCs w:val="32"/>
          <w:lang w:val="en-US" w:eastAsia="zh-CN" w:bidi="ar-SA"/>
        </w:rPr>
      </w:pPr>
      <w:bookmarkStart w:id="712" w:name="_Toc29363_WPSOffice_Level1"/>
      <w:bookmarkStart w:id="713" w:name="_Toc28236"/>
      <w:bookmarkStart w:id="714" w:name="_Toc27323"/>
      <w:bookmarkStart w:id="715" w:name="_Toc27188"/>
      <w:bookmarkStart w:id="716" w:name="_Toc2977"/>
      <w:r>
        <w:rPr>
          <w:rFonts w:ascii="宋体" w:hAnsi="宋体" w:eastAsia="宋体" w:cs="宋体"/>
          <w:b w:val="0"/>
          <w:kern w:val="2"/>
          <w:sz w:val="32"/>
          <w:szCs w:val="32"/>
          <w:lang w:val="en-US" w:eastAsia="zh-CN" w:bidi="ar-SA"/>
        </w:rPr>
        <w:br w:type="page"/>
      </w:r>
    </w:p>
    <w:p w14:paraId="59C4DCC1">
      <w:pPr>
        <w:pStyle w:val="3"/>
        <w:numPr>
          <w:ilvl w:val="0"/>
          <w:numId w:val="0"/>
        </w:numPr>
        <w:wordWrap w:val="0"/>
        <w:topLinePunct/>
        <w:spacing w:before="0" w:after="0" w:line="360" w:lineRule="auto"/>
        <w:ind w:left="0" w:leftChars="0" w:firstLine="0" w:firstLineChars="0"/>
        <w:rPr>
          <w:rFonts w:ascii="宋体" w:hAnsi="宋体" w:eastAsia="宋体" w:cs="宋体"/>
          <w:b w:val="0"/>
          <w:szCs w:val="32"/>
        </w:rPr>
      </w:pPr>
      <w:r>
        <w:rPr>
          <w:rFonts w:ascii="宋体" w:hAnsi="宋体" w:eastAsia="宋体" w:cs="宋体"/>
          <w:b w:val="0"/>
          <w:kern w:val="2"/>
          <w:sz w:val="32"/>
          <w:szCs w:val="32"/>
          <w:lang w:val="en-US" w:eastAsia="zh-CN" w:bidi="ar-SA"/>
        </w:rPr>
        <w:t>一、</w:t>
      </w:r>
      <w:r>
        <w:rPr>
          <w:rFonts w:hint="eastAsia" w:ascii="宋体" w:hAnsi="宋体" w:eastAsia="宋体" w:cs="宋体"/>
          <w:bCs/>
          <w:szCs w:val="32"/>
        </w:rPr>
        <w:t>投标</w:t>
      </w:r>
      <w:r>
        <w:rPr>
          <w:rFonts w:hint="eastAsia" w:ascii="宋体" w:hAnsi="宋体" w:eastAsia="宋体" w:cs="宋体"/>
          <w:bCs/>
          <w:szCs w:val="32"/>
          <w:lang w:val="zh-CN"/>
        </w:rPr>
        <w:t>函及</w:t>
      </w:r>
      <w:r>
        <w:rPr>
          <w:rFonts w:hint="eastAsia" w:ascii="宋体" w:hAnsi="宋体" w:eastAsia="宋体" w:cs="宋体"/>
          <w:bCs/>
          <w:szCs w:val="32"/>
        </w:rPr>
        <w:t>投标</w:t>
      </w:r>
      <w:r>
        <w:rPr>
          <w:rFonts w:hint="eastAsia" w:ascii="宋体" w:hAnsi="宋体" w:eastAsia="宋体" w:cs="宋体"/>
          <w:bCs/>
          <w:szCs w:val="32"/>
          <w:lang w:val="zh-CN"/>
        </w:rPr>
        <w:t>函附录</w:t>
      </w:r>
      <w:bookmarkEnd w:id="710"/>
      <w:bookmarkEnd w:id="711"/>
      <w:bookmarkEnd w:id="712"/>
      <w:bookmarkEnd w:id="713"/>
      <w:bookmarkEnd w:id="714"/>
      <w:bookmarkEnd w:id="715"/>
      <w:bookmarkEnd w:id="716"/>
    </w:p>
    <w:p w14:paraId="12584A5F">
      <w:pPr>
        <w:pStyle w:val="4"/>
        <w:jc w:val="center"/>
        <w:rPr>
          <w:rFonts w:cs="宋体"/>
          <w:sz w:val="28"/>
          <w:szCs w:val="28"/>
        </w:rPr>
      </w:pPr>
      <w:bookmarkStart w:id="717" w:name="_Toc2192"/>
      <w:bookmarkStart w:id="718" w:name="_Toc576"/>
      <w:bookmarkStart w:id="719" w:name="_Toc13150100"/>
      <w:bookmarkStart w:id="720" w:name="_Toc27246"/>
      <w:bookmarkStart w:id="721" w:name="_Toc23950"/>
      <w:bookmarkStart w:id="722" w:name="_Toc26089"/>
      <w:bookmarkStart w:id="723" w:name="_Toc6812"/>
      <w:bookmarkStart w:id="724" w:name="_Toc11974"/>
      <w:bookmarkStart w:id="725" w:name="_Toc14460_WPSOffice_Level2"/>
      <w:bookmarkStart w:id="726" w:name="_Toc10629_WPSOffice_Level2"/>
      <w:bookmarkStart w:id="727" w:name="_Toc6773"/>
      <w:bookmarkStart w:id="728" w:name="_Toc5011"/>
      <w:r>
        <w:rPr>
          <w:rFonts w:hint="eastAsia" w:cs="宋体"/>
          <w:sz w:val="28"/>
          <w:szCs w:val="28"/>
          <w:lang w:val="zh-CN"/>
        </w:rPr>
        <w:t>（一）</w:t>
      </w:r>
      <w:bookmarkEnd w:id="717"/>
      <w:bookmarkEnd w:id="718"/>
      <w:bookmarkEnd w:id="719"/>
      <w:bookmarkEnd w:id="720"/>
      <w:bookmarkEnd w:id="721"/>
      <w:bookmarkEnd w:id="722"/>
      <w:r>
        <w:rPr>
          <w:rFonts w:hint="eastAsia" w:cs="宋体"/>
          <w:sz w:val="28"/>
          <w:szCs w:val="28"/>
        </w:rPr>
        <w:t>投标函</w:t>
      </w:r>
      <w:bookmarkEnd w:id="723"/>
      <w:bookmarkEnd w:id="724"/>
      <w:bookmarkEnd w:id="725"/>
      <w:bookmarkEnd w:id="726"/>
      <w:bookmarkEnd w:id="727"/>
      <w:bookmarkEnd w:id="728"/>
    </w:p>
    <w:p w14:paraId="4AE6D88A">
      <w:pPr>
        <w:spacing w:line="440" w:lineRule="exact"/>
        <w:rPr>
          <w:rFonts w:ascii="宋体" w:hAnsi="宋体" w:cs="宋体"/>
          <w:sz w:val="24"/>
          <w:szCs w:val="24"/>
        </w:rPr>
      </w:pPr>
      <w:r>
        <w:rPr>
          <w:rFonts w:hint="eastAsia" w:ascii="宋体" w:hAnsi="宋体" w:cs="宋体"/>
          <w:sz w:val="24"/>
          <w:szCs w:val="24"/>
        </w:rPr>
        <w:t>致：</w:t>
      </w:r>
      <w:r>
        <w:rPr>
          <w:rFonts w:hint="eastAsia" w:ascii="宋体" w:hAnsi="宋体" w:cs="宋体"/>
          <w:sz w:val="24"/>
          <w:szCs w:val="24"/>
          <w:u w:val="single"/>
        </w:rPr>
        <w:t xml:space="preserve">              （采购人）</w:t>
      </w:r>
    </w:p>
    <w:p w14:paraId="56C6D362">
      <w:pPr>
        <w:pStyle w:val="12"/>
        <w:widowControl/>
        <w:numPr>
          <w:ilvl w:val="0"/>
          <w:numId w:val="14"/>
        </w:numPr>
        <w:tabs>
          <w:tab w:val="left" w:pos="0"/>
          <w:tab w:val="clear" w:pos="420"/>
        </w:tabs>
        <w:wordWrap w:val="0"/>
        <w:topLinePunct/>
        <w:spacing w:before="100" w:beforeAutospacing="1" w:after="100" w:afterAutospacing="1" w:line="440" w:lineRule="exact"/>
        <w:ind w:left="0" w:firstLine="360" w:firstLineChars="150"/>
        <w:jc w:val="left"/>
        <w:rPr>
          <w:rFonts w:ascii="宋体" w:hAnsi="宋体" w:eastAsia="宋体" w:cs="宋体"/>
          <w:sz w:val="24"/>
          <w:szCs w:val="24"/>
        </w:rPr>
      </w:pPr>
      <w:r>
        <w:rPr>
          <w:rFonts w:hint="eastAsia" w:ascii="宋体" w:hAnsi="宋体" w:eastAsia="宋体" w:cs="宋体"/>
          <w:sz w:val="24"/>
          <w:szCs w:val="24"/>
        </w:rPr>
        <w:t xml:space="preserve"> 我方已仔细研究了采购编号</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rPr>
        <w:t>的</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（项目名称）采购项目招标文件的全部内容，愿意以人民币</w:t>
      </w:r>
      <w:r>
        <w:rPr>
          <w:rFonts w:hint="eastAsia" w:ascii="宋体" w:hAnsi="宋体" w:eastAsia="宋体" w:cs="宋体"/>
          <w:sz w:val="24"/>
          <w:szCs w:val="22"/>
          <w:u w:val="single"/>
        </w:rPr>
        <w:t xml:space="preserve">      </w:t>
      </w:r>
      <w:r>
        <w:rPr>
          <w:rFonts w:hint="eastAsia" w:ascii="宋体" w:hAnsi="宋体" w:eastAsia="宋体" w:cs="宋体"/>
          <w:sz w:val="24"/>
          <w:szCs w:val="22"/>
        </w:rPr>
        <w:t>（大写）（</w:t>
      </w:r>
      <w:r>
        <w:rPr>
          <w:rFonts w:hint="eastAsia" w:ascii="宋体" w:hAnsi="宋体" w:eastAsia="宋体" w:cs="宋体"/>
          <w:sz w:val="24"/>
          <w:szCs w:val="22"/>
          <w:u w:val="single"/>
        </w:rPr>
        <w:t xml:space="preserve">    </w:t>
      </w:r>
      <w:r>
        <w:rPr>
          <w:rFonts w:hint="eastAsia" w:ascii="宋体" w:hAnsi="宋体" w:eastAsia="宋体" w:cs="宋体"/>
          <w:sz w:val="24"/>
          <w:szCs w:val="22"/>
        </w:rPr>
        <w:t>）（小写）的投标报价，</w:t>
      </w:r>
      <w:r>
        <w:rPr>
          <w:rFonts w:hint="eastAsia" w:ascii="宋体" w:hAnsi="宋体" w:eastAsia="宋体" w:cs="宋体"/>
          <w:sz w:val="24"/>
          <w:szCs w:val="24"/>
        </w:rPr>
        <w:t>质量要求</w:t>
      </w:r>
      <w:r>
        <w:rPr>
          <w:rFonts w:hint="eastAsia" w:ascii="宋体" w:hAnsi="宋体" w:eastAsia="宋体" w:cs="宋体"/>
          <w:sz w:val="24"/>
          <w:szCs w:val="24"/>
          <w:u w:val="single"/>
        </w:rPr>
        <w:t xml:space="preserve">             </w:t>
      </w:r>
      <w:r>
        <w:rPr>
          <w:rFonts w:hint="eastAsia" w:ascii="宋体" w:hAnsi="宋体" w:eastAsia="宋体" w:cs="宋体"/>
          <w:sz w:val="24"/>
          <w:szCs w:val="24"/>
        </w:rPr>
        <w:t>，按合同约定完成全部工作。</w:t>
      </w:r>
    </w:p>
    <w:p w14:paraId="6C860D52">
      <w:pPr>
        <w:pStyle w:val="12"/>
        <w:widowControl/>
        <w:numPr>
          <w:ilvl w:val="0"/>
          <w:numId w:val="14"/>
        </w:numPr>
        <w:tabs>
          <w:tab w:val="left" w:pos="0"/>
          <w:tab w:val="clear" w:pos="420"/>
        </w:tabs>
        <w:wordWrap w:val="0"/>
        <w:topLinePunct/>
        <w:spacing w:before="100" w:beforeAutospacing="1" w:after="100" w:afterAutospacing="1" w:line="440" w:lineRule="exact"/>
        <w:ind w:left="0" w:firstLine="360" w:firstLineChars="150"/>
        <w:jc w:val="left"/>
        <w:rPr>
          <w:rFonts w:ascii="宋体" w:hAnsi="宋体" w:eastAsia="宋体" w:cs="宋体"/>
          <w:sz w:val="24"/>
          <w:szCs w:val="24"/>
        </w:rPr>
      </w:pPr>
      <w:r>
        <w:rPr>
          <w:rFonts w:hint="eastAsia" w:ascii="宋体" w:hAnsi="宋体" w:eastAsia="宋体" w:cs="宋体"/>
          <w:sz w:val="24"/>
          <w:szCs w:val="24"/>
        </w:rPr>
        <w:t>如果我方成交，我方将按招标文件的规定签订并严格履行合同中的责任和义务，在签订合同时不向你方提出附加条件，在合同约定的期限内完成合同规定的全部内容。</w:t>
      </w:r>
    </w:p>
    <w:p w14:paraId="161E27C4">
      <w:pPr>
        <w:pStyle w:val="12"/>
        <w:widowControl/>
        <w:numPr>
          <w:ilvl w:val="0"/>
          <w:numId w:val="14"/>
        </w:numPr>
        <w:tabs>
          <w:tab w:val="left" w:pos="720"/>
          <w:tab w:val="clear" w:pos="420"/>
        </w:tabs>
        <w:wordWrap w:val="0"/>
        <w:topLinePunct/>
        <w:spacing w:before="100" w:beforeAutospacing="1" w:after="100" w:afterAutospacing="1" w:line="440" w:lineRule="exact"/>
        <w:ind w:left="0" w:firstLine="360" w:firstLineChars="150"/>
        <w:jc w:val="left"/>
        <w:rPr>
          <w:rFonts w:ascii="宋体" w:hAnsi="宋体" w:eastAsia="宋体" w:cs="宋体"/>
          <w:sz w:val="24"/>
          <w:szCs w:val="24"/>
        </w:rPr>
      </w:pPr>
      <w:r>
        <w:rPr>
          <w:rFonts w:hint="eastAsia" w:ascii="宋体" w:hAnsi="宋体" w:eastAsia="宋体" w:cs="宋体"/>
          <w:sz w:val="24"/>
          <w:szCs w:val="24"/>
        </w:rPr>
        <w:t>我方已详细审查全部招标文件，包括修改文件以及全部参考资料和有关附件。我们完全理解并同意放弃对这方面有不明及误解的权力。</w:t>
      </w:r>
    </w:p>
    <w:p w14:paraId="2B86DFBD">
      <w:pPr>
        <w:pStyle w:val="12"/>
        <w:widowControl/>
        <w:numPr>
          <w:ilvl w:val="0"/>
          <w:numId w:val="14"/>
        </w:numPr>
        <w:tabs>
          <w:tab w:val="left" w:pos="720"/>
          <w:tab w:val="clear" w:pos="420"/>
        </w:tabs>
        <w:wordWrap w:val="0"/>
        <w:topLinePunct/>
        <w:spacing w:before="100" w:beforeAutospacing="1" w:after="100" w:afterAutospacing="1" w:line="440" w:lineRule="exact"/>
        <w:ind w:hanging="60"/>
        <w:jc w:val="left"/>
        <w:rPr>
          <w:rFonts w:ascii="宋体" w:hAnsi="宋体" w:eastAsia="宋体" w:cs="宋体"/>
          <w:sz w:val="24"/>
          <w:szCs w:val="24"/>
        </w:rPr>
      </w:pPr>
      <w:r>
        <w:rPr>
          <w:rFonts w:hint="eastAsia" w:ascii="宋体" w:hAnsi="宋体" w:eastAsia="宋体" w:cs="宋体"/>
          <w:sz w:val="24"/>
          <w:szCs w:val="24"/>
        </w:rPr>
        <w:t>投标有效期为提交首次投标文件的截止之日起</w:t>
      </w:r>
      <w:r>
        <w:rPr>
          <w:rFonts w:hint="eastAsia" w:ascii="宋体" w:hAnsi="宋体" w:eastAsia="宋体" w:cs="宋体"/>
          <w:sz w:val="24"/>
          <w:szCs w:val="24"/>
          <w:u w:val="single"/>
        </w:rPr>
        <w:t xml:space="preserve">  60  </w:t>
      </w:r>
      <w:r>
        <w:rPr>
          <w:rFonts w:hint="eastAsia" w:ascii="宋体" w:hAnsi="宋体" w:eastAsia="宋体" w:cs="宋体"/>
          <w:sz w:val="24"/>
          <w:szCs w:val="24"/>
        </w:rPr>
        <w:t>日历天。</w:t>
      </w:r>
    </w:p>
    <w:p w14:paraId="3FEA87E1">
      <w:pPr>
        <w:pStyle w:val="12"/>
        <w:widowControl/>
        <w:numPr>
          <w:ilvl w:val="0"/>
          <w:numId w:val="14"/>
        </w:numPr>
        <w:tabs>
          <w:tab w:val="left" w:pos="720"/>
          <w:tab w:val="clear" w:pos="420"/>
        </w:tabs>
        <w:wordWrap w:val="0"/>
        <w:topLinePunct/>
        <w:spacing w:before="100" w:beforeAutospacing="1" w:after="100" w:afterAutospacing="1" w:line="440" w:lineRule="exact"/>
        <w:ind w:left="0" w:firstLine="360"/>
        <w:jc w:val="left"/>
        <w:rPr>
          <w:rFonts w:ascii="宋体" w:hAnsi="宋体" w:eastAsia="宋体" w:cs="宋体"/>
          <w:sz w:val="24"/>
          <w:szCs w:val="24"/>
        </w:rPr>
      </w:pPr>
      <w:r>
        <w:rPr>
          <w:rFonts w:hint="eastAsia" w:ascii="宋体" w:hAnsi="宋体" w:eastAsia="宋体" w:cs="宋体"/>
          <w:sz w:val="24"/>
          <w:szCs w:val="24"/>
        </w:rPr>
        <w:t>我方在此声明，所递交的投标文件及有关资料内容完整、真实和准确</w:t>
      </w:r>
    </w:p>
    <w:p w14:paraId="6A193CF3">
      <w:pPr>
        <w:pStyle w:val="12"/>
        <w:widowControl/>
        <w:numPr>
          <w:ilvl w:val="0"/>
          <w:numId w:val="14"/>
        </w:numPr>
        <w:tabs>
          <w:tab w:val="left" w:pos="720"/>
          <w:tab w:val="clear" w:pos="420"/>
        </w:tabs>
        <w:wordWrap w:val="0"/>
        <w:topLinePunct/>
        <w:spacing w:before="100" w:beforeAutospacing="1" w:after="100" w:afterAutospacing="1" w:line="440" w:lineRule="exact"/>
        <w:ind w:left="0" w:firstLine="360"/>
        <w:jc w:val="left"/>
        <w:rPr>
          <w:rFonts w:ascii="宋体" w:hAnsi="宋体" w:eastAsia="宋体" w:cs="宋体"/>
          <w:sz w:val="24"/>
          <w:szCs w:val="24"/>
        </w:rPr>
      </w:pPr>
      <w:r>
        <w:rPr>
          <w:rFonts w:hint="eastAsia" w:ascii="宋体" w:hAnsi="宋体" w:eastAsia="宋体" w:cs="宋体"/>
          <w:sz w:val="24"/>
          <w:szCs w:val="24"/>
        </w:rPr>
        <w:t>我方同意提供按照贵方可能要求的与其投标有关的一切数据或资料。</w:t>
      </w:r>
    </w:p>
    <w:p w14:paraId="4806B36A">
      <w:pPr>
        <w:spacing w:line="500" w:lineRule="exact"/>
        <w:rPr>
          <w:rFonts w:ascii="宋体" w:hAnsi="宋体" w:cs="宋体"/>
          <w:sz w:val="24"/>
          <w:szCs w:val="24"/>
        </w:rPr>
      </w:pPr>
    </w:p>
    <w:p w14:paraId="328AEB49">
      <w:pPr>
        <w:spacing w:line="500" w:lineRule="exact"/>
        <w:rPr>
          <w:rFonts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lang w:eastAsia="zh-CN"/>
        </w:rPr>
        <w:t>供应商</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（盖章）</w:t>
      </w:r>
    </w:p>
    <w:p w14:paraId="017D1A4D">
      <w:pPr>
        <w:spacing w:line="440" w:lineRule="exact"/>
        <w:rPr>
          <w:rFonts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法定代表人或其委托代理人：</w:t>
      </w:r>
      <w:r>
        <w:rPr>
          <w:rFonts w:hint="eastAsia" w:ascii="宋体" w:hAnsi="宋体" w:cs="宋体"/>
          <w:sz w:val="24"/>
          <w:szCs w:val="24"/>
          <w:u w:val="single"/>
        </w:rPr>
        <w:t xml:space="preserve">      </w:t>
      </w:r>
      <w:r>
        <w:rPr>
          <w:rFonts w:hint="eastAsia" w:ascii="宋体" w:hAnsi="宋体" w:cs="宋体"/>
          <w:sz w:val="24"/>
          <w:szCs w:val="24"/>
        </w:rPr>
        <w:t>（签字或盖章）</w:t>
      </w:r>
    </w:p>
    <w:p w14:paraId="5F923E79">
      <w:pPr>
        <w:spacing w:line="440" w:lineRule="exact"/>
        <w:ind w:left="240" w:hanging="240" w:hangingChars="100"/>
        <w:rPr>
          <w:rFonts w:hint="eastAsia" w:ascii="宋体" w:hAnsi="宋体" w:cs="宋体"/>
          <w:sz w:val="24"/>
          <w:szCs w:val="24"/>
          <w:u w:val="single"/>
          <w:lang w:val="en-US" w:eastAsia="zh-CN"/>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地址：</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p>
    <w:p w14:paraId="6285D752">
      <w:pPr>
        <w:spacing w:line="500" w:lineRule="exact"/>
        <w:ind w:firstLine="3840" w:firstLineChars="1600"/>
        <w:rPr>
          <w:rFonts w:hint="eastAsia" w:ascii="宋体" w:hAnsi="宋体" w:cs="宋体"/>
          <w:sz w:val="24"/>
          <w:szCs w:val="24"/>
        </w:rPr>
      </w:pPr>
      <w:r>
        <w:rPr>
          <w:rFonts w:hint="eastAsia" w:ascii="宋体" w:hAnsi="宋体" w:cs="宋体"/>
          <w:sz w:val="24"/>
          <w:szCs w:val="24"/>
        </w:rPr>
        <w:t xml:space="preserve">邮政编码：                               </w:t>
      </w:r>
    </w:p>
    <w:p w14:paraId="5D9B40E6">
      <w:pPr>
        <w:spacing w:line="500" w:lineRule="exact"/>
        <w:ind w:firstLine="3840" w:firstLineChars="1600"/>
        <w:rPr>
          <w:rFonts w:hint="eastAsia" w:ascii="宋体" w:hAnsi="宋体" w:cs="宋体"/>
          <w:sz w:val="24"/>
          <w:szCs w:val="24"/>
        </w:rPr>
      </w:pPr>
      <w:r>
        <w:rPr>
          <w:rFonts w:hint="eastAsia" w:ascii="宋体" w:hAnsi="宋体" w:cs="宋体"/>
          <w:sz w:val="24"/>
          <w:szCs w:val="24"/>
        </w:rPr>
        <w:t xml:space="preserve">电话：                                   </w:t>
      </w:r>
    </w:p>
    <w:p w14:paraId="6D8EFA68">
      <w:pPr>
        <w:spacing w:line="500" w:lineRule="exact"/>
        <w:ind w:firstLine="3840" w:firstLineChars="1600"/>
        <w:rPr>
          <w:rFonts w:hint="eastAsia" w:ascii="宋体" w:hAnsi="宋体" w:cs="宋体"/>
          <w:sz w:val="24"/>
          <w:szCs w:val="24"/>
        </w:rPr>
      </w:pPr>
      <w:r>
        <w:rPr>
          <w:rFonts w:hint="eastAsia" w:ascii="宋体" w:hAnsi="宋体" w:cs="宋体"/>
          <w:sz w:val="24"/>
          <w:szCs w:val="24"/>
        </w:rPr>
        <w:t>日期：     年     月      日</w:t>
      </w:r>
    </w:p>
    <w:p w14:paraId="37C970E1">
      <w:pPr>
        <w:rPr>
          <w:rFonts w:ascii="宋体" w:hAnsi="宋体" w:cs="宋体"/>
          <w:szCs w:val="21"/>
        </w:rPr>
      </w:pPr>
    </w:p>
    <w:p w14:paraId="0DC053CC">
      <w:pPr>
        <w:spacing w:afterLines="50" w:line="480" w:lineRule="exact"/>
        <w:rPr>
          <w:rFonts w:ascii="宋体" w:hAnsi="宋体" w:cs="宋体"/>
          <w:szCs w:val="21"/>
        </w:rPr>
        <w:sectPr>
          <w:footerReference r:id="rId8" w:type="default"/>
          <w:pgSz w:w="11907" w:h="16840"/>
          <w:pgMar w:top="1400" w:right="1418" w:bottom="1089" w:left="1418" w:header="624" w:footer="748" w:gutter="0"/>
          <w:pgBorders>
            <w:top w:val="none" w:sz="0" w:space="0"/>
            <w:left w:val="none" w:sz="0" w:space="0"/>
            <w:bottom w:val="none" w:sz="0" w:space="0"/>
            <w:right w:val="none" w:sz="0" w:space="0"/>
          </w:pgBorders>
          <w:pgNumType w:fmt="decimal"/>
          <w:cols w:space="720" w:num="1"/>
          <w:docGrid w:type="linesAndChars" w:linePitch="312" w:charSpace="0"/>
        </w:sectPr>
      </w:pPr>
    </w:p>
    <w:p w14:paraId="2187B7D2">
      <w:pPr>
        <w:pStyle w:val="4"/>
        <w:jc w:val="center"/>
        <w:rPr>
          <w:rFonts w:cs="宋体"/>
          <w:sz w:val="28"/>
          <w:szCs w:val="28"/>
          <w:lang w:val="zh-CN"/>
        </w:rPr>
      </w:pPr>
      <w:bookmarkStart w:id="729" w:name="_Toc792"/>
      <w:bookmarkStart w:id="730" w:name="_Toc14371_WPSOffice_Level2"/>
      <w:bookmarkStart w:id="731" w:name="_Toc5690"/>
      <w:bookmarkStart w:id="732" w:name="_Toc23230_WPSOffice_Level2"/>
      <w:bookmarkStart w:id="733" w:name="_Toc13150101"/>
      <w:bookmarkStart w:id="734" w:name="_Toc21386"/>
      <w:bookmarkStart w:id="735" w:name="_Toc3896"/>
      <w:bookmarkStart w:id="736" w:name="_Toc27107"/>
      <w:bookmarkStart w:id="737" w:name="_Toc7723"/>
      <w:bookmarkStart w:id="738" w:name="_Toc13989"/>
      <w:bookmarkStart w:id="739" w:name="_Toc20920"/>
      <w:bookmarkStart w:id="740" w:name="_Toc16482"/>
      <w:bookmarkStart w:id="741" w:name="_Toc25337"/>
      <w:bookmarkStart w:id="742" w:name="_Toc24833"/>
      <w:bookmarkStart w:id="743" w:name="_Toc21652"/>
      <w:r>
        <w:rPr>
          <w:rFonts w:hint="eastAsia" w:cs="宋体"/>
          <w:sz w:val="28"/>
          <w:szCs w:val="28"/>
          <w:lang w:val="zh-CN"/>
        </w:rPr>
        <w:t>（二）</w:t>
      </w:r>
      <w:r>
        <w:rPr>
          <w:rFonts w:hint="eastAsia" w:cs="宋体"/>
          <w:sz w:val="28"/>
          <w:szCs w:val="28"/>
        </w:rPr>
        <w:t>投标</w:t>
      </w:r>
      <w:r>
        <w:rPr>
          <w:rFonts w:hint="eastAsia" w:cs="宋体"/>
          <w:sz w:val="28"/>
          <w:szCs w:val="28"/>
          <w:lang w:val="zh-CN"/>
        </w:rPr>
        <w:t>函附录</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69"/>
      </w:tblGrid>
      <w:tr w14:paraId="45FD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0075F0EA">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sz w:val="24"/>
                <w:szCs w:val="24"/>
                <w:lang w:val="en-US" w:eastAsia="zh-CN"/>
              </w:rPr>
            </w:pPr>
            <w:r>
              <w:rPr>
                <w:rFonts w:hint="eastAsia" w:ascii="宋体" w:hAnsi="宋体" w:cs="宋体"/>
                <w:sz w:val="24"/>
                <w:szCs w:val="24"/>
              </w:rPr>
              <w:t>项目名称</w:t>
            </w:r>
          </w:p>
        </w:tc>
        <w:tc>
          <w:tcPr>
            <w:tcW w:w="6069" w:type="dxa"/>
            <w:tcBorders>
              <w:top w:val="single" w:color="auto" w:sz="4" w:space="0"/>
              <w:left w:val="single" w:color="auto" w:sz="4" w:space="0"/>
              <w:bottom w:val="single" w:color="auto" w:sz="4" w:space="0"/>
              <w:right w:val="single" w:color="auto" w:sz="4" w:space="0"/>
            </w:tcBorders>
            <w:vAlign w:val="center"/>
          </w:tcPr>
          <w:p w14:paraId="3B551263">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p>
        </w:tc>
      </w:tr>
      <w:tr w14:paraId="0949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B9FBF75">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sz w:val="24"/>
                <w:szCs w:val="24"/>
                <w:lang w:eastAsia="zh-CN"/>
              </w:rPr>
            </w:pPr>
            <w:r>
              <w:rPr>
                <w:rFonts w:hint="eastAsia" w:ascii="宋体" w:hAnsi="宋体" w:cs="宋体"/>
                <w:sz w:val="24"/>
                <w:szCs w:val="24"/>
                <w:lang w:eastAsia="zh-CN"/>
              </w:rPr>
              <w:t>供应商</w:t>
            </w:r>
          </w:p>
        </w:tc>
        <w:tc>
          <w:tcPr>
            <w:tcW w:w="6069" w:type="dxa"/>
            <w:tcBorders>
              <w:top w:val="single" w:color="auto" w:sz="4" w:space="0"/>
              <w:left w:val="single" w:color="auto" w:sz="4" w:space="0"/>
              <w:bottom w:val="single" w:color="auto" w:sz="4" w:space="0"/>
              <w:right w:val="single" w:color="auto" w:sz="4" w:space="0"/>
            </w:tcBorders>
            <w:vAlign w:val="center"/>
          </w:tcPr>
          <w:p w14:paraId="402ADD1C">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p>
        </w:tc>
      </w:tr>
      <w:tr w14:paraId="4F2F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3906EC5F">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r>
              <w:rPr>
                <w:rFonts w:hint="eastAsia" w:ascii="宋体" w:hAnsi="宋体" w:cs="宋体"/>
                <w:sz w:val="24"/>
                <w:szCs w:val="24"/>
              </w:rPr>
              <w:t>采购编号</w:t>
            </w:r>
          </w:p>
        </w:tc>
        <w:tc>
          <w:tcPr>
            <w:tcW w:w="6069" w:type="dxa"/>
            <w:tcBorders>
              <w:top w:val="single" w:color="auto" w:sz="4" w:space="0"/>
              <w:left w:val="single" w:color="auto" w:sz="4" w:space="0"/>
              <w:bottom w:val="single" w:color="auto" w:sz="4" w:space="0"/>
              <w:right w:val="single" w:color="auto" w:sz="4" w:space="0"/>
            </w:tcBorders>
            <w:vAlign w:val="center"/>
          </w:tcPr>
          <w:p w14:paraId="31AEA9DE">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p>
        </w:tc>
      </w:tr>
      <w:tr w14:paraId="52AA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30E7D23">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r>
              <w:rPr>
                <w:rFonts w:hint="eastAsia" w:ascii="宋体" w:hAnsi="宋体" w:cs="宋体"/>
                <w:sz w:val="24"/>
                <w:szCs w:val="24"/>
              </w:rPr>
              <w:t>采购范围</w:t>
            </w:r>
          </w:p>
        </w:tc>
        <w:tc>
          <w:tcPr>
            <w:tcW w:w="6069" w:type="dxa"/>
            <w:tcBorders>
              <w:top w:val="single" w:color="auto" w:sz="4" w:space="0"/>
              <w:left w:val="single" w:color="auto" w:sz="4" w:space="0"/>
              <w:bottom w:val="single" w:color="auto" w:sz="4" w:space="0"/>
              <w:right w:val="single" w:color="auto" w:sz="4" w:space="0"/>
            </w:tcBorders>
            <w:vAlign w:val="center"/>
          </w:tcPr>
          <w:p w14:paraId="07A4E50B">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p>
        </w:tc>
      </w:tr>
      <w:tr w14:paraId="0193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103F7238">
            <w:pPr>
              <w:keepNext w:val="0"/>
              <w:keepLines w:val="0"/>
              <w:widowControl/>
              <w:suppressLineNumbers w:val="0"/>
              <w:spacing w:before="0" w:beforeAutospacing="0" w:after="0" w:afterAutospacing="0"/>
              <w:ind w:left="0" w:right="0"/>
              <w:jc w:val="center"/>
              <w:rPr>
                <w:rFonts w:hint="default" w:ascii="宋体" w:hAnsi="宋体" w:cs="宋体"/>
                <w:sz w:val="24"/>
                <w:szCs w:val="24"/>
              </w:rPr>
            </w:pPr>
            <w:r>
              <w:rPr>
                <w:rFonts w:hint="eastAsia" w:ascii="宋体" w:hAnsi="宋体" w:cs="宋体"/>
                <w:sz w:val="24"/>
                <w:szCs w:val="24"/>
              </w:rPr>
              <w:t>投标报价</w:t>
            </w:r>
          </w:p>
        </w:tc>
        <w:tc>
          <w:tcPr>
            <w:tcW w:w="6069" w:type="dxa"/>
            <w:tcBorders>
              <w:top w:val="single" w:color="auto" w:sz="4" w:space="0"/>
              <w:left w:val="single" w:color="auto" w:sz="4" w:space="0"/>
              <w:bottom w:val="single" w:color="auto" w:sz="4" w:space="0"/>
              <w:right w:val="single" w:color="auto" w:sz="4" w:space="0"/>
            </w:tcBorders>
            <w:vAlign w:val="center"/>
          </w:tcPr>
          <w:p w14:paraId="56430C31">
            <w:pPr>
              <w:keepNext w:val="0"/>
              <w:keepLines w:val="0"/>
              <w:widowControl/>
              <w:suppressLineNumbers w:val="0"/>
              <w:spacing w:before="0" w:beforeAutospacing="0" w:after="0" w:afterAutospacing="0"/>
              <w:ind w:left="0" w:right="0" w:firstLine="480" w:firstLineChars="200"/>
              <w:jc w:val="both"/>
              <w:rPr>
                <w:rFonts w:hint="default" w:ascii="宋体" w:hAnsi="宋体" w:cs="宋体"/>
                <w:sz w:val="24"/>
                <w:szCs w:val="24"/>
              </w:rPr>
            </w:pPr>
            <w:r>
              <w:rPr>
                <w:rFonts w:hint="eastAsia" w:ascii="宋体" w:hAnsi="宋体" w:cs="宋体"/>
                <w:sz w:val="24"/>
                <w:szCs w:val="24"/>
              </w:rPr>
              <w:t>大写：</w:t>
            </w:r>
            <w:r>
              <w:rPr>
                <w:rFonts w:hint="eastAsia" w:ascii="宋体" w:hAnsi="宋体" w:cs="宋体"/>
                <w:b/>
                <w:bCs/>
                <w:sz w:val="24"/>
                <w:szCs w:val="24"/>
                <w:u w:val="single"/>
              </w:rPr>
              <w:t xml:space="preserve">                     </w:t>
            </w:r>
          </w:p>
          <w:p w14:paraId="0191CAB8">
            <w:pPr>
              <w:keepNext w:val="0"/>
              <w:keepLines w:val="0"/>
              <w:widowControl/>
              <w:suppressLineNumbers w:val="0"/>
              <w:spacing w:before="0" w:beforeAutospacing="0" w:after="0" w:afterAutospacing="0"/>
              <w:ind w:left="0" w:right="0" w:firstLine="480" w:firstLineChars="200"/>
              <w:jc w:val="both"/>
              <w:rPr>
                <w:rFonts w:hint="default" w:ascii="宋体" w:hAnsi="宋体" w:cs="宋体"/>
                <w:sz w:val="24"/>
                <w:szCs w:val="24"/>
                <w:u w:val="single"/>
              </w:rPr>
            </w:pPr>
            <w:r>
              <w:rPr>
                <w:rFonts w:hint="eastAsia" w:ascii="宋体" w:hAnsi="宋体" w:cs="宋体"/>
                <w:sz w:val="24"/>
                <w:szCs w:val="24"/>
              </w:rPr>
              <w:t>小写：￥</w:t>
            </w:r>
            <w:r>
              <w:rPr>
                <w:rFonts w:hint="eastAsia" w:ascii="宋体" w:hAnsi="宋体" w:cs="宋体"/>
                <w:sz w:val="24"/>
                <w:szCs w:val="24"/>
                <w:u w:val="single"/>
              </w:rPr>
              <w:t xml:space="preserve">                   </w:t>
            </w:r>
            <w:r>
              <w:rPr>
                <w:rFonts w:hint="eastAsia" w:ascii="宋体" w:hAnsi="宋体" w:cs="宋体"/>
                <w:sz w:val="24"/>
                <w:szCs w:val="24"/>
              </w:rPr>
              <w:t>元</w:t>
            </w:r>
          </w:p>
        </w:tc>
      </w:tr>
      <w:tr w14:paraId="63BB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0377377A">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r>
              <w:rPr>
                <w:rFonts w:hint="eastAsia" w:ascii="宋体" w:hAnsi="宋体" w:cs="宋体"/>
                <w:sz w:val="24"/>
                <w:szCs w:val="24"/>
              </w:rPr>
              <w:t>交货期</w:t>
            </w:r>
          </w:p>
        </w:tc>
        <w:tc>
          <w:tcPr>
            <w:tcW w:w="6069" w:type="dxa"/>
            <w:tcBorders>
              <w:top w:val="single" w:color="auto" w:sz="4" w:space="0"/>
              <w:left w:val="single" w:color="auto" w:sz="4" w:space="0"/>
              <w:bottom w:val="single" w:color="auto" w:sz="4" w:space="0"/>
              <w:right w:val="single" w:color="auto" w:sz="4" w:space="0"/>
            </w:tcBorders>
            <w:vAlign w:val="center"/>
          </w:tcPr>
          <w:p w14:paraId="6D9DDB71">
            <w:pPr>
              <w:keepNext w:val="0"/>
              <w:keepLines w:val="0"/>
              <w:widowControl/>
              <w:suppressLineNumbers w:val="0"/>
              <w:spacing w:before="0" w:beforeAutospacing="0" w:after="0" w:afterAutospacing="0" w:line="500" w:lineRule="exact"/>
              <w:ind w:left="0" w:right="0"/>
              <w:jc w:val="center"/>
              <w:rPr>
                <w:rFonts w:hint="default" w:ascii="宋体" w:hAnsi="宋体" w:cs="宋体"/>
                <w:b/>
                <w:bCs/>
                <w:sz w:val="24"/>
                <w:szCs w:val="24"/>
              </w:rPr>
            </w:pPr>
          </w:p>
        </w:tc>
      </w:tr>
      <w:tr w14:paraId="3CC1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2410" w:type="dxa"/>
            <w:tcBorders>
              <w:top w:val="single" w:color="auto" w:sz="4" w:space="0"/>
              <w:left w:val="single" w:color="auto" w:sz="4" w:space="0"/>
              <w:right w:val="single" w:color="auto" w:sz="4" w:space="0"/>
            </w:tcBorders>
            <w:vAlign w:val="center"/>
          </w:tcPr>
          <w:p w14:paraId="314B6A2F">
            <w:pPr>
              <w:keepNext w:val="0"/>
              <w:keepLines w:val="0"/>
              <w:widowControl/>
              <w:suppressLineNumbers w:val="0"/>
              <w:spacing w:before="0" w:beforeAutospacing="0" w:after="0" w:afterAutospacing="0"/>
              <w:ind w:left="0" w:right="0"/>
              <w:jc w:val="center"/>
              <w:rPr>
                <w:rFonts w:hint="default" w:ascii="宋体" w:hAnsi="宋体" w:cs="宋体"/>
                <w:sz w:val="24"/>
                <w:szCs w:val="24"/>
              </w:rPr>
            </w:pPr>
            <w:r>
              <w:rPr>
                <w:rFonts w:hint="eastAsia" w:ascii="宋体" w:hAnsi="宋体" w:cs="宋体"/>
                <w:sz w:val="24"/>
                <w:szCs w:val="24"/>
              </w:rPr>
              <w:t>质保期</w:t>
            </w:r>
          </w:p>
        </w:tc>
        <w:tc>
          <w:tcPr>
            <w:tcW w:w="6069" w:type="dxa"/>
            <w:tcBorders>
              <w:top w:val="single" w:color="auto" w:sz="4" w:space="0"/>
              <w:left w:val="single" w:color="auto" w:sz="4" w:space="0"/>
              <w:right w:val="single" w:color="auto" w:sz="4" w:space="0"/>
            </w:tcBorders>
            <w:vAlign w:val="center"/>
          </w:tcPr>
          <w:p w14:paraId="19ECD47A">
            <w:pPr>
              <w:keepNext w:val="0"/>
              <w:keepLines w:val="0"/>
              <w:widowControl/>
              <w:suppressLineNumbers w:val="0"/>
              <w:spacing w:before="0" w:beforeAutospacing="0" w:after="0" w:afterAutospacing="0" w:line="500" w:lineRule="exact"/>
              <w:ind w:left="0" w:right="0"/>
              <w:jc w:val="center"/>
              <w:rPr>
                <w:rFonts w:hint="default" w:ascii="宋体" w:hAnsi="宋体" w:cs="宋体"/>
                <w:b/>
                <w:bCs/>
                <w:sz w:val="24"/>
                <w:szCs w:val="24"/>
              </w:rPr>
            </w:pPr>
          </w:p>
        </w:tc>
      </w:tr>
      <w:tr w14:paraId="75F5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2410" w:type="dxa"/>
            <w:tcBorders>
              <w:top w:val="single" w:color="auto" w:sz="4" w:space="0"/>
              <w:left w:val="single" w:color="auto" w:sz="4" w:space="0"/>
              <w:right w:val="single" w:color="auto" w:sz="4" w:space="0"/>
            </w:tcBorders>
            <w:vAlign w:val="center"/>
          </w:tcPr>
          <w:p w14:paraId="250B1D11">
            <w:pPr>
              <w:keepNext w:val="0"/>
              <w:keepLines w:val="0"/>
              <w:widowControl/>
              <w:suppressLineNumbers w:val="0"/>
              <w:spacing w:before="0" w:beforeAutospacing="0" w:after="0" w:afterAutospacing="0"/>
              <w:ind w:left="0" w:right="0"/>
              <w:jc w:val="center"/>
              <w:rPr>
                <w:rFonts w:hint="eastAsia" w:ascii="宋体" w:hAnsi="宋体" w:cs="宋体"/>
                <w:sz w:val="24"/>
                <w:szCs w:val="24"/>
              </w:rPr>
            </w:pPr>
            <w:r>
              <w:rPr>
                <w:rFonts w:hint="eastAsia" w:ascii="宋体" w:hAnsi="宋体" w:eastAsia="宋体" w:cs="宋体"/>
                <w:sz w:val="24"/>
                <w:szCs w:val="24"/>
              </w:rPr>
              <w:t>投标有效期</w:t>
            </w:r>
          </w:p>
        </w:tc>
        <w:tc>
          <w:tcPr>
            <w:tcW w:w="6069" w:type="dxa"/>
            <w:tcBorders>
              <w:top w:val="single" w:color="auto" w:sz="4" w:space="0"/>
              <w:left w:val="single" w:color="auto" w:sz="4" w:space="0"/>
              <w:right w:val="single" w:color="auto" w:sz="4" w:space="0"/>
            </w:tcBorders>
            <w:vAlign w:val="center"/>
          </w:tcPr>
          <w:p w14:paraId="436C4409">
            <w:pPr>
              <w:keepNext w:val="0"/>
              <w:keepLines w:val="0"/>
              <w:widowControl/>
              <w:suppressLineNumbers w:val="0"/>
              <w:spacing w:before="0" w:beforeAutospacing="0" w:after="0" w:afterAutospacing="0" w:line="500" w:lineRule="exact"/>
              <w:ind w:left="0" w:right="0"/>
              <w:jc w:val="center"/>
              <w:rPr>
                <w:rFonts w:hint="default" w:ascii="宋体" w:hAnsi="宋体" w:cs="宋体"/>
                <w:b/>
                <w:bCs/>
                <w:sz w:val="24"/>
                <w:szCs w:val="24"/>
              </w:rPr>
            </w:pPr>
          </w:p>
        </w:tc>
      </w:tr>
      <w:tr w14:paraId="53E5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41AB5F56">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r>
              <w:rPr>
                <w:rFonts w:hint="eastAsia" w:ascii="宋体" w:hAnsi="宋体" w:cs="宋体"/>
                <w:sz w:val="24"/>
                <w:szCs w:val="24"/>
              </w:rPr>
              <w:t>质量要求</w:t>
            </w:r>
          </w:p>
        </w:tc>
        <w:tc>
          <w:tcPr>
            <w:tcW w:w="6069" w:type="dxa"/>
            <w:tcBorders>
              <w:top w:val="single" w:color="auto" w:sz="4" w:space="0"/>
              <w:left w:val="single" w:color="auto" w:sz="4" w:space="0"/>
              <w:bottom w:val="single" w:color="auto" w:sz="4" w:space="0"/>
              <w:right w:val="single" w:color="auto" w:sz="4" w:space="0"/>
            </w:tcBorders>
            <w:vAlign w:val="center"/>
          </w:tcPr>
          <w:p w14:paraId="57A2ED97">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r>
              <w:rPr>
                <w:rFonts w:hint="eastAsia" w:ascii="宋体" w:hAnsi="宋体" w:cs="宋体"/>
                <w:sz w:val="24"/>
                <w:szCs w:val="24"/>
              </w:rPr>
              <w:t xml:space="preserve"> </w:t>
            </w:r>
          </w:p>
        </w:tc>
      </w:tr>
      <w:tr w14:paraId="321D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5BBEA6BD">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联系人及电话</w:t>
            </w:r>
          </w:p>
        </w:tc>
        <w:tc>
          <w:tcPr>
            <w:tcW w:w="6069" w:type="dxa"/>
            <w:tcBorders>
              <w:top w:val="single" w:color="auto" w:sz="4" w:space="0"/>
              <w:left w:val="single" w:color="auto" w:sz="4" w:space="0"/>
              <w:bottom w:val="single" w:color="auto" w:sz="4" w:space="0"/>
              <w:right w:val="single" w:color="auto" w:sz="4" w:space="0"/>
            </w:tcBorders>
            <w:vAlign w:val="center"/>
          </w:tcPr>
          <w:p w14:paraId="1B9F218D">
            <w:pPr>
              <w:keepNext w:val="0"/>
              <w:keepLines w:val="0"/>
              <w:widowControl/>
              <w:suppressLineNumbers w:val="0"/>
              <w:spacing w:before="0" w:beforeAutospacing="0" w:after="0" w:afterAutospacing="0" w:line="360" w:lineRule="auto"/>
              <w:ind w:left="0" w:right="0"/>
              <w:jc w:val="center"/>
              <w:rPr>
                <w:rFonts w:hint="eastAsia" w:ascii="宋体" w:hAnsi="宋体" w:cs="宋体"/>
                <w:sz w:val="24"/>
                <w:szCs w:val="24"/>
              </w:rPr>
            </w:pPr>
          </w:p>
        </w:tc>
      </w:tr>
      <w:tr w14:paraId="1840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5B6E6E44">
            <w:pPr>
              <w:keepNext w:val="0"/>
              <w:keepLines w:val="0"/>
              <w:widowControl/>
              <w:suppressLineNumbers w:val="0"/>
              <w:spacing w:before="0" w:beforeAutospacing="0" w:after="0" w:afterAutospacing="0" w:line="360" w:lineRule="exact"/>
              <w:ind w:left="0" w:right="0"/>
              <w:jc w:val="center"/>
              <w:rPr>
                <w:rFonts w:hint="default" w:ascii="宋体" w:hAnsi="宋体" w:cs="宋体"/>
                <w:sz w:val="24"/>
                <w:szCs w:val="24"/>
              </w:rPr>
            </w:pPr>
            <w:r>
              <w:rPr>
                <w:rFonts w:hint="eastAsia" w:ascii="宋体" w:hAnsi="宋体" w:cs="宋体"/>
                <w:sz w:val="24"/>
                <w:szCs w:val="24"/>
              </w:rPr>
              <w:t>其他说明</w:t>
            </w:r>
          </w:p>
        </w:tc>
        <w:tc>
          <w:tcPr>
            <w:tcW w:w="6069" w:type="dxa"/>
            <w:tcBorders>
              <w:top w:val="single" w:color="auto" w:sz="4" w:space="0"/>
              <w:left w:val="single" w:color="auto" w:sz="4" w:space="0"/>
              <w:bottom w:val="single" w:color="auto" w:sz="4" w:space="0"/>
              <w:right w:val="single" w:color="auto" w:sz="4" w:space="0"/>
            </w:tcBorders>
            <w:vAlign w:val="center"/>
          </w:tcPr>
          <w:p w14:paraId="6B421F7F">
            <w:pPr>
              <w:keepNext w:val="0"/>
              <w:keepLines w:val="0"/>
              <w:widowControl/>
              <w:suppressLineNumbers w:val="0"/>
              <w:spacing w:before="0" w:beforeAutospacing="0" w:after="0" w:afterAutospacing="0" w:line="360" w:lineRule="exact"/>
              <w:ind w:left="0" w:right="0"/>
              <w:jc w:val="center"/>
              <w:rPr>
                <w:rFonts w:hint="default" w:ascii="宋体" w:hAnsi="宋体" w:cs="宋体"/>
                <w:sz w:val="24"/>
                <w:szCs w:val="24"/>
              </w:rPr>
            </w:pPr>
            <w:r>
              <w:rPr>
                <w:rFonts w:hint="eastAsia" w:ascii="宋体" w:hAnsi="宋体" w:cs="宋体"/>
                <w:sz w:val="24"/>
                <w:szCs w:val="24"/>
              </w:rPr>
              <w:t>（可另附页）</w:t>
            </w:r>
          </w:p>
        </w:tc>
      </w:tr>
      <w:tr w14:paraId="190B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3E664558">
            <w:pPr>
              <w:keepNext w:val="0"/>
              <w:keepLines w:val="0"/>
              <w:suppressLineNumbers w:val="0"/>
              <w:spacing w:before="0" w:beforeAutospacing="0" w:after="0" w:afterAutospacing="0" w:line="360" w:lineRule="auto"/>
              <w:ind w:left="0" w:right="0"/>
              <w:jc w:val="center"/>
              <w:rPr>
                <w:rFonts w:hint="default" w:ascii="宋体" w:hAnsi="宋体" w:cs="宋体"/>
                <w:sz w:val="24"/>
                <w:szCs w:val="24"/>
              </w:rPr>
            </w:pPr>
            <w:r>
              <w:rPr>
                <w:rFonts w:hint="eastAsia" w:ascii="宋体" w:hAnsi="宋体" w:cs="宋体"/>
                <w:sz w:val="24"/>
                <w:szCs w:val="24"/>
              </w:rPr>
              <w:t>备  注</w:t>
            </w:r>
          </w:p>
        </w:tc>
        <w:tc>
          <w:tcPr>
            <w:tcW w:w="6069" w:type="dxa"/>
            <w:tcBorders>
              <w:top w:val="single" w:color="auto" w:sz="4" w:space="0"/>
              <w:left w:val="single" w:color="auto" w:sz="4" w:space="0"/>
              <w:bottom w:val="single" w:color="auto" w:sz="4" w:space="0"/>
              <w:right w:val="single" w:color="auto" w:sz="4" w:space="0"/>
            </w:tcBorders>
            <w:vAlign w:val="center"/>
          </w:tcPr>
          <w:p w14:paraId="633E8068">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4"/>
              </w:rPr>
            </w:pPr>
          </w:p>
        </w:tc>
      </w:tr>
    </w:tbl>
    <w:p w14:paraId="7DC85849">
      <w:pPr>
        <w:rPr>
          <w:rFonts w:ascii="宋体" w:hAnsi="宋体" w:cs="宋体"/>
          <w:sz w:val="24"/>
          <w:szCs w:val="24"/>
        </w:rPr>
      </w:pPr>
    </w:p>
    <w:p w14:paraId="762947CD">
      <w:pPr>
        <w:rPr>
          <w:rFonts w:ascii="宋体" w:hAnsi="宋体" w:cs="宋体"/>
          <w:sz w:val="24"/>
          <w:szCs w:val="24"/>
        </w:rPr>
      </w:pPr>
    </w:p>
    <w:p w14:paraId="1A9FB6FA">
      <w:pPr>
        <w:rPr>
          <w:rFonts w:ascii="宋体" w:hAnsi="宋体" w:cs="宋体"/>
          <w:sz w:val="24"/>
          <w:szCs w:val="24"/>
        </w:rPr>
      </w:pPr>
    </w:p>
    <w:p w14:paraId="331EC7C1">
      <w:pPr>
        <w:pStyle w:val="9"/>
        <w:rPr>
          <w:rFonts w:ascii="宋体" w:hAnsi="宋体" w:eastAsia="宋体" w:cs="宋体"/>
          <w:sz w:val="24"/>
          <w:szCs w:val="24"/>
        </w:rPr>
      </w:pPr>
    </w:p>
    <w:p w14:paraId="7B9CCE30">
      <w:pPr>
        <w:pStyle w:val="9"/>
        <w:rPr>
          <w:rFonts w:ascii="宋体" w:hAnsi="宋体" w:eastAsia="宋体" w:cs="宋体"/>
          <w:sz w:val="24"/>
          <w:szCs w:val="24"/>
        </w:rPr>
      </w:pPr>
    </w:p>
    <w:p w14:paraId="3F61589E">
      <w:pPr>
        <w:pStyle w:val="9"/>
        <w:rPr>
          <w:rFonts w:ascii="宋体" w:hAnsi="宋体" w:eastAsia="宋体" w:cs="宋体"/>
          <w:sz w:val="24"/>
          <w:szCs w:val="24"/>
        </w:rPr>
      </w:pPr>
    </w:p>
    <w:p w14:paraId="1A551BC7">
      <w:pPr>
        <w:rPr>
          <w:rFonts w:ascii="宋体" w:hAnsi="宋体" w:cs="宋体"/>
          <w:sz w:val="24"/>
          <w:szCs w:val="24"/>
        </w:rPr>
      </w:pPr>
    </w:p>
    <w:p w14:paraId="7F4FDF3E">
      <w:pPr>
        <w:jc w:val="right"/>
        <w:rPr>
          <w:rFonts w:ascii="宋体" w:hAnsi="宋体" w:cs="宋体"/>
          <w:sz w:val="24"/>
          <w:szCs w:val="24"/>
        </w:rPr>
      </w:pPr>
      <w:r>
        <w:rPr>
          <w:rFonts w:hint="eastAsia" w:ascii="宋体" w:hAnsi="宋体" w:cs="宋体"/>
          <w:sz w:val="24"/>
          <w:szCs w:val="24"/>
          <w:lang w:eastAsia="zh-CN"/>
        </w:rPr>
        <w:t>供应商</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（盖章）</w:t>
      </w:r>
    </w:p>
    <w:p w14:paraId="0D25FA08">
      <w:pPr>
        <w:rPr>
          <w:rFonts w:ascii="宋体" w:hAnsi="宋体" w:cs="宋体"/>
          <w:sz w:val="24"/>
          <w:szCs w:val="24"/>
        </w:rPr>
      </w:pPr>
      <w:r>
        <w:rPr>
          <w:rFonts w:hint="eastAsia" w:ascii="宋体" w:hAnsi="宋体" w:cs="宋体"/>
          <w:sz w:val="24"/>
          <w:szCs w:val="24"/>
        </w:rPr>
        <w:t xml:space="preserve">     </w:t>
      </w:r>
    </w:p>
    <w:p w14:paraId="0867B4E2">
      <w:pPr>
        <w:jc w:val="right"/>
        <w:rPr>
          <w:rFonts w:ascii="宋体" w:hAnsi="宋体" w:cs="宋体"/>
          <w:sz w:val="24"/>
          <w:szCs w:val="24"/>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rPr>
        <w:t>（签章）</w:t>
      </w:r>
    </w:p>
    <w:p w14:paraId="700661CC">
      <w:pPr>
        <w:rPr>
          <w:rFonts w:ascii="宋体" w:hAnsi="宋体" w:cs="宋体"/>
          <w:sz w:val="24"/>
          <w:szCs w:val="24"/>
        </w:rPr>
      </w:pPr>
    </w:p>
    <w:p w14:paraId="12B81BD8">
      <w:pPr>
        <w:tabs>
          <w:tab w:val="left" w:pos="5380"/>
          <w:tab w:val="left" w:pos="6520"/>
          <w:tab w:val="left" w:pos="7680"/>
        </w:tabs>
        <w:autoSpaceDE w:val="0"/>
        <w:autoSpaceDN w:val="0"/>
        <w:adjustRightInd w:val="0"/>
        <w:ind w:right="-20" w:firstLine="1200" w:firstLineChars="500"/>
        <w:jc w:val="right"/>
        <w:rPr>
          <w:rFonts w:ascii="宋体" w:hAnsi="宋体" w:cs="宋体"/>
          <w:kern w:val="0"/>
          <w:sz w:val="24"/>
          <w:szCs w:val="24"/>
        </w:rPr>
      </w:pPr>
      <w:r>
        <w:rPr>
          <w:rFonts w:hint="eastAsia" w:ascii="宋体" w:hAnsi="宋体" w:cs="宋体"/>
          <w:kern w:val="0"/>
          <w:sz w:val="24"/>
          <w:szCs w:val="24"/>
          <w:u w:val="single"/>
        </w:rPr>
        <w:t xml:space="preserve">     </w:t>
      </w:r>
      <w:r>
        <w:rPr>
          <w:rFonts w:hint="eastAsia" w:ascii="宋体" w:hAnsi="宋体" w:cs="宋体"/>
          <w:spacing w:val="43"/>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2065A336">
      <w:pPr>
        <w:rPr>
          <w:rFonts w:ascii="宋体" w:hAnsi="宋体" w:cs="宋体"/>
        </w:rPr>
      </w:pPr>
    </w:p>
    <w:p w14:paraId="0674D585">
      <w:pPr>
        <w:pStyle w:val="3"/>
        <w:numPr>
          <w:ilvl w:val="0"/>
          <w:numId w:val="0"/>
        </w:numPr>
        <w:wordWrap w:val="0"/>
        <w:topLinePunct/>
        <w:spacing w:before="0" w:after="0" w:line="360" w:lineRule="auto"/>
        <w:ind w:left="0" w:leftChars="0" w:firstLine="0" w:firstLineChars="0"/>
        <w:rPr>
          <w:rFonts w:ascii="宋体" w:hAnsi="宋体" w:eastAsia="宋体" w:cs="宋体"/>
          <w:bCs/>
          <w:szCs w:val="24"/>
          <w:lang w:val="zh-CN"/>
        </w:rPr>
      </w:pPr>
      <w:r>
        <w:rPr>
          <w:rFonts w:ascii="宋体" w:hAnsi="宋体" w:eastAsia="宋体" w:cs="宋体"/>
          <w:b/>
          <w:bCs/>
          <w:kern w:val="2"/>
          <w:sz w:val="32"/>
          <w:szCs w:val="24"/>
          <w:lang w:val="zh-CN" w:eastAsia="zh-CN" w:bidi="ar-SA"/>
        </w:rPr>
        <w:t>二、</w:t>
      </w:r>
      <w:bookmarkStart w:id="744" w:name="_Toc7963_WPSOffice_Level1"/>
      <w:bookmarkStart w:id="745" w:name="_Toc7696"/>
      <w:bookmarkStart w:id="746" w:name="_Toc26581"/>
      <w:bookmarkStart w:id="747" w:name="_Toc6410"/>
      <w:bookmarkStart w:id="748" w:name="_Toc30050"/>
      <w:bookmarkStart w:id="749" w:name="_Toc15910"/>
      <w:bookmarkStart w:id="750" w:name="_Toc10578"/>
      <w:r>
        <w:rPr>
          <w:rFonts w:hint="eastAsia" w:ascii="宋体" w:hAnsi="宋体" w:eastAsia="宋体" w:cs="宋体"/>
          <w:bCs/>
          <w:szCs w:val="24"/>
          <w:lang w:val="zh-CN"/>
        </w:rPr>
        <w:t>法定代表人身份证明或法定代表人授权委托书</w:t>
      </w:r>
      <w:bookmarkEnd w:id="744"/>
      <w:bookmarkEnd w:id="745"/>
      <w:bookmarkEnd w:id="746"/>
      <w:bookmarkEnd w:id="747"/>
      <w:bookmarkEnd w:id="748"/>
    </w:p>
    <w:p w14:paraId="0FC73BA1">
      <w:pPr>
        <w:pStyle w:val="3"/>
        <w:numPr>
          <w:ilvl w:val="0"/>
          <w:numId w:val="0"/>
        </w:numPr>
        <w:topLinePunct/>
        <w:spacing w:before="0" w:after="0" w:line="360" w:lineRule="auto"/>
        <w:rPr>
          <w:rFonts w:ascii="宋体" w:hAnsi="宋体" w:eastAsia="宋体" w:cs="宋体"/>
          <w:bCs/>
          <w:szCs w:val="24"/>
          <w:lang w:val="zh-CN"/>
        </w:rPr>
      </w:pPr>
      <w:bookmarkStart w:id="751" w:name="_Toc32767"/>
      <w:bookmarkStart w:id="752" w:name="_Toc23087"/>
      <w:bookmarkStart w:id="753" w:name="_Toc3097"/>
      <w:bookmarkStart w:id="754" w:name="_Toc16082"/>
      <w:bookmarkStart w:id="755" w:name="_Toc19596_WPSOffice_Level1"/>
      <w:bookmarkStart w:id="756" w:name="_Toc17543"/>
      <w:bookmarkStart w:id="757" w:name="_Toc28064_WPSOffice_Level1"/>
      <w:bookmarkStart w:id="758" w:name="_Toc17647"/>
      <w:r>
        <w:rPr>
          <w:rFonts w:hint="eastAsia" w:ascii="宋体" w:hAnsi="宋体" w:eastAsia="宋体" w:cs="宋体"/>
          <w:bCs/>
          <w:szCs w:val="24"/>
          <w:lang w:val="zh-CN"/>
        </w:rPr>
        <w:t>法定代表人身份证明</w:t>
      </w:r>
      <w:bookmarkEnd w:id="743"/>
      <w:bookmarkEnd w:id="749"/>
      <w:bookmarkEnd w:id="750"/>
      <w:bookmarkEnd w:id="751"/>
      <w:bookmarkEnd w:id="752"/>
      <w:bookmarkEnd w:id="753"/>
      <w:bookmarkEnd w:id="754"/>
      <w:bookmarkEnd w:id="755"/>
      <w:bookmarkEnd w:id="756"/>
      <w:bookmarkEnd w:id="757"/>
      <w:bookmarkEnd w:id="758"/>
    </w:p>
    <w:p w14:paraId="40D6BB83">
      <w:pPr>
        <w:autoSpaceDE w:val="0"/>
        <w:autoSpaceDN w:val="0"/>
        <w:adjustRightInd w:val="0"/>
        <w:spacing w:line="480" w:lineRule="auto"/>
        <w:rPr>
          <w:rFonts w:ascii="宋体" w:hAnsi="宋体" w:cs="宋体"/>
          <w:kern w:val="0"/>
        </w:rPr>
      </w:pPr>
    </w:p>
    <w:p w14:paraId="371A77AB">
      <w:pPr>
        <w:autoSpaceDE w:val="0"/>
        <w:autoSpaceDN w:val="0"/>
        <w:adjustRightInd w:val="0"/>
        <w:spacing w:line="480" w:lineRule="auto"/>
        <w:rPr>
          <w:rFonts w:ascii="宋体" w:hAnsi="宋体" w:cs="宋体"/>
          <w:kern w:val="0"/>
          <w:sz w:val="24"/>
          <w:szCs w:val="24"/>
          <w:u w:val="single"/>
        </w:rPr>
      </w:pPr>
      <w:r>
        <w:rPr>
          <w:rFonts w:hint="eastAsia" w:ascii="宋体" w:hAnsi="宋体" w:cs="宋体"/>
          <w:kern w:val="0"/>
          <w:sz w:val="24"/>
          <w:szCs w:val="24"/>
          <w:lang w:eastAsia="zh-CN"/>
        </w:rPr>
        <w:t>供应商</w:t>
      </w:r>
      <w:r>
        <w:rPr>
          <w:rFonts w:hint="eastAsia" w:ascii="宋体" w:hAnsi="宋体" w:cs="宋体"/>
          <w:kern w:val="0"/>
          <w:sz w:val="24"/>
          <w:szCs w:val="24"/>
        </w:rPr>
        <w:t>名称：</w:t>
      </w:r>
      <w:r>
        <w:rPr>
          <w:rFonts w:hint="eastAsia" w:ascii="宋体" w:hAnsi="宋体" w:cs="宋体"/>
          <w:kern w:val="0"/>
          <w:sz w:val="24"/>
          <w:szCs w:val="24"/>
          <w:u w:val="single"/>
        </w:rPr>
        <w:t xml:space="preserve">                          </w:t>
      </w:r>
    </w:p>
    <w:p w14:paraId="0653E3DF">
      <w:pPr>
        <w:autoSpaceDE w:val="0"/>
        <w:autoSpaceDN w:val="0"/>
        <w:adjustRightInd w:val="0"/>
        <w:spacing w:line="480" w:lineRule="auto"/>
        <w:rPr>
          <w:rFonts w:ascii="宋体" w:hAnsi="宋体" w:cs="宋体"/>
          <w:kern w:val="0"/>
          <w:sz w:val="24"/>
          <w:szCs w:val="24"/>
          <w:u w:val="single"/>
        </w:rPr>
      </w:pPr>
      <w:r>
        <w:rPr>
          <w:rFonts w:hint="eastAsia" w:ascii="宋体" w:hAnsi="宋体" w:cs="宋体"/>
          <w:kern w:val="0"/>
          <w:sz w:val="24"/>
          <w:szCs w:val="24"/>
        </w:rPr>
        <w:t>姓名：</w:t>
      </w:r>
      <w:r>
        <w:rPr>
          <w:rFonts w:hint="eastAsia" w:ascii="宋体" w:hAnsi="宋体" w:cs="宋体"/>
          <w:kern w:val="0"/>
          <w:sz w:val="24"/>
          <w:szCs w:val="24"/>
          <w:u w:val="single"/>
        </w:rPr>
        <w:t xml:space="preserve">               </w:t>
      </w:r>
      <w:r>
        <w:rPr>
          <w:rFonts w:hint="eastAsia" w:ascii="宋体" w:hAnsi="宋体" w:cs="宋体"/>
          <w:kern w:val="0"/>
          <w:sz w:val="24"/>
          <w:szCs w:val="24"/>
        </w:rPr>
        <w:t>性别：</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年龄：</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职务：</w:t>
      </w:r>
      <w:r>
        <w:rPr>
          <w:rFonts w:hint="eastAsia" w:ascii="宋体" w:hAnsi="宋体" w:cs="宋体"/>
          <w:kern w:val="0"/>
          <w:sz w:val="24"/>
          <w:szCs w:val="24"/>
          <w:u w:val="single"/>
        </w:rPr>
        <w:t xml:space="preserve">                 </w:t>
      </w:r>
    </w:p>
    <w:p w14:paraId="384F8D4C">
      <w:pPr>
        <w:autoSpaceDE w:val="0"/>
        <w:autoSpaceDN w:val="0"/>
        <w:adjustRightInd w:val="0"/>
        <w:spacing w:line="480" w:lineRule="auto"/>
        <w:rPr>
          <w:rFonts w:ascii="宋体" w:hAnsi="宋体" w:cs="宋体"/>
          <w:kern w:val="0"/>
          <w:sz w:val="24"/>
          <w:szCs w:val="24"/>
        </w:rPr>
      </w:pPr>
      <w:r>
        <w:rPr>
          <w:rFonts w:hint="eastAsia" w:ascii="宋体" w:hAnsi="宋体" w:cs="宋体"/>
          <w:kern w:val="0"/>
          <w:sz w:val="24"/>
          <w:szCs w:val="24"/>
        </w:rPr>
        <w:t>系</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eastAsia="zh-CN"/>
        </w:rPr>
        <w:t>供应商</w:t>
      </w:r>
      <w:r>
        <w:rPr>
          <w:rFonts w:hint="eastAsia" w:ascii="宋体" w:hAnsi="宋体" w:cs="宋体"/>
          <w:kern w:val="0"/>
          <w:sz w:val="24"/>
          <w:szCs w:val="24"/>
        </w:rPr>
        <w:t>名称）的法定代表人。</w:t>
      </w:r>
    </w:p>
    <w:p w14:paraId="27D40AAC">
      <w:pPr>
        <w:autoSpaceDE w:val="0"/>
        <w:autoSpaceDN w:val="0"/>
        <w:adjustRightInd w:val="0"/>
        <w:spacing w:line="480" w:lineRule="auto"/>
        <w:rPr>
          <w:rFonts w:ascii="宋体" w:hAnsi="宋体" w:cs="宋体"/>
          <w:kern w:val="0"/>
          <w:sz w:val="24"/>
          <w:szCs w:val="24"/>
        </w:rPr>
      </w:pPr>
      <w:r>
        <w:rPr>
          <w:rFonts w:hint="eastAsia" w:ascii="宋体" w:hAnsi="宋体" w:cs="宋体"/>
          <w:kern w:val="0"/>
          <w:sz w:val="24"/>
          <w:szCs w:val="24"/>
        </w:rPr>
        <w:t>特此证明。</w:t>
      </w:r>
    </w:p>
    <w:p w14:paraId="4095ECC7">
      <w:pPr>
        <w:autoSpaceDE w:val="0"/>
        <w:autoSpaceDN w:val="0"/>
        <w:adjustRightInd w:val="0"/>
        <w:spacing w:line="480" w:lineRule="auto"/>
        <w:rPr>
          <w:rFonts w:ascii="宋体" w:hAnsi="宋体" w:cs="宋体"/>
          <w:kern w:val="0"/>
          <w:sz w:val="24"/>
          <w:szCs w:val="24"/>
        </w:rPr>
      </w:pPr>
      <w:r>
        <w:rPr>
          <w:rFonts w:hint="eastAsia" w:ascii="宋体" w:hAnsi="宋体" w:cs="宋体"/>
          <w:kern w:val="0"/>
          <w:sz w:val="24"/>
          <w:szCs w:val="24"/>
        </w:rPr>
        <w:t xml:space="preserve">附：法定代表人身份证复印件。 </w:t>
      </w:r>
    </w:p>
    <w:p w14:paraId="068372B0">
      <w:pPr>
        <w:autoSpaceDE w:val="0"/>
        <w:autoSpaceDN w:val="0"/>
        <w:adjustRightInd w:val="0"/>
        <w:spacing w:line="480" w:lineRule="auto"/>
        <w:rPr>
          <w:rFonts w:ascii="宋体" w:hAnsi="宋体" w:cs="宋体"/>
          <w:kern w:val="0"/>
          <w:sz w:val="24"/>
          <w:szCs w:val="24"/>
        </w:rPr>
      </w:pPr>
    </w:p>
    <w:p w14:paraId="4F271599">
      <w:pPr>
        <w:autoSpaceDE w:val="0"/>
        <w:autoSpaceDN w:val="0"/>
        <w:adjustRightInd w:val="0"/>
        <w:spacing w:line="480" w:lineRule="auto"/>
        <w:rPr>
          <w:rFonts w:ascii="宋体" w:hAnsi="宋体" w:cs="宋体"/>
          <w:kern w:val="0"/>
          <w:sz w:val="24"/>
          <w:szCs w:val="24"/>
        </w:rPr>
      </w:pPr>
    </w:p>
    <w:p w14:paraId="443F5530">
      <w:pPr>
        <w:autoSpaceDE w:val="0"/>
        <w:autoSpaceDN w:val="0"/>
        <w:adjustRightInd w:val="0"/>
        <w:spacing w:line="480" w:lineRule="auto"/>
        <w:rPr>
          <w:rFonts w:ascii="宋体" w:hAnsi="宋体" w:cs="宋体"/>
          <w:kern w:val="0"/>
          <w:sz w:val="24"/>
          <w:szCs w:val="24"/>
        </w:rPr>
      </w:pPr>
    </w:p>
    <w:p w14:paraId="2A140D18">
      <w:pPr>
        <w:autoSpaceDE w:val="0"/>
        <w:autoSpaceDN w:val="0"/>
        <w:adjustRightInd w:val="0"/>
        <w:spacing w:line="480" w:lineRule="auto"/>
        <w:rPr>
          <w:rFonts w:ascii="宋体" w:hAnsi="宋体" w:cs="宋体"/>
          <w:kern w:val="0"/>
          <w:sz w:val="24"/>
          <w:szCs w:val="24"/>
        </w:rPr>
      </w:pPr>
    </w:p>
    <w:p w14:paraId="781CDA6A">
      <w:pPr>
        <w:jc w:val="right"/>
        <w:rPr>
          <w:rFonts w:ascii="宋体" w:hAnsi="宋体" w:cs="宋体"/>
          <w:sz w:val="24"/>
          <w:szCs w:val="24"/>
        </w:rPr>
      </w:pPr>
      <w:r>
        <w:rPr>
          <w:rFonts w:hint="eastAsia" w:ascii="宋体" w:hAnsi="宋体" w:cs="宋体"/>
          <w:sz w:val="24"/>
          <w:szCs w:val="24"/>
          <w:lang w:eastAsia="zh-CN"/>
        </w:rPr>
        <w:t>供应商</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（盖章）</w:t>
      </w:r>
    </w:p>
    <w:p w14:paraId="598615AD">
      <w:pPr>
        <w:rPr>
          <w:rFonts w:ascii="宋体" w:hAnsi="宋体" w:cs="宋体"/>
          <w:sz w:val="24"/>
          <w:szCs w:val="24"/>
        </w:rPr>
      </w:pPr>
      <w:r>
        <w:rPr>
          <w:rFonts w:hint="eastAsia" w:ascii="宋体" w:hAnsi="宋体" w:cs="宋体"/>
          <w:sz w:val="24"/>
          <w:szCs w:val="24"/>
        </w:rPr>
        <w:t xml:space="preserve">     </w:t>
      </w:r>
    </w:p>
    <w:p w14:paraId="39B62F8D">
      <w:pPr>
        <w:tabs>
          <w:tab w:val="left" w:pos="5380"/>
          <w:tab w:val="left" w:pos="6520"/>
          <w:tab w:val="left" w:pos="7680"/>
        </w:tabs>
        <w:autoSpaceDE w:val="0"/>
        <w:autoSpaceDN w:val="0"/>
        <w:adjustRightInd w:val="0"/>
        <w:ind w:right="-20" w:firstLine="1200" w:firstLineChars="500"/>
        <w:jc w:val="right"/>
        <w:rPr>
          <w:rFonts w:ascii="宋体" w:hAnsi="宋体" w:cs="宋体"/>
          <w:kern w:val="0"/>
          <w:sz w:val="24"/>
          <w:szCs w:val="24"/>
        </w:rPr>
      </w:pPr>
      <w:r>
        <w:rPr>
          <w:rFonts w:hint="eastAsia" w:ascii="宋体" w:hAnsi="宋体" w:cs="宋体"/>
          <w:kern w:val="0"/>
          <w:sz w:val="24"/>
          <w:szCs w:val="24"/>
          <w:u w:val="single"/>
        </w:rPr>
        <w:t xml:space="preserve">     </w:t>
      </w:r>
      <w:r>
        <w:rPr>
          <w:rFonts w:hint="eastAsia" w:ascii="宋体" w:hAnsi="宋体" w:cs="宋体"/>
          <w:spacing w:val="43"/>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40D1511E">
      <w:pPr>
        <w:tabs>
          <w:tab w:val="left" w:pos="5340"/>
          <w:tab w:val="left" w:pos="6180"/>
          <w:tab w:val="left" w:pos="7020"/>
        </w:tabs>
        <w:autoSpaceDE w:val="0"/>
        <w:autoSpaceDN w:val="0"/>
        <w:adjustRightInd w:val="0"/>
        <w:ind w:left="4721" w:right="-20"/>
        <w:rPr>
          <w:rFonts w:ascii="宋体" w:hAnsi="宋体" w:cs="宋体"/>
          <w:kern w:val="0"/>
        </w:rPr>
      </w:pPr>
    </w:p>
    <w:p w14:paraId="46430943">
      <w:pPr>
        <w:rPr>
          <w:rFonts w:ascii="宋体" w:hAnsi="宋体" w:cs="宋体"/>
        </w:rPr>
      </w:pPr>
      <w:r>
        <w:rPr>
          <w:rFonts w:hint="eastAsia" w:ascii="宋体" w:hAnsi="宋体" w:cs="宋体"/>
        </w:rPr>
        <w:br w:type="page"/>
      </w:r>
    </w:p>
    <w:p w14:paraId="3FEADB87">
      <w:pPr>
        <w:pStyle w:val="3"/>
        <w:numPr>
          <w:ilvl w:val="0"/>
          <w:numId w:val="0"/>
        </w:numPr>
        <w:topLinePunct/>
        <w:spacing w:before="0" w:after="0" w:line="360" w:lineRule="auto"/>
        <w:ind w:left="839" w:hanging="420"/>
        <w:rPr>
          <w:rFonts w:ascii="宋体" w:hAnsi="宋体" w:eastAsia="宋体" w:cs="宋体"/>
          <w:bCs/>
          <w:szCs w:val="24"/>
          <w:lang w:val="zh-CN"/>
        </w:rPr>
      </w:pPr>
      <w:bookmarkStart w:id="759" w:name="_Toc14530"/>
      <w:bookmarkStart w:id="760" w:name="_Toc25376"/>
      <w:bookmarkStart w:id="761" w:name="_Toc30588"/>
      <w:bookmarkStart w:id="762" w:name="_Toc26330"/>
      <w:bookmarkStart w:id="763" w:name="_Toc6199_WPSOffice_Level1"/>
      <w:bookmarkStart w:id="764" w:name="_Toc29605"/>
      <w:bookmarkStart w:id="765" w:name="_Toc11454"/>
      <w:bookmarkStart w:id="766" w:name="_Toc6674"/>
      <w:bookmarkStart w:id="767" w:name="_Toc25981"/>
      <w:bookmarkStart w:id="768" w:name="_Toc28529_WPSOffice_Level1"/>
      <w:bookmarkStart w:id="769" w:name="_Toc25685"/>
      <w:bookmarkStart w:id="770" w:name="_Toc28309"/>
      <w:bookmarkStart w:id="771" w:name="_Toc432"/>
      <w:bookmarkStart w:id="772" w:name="_Toc12134"/>
      <w:r>
        <w:rPr>
          <w:rFonts w:hint="eastAsia" w:ascii="宋体" w:hAnsi="宋体" w:eastAsia="宋体" w:cs="宋体"/>
          <w:bCs/>
          <w:szCs w:val="24"/>
          <w:lang w:val="zh-CN"/>
        </w:rPr>
        <w:t>法定代表人授权委托书</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07FC6FE7">
      <w:pPr>
        <w:autoSpaceDE w:val="0"/>
        <w:autoSpaceDN w:val="0"/>
        <w:adjustRightInd w:val="0"/>
        <w:spacing w:line="200" w:lineRule="exact"/>
        <w:rPr>
          <w:rFonts w:ascii="宋体" w:hAnsi="宋体" w:cs="宋体"/>
          <w:kern w:val="0"/>
          <w:sz w:val="20"/>
          <w:szCs w:val="20"/>
        </w:rPr>
      </w:pPr>
    </w:p>
    <w:p w14:paraId="022D8180">
      <w:pPr>
        <w:tabs>
          <w:tab w:val="left" w:pos="3880"/>
        </w:tabs>
        <w:autoSpaceDE w:val="0"/>
        <w:autoSpaceDN w:val="0"/>
        <w:adjustRightInd w:val="0"/>
        <w:spacing w:line="360" w:lineRule="auto"/>
        <w:ind w:firstLine="480" w:firstLineChars="200"/>
        <w:rPr>
          <w:rFonts w:ascii="宋体" w:hAnsi="宋体" w:cs="宋体"/>
          <w:sz w:val="24"/>
          <w:szCs w:val="24"/>
        </w:rPr>
      </w:pPr>
      <w:r>
        <w:rPr>
          <w:rFonts w:hint="eastAsia" w:ascii="宋体" w:hAnsi="宋体" w:cs="宋体"/>
          <w:sz w:val="24"/>
          <w:szCs w:val="24"/>
        </w:rPr>
        <w:t>本人</w:t>
      </w:r>
      <w:r>
        <w:rPr>
          <w:rFonts w:hint="eastAsia" w:ascii="宋体" w:hAnsi="宋体" w:cs="宋体"/>
          <w:sz w:val="24"/>
          <w:szCs w:val="24"/>
          <w:u w:val="single"/>
        </w:rPr>
        <w:t xml:space="preserve">                  </w:t>
      </w:r>
      <w:r>
        <w:rPr>
          <w:rFonts w:hint="eastAsia" w:ascii="宋体" w:hAnsi="宋体" w:cs="宋体"/>
          <w:sz w:val="24"/>
          <w:szCs w:val="24"/>
        </w:rPr>
        <w:t>（姓名）系</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供应商</w:t>
      </w:r>
      <w:r>
        <w:rPr>
          <w:rFonts w:hint="eastAsia" w:ascii="宋体" w:hAnsi="宋体" w:cs="宋体"/>
          <w:sz w:val="24"/>
          <w:szCs w:val="24"/>
        </w:rPr>
        <w:t>名称）的法定代表人，现委托</w:t>
      </w:r>
      <w:r>
        <w:rPr>
          <w:rFonts w:hint="eastAsia" w:ascii="宋体" w:hAnsi="宋体" w:cs="宋体"/>
          <w:sz w:val="24"/>
          <w:szCs w:val="24"/>
          <w:u w:val="single"/>
        </w:rPr>
        <w:t xml:space="preserve">                 </w:t>
      </w:r>
      <w:r>
        <w:rPr>
          <w:rFonts w:hint="eastAsia" w:ascii="宋体" w:hAnsi="宋体" w:cs="宋体"/>
          <w:sz w:val="24"/>
          <w:szCs w:val="24"/>
        </w:rPr>
        <w:t>（姓名、职务）为我方代理人。</w:t>
      </w:r>
      <w:r>
        <w:rPr>
          <w:rFonts w:hint="eastAsia" w:ascii="宋体" w:hAnsi="宋体" w:cs="宋体"/>
          <w:kern w:val="0"/>
          <w:position w:val="-2"/>
          <w:sz w:val="24"/>
          <w:szCs w:val="24"/>
        </w:rPr>
        <w:t>代理</w:t>
      </w:r>
      <w:r>
        <w:rPr>
          <w:rFonts w:hint="eastAsia" w:ascii="宋体" w:hAnsi="宋体" w:cs="宋体"/>
          <w:spacing w:val="-2"/>
          <w:kern w:val="0"/>
          <w:position w:val="-2"/>
          <w:sz w:val="24"/>
          <w:szCs w:val="24"/>
        </w:rPr>
        <w:t>人</w:t>
      </w:r>
      <w:r>
        <w:rPr>
          <w:rFonts w:hint="eastAsia" w:ascii="宋体" w:hAnsi="宋体" w:cs="宋体"/>
          <w:kern w:val="0"/>
          <w:position w:val="-2"/>
          <w:sz w:val="24"/>
          <w:szCs w:val="24"/>
        </w:rPr>
        <w:t>根据授权，</w:t>
      </w:r>
      <w:r>
        <w:rPr>
          <w:rFonts w:hint="eastAsia" w:ascii="宋体" w:hAnsi="宋体" w:cs="宋体"/>
          <w:spacing w:val="-2"/>
          <w:kern w:val="0"/>
          <w:position w:val="-2"/>
          <w:sz w:val="24"/>
          <w:szCs w:val="24"/>
        </w:rPr>
        <w:t>以</w:t>
      </w:r>
      <w:r>
        <w:rPr>
          <w:rFonts w:hint="eastAsia" w:ascii="宋体" w:hAnsi="宋体" w:cs="宋体"/>
          <w:kern w:val="0"/>
          <w:position w:val="-2"/>
          <w:sz w:val="24"/>
          <w:szCs w:val="24"/>
        </w:rPr>
        <w:t>我方名</w:t>
      </w:r>
      <w:r>
        <w:rPr>
          <w:rFonts w:hint="eastAsia" w:ascii="宋体" w:hAnsi="宋体" w:cs="宋体"/>
          <w:sz w:val="24"/>
          <w:szCs w:val="24"/>
        </w:rPr>
        <w:t>义签署、澄清确认、递交、撤回、修改采购项目投标文件、签订合同和处理有关事宜，其法律后果由我方承担。</w:t>
      </w:r>
    </w:p>
    <w:p w14:paraId="6822CF99">
      <w:pPr>
        <w:spacing w:line="360" w:lineRule="auto"/>
        <w:ind w:firstLine="420"/>
        <w:rPr>
          <w:rFonts w:ascii="宋体" w:hAnsi="宋体" w:cs="宋体"/>
          <w:sz w:val="24"/>
          <w:szCs w:val="24"/>
        </w:rPr>
      </w:pPr>
    </w:p>
    <w:p w14:paraId="6D5E20E4">
      <w:pPr>
        <w:spacing w:line="500" w:lineRule="exact"/>
        <w:ind w:firstLine="480" w:firstLineChars="200"/>
        <w:rPr>
          <w:rFonts w:ascii="宋体" w:hAnsi="宋体" w:cs="宋体"/>
          <w:sz w:val="24"/>
          <w:szCs w:val="24"/>
          <w:u w:val="single"/>
        </w:rPr>
      </w:pPr>
      <w:r>
        <w:rPr>
          <w:rFonts w:hint="eastAsia" w:ascii="宋体" w:hAnsi="宋体" w:cs="宋体"/>
          <w:sz w:val="24"/>
          <w:szCs w:val="24"/>
        </w:rPr>
        <w:t>委托期限：</w:t>
      </w:r>
      <w:r>
        <w:rPr>
          <w:rFonts w:hint="eastAsia" w:ascii="宋体" w:hAnsi="宋体" w:cs="宋体"/>
          <w:sz w:val="24"/>
          <w:szCs w:val="24"/>
          <w:u w:val="single"/>
        </w:rPr>
        <w:t xml:space="preserve">                  </w:t>
      </w:r>
    </w:p>
    <w:p w14:paraId="72817801">
      <w:pPr>
        <w:spacing w:line="500" w:lineRule="exact"/>
        <w:ind w:firstLine="480" w:firstLineChars="200"/>
        <w:rPr>
          <w:rFonts w:ascii="宋体" w:hAnsi="宋体" w:cs="宋体"/>
          <w:sz w:val="24"/>
          <w:szCs w:val="24"/>
        </w:rPr>
      </w:pPr>
      <w:r>
        <w:rPr>
          <w:rFonts w:hint="eastAsia" w:ascii="宋体" w:hAnsi="宋体" w:cs="宋体"/>
          <w:sz w:val="24"/>
          <w:szCs w:val="24"/>
        </w:rPr>
        <w:t>代理人无转委托权。</w:t>
      </w:r>
    </w:p>
    <w:p w14:paraId="18140F76">
      <w:pPr>
        <w:spacing w:line="500" w:lineRule="exact"/>
        <w:ind w:firstLine="480" w:firstLineChars="200"/>
        <w:rPr>
          <w:rFonts w:ascii="宋体" w:hAnsi="宋体" w:cs="宋体"/>
          <w:sz w:val="24"/>
          <w:szCs w:val="24"/>
        </w:rPr>
      </w:pPr>
      <w:r>
        <w:rPr>
          <w:rFonts w:hint="eastAsia" w:ascii="宋体" w:hAnsi="宋体" w:cs="宋体"/>
          <w:sz w:val="24"/>
          <w:szCs w:val="24"/>
        </w:rPr>
        <w:t>附：</w:t>
      </w:r>
      <w:r>
        <w:rPr>
          <w:rFonts w:hint="eastAsia" w:ascii="宋体" w:hAnsi="宋体" w:cs="宋体"/>
          <w:kern w:val="0"/>
          <w:sz w:val="24"/>
          <w:szCs w:val="24"/>
        </w:rPr>
        <w:t>委</w:t>
      </w:r>
      <w:r>
        <w:rPr>
          <w:rFonts w:hint="eastAsia" w:ascii="宋体" w:hAnsi="宋体" w:cs="宋体"/>
          <w:spacing w:val="-2"/>
          <w:kern w:val="0"/>
          <w:sz w:val="24"/>
          <w:szCs w:val="24"/>
        </w:rPr>
        <w:t>托</w:t>
      </w:r>
      <w:r>
        <w:rPr>
          <w:rFonts w:hint="eastAsia" w:ascii="宋体" w:hAnsi="宋体" w:cs="宋体"/>
          <w:kern w:val="0"/>
          <w:sz w:val="24"/>
          <w:szCs w:val="24"/>
        </w:rPr>
        <w:t>代</w:t>
      </w:r>
      <w:r>
        <w:rPr>
          <w:rFonts w:hint="eastAsia" w:ascii="宋体" w:hAnsi="宋体" w:cs="宋体"/>
          <w:spacing w:val="-2"/>
          <w:kern w:val="0"/>
          <w:sz w:val="24"/>
          <w:szCs w:val="24"/>
        </w:rPr>
        <w:t>理</w:t>
      </w:r>
      <w:r>
        <w:rPr>
          <w:rFonts w:hint="eastAsia" w:ascii="宋体" w:hAnsi="宋体" w:cs="宋体"/>
          <w:kern w:val="0"/>
          <w:sz w:val="24"/>
          <w:szCs w:val="24"/>
        </w:rPr>
        <w:t>人</w:t>
      </w:r>
      <w:r>
        <w:rPr>
          <w:rFonts w:hint="eastAsia" w:ascii="宋体" w:hAnsi="宋体" w:cs="宋体"/>
          <w:spacing w:val="-2"/>
          <w:kern w:val="0"/>
          <w:sz w:val="24"/>
          <w:szCs w:val="24"/>
        </w:rPr>
        <w:t>身</w:t>
      </w:r>
      <w:r>
        <w:rPr>
          <w:rFonts w:hint="eastAsia" w:ascii="宋体" w:hAnsi="宋体" w:cs="宋体"/>
          <w:kern w:val="0"/>
          <w:sz w:val="24"/>
          <w:szCs w:val="24"/>
        </w:rPr>
        <w:t>份</w:t>
      </w:r>
      <w:r>
        <w:rPr>
          <w:rFonts w:hint="eastAsia" w:ascii="宋体" w:hAnsi="宋体" w:cs="宋体"/>
          <w:spacing w:val="-2"/>
          <w:kern w:val="0"/>
          <w:sz w:val="24"/>
          <w:szCs w:val="24"/>
        </w:rPr>
        <w:t>证</w:t>
      </w:r>
      <w:r>
        <w:rPr>
          <w:rFonts w:hint="eastAsia" w:ascii="宋体" w:hAnsi="宋体" w:cs="宋体"/>
          <w:kern w:val="0"/>
          <w:sz w:val="24"/>
          <w:szCs w:val="24"/>
        </w:rPr>
        <w:t>复印件</w:t>
      </w:r>
    </w:p>
    <w:p w14:paraId="3069945B">
      <w:pPr>
        <w:spacing w:line="500" w:lineRule="exact"/>
        <w:rPr>
          <w:rFonts w:ascii="宋体" w:hAnsi="宋体" w:cs="宋体"/>
          <w:sz w:val="24"/>
          <w:szCs w:val="24"/>
        </w:rPr>
      </w:pPr>
    </w:p>
    <w:p w14:paraId="5463B94C">
      <w:pPr>
        <w:spacing w:line="500" w:lineRule="exact"/>
        <w:rPr>
          <w:rFonts w:ascii="宋体" w:hAnsi="宋体" w:cs="宋体"/>
          <w:sz w:val="24"/>
          <w:szCs w:val="24"/>
        </w:rPr>
      </w:pPr>
    </w:p>
    <w:p w14:paraId="2A358DBB">
      <w:pPr>
        <w:spacing w:line="480" w:lineRule="auto"/>
        <w:jc w:val="right"/>
        <w:rPr>
          <w:rFonts w:ascii="宋体" w:hAnsi="宋体" w:cs="宋体"/>
          <w:sz w:val="24"/>
          <w:szCs w:val="24"/>
        </w:rPr>
      </w:pPr>
      <w:r>
        <w:rPr>
          <w:rFonts w:hint="eastAsia" w:ascii="宋体" w:hAnsi="宋体" w:cs="宋体"/>
          <w:sz w:val="24"/>
          <w:szCs w:val="24"/>
          <w:lang w:eastAsia="zh-CN"/>
        </w:rPr>
        <w:t>供应商</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rPr>
        <w:t>（盖章）</w:t>
      </w:r>
    </w:p>
    <w:p w14:paraId="7263591D">
      <w:pPr>
        <w:pStyle w:val="39"/>
        <w:spacing w:line="480" w:lineRule="auto"/>
        <w:jc w:val="right"/>
        <w:rPr>
          <w:rFonts w:hAnsi="宋体"/>
          <w:color w:val="auto"/>
          <w:kern w:val="2"/>
          <w:sz w:val="24"/>
          <w:szCs w:val="24"/>
        </w:rPr>
      </w:pPr>
      <w:r>
        <w:rPr>
          <w:rFonts w:hint="eastAsia" w:hAnsi="宋体"/>
          <w:color w:val="auto"/>
          <w:kern w:val="2"/>
          <w:sz w:val="24"/>
          <w:szCs w:val="24"/>
        </w:rPr>
        <w:t>法定代表人：</w:t>
      </w:r>
      <w:r>
        <w:rPr>
          <w:rFonts w:hint="eastAsia" w:hAnsi="宋体"/>
          <w:color w:val="auto"/>
          <w:sz w:val="24"/>
          <w:szCs w:val="24"/>
          <w:u w:val="single"/>
        </w:rPr>
        <w:t xml:space="preserve">                    </w:t>
      </w:r>
      <w:r>
        <w:rPr>
          <w:rFonts w:hint="eastAsia" w:hAnsi="宋体"/>
          <w:color w:val="auto"/>
          <w:kern w:val="2"/>
          <w:sz w:val="24"/>
          <w:szCs w:val="24"/>
        </w:rPr>
        <w:t>（签章）</w:t>
      </w:r>
    </w:p>
    <w:p w14:paraId="4491FBAC">
      <w:pPr>
        <w:pStyle w:val="39"/>
        <w:spacing w:line="480" w:lineRule="auto"/>
        <w:jc w:val="right"/>
        <w:rPr>
          <w:rFonts w:hAnsi="宋体"/>
          <w:color w:val="auto"/>
          <w:kern w:val="2"/>
          <w:sz w:val="24"/>
          <w:szCs w:val="24"/>
        </w:rPr>
      </w:pPr>
      <w:r>
        <w:rPr>
          <w:rFonts w:hint="eastAsia" w:hAnsi="宋体"/>
          <w:color w:val="auto"/>
          <w:kern w:val="2"/>
          <w:sz w:val="24"/>
          <w:szCs w:val="24"/>
        </w:rPr>
        <w:t xml:space="preserve">                  </w:t>
      </w:r>
      <w:r>
        <w:rPr>
          <w:rFonts w:hint="eastAsia" w:hAnsi="宋体"/>
          <w:color w:val="auto"/>
          <w:sz w:val="24"/>
          <w:szCs w:val="24"/>
          <w:u w:val="single"/>
        </w:rPr>
        <w:t xml:space="preserve">     </w:t>
      </w:r>
      <w:r>
        <w:rPr>
          <w:rFonts w:hint="eastAsia" w:hAnsi="宋体"/>
          <w:color w:val="auto"/>
          <w:spacing w:val="43"/>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w:t>
      </w:r>
    </w:p>
    <w:p w14:paraId="3C9E1CC1">
      <w:pPr>
        <w:spacing w:line="500" w:lineRule="exact"/>
        <w:rPr>
          <w:rFonts w:ascii="宋体" w:hAnsi="宋体" w:cs="宋体"/>
        </w:rPr>
      </w:pPr>
    </w:p>
    <w:p w14:paraId="7BC84F54">
      <w:pPr>
        <w:pStyle w:val="3"/>
        <w:numPr>
          <w:ilvl w:val="0"/>
          <w:numId w:val="0"/>
        </w:numPr>
        <w:wordWrap w:val="0"/>
        <w:topLinePunct/>
        <w:spacing w:before="0" w:after="0" w:line="360" w:lineRule="auto"/>
        <w:jc w:val="both"/>
        <w:rPr>
          <w:rFonts w:ascii="宋体" w:hAnsi="宋体" w:eastAsia="宋体" w:cs="宋体"/>
          <w:bCs/>
          <w:szCs w:val="24"/>
          <w:lang w:val="zh-CN"/>
        </w:rPr>
      </w:pPr>
    </w:p>
    <w:p w14:paraId="5E5193FE">
      <w:pPr>
        <w:rPr>
          <w:rFonts w:ascii="宋体" w:hAnsi="宋体" w:cs="宋体"/>
        </w:rPr>
      </w:pPr>
    </w:p>
    <w:p w14:paraId="66C900FB">
      <w:pPr>
        <w:spacing w:line="360" w:lineRule="auto"/>
        <w:rPr>
          <w:rFonts w:ascii="宋体" w:hAnsi="宋体" w:cs="宋体"/>
        </w:rPr>
      </w:pPr>
    </w:p>
    <w:p w14:paraId="53E90A61">
      <w:pPr>
        <w:spacing w:line="360" w:lineRule="auto"/>
        <w:rPr>
          <w:rFonts w:ascii="宋体" w:hAnsi="宋体" w:cs="宋体"/>
        </w:rPr>
      </w:pPr>
    </w:p>
    <w:p w14:paraId="24FD35F0">
      <w:pPr>
        <w:spacing w:line="360" w:lineRule="auto"/>
        <w:rPr>
          <w:rFonts w:ascii="宋体" w:hAnsi="宋体" w:cs="宋体"/>
        </w:rPr>
      </w:pPr>
    </w:p>
    <w:p w14:paraId="4D983170">
      <w:pPr>
        <w:spacing w:line="360" w:lineRule="auto"/>
        <w:rPr>
          <w:rFonts w:ascii="宋体" w:hAnsi="宋体" w:cs="宋体"/>
        </w:rPr>
      </w:pPr>
    </w:p>
    <w:p w14:paraId="652964FB">
      <w:pPr>
        <w:spacing w:line="460" w:lineRule="exact"/>
        <w:rPr>
          <w:rFonts w:ascii="宋体" w:hAnsi="宋体" w:cs="宋体"/>
        </w:rPr>
      </w:pPr>
    </w:p>
    <w:p w14:paraId="7DC2320B">
      <w:pPr>
        <w:pStyle w:val="3"/>
        <w:spacing w:line="360" w:lineRule="auto"/>
        <w:jc w:val="both"/>
        <w:rPr>
          <w:rFonts w:ascii="宋体" w:hAnsi="宋体" w:eastAsia="宋体" w:cs="宋体"/>
        </w:rPr>
        <w:sectPr>
          <w:footerReference r:id="rId11" w:type="first"/>
          <w:footerReference r:id="rId9" w:type="default"/>
          <w:footerReference r:id="rId10" w:type="even"/>
          <w:pgSz w:w="11906" w:h="16838"/>
          <w:pgMar w:top="1304" w:right="1797" w:bottom="1304" w:left="1797" w:header="851" w:footer="754" w:gutter="0"/>
          <w:pgBorders>
            <w:top w:val="none" w:sz="0" w:space="0"/>
            <w:left w:val="none" w:sz="0" w:space="0"/>
            <w:bottom w:val="none" w:sz="0" w:space="0"/>
            <w:right w:val="none" w:sz="0" w:space="0"/>
          </w:pgBorders>
          <w:pgNumType w:fmt="decimal"/>
          <w:cols w:space="720" w:num="1"/>
          <w:docGrid w:type="lines" w:linePitch="312" w:charSpace="0"/>
        </w:sectPr>
      </w:pPr>
      <w:bookmarkStart w:id="773" w:name="_Toc265572092"/>
    </w:p>
    <w:p w14:paraId="124A7748">
      <w:pPr>
        <w:pStyle w:val="3"/>
        <w:numPr>
          <w:ilvl w:val="0"/>
          <w:numId w:val="0"/>
        </w:numPr>
        <w:wordWrap w:val="0"/>
        <w:topLinePunct/>
        <w:spacing w:before="0" w:after="0" w:line="360" w:lineRule="auto"/>
        <w:rPr>
          <w:rFonts w:ascii="宋体" w:hAnsi="宋体" w:eastAsia="宋体" w:cs="宋体"/>
          <w:b w:val="0"/>
          <w:sz w:val="28"/>
          <w:szCs w:val="28"/>
        </w:rPr>
      </w:pPr>
      <w:bookmarkStart w:id="774" w:name="_Toc2791"/>
      <w:bookmarkStart w:id="775" w:name="_Toc18351_WPSOffice_Level1"/>
      <w:bookmarkStart w:id="776" w:name="_Toc26972"/>
      <w:bookmarkStart w:id="777" w:name="_Toc22742"/>
      <w:bookmarkStart w:id="778" w:name="_Toc6306"/>
      <w:bookmarkStart w:id="779" w:name="_Toc16946"/>
      <w:r>
        <w:rPr>
          <w:rFonts w:hint="eastAsia" w:ascii="宋体" w:hAnsi="宋体" w:eastAsia="宋体" w:cs="宋体"/>
          <w:b w:val="0"/>
          <w:szCs w:val="32"/>
        </w:rPr>
        <w:t>三、</w:t>
      </w:r>
      <w:r>
        <w:rPr>
          <w:rFonts w:hint="eastAsia" w:ascii="宋体" w:hAnsi="宋体" w:eastAsia="宋体" w:cs="宋体"/>
          <w:szCs w:val="32"/>
        </w:rPr>
        <w:t>投标设备分项报价表（格式）</w:t>
      </w:r>
      <w:bookmarkEnd w:id="774"/>
      <w:bookmarkEnd w:id="775"/>
      <w:bookmarkEnd w:id="776"/>
      <w:bookmarkEnd w:id="777"/>
      <w:bookmarkEnd w:id="778"/>
    </w:p>
    <w:tbl>
      <w:tblPr>
        <w:tblStyle w:val="23"/>
        <w:tblW w:w="8817" w:type="dxa"/>
        <w:tblInd w:w="135" w:type="dxa"/>
        <w:tblLayout w:type="fixed"/>
        <w:tblCellMar>
          <w:top w:w="0" w:type="dxa"/>
          <w:left w:w="108" w:type="dxa"/>
          <w:bottom w:w="0" w:type="dxa"/>
          <w:right w:w="108" w:type="dxa"/>
        </w:tblCellMar>
      </w:tblPr>
      <w:tblGrid>
        <w:gridCol w:w="849"/>
        <w:gridCol w:w="1978"/>
        <w:gridCol w:w="1023"/>
        <w:gridCol w:w="934"/>
        <w:gridCol w:w="853"/>
        <w:gridCol w:w="1128"/>
        <w:gridCol w:w="870"/>
        <w:gridCol w:w="1182"/>
      </w:tblGrid>
      <w:tr w14:paraId="28153ED9">
        <w:tblPrEx>
          <w:tblCellMar>
            <w:top w:w="0" w:type="dxa"/>
            <w:left w:w="108" w:type="dxa"/>
            <w:bottom w:w="0" w:type="dxa"/>
            <w:right w:w="108" w:type="dxa"/>
          </w:tblCellMar>
        </w:tblPrEx>
        <w:trPr>
          <w:cantSplit/>
          <w:trHeight w:val="2339" w:hRule="atLeast"/>
        </w:trPr>
        <w:tc>
          <w:tcPr>
            <w:tcW w:w="849" w:type="dxa"/>
            <w:tcBorders>
              <w:top w:val="single" w:color="auto" w:sz="4" w:space="0"/>
              <w:left w:val="single" w:color="auto" w:sz="4" w:space="0"/>
              <w:bottom w:val="single" w:color="auto" w:sz="4" w:space="0"/>
              <w:right w:val="single" w:color="auto" w:sz="4" w:space="0"/>
            </w:tcBorders>
            <w:vAlign w:val="center"/>
          </w:tcPr>
          <w:p w14:paraId="3D75691D">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978" w:type="dxa"/>
            <w:tcBorders>
              <w:top w:val="single" w:color="auto" w:sz="4" w:space="0"/>
              <w:left w:val="nil"/>
              <w:bottom w:val="single" w:color="auto" w:sz="4" w:space="0"/>
              <w:right w:val="single" w:color="auto" w:sz="4" w:space="0"/>
            </w:tcBorders>
            <w:vAlign w:val="center"/>
          </w:tcPr>
          <w:p w14:paraId="3DB7F266">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设备名称</w:t>
            </w:r>
          </w:p>
        </w:tc>
        <w:tc>
          <w:tcPr>
            <w:tcW w:w="1023" w:type="dxa"/>
            <w:tcBorders>
              <w:top w:val="single" w:color="auto" w:sz="4" w:space="0"/>
              <w:left w:val="nil"/>
              <w:bottom w:val="single" w:color="auto" w:sz="4" w:space="0"/>
              <w:right w:val="single" w:color="auto" w:sz="4" w:space="0"/>
            </w:tcBorders>
            <w:vAlign w:val="center"/>
          </w:tcPr>
          <w:p w14:paraId="68798727">
            <w:pPr>
              <w:keepNext w:val="0"/>
              <w:keepLines w:val="0"/>
              <w:suppressLineNumbers w:val="0"/>
              <w:spacing w:before="0" w:beforeAutospacing="0" w:after="0" w:afterAutospacing="0" w:line="500" w:lineRule="exact"/>
              <w:ind w:left="0" w:right="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生产厂家（或销售商）</w:t>
            </w:r>
          </w:p>
        </w:tc>
        <w:tc>
          <w:tcPr>
            <w:tcW w:w="934" w:type="dxa"/>
            <w:tcBorders>
              <w:top w:val="single" w:color="auto" w:sz="4" w:space="0"/>
              <w:left w:val="nil"/>
              <w:bottom w:val="single" w:color="auto" w:sz="4" w:space="0"/>
              <w:right w:val="single" w:color="auto" w:sz="4" w:space="0"/>
            </w:tcBorders>
            <w:vAlign w:val="center"/>
          </w:tcPr>
          <w:p w14:paraId="6BFB66C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单位</w:t>
            </w:r>
          </w:p>
        </w:tc>
        <w:tc>
          <w:tcPr>
            <w:tcW w:w="853" w:type="dxa"/>
            <w:tcBorders>
              <w:top w:val="single" w:color="auto" w:sz="4" w:space="0"/>
              <w:left w:val="nil"/>
              <w:bottom w:val="single" w:color="auto" w:sz="4" w:space="0"/>
              <w:right w:val="single" w:color="auto" w:sz="4" w:space="0"/>
            </w:tcBorders>
            <w:vAlign w:val="center"/>
          </w:tcPr>
          <w:p w14:paraId="7F5446B1">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数量</w:t>
            </w:r>
          </w:p>
        </w:tc>
        <w:tc>
          <w:tcPr>
            <w:tcW w:w="1128" w:type="dxa"/>
            <w:tcBorders>
              <w:top w:val="single" w:color="auto" w:sz="4" w:space="0"/>
              <w:left w:val="nil"/>
              <w:bottom w:val="single" w:color="auto" w:sz="4" w:space="0"/>
              <w:right w:val="single" w:color="auto" w:sz="4" w:space="0"/>
            </w:tcBorders>
            <w:vAlign w:val="center"/>
          </w:tcPr>
          <w:p w14:paraId="0B763264">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单价</w:t>
            </w:r>
          </w:p>
        </w:tc>
        <w:tc>
          <w:tcPr>
            <w:tcW w:w="870" w:type="dxa"/>
            <w:tcBorders>
              <w:top w:val="single" w:color="auto" w:sz="4" w:space="0"/>
              <w:left w:val="nil"/>
              <w:bottom w:val="single" w:color="auto" w:sz="4" w:space="0"/>
              <w:right w:val="single" w:color="auto" w:sz="4" w:space="0"/>
            </w:tcBorders>
            <w:vAlign w:val="center"/>
          </w:tcPr>
          <w:p w14:paraId="490EDDF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小计</w:t>
            </w:r>
          </w:p>
        </w:tc>
        <w:tc>
          <w:tcPr>
            <w:tcW w:w="1182" w:type="dxa"/>
            <w:tcBorders>
              <w:top w:val="single" w:color="auto" w:sz="4" w:space="0"/>
              <w:left w:val="nil"/>
              <w:bottom w:val="single" w:color="auto" w:sz="4" w:space="0"/>
              <w:right w:val="single" w:color="auto" w:sz="4" w:space="0"/>
            </w:tcBorders>
            <w:vAlign w:val="center"/>
          </w:tcPr>
          <w:p w14:paraId="4BFB4A6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交货地点及时间</w:t>
            </w:r>
          </w:p>
        </w:tc>
      </w:tr>
      <w:tr w14:paraId="6076E08B">
        <w:tblPrEx>
          <w:tblCellMar>
            <w:top w:w="0" w:type="dxa"/>
            <w:left w:w="108" w:type="dxa"/>
            <w:bottom w:w="0" w:type="dxa"/>
            <w:right w:w="108" w:type="dxa"/>
          </w:tblCellMar>
        </w:tblPrEx>
        <w:trPr>
          <w:cantSplit/>
          <w:trHeight w:val="585" w:hRule="atLeast"/>
        </w:trPr>
        <w:tc>
          <w:tcPr>
            <w:tcW w:w="849" w:type="dxa"/>
            <w:tcBorders>
              <w:top w:val="single" w:color="auto" w:sz="4" w:space="0"/>
              <w:left w:val="single" w:color="auto" w:sz="4" w:space="0"/>
              <w:bottom w:val="single" w:color="auto" w:sz="4" w:space="0"/>
              <w:right w:val="single" w:color="auto" w:sz="4" w:space="0"/>
            </w:tcBorders>
          </w:tcPr>
          <w:p w14:paraId="21F56EAC">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1</w:t>
            </w:r>
          </w:p>
        </w:tc>
        <w:tc>
          <w:tcPr>
            <w:tcW w:w="1978" w:type="dxa"/>
            <w:tcBorders>
              <w:top w:val="single" w:color="auto" w:sz="4" w:space="0"/>
              <w:left w:val="nil"/>
              <w:bottom w:val="single" w:color="auto" w:sz="4" w:space="0"/>
              <w:right w:val="single" w:color="auto" w:sz="4" w:space="0"/>
            </w:tcBorders>
            <w:vAlign w:val="center"/>
          </w:tcPr>
          <w:p w14:paraId="20147FF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023" w:type="dxa"/>
            <w:tcBorders>
              <w:top w:val="single" w:color="auto" w:sz="4" w:space="0"/>
              <w:left w:val="nil"/>
              <w:bottom w:val="single" w:color="auto" w:sz="4" w:space="0"/>
              <w:right w:val="single" w:color="auto" w:sz="4" w:space="0"/>
            </w:tcBorders>
          </w:tcPr>
          <w:p w14:paraId="4976C3D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934" w:type="dxa"/>
            <w:tcBorders>
              <w:top w:val="single" w:color="auto" w:sz="4" w:space="0"/>
              <w:left w:val="nil"/>
              <w:bottom w:val="single" w:color="auto" w:sz="4" w:space="0"/>
              <w:right w:val="single" w:color="auto" w:sz="4" w:space="0"/>
            </w:tcBorders>
          </w:tcPr>
          <w:p w14:paraId="5825B3AF">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53" w:type="dxa"/>
            <w:tcBorders>
              <w:top w:val="single" w:color="auto" w:sz="4" w:space="0"/>
              <w:left w:val="nil"/>
              <w:bottom w:val="single" w:color="auto" w:sz="4" w:space="0"/>
              <w:right w:val="single" w:color="auto" w:sz="4" w:space="0"/>
            </w:tcBorders>
          </w:tcPr>
          <w:p w14:paraId="297A4CD4">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28" w:type="dxa"/>
            <w:tcBorders>
              <w:top w:val="single" w:color="auto" w:sz="4" w:space="0"/>
              <w:left w:val="nil"/>
              <w:bottom w:val="single" w:color="auto" w:sz="4" w:space="0"/>
              <w:right w:val="single" w:color="auto" w:sz="4" w:space="0"/>
            </w:tcBorders>
          </w:tcPr>
          <w:p w14:paraId="4AC3514B">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70" w:type="dxa"/>
            <w:tcBorders>
              <w:top w:val="single" w:color="auto" w:sz="4" w:space="0"/>
              <w:left w:val="nil"/>
              <w:bottom w:val="single" w:color="auto" w:sz="4" w:space="0"/>
              <w:right w:val="single" w:color="auto" w:sz="4" w:space="0"/>
            </w:tcBorders>
          </w:tcPr>
          <w:p w14:paraId="683C3D25">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82" w:type="dxa"/>
            <w:tcBorders>
              <w:top w:val="single" w:color="auto" w:sz="4" w:space="0"/>
              <w:left w:val="nil"/>
              <w:bottom w:val="single" w:color="auto" w:sz="4" w:space="0"/>
              <w:right w:val="single" w:color="auto" w:sz="4" w:space="0"/>
            </w:tcBorders>
          </w:tcPr>
          <w:p w14:paraId="0969A3FC">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7097FB17">
        <w:tblPrEx>
          <w:tblCellMar>
            <w:top w:w="0" w:type="dxa"/>
            <w:left w:w="108" w:type="dxa"/>
            <w:bottom w:w="0" w:type="dxa"/>
            <w:right w:w="108" w:type="dxa"/>
          </w:tblCellMar>
        </w:tblPrEx>
        <w:trPr>
          <w:trHeight w:val="585" w:hRule="atLeast"/>
        </w:trPr>
        <w:tc>
          <w:tcPr>
            <w:tcW w:w="849" w:type="dxa"/>
            <w:tcBorders>
              <w:top w:val="single" w:color="auto" w:sz="4" w:space="0"/>
              <w:left w:val="single" w:color="auto" w:sz="4" w:space="0"/>
              <w:bottom w:val="single" w:color="auto" w:sz="4" w:space="0"/>
              <w:right w:val="single" w:color="auto" w:sz="4" w:space="0"/>
            </w:tcBorders>
          </w:tcPr>
          <w:p w14:paraId="7F87F095">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2</w:t>
            </w:r>
          </w:p>
        </w:tc>
        <w:tc>
          <w:tcPr>
            <w:tcW w:w="1978" w:type="dxa"/>
            <w:tcBorders>
              <w:top w:val="single" w:color="auto" w:sz="4" w:space="0"/>
              <w:left w:val="nil"/>
              <w:bottom w:val="single" w:color="auto" w:sz="4" w:space="0"/>
              <w:right w:val="single" w:color="auto" w:sz="4" w:space="0"/>
            </w:tcBorders>
            <w:vAlign w:val="center"/>
          </w:tcPr>
          <w:p w14:paraId="49D19A39">
            <w:pPr>
              <w:keepNext w:val="0"/>
              <w:keepLines w:val="0"/>
              <w:widowControl/>
              <w:suppressLineNumbers w:val="0"/>
              <w:spacing w:before="0" w:beforeAutospacing="0" w:after="0" w:afterAutospacing="0" w:line="324" w:lineRule="auto"/>
              <w:ind w:left="0" w:right="0"/>
              <w:jc w:val="center"/>
              <w:rPr>
                <w:rFonts w:hint="eastAsia" w:ascii="宋体" w:hAnsi="宋体" w:eastAsia="宋体" w:cs="宋体"/>
                <w:kern w:val="0"/>
                <w:sz w:val="24"/>
                <w:szCs w:val="24"/>
              </w:rPr>
            </w:pPr>
          </w:p>
        </w:tc>
        <w:tc>
          <w:tcPr>
            <w:tcW w:w="1023" w:type="dxa"/>
            <w:tcBorders>
              <w:top w:val="single" w:color="auto" w:sz="4" w:space="0"/>
              <w:left w:val="nil"/>
              <w:bottom w:val="single" w:color="auto" w:sz="4" w:space="0"/>
              <w:right w:val="single" w:color="auto" w:sz="4" w:space="0"/>
            </w:tcBorders>
          </w:tcPr>
          <w:p w14:paraId="599CED8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934" w:type="dxa"/>
            <w:tcBorders>
              <w:top w:val="single" w:color="auto" w:sz="4" w:space="0"/>
              <w:left w:val="nil"/>
              <w:bottom w:val="single" w:color="auto" w:sz="4" w:space="0"/>
              <w:right w:val="single" w:color="auto" w:sz="4" w:space="0"/>
            </w:tcBorders>
          </w:tcPr>
          <w:p w14:paraId="45518898">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53" w:type="dxa"/>
            <w:tcBorders>
              <w:top w:val="single" w:color="auto" w:sz="4" w:space="0"/>
              <w:left w:val="nil"/>
              <w:bottom w:val="single" w:color="auto" w:sz="4" w:space="0"/>
              <w:right w:val="single" w:color="auto" w:sz="4" w:space="0"/>
            </w:tcBorders>
          </w:tcPr>
          <w:p w14:paraId="7D02C881">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28" w:type="dxa"/>
            <w:tcBorders>
              <w:top w:val="single" w:color="auto" w:sz="4" w:space="0"/>
              <w:left w:val="nil"/>
              <w:bottom w:val="single" w:color="auto" w:sz="4" w:space="0"/>
              <w:right w:val="single" w:color="auto" w:sz="4" w:space="0"/>
            </w:tcBorders>
          </w:tcPr>
          <w:p w14:paraId="3383E88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70" w:type="dxa"/>
            <w:tcBorders>
              <w:top w:val="single" w:color="auto" w:sz="4" w:space="0"/>
              <w:left w:val="nil"/>
              <w:bottom w:val="single" w:color="auto" w:sz="4" w:space="0"/>
              <w:right w:val="single" w:color="auto" w:sz="4" w:space="0"/>
            </w:tcBorders>
          </w:tcPr>
          <w:p w14:paraId="73266845">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82" w:type="dxa"/>
            <w:tcBorders>
              <w:top w:val="single" w:color="auto" w:sz="4" w:space="0"/>
              <w:left w:val="nil"/>
              <w:bottom w:val="single" w:color="auto" w:sz="4" w:space="0"/>
              <w:right w:val="single" w:color="auto" w:sz="4" w:space="0"/>
            </w:tcBorders>
          </w:tcPr>
          <w:p w14:paraId="4B89487E">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3FF67BA6">
        <w:tblPrEx>
          <w:tblCellMar>
            <w:top w:w="0" w:type="dxa"/>
            <w:left w:w="108" w:type="dxa"/>
            <w:bottom w:w="0" w:type="dxa"/>
            <w:right w:w="108" w:type="dxa"/>
          </w:tblCellMar>
        </w:tblPrEx>
        <w:trPr>
          <w:trHeight w:val="585" w:hRule="atLeast"/>
        </w:trPr>
        <w:tc>
          <w:tcPr>
            <w:tcW w:w="849" w:type="dxa"/>
            <w:tcBorders>
              <w:top w:val="single" w:color="auto" w:sz="4" w:space="0"/>
              <w:left w:val="single" w:color="auto" w:sz="4" w:space="0"/>
              <w:bottom w:val="single" w:color="auto" w:sz="4" w:space="0"/>
              <w:right w:val="single" w:color="auto" w:sz="4" w:space="0"/>
            </w:tcBorders>
          </w:tcPr>
          <w:p w14:paraId="5F482221">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3</w:t>
            </w:r>
          </w:p>
        </w:tc>
        <w:tc>
          <w:tcPr>
            <w:tcW w:w="1978" w:type="dxa"/>
            <w:tcBorders>
              <w:top w:val="single" w:color="auto" w:sz="4" w:space="0"/>
              <w:left w:val="nil"/>
              <w:bottom w:val="single" w:color="auto" w:sz="4" w:space="0"/>
              <w:right w:val="single" w:color="auto" w:sz="4" w:space="0"/>
            </w:tcBorders>
          </w:tcPr>
          <w:p w14:paraId="2565D9FD">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023" w:type="dxa"/>
            <w:tcBorders>
              <w:top w:val="single" w:color="auto" w:sz="4" w:space="0"/>
              <w:left w:val="nil"/>
              <w:bottom w:val="single" w:color="auto" w:sz="4" w:space="0"/>
              <w:right w:val="single" w:color="auto" w:sz="4" w:space="0"/>
            </w:tcBorders>
          </w:tcPr>
          <w:p w14:paraId="423FD941">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934" w:type="dxa"/>
            <w:tcBorders>
              <w:top w:val="single" w:color="auto" w:sz="4" w:space="0"/>
              <w:left w:val="nil"/>
              <w:bottom w:val="single" w:color="auto" w:sz="4" w:space="0"/>
              <w:right w:val="single" w:color="auto" w:sz="4" w:space="0"/>
            </w:tcBorders>
          </w:tcPr>
          <w:p w14:paraId="72B12F4B">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53" w:type="dxa"/>
            <w:tcBorders>
              <w:top w:val="single" w:color="auto" w:sz="4" w:space="0"/>
              <w:left w:val="nil"/>
              <w:bottom w:val="single" w:color="auto" w:sz="4" w:space="0"/>
              <w:right w:val="single" w:color="auto" w:sz="4" w:space="0"/>
            </w:tcBorders>
          </w:tcPr>
          <w:p w14:paraId="66156474">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28" w:type="dxa"/>
            <w:tcBorders>
              <w:top w:val="single" w:color="auto" w:sz="4" w:space="0"/>
              <w:left w:val="nil"/>
              <w:bottom w:val="single" w:color="auto" w:sz="4" w:space="0"/>
              <w:right w:val="single" w:color="auto" w:sz="4" w:space="0"/>
            </w:tcBorders>
          </w:tcPr>
          <w:p w14:paraId="4AE1FB9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70" w:type="dxa"/>
            <w:tcBorders>
              <w:top w:val="single" w:color="auto" w:sz="4" w:space="0"/>
              <w:left w:val="nil"/>
              <w:bottom w:val="single" w:color="auto" w:sz="4" w:space="0"/>
              <w:right w:val="single" w:color="auto" w:sz="4" w:space="0"/>
            </w:tcBorders>
          </w:tcPr>
          <w:p w14:paraId="7AD52EC4">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82" w:type="dxa"/>
            <w:tcBorders>
              <w:top w:val="single" w:color="auto" w:sz="4" w:space="0"/>
              <w:left w:val="nil"/>
              <w:bottom w:val="single" w:color="auto" w:sz="4" w:space="0"/>
              <w:right w:val="single" w:color="auto" w:sz="4" w:space="0"/>
            </w:tcBorders>
          </w:tcPr>
          <w:p w14:paraId="02F18BEB">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50CA338F">
        <w:tblPrEx>
          <w:tblCellMar>
            <w:top w:w="0" w:type="dxa"/>
            <w:left w:w="108" w:type="dxa"/>
            <w:bottom w:w="0" w:type="dxa"/>
            <w:right w:w="108" w:type="dxa"/>
          </w:tblCellMar>
        </w:tblPrEx>
        <w:trPr>
          <w:trHeight w:val="585" w:hRule="atLeast"/>
        </w:trPr>
        <w:tc>
          <w:tcPr>
            <w:tcW w:w="849" w:type="dxa"/>
            <w:tcBorders>
              <w:top w:val="single" w:color="auto" w:sz="4" w:space="0"/>
              <w:left w:val="single" w:color="auto" w:sz="4" w:space="0"/>
              <w:bottom w:val="single" w:color="auto" w:sz="4" w:space="0"/>
              <w:right w:val="single" w:color="auto" w:sz="4" w:space="0"/>
            </w:tcBorders>
          </w:tcPr>
          <w:p w14:paraId="1F803206">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4</w:t>
            </w:r>
          </w:p>
        </w:tc>
        <w:tc>
          <w:tcPr>
            <w:tcW w:w="1978" w:type="dxa"/>
            <w:tcBorders>
              <w:top w:val="single" w:color="auto" w:sz="4" w:space="0"/>
              <w:left w:val="nil"/>
              <w:bottom w:val="single" w:color="auto" w:sz="4" w:space="0"/>
              <w:right w:val="single" w:color="auto" w:sz="4" w:space="0"/>
            </w:tcBorders>
          </w:tcPr>
          <w:p w14:paraId="5C1AB764">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023" w:type="dxa"/>
            <w:tcBorders>
              <w:top w:val="single" w:color="auto" w:sz="4" w:space="0"/>
              <w:left w:val="nil"/>
              <w:bottom w:val="single" w:color="auto" w:sz="4" w:space="0"/>
              <w:right w:val="single" w:color="auto" w:sz="4" w:space="0"/>
            </w:tcBorders>
          </w:tcPr>
          <w:p w14:paraId="25B27925">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934" w:type="dxa"/>
            <w:tcBorders>
              <w:top w:val="single" w:color="auto" w:sz="4" w:space="0"/>
              <w:left w:val="nil"/>
              <w:bottom w:val="single" w:color="auto" w:sz="4" w:space="0"/>
              <w:right w:val="single" w:color="auto" w:sz="4" w:space="0"/>
            </w:tcBorders>
          </w:tcPr>
          <w:p w14:paraId="5C1A367D">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53" w:type="dxa"/>
            <w:tcBorders>
              <w:top w:val="single" w:color="auto" w:sz="4" w:space="0"/>
              <w:left w:val="nil"/>
              <w:bottom w:val="single" w:color="auto" w:sz="4" w:space="0"/>
              <w:right w:val="single" w:color="auto" w:sz="4" w:space="0"/>
            </w:tcBorders>
          </w:tcPr>
          <w:p w14:paraId="4123479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28" w:type="dxa"/>
            <w:tcBorders>
              <w:top w:val="single" w:color="auto" w:sz="4" w:space="0"/>
              <w:left w:val="nil"/>
              <w:bottom w:val="single" w:color="auto" w:sz="4" w:space="0"/>
              <w:right w:val="single" w:color="auto" w:sz="4" w:space="0"/>
            </w:tcBorders>
          </w:tcPr>
          <w:p w14:paraId="21592945">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70" w:type="dxa"/>
            <w:tcBorders>
              <w:top w:val="single" w:color="auto" w:sz="4" w:space="0"/>
              <w:left w:val="nil"/>
              <w:bottom w:val="single" w:color="auto" w:sz="4" w:space="0"/>
              <w:right w:val="single" w:color="auto" w:sz="4" w:space="0"/>
            </w:tcBorders>
          </w:tcPr>
          <w:p w14:paraId="64709F54">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82" w:type="dxa"/>
            <w:tcBorders>
              <w:top w:val="single" w:color="auto" w:sz="4" w:space="0"/>
              <w:left w:val="nil"/>
              <w:bottom w:val="single" w:color="auto" w:sz="4" w:space="0"/>
              <w:right w:val="single" w:color="auto" w:sz="4" w:space="0"/>
            </w:tcBorders>
          </w:tcPr>
          <w:p w14:paraId="003A0A6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7C524532">
        <w:tblPrEx>
          <w:tblCellMar>
            <w:top w:w="0" w:type="dxa"/>
            <w:left w:w="108" w:type="dxa"/>
            <w:bottom w:w="0" w:type="dxa"/>
            <w:right w:w="108" w:type="dxa"/>
          </w:tblCellMar>
        </w:tblPrEx>
        <w:trPr>
          <w:trHeight w:val="585" w:hRule="atLeast"/>
        </w:trPr>
        <w:tc>
          <w:tcPr>
            <w:tcW w:w="849" w:type="dxa"/>
            <w:tcBorders>
              <w:top w:val="single" w:color="auto" w:sz="4" w:space="0"/>
              <w:left w:val="single" w:color="auto" w:sz="4" w:space="0"/>
              <w:bottom w:val="single" w:color="auto" w:sz="4" w:space="0"/>
              <w:right w:val="single" w:color="auto" w:sz="4" w:space="0"/>
            </w:tcBorders>
          </w:tcPr>
          <w:p w14:paraId="71CBAE84">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5</w:t>
            </w:r>
          </w:p>
        </w:tc>
        <w:tc>
          <w:tcPr>
            <w:tcW w:w="1978" w:type="dxa"/>
            <w:tcBorders>
              <w:top w:val="single" w:color="auto" w:sz="4" w:space="0"/>
              <w:left w:val="nil"/>
              <w:bottom w:val="single" w:color="auto" w:sz="4" w:space="0"/>
              <w:right w:val="single" w:color="auto" w:sz="4" w:space="0"/>
            </w:tcBorders>
          </w:tcPr>
          <w:p w14:paraId="33A416D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023" w:type="dxa"/>
            <w:tcBorders>
              <w:top w:val="single" w:color="auto" w:sz="4" w:space="0"/>
              <w:left w:val="nil"/>
              <w:bottom w:val="single" w:color="auto" w:sz="4" w:space="0"/>
              <w:right w:val="single" w:color="auto" w:sz="4" w:space="0"/>
            </w:tcBorders>
          </w:tcPr>
          <w:p w14:paraId="156B61A1">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934" w:type="dxa"/>
            <w:tcBorders>
              <w:top w:val="single" w:color="auto" w:sz="4" w:space="0"/>
              <w:left w:val="nil"/>
              <w:bottom w:val="single" w:color="auto" w:sz="4" w:space="0"/>
              <w:right w:val="single" w:color="auto" w:sz="4" w:space="0"/>
            </w:tcBorders>
          </w:tcPr>
          <w:p w14:paraId="40540949">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53" w:type="dxa"/>
            <w:tcBorders>
              <w:top w:val="single" w:color="auto" w:sz="4" w:space="0"/>
              <w:left w:val="nil"/>
              <w:bottom w:val="single" w:color="auto" w:sz="4" w:space="0"/>
              <w:right w:val="single" w:color="auto" w:sz="4" w:space="0"/>
            </w:tcBorders>
          </w:tcPr>
          <w:p w14:paraId="7CF5C073">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28" w:type="dxa"/>
            <w:tcBorders>
              <w:top w:val="single" w:color="auto" w:sz="4" w:space="0"/>
              <w:left w:val="nil"/>
              <w:bottom w:val="single" w:color="auto" w:sz="4" w:space="0"/>
              <w:right w:val="single" w:color="auto" w:sz="4" w:space="0"/>
            </w:tcBorders>
          </w:tcPr>
          <w:p w14:paraId="0E7D4D4F">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70" w:type="dxa"/>
            <w:tcBorders>
              <w:top w:val="single" w:color="auto" w:sz="4" w:space="0"/>
              <w:left w:val="nil"/>
              <w:bottom w:val="single" w:color="auto" w:sz="4" w:space="0"/>
              <w:right w:val="single" w:color="auto" w:sz="4" w:space="0"/>
            </w:tcBorders>
          </w:tcPr>
          <w:p w14:paraId="718BC003">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82" w:type="dxa"/>
            <w:tcBorders>
              <w:top w:val="single" w:color="auto" w:sz="4" w:space="0"/>
              <w:left w:val="nil"/>
              <w:bottom w:val="single" w:color="auto" w:sz="4" w:space="0"/>
              <w:right w:val="single" w:color="auto" w:sz="4" w:space="0"/>
            </w:tcBorders>
          </w:tcPr>
          <w:p w14:paraId="6A23CE34">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187DB989">
        <w:tblPrEx>
          <w:tblCellMar>
            <w:top w:w="0" w:type="dxa"/>
            <w:left w:w="108" w:type="dxa"/>
            <w:bottom w:w="0" w:type="dxa"/>
            <w:right w:w="108" w:type="dxa"/>
          </w:tblCellMar>
        </w:tblPrEx>
        <w:trPr>
          <w:trHeight w:val="597" w:hRule="atLeast"/>
        </w:trPr>
        <w:tc>
          <w:tcPr>
            <w:tcW w:w="849" w:type="dxa"/>
            <w:tcBorders>
              <w:top w:val="single" w:color="auto" w:sz="4" w:space="0"/>
              <w:left w:val="single" w:color="auto" w:sz="4" w:space="0"/>
              <w:bottom w:val="single" w:color="auto" w:sz="4" w:space="0"/>
              <w:right w:val="single" w:color="auto" w:sz="4" w:space="0"/>
            </w:tcBorders>
          </w:tcPr>
          <w:p w14:paraId="2299031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6</w:t>
            </w:r>
          </w:p>
        </w:tc>
        <w:tc>
          <w:tcPr>
            <w:tcW w:w="1978" w:type="dxa"/>
            <w:tcBorders>
              <w:top w:val="single" w:color="auto" w:sz="4" w:space="0"/>
              <w:left w:val="nil"/>
              <w:bottom w:val="single" w:color="auto" w:sz="4" w:space="0"/>
              <w:right w:val="single" w:color="auto" w:sz="4" w:space="0"/>
            </w:tcBorders>
          </w:tcPr>
          <w:p w14:paraId="7CD82B2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w:t>
            </w:r>
          </w:p>
        </w:tc>
        <w:tc>
          <w:tcPr>
            <w:tcW w:w="1023" w:type="dxa"/>
            <w:tcBorders>
              <w:top w:val="single" w:color="auto" w:sz="4" w:space="0"/>
              <w:left w:val="nil"/>
              <w:bottom w:val="single" w:color="auto" w:sz="4" w:space="0"/>
              <w:right w:val="single" w:color="auto" w:sz="4" w:space="0"/>
            </w:tcBorders>
          </w:tcPr>
          <w:p w14:paraId="4D7B85F6">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934" w:type="dxa"/>
            <w:tcBorders>
              <w:top w:val="single" w:color="auto" w:sz="4" w:space="0"/>
              <w:left w:val="nil"/>
              <w:bottom w:val="single" w:color="auto" w:sz="4" w:space="0"/>
              <w:right w:val="single" w:color="auto" w:sz="4" w:space="0"/>
            </w:tcBorders>
          </w:tcPr>
          <w:p w14:paraId="0F585866">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53" w:type="dxa"/>
            <w:tcBorders>
              <w:top w:val="single" w:color="auto" w:sz="4" w:space="0"/>
              <w:left w:val="nil"/>
              <w:bottom w:val="single" w:color="auto" w:sz="4" w:space="0"/>
              <w:right w:val="single" w:color="auto" w:sz="4" w:space="0"/>
            </w:tcBorders>
          </w:tcPr>
          <w:p w14:paraId="7C948EF6">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28" w:type="dxa"/>
            <w:tcBorders>
              <w:top w:val="single" w:color="auto" w:sz="4" w:space="0"/>
              <w:left w:val="nil"/>
              <w:bottom w:val="single" w:color="auto" w:sz="4" w:space="0"/>
              <w:right w:val="single" w:color="auto" w:sz="4" w:space="0"/>
            </w:tcBorders>
          </w:tcPr>
          <w:p w14:paraId="4B419675">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870" w:type="dxa"/>
            <w:tcBorders>
              <w:top w:val="single" w:color="auto" w:sz="4" w:space="0"/>
              <w:left w:val="nil"/>
              <w:bottom w:val="single" w:color="auto" w:sz="4" w:space="0"/>
              <w:right w:val="single" w:color="auto" w:sz="4" w:space="0"/>
            </w:tcBorders>
          </w:tcPr>
          <w:p w14:paraId="7688F3B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1182" w:type="dxa"/>
            <w:tcBorders>
              <w:top w:val="single" w:color="auto" w:sz="4" w:space="0"/>
              <w:left w:val="nil"/>
              <w:bottom w:val="single" w:color="auto" w:sz="4" w:space="0"/>
              <w:right w:val="single" w:color="auto" w:sz="4" w:space="0"/>
            </w:tcBorders>
          </w:tcPr>
          <w:p w14:paraId="1F4F3E71">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bl>
    <w:p w14:paraId="08DFB633">
      <w:pPr>
        <w:rPr>
          <w:rFonts w:hint="eastAsia" w:ascii="宋体" w:hAnsi="宋体" w:eastAsia="宋体" w:cs="宋体"/>
          <w:sz w:val="24"/>
          <w:szCs w:val="24"/>
        </w:rPr>
      </w:pPr>
    </w:p>
    <w:p w14:paraId="5851D897">
      <w:pPr>
        <w:snapToGri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注：如表格不足时</w:t>
      </w:r>
      <w:r>
        <w:rPr>
          <w:rFonts w:hint="eastAsia" w:ascii="宋体" w:hAnsi="宋体" w:cs="宋体"/>
          <w:sz w:val="24"/>
          <w:szCs w:val="24"/>
          <w:lang w:eastAsia="zh-CN"/>
        </w:rPr>
        <w:t>供应商</w:t>
      </w:r>
      <w:r>
        <w:rPr>
          <w:rFonts w:hint="eastAsia" w:ascii="宋体" w:hAnsi="宋体" w:eastAsia="宋体" w:cs="宋体"/>
          <w:sz w:val="24"/>
          <w:szCs w:val="24"/>
        </w:rPr>
        <w:t>可根据需要自行添加。</w:t>
      </w:r>
    </w:p>
    <w:p w14:paraId="6DB0AD37">
      <w:pPr>
        <w:numPr>
          <w:ilvl w:val="0"/>
          <w:numId w:val="15"/>
        </w:numPr>
        <w:snapToGri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投标费用包括项目实施所需的人工费、服务费、运输费、安装调试费、购买及制作标书费、税费及其他一切费用。</w:t>
      </w:r>
    </w:p>
    <w:p w14:paraId="546221CD">
      <w:pPr>
        <w:pStyle w:val="9"/>
        <w:ind w:firstLine="0" w:firstLineChars="0"/>
        <w:rPr>
          <w:rFonts w:hint="eastAsia" w:ascii="宋体" w:hAnsi="宋体" w:eastAsia="宋体" w:cs="宋体"/>
          <w:sz w:val="24"/>
          <w:szCs w:val="24"/>
        </w:rPr>
      </w:pPr>
    </w:p>
    <w:p w14:paraId="503C55AD">
      <w:pPr>
        <w:pStyle w:val="9"/>
        <w:ind w:firstLine="0" w:firstLineChars="0"/>
        <w:rPr>
          <w:rFonts w:hint="eastAsia" w:ascii="宋体" w:hAnsi="宋体" w:eastAsia="宋体" w:cs="宋体"/>
          <w:sz w:val="24"/>
          <w:szCs w:val="24"/>
        </w:rPr>
      </w:pPr>
    </w:p>
    <w:p w14:paraId="7ED5372D">
      <w:pPr>
        <w:pStyle w:val="9"/>
        <w:ind w:firstLine="0" w:firstLineChars="0"/>
        <w:rPr>
          <w:rFonts w:hint="eastAsia" w:ascii="宋体" w:hAnsi="宋体" w:eastAsia="宋体" w:cs="宋体"/>
          <w:sz w:val="24"/>
          <w:szCs w:val="24"/>
        </w:rPr>
      </w:pPr>
    </w:p>
    <w:p w14:paraId="7B1CB647">
      <w:pPr>
        <w:pStyle w:val="9"/>
        <w:ind w:firstLine="0" w:firstLineChars="0"/>
        <w:rPr>
          <w:rFonts w:hint="eastAsia" w:ascii="宋体" w:hAnsi="宋体" w:eastAsia="宋体" w:cs="宋体"/>
          <w:sz w:val="24"/>
          <w:szCs w:val="24"/>
        </w:rPr>
      </w:pPr>
    </w:p>
    <w:p w14:paraId="50F1833F">
      <w:pPr>
        <w:pStyle w:val="9"/>
        <w:ind w:firstLine="0" w:firstLineChars="0"/>
        <w:rPr>
          <w:rFonts w:hint="eastAsia" w:ascii="宋体" w:hAnsi="宋体" w:eastAsia="宋体" w:cs="宋体"/>
          <w:sz w:val="24"/>
          <w:szCs w:val="24"/>
        </w:rPr>
      </w:pPr>
    </w:p>
    <w:p w14:paraId="022AC665">
      <w:pPr>
        <w:ind w:firstLine="480" w:firstLineChars="200"/>
        <w:jc w:val="center"/>
        <w:rPr>
          <w:rFonts w:hint="eastAsia" w:ascii="宋体" w:hAnsi="宋体" w:eastAsia="宋体" w:cs="宋体"/>
          <w:sz w:val="24"/>
          <w:szCs w:val="24"/>
        </w:rPr>
      </w:pPr>
      <w:r>
        <w:rPr>
          <w:rFonts w:hint="eastAsia" w:ascii="宋体" w:hAnsi="宋体" w:eastAsia="宋体" w:cs="宋体"/>
          <w:sz w:val="24"/>
          <w:szCs w:val="24"/>
        </w:rPr>
        <w:t xml:space="preserve">          </w:t>
      </w:r>
      <w:bookmarkStart w:id="780" w:name="_Toc25076_WPSOffice_Level2"/>
      <w:bookmarkStart w:id="781" w:name="_Toc32392_WPSOffice_Level2"/>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（盖章）</w:t>
      </w:r>
      <w:bookmarkEnd w:id="780"/>
      <w:bookmarkEnd w:id="781"/>
    </w:p>
    <w:p w14:paraId="09D78102">
      <w:pPr>
        <w:ind w:firstLine="4113" w:firstLineChars="1714"/>
        <w:jc w:val="right"/>
        <w:rPr>
          <w:rFonts w:hint="eastAsia" w:ascii="宋体" w:hAnsi="宋体" w:eastAsia="宋体" w:cs="宋体"/>
          <w:sz w:val="24"/>
          <w:szCs w:val="24"/>
        </w:rPr>
      </w:pPr>
      <w:r>
        <w:rPr>
          <w:rFonts w:hint="eastAsia" w:ascii="宋体" w:hAnsi="宋体" w:eastAsia="宋体" w:cs="宋体"/>
          <w:sz w:val="24"/>
          <w:szCs w:val="24"/>
        </w:rPr>
        <w:t xml:space="preserve"> </w:t>
      </w:r>
    </w:p>
    <w:p w14:paraId="5CB891F9">
      <w:pPr>
        <w:ind w:firstLine="480" w:firstLineChars="200"/>
        <w:jc w:val="right"/>
        <w:rPr>
          <w:rFonts w:hint="eastAsia" w:ascii="宋体" w:hAnsi="宋体" w:eastAsia="宋体" w:cs="宋体"/>
          <w:sz w:val="24"/>
          <w:szCs w:val="24"/>
        </w:rPr>
      </w:pPr>
      <w:r>
        <w:rPr>
          <w:rFonts w:hint="eastAsia" w:ascii="宋体" w:hAnsi="宋体" w:eastAsia="宋体" w:cs="宋体"/>
          <w:sz w:val="24"/>
          <w:szCs w:val="24"/>
        </w:rPr>
        <w:t>法</w:t>
      </w:r>
      <w:r>
        <w:rPr>
          <w:rFonts w:hint="eastAsia" w:ascii="宋体" w:hAnsi="宋体" w:cs="宋体"/>
          <w:sz w:val="24"/>
          <w:szCs w:val="24"/>
          <w:lang w:val="en-US" w:eastAsia="zh-CN"/>
        </w:rPr>
        <w:t>定</w:t>
      </w:r>
      <w:r>
        <w:rPr>
          <w:rFonts w:hint="eastAsia" w:ascii="宋体" w:hAnsi="宋体" w:eastAsia="宋体" w:cs="宋体"/>
          <w:sz w:val="24"/>
          <w:szCs w:val="24"/>
        </w:rPr>
        <w:t>代表人：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签章</w:t>
      </w:r>
      <w:r>
        <w:rPr>
          <w:rFonts w:hint="eastAsia" w:ascii="宋体" w:hAnsi="宋体" w:eastAsia="宋体" w:cs="宋体"/>
          <w:sz w:val="24"/>
          <w:szCs w:val="24"/>
        </w:rPr>
        <w:t>)</w:t>
      </w:r>
    </w:p>
    <w:p w14:paraId="670AB204">
      <w:pPr>
        <w:ind w:firstLine="4113" w:firstLineChars="1714"/>
        <w:rPr>
          <w:rFonts w:hint="eastAsia" w:ascii="宋体" w:hAnsi="宋体" w:eastAsia="宋体" w:cs="宋体"/>
          <w:sz w:val="24"/>
          <w:szCs w:val="24"/>
        </w:rPr>
      </w:pPr>
      <w:r>
        <w:rPr>
          <w:rFonts w:hint="eastAsia" w:ascii="宋体" w:hAnsi="宋体" w:eastAsia="宋体" w:cs="宋体"/>
          <w:sz w:val="24"/>
          <w:szCs w:val="24"/>
        </w:rPr>
        <w:t xml:space="preserve"> </w:t>
      </w:r>
    </w:p>
    <w:p w14:paraId="46E99C61">
      <w:pPr>
        <w:ind w:right="420" w:firstLine="480" w:firstLineChars="200"/>
        <w:rPr>
          <w:rFonts w:hint="eastAsia" w:ascii="宋体" w:hAnsi="宋体" w:eastAsia="宋体" w:cs="宋体"/>
          <w:sz w:val="24"/>
          <w:szCs w:val="24"/>
          <w:lang w:val="zh-CN"/>
        </w:rPr>
      </w:pPr>
      <w:r>
        <w:rPr>
          <w:rFonts w:hint="eastAsia" w:ascii="宋体" w:hAnsi="宋体" w:eastAsia="宋体" w:cs="宋体"/>
          <w:sz w:val="24"/>
          <w:szCs w:val="24"/>
        </w:rPr>
        <w:t xml:space="preserve">                                  日期：</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年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9B099AE">
      <w:pPr>
        <w:pStyle w:val="3"/>
        <w:numPr>
          <w:ilvl w:val="0"/>
          <w:numId w:val="16"/>
        </w:numPr>
        <w:spacing w:line="360" w:lineRule="auto"/>
        <w:rPr>
          <w:lang w:val="zh-CN"/>
        </w:rPr>
      </w:pPr>
      <w:r>
        <w:rPr>
          <w:rFonts w:hint="eastAsia" w:ascii="宋体" w:hAnsi="宋体" w:eastAsia="宋体" w:cs="宋体"/>
          <w:bCs/>
          <w:szCs w:val="24"/>
          <w:lang w:val="zh-CN"/>
        </w:rPr>
        <w:br w:type="page"/>
      </w:r>
      <w:bookmarkEnd w:id="779"/>
      <w:bookmarkStart w:id="782" w:name="_Toc5859_WPSOffice_Level1"/>
      <w:bookmarkStart w:id="783" w:name="_Toc15351"/>
      <w:bookmarkStart w:id="784" w:name="_Toc10111"/>
      <w:bookmarkStart w:id="785" w:name="_Toc16225"/>
      <w:bookmarkStart w:id="786" w:name="_Toc19742"/>
      <w:r>
        <w:rPr>
          <w:rFonts w:hint="eastAsia" w:ascii="宋体" w:hAnsi="宋体" w:eastAsia="宋体" w:cs="宋体"/>
          <w:bCs/>
          <w:szCs w:val="24"/>
          <w:lang w:val="zh-CN"/>
        </w:rPr>
        <w:t>投标设备技术参数</w:t>
      </w:r>
      <w:bookmarkEnd w:id="782"/>
      <w:bookmarkEnd w:id="783"/>
    </w:p>
    <w:tbl>
      <w:tblPr>
        <w:tblStyle w:val="23"/>
        <w:tblW w:w="0" w:type="auto"/>
        <w:tblInd w:w="102" w:type="dxa"/>
        <w:tblLayout w:type="fixed"/>
        <w:tblCellMar>
          <w:top w:w="0" w:type="dxa"/>
          <w:left w:w="108" w:type="dxa"/>
          <w:bottom w:w="0" w:type="dxa"/>
          <w:right w:w="108" w:type="dxa"/>
        </w:tblCellMar>
      </w:tblPr>
      <w:tblGrid>
        <w:gridCol w:w="1139"/>
        <w:gridCol w:w="3325"/>
        <w:gridCol w:w="3914"/>
      </w:tblGrid>
      <w:tr w14:paraId="01D708A3">
        <w:tblPrEx>
          <w:tblCellMar>
            <w:top w:w="0" w:type="dxa"/>
            <w:left w:w="108" w:type="dxa"/>
            <w:bottom w:w="0" w:type="dxa"/>
            <w:right w:w="108" w:type="dxa"/>
          </w:tblCellMar>
        </w:tblPrEx>
        <w:trPr>
          <w:cantSplit/>
          <w:trHeight w:val="1061" w:hRule="atLeast"/>
        </w:trPr>
        <w:tc>
          <w:tcPr>
            <w:tcW w:w="1139" w:type="dxa"/>
            <w:tcBorders>
              <w:top w:val="single" w:color="auto" w:sz="4" w:space="0"/>
              <w:left w:val="single" w:color="auto" w:sz="4" w:space="0"/>
              <w:bottom w:val="single" w:color="auto" w:sz="4" w:space="0"/>
              <w:right w:val="single" w:color="auto" w:sz="4" w:space="0"/>
            </w:tcBorders>
            <w:vAlign w:val="center"/>
          </w:tcPr>
          <w:p w14:paraId="3482DD56">
            <w:pPr>
              <w:keepNext w:val="0"/>
              <w:keepLines w:val="0"/>
              <w:suppressLineNumbers w:val="0"/>
              <w:spacing w:before="0" w:beforeAutospacing="0" w:after="0" w:afterAutospacing="0" w:line="500" w:lineRule="exact"/>
              <w:ind w:left="0" w:right="0"/>
              <w:jc w:val="center"/>
              <w:rPr>
                <w:rFonts w:hint="eastAsia" w:ascii="宋体" w:hAnsi="宋体" w:eastAsia="宋体" w:cs="宋体"/>
                <w:b/>
                <w:sz w:val="24"/>
                <w:szCs w:val="24"/>
              </w:rPr>
            </w:pPr>
            <w:bookmarkStart w:id="787" w:name="OLE_LINK1"/>
            <w:r>
              <w:rPr>
                <w:rFonts w:hint="eastAsia" w:ascii="宋体" w:hAnsi="宋体" w:eastAsia="宋体" w:cs="宋体"/>
                <w:b/>
                <w:sz w:val="24"/>
                <w:szCs w:val="24"/>
              </w:rPr>
              <w:t>序号</w:t>
            </w:r>
          </w:p>
        </w:tc>
        <w:tc>
          <w:tcPr>
            <w:tcW w:w="3325" w:type="dxa"/>
            <w:tcBorders>
              <w:top w:val="single" w:color="auto" w:sz="4" w:space="0"/>
              <w:left w:val="nil"/>
              <w:bottom w:val="single" w:color="auto" w:sz="4" w:space="0"/>
              <w:right w:val="single" w:color="auto" w:sz="4" w:space="0"/>
            </w:tcBorders>
            <w:vAlign w:val="center"/>
          </w:tcPr>
          <w:p w14:paraId="785FC6E8">
            <w:pPr>
              <w:keepNext w:val="0"/>
              <w:keepLines w:val="0"/>
              <w:suppressLineNumbers w:val="0"/>
              <w:spacing w:before="0" w:beforeAutospacing="0" w:after="0" w:afterAutospacing="0" w:line="500" w:lineRule="exact"/>
              <w:ind w:left="0" w:right="0"/>
              <w:jc w:val="center"/>
              <w:rPr>
                <w:rFonts w:hint="eastAsia" w:ascii="宋体" w:hAnsi="宋体" w:eastAsia="宋体" w:cs="宋体"/>
                <w:b/>
                <w:sz w:val="24"/>
                <w:szCs w:val="24"/>
              </w:rPr>
            </w:pPr>
            <w:r>
              <w:rPr>
                <w:rFonts w:hint="eastAsia" w:ascii="宋体" w:hAnsi="宋体" w:eastAsia="宋体" w:cs="宋体"/>
                <w:b/>
                <w:sz w:val="24"/>
                <w:szCs w:val="24"/>
              </w:rPr>
              <w:t>设备名称</w:t>
            </w:r>
          </w:p>
        </w:tc>
        <w:tc>
          <w:tcPr>
            <w:tcW w:w="3914" w:type="dxa"/>
            <w:tcBorders>
              <w:top w:val="single" w:color="auto" w:sz="4" w:space="0"/>
              <w:left w:val="nil"/>
              <w:bottom w:val="single" w:color="auto" w:sz="4" w:space="0"/>
              <w:right w:val="single" w:color="auto" w:sz="4" w:space="0"/>
            </w:tcBorders>
            <w:vAlign w:val="center"/>
          </w:tcPr>
          <w:p w14:paraId="151C474F">
            <w:pPr>
              <w:keepNext w:val="0"/>
              <w:keepLines w:val="0"/>
              <w:suppressLineNumbers w:val="0"/>
              <w:spacing w:before="0" w:beforeAutospacing="0" w:after="0" w:afterAutospacing="0" w:line="500" w:lineRule="exact"/>
              <w:ind w:left="0" w:right="0"/>
              <w:jc w:val="center"/>
              <w:rPr>
                <w:rFonts w:hint="eastAsia" w:ascii="宋体" w:hAnsi="宋体" w:eastAsia="宋体" w:cs="宋体"/>
                <w:b/>
                <w:sz w:val="24"/>
                <w:szCs w:val="24"/>
              </w:rPr>
            </w:pPr>
            <w:r>
              <w:rPr>
                <w:rFonts w:hint="eastAsia" w:ascii="宋体" w:hAnsi="宋体" w:eastAsia="宋体" w:cs="宋体"/>
                <w:b/>
                <w:sz w:val="24"/>
                <w:szCs w:val="24"/>
              </w:rPr>
              <w:t>技术参数</w:t>
            </w:r>
          </w:p>
        </w:tc>
      </w:tr>
      <w:tr w14:paraId="23FBC93A">
        <w:tblPrEx>
          <w:tblCellMar>
            <w:top w:w="0" w:type="dxa"/>
            <w:left w:w="108" w:type="dxa"/>
            <w:bottom w:w="0" w:type="dxa"/>
            <w:right w:w="108" w:type="dxa"/>
          </w:tblCellMar>
        </w:tblPrEx>
        <w:trPr>
          <w:cantSplit/>
          <w:trHeight w:val="767" w:hRule="atLeast"/>
        </w:trPr>
        <w:tc>
          <w:tcPr>
            <w:tcW w:w="1139" w:type="dxa"/>
            <w:tcBorders>
              <w:top w:val="single" w:color="auto" w:sz="4" w:space="0"/>
              <w:left w:val="single" w:color="auto" w:sz="4" w:space="0"/>
              <w:bottom w:val="single" w:color="auto" w:sz="4" w:space="0"/>
              <w:right w:val="single" w:color="auto" w:sz="4" w:space="0"/>
            </w:tcBorders>
          </w:tcPr>
          <w:p w14:paraId="5C7E0118">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1</w:t>
            </w:r>
          </w:p>
        </w:tc>
        <w:tc>
          <w:tcPr>
            <w:tcW w:w="3325" w:type="dxa"/>
            <w:tcBorders>
              <w:top w:val="single" w:color="auto" w:sz="4" w:space="0"/>
              <w:left w:val="nil"/>
              <w:bottom w:val="single" w:color="auto" w:sz="4" w:space="0"/>
              <w:right w:val="single" w:color="auto" w:sz="4" w:space="0"/>
            </w:tcBorders>
          </w:tcPr>
          <w:p w14:paraId="585F5006">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3914" w:type="dxa"/>
            <w:tcBorders>
              <w:top w:val="single" w:color="auto" w:sz="4" w:space="0"/>
              <w:left w:val="nil"/>
              <w:bottom w:val="single" w:color="auto" w:sz="4" w:space="0"/>
              <w:right w:val="single" w:color="auto" w:sz="4" w:space="0"/>
            </w:tcBorders>
          </w:tcPr>
          <w:p w14:paraId="270C7640">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00E25605">
        <w:tblPrEx>
          <w:tblCellMar>
            <w:top w:w="0" w:type="dxa"/>
            <w:left w:w="108" w:type="dxa"/>
            <w:bottom w:w="0" w:type="dxa"/>
            <w:right w:w="108" w:type="dxa"/>
          </w:tblCellMar>
        </w:tblPrEx>
        <w:trPr>
          <w:trHeight w:val="767" w:hRule="atLeast"/>
        </w:trPr>
        <w:tc>
          <w:tcPr>
            <w:tcW w:w="1139" w:type="dxa"/>
            <w:tcBorders>
              <w:top w:val="single" w:color="auto" w:sz="4" w:space="0"/>
              <w:left w:val="single" w:color="auto" w:sz="4" w:space="0"/>
              <w:bottom w:val="single" w:color="auto" w:sz="4" w:space="0"/>
              <w:right w:val="single" w:color="auto" w:sz="4" w:space="0"/>
            </w:tcBorders>
          </w:tcPr>
          <w:p w14:paraId="5638AD07">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2</w:t>
            </w:r>
          </w:p>
        </w:tc>
        <w:tc>
          <w:tcPr>
            <w:tcW w:w="3325" w:type="dxa"/>
            <w:tcBorders>
              <w:top w:val="single" w:color="auto" w:sz="4" w:space="0"/>
              <w:left w:val="nil"/>
              <w:bottom w:val="single" w:color="auto" w:sz="4" w:space="0"/>
              <w:right w:val="single" w:color="auto" w:sz="4" w:space="0"/>
            </w:tcBorders>
          </w:tcPr>
          <w:p w14:paraId="307D5D09">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3914" w:type="dxa"/>
            <w:tcBorders>
              <w:top w:val="single" w:color="auto" w:sz="4" w:space="0"/>
              <w:left w:val="nil"/>
              <w:bottom w:val="single" w:color="auto" w:sz="4" w:space="0"/>
              <w:right w:val="single" w:color="auto" w:sz="4" w:space="0"/>
            </w:tcBorders>
          </w:tcPr>
          <w:p w14:paraId="1563929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20D4BC72">
        <w:tblPrEx>
          <w:tblCellMar>
            <w:top w:w="0" w:type="dxa"/>
            <w:left w:w="108" w:type="dxa"/>
            <w:bottom w:w="0" w:type="dxa"/>
            <w:right w:w="108" w:type="dxa"/>
          </w:tblCellMar>
        </w:tblPrEx>
        <w:trPr>
          <w:trHeight w:val="767" w:hRule="atLeast"/>
        </w:trPr>
        <w:tc>
          <w:tcPr>
            <w:tcW w:w="1139" w:type="dxa"/>
            <w:tcBorders>
              <w:top w:val="single" w:color="auto" w:sz="4" w:space="0"/>
              <w:left w:val="single" w:color="auto" w:sz="4" w:space="0"/>
              <w:bottom w:val="single" w:color="auto" w:sz="4" w:space="0"/>
              <w:right w:val="single" w:color="auto" w:sz="4" w:space="0"/>
            </w:tcBorders>
          </w:tcPr>
          <w:p w14:paraId="20236852">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3</w:t>
            </w:r>
          </w:p>
        </w:tc>
        <w:tc>
          <w:tcPr>
            <w:tcW w:w="3325" w:type="dxa"/>
            <w:tcBorders>
              <w:top w:val="single" w:color="auto" w:sz="4" w:space="0"/>
              <w:left w:val="nil"/>
              <w:bottom w:val="single" w:color="auto" w:sz="4" w:space="0"/>
              <w:right w:val="single" w:color="auto" w:sz="4" w:space="0"/>
            </w:tcBorders>
          </w:tcPr>
          <w:p w14:paraId="2280806F">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3914" w:type="dxa"/>
            <w:tcBorders>
              <w:top w:val="single" w:color="auto" w:sz="4" w:space="0"/>
              <w:left w:val="nil"/>
              <w:bottom w:val="single" w:color="auto" w:sz="4" w:space="0"/>
              <w:right w:val="single" w:color="auto" w:sz="4" w:space="0"/>
            </w:tcBorders>
          </w:tcPr>
          <w:p w14:paraId="0D71EC76">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4FAC47D9">
        <w:tblPrEx>
          <w:tblCellMar>
            <w:top w:w="0" w:type="dxa"/>
            <w:left w:w="108" w:type="dxa"/>
            <w:bottom w:w="0" w:type="dxa"/>
            <w:right w:w="108" w:type="dxa"/>
          </w:tblCellMar>
        </w:tblPrEx>
        <w:trPr>
          <w:trHeight w:val="767" w:hRule="atLeast"/>
        </w:trPr>
        <w:tc>
          <w:tcPr>
            <w:tcW w:w="1139" w:type="dxa"/>
            <w:tcBorders>
              <w:top w:val="single" w:color="auto" w:sz="4" w:space="0"/>
              <w:left w:val="single" w:color="auto" w:sz="4" w:space="0"/>
              <w:bottom w:val="single" w:color="auto" w:sz="4" w:space="0"/>
              <w:right w:val="single" w:color="auto" w:sz="4" w:space="0"/>
            </w:tcBorders>
          </w:tcPr>
          <w:p w14:paraId="17B99A40">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4</w:t>
            </w:r>
          </w:p>
        </w:tc>
        <w:tc>
          <w:tcPr>
            <w:tcW w:w="3325" w:type="dxa"/>
            <w:tcBorders>
              <w:top w:val="single" w:color="auto" w:sz="4" w:space="0"/>
              <w:left w:val="nil"/>
              <w:bottom w:val="single" w:color="auto" w:sz="4" w:space="0"/>
              <w:right w:val="single" w:color="auto" w:sz="4" w:space="0"/>
            </w:tcBorders>
          </w:tcPr>
          <w:p w14:paraId="6C95DC23">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3914" w:type="dxa"/>
            <w:tcBorders>
              <w:top w:val="single" w:color="auto" w:sz="4" w:space="0"/>
              <w:left w:val="nil"/>
              <w:bottom w:val="single" w:color="auto" w:sz="4" w:space="0"/>
              <w:right w:val="single" w:color="auto" w:sz="4" w:space="0"/>
            </w:tcBorders>
          </w:tcPr>
          <w:p w14:paraId="6AC35FFF">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7826EA22">
        <w:tblPrEx>
          <w:tblCellMar>
            <w:top w:w="0" w:type="dxa"/>
            <w:left w:w="108" w:type="dxa"/>
            <w:bottom w:w="0" w:type="dxa"/>
            <w:right w:w="108" w:type="dxa"/>
          </w:tblCellMar>
        </w:tblPrEx>
        <w:trPr>
          <w:trHeight w:val="767" w:hRule="atLeast"/>
        </w:trPr>
        <w:tc>
          <w:tcPr>
            <w:tcW w:w="1139" w:type="dxa"/>
            <w:tcBorders>
              <w:top w:val="single" w:color="auto" w:sz="4" w:space="0"/>
              <w:left w:val="single" w:color="auto" w:sz="4" w:space="0"/>
              <w:bottom w:val="single" w:color="auto" w:sz="4" w:space="0"/>
              <w:right w:val="single" w:color="auto" w:sz="4" w:space="0"/>
            </w:tcBorders>
          </w:tcPr>
          <w:p w14:paraId="589C3B28">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5</w:t>
            </w:r>
          </w:p>
        </w:tc>
        <w:tc>
          <w:tcPr>
            <w:tcW w:w="3325" w:type="dxa"/>
            <w:tcBorders>
              <w:top w:val="single" w:color="auto" w:sz="4" w:space="0"/>
              <w:left w:val="nil"/>
              <w:bottom w:val="single" w:color="auto" w:sz="4" w:space="0"/>
              <w:right w:val="single" w:color="auto" w:sz="4" w:space="0"/>
            </w:tcBorders>
          </w:tcPr>
          <w:p w14:paraId="3EFCC8DF">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c>
          <w:tcPr>
            <w:tcW w:w="3914" w:type="dxa"/>
            <w:tcBorders>
              <w:top w:val="single" w:color="auto" w:sz="4" w:space="0"/>
              <w:left w:val="nil"/>
              <w:bottom w:val="single" w:color="auto" w:sz="4" w:space="0"/>
              <w:right w:val="single" w:color="auto" w:sz="4" w:space="0"/>
            </w:tcBorders>
          </w:tcPr>
          <w:p w14:paraId="60C06805">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tr w14:paraId="3E2CB3CB">
        <w:tblPrEx>
          <w:tblCellMar>
            <w:top w:w="0" w:type="dxa"/>
            <w:left w:w="108" w:type="dxa"/>
            <w:bottom w:w="0" w:type="dxa"/>
            <w:right w:w="108" w:type="dxa"/>
          </w:tblCellMar>
        </w:tblPrEx>
        <w:trPr>
          <w:trHeight w:val="780" w:hRule="atLeast"/>
        </w:trPr>
        <w:tc>
          <w:tcPr>
            <w:tcW w:w="1139" w:type="dxa"/>
            <w:tcBorders>
              <w:top w:val="single" w:color="auto" w:sz="4" w:space="0"/>
              <w:left w:val="single" w:color="auto" w:sz="4" w:space="0"/>
              <w:bottom w:val="single" w:color="auto" w:sz="4" w:space="0"/>
              <w:right w:val="single" w:color="auto" w:sz="4" w:space="0"/>
            </w:tcBorders>
          </w:tcPr>
          <w:p w14:paraId="65629BFD">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6</w:t>
            </w:r>
          </w:p>
        </w:tc>
        <w:tc>
          <w:tcPr>
            <w:tcW w:w="3325" w:type="dxa"/>
            <w:tcBorders>
              <w:top w:val="single" w:color="auto" w:sz="4" w:space="0"/>
              <w:left w:val="nil"/>
              <w:bottom w:val="single" w:color="auto" w:sz="4" w:space="0"/>
              <w:right w:val="single" w:color="auto" w:sz="4" w:space="0"/>
            </w:tcBorders>
          </w:tcPr>
          <w:p w14:paraId="02B55D0A">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r>
              <w:rPr>
                <w:rFonts w:hint="eastAsia" w:ascii="宋体" w:hAnsi="宋体" w:eastAsia="宋体" w:cs="宋体"/>
                <w:sz w:val="24"/>
                <w:szCs w:val="24"/>
              </w:rPr>
              <w:t>……</w:t>
            </w:r>
          </w:p>
        </w:tc>
        <w:tc>
          <w:tcPr>
            <w:tcW w:w="3914" w:type="dxa"/>
            <w:tcBorders>
              <w:top w:val="single" w:color="auto" w:sz="4" w:space="0"/>
              <w:left w:val="nil"/>
              <w:bottom w:val="single" w:color="auto" w:sz="4" w:space="0"/>
              <w:right w:val="single" w:color="auto" w:sz="4" w:space="0"/>
            </w:tcBorders>
          </w:tcPr>
          <w:p w14:paraId="712B840E">
            <w:pPr>
              <w:keepNext w:val="0"/>
              <w:keepLines w:val="0"/>
              <w:suppressLineNumbers w:val="0"/>
              <w:spacing w:before="0" w:beforeAutospacing="0" w:after="0" w:afterAutospacing="0" w:line="500" w:lineRule="exact"/>
              <w:ind w:left="0" w:right="0"/>
              <w:jc w:val="center"/>
              <w:rPr>
                <w:rFonts w:hint="eastAsia" w:ascii="宋体" w:hAnsi="宋体" w:eastAsia="宋体" w:cs="宋体"/>
                <w:sz w:val="24"/>
                <w:szCs w:val="24"/>
              </w:rPr>
            </w:pPr>
          </w:p>
        </w:tc>
      </w:tr>
      <w:bookmarkEnd w:id="787"/>
    </w:tbl>
    <w:p w14:paraId="64C0DC13">
      <w:pPr>
        <w:rPr>
          <w:rFonts w:hint="eastAsia" w:ascii="宋体" w:hAnsi="宋体" w:eastAsia="宋体" w:cs="宋体"/>
          <w:sz w:val="24"/>
          <w:szCs w:val="24"/>
          <w:lang w:val="zh-CN"/>
        </w:rPr>
      </w:pPr>
    </w:p>
    <w:p w14:paraId="50F283E6">
      <w:pPr>
        <w:pStyle w:val="3"/>
        <w:numPr>
          <w:ilvl w:val="0"/>
          <w:numId w:val="0"/>
        </w:numPr>
        <w:spacing w:line="360" w:lineRule="auto"/>
        <w:jc w:val="both"/>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注：自行添加表格</w:t>
      </w:r>
    </w:p>
    <w:p w14:paraId="2B4A4E91">
      <w:pPr>
        <w:rPr>
          <w:rFonts w:hint="eastAsia" w:ascii="宋体" w:hAnsi="宋体" w:eastAsia="宋体" w:cs="宋体"/>
          <w:bCs/>
          <w:sz w:val="24"/>
          <w:szCs w:val="24"/>
          <w:lang w:val="zh-CN"/>
        </w:rPr>
      </w:pPr>
    </w:p>
    <w:p w14:paraId="3A80C02B">
      <w:pPr>
        <w:pStyle w:val="9"/>
        <w:rPr>
          <w:rFonts w:hint="eastAsia" w:ascii="宋体" w:hAnsi="宋体" w:eastAsia="宋体" w:cs="宋体"/>
          <w:bCs/>
          <w:sz w:val="24"/>
          <w:szCs w:val="24"/>
          <w:lang w:val="zh-CN"/>
        </w:rPr>
      </w:pPr>
    </w:p>
    <w:p w14:paraId="7B148F16">
      <w:pPr>
        <w:jc w:val="right"/>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（盖章）</w:t>
      </w:r>
    </w:p>
    <w:p w14:paraId="7111642D">
      <w:pPr>
        <w:rPr>
          <w:rFonts w:hint="eastAsia" w:ascii="宋体" w:hAnsi="宋体" w:eastAsia="宋体" w:cs="宋体"/>
          <w:sz w:val="24"/>
          <w:szCs w:val="24"/>
        </w:rPr>
      </w:pPr>
      <w:r>
        <w:rPr>
          <w:rFonts w:hint="eastAsia" w:ascii="宋体" w:hAnsi="宋体" w:eastAsia="宋体" w:cs="宋体"/>
          <w:sz w:val="24"/>
          <w:szCs w:val="24"/>
        </w:rPr>
        <w:t xml:space="preserve">     </w:t>
      </w:r>
    </w:p>
    <w:p w14:paraId="052EC63A">
      <w:pPr>
        <w:jc w:val="righ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签章</w:t>
      </w:r>
      <w:r>
        <w:rPr>
          <w:rFonts w:hint="eastAsia" w:ascii="宋体" w:hAnsi="宋体" w:eastAsia="宋体" w:cs="宋体"/>
          <w:sz w:val="24"/>
          <w:szCs w:val="24"/>
        </w:rPr>
        <w:t>)</w:t>
      </w:r>
    </w:p>
    <w:p w14:paraId="4D821E12">
      <w:pPr>
        <w:rPr>
          <w:rFonts w:hint="eastAsia" w:ascii="宋体" w:hAnsi="宋体" w:eastAsia="宋体" w:cs="宋体"/>
          <w:sz w:val="24"/>
          <w:szCs w:val="24"/>
        </w:rPr>
      </w:pPr>
    </w:p>
    <w:p w14:paraId="53E0E400">
      <w:pPr>
        <w:tabs>
          <w:tab w:val="left" w:pos="5380"/>
          <w:tab w:val="left" w:pos="6520"/>
          <w:tab w:val="left" w:pos="7680"/>
        </w:tabs>
        <w:autoSpaceDE w:val="0"/>
        <w:autoSpaceDN w:val="0"/>
        <w:adjustRightInd w:val="0"/>
        <w:ind w:right="-20" w:firstLine="1200" w:firstLineChars="500"/>
        <w:jc w:val="right"/>
        <w:rPr>
          <w:rFonts w:hint="eastAsia" w:ascii="宋体" w:hAnsi="宋体" w:eastAsia="宋体" w:cs="宋体"/>
          <w:kern w:val="0"/>
          <w:sz w:val="24"/>
          <w:szCs w:val="24"/>
        </w:rPr>
      </w:pPr>
      <w:r>
        <w:rPr>
          <w:rFonts w:hint="eastAsia" w:ascii="宋体" w:hAnsi="宋体" w:eastAsia="宋体" w:cs="宋体"/>
          <w:kern w:val="0"/>
          <w:sz w:val="24"/>
          <w:szCs w:val="24"/>
          <w:u w:val="single"/>
        </w:rPr>
        <w:t xml:space="preserve">     </w:t>
      </w:r>
      <w:r>
        <w:rPr>
          <w:rFonts w:hint="eastAsia" w:ascii="宋体" w:hAnsi="宋体" w:eastAsia="宋体" w:cs="宋体"/>
          <w:spacing w:val="43"/>
          <w:kern w:val="0"/>
          <w:sz w:val="24"/>
          <w:szCs w:val="24"/>
          <w:u w:val="single"/>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日</w:t>
      </w:r>
    </w:p>
    <w:p w14:paraId="74B29F58">
      <w:pPr>
        <w:pStyle w:val="9"/>
        <w:rPr>
          <w:rFonts w:hint="eastAsia" w:ascii="宋体" w:hAnsi="宋体" w:eastAsia="宋体" w:cs="宋体"/>
          <w:bCs/>
          <w:sz w:val="24"/>
          <w:szCs w:val="24"/>
          <w:lang w:val="zh-CN"/>
        </w:rPr>
      </w:pPr>
    </w:p>
    <w:p w14:paraId="1BBAFBD5">
      <w:pPr>
        <w:pStyle w:val="9"/>
        <w:rPr>
          <w:rFonts w:ascii="宋体" w:hAnsi="宋体" w:eastAsia="宋体" w:cs="宋体"/>
          <w:bCs/>
          <w:lang w:val="zh-CN"/>
        </w:rPr>
      </w:pPr>
    </w:p>
    <w:p w14:paraId="33318428">
      <w:pPr>
        <w:pStyle w:val="9"/>
        <w:rPr>
          <w:rFonts w:ascii="宋体" w:hAnsi="宋体" w:eastAsia="宋体" w:cs="宋体"/>
          <w:bCs/>
          <w:lang w:val="zh-CN"/>
        </w:rPr>
      </w:pPr>
    </w:p>
    <w:p w14:paraId="6CED73D2">
      <w:pPr>
        <w:pStyle w:val="9"/>
        <w:rPr>
          <w:rFonts w:ascii="宋体" w:hAnsi="宋体" w:eastAsia="宋体" w:cs="宋体"/>
          <w:bCs/>
          <w:lang w:val="zh-CN"/>
        </w:rPr>
      </w:pPr>
    </w:p>
    <w:p w14:paraId="408BDCEF">
      <w:pPr>
        <w:pStyle w:val="9"/>
        <w:rPr>
          <w:rFonts w:ascii="宋体" w:hAnsi="宋体" w:eastAsia="宋体" w:cs="宋体"/>
          <w:bCs/>
          <w:lang w:val="zh-CN"/>
        </w:rPr>
      </w:pPr>
    </w:p>
    <w:p w14:paraId="5ACB2A5E">
      <w:pPr>
        <w:pStyle w:val="9"/>
        <w:rPr>
          <w:rFonts w:ascii="宋体" w:hAnsi="宋体" w:eastAsia="宋体" w:cs="宋体"/>
          <w:bCs/>
          <w:lang w:val="zh-CN"/>
        </w:rPr>
      </w:pPr>
    </w:p>
    <w:p w14:paraId="345350CB">
      <w:pPr>
        <w:pStyle w:val="9"/>
        <w:rPr>
          <w:rFonts w:ascii="宋体" w:hAnsi="宋体" w:eastAsia="宋体" w:cs="宋体"/>
          <w:bCs/>
          <w:lang w:val="zh-CN"/>
        </w:rPr>
      </w:pPr>
    </w:p>
    <w:p w14:paraId="639E4DB2">
      <w:pPr>
        <w:pStyle w:val="9"/>
        <w:rPr>
          <w:rFonts w:ascii="宋体" w:hAnsi="宋体" w:eastAsia="宋体" w:cs="宋体"/>
          <w:bCs/>
          <w:lang w:val="zh-CN"/>
        </w:rPr>
      </w:pPr>
    </w:p>
    <w:p w14:paraId="52959E06">
      <w:pPr>
        <w:pStyle w:val="9"/>
        <w:rPr>
          <w:rFonts w:ascii="宋体" w:hAnsi="宋体" w:eastAsia="宋体" w:cs="宋体"/>
          <w:bCs/>
          <w:lang w:val="zh-CN"/>
        </w:rPr>
      </w:pPr>
    </w:p>
    <w:p w14:paraId="575D66CD">
      <w:pPr>
        <w:pStyle w:val="9"/>
        <w:rPr>
          <w:rFonts w:ascii="宋体" w:hAnsi="宋体" w:eastAsia="宋体" w:cs="宋体"/>
          <w:bCs/>
          <w:lang w:val="zh-CN"/>
        </w:rPr>
      </w:pPr>
    </w:p>
    <w:p w14:paraId="099D2160">
      <w:pPr>
        <w:pStyle w:val="3"/>
        <w:numPr>
          <w:ilvl w:val="0"/>
          <w:numId w:val="0"/>
        </w:numPr>
        <w:spacing w:line="360" w:lineRule="auto"/>
        <w:rPr>
          <w:rFonts w:ascii="宋体" w:hAnsi="宋体" w:eastAsia="宋体" w:cs="宋体"/>
          <w:szCs w:val="32"/>
        </w:rPr>
      </w:pPr>
      <w:bookmarkStart w:id="788" w:name="_Toc2951"/>
      <w:bookmarkStart w:id="789" w:name="_Toc12056_WPSOffice_Level1"/>
      <w:r>
        <w:rPr>
          <w:rFonts w:hint="eastAsia" w:ascii="宋体" w:hAnsi="宋体" w:eastAsia="宋体" w:cs="宋体"/>
          <w:szCs w:val="32"/>
          <w:lang w:val="en-US" w:eastAsia="zh-CN"/>
        </w:rPr>
        <w:t>五</w:t>
      </w:r>
      <w:r>
        <w:rPr>
          <w:rFonts w:hint="eastAsia" w:ascii="宋体" w:hAnsi="宋体" w:eastAsia="宋体" w:cs="宋体"/>
          <w:szCs w:val="32"/>
        </w:rPr>
        <w:t>、设备技术性能偏离表</w:t>
      </w:r>
      <w:bookmarkEnd w:id="784"/>
      <w:bookmarkEnd w:id="785"/>
      <w:bookmarkEnd w:id="786"/>
      <w:bookmarkEnd w:id="788"/>
      <w:bookmarkEnd w:id="789"/>
    </w:p>
    <w:tbl>
      <w:tblPr>
        <w:tblStyle w:val="23"/>
        <w:tblW w:w="0" w:type="auto"/>
        <w:tblInd w:w="0" w:type="dxa"/>
        <w:tblLayout w:type="fixed"/>
        <w:tblCellMar>
          <w:top w:w="0" w:type="dxa"/>
          <w:left w:w="108" w:type="dxa"/>
          <w:bottom w:w="0" w:type="dxa"/>
          <w:right w:w="108" w:type="dxa"/>
        </w:tblCellMar>
      </w:tblPr>
      <w:tblGrid>
        <w:gridCol w:w="876"/>
        <w:gridCol w:w="1332"/>
        <w:gridCol w:w="2250"/>
        <w:gridCol w:w="2155"/>
        <w:gridCol w:w="2265"/>
      </w:tblGrid>
      <w:tr w14:paraId="04B524A0">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77DFC5AE">
            <w:pPr>
              <w:keepNext w:val="0"/>
              <w:keepLines w:val="0"/>
              <w:suppressLineNumbers w:val="0"/>
              <w:spacing w:before="0" w:beforeAutospacing="0" w:after="0" w:afterAutospacing="0"/>
              <w:ind w:left="0" w:right="0"/>
              <w:jc w:val="center"/>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序号</w:t>
            </w:r>
          </w:p>
        </w:tc>
        <w:tc>
          <w:tcPr>
            <w:tcW w:w="1332" w:type="dxa"/>
            <w:tcBorders>
              <w:top w:val="single" w:color="auto" w:sz="4" w:space="0"/>
              <w:left w:val="nil"/>
              <w:bottom w:val="single" w:color="auto" w:sz="4" w:space="0"/>
              <w:right w:val="single" w:color="auto" w:sz="4" w:space="0"/>
            </w:tcBorders>
            <w:vAlign w:val="center"/>
          </w:tcPr>
          <w:p w14:paraId="457B7C49">
            <w:pPr>
              <w:keepNext w:val="0"/>
              <w:keepLines w:val="0"/>
              <w:suppressLineNumbers w:val="0"/>
              <w:spacing w:before="0" w:beforeAutospacing="0" w:after="0" w:afterAutospacing="0"/>
              <w:ind w:left="0" w:right="0"/>
              <w:jc w:val="center"/>
              <w:rPr>
                <w:rFonts w:hint="eastAsia" w:ascii="宋体" w:hAnsi="宋体" w:eastAsia="宋体" w:cs="宋体"/>
                <w:b/>
                <w:sz w:val="24"/>
                <w:szCs w:val="24"/>
              </w:rPr>
            </w:pPr>
            <w:r>
              <w:rPr>
                <w:rFonts w:hint="eastAsia" w:ascii="宋体" w:hAnsi="宋体" w:eastAsia="宋体" w:cs="宋体"/>
                <w:b/>
                <w:sz w:val="24"/>
                <w:szCs w:val="24"/>
              </w:rPr>
              <w:t>设备名称</w:t>
            </w:r>
          </w:p>
        </w:tc>
        <w:tc>
          <w:tcPr>
            <w:tcW w:w="2250" w:type="dxa"/>
            <w:tcBorders>
              <w:top w:val="single" w:color="auto" w:sz="4" w:space="0"/>
              <w:left w:val="nil"/>
              <w:bottom w:val="single" w:color="auto" w:sz="4" w:space="0"/>
              <w:right w:val="single" w:color="auto" w:sz="4" w:space="0"/>
            </w:tcBorders>
            <w:vAlign w:val="center"/>
          </w:tcPr>
          <w:p w14:paraId="29DE410D">
            <w:pPr>
              <w:keepNext w:val="0"/>
              <w:keepLines w:val="0"/>
              <w:suppressLineNumbers w:val="0"/>
              <w:spacing w:before="0" w:beforeAutospacing="0" w:after="0" w:afterAutospacing="0"/>
              <w:ind w:left="0" w:right="0"/>
              <w:jc w:val="center"/>
              <w:rPr>
                <w:rFonts w:hint="eastAsia" w:ascii="宋体" w:hAnsi="宋体" w:eastAsia="宋体" w:cs="宋体"/>
                <w:b/>
                <w:sz w:val="24"/>
                <w:szCs w:val="24"/>
              </w:rPr>
            </w:pPr>
            <w:r>
              <w:rPr>
                <w:rFonts w:hint="eastAsia" w:ascii="宋体" w:hAnsi="宋体" w:eastAsia="宋体" w:cs="宋体"/>
                <w:b/>
                <w:sz w:val="24"/>
                <w:szCs w:val="24"/>
              </w:rPr>
              <w:t>采购参数要求</w:t>
            </w:r>
          </w:p>
        </w:tc>
        <w:tc>
          <w:tcPr>
            <w:tcW w:w="2155" w:type="dxa"/>
            <w:tcBorders>
              <w:top w:val="single" w:color="auto" w:sz="4" w:space="0"/>
              <w:left w:val="nil"/>
              <w:bottom w:val="single" w:color="auto" w:sz="4" w:space="0"/>
              <w:right w:val="single" w:color="auto" w:sz="4" w:space="0"/>
            </w:tcBorders>
            <w:vAlign w:val="center"/>
          </w:tcPr>
          <w:p w14:paraId="5307AB66">
            <w:pPr>
              <w:keepNext w:val="0"/>
              <w:keepLines w:val="0"/>
              <w:suppressLineNumbers w:val="0"/>
              <w:spacing w:before="0" w:beforeAutospacing="0" w:after="0" w:afterAutospacing="0"/>
              <w:ind w:left="0" w:right="0"/>
              <w:jc w:val="center"/>
              <w:rPr>
                <w:rFonts w:hint="eastAsia" w:ascii="宋体" w:hAnsi="宋体" w:eastAsia="宋体" w:cs="宋体"/>
                <w:b/>
                <w:sz w:val="24"/>
                <w:szCs w:val="24"/>
              </w:rPr>
            </w:pPr>
            <w:r>
              <w:rPr>
                <w:rFonts w:hint="eastAsia" w:ascii="宋体" w:hAnsi="宋体" w:eastAsia="宋体" w:cs="宋体"/>
                <w:b/>
                <w:sz w:val="24"/>
                <w:szCs w:val="24"/>
              </w:rPr>
              <w:t>响应规格参数要求</w:t>
            </w:r>
          </w:p>
        </w:tc>
        <w:tc>
          <w:tcPr>
            <w:tcW w:w="2265" w:type="dxa"/>
            <w:tcBorders>
              <w:top w:val="single" w:color="auto" w:sz="4" w:space="0"/>
              <w:left w:val="nil"/>
              <w:bottom w:val="single" w:color="auto" w:sz="4" w:space="0"/>
              <w:right w:val="single" w:color="auto" w:sz="4" w:space="0"/>
            </w:tcBorders>
            <w:vAlign w:val="center"/>
          </w:tcPr>
          <w:p w14:paraId="3EECBA75">
            <w:pPr>
              <w:keepNext w:val="0"/>
              <w:keepLines w:val="0"/>
              <w:suppressLineNumbers w:val="0"/>
              <w:spacing w:before="0" w:beforeAutospacing="0" w:after="0" w:afterAutospacing="0"/>
              <w:ind w:left="0" w:right="0"/>
              <w:jc w:val="center"/>
              <w:rPr>
                <w:rFonts w:hint="eastAsia" w:ascii="宋体" w:hAnsi="宋体" w:eastAsia="宋体" w:cs="宋体"/>
                <w:b/>
                <w:sz w:val="24"/>
                <w:szCs w:val="24"/>
              </w:rPr>
            </w:pPr>
            <w:r>
              <w:rPr>
                <w:rFonts w:hint="eastAsia" w:ascii="宋体" w:hAnsi="宋体" w:eastAsia="宋体" w:cs="宋体"/>
                <w:b/>
                <w:sz w:val="24"/>
                <w:szCs w:val="24"/>
              </w:rPr>
              <w:t>偏离说明</w:t>
            </w:r>
          </w:p>
        </w:tc>
      </w:tr>
      <w:tr w14:paraId="015145E4">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71CF63D4">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35179DB4">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371D7463">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1A683D56">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2F04F1AD">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010AC893">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7E947521">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42580E1D">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3EE2DCDB">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13E4CB66">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4EFA4C07">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3A26E071">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13942391">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120ACE7D">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09405BFF">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1E5A52A3">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1CFBD4D8">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3E788486">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306598B5">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3093381A">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7537BE3F">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4C47A0C1">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097992D7">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7E8CB7E7">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2B1F0124">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7AE6C34E">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01327F7E">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1965B9AB">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35209CF0">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0ABAA6FC">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17438968">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35E24264">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7B05A3E8">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1E5485DE">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44011237">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4E8F096C">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66406360">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50E32D84">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1A14771D">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1776E31E">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57C49207">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7A508F8B">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304DD728">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2506EAE1">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301BF97B">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2606BF2F">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26066642">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08C4E240">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7EA0C862">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161C88A7">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15599C95">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0E073B48">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11CD045E">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3CD98729">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669FD71C">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1D0589E4">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302C4BC0">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2956B132">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10E5EBE6">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3ABB40D2">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1EECE088">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01AF6BB9">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50" w:type="dxa"/>
            <w:tcBorders>
              <w:top w:val="single" w:color="auto" w:sz="4" w:space="0"/>
              <w:left w:val="nil"/>
              <w:bottom w:val="single" w:color="auto" w:sz="4" w:space="0"/>
              <w:right w:val="single" w:color="auto" w:sz="4" w:space="0"/>
            </w:tcBorders>
            <w:vAlign w:val="center"/>
          </w:tcPr>
          <w:p w14:paraId="2BD2F111">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1FD60A2E">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228FB75C">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r w14:paraId="7DEBBA34">
        <w:tblPrEx>
          <w:tblCellMar>
            <w:top w:w="0" w:type="dxa"/>
            <w:left w:w="108" w:type="dxa"/>
            <w:bottom w:w="0" w:type="dxa"/>
            <w:right w:w="108" w:type="dxa"/>
          </w:tblCellMar>
        </w:tblPrEx>
        <w:trPr>
          <w:trHeight w:val="567" w:hRule="atLeast"/>
        </w:trPr>
        <w:tc>
          <w:tcPr>
            <w:tcW w:w="876" w:type="dxa"/>
            <w:tcBorders>
              <w:top w:val="single" w:color="auto" w:sz="4" w:space="0"/>
              <w:left w:val="single" w:color="auto" w:sz="4" w:space="0"/>
              <w:bottom w:val="single" w:color="auto" w:sz="4" w:space="0"/>
              <w:right w:val="single" w:color="auto" w:sz="4" w:space="0"/>
            </w:tcBorders>
            <w:vAlign w:val="center"/>
          </w:tcPr>
          <w:p w14:paraId="381D4CBC">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1332" w:type="dxa"/>
            <w:tcBorders>
              <w:top w:val="single" w:color="auto" w:sz="4" w:space="0"/>
              <w:left w:val="nil"/>
              <w:bottom w:val="single" w:color="auto" w:sz="4" w:space="0"/>
              <w:right w:val="single" w:color="auto" w:sz="4" w:space="0"/>
            </w:tcBorders>
            <w:vAlign w:val="center"/>
          </w:tcPr>
          <w:p w14:paraId="5D5C6BE0">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r>
              <w:rPr>
                <w:rFonts w:hint="eastAsia" w:ascii="宋体" w:hAnsi="宋体" w:eastAsia="宋体" w:cs="宋体"/>
                <w:b/>
                <w:sz w:val="24"/>
                <w:szCs w:val="24"/>
              </w:rPr>
              <w:t>……</w:t>
            </w:r>
          </w:p>
        </w:tc>
        <w:tc>
          <w:tcPr>
            <w:tcW w:w="2250" w:type="dxa"/>
            <w:tcBorders>
              <w:top w:val="single" w:color="auto" w:sz="4" w:space="0"/>
              <w:left w:val="nil"/>
              <w:bottom w:val="single" w:color="auto" w:sz="4" w:space="0"/>
              <w:right w:val="single" w:color="auto" w:sz="4" w:space="0"/>
            </w:tcBorders>
            <w:vAlign w:val="center"/>
          </w:tcPr>
          <w:p w14:paraId="69F8D1AB">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155" w:type="dxa"/>
            <w:tcBorders>
              <w:top w:val="single" w:color="auto" w:sz="4" w:space="0"/>
              <w:left w:val="nil"/>
              <w:bottom w:val="single" w:color="auto" w:sz="4" w:space="0"/>
              <w:right w:val="single" w:color="auto" w:sz="4" w:space="0"/>
            </w:tcBorders>
            <w:vAlign w:val="center"/>
          </w:tcPr>
          <w:p w14:paraId="0A32F8F0">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c>
          <w:tcPr>
            <w:tcW w:w="2265" w:type="dxa"/>
            <w:tcBorders>
              <w:top w:val="single" w:color="auto" w:sz="4" w:space="0"/>
              <w:left w:val="nil"/>
              <w:bottom w:val="single" w:color="auto" w:sz="4" w:space="0"/>
              <w:right w:val="single" w:color="auto" w:sz="4" w:space="0"/>
            </w:tcBorders>
            <w:vAlign w:val="center"/>
          </w:tcPr>
          <w:p w14:paraId="47CE2F3D">
            <w:pPr>
              <w:keepNext w:val="0"/>
              <w:keepLines w:val="0"/>
              <w:suppressLineNumbers w:val="0"/>
              <w:spacing w:before="0" w:beforeAutospacing="0" w:after="0" w:afterAutospacing="0" w:line="340" w:lineRule="atLeast"/>
              <w:ind w:left="0" w:right="0"/>
              <w:jc w:val="center"/>
              <w:rPr>
                <w:rFonts w:hint="eastAsia" w:ascii="宋体" w:hAnsi="宋体" w:eastAsia="宋体" w:cs="宋体"/>
                <w:b/>
                <w:sz w:val="24"/>
                <w:szCs w:val="24"/>
              </w:rPr>
            </w:pPr>
          </w:p>
        </w:tc>
      </w:tr>
    </w:tbl>
    <w:p w14:paraId="7EC69236">
      <w:pPr>
        <w:spacing w:line="400" w:lineRule="exact"/>
        <w:ind w:firstLine="482" w:firstLineChars="200"/>
        <w:rPr>
          <w:rFonts w:hint="eastAsia" w:ascii="宋体" w:hAnsi="宋体" w:eastAsia="宋体" w:cs="宋体"/>
          <w:b/>
          <w:sz w:val="24"/>
          <w:szCs w:val="24"/>
        </w:rPr>
      </w:pPr>
      <w:bookmarkStart w:id="790" w:name="OLE_LINK5"/>
      <w:r>
        <w:rPr>
          <w:rFonts w:hint="eastAsia" w:ascii="宋体" w:hAnsi="宋体" w:eastAsia="宋体" w:cs="宋体"/>
          <w:b/>
          <w:sz w:val="24"/>
          <w:szCs w:val="24"/>
        </w:rPr>
        <w:t>说明：</w:t>
      </w:r>
    </w:p>
    <w:p w14:paraId="002D03B3">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1、“偏离说明”一栏中</w:t>
      </w:r>
      <w:r>
        <w:rPr>
          <w:rFonts w:hint="eastAsia" w:ascii="宋体" w:hAnsi="宋体" w:cs="宋体"/>
          <w:sz w:val="24"/>
          <w:szCs w:val="24"/>
          <w:lang w:eastAsia="zh-CN"/>
        </w:rPr>
        <w:t>投标人</w:t>
      </w:r>
      <w:r>
        <w:rPr>
          <w:rFonts w:hint="eastAsia" w:ascii="宋体" w:hAnsi="宋体" w:eastAsia="宋体" w:cs="宋体"/>
          <w:sz w:val="24"/>
          <w:szCs w:val="24"/>
        </w:rPr>
        <w:t>应对所投设备的技术参数与招标文件的要求进行对比，如无偏差请填写“无”的字样，如有偏差请注明“正偏离或负偏离”字样；</w:t>
      </w:r>
    </w:p>
    <w:p w14:paraId="40AE9411">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2、“偏离说明”一栏中由</w:t>
      </w:r>
      <w:r>
        <w:rPr>
          <w:rFonts w:hint="eastAsia" w:ascii="宋体" w:hAnsi="宋体" w:cs="宋体"/>
          <w:sz w:val="24"/>
          <w:szCs w:val="24"/>
          <w:lang w:eastAsia="zh-CN"/>
        </w:rPr>
        <w:t>投标人</w:t>
      </w:r>
      <w:r>
        <w:rPr>
          <w:rFonts w:hint="eastAsia" w:ascii="宋体" w:hAnsi="宋体" w:eastAsia="宋体" w:cs="宋体"/>
          <w:sz w:val="24"/>
          <w:szCs w:val="24"/>
        </w:rPr>
        <w:t>对所投设备的技术性能对应招标文件要求就偏差之处作以重点描述；</w:t>
      </w:r>
    </w:p>
    <w:p w14:paraId="49D6B043">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3、表格由</w:t>
      </w:r>
      <w:r>
        <w:rPr>
          <w:rFonts w:hint="eastAsia" w:ascii="宋体" w:hAnsi="宋体" w:cs="宋体"/>
          <w:sz w:val="24"/>
          <w:szCs w:val="24"/>
          <w:lang w:eastAsia="zh-CN"/>
        </w:rPr>
        <w:t>供应商</w:t>
      </w:r>
      <w:r>
        <w:rPr>
          <w:rFonts w:hint="eastAsia" w:ascii="宋体" w:hAnsi="宋体" w:eastAsia="宋体" w:cs="宋体"/>
          <w:sz w:val="24"/>
          <w:szCs w:val="24"/>
        </w:rPr>
        <w:t>自行添加。</w:t>
      </w:r>
      <w:bookmarkEnd w:id="790"/>
    </w:p>
    <w:p w14:paraId="6451D1AD">
      <w:pPr>
        <w:pStyle w:val="5"/>
        <w:spacing w:line="360" w:lineRule="auto"/>
        <w:ind w:firstLine="0"/>
        <w:rPr>
          <w:rFonts w:hint="eastAsia" w:ascii="宋体" w:hAnsi="宋体" w:eastAsia="宋体" w:cs="宋体"/>
          <w:bCs/>
          <w:sz w:val="24"/>
          <w:szCs w:val="24"/>
        </w:rPr>
      </w:pPr>
    </w:p>
    <w:p w14:paraId="181130A9">
      <w:pPr>
        <w:spacing w:beforeLines="50" w:afterLines="50" w:line="440" w:lineRule="exact"/>
        <w:ind w:left="717" w:leftChars="227" w:hanging="240" w:hangingChars="100"/>
        <w:jc w:val="right"/>
        <w:rPr>
          <w:rFonts w:hint="eastAsia" w:ascii="宋体" w:hAnsi="宋体" w:eastAsia="宋体" w:cs="宋体"/>
          <w:sz w:val="24"/>
          <w:szCs w:val="24"/>
        </w:rPr>
      </w:pPr>
    </w:p>
    <w:p w14:paraId="64E5507A">
      <w:pPr>
        <w:jc w:val="right"/>
        <w:rPr>
          <w:rFonts w:hint="eastAsia" w:ascii="宋体" w:hAnsi="宋体" w:eastAsia="宋体" w:cs="宋体"/>
          <w:sz w:val="24"/>
          <w:szCs w:val="24"/>
        </w:rPr>
      </w:pPr>
      <w:r>
        <w:rPr>
          <w:rFonts w:hint="eastAsia" w:ascii="宋体" w:hAnsi="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（盖章）</w:t>
      </w:r>
    </w:p>
    <w:p w14:paraId="64C99F41">
      <w:pPr>
        <w:rPr>
          <w:rFonts w:hint="eastAsia" w:ascii="宋体" w:hAnsi="宋体" w:eastAsia="宋体" w:cs="宋体"/>
          <w:sz w:val="24"/>
          <w:szCs w:val="24"/>
        </w:rPr>
      </w:pPr>
      <w:r>
        <w:rPr>
          <w:rFonts w:hint="eastAsia" w:ascii="宋体" w:hAnsi="宋体" w:eastAsia="宋体" w:cs="宋体"/>
          <w:sz w:val="24"/>
          <w:szCs w:val="24"/>
        </w:rPr>
        <w:t xml:space="preserve">     </w:t>
      </w:r>
    </w:p>
    <w:p w14:paraId="763C09C8">
      <w:pPr>
        <w:jc w:val="center"/>
        <w:rPr>
          <w:rFonts w:hint="eastAsia" w:ascii="宋体" w:hAnsi="宋体" w:eastAsia="宋体" w:cs="宋体"/>
          <w:sz w:val="24"/>
          <w:szCs w:val="24"/>
        </w:rPr>
      </w:pPr>
      <w:r>
        <w:rPr>
          <w:rFonts w:hint="eastAsia" w:ascii="宋体" w:hAnsi="宋体" w:cs="宋体"/>
          <w:sz w:val="24"/>
          <w:szCs w:val="24"/>
          <w:lang w:val="en-US" w:eastAsia="zh-CN"/>
        </w:rPr>
        <w:t xml:space="preserve">                                       </w:t>
      </w: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签章</w:t>
      </w:r>
      <w:r>
        <w:rPr>
          <w:rFonts w:hint="eastAsia" w:ascii="宋体" w:hAnsi="宋体" w:eastAsia="宋体" w:cs="宋体"/>
          <w:sz w:val="24"/>
          <w:szCs w:val="24"/>
        </w:rPr>
        <w:t>)</w:t>
      </w:r>
    </w:p>
    <w:p w14:paraId="5CD859F4">
      <w:pPr>
        <w:rPr>
          <w:rFonts w:hint="eastAsia" w:ascii="宋体" w:hAnsi="宋体" w:eastAsia="宋体" w:cs="宋体"/>
          <w:sz w:val="24"/>
          <w:szCs w:val="24"/>
        </w:rPr>
      </w:pPr>
    </w:p>
    <w:p w14:paraId="38782052">
      <w:pPr>
        <w:tabs>
          <w:tab w:val="left" w:pos="5380"/>
          <w:tab w:val="left" w:pos="6520"/>
          <w:tab w:val="left" w:pos="7680"/>
        </w:tabs>
        <w:autoSpaceDE w:val="0"/>
        <w:autoSpaceDN w:val="0"/>
        <w:adjustRightInd w:val="0"/>
        <w:ind w:right="-20" w:firstLine="1200" w:firstLineChars="500"/>
        <w:jc w:val="right"/>
        <w:rPr>
          <w:rFonts w:hint="eastAsia" w:ascii="宋体" w:hAnsi="宋体" w:eastAsia="宋体" w:cs="宋体"/>
          <w:kern w:val="0"/>
          <w:sz w:val="24"/>
          <w:szCs w:val="24"/>
        </w:rPr>
      </w:pPr>
      <w:r>
        <w:rPr>
          <w:rFonts w:hint="eastAsia" w:ascii="宋体" w:hAnsi="宋体" w:eastAsia="宋体" w:cs="宋体"/>
          <w:kern w:val="0"/>
          <w:sz w:val="24"/>
          <w:szCs w:val="24"/>
          <w:u w:val="single"/>
        </w:rPr>
        <w:t xml:space="preserve">     </w:t>
      </w:r>
      <w:r>
        <w:rPr>
          <w:rFonts w:hint="eastAsia" w:ascii="宋体" w:hAnsi="宋体" w:eastAsia="宋体" w:cs="宋体"/>
          <w:spacing w:val="43"/>
          <w:kern w:val="0"/>
          <w:sz w:val="24"/>
          <w:szCs w:val="24"/>
          <w:u w:val="single"/>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日</w:t>
      </w:r>
    </w:p>
    <w:p w14:paraId="08335FFB">
      <w:pPr>
        <w:pStyle w:val="9"/>
        <w:ind w:firstLine="0" w:firstLineChars="0"/>
        <w:jc w:val="center"/>
        <w:outlineLvl w:val="0"/>
        <w:rPr>
          <w:rFonts w:hint="default" w:ascii="宋体" w:hAnsi="宋体" w:eastAsia="宋体" w:cs="宋体"/>
          <w:b/>
          <w:bCs/>
          <w:sz w:val="32"/>
          <w:szCs w:val="32"/>
          <w:lang w:val="en-US" w:eastAsia="zh-CN"/>
        </w:rPr>
      </w:pPr>
      <w:bookmarkStart w:id="791" w:name="_Toc28408"/>
      <w:bookmarkStart w:id="792" w:name="_Toc4870"/>
      <w:bookmarkStart w:id="793" w:name="_Toc30842_WPSOffice_Level1"/>
      <w:bookmarkStart w:id="794" w:name="_Toc8534"/>
      <w:bookmarkStart w:id="795" w:name="_Toc29849"/>
      <w:r>
        <w:rPr>
          <w:rFonts w:hint="eastAsia" w:ascii="宋体" w:hAnsi="宋体" w:eastAsia="宋体" w:cs="宋体"/>
          <w:b/>
          <w:bCs/>
          <w:sz w:val="32"/>
          <w:szCs w:val="32"/>
          <w:lang w:val="en-US" w:eastAsia="zh-CN"/>
        </w:rPr>
        <w:t>六</w:t>
      </w:r>
      <w:r>
        <w:rPr>
          <w:rFonts w:hint="eastAsia" w:ascii="宋体" w:hAnsi="宋体" w:eastAsia="宋体" w:cs="宋体"/>
          <w:b/>
          <w:bCs/>
          <w:sz w:val="32"/>
          <w:szCs w:val="32"/>
        </w:rPr>
        <w:t>、</w:t>
      </w:r>
      <w:bookmarkEnd w:id="791"/>
      <w:bookmarkEnd w:id="792"/>
      <w:bookmarkEnd w:id="793"/>
      <w:bookmarkEnd w:id="794"/>
      <w:r>
        <w:rPr>
          <w:rFonts w:hint="eastAsia" w:ascii="宋体" w:hAnsi="宋体" w:eastAsia="宋体" w:cs="宋体"/>
          <w:b/>
          <w:bCs/>
          <w:sz w:val="32"/>
          <w:szCs w:val="32"/>
          <w:lang w:val="en-US" w:eastAsia="zh-CN"/>
        </w:rPr>
        <w:t>资格审查资料</w:t>
      </w:r>
      <w:bookmarkEnd w:id="795"/>
    </w:p>
    <w:p w14:paraId="217C74D7">
      <w:pPr>
        <w:pStyle w:val="9"/>
        <w:ind w:firstLine="0" w:firstLineChars="0"/>
        <w:jc w:val="center"/>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格式自拟</w:t>
      </w:r>
      <w:r>
        <w:rPr>
          <w:rFonts w:hint="eastAsia" w:ascii="宋体" w:hAnsi="宋体" w:eastAsia="宋体" w:cs="宋体"/>
          <w:b/>
          <w:bCs/>
          <w:sz w:val="28"/>
          <w:szCs w:val="28"/>
          <w:lang w:eastAsia="zh-CN"/>
        </w:rPr>
        <w:t>）</w:t>
      </w:r>
    </w:p>
    <w:p w14:paraId="32F2C164">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1、满足《中华人民共和国政府采购法》第二十二条规定； </w:t>
      </w:r>
    </w:p>
    <w:p w14:paraId="55C26D1A">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2、落实政府采购政策满足的资格要求： </w:t>
      </w:r>
    </w:p>
    <w:p w14:paraId="010BD27B">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本项目非专门面向中小微企业采购项目,执行促进中小企业（监狱企业、残疾人福利性企业）发展等政府采购政策。</w:t>
      </w:r>
    </w:p>
    <w:p w14:paraId="29036195">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3、本项目的特定资格要求 </w:t>
      </w:r>
    </w:p>
    <w:p w14:paraId="0B490F94">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3.1.供应商须具备独立承担民事责任的能力，提供有效的营业执照或事业单位法人证书，或其他依法成立、合法存续的有效登记（证明）证书；提供具有履行合同所必需的设备和专业技术能力（自行作出承诺，格式自拟）； </w:t>
      </w:r>
    </w:p>
    <w:p w14:paraId="452A5A97">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3.2.供应商出具的本单位无商业贿赂及无不正当竞争行为承诺书；</w:t>
      </w:r>
    </w:p>
    <w:p w14:paraId="4FE75ABA">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3.3.供应商出具无行贿记录在中国裁判文书网自行查询或自行承诺（查询对象：企业、法定代表人）</w:t>
      </w:r>
    </w:p>
    <w:p w14:paraId="711A3796">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3.4.参加政府采购活动前三年内，在经营活动中没有重大违法记录（提供书面声明）； </w:t>
      </w:r>
    </w:p>
    <w:p w14:paraId="34A1ECC5">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3.5.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信用中国”网站（www.creditchina.gov.cn）、中国政府采购网（www.ccgp.gov.cn）的网页查询结果。查询时间为招标公告发布日期之后。</w:t>
      </w:r>
    </w:p>
    <w:p w14:paraId="429F358C">
      <w:pPr>
        <w:spacing w:line="360" w:lineRule="auto"/>
        <w:ind w:left="-420" w:leftChars="-20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3.6本项目不接受联合体投标。</w:t>
      </w:r>
    </w:p>
    <w:p w14:paraId="5167101D">
      <w:pPr>
        <w:pStyle w:val="9"/>
        <w:ind w:left="0" w:leftChars="0" w:firstLine="0" w:firstLineChars="0"/>
        <w:rPr>
          <w:rFonts w:ascii="宋体" w:hAnsi="宋体" w:eastAsia="宋体" w:cs="宋体"/>
          <w:sz w:val="24"/>
        </w:rPr>
      </w:pPr>
    </w:p>
    <w:p w14:paraId="6F4D6446">
      <w:pPr>
        <w:rPr>
          <w:rFonts w:ascii="宋体" w:hAnsi="宋体" w:cs="宋体"/>
        </w:rPr>
      </w:pPr>
      <w:bookmarkStart w:id="796" w:name="_Toc8720"/>
      <w:bookmarkStart w:id="797" w:name="_Toc13712"/>
    </w:p>
    <w:p w14:paraId="78AFA168">
      <w:pPr>
        <w:jc w:val="right"/>
        <w:rPr>
          <w:rFonts w:ascii="宋体" w:hAnsi="宋体" w:cs="宋体"/>
        </w:rPr>
      </w:pPr>
      <w:r>
        <w:rPr>
          <w:rFonts w:hint="eastAsia" w:ascii="宋体" w:hAnsi="宋体" w:cs="宋体"/>
          <w:lang w:eastAsia="zh-CN"/>
        </w:rPr>
        <w:t>供应商</w:t>
      </w:r>
      <w:r>
        <w:rPr>
          <w:rFonts w:hint="eastAsia" w:ascii="宋体" w:hAnsi="宋体" w:cs="宋体"/>
        </w:rPr>
        <w:t>：</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rPr>
        <w:t>（盖章）</w:t>
      </w:r>
    </w:p>
    <w:p w14:paraId="42E66CFB">
      <w:pPr>
        <w:rPr>
          <w:rFonts w:ascii="宋体" w:hAnsi="宋体" w:cs="宋体"/>
        </w:rPr>
      </w:pPr>
      <w:r>
        <w:rPr>
          <w:rFonts w:hint="eastAsia" w:ascii="宋体" w:hAnsi="宋体" w:cs="宋体"/>
        </w:rPr>
        <w:t xml:space="preserve">     </w:t>
      </w:r>
    </w:p>
    <w:p w14:paraId="330C6784">
      <w:pPr>
        <w:jc w:val="right"/>
        <w:rPr>
          <w:rFonts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lang w:val="en-US" w:eastAsia="zh-CN"/>
        </w:rPr>
        <w:t>签章</w:t>
      </w:r>
      <w:r>
        <w:rPr>
          <w:rFonts w:hint="eastAsia" w:ascii="宋体" w:hAnsi="宋体" w:cs="宋体"/>
        </w:rPr>
        <w:t>)</w:t>
      </w:r>
    </w:p>
    <w:p w14:paraId="1D3F1A24">
      <w:pPr>
        <w:rPr>
          <w:rFonts w:ascii="宋体" w:hAnsi="宋体" w:cs="宋体"/>
        </w:rPr>
      </w:pPr>
    </w:p>
    <w:p w14:paraId="71ED1A99">
      <w:pPr>
        <w:tabs>
          <w:tab w:val="left" w:pos="5380"/>
          <w:tab w:val="left" w:pos="6520"/>
          <w:tab w:val="left" w:pos="7680"/>
        </w:tabs>
        <w:autoSpaceDE w:val="0"/>
        <w:autoSpaceDN w:val="0"/>
        <w:adjustRightInd w:val="0"/>
        <w:ind w:right="-20" w:firstLine="1050" w:firstLineChars="500"/>
        <w:jc w:val="right"/>
        <w:rPr>
          <w:rFonts w:ascii="宋体" w:hAnsi="宋体" w:cs="宋体"/>
          <w:kern w:val="0"/>
        </w:rPr>
      </w:pPr>
      <w:r>
        <w:rPr>
          <w:rFonts w:hint="eastAsia" w:ascii="宋体" w:hAnsi="宋体" w:cs="宋体"/>
          <w:kern w:val="0"/>
          <w:u w:val="single"/>
        </w:rPr>
        <w:t xml:space="preserve">     </w:t>
      </w:r>
      <w:r>
        <w:rPr>
          <w:rFonts w:hint="eastAsia" w:ascii="宋体" w:hAnsi="宋体" w:cs="宋体"/>
          <w:spacing w:val="43"/>
          <w:kern w:val="0"/>
          <w:u w:val="single"/>
        </w:rPr>
        <w:t xml:space="preserve"> </w:t>
      </w:r>
      <w:r>
        <w:rPr>
          <w:rFonts w:hint="eastAsia" w:ascii="宋体" w:hAnsi="宋体" w:cs="宋体"/>
          <w:kern w:val="0"/>
        </w:rPr>
        <w:t>年</w:t>
      </w:r>
      <w:r>
        <w:rPr>
          <w:rFonts w:hint="eastAsia" w:ascii="宋体" w:hAnsi="宋体" w:cs="宋体"/>
          <w:kern w:val="0"/>
          <w:u w:val="single"/>
        </w:rPr>
        <w:t xml:space="preserve">       </w:t>
      </w:r>
      <w:r>
        <w:rPr>
          <w:rFonts w:hint="eastAsia" w:ascii="宋体" w:hAnsi="宋体" w:cs="宋体"/>
          <w:kern w:val="0"/>
        </w:rPr>
        <w:t>月</w:t>
      </w:r>
      <w:r>
        <w:rPr>
          <w:rFonts w:hint="eastAsia" w:ascii="宋体" w:hAnsi="宋体" w:cs="宋体"/>
          <w:kern w:val="0"/>
          <w:u w:val="single"/>
        </w:rPr>
        <w:t xml:space="preserve">      </w:t>
      </w:r>
      <w:r>
        <w:rPr>
          <w:rFonts w:hint="eastAsia" w:ascii="宋体" w:hAnsi="宋体" w:cs="宋体"/>
          <w:kern w:val="0"/>
        </w:rPr>
        <w:t>日</w:t>
      </w:r>
    </w:p>
    <w:p w14:paraId="3444D3F2">
      <w:pPr>
        <w:pStyle w:val="4"/>
        <w:spacing w:before="0" w:after="0" w:line="360" w:lineRule="auto"/>
        <w:jc w:val="both"/>
        <w:rPr>
          <w:rFonts w:cs="宋体"/>
          <w:bCs/>
          <w:sz w:val="24"/>
          <w:szCs w:val="24"/>
          <w:lang w:val="zh-CN"/>
        </w:rPr>
      </w:pPr>
    </w:p>
    <w:p w14:paraId="7D83BF86">
      <w:pPr>
        <w:tabs>
          <w:tab w:val="left" w:pos="5380"/>
          <w:tab w:val="left" w:pos="6520"/>
          <w:tab w:val="left" w:pos="7680"/>
        </w:tabs>
        <w:autoSpaceDE w:val="0"/>
        <w:autoSpaceDN w:val="0"/>
        <w:adjustRightInd w:val="0"/>
        <w:ind w:right="-20" w:firstLine="1050" w:firstLineChars="500"/>
        <w:jc w:val="right"/>
        <w:rPr>
          <w:rFonts w:ascii="宋体" w:hAnsi="宋体" w:cs="宋体"/>
          <w:kern w:val="0"/>
        </w:rPr>
      </w:pPr>
      <w:r>
        <w:rPr>
          <w:rFonts w:hint="eastAsia" w:ascii="宋体" w:hAnsi="宋体" w:eastAsia="宋体" w:cs="宋体"/>
          <w:bCs/>
          <w:szCs w:val="24"/>
          <w:lang w:val="zh-CN"/>
        </w:rPr>
        <w:br w:type="page"/>
      </w:r>
      <w:bookmarkEnd w:id="796"/>
      <w:bookmarkEnd w:id="797"/>
    </w:p>
    <w:p w14:paraId="58E4AA4F">
      <w:pPr>
        <w:pStyle w:val="9"/>
        <w:numPr>
          <w:ilvl w:val="0"/>
          <w:numId w:val="0"/>
        </w:numPr>
        <w:ind w:firstLine="0" w:firstLineChars="0"/>
        <w:jc w:val="center"/>
        <w:outlineLvl w:val="0"/>
        <w:rPr>
          <w:rFonts w:hint="eastAsia"/>
          <w:sz w:val="28"/>
          <w:szCs w:val="24"/>
          <w:u w:val="none"/>
          <w:lang w:val="en-US" w:eastAsia="zh-CN"/>
        </w:rPr>
      </w:pPr>
      <w:bookmarkStart w:id="798" w:name="_Toc25911"/>
      <w:r>
        <w:rPr>
          <w:rFonts w:hint="eastAsia" w:ascii="黑体" w:hAnsi="Times New Roman" w:eastAsia="黑体" w:cs="Times New Roman"/>
          <w:kern w:val="2"/>
          <w:sz w:val="28"/>
          <w:szCs w:val="24"/>
          <w:lang w:val="en-US" w:eastAsia="zh-CN" w:bidi="ar-SA"/>
        </w:rPr>
        <w:t>七、</w:t>
      </w:r>
      <w:r>
        <w:rPr>
          <w:rFonts w:hint="eastAsia" w:ascii="宋体" w:hAnsi="宋体" w:eastAsia="宋体" w:cs="宋体"/>
          <w:b/>
          <w:bCs/>
          <w:sz w:val="32"/>
          <w:szCs w:val="32"/>
          <w:lang w:val="en-US" w:eastAsia="zh-CN"/>
        </w:rPr>
        <w:t>技术部分</w:t>
      </w:r>
      <w:bookmarkEnd w:id="798"/>
    </w:p>
    <w:p w14:paraId="207EB4EB">
      <w:pPr>
        <w:pStyle w:val="5"/>
        <w:numPr>
          <w:ilvl w:val="0"/>
          <w:numId w:val="0"/>
        </w:numPr>
        <w:jc w:val="center"/>
        <w:rPr>
          <w:rFonts w:hint="default"/>
          <w:sz w:val="24"/>
          <w:szCs w:val="22"/>
          <w:u w:val="none"/>
          <w:lang w:val="en-US" w:eastAsia="zh-CN"/>
        </w:rPr>
      </w:pPr>
      <w:r>
        <w:rPr>
          <w:rFonts w:hint="eastAsia"/>
          <w:sz w:val="24"/>
          <w:szCs w:val="22"/>
          <w:u w:val="none"/>
          <w:lang w:val="en-US" w:eastAsia="zh-CN"/>
        </w:rPr>
        <w:t>（格式自拟）</w:t>
      </w:r>
    </w:p>
    <w:p w14:paraId="75371CF7">
      <w:pPr>
        <w:numPr>
          <w:ilvl w:val="0"/>
          <w:numId w:val="0"/>
        </w:numPr>
        <w:ind w:leftChars="0"/>
        <w:jc w:val="center"/>
        <w:rPr>
          <w:rFonts w:hint="eastAsia" w:ascii="宋体" w:hAnsi="宋体" w:cs="宋体"/>
          <w:sz w:val="21"/>
          <w:lang w:val="en-US" w:eastAsia="zh-CN"/>
        </w:rPr>
      </w:pPr>
      <w:bookmarkStart w:id="799" w:name="_Toc275795959"/>
      <w:r>
        <w:rPr>
          <w:rFonts w:hint="eastAsia" w:ascii="宋体" w:hAnsi="宋体" w:eastAsia="宋体" w:cs="宋体"/>
          <w:sz w:val="21"/>
        </w:rPr>
        <w:br w:type="page"/>
      </w:r>
      <w:bookmarkStart w:id="800" w:name="_Toc17693"/>
      <w:bookmarkStart w:id="801" w:name="_Toc20487"/>
      <w:bookmarkStart w:id="802" w:name="_Toc21193"/>
      <w:bookmarkStart w:id="803" w:name="_Toc339972632"/>
      <w:bookmarkStart w:id="804" w:name="_Toc27384"/>
      <w:bookmarkStart w:id="805" w:name="_Toc11394"/>
      <w:bookmarkStart w:id="806" w:name="_Toc19441"/>
      <w:bookmarkStart w:id="807" w:name="_Toc355809725"/>
      <w:bookmarkStart w:id="808" w:name="_Toc4766_WPSOffice_Level1"/>
      <w:bookmarkStart w:id="809" w:name="_Toc10988"/>
      <w:bookmarkStart w:id="810" w:name="_Toc28100"/>
      <w:r>
        <w:rPr>
          <w:rFonts w:hint="eastAsia" w:ascii="宋体" w:hAnsi="宋体" w:eastAsia="宋体" w:cs="宋体"/>
          <w:b/>
          <w:bCs/>
          <w:kern w:val="2"/>
          <w:sz w:val="32"/>
          <w:szCs w:val="24"/>
          <w:lang w:val="en-US" w:eastAsia="zh-CN" w:bidi="ar-SA"/>
        </w:rPr>
        <w:t>八、商务部分</w:t>
      </w:r>
    </w:p>
    <w:p w14:paraId="2DA93313">
      <w:pPr>
        <w:numPr>
          <w:ilvl w:val="0"/>
          <w:numId w:val="0"/>
        </w:numPr>
        <w:ind w:leftChars="0"/>
        <w:jc w:val="center"/>
        <w:rPr>
          <w:rFonts w:hint="default" w:ascii="宋体" w:hAnsi="宋体" w:cs="宋体"/>
          <w:sz w:val="21"/>
          <w:lang w:val="en-US" w:eastAsia="zh-CN"/>
        </w:rPr>
      </w:pPr>
      <w:r>
        <w:rPr>
          <w:rFonts w:hint="eastAsia" w:ascii="宋体" w:hAnsi="宋体" w:cs="宋体"/>
          <w:sz w:val="21"/>
          <w:lang w:val="en-US" w:eastAsia="zh-CN"/>
        </w:rPr>
        <w:t>（格式自拟）</w:t>
      </w:r>
    </w:p>
    <w:p w14:paraId="4572E8B8">
      <w:pPr>
        <w:rPr>
          <w:rFonts w:hint="eastAsia" w:ascii="宋体" w:hAnsi="宋体" w:eastAsia="宋体" w:cs="宋体"/>
          <w:bCs/>
          <w:szCs w:val="24"/>
          <w:lang w:val="en-US" w:eastAsia="zh-CN"/>
        </w:rPr>
      </w:pPr>
      <w:r>
        <w:rPr>
          <w:rFonts w:hint="eastAsia" w:ascii="宋体" w:hAnsi="宋体" w:eastAsia="宋体" w:cs="宋体"/>
          <w:bCs/>
          <w:szCs w:val="24"/>
          <w:lang w:val="en-US" w:eastAsia="zh-CN"/>
        </w:rPr>
        <w:br w:type="page"/>
      </w:r>
    </w:p>
    <w:p w14:paraId="53F1619E">
      <w:pPr>
        <w:pStyle w:val="3"/>
        <w:numPr>
          <w:ilvl w:val="0"/>
          <w:numId w:val="0"/>
        </w:numPr>
        <w:wordWrap w:val="0"/>
        <w:topLinePunct/>
        <w:spacing w:before="0" w:after="0" w:line="360" w:lineRule="auto"/>
        <w:rPr>
          <w:rFonts w:ascii="宋体" w:hAnsi="宋体" w:eastAsia="宋体" w:cs="宋体"/>
          <w:szCs w:val="24"/>
        </w:rPr>
      </w:pPr>
      <w:r>
        <w:rPr>
          <w:rFonts w:hint="eastAsia" w:ascii="宋体" w:hAnsi="宋体" w:eastAsia="宋体" w:cs="宋体"/>
          <w:bCs/>
          <w:szCs w:val="24"/>
          <w:lang w:val="en-US" w:eastAsia="zh-CN"/>
        </w:rPr>
        <w:t>九</w:t>
      </w:r>
      <w:r>
        <w:rPr>
          <w:rFonts w:hint="eastAsia" w:ascii="宋体" w:hAnsi="宋体" w:eastAsia="宋体" w:cs="宋体"/>
          <w:bCs/>
          <w:szCs w:val="24"/>
          <w:lang w:val="zh-CN"/>
        </w:rPr>
        <w:t>、反商业贿赂承诺书</w:t>
      </w:r>
      <w:bookmarkEnd w:id="799"/>
      <w:bookmarkEnd w:id="800"/>
      <w:bookmarkEnd w:id="801"/>
      <w:bookmarkEnd w:id="802"/>
      <w:bookmarkEnd w:id="803"/>
      <w:bookmarkEnd w:id="804"/>
      <w:bookmarkEnd w:id="805"/>
      <w:bookmarkEnd w:id="806"/>
      <w:bookmarkEnd w:id="807"/>
      <w:bookmarkEnd w:id="808"/>
      <w:bookmarkEnd w:id="809"/>
      <w:bookmarkEnd w:id="810"/>
    </w:p>
    <w:p w14:paraId="2669A32A">
      <w:pPr>
        <w:spacing w:line="480" w:lineRule="exact"/>
        <w:rPr>
          <w:rFonts w:ascii="宋体" w:hAnsi="宋体" w:cs="宋体"/>
        </w:rPr>
      </w:pPr>
      <w:r>
        <w:rPr>
          <w:rFonts w:hint="eastAsia" w:ascii="宋体" w:hAnsi="宋体" w:cs="宋体"/>
        </w:rPr>
        <w:t>我公司承诺：</w:t>
      </w:r>
    </w:p>
    <w:p w14:paraId="1C634FE5">
      <w:pPr>
        <w:spacing w:line="480" w:lineRule="exact"/>
        <w:ind w:firstLine="555"/>
        <w:rPr>
          <w:rFonts w:ascii="宋体" w:hAnsi="宋体" w:cs="宋体"/>
        </w:rPr>
      </w:pPr>
      <w:r>
        <w:rPr>
          <w:rFonts w:hint="eastAsia" w:ascii="宋体" w:hAnsi="宋体" w:cs="宋体"/>
        </w:rPr>
        <w:t>在</w:t>
      </w:r>
      <w:r>
        <w:rPr>
          <w:rFonts w:hint="eastAsia" w:ascii="宋体" w:hAnsi="宋体" w:cs="宋体"/>
          <w:u w:val="single"/>
        </w:rPr>
        <w:t xml:space="preserve">               （采购项目名称）</w:t>
      </w:r>
      <w:r>
        <w:rPr>
          <w:rFonts w:hint="eastAsia" w:ascii="宋体" w:hAnsi="宋体" w:cs="宋体"/>
        </w:rPr>
        <w:t>采购活动中，我公司保证做到：</w:t>
      </w:r>
    </w:p>
    <w:p w14:paraId="5BF83727">
      <w:pPr>
        <w:spacing w:line="480" w:lineRule="exact"/>
        <w:ind w:firstLine="555"/>
        <w:rPr>
          <w:rFonts w:ascii="宋体" w:hAnsi="宋体" w:cs="宋体"/>
        </w:rPr>
      </w:pPr>
      <w:r>
        <w:rPr>
          <w:rFonts w:hint="eastAsia" w:ascii="宋体" w:hAnsi="宋体" w:cs="宋体"/>
        </w:rPr>
        <w:t>1. 公平竞争参加本次采购活动。</w:t>
      </w:r>
    </w:p>
    <w:p w14:paraId="11B1D1B2">
      <w:pPr>
        <w:spacing w:line="480" w:lineRule="exact"/>
        <w:ind w:firstLine="556"/>
        <w:rPr>
          <w:rFonts w:ascii="宋体" w:hAnsi="宋体" w:cs="宋体"/>
        </w:rPr>
      </w:pPr>
      <w:r>
        <w:rPr>
          <w:rFonts w:hint="eastAsia" w:ascii="宋体" w:hAnsi="宋体" w:cs="宋体"/>
        </w:rPr>
        <w:t>2. 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2B8D8ACF">
      <w:pPr>
        <w:spacing w:line="480" w:lineRule="exact"/>
        <w:ind w:firstLine="556"/>
        <w:rPr>
          <w:rFonts w:ascii="宋体" w:hAnsi="宋体" w:cs="宋体"/>
        </w:rPr>
      </w:pPr>
      <w:r>
        <w:rPr>
          <w:rFonts w:hint="eastAsia" w:ascii="宋体" w:hAnsi="宋体" w:cs="宋体"/>
        </w:rPr>
        <w:t>3. 若出现上述行为，我公司及参与投标的工作人员愿意接受按照国家法律法规等有关规定给予的处罚。</w:t>
      </w:r>
    </w:p>
    <w:p w14:paraId="59ABFD8F">
      <w:pPr>
        <w:spacing w:line="480" w:lineRule="exact"/>
        <w:ind w:firstLine="555"/>
        <w:rPr>
          <w:rFonts w:ascii="宋体" w:hAnsi="宋体" w:cs="宋体"/>
        </w:rPr>
      </w:pPr>
    </w:p>
    <w:p w14:paraId="2365FB71">
      <w:pPr>
        <w:rPr>
          <w:rFonts w:ascii="宋体" w:hAnsi="宋体" w:cs="宋体"/>
        </w:rPr>
      </w:pPr>
    </w:p>
    <w:p w14:paraId="3FA618FD">
      <w:pPr>
        <w:rPr>
          <w:rFonts w:ascii="宋体" w:hAnsi="宋体" w:cs="宋体"/>
        </w:rPr>
      </w:pPr>
    </w:p>
    <w:p w14:paraId="46823950">
      <w:pPr>
        <w:rPr>
          <w:rFonts w:ascii="宋体" w:hAnsi="宋体" w:cs="宋体"/>
        </w:rPr>
      </w:pPr>
    </w:p>
    <w:p w14:paraId="616798A4">
      <w:pPr>
        <w:rPr>
          <w:rFonts w:ascii="宋体" w:hAnsi="宋体" w:cs="宋体"/>
        </w:rPr>
      </w:pPr>
    </w:p>
    <w:p w14:paraId="5932AC09">
      <w:pPr>
        <w:rPr>
          <w:rFonts w:ascii="宋体" w:hAnsi="宋体" w:cs="宋体"/>
        </w:rPr>
      </w:pPr>
    </w:p>
    <w:p w14:paraId="38E6EE9E">
      <w:pPr>
        <w:jc w:val="right"/>
        <w:rPr>
          <w:rFonts w:ascii="宋体" w:hAnsi="宋体" w:cs="宋体"/>
        </w:rPr>
      </w:pPr>
      <w:r>
        <w:rPr>
          <w:rFonts w:hint="eastAsia" w:ascii="宋体" w:hAnsi="宋体" w:cs="宋体"/>
          <w:lang w:eastAsia="zh-CN"/>
        </w:rPr>
        <w:t>供应商</w:t>
      </w:r>
      <w:r>
        <w:rPr>
          <w:rFonts w:hint="eastAsia" w:ascii="宋体" w:hAnsi="宋体" w:cs="宋体"/>
        </w:rPr>
        <w:t>：</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rPr>
        <w:t>（盖章）</w:t>
      </w:r>
    </w:p>
    <w:p w14:paraId="61C1A940">
      <w:pPr>
        <w:rPr>
          <w:rFonts w:ascii="宋体" w:hAnsi="宋体" w:cs="宋体"/>
        </w:rPr>
      </w:pPr>
      <w:r>
        <w:rPr>
          <w:rFonts w:hint="eastAsia" w:ascii="宋体" w:hAnsi="宋体" w:cs="宋体"/>
        </w:rPr>
        <w:t xml:space="preserve">     </w:t>
      </w:r>
    </w:p>
    <w:p w14:paraId="2A331403">
      <w:pPr>
        <w:jc w:val="right"/>
        <w:rPr>
          <w:rFonts w:ascii="宋体" w:hAnsi="宋体" w:cs="宋体"/>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w:t>
      </w:r>
      <w:r>
        <w:rPr>
          <w:rFonts w:hint="eastAsia" w:ascii="宋体" w:hAnsi="宋体" w:cs="宋体"/>
          <w:lang w:val="en-US" w:eastAsia="zh-CN"/>
        </w:rPr>
        <w:t>签章</w:t>
      </w:r>
      <w:r>
        <w:rPr>
          <w:rFonts w:hint="eastAsia" w:ascii="宋体" w:hAnsi="宋体" w:cs="宋体"/>
        </w:rPr>
        <w:t>)</w:t>
      </w:r>
    </w:p>
    <w:p w14:paraId="63E83B2B">
      <w:pPr>
        <w:rPr>
          <w:rFonts w:ascii="宋体" w:hAnsi="宋体" w:cs="宋体"/>
        </w:rPr>
      </w:pPr>
    </w:p>
    <w:p w14:paraId="402A07A7">
      <w:pPr>
        <w:tabs>
          <w:tab w:val="left" w:pos="5380"/>
          <w:tab w:val="left" w:pos="6520"/>
          <w:tab w:val="left" w:pos="7680"/>
        </w:tabs>
        <w:autoSpaceDE w:val="0"/>
        <w:autoSpaceDN w:val="0"/>
        <w:adjustRightInd w:val="0"/>
        <w:ind w:right="-20" w:firstLine="1050" w:firstLineChars="500"/>
        <w:jc w:val="right"/>
        <w:rPr>
          <w:rFonts w:ascii="宋体" w:hAnsi="宋体" w:cs="宋体"/>
          <w:kern w:val="0"/>
        </w:rPr>
      </w:pPr>
      <w:r>
        <w:rPr>
          <w:rFonts w:hint="eastAsia" w:ascii="宋体" w:hAnsi="宋体" w:cs="宋体"/>
          <w:kern w:val="0"/>
          <w:u w:val="single"/>
        </w:rPr>
        <w:t xml:space="preserve">     </w:t>
      </w:r>
      <w:r>
        <w:rPr>
          <w:rFonts w:hint="eastAsia" w:ascii="宋体" w:hAnsi="宋体" w:cs="宋体"/>
          <w:spacing w:val="43"/>
          <w:kern w:val="0"/>
          <w:u w:val="single"/>
        </w:rPr>
        <w:t xml:space="preserve"> </w:t>
      </w:r>
      <w:r>
        <w:rPr>
          <w:rFonts w:hint="eastAsia" w:ascii="宋体" w:hAnsi="宋体" w:cs="宋体"/>
          <w:kern w:val="0"/>
        </w:rPr>
        <w:t>年</w:t>
      </w:r>
      <w:r>
        <w:rPr>
          <w:rFonts w:hint="eastAsia" w:ascii="宋体" w:hAnsi="宋体" w:cs="宋体"/>
          <w:kern w:val="0"/>
          <w:u w:val="single"/>
        </w:rPr>
        <w:t xml:space="preserve">       </w:t>
      </w:r>
      <w:r>
        <w:rPr>
          <w:rFonts w:hint="eastAsia" w:ascii="宋体" w:hAnsi="宋体" w:cs="宋体"/>
          <w:kern w:val="0"/>
        </w:rPr>
        <w:t>月</w:t>
      </w:r>
      <w:r>
        <w:rPr>
          <w:rFonts w:hint="eastAsia" w:ascii="宋体" w:hAnsi="宋体" w:cs="宋体"/>
          <w:kern w:val="0"/>
          <w:u w:val="single"/>
        </w:rPr>
        <w:t xml:space="preserve">      </w:t>
      </w:r>
      <w:r>
        <w:rPr>
          <w:rFonts w:hint="eastAsia" w:ascii="宋体" w:hAnsi="宋体" w:cs="宋体"/>
          <w:kern w:val="0"/>
        </w:rPr>
        <w:t>日</w:t>
      </w:r>
    </w:p>
    <w:p w14:paraId="52A1503A">
      <w:pPr>
        <w:rPr>
          <w:rFonts w:ascii="宋体" w:hAnsi="宋体" w:cs="宋体"/>
        </w:rPr>
      </w:pPr>
    </w:p>
    <w:p w14:paraId="37AB7182">
      <w:pPr>
        <w:rPr>
          <w:rFonts w:ascii="宋体" w:hAnsi="宋体" w:cs="宋体"/>
        </w:rPr>
      </w:pPr>
    </w:p>
    <w:p w14:paraId="73834DDF">
      <w:pPr>
        <w:spacing w:line="360" w:lineRule="auto"/>
        <w:rPr>
          <w:rFonts w:ascii="宋体" w:hAnsi="宋体" w:cs="宋体"/>
          <w:szCs w:val="21"/>
        </w:rPr>
      </w:pPr>
    </w:p>
    <w:p w14:paraId="716410DC">
      <w:pPr>
        <w:spacing w:line="480" w:lineRule="exact"/>
        <w:ind w:firstLine="556"/>
        <w:rPr>
          <w:rFonts w:ascii="宋体" w:hAnsi="宋体" w:cs="宋体"/>
          <w:szCs w:val="21"/>
        </w:rPr>
      </w:pPr>
    </w:p>
    <w:p w14:paraId="47C69D45">
      <w:pPr>
        <w:spacing w:line="480" w:lineRule="exact"/>
        <w:ind w:firstLine="556"/>
        <w:rPr>
          <w:rFonts w:ascii="宋体" w:hAnsi="宋体" w:cs="宋体"/>
          <w:b/>
        </w:rPr>
      </w:pPr>
    </w:p>
    <w:p w14:paraId="1794B98A">
      <w:pPr>
        <w:widowControl/>
        <w:spacing w:line="360" w:lineRule="auto"/>
        <w:rPr>
          <w:rFonts w:ascii="宋体" w:hAnsi="宋体" w:cs="宋体"/>
          <w:bCs/>
        </w:rPr>
      </w:pPr>
    </w:p>
    <w:p w14:paraId="795190C0">
      <w:pPr>
        <w:rPr>
          <w:rFonts w:ascii="宋体" w:hAnsi="宋体" w:cs="宋体"/>
          <w:b/>
          <w:spacing w:val="6"/>
        </w:rPr>
      </w:pPr>
    </w:p>
    <w:p w14:paraId="0DAD9626">
      <w:pPr>
        <w:spacing w:line="360" w:lineRule="auto"/>
        <w:rPr>
          <w:rFonts w:ascii="宋体" w:hAnsi="宋体" w:cs="宋体"/>
          <w:b/>
          <w:sz w:val="24"/>
        </w:rPr>
      </w:pPr>
    </w:p>
    <w:p w14:paraId="1CE09F33">
      <w:pPr>
        <w:pStyle w:val="9"/>
        <w:ind w:firstLine="482"/>
        <w:rPr>
          <w:rFonts w:ascii="宋体" w:hAnsi="宋体" w:eastAsia="宋体" w:cs="宋体"/>
          <w:b/>
          <w:sz w:val="24"/>
        </w:rPr>
      </w:pPr>
    </w:p>
    <w:p w14:paraId="156399F1">
      <w:pPr>
        <w:pStyle w:val="9"/>
        <w:ind w:firstLine="482"/>
        <w:rPr>
          <w:rFonts w:ascii="宋体" w:hAnsi="宋体" w:eastAsia="宋体" w:cs="宋体"/>
          <w:b/>
          <w:sz w:val="24"/>
        </w:rPr>
      </w:pPr>
    </w:p>
    <w:p w14:paraId="5889874D">
      <w:pPr>
        <w:rPr>
          <w:rFonts w:ascii="宋体" w:hAnsi="宋体" w:cs="宋体"/>
        </w:rPr>
      </w:pPr>
    </w:p>
    <w:p w14:paraId="33EBDCE3">
      <w:pPr>
        <w:pStyle w:val="39"/>
        <w:rPr>
          <w:rFonts w:hAnsi="宋体"/>
          <w:color w:val="auto"/>
        </w:rPr>
      </w:pPr>
    </w:p>
    <w:p w14:paraId="0871E0C8">
      <w:pPr>
        <w:pStyle w:val="39"/>
        <w:rPr>
          <w:rFonts w:hAnsi="宋体"/>
          <w:color w:val="auto"/>
        </w:rPr>
      </w:pPr>
    </w:p>
    <w:p w14:paraId="2E5BD757">
      <w:pPr>
        <w:pStyle w:val="39"/>
        <w:rPr>
          <w:rFonts w:hAnsi="宋体"/>
          <w:color w:val="auto"/>
        </w:rPr>
      </w:pPr>
    </w:p>
    <w:p w14:paraId="27FF44F1">
      <w:pPr>
        <w:pStyle w:val="39"/>
        <w:rPr>
          <w:rFonts w:hAnsi="宋体"/>
          <w:color w:val="auto"/>
        </w:rPr>
      </w:pPr>
    </w:p>
    <w:p w14:paraId="27D429D5">
      <w:pPr>
        <w:pStyle w:val="39"/>
        <w:rPr>
          <w:rFonts w:hAnsi="宋体"/>
          <w:color w:val="auto"/>
        </w:rPr>
      </w:pPr>
    </w:p>
    <w:p w14:paraId="69DF872C">
      <w:pPr>
        <w:pStyle w:val="39"/>
        <w:rPr>
          <w:rFonts w:hAnsi="宋体"/>
          <w:color w:val="auto"/>
        </w:rPr>
      </w:pPr>
    </w:p>
    <w:p w14:paraId="33A728A2">
      <w:pPr>
        <w:rPr>
          <w:rFonts w:ascii="宋体" w:hAnsi="宋体" w:cs="宋体"/>
        </w:rPr>
      </w:pPr>
    </w:p>
    <w:p w14:paraId="42C803F8">
      <w:pPr>
        <w:pStyle w:val="9"/>
        <w:ind w:left="0" w:leftChars="0" w:firstLine="0" w:firstLineChars="0"/>
        <w:rPr>
          <w:rFonts w:ascii="宋体" w:hAnsi="宋体" w:eastAsia="宋体" w:cs="宋体"/>
        </w:rPr>
      </w:pPr>
    </w:p>
    <w:p w14:paraId="1DC73696">
      <w:pPr>
        <w:pStyle w:val="9"/>
        <w:rPr>
          <w:rFonts w:ascii="宋体" w:hAnsi="宋体" w:eastAsia="宋体" w:cs="宋体"/>
        </w:rPr>
      </w:pPr>
    </w:p>
    <w:p w14:paraId="6DC424A0">
      <w:pPr>
        <w:pStyle w:val="3"/>
        <w:numPr>
          <w:ilvl w:val="0"/>
          <w:numId w:val="0"/>
        </w:numPr>
        <w:topLinePunct/>
        <w:spacing w:before="0" w:after="0" w:line="360" w:lineRule="auto"/>
        <w:rPr>
          <w:rFonts w:ascii="宋体" w:hAnsi="宋体" w:eastAsia="宋体" w:cs="宋体"/>
          <w:bCs/>
          <w:szCs w:val="24"/>
        </w:rPr>
      </w:pPr>
      <w:bookmarkStart w:id="811" w:name="_Toc9983"/>
      <w:bookmarkStart w:id="812" w:name="_Toc10820"/>
      <w:bookmarkStart w:id="813" w:name="_Toc12560"/>
      <w:bookmarkStart w:id="814" w:name="_Toc28975"/>
      <w:bookmarkStart w:id="815" w:name="_Toc1580"/>
      <w:bookmarkStart w:id="816" w:name="_Toc30734"/>
      <w:bookmarkStart w:id="817" w:name="_Toc4742"/>
      <w:bookmarkStart w:id="818" w:name="_Toc28372"/>
      <w:bookmarkStart w:id="819" w:name="_Toc24573_WPSOffice_Level1"/>
      <w:r>
        <w:rPr>
          <w:rFonts w:hint="eastAsia" w:ascii="宋体" w:hAnsi="宋体" w:eastAsia="宋体" w:cs="宋体"/>
          <w:bCs/>
          <w:szCs w:val="24"/>
        </w:rPr>
        <w:t>十、其他</w:t>
      </w:r>
      <w:bookmarkEnd w:id="811"/>
      <w:r>
        <w:rPr>
          <w:rFonts w:hint="eastAsia" w:ascii="宋体" w:hAnsi="宋体" w:eastAsia="宋体" w:cs="宋体"/>
          <w:bCs/>
          <w:szCs w:val="24"/>
        </w:rPr>
        <w:t>资料</w:t>
      </w:r>
      <w:bookmarkEnd w:id="812"/>
      <w:bookmarkEnd w:id="813"/>
      <w:bookmarkEnd w:id="814"/>
      <w:bookmarkEnd w:id="815"/>
      <w:bookmarkEnd w:id="816"/>
      <w:bookmarkEnd w:id="817"/>
      <w:bookmarkEnd w:id="818"/>
      <w:bookmarkEnd w:id="819"/>
    </w:p>
    <w:p w14:paraId="585DDB2B">
      <w:pPr>
        <w:rPr>
          <w:rFonts w:ascii="宋体" w:hAnsi="宋体" w:cs="宋体"/>
          <w:b/>
        </w:rPr>
      </w:pPr>
    </w:p>
    <w:p w14:paraId="79465D2C">
      <w:pPr>
        <w:jc w:val="center"/>
        <w:outlineLvl w:val="0"/>
        <w:rPr>
          <w:rFonts w:ascii="宋体" w:hAnsi="宋体" w:cs="宋体"/>
          <w:b/>
        </w:rPr>
      </w:pPr>
      <w:bookmarkStart w:id="820" w:name="_Toc32640"/>
      <w:bookmarkStart w:id="821" w:name="_Toc5083"/>
      <w:bookmarkStart w:id="822" w:name="_Toc32113_WPSOffice_Level1"/>
      <w:bookmarkStart w:id="823" w:name="_Toc27763"/>
      <w:bookmarkStart w:id="824" w:name="_Toc14658"/>
      <w:r>
        <w:rPr>
          <w:rFonts w:hint="eastAsia" w:ascii="宋体" w:hAnsi="宋体" w:cs="宋体"/>
          <w:b/>
        </w:rPr>
        <w:t>（</w:t>
      </w:r>
      <w:r>
        <w:rPr>
          <w:rFonts w:hint="eastAsia" w:ascii="宋体" w:hAnsi="宋体" w:cs="宋体"/>
          <w:b/>
          <w:lang w:val="en-US" w:eastAsia="zh-CN"/>
        </w:rPr>
        <w:t>供应商</w:t>
      </w:r>
      <w:r>
        <w:rPr>
          <w:rFonts w:hint="eastAsia" w:ascii="宋体" w:hAnsi="宋体" w:cs="宋体"/>
          <w:b/>
        </w:rPr>
        <w:t>认为有必要提供的其他资料）</w:t>
      </w:r>
      <w:bookmarkEnd w:id="773"/>
      <w:bookmarkEnd w:id="820"/>
      <w:bookmarkEnd w:id="821"/>
      <w:bookmarkEnd w:id="822"/>
      <w:bookmarkEnd w:id="823"/>
      <w:bookmarkEnd w:id="824"/>
    </w:p>
    <w:p w14:paraId="13157260">
      <w:pPr>
        <w:rPr>
          <w:rFonts w:ascii="宋体" w:hAnsi="宋体" w:cs="宋体"/>
        </w:rPr>
      </w:pPr>
      <w:r>
        <w:rPr>
          <w:rFonts w:ascii="宋体" w:hAnsi="宋体" w:cs="宋体"/>
        </w:rPr>
        <w:br w:type="page"/>
      </w:r>
    </w:p>
    <w:p w14:paraId="5B478EB2">
      <w:pPr>
        <w:rPr>
          <w:rFonts w:hint="eastAsia" w:ascii="宋体" w:hAnsi="宋体" w:eastAsia="宋体" w:cs="宋体"/>
          <w:lang w:val="en-US" w:eastAsia="zh-CN"/>
        </w:rPr>
      </w:pPr>
      <w:r>
        <w:rPr>
          <w:rFonts w:hint="eastAsia" w:ascii="宋体" w:hAnsi="宋体" w:cs="宋体"/>
          <w:lang w:val="en-US" w:eastAsia="zh-CN"/>
        </w:rPr>
        <w:t>附件：</w:t>
      </w:r>
    </w:p>
    <w:p w14:paraId="03230F3A">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（1）中小企业声明函</w:t>
      </w:r>
    </w:p>
    <w:p w14:paraId="60504B03">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如果本企业符合《政府采购促进中小企业发展暂行办法》、《中小企业划型标准规定》条件并愿意，请按以下格式填写中小企业声明函。</w:t>
      </w:r>
    </w:p>
    <w:p w14:paraId="0F7DAFC6">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附件1：</w:t>
      </w:r>
    </w:p>
    <w:p w14:paraId="16D8058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kern w:val="0"/>
          <w:sz w:val="21"/>
          <w:szCs w:val="21"/>
        </w:rPr>
      </w:pPr>
      <w:bookmarkStart w:id="825" w:name="_Toc27377"/>
      <w:r>
        <w:rPr>
          <w:rFonts w:hint="eastAsia" w:ascii="宋体" w:hAnsi="宋体" w:eastAsia="宋体" w:cs="宋体"/>
          <w:b/>
          <w:bCs/>
          <w:color w:val="000000"/>
          <w:kern w:val="0"/>
          <w:sz w:val="21"/>
          <w:szCs w:val="21"/>
        </w:rPr>
        <w:t>中小企业声明函</w:t>
      </w:r>
      <w:bookmarkEnd w:id="825"/>
    </w:p>
    <w:p w14:paraId="5198DC56">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本公司（联合体）郑重声明，根据《政府采购促进中小企业发展管理办法》（财库﹝2020﹞46号）的规定，本公司 （联合体）参加</w:t>
      </w:r>
      <w:r>
        <w:rPr>
          <w:rFonts w:hint="eastAsia" w:ascii="宋体" w:hAnsi="宋体" w:eastAsia="宋体" w:cs="宋体"/>
          <w:kern w:val="0"/>
          <w:sz w:val="21"/>
          <w:szCs w:val="21"/>
          <w:u w:val="single"/>
        </w:rPr>
        <w:t>（单位名称）</w:t>
      </w:r>
      <w:r>
        <w:rPr>
          <w:rFonts w:hint="eastAsia" w:ascii="宋体" w:hAnsi="宋体" w:eastAsia="宋体" w:cs="宋体"/>
          <w:kern w:val="0"/>
          <w:sz w:val="21"/>
          <w:szCs w:val="21"/>
        </w:rPr>
        <w:t>的</w:t>
      </w:r>
      <w:r>
        <w:rPr>
          <w:rFonts w:hint="eastAsia" w:ascii="宋体" w:hAnsi="宋体" w:eastAsia="宋体" w:cs="宋体"/>
          <w:kern w:val="0"/>
          <w:sz w:val="21"/>
          <w:szCs w:val="21"/>
          <w:u w:val="single"/>
        </w:rPr>
        <w:t>（项目名称）</w:t>
      </w:r>
      <w:r>
        <w:rPr>
          <w:rFonts w:hint="eastAsia" w:ascii="宋体" w:hAnsi="宋体" w:eastAsia="宋体" w:cs="宋体"/>
          <w:kern w:val="0"/>
          <w:sz w:val="21"/>
          <w:szCs w:val="21"/>
        </w:rPr>
        <w:t xml:space="preserve">采购活动，提供的货物全部由符合政策要求的中小企业制造。相关企业（含联合体中的中小企业、签订分包意向协议的中小企业） </w:t>
      </w:r>
    </w:p>
    <w:p w14:paraId="6CAC32D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的具体情况如下： </w:t>
      </w:r>
    </w:p>
    <w:p w14:paraId="457CC2DC">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1. </w:t>
      </w:r>
      <w:r>
        <w:rPr>
          <w:rFonts w:hint="eastAsia" w:ascii="宋体" w:hAnsi="宋体" w:eastAsia="宋体" w:cs="宋体"/>
          <w:kern w:val="0"/>
          <w:sz w:val="21"/>
          <w:szCs w:val="21"/>
          <w:u w:val="single"/>
        </w:rPr>
        <w:t xml:space="preserve">（标的名称） </w:t>
      </w:r>
      <w:r>
        <w:rPr>
          <w:rFonts w:hint="eastAsia" w:ascii="宋体" w:hAnsi="宋体" w:eastAsia="宋体" w:cs="宋体"/>
          <w:kern w:val="0"/>
          <w:sz w:val="21"/>
          <w:szCs w:val="21"/>
        </w:rPr>
        <w:t>，属于</w:t>
      </w:r>
      <w:r>
        <w:rPr>
          <w:rFonts w:hint="eastAsia" w:ascii="宋体" w:hAnsi="宋体" w:eastAsia="宋体" w:cs="宋体"/>
          <w:kern w:val="0"/>
          <w:sz w:val="21"/>
          <w:szCs w:val="21"/>
          <w:u w:val="single"/>
        </w:rPr>
        <w:t xml:space="preserve">（采购文件中明确的所属行业） </w:t>
      </w:r>
      <w:r>
        <w:rPr>
          <w:rFonts w:hint="eastAsia" w:ascii="宋体" w:hAnsi="宋体" w:eastAsia="宋体" w:cs="宋体"/>
          <w:kern w:val="0"/>
          <w:sz w:val="21"/>
          <w:szCs w:val="21"/>
        </w:rPr>
        <w:t>行业；</w:t>
      </w:r>
      <w:r>
        <w:rPr>
          <w:rFonts w:hint="eastAsia" w:ascii="宋体" w:hAnsi="宋体" w:eastAsia="宋体" w:cs="宋体"/>
          <w:kern w:val="0"/>
          <w:sz w:val="21"/>
          <w:szCs w:val="21"/>
          <w:lang w:val="en-US" w:eastAsia="zh-CN"/>
        </w:rPr>
        <w:t>代理商</w:t>
      </w:r>
      <w:r>
        <w:rPr>
          <w:rFonts w:hint="eastAsia" w:ascii="宋体" w:hAnsi="宋体" w:eastAsia="宋体" w:cs="宋体"/>
          <w:kern w:val="0"/>
          <w:sz w:val="21"/>
          <w:szCs w:val="21"/>
        </w:rPr>
        <w:t>为</w:t>
      </w:r>
      <w:r>
        <w:rPr>
          <w:rFonts w:hint="eastAsia" w:ascii="宋体" w:hAnsi="宋体" w:eastAsia="宋体" w:cs="宋体"/>
          <w:kern w:val="0"/>
          <w:sz w:val="21"/>
          <w:szCs w:val="21"/>
          <w:u w:val="single"/>
        </w:rPr>
        <w:t>（企业名称）</w:t>
      </w:r>
      <w:r>
        <w:rPr>
          <w:rFonts w:hint="eastAsia" w:ascii="宋体" w:hAnsi="宋体" w:eastAsia="宋体" w:cs="宋体"/>
          <w:kern w:val="0"/>
          <w:sz w:val="21"/>
          <w:szCs w:val="21"/>
        </w:rPr>
        <w:t>，从业人员</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rPr>
        <w:t>人，营业收入为</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rPr>
        <w:t>万元，资产总额为</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rPr>
        <w:t>万元①，属于</w:t>
      </w:r>
      <w:r>
        <w:rPr>
          <w:rFonts w:hint="eastAsia" w:ascii="宋体" w:hAnsi="宋体" w:eastAsia="宋体" w:cs="宋体"/>
          <w:kern w:val="0"/>
          <w:sz w:val="21"/>
          <w:szCs w:val="21"/>
          <w:u w:val="single"/>
        </w:rPr>
        <w:t>（中型企业、小 型企业、微型企业）</w:t>
      </w:r>
      <w:r>
        <w:rPr>
          <w:rFonts w:hint="eastAsia" w:ascii="宋体" w:hAnsi="宋体" w:eastAsia="宋体" w:cs="宋体"/>
          <w:kern w:val="0"/>
          <w:sz w:val="21"/>
          <w:szCs w:val="21"/>
        </w:rPr>
        <w:t xml:space="preserve">； </w:t>
      </w:r>
    </w:p>
    <w:p w14:paraId="136E574A">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r>
        <w:rPr>
          <w:rFonts w:hint="eastAsia" w:ascii="宋体" w:hAnsi="宋体" w:eastAsia="宋体" w:cs="宋体"/>
          <w:kern w:val="0"/>
          <w:sz w:val="21"/>
          <w:szCs w:val="21"/>
          <w:u w:val="single"/>
        </w:rPr>
        <w:t xml:space="preserve">（标的名称） </w:t>
      </w:r>
      <w:r>
        <w:rPr>
          <w:rFonts w:hint="eastAsia" w:ascii="宋体" w:hAnsi="宋体" w:eastAsia="宋体" w:cs="宋体"/>
          <w:kern w:val="0"/>
          <w:sz w:val="21"/>
          <w:szCs w:val="21"/>
        </w:rPr>
        <w:t>，属于</w:t>
      </w:r>
      <w:r>
        <w:rPr>
          <w:rFonts w:hint="eastAsia" w:ascii="宋体" w:hAnsi="宋体" w:eastAsia="宋体" w:cs="宋体"/>
          <w:kern w:val="0"/>
          <w:sz w:val="21"/>
          <w:szCs w:val="21"/>
          <w:u w:val="single"/>
        </w:rPr>
        <w:t>（采购文件中明确的所属行业）</w:t>
      </w:r>
      <w:r>
        <w:rPr>
          <w:rFonts w:hint="eastAsia" w:ascii="宋体" w:hAnsi="宋体" w:eastAsia="宋体" w:cs="宋体"/>
          <w:kern w:val="0"/>
          <w:sz w:val="21"/>
          <w:szCs w:val="21"/>
        </w:rPr>
        <w:t>行业；制造商为</w:t>
      </w:r>
      <w:r>
        <w:rPr>
          <w:rFonts w:hint="eastAsia" w:ascii="宋体" w:hAnsi="宋体" w:eastAsia="宋体" w:cs="宋体"/>
          <w:kern w:val="0"/>
          <w:sz w:val="21"/>
          <w:szCs w:val="21"/>
          <w:u w:val="single"/>
        </w:rPr>
        <w:t>（企业名称），</w:t>
      </w:r>
      <w:r>
        <w:rPr>
          <w:rFonts w:hint="eastAsia" w:ascii="宋体" w:hAnsi="宋体" w:eastAsia="宋体" w:cs="宋体"/>
          <w:kern w:val="0"/>
          <w:sz w:val="21"/>
          <w:szCs w:val="21"/>
        </w:rPr>
        <w:t>从业人员</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rPr>
        <w:t>人，营业收入为</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rPr>
        <w:t>万元，资产总额为</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rPr>
        <w:t>万元，属于</w:t>
      </w:r>
      <w:r>
        <w:rPr>
          <w:rFonts w:hint="eastAsia" w:ascii="宋体" w:hAnsi="宋体" w:eastAsia="宋体" w:cs="宋体"/>
          <w:kern w:val="0"/>
          <w:sz w:val="21"/>
          <w:szCs w:val="21"/>
          <w:u w:val="single"/>
        </w:rPr>
        <w:t>（中型企业、小型企业、微型企业）</w:t>
      </w:r>
      <w:r>
        <w:rPr>
          <w:rFonts w:hint="eastAsia" w:ascii="宋体" w:hAnsi="宋体" w:eastAsia="宋体" w:cs="宋体"/>
          <w:kern w:val="0"/>
          <w:sz w:val="21"/>
          <w:szCs w:val="21"/>
        </w:rPr>
        <w:t xml:space="preserve">； </w:t>
      </w:r>
    </w:p>
    <w:p w14:paraId="41C26DB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p>
    <w:p w14:paraId="759BC3FE">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以上企业，不属于大企业的分支机构，不存在控股股东为大企业的情形，也不存在与大企业的负责人为同一人的情形。</w:t>
      </w:r>
    </w:p>
    <w:p w14:paraId="4DC7C6E8">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本企业对上述声明内容的真实性负责。如有虚假，将依法承担相应责任。 </w:t>
      </w:r>
    </w:p>
    <w:p w14:paraId="7A8344C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kern w:val="0"/>
          <w:sz w:val="21"/>
          <w:szCs w:val="21"/>
        </w:rPr>
      </w:pPr>
    </w:p>
    <w:p w14:paraId="767D9DE4">
      <w:pPr>
        <w:keepNext w:val="0"/>
        <w:keepLines w:val="0"/>
        <w:pageBreakBefore w:val="0"/>
        <w:widowControl/>
        <w:kinsoku/>
        <w:wordWrap/>
        <w:overflowPunct/>
        <w:topLinePunct w:val="0"/>
        <w:autoSpaceDE/>
        <w:autoSpaceDN/>
        <w:bidi w:val="0"/>
        <w:adjustRightInd/>
        <w:snapToGrid/>
        <w:spacing w:line="560" w:lineRule="exact"/>
        <w:ind w:firstLine="5460" w:firstLineChars="26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企业名称（盖章）： </w:t>
      </w:r>
    </w:p>
    <w:p w14:paraId="2CF15560">
      <w:pPr>
        <w:keepNext w:val="0"/>
        <w:keepLines w:val="0"/>
        <w:pageBreakBefore w:val="0"/>
        <w:widowControl/>
        <w:kinsoku/>
        <w:wordWrap/>
        <w:overflowPunct/>
        <w:topLinePunct w:val="0"/>
        <w:autoSpaceDE/>
        <w:autoSpaceDN/>
        <w:bidi w:val="0"/>
        <w:adjustRightInd/>
        <w:snapToGrid/>
        <w:spacing w:line="560" w:lineRule="exact"/>
        <w:ind w:firstLine="5460" w:firstLineChars="26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日 期： </w:t>
      </w:r>
    </w:p>
    <w:p w14:paraId="7943DAD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kern w:val="0"/>
          <w:sz w:val="21"/>
          <w:szCs w:val="21"/>
        </w:rPr>
      </w:pPr>
    </w:p>
    <w:p w14:paraId="687BEC8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kern w:val="0"/>
          <w:sz w:val="21"/>
          <w:szCs w:val="21"/>
        </w:rPr>
      </w:pPr>
      <w:r>
        <w:rPr>
          <w:rFonts w:hint="eastAsia" w:ascii="宋体" w:hAnsi="宋体" w:eastAsia="宋体" w:cs="宋体"/>
          <w:b/>
          <w:bCs/>
          <w:kern w:val="0"/>
          <w:sz w:val="21"/>
          <w:szCs w:val="21"/>
        </w:rPr>
        <w:t>注：</w:t>
      </w:r>
      <w:r>
        <w:rPr>
          <w:rFonts w:hint="eastAsia" w:ascii="宋体" w:hAnsi="宋体" w:eastAsia="宋体" w:cs="宋体"/>
          <w:kern w:val="0"/>
          <w:sz w:val="21"/>
          <w:szCs w:val="21"/>
        </w:rPr>
        <w:t>①从业人员、营业收入、资产总额填报上一年度数据，无上一年度数据的新成立企业可不填报。</w:t>
      </w:r>
    </w:p>
    <w:p w14:paraId="41A014BB">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sz w:val="21"/>
          <w:szCs w:val="21"/>
        </w:rPr>
        <w:t>②</w:t>
      </w:r>
      <w:r>
        <w:rPr>
          <w:rFonts w:hint="eastAsia" w:ascii="宋体" w:hAnsi="宋体" w:cs="宋体"/>
          <w:kern w:val="0"/>
          <w:sz w:val="21"/>
          <w:szCs w:val="21"/>
          <w:lang w:eastAsia="zh-CN"/>
        </w:rPr>
        <w:t>投标人</w:t>
      </w:r>
      <w:r>
        <w:rPr>
          <w:rFonts w:hint="eastAsia" w:ascii="宋体" w:hAnsi="宋体" w:eastAsia="宋体" w:cs="宋体"/>
          <w:kern w:val="0"/>
          <w:sz w:val="21"/>
          <w:szCs w:val="21"/>
        </w:rPr>
        <w:t>提供的货物既有中小企业制造货物，也有大型企业制造货物的，不享受《政府采购促进中小企业发展管理办法》规定的中小企业扶持政策。</w:t>
      </w:r>
    </w:p>
    <w:p w14:paraId="2EC71F91">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sz w:val="21"/>
          <w:szCs w:val="21"/>
        </w:rPr>
        <w:t>③</w:t>
      </w:r>
      <w:r>
        <w:rPr>
          <w:rFonts w:hint="eastAsia" w:ascii="宋体" w:hAnsi="宋体" w:eastAsia="宋体" w:cs="宋体"/>
          <w:kern w:val="0"/>
          <w:sz w:val="21"/>
          <w:szCs w:val="21"/>
        </w:rPr>
        <w:t xml:space="preserve">以联合体形式参加政府采购活动，联合体各方均为中小企业的，联合体视同中小企业。其中，联合体各方均为小微企业的，联合体视同小微企业。 </w:t>
      </w:r>
    </w:p>
    <w:p w14:paraId="47D1EFAE">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④在政府采购活动中，</w:t>
      </w:r>
      <w:r>
        <w:rPr>
          <w:rFonts w:hint="eastAsia" w:ascii="宋体" w:hAnsi="宋体" w:cs="宋体"/>
          <w:kern w:val="0"/>
          <w:sz w:val="21"/>
          <w:szCs w:val="21"/>
          <w:lang w:eastAsia="zh-CN"/>
        </w:rPr>
        <w:t>投标人</w:t>
      </w:r>
      <w:r>
        <w:rPr>
          <w:rFonts w:hint="eastAsia" w:ascii="宋体" w:hAnsi="宋体" w:eastAsia="宋体" w:cs="宋体"/>
          <w:kern w:val="0"/>
          <w:sz w:val="21"/>
          <w:szCs w:val="21"/>
        </w:rPr>
        <w:t>提供的所有货物由小微企业制造，即货物由小微企业生产且使用该小微企业商号或者注册商标的，才能享受《政府采购促进中小企业发展管理办法》规定的价格扣减。</w:t>
      </w:r>
    </w:p>
    <w:p w14:paraId="49DBF0D7">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⑤中小企业声明函格式应严格按照招标文件提供的格式填写。非单一产品采购的，设备制造商不止一家时，中小企业声明函中须列出所有的设备及制造商，罗列不全的中小企业声明函不予认可。</w:t>
      </w:r>
    </w:p>
    <w:p w14:paraId="2C2D2EC2">
      <w:pPr>
        <w:keepNext w:val="0"/>
        <w:keepLines w:val="0"/>
        <w:pageBreakBefore w:val="0"/>
        <w:widowControl/>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⑥在货物采购项目中，货物应当由中小企业制造，不对其中涉及的服务的承接商作出要求。</w:t>
      </w:r>
    </w:p>
    <w:p w14:paraId="31C247B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b/>
          <w:bCs/>
          <w:color w:val="000000"/>
          <w:kern w:val="0"/>
          <w:sz w:val="24"/>
          <w:szCs w:val="24"/>
        </w:rPr>
      </w:pPr>
      <w:bookmarkStart w:id="826" w:name="OLE_LINK13"/>
      <w:bookmarkStart w:id="827" w:name="OLE_LINK14"/>
      <w:bookmarkStart w:id="828" w:name="_Toc23336"/>
      <w:r>
        <w:rPr>
          <w:rFonts w:hint="eastAsia" w:ascii="宋体" w:hAnsi="宋体" w:eastAsia="宋体" w:cs="宋体"/>
          <w:b/>
          <w:bCs/>
          <w:color w:val="000000"/>
          <w:kern w:val="0"/>
          <w:sz w:val="24"/>
          <w:szCs w:val="24"/>
        </w:rPr>
        <w:br w:type="page"/>
      </w:r>
    </w:p>
    <w:p w14:paraId="3BF11BDC">
      <w:pPr>
        <w:keepNext/>
        <w:keepLines/>
        <w:pageBreakBefore w:val="0"/>
        <w:tabs>
          <w:tab w:val="left" w:pos="840"/>
        </w:tabs>
        <w:kinsoku/>
        <w:wordWrap/>
        <w:overflowPunct/>
        <w:topLinePunct w:val="0"/>
        <w:bidi w:val="0"/>
        <w:snapToGrid/>
        <w:spacing w:before="260" w:after="260" w:line="560" w:lineRule="exact"/>
        <w:jc w:val="left"/>
        <w:textAlignment w:val="auto"/>
        <w:outlineLvl w:val="1"/>
        <w:rPr>
          <w:rFonts w:hint="eastAsia" w:ascii="宋体" w:hAnsi="宋体" w:eastAsia="宋体" w:cs="宋体"/>
          <w:b/>
          <w:color w:val="000000"/>
          <w:kern w:val="0"/>
          <w:sz w:val="24"/>
          <w:szCs w:val="24"/>
        </w:rPr>
      </w:pPr>
      <w:r>
        <w:rPr>
          <w:rFonts w:hint="eastAsia" w:ascii="宋体" w:hAnsi="宋体" w:eastAsia="宋体" w:cs="宋体"/>
          <w:b/>
          <w:bCs/>
          <w:color w:val="000000"/>
          <w:kern w:val="0"/>
          <w:sz w:val="24"/>
          <w:szCs w:val="24"/>
        </w:rPr>
        <w:t>附件2：</w:t>
      </w:r>
    </w:p>
    <w:p w14:paraId="777D15AD">
      <w:pPr>
        <w:keepNext/>
        <w:keepLines/>
        <w:pageBreakBefore w:val="0"/>
        <w:tabs>
          <w:tab w:val="left" w:pos="840"/>
        </w:tabs>
        <w:kinsoku/>
        <w:wordWrap/>
        <w:overflowPunct/>
        <w:topLinePunct w:val="0"/>
        <w:bidi w:val="0"/>
        <w:snapToGrid/>
        <w:spacing w:before="260" w:after="260" w:line="560" w:lineRule="exact"/>
        <w:ind w:left="420"/>
        <w:jc w:val="center"/>
        <w:textAlignment w:val="auto"/>
        <w:outlineLvl w:val="1"/>
        <w:rPr>
          <w:rFonts w:hint="eastAsia" w:ascii="宋体" w:hAnsi="宋体" w:eastAsia="宋体" w:cs="宋体"/>
          <w:b/>
          <w:kern w:val="0"/>
          <w:sz w:val="24"/>
          <w:szCs w:val="24"/>
        </w:rPr>
      </w:pPr>
      <w:r>
        <w:rPr>
          <w:rFonts w:hint="eastAsia" w:ascii="宋体" w:hAnsi="宋体" w:eastAsia="宋体" w:cs="宋体"/>
          <w:b/>
          <w:color w:val="000000"/>
          <w:kern w:val="0"/>
          <w:sz w:val="24"/>
          <w:szCs w:val="24"/>
        </w:rPr>
        <w:t>残疾人福利性单位声明</w:t>
      </w:r>
      <w:r>
        <w:rPr>
          <w:rFonts w:hint="eastAsia" w:ascii="宋体" w:hAnsi="宋体" w:eastAsia="宋体" w:cs="宋体"/>
          <w:b/>
          <w:kern w:val="0"/>
          <w:sz w:val="24"/>
          <w:szCs w:val="24"/>
        </w:rPr>
        <w:t>函（如有）</w:t>
      </w:r>
      <w:bookmarkEnd w:id="826"/>
      <w:bookmarkEnd w:id="827"/>
      <w:bookmarkEnd w:id="828"/>
    </w:p>
    <w:p w14:paraId="10AB31B1">
      <w:pPr>
        <w:pageBreakBefore w:val="0"/>
        <w:kinsoku/>
        <w:wordWrap/>
        <w:overflowPunct/>
        <w:topLinePunct w:val="0"/>
        <w:bidi w:val="0"/>
        <w:snapToGrid/>
        <w:spacing w:line="560" w:lineRule="exact"/>
        <w:ind w:firstLine="444" w:firstLineChars="200"/>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本单位郑重声明，根据《财政部 民政部 中国残疾人联合会关于促进残疾人就业政府采购政策的通知》（财库</w:t>
      </w:r>
      <w:r>
        <w:rPr>
          <w:rFonts w:hint="eastAsia" w:ascii="宋体" w:hAnsi="宋体" w:eastAsia="宋体" w:cs="宋体"/>
          <w:sz w:val="21"/>
          <w:szCs w:val="21"/>
        </w:rPr>
        <w:t>〔2017〕 141</w:t>
      </w:r>
      <w:r>
        <w:rPr>
          <w:rFonts w:hint="eastAsia" w:ascii="宋体" w:hAnsi="宋体" w:eastAsia="宋体" w:cs="宋体"/>
          <w:spacing w:val="6"/>
          <w:sz w:val="21"/>
          <w:szCs w:val="21"/>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22D6EC7D">
      <w:pPr>
        <w:pageBreakBefore w:val="0"/>
        <w:kinsoku/>
        <w:wordWrap/>
        <w:overflowPunct/>
        <w:topLinePunct w:val="0"/>
        <w:bidi w:val="0"/>
        <w:snapToGrid/>
        <w:spacing w:line="560" w:lineRule="exact"/>
        <w:ind w:firstLine="444" w:firstLineChars="200"/>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本单位对上述声明的真实性负责。如有虚假，将依法承担相应责任。</w:t>
      </w:r>
    </w:p>
    <w:p w14:paraId="33F835EB">
      <w:pPr>
        <w:pageBreakBefore w:val="0"/>
        <w:kinsoku/>
        <w:wordWrap/>
        <w:overflowPunct/>
        <w:topLinePunct w:val="0"/>
        <w:bidi w:val="0"/>
        <w:snapToGrid/>
        <w:spacing w:line="560" w:lineRule="exact"/>
        <w:textAlignment w:val="auto"/>
        <w:rPr>
          <w:rFonts w:hint="eastAsia" w:ascii="宋体" w:hAnsi="宋体" w:eastAsia="宋体" w:cs="宋体"/>
          <w:spacing w:val="6"/>
          <w:sz w:val="21"/>
          <w:szCs w:val="21"/>
        </w:rPr>
      </w:pPr>
    </w:p>
    <w:p w14:paraId="555C6BD3">
      <w:pPr>
        <w:pageBreakBefore w:val="0"/>
        <w:tabs>
          <w:tab w:val="left" w:pos="4860"/>
        </w:tabs>
        <w:kinsoku/>
        <w:wordWrap/>
        <w:overflowPunct/>
        <w:topLinePunct w:val="0"/>
        <w:bidi w:val="0"/>
        <w:snapToGrid/>
        <w:spacing w:line="560" w:lineRule="exact"/>
        <w:ind w:right="1560" w:firstLine="444" w:firstLineChars="200"/>
        <w:jc w:val="center"/>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 xml:space="preserve">               单位名称（盖章）：</w:t>
      </w:r>
    </w:p>
    <w:p w14:paraId="0DE21A25">
      <w:pPr>
        <w:pageBreakBefore w:val="0"/>
        <w:tabs>
          <w:tab w:val="left" w:pos="4860"/>
        </w:tabs>
        <w:kinsoku/>
        <w:wordWrap/>
        <w:overflowPunct/>
        <w:topLinePunct w:val="0"/>
        <w:bidi w:val="0"/>
        <w:snapToGrid/>
        <w:spacing w:line="560" w:lineRule="exact"/>
        <w:ind w:right="1560" w:firstLine="444" w:firstLineChars="200"/>
        <w:jc w:val="center"/>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 xml:space="preserve">       日  期：</w:t>
      </w:r>
    </w:p>
    <w:p w14:paraId="15E8EEA3">
      <w:pPr>
        <w:pageBreakBefore w:val="0"/>
        <w:widowControl/>
        <w:kinsoku/>
        <w:wordWrap/>
        <w:overflowPunct/>
        <w:topLinePunct w:val="0"/>
        <w:bidi w:val="0"/>
        <w:snapToGrid/>
        <w:spacing w:line="560" w:lineRule="exact"/>
        <w:textAlignment w:val="auto"/>
        <w:rPr>
          <w:rFonts w:hint="eastAsia" w:ascii="宋体" w:hAnsi="宋体" w:eastAsia="宋体" w:cs="宋体"/>
          <w:b/>
          <w:sz w:val="21"/>
          <w:szCs w:val="21"/>
        </w:rPr>
      </w:pPr>
    </w:p>
    <w:p w14:paraId="05419E98">
      <w:pPr>
        <w:pageBreakBefore w:val="0"/>
        <w:widowControl/>
        <w:kinsoku/>
        <w:wordWrap/>
        <w:overflowPunct/>
        <w:topLinePunct w:val="0"/>
        <w:bidi w:val="0"/>
        <w:snapToGrid/>
        <w:spacing w:line="560" w:lineRule="exact"/>
        <w:textAlignment w:val="auto"/>
        <w:rPr>
          <w:rFonts w:hint="eastAsia" w:ascii="宋体" w:hAnsi="宋体" w:eastAsia="宋体" w:cs="宋体"/>
          <w:b/>
          <w:sz w:val="21"/>
          <w:szCs w:val="21"/>
        </w:rPr>
      </w:pPr>
      <w:r>
        <w:rPr>
          <w:rFonts w:hint="eastAsia" w:ascii="宋体" w:hAnsi="宋体" w:eastAsia="宋体" w:cs="宋体"/>
          <w:b/>
          <w:sz w:val="21"/>
          <w:szCs w:val="21"/>
        </w:rPr>
        <w:t>（提醒：如果</w:t>
      </w:r>
      <w:r>
        <w:rPr>
          <w:rFonts w:hint="eastAsia" w:ascii="宋体" w:hAnsi="宋体" w:cs="宋体"/>
          <w:b/>
          <w:sz w:val="21"/>
          <w:szCs w:val="21"/>
          <w:lang w:eastAsia="zh-CN"/>
        </w:rPr>
        <w:t>供应商</w:t>
      </w:r>
      <w:r>
        <w:rPr>
          <w:rFonts w:hint="eastAsia" w:ascii="宋体" w:hAnsi="宋体" w:eastAsia="宋体" w:cs="宋体"/>
          <w:b/>
          <w:spacing w:val="10"/>
          <w:kern w:val="0"/>
          <w:sz w:val="21"/>
          <w:szCs w:val="21"/>
        </w:rPr>
        <w:t>不是残疾人福利性单位</w:t>
      </w:r>
      <w:r>
        <w:rPr>
          <w:rFonts w:hint="eastAsia" w:ascii="宋体" w:hAnsi="宋体" w:eastAsia="宋体" w:cs="宋体"/>
          <w:b/>
          <w:sz w:val="21"/>
          <w:szCs w:val="21"/>
        </w:rPr>
        <w:t>，则不需要提供《残疾人福利性单位声明函</w:t>
      </w:r>
    </w:p>
    <w:p w14:paraId="1113F3F5">
      <w:pPr>
        <w:pageBreakBefore w:val="0"/>
        <w:widowControl/>
        <w:kinsoku/>
        <w:wordWrap/>
        <w:overflowPunct/>
        <w:topLinePunct w:val="0"/>
        <w:bidi w:val="0"/>
        <w:snapToGrid/>
        <w:spacing w:line="560" w:lineRule="exact"/>
        <w:textAlignment w:val="auto"/>
        <w:rPr>
          <w:rFonts w:hint="eastAsia" w:ascii="宋体" w:hAnsi="宋体" w:eastAsia="宋体" w:cs="宋体"/>
          <w:b/>
          <w:sz w:val="21"/>
          <w:szCs w:val="21"/>
        </w:rPr>
      </w:pPr>
      <w:r>
        <w:rPr>
          <w:rFonts w:hint="eastAsia" w:ascii="宋体" w:hAnsi="宋体" w:eastAsia="宋体" w:cs="宋体"/>
          <w:b/>
          <w:sz w:val="21"/>
          <w:szCs w:val="21"/>
        </w:rPr>
        <w:t>》。）</w:t>
      </w:r>
    </w:p>
    <w:p w14:paraId="224DA5BE">
      <w:pPr>
        <w:pageBreakBefore w:val="0"/>
        <w:tabs>
          <w:tab w:val="left" w:pos="840"/>
        </w:tabs>
        <w:kinsoku/>
        <w:wordWrap/>
        <w:overflowPunct/>
        <w:topLinePunct w:val="0"/>
        <w:autoSpaceDE w:val="0"/>
        <w:autoSpaceDN w:val="0"/>
        <w:bidi w:val="0"/>
        <w:adjustRightInd w:val="0"/>
        <w:snapToGrid/>
        <w:spacing w:line="560" w:lineRule="exact"/>
        <w:textAlignment w:val="auto"/>
        <w:rPr>
          <w:rFonts w:hint="eastAsia" w:ascii="宋体" w:hAnsi="宋体" w:eastAsia="宋体" w:cs="宋体"/>
          <w:b/>
          <w:sz w:val="24"/>
          <w:szCs w:val="24"/>
        </w:rPr>
      </w:pPr>
    </w:p>
    <w:p w14:paraId="76F3FA0E">
      <w:pPr>
        <w:pageBreakBefore w:val="0"/>
        <w:kinsoku/>
        <w:wordWrap/>
        <w:overflowPunct/>
        <w:topLinePunct w:val="0"/>
        <w:bidi w:val="0"/>
        <w:snapToGrid/>
        <w:spacing w:line="560" w:lineRule="exact"/>
        <w:textAlignment w:val="auto"/>
        <w:rPr>
          <w:rFonts w:hint="eastAsia" w:ascii="宋体" w:hAnsi="宋体" w:eastAsia="宋体" w:cs="宋体"/>
          <w:sz w:val="21"/>
          <w:szCs w:val="21"/>
        </w:rPr>
      </w:pPr>
      <w:r>
        <w:rPr>
          <w:rFonts w:hint="eastAsia" w:ascii="宋体" w:hAnsi="宋体" w:eastAsia="宋体" w:cs="宋体"/>
          <w:sz w:val="21"/>
          <w:szCs w:val="21"/>
        </w:rPr>
        <w:t>《财政部民政部中国残疾人联合会关于促进残疾人就业政府采购政策的通知》（财库（2017〔141〕号）的规定：</w:t>
      </w:r>
    </w:p>
    <w:p w14:paraId="33A324D5">
      <w:pPr>
        <w:pageBreakBefore w:val="0"/>
        <w:kinsoku/>
        <w:wordWrap/>
        <w:overflowPunct/>
        <w:topLinePunct w:val="0"/>
        <w:bidi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 享受政府采购支持政策的残疾人福利性单位应当同时满足以下条件：</w:t>
      </w:r>
    </w:p>
    <w:p w14:paraId="39AAF383">
      <w:pPr>
        <w:pageBreakBefore w:val="0"/>
        <w:kinsoku/>
        <w:wordWrap/>
        <w:overflowPunct/>
        <w:topLinePunct w:val="0"/>
        <w:bidi w:val="0"/>
        <w:snapToGrid/>
        <w:spacing w:line="560" w:lineRule="exact"/>
        <w:textAlignment w:val="auto"/>
        <w:rPr>
          <w:rFonts w:hint="eastAsia" w:ascii="宋体" w:hAnsi="宋体" w:eastAsia="宋体" w:cs="宋体"/>
          <w:sz w:val="21"/>
          <w:szCs w:val="21"/>
        </w:rPr>
      </w:pPr>
      <w:r>
        <w:rPr>
          <w:rFonts w:hint="eastAsia" w:ascii="宋体" w:hAnsi="宋体" w:eastAsia="宋体" w:cs="宋体"/>
          <w:sz w:val="21"/>
          <w:szCs w:val="21"/>
        </w:rPr>
        <w:t>（1）安置的残疾人占本单位在职职工人数的比例不低于25%（含25%），并且安置的残疾人人数不少于10人（含10人）；</w:t>
      </w:r>
    </w:p>
    <w:p w14:paraId="288A1040">
      <w:pPr>
        <w:pageBreakBefore w:val="0"/>
        <w:kinsoku/>
        <w:wordWrap/>
        <w:overflowPunct/>
        <w:topLinePunct w:val="0"/>
        <w:bidi w:val="0"/>
        <w:snapToGrid/>
        <w:spacing w:line="560" w:lineRule="exact"/>
        <w:textAlignment w:val="auto"/>
        <w:rPr>
          <w:rFonts w:hint="eastAsia" w:ascii="宋体" w:hAnsi="宋体" w:eastAsia="宋体" w:cs="宋体"/>
          <w:sz w:val="21"/>
          <w:szCs w:val="21"/>
        </w:rPr>
      </w:pPr>
      <w:r>
        <w:rPr>
          <w:rFonts w:hint="eastAsia" w:ascii="宋体" w:hAnsi="宋体" w:eastAsia="宋体" w:cs="宋体"/>
          <w:sz w:val="21"/>
          <w:szCs w:val="21"/>
        </w:rPr>
        <w:t>（2）依法与安置的每位残疾人签订了一年以上（含一年）的劳动合同或服务协议；</w:t>
      </w:r>
    </w:p>
    <w:p w14:paraId="26B3620C">
      <w:pPr>
        <w:pageBreakBefore w:val="0"/>
        <w:kinsoku/>
        <w:wordWrap/>
        <w:overflowPunct/>
        <w:topLinePunct w:val="0"/>
        <w:bidi w:val="0"/>
        <w:snapToGrid/>
        <w:spacing w:line="560" w:lineRule="exact"/>
        <w:textAlignment w:val="auto"/>
        <w:rPr>
          <w:rFonts w:hint="eastAsia" w:ascii="宋体" w:hAnsi="宋体" w:eastAsia="宋体" w:cs="宋体"/>
          <w:sz w:val="21"/>
          <w:szCs w:val="21"/>
        </w:rPr>
      </w:pPr>
      <w:r>
        <w:rPr>
          <w:rFonts w:hint="eastAsia" w:ascii="宋体" w:hAnsi="宋体" w:eastAsia="宋体" w:cs="宋体"/>
          <w:sz w:val="21"/>
          <w:szCs w:val="21"/>
        </w:rPr>
        <w:t>（3）为安置的每位残疾人按月足额缴纳了基本养老保险、基本医疗保险、失业保险、工伤保险和生育保险等社会保险费；</w:t>
      </w:r>
    </w:p>
    <w:p w14:paraId="25E9B975">
      <w:pPr>
        <w:pageBreakBefore w:val="0"/>
        <w:kinsoku/>
        <w:wordWrap/>
        <w:overflowPunct/>
        <w:topLinePunct w:val="0"/>
        <w:bidi w:val="0"/>
        <w:snapToGrid/>
        <w:spacing w:line="560" w:lineRule="exact"/>
        <w:textAlignment w:val="auto"/>
        <w:rPr>
          <w:rFonts w:hint="eastAsia" w:ascii="宋体" w:hAnsi="宋体" w:eastAsia="宋体" w:cs="宋体"/>
          <w:sz w:val="21"/>
          <w:szCs w:val="21"/>
        </w:rPr>
      </w:pPr>
      <w:r>
        <w:rPr>
          <w:rFonts w:hint="eastAsia" w:ascii="宋体" w:hAnsi="宋体" w:eastAsia="宋体" w:cs="宋体"/>
          <w:sz w:val="21"/>
          <w:szCs w:val="21"/>
        </w:rPr>
        <w:t>（4）通过银行等金融机构向安置的每位残疾人，按月支付了不低于单位所在区县适用的经省级人民政府批准的月最低工资标准的工资；</w:t>
      </w:r>
    </w:p>
    <w:p w14:paraId="19692F06">
      <w:pPr>
        <w:pageBreakBefore w:val="0"/>
        <w:kinsoku/>
        <w:wordWrap/>
        <w:overflowPunct/>
        <w:topLinePunct w:val="0"/>
        <w:bidi w:val="0"/>
        <w:snapToGrid/>
        <w:spacing w:line="560" w:lineRule="exact"/>
        <w:textAlignment w:val="auto"/>
        <w:rPr>
          <w:rFonts w:hint="eastAsia" w:ascii="宋体" w:hAnsi="宋体" w:eastAsia="宋体" w:cs="宋体"/>
          <w:sz w:val="21"/>
          <w:szCs w:val="21"/>
        </w:rPr>
      </w:pPr>
      <w:r>
        <w:rPr>
          <w:rFonts w:hint="eastAsia" w:ascii="宋体" w:hAnsi="宋体" w:eastAsia="宋体" w:cs="宋体"/>
          <w:sz w:val="21"/>
          <w:szCs w:val="21"/>
        </w:rPr>
        <w:t>（5）提供本单位制造的货物、承担的工程或者服务（以下简称产品），或者提供其他残疾人福利性单位制造的货物（不包括使用非残疾人福利性单位注册商标的货物）。</w:t>
      </w:r>
    </w:p>
    <w:p w14:paraId="6E2E6B2F">
      <w:pPr>
        <w:pageBreakBefore w:val="0"/>
        <w:kinsoku/>
        <w:wordWrap/>
        <w:overflowPunct/>
        <w:topLinePunct w:val="0"/>
        <w:bidi w:val="0"/>
        <w:snapToGrid/>
        <w:spacing w:line="560" w:lineRule="exact"/>
        <w:ind w:firstLine="420" w:firstLineChars="200"/>
        <w:textAlignment w:val="auto"/>
        <w:rPr>
          <w:rFonts w:hint="eastAsia" w:ascii="宋体" w:hAnsi="宋体" w:eastAsia="宋体" w:cs="宋体"/>
          <w:b/>
          <w:color w:val="000000"/>
          <w:sz w:val="21"/>
          <w:szCs w:val="21"/>
        </w:rPr>
      </w:pPr>
      <w:r>
        <w:rPr>
          <w:rFonts w:hint="eastAsia" w:ascii="宋体" w:hAnsi="宋体" w:eastAsia="宋体" w:cs="宋体"/>
          <w:sz w:val="21"/>
          <w:szCs w:val="21"/>
        </w:rPr>
        <w:t>2. 中标人为残疾人福利性单位的，采购人或者其委托的采购代理机构应当随中标、成交结果同时公告其《残疾人福利性单位声明函》，接受社会监督。</w:t>
      </w:r>
    </w:p>
    <w:p w14:paraId="387583D9">
      <w:pPr>
        <w:pageBreakBefore w:val="0"/>
        <w:widowControl/>
        <w:kinsoku/>
        <w:wordWrap/>
        <w:overflowPunct/>
        <w:topLinePunct w:val="0"/>
        <w:bidi w:val="0"/>
        <w:snapToGrid/>
        <w:spacing w:line="560" w:lineRule="exact"/>
        <w:jc w:val="left"/>
        <w:textAlignment w:val="auto"/>
        <w:rPr>
          <w:rFonts w:hint="eastAsia" w:ascii="宋体" w:hAnsi="宋体" w:eastAsia="宋体" w:cs="宋体"/>
          <w:b/>
          <w:bCs/>
          <w:color w:val="000000"/>
          <w:kern w:val="0"/>
          <w:sz w:val="21"/>
          <w:szCs w:val="21"/>
          <w:lang w:val="en-GB"/>
        </w:rPr>
      </w:pPr>
      <w:bookmarkStart w:id="829" w:name="_Toc15900"/>
      <w:r>
        <w:rPr>
          <w:rFonts w:hint="eastAsia" w:ascii="宋体" w:hAnsi="宋体" w:eastAsia="宋体" w:cs="宋体"/>
          <w:b/>
          <w:bCs/>
          <w:color w:val="000000"/>
          <w:kern w:val="0"/>
          <w:sz w:val="21"/>
          <w:szCs w:val="21"/>
          <w:lang w:val="en-GB"/>
        </w:rPr>
        <w:br w:type="page"/>
      </w:r>
    </w:p>
    <w:p w14:paraId="0151A0F7">
      <w:pPr>
        <w:keepNext/>
        <w:keepLines/>
        <w:pageBreakBefore w:val="0"/>
        <w:tabs>
          <w:tab w:val="left" w:pos="840"/>
        </w:tabs>
        <w:kinsoku/>
        <w:wordWrap/>
        <w:overflowPunct/>
        <w:topLinePunct w:val="0"/>
        <w:bidi w:val="0"/>
        <w:snapToGrid/>
        <w:spacing w:before="260" w:after="260" w:line="560" w:lineRule="exact"/>
        <w:textAlignment w:val="auto"/>
        <w:outlineLvl w:val="1"/>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GB"/>
        </w:rPr>
        <w:t>附件</w:t>
      </w:r>
      <w:r>
        <w:rPr>
          <w:rFonts w:hint="eastAsia" w:ascii="宋体" w:hAnsi="宋体" w:eastAsia="宋体" w:cs="宋体"/>
          <w:b/>
          <w:bCs/>
          <w:color w:val="000000"/>
          <w:kern w:val="0"/>
          <w:sz w:val="21"/>
          <w:szCs w:val="21"/>
        </w:rPr>
        <w:t>3：</w:t>
      </w:r>
    </w:p>
    <w:p w14:paraId="411BA6DE">
      <w:pPr>
        <w:keepNext/>
        <w:keepLines/>
        <w:pageBreakBefore w:val="0"/>
        <w:tabs>
          <w:tab w:val="left" w:pos="840"/>
        </w:tabs>
        <w:kinsoku/>
        <w:wordWrap/>
        <w:overflowPunct/>
        <w:topLinePunct w:val="0"/>
        <w:bidi w:val="0"/>
        <w:snapToGrid/>
        <w:spacing w:before="260" w:after="260" w:line="560" w:lineRule="exact"/>
        <w:ind w:left="420"/>
        <w:jc w:val="center"/>
        <w:textAlignment w:val="auto"/>
        <w:outlineLvl w:val="1"/>
        <w:rPr>
          <w:rFonts w:hint="eastAsia" w:ascii="宋体" w:hAnsi="宋体" w:eastAsia="宋体" w:cs="宋体"/>
          <w:b/>
          <w:kern w:val="0"/>
          <w:sz w:val="21"/>
          <w:szCs w:val="21"/>
          <w:lang w:val="en-GB"/>
        </w:rPr>
      </w:pPr>
      <w:r>
        <w:rPr>
          <w:rFonts w:hint="eastAsia" w:ascii="宋体" w:hAnsi="宋体" w:eastAsia="宋体" w:cs="宋体"/>
          <w:b/>
          <w:kern w:val="0"/>
          <w:sz w:val="21"/>
          <w:szCs w:val="21"/>
          <w:lang w:val="en-GB"/>
        </w:rPr>
        <w:t>监狱企业证明材料</w:t>
      </w:r>
      <w:r>
        <w:rPr>
          <w:rFonts w:hint="eastAsia" w:ascii="宋体" w:hAnsi="宋体" w:eastAsia="宋体" w:cs="宋体"/>
          <w:b/>
          <w:kern w:val="0"/>
          <w:sz w:val="21"/>
          <w:szCs w:val="21"/>
        </w:rPr>
        <w:t>（如有）</w:t>
      </w:r>
      <w:bookmarkEnd w:id="829"/>
    </w:p>
    <w:p w14:paraId="0F8A1829">
      <w:pPr>
        <w:pageBreakBefore w:val="0"/>
        <w:kinsoku/>
        <w:wordWrap/>
        <w:overflowPunct/>
        <w:topLinePunct w:val="0"/>
        <w:bidi w:val="0"/>
        <w:snapToGrid/>
        <w:spacing w:line="560" w:lineRule="exact"/>
        <w:textAlignment w:val="auto"/>
        <w:rPr>
          <w:rFonts w:hint="eastAsia" w:ascii="宋体" w:hAnsi="宋体" w:eastAsia="宋体" w:cs="宋体"/>
          <w:sz w:val="21"/>
          <w:szCs w:val="21"/>
          <w:lang w:val="en-GB"/>
        </w:rPr>
      </w:pPr>
    </w:p>
    <w:p w14:paraId="7222100B">
      <w:pPr>
        <w:pageBreakBefore w:val="0"/>
        <w:kinsoku/>
        <w:wordWrap/>
        <w:overflowPunct/>
        <w:topLinePunct w:val="0"/>
        <w:bidi w:val="0"/>
        <w:snapToGrid/>
        <w:spacing w:line="560" w:lineRule="exact"/>
        <w:ind w:firstLine="420" w:firstLineChars="200"/>
        <w:textAlignment w:val="auto"/>
        <w:rPr>
          <w:rFonts w:hint="eastAsia" w:ascii="宋体" w:hAnsi="宋体" w:eastAsia="宋体" w:cs="宋体"/>
          <w:sz w:val="21"/>
          <w:szCs w:val="21"/>
          <w:lang w:val="en-GB"/>
        </w:rPr>
      </w:pPr>
      <w:r>
        <w:rPr>
          <w:rFonts w:hint="eastAsia" w:ascii="宋体" w:hAnsi="宋体" w:eastAsia="宋体" w:cs="宋体"/>
          <w:sz w:val="21"/>
          <w:szCs w:val="21"/>
          <w:lang w:val="en-GB"/>
        </w:rPr>
        <w:t>监狱企业参加政府采购活动时，应当提供由省级以上监狱管理局、戒毒管理局（含新疆生产建设兵团）出具的属于监狱企业的证明文件。</w:t>
      </w:r>
    </w:p>
    <w:p w14:paraId="2B4E4CDF">
      <w:pPr>
        <w:pageBreakBefore w:val="0"/>
        <w:kinsoku/>
        <w:wordWrap/>
        <w:overflowPunct/>
        <w:topLinePunct w:val="0"/>
        <w:bidi w:val="0"/>
        <w:snapToGrid/>
        <w:spacing w:line="560" w:lineRule="exact"/>
        <w:textAlignment w:val="auto"/>
        <w:rPr>
          <w:rFonts w:hint="eastAsia" w:ascii="宋体" w:hAnsi="宋体" w:eastAsia="宋体" w:cs="宋体"/>
          <w:sz w:val="21"/>
          <w:szCs w:val="21"/>
          <w:lang w:val="en-GB"/>
        </w:rPr>
      </w:pPr>
    </w:p>
    <w:p w14:paraId="10C385C6">
      <w:pPr>
        <w:pageBreakBefore w:val="0"/>
        <w:kinsoku/>
        <w:wordWrap/>
        <w:overflowPunct/>
        <w:topLinePunct w:val="0"/>
        <w:bidi w:val="0"/>
        <w:snapToGrid/>
        <w:spacing w:line="560" w:lineRule="exact"/>
        <w:textAlignment w:val="auto"/>
        <w:rPr>
          <w:rFonts w:hint="eastAsia" w:ascii="宋体" w:hAnsi="宋体" w:eastAsia="宋体" w:cs="宋体"/>
          <w:sz w:val="21"/>
          <w:szCs w:val="21"/>
          <w:lang w:val="en-GB"/>
        </w:rPr>
      </w:pPr>
    </w:p>
    <w:p w14:paraId="4E00C05B">
      <w:pPr>
        <w:pageBreakBefore w:val="0"/>
        <w:widowControl/>
        <w:kinsoku/>
        <w:wordWrap/>
        <w:overflowPunct/>
        <w:topLinePunct w:val="0"/>
        <w:bidi w:val="0"/>
        <w:snapToGrid/>
        <w:spacing w:line="560" w:lineRule="exact"/>
        <w:textAlignment w:val="auto"/>
        <w:rPr>
          <w:rFonts w:hint="eastAsia" w:ascii="宋体" w:hAnsi="宋体" w:eastAsia="宋体" w:cs="宋体"/>
          <w:b/>
          <w:sz w:val="21"/>
          <w:szCs w:val="21"/>
        </w:rPr>
      </w:pPr>
      <w:r>
        <w:rPr>
          <w:rFonts w:hint="eastAsia" w:ascii="宋体" w:hAnsi="宋体" w:eastAsia="宋体" w:cs="宋体"/>
          <w:b/>
          <w:sz w:val="21"/>
          <w:szCs w:val="21"/>
        </w:rPr>
        <w:t>（提醒：如果</w:t>
      </w:r>
      <w:r>
        <w:rPr>
          <w:rFonts w:hint="eastAsia" w:ascii="宋体" w:hAnsi="宋体" w:cs="宋体"/>
          <w:b/>
          <w:sz w:val="21"/>
          <w:szCs w:val="21"/>
          <w:lang w:eastAsia="zh-CN"/>
        </w:rPr>
        <w:t>供应商</w:t>
      </w:r>
      <w:r>
        <w:rPr>
          <w:rFonts w:hint="eastAsia" w:ascii="宋体" w:hAnsi="宋体" w:eastAsia="宋体" w:cs="宋体"/>
          <w:b/>
          <w:spacing w:val="10"/>
          <w:kern w:val="0"/>
          <w:sz w:val="21"/>
          <w:szCs w:val="21"/>
        </w:rPr>
        <w:t>不是</w:t>
      </w:r>
      <w:r>
        <w:rPr>
          <w:rFonts w:hint="eastAsia" w:ascii="宋体" w:hAnsi="宋体" w:eastAsia="宋体" w:cs="宋体"/>
          <w:b/>
          <w:bCs/>
          <w:sz w:val="21"/>
          <w:szCs w:val="21"/>
          <w:lang w:val="en-GB"/>
        </w:rPr>
        <w:t>监狱企业</w:t>
      </w:r>
      <w:r>
        <w:rPr>
          <w:rFonts w:hint="eastAsia" w:ascii="宋体" w:hAnsi="宋体" w:eastAsia="宋体" w:cs="宋体"/>
          <w:b/>
          <w:sz w:val="21"/>
          <w:szCs w:val="21"/>
        </w:rPr>
        <w:t>，则不需要提供</w:t>
      </w:r>
      <w:r>
        <w:rPr>
          <w:rFonts w:hint="eastAsia" w:ascii="宋体" w:hAnsi="宋体" w:eastAsia="宋体" w:cs="宋体"/>
          <w:b/>
          <w:sz w:val="21"/>
          <w:szCs w:val="21"/>
          <w:lang w:val="en-GB"/>
        </w:rPr>
        <w:t>监狱企业证明材料</w:t>
      </w:r>
      <w:r>
        <w:rPr>
          <w:rFonts w:hint="eastAsia" w:ascii="宋体" w:hAnsi="宋体" w:eastAsia="宋体" w:cs="宋体"/>
          <w:b/>
          <w:sz w:val="21"/>
          <w:szCs w:val="21"/>
        </w:rPr>
        <w:t>）</w:t>
      </w:r>
    </w:p>
    <w:p w14:paraId="018BFF50">
      <w:pPr>
        <w:pStyle w:val="15"/>
        <w:pageBreakBefore w:val="0"/>
        <w:kinsoku/>
        <w:wordWrap/>
        <w:overflowPunct/>
        <w:topLinePunct w:val="0"/>
        <w:bidi w:val="0"/>
        <w:snapToGrid/>
        <w:spacing w:line="560" w:lineRule="exact"/>
        <w:textAlignment w:val="auto"/>
        <w:rPr>
          <w:rFonts w:hint="eastAsia" w:ascii="宋体" w:hAnsi="宋体" w:eastAsia="宋体" w:cs="宋体"/>
          <w:sz w:val="21"/>
          <w:szCs w:val="21"/>
        </w:rPr>
      </w:pPr>
    </w:p>
    <w:p w14:paraId="601B0D65">
      <w:pPr>
        <w:pageBreakBefore w:val="0"/>
        <w:kinsoku/>
        <w:wordWrap/>
        <w:overflowPunct/>
        <w:topLinePunct w:val="0"/>
        <w:bidi w:val="0"/>
        <w:snapToGrid/>
        <w:spacing w:line="560" w:lineRule="exact"/>
        <w:ind w:firstLine="630" w:firstLineChars="300"/>
        <w:jc w:val="left"/>
        <w:textAlignment w:val="auto"/>
        <w:rPr>
          <w:rFonts w:hint="eastAsia" w:ascii="宋体" w:hAnsi="宋体" w:eastAsia="宋体" w:cs="宋体"/>
          <w:bCs/>
          <w:sz w:val="21"/>
          <w:szCs w:val="21"/>
        </w:rPr>
      </w:pPr>
      <w:r>
        <w:rPr>
          <w:rFonts w:hint="eastAsia" w:ascii="宋体" w:hAnsi="宋体" w:eastAsia="宋体" w:cs="宋体"/>
          <w:bCs/>
          <w:sz w:val="21"/>
          <w:szCs w:val="21"/>
        </w:rPr>
        <w:t>注：在</w:t>
      </w:r>
      <w:r>
        <w:rPr>
          <w:rFonts w:hint="eastAsia" w:ascii="宋体" w:hAnsi="宋体" w:cs="宋体"/>
          <w:bCs/>
          <w:sz w:val="21"/>
          <w:szCs w:val="21"/>
          <w:lang w:eastAsia="zh-CN"/>
        </w:rPr>
        <w:t>投标文件</w:t>
      </w:r>
      <w:r>
        <w:rPr>
          <w:rFonts w:hint="eastAsia" w:ascii="宋体" w:hAnsi="宋体" w:eastAsia="宋体" w:cs="宋体"/>
          <w:bCs/>
          <w:sz w:val="21"/>
          <w:szCs w:val="21"/>
        </w:rPr>
        <w:t>中附扫描件。</w:t>
      </w:r>
    </w:p>
    <w:p w14:paraId="35E0A837">
      <w:pPr>
        <w:spacing w:line="360" w:lineRule="auto"/>
        <w:ind w:firstLine="450" w:firstLineChars="225"/>
        <w:rPr>
          <w:rFonts w:ascii="宋体" w:hAnsi="宋体"/>
          <w:sz w:val="20"/>
          <w:szCs w:val="20"/>
        </w:rPr>
      </w:pPr>
    </w:p>
    <w:p w14:paraId="58D53A24">
      <w:pPr>
        <w:spacing w:line="360" w:lineRule="auto"/>
        <w:rPr>
          <w:rFonts w:ascii="宋体" w:hAnsi="宋体"/>
          <w:sz w:val="20"/>
          <w:szCs w:val="20"/>
        </w:rPr>
      </w:pPr>
    </w:p>
    <w:p w14:paraId="5C19E725">
      <w:pPr>
        <w:pStyle w:val="15"/>
        <w:jc w:val="right"/>
        <w:rPr>
          <w:rFonts w:hint="default"/>
          <w:lang w:val="en-US" w:eastAsia="zh-CN"/>
        </w:rPr>
      </w:pPr>
    </w:p>
    <w:sectPr>
      <w:headerReference r:id="rId12" w:type="default"/>
      <w:pgSz w:w="11906" w:h="16838"/>
      <w:pgMar w:top="1304" w:right="1797" w:bottom="1304" w:left="1797" w:header="777" w:footer="641"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32522">
    <w:pPr>
      <w:pStyle w:val="16"/>
      <w:pBdr>
        <w:top w:val="single" w:color="auto" w:sz="4" w:space="0"/>
      </w:pBdr>
    </w:pPr>
    <w:r>
      <w:rPr>
        <w:rFonts w:hint="eastAsia"/>
      </w:rPr>
      <w:drawing>
        <wp:anchor distT="0" distB="0" distL="114300" distR="114300" simplePos="0" relativeHeight="251659264" behindDoc="0" locked="0" layoutInCell="1" allowOverlap="1">
          <wp:simplePos x="0" y="0"/>
          <wp:positionH relativeFrom="column">
            <wp:posOffset>-366395</wp:posOffset>
          </wp:positionH>
          <wp:positionV relativeFrom="paragraph">
            <wp:posOffset>-42545</wp:posOffset>
          </wp:positionV>
          <wp:extent cx="339725" cy="254635"/>
          <wp:effectExtent l="0" t="0" r="3175" b="1206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339725" cy="254635"/>
                  </a:xfrm>
                  <a:prstGeom prst="rect">
                    <a:avLst/>
                  </a:prstGeom>
                  <a:noFill/>
                  <a:ln>
                    <a:noFill/>
                  </a:ln>
                </pic:spPr>
              </pic:pic>
            </a:graphicData>
          </a:graphic>
        </wp:anchor>
      </w:drawing>
    </w:r>
    <w:r>
      <w:rPr>
        <w:rStyle w:val="27"/>
        <w:rFonts w:hint="eastAsia"/>
      </w:rPr>
      <w:t xml:space="preserve">恒信咨询管理有限公司      </w:t>
    </w:r>
    <w:r>
      <w:rPr>
        <w:rFonts w:hint="eastAsia" w:ascii="宋体" w:hAnsi="宋体"/>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8F94D">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83CFE8">
                          <w:pPr>
                            <w:pStyle w:val="16"/>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383CFE8">
                    <w:pPr>
                      <w:pStyle w:val="16"/>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B4AE4">
    <w:pPr>
      <w:pStyle w:val="16"/>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A0C4659">
                          <w:pPr>
                            <w:pStyle w:val="16"/>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4A0C4659">
                    <w:pPr>
                      <w:pStyle w:val="16"/>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3368C">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F1977D">
                          <w:pPr>
                            <w:pStyle w:val="16"/>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73F1977D">
                    <w:pPr>
                      <w:pStyle w:val="16"/>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C964">
    <w:pPr>
      <w:pStyle w:val="1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0FD8683">
                          <w:pPr>
                            <w:pStyle w:val="16"/>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10FD8683">
                    <w:pPr>
                      <w:pStyle w:val="16"/>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B8FD4">
    <w:pPr>
      <w:pStyle w:val="50"/>
      <w:framePr w:wrap="around" w:vAnchor="text" w:hAnchor="margin" w:xAlign="right" w:y="1"/>
      <w:rPr>
        <w:rFonts w:hint="default"/>
      </w:rPr>
    </w:pPr>
    <w:r>
      <w:fldChar w:fldCharType="begin"/>
    </w:r>
    <w:r>
      <w:instrText xml:space="preserve">PAGE  </w:instrText>
    </w:r>
    <w:r>
      <w:fldChar w:fldCharType="end"/>
    </w:r>
  </w:p>
  <w:p w14:paraId="5CEADE3B">
    <w:pPr>
      <w:pStyle w:val="50"/>
      <w:ind w:right="360"/>
      <w:rPr>
        <w:rFonts w:hint="default"/>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DC226">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51A5B">
    <w:pPr>
      <w:pBdr>
        <w:bottom w:val="single" w:color="auto" w:sz="4" w:space="1"/>
      </w:pBdr>
      <w:jc w:val="right"/>
    </w:pPr>
    <w:r>
      <w:rPr>
        <w:rFonts w:hint="eastAsia"/>
      </w:rPr>
      <w:t xml:space="preserve">  </w:t>
    </w:r>
    <w:r>
      <w:rPr>
        <w:rFonts w:hint="eastAsia"/>
        <w:sz w:val="18"/>
        <w:szCs w:val="18"/>
      </w:rPr>
      <w:t xml:space="preserve">    ××项目招标文件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4E9A8">
    <w:pPr>
      <w:spacing w:line="360" w:lineRule="auto"/>
      <w:ind w:left="-420" w:leftChars="-200" w:firstLine="420" w:firstLineChars="20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E116B">
    <w:pPr>
      <w:spacing w:line="360" w:lineRule="auto"/>
      <w:ind w:left="-420" w:leftChars="-200" w:firstLine="420" w:firstLineChars="20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75EEB"/>
    <w:multiLevelType w:val="singleLevel"/>
    <w:tmpl w:val="8A275EEB"/>
    <w:lvl w:ilvl="0" w:tentative="0">
      <w:start w:val="1"/>
      <w:numFmt w:val="decimal"/>
      <w:lvlText w:val="(%1)"/>
      <w:lvlJc w:val="left"/>
      <w:pPr>
        <w:ind w:left="425" w:hanging="425"/>
      </w:pPr>
      <w:rPr>
        <w:rFonts w:hint="default"/>
      </w:rPr>
    </w:lvl>
  </w:abstractNum>
  <w:abstractNum w:abstractNumId="1">
    <w:nsid w:val="92FEED52"/>
    <w:multiLevelType w:val="singleLevel"/>
    <w:tmpl w:val="92FEED52"/>
    <w:lvl w:ilvl="0" w:tentative="0">
      <w:start w:val="1"/>
      <w:numFmt w:val="decimal"/>
      <w:lvlText w:val="(%1)"/>
      <w:lvlJc w:val="left"/>
      <w:pPr>
        <w:ind w:left="425" w:hanging="425"/>
      </w:pPr>
      <w:rPr>
        <w:rFonts w:hint="default"/>
      </w:rPr>
    </w:lvl>
  </w:abstractNum>
  <w:abstractNum w:abstractNumId="2">
    <w:nsid w:val="973DD820"/>
    <w:multiLevelType w:val="multilevel"/>
    <w:tmpl w:val="973DD820"/>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A0647C4F"/>
    <w:multiLevelType w:val="multilevel"/>
    <w:tmpl w:val="A0647C4F"/>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A2C959E2"/>
    <w:multiLevelType w:val="multilevel"/>
    <w:tmpl w:val="A2C959E2"/>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5">
    <w:nsid w:val="D7F52C59"/>
    <w:multiLevelType w:val="singleLevel"/>
    <w:tmpl w:val="D7F52C59"/>
    <w:lvl w:ilvl="0" w:tentative="0">
      <w:start w:val="1"/>
      <w:numFmt w:val="decimal"/>
      <w:lvlText w:val="(%1)"/>
      <w:lvlJc w:val="left"/>
      <w:pPr>
        <w:ind w:left="425" w:hanging="425"/>
      </w:pPr>
      <w:rPr>
        <w:rFonts w:hint="default"/>
      </w:rPr>
    </w:lvl>
  </w:abstractNum>
  <w:abstractNum w:abstractNumId="6">
    <w:nsid w:val="E9F50827"/>
    <w:multiLevelType w:val="singleLevel"/>
    <w:tmpl w:val="E9F50827"/>
    <w:lvl w:ilvl="0" w:tentative="0">
      <w:start w:val="7"/>
      <w:numFmt w:val="chineseCounting"/>
      <w:suff w:val="nothing"/>
      <w:lvlText w:val="%1、"/>
      <w:lvlJc w:val="left"/>
      <w:rPr>
        <w:rFonts w:hint="eastAsia"/>
      </w:rPr>
    </w:lvl>
  </w:abstractNum>
  <w:abstractNum w:abstractNumId="7">
    <w:nsid w:val="F18883B4"/>
    <w:multiLevelType w:val="singleLevel"/>
    <w:tmpl w:val="F18883B4"/>
    <w:lvl w:ilvl="0" w:tentative="0">
      <w:start w:val="4"/>
      <w:numFmt w:val="chineseCounting"/>
      <w:suff w:val="nothing"/>
      <w:lvlText w:val="%1、"/>
      <w:lvlJc w:val="left"/>
      <w:rPr>
        <w:rFonts w:hint="eastAsia"/>
      </w:rPr>
    </w:lvl>
  </w:abstractNum>
  <w:abstractNum w:abstractNumId="8">
    <w:nsid w:val="0BCD640A"/>
    <w:multiLevelType w:val="multilevel"/>
    <w:tmpl w:val="0BCD640A"/>
    <w:lvl w:ilvl="0" w:tentative="0">
      <w:start w:val="1"/>
      <w:numFmt w:val="chineseCountingThousand"/>
      <w:lvlText w:val="(%1)"/>
      <w:lvlJc w:val="left"/>
      <w:pPr>
        <w:tabs>
          <w:tab w:val="left" w:pos="420"/>
        </w:tabs>
        <w:ind w:left="420" w:hanging="420"/>
      </w:pPr>
      <w:rPr>
        <w:rFonts w:hint="eastAsia"/>
      </w:rPr>
    </w:lvl>
    <w:lvl w:ilvl="1" w:tentative="0">
      <w:start w:val="1"/>
      <w:numFmt w:val="decimal"/>
      <w:pStyle w:val="3"/>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2D6A2507"/>
    <w:multiLevelType w:val="singleLevel"/>
    <w:tmpl w:val="2D6A2507"/>
    <w:lvl w:ilvl="0" w:tentative="0">
      <w:start w:val="1"/>
      <w:numFmt w:val="decimal"/>
      <w:lvlText w:val="(%1)"/>
      <w:lvlJc w:val="left"/>
      <w:pPr>
        <w:ind w:left="425" w:hanging="425"/>
      </w:pPr>
      <w:rPr>
        <w:rFonts w:hint="default"/>
      </w:rPr>
    </w:lvl>
  </w:abstractNum>
  <w:abstractNum w:abstractNumId="10">
    <w:nsid w:val="4A2313DB"/>
    <w:multiLevelType w:val="singleLevel"/>
    <w:tmpl w:val="4A2313DB"/>
    <w:lvl w:ilvl="0" w:tentative="0">
      <w:start w:val="1"/>
      <w:numFmt w:val="decimal"/>
      <w:suff w:val="nothing"/>
      <w:lvlText w:val="%1、"/>
      <w:lvlJc w:val="left"/>
    </w:lvl>
  </w:abstractNum>
  <w:abstractNum w:abstractNumId="11">
    <w:nsid w:val="4C7E4318"/>
    <w:multiLevelType w:val="multilevel"/>
    <w:tmpl w:val="4C7E4318"/>
    <w:lvl w:ilvl="0" w:tentative="0">
      <w:start w:val="1"/>
      <w:numFmt w:val="japaneseCounting"/>
      <w:lvlText w:val="第%1章"/>
      <w:lvlJc w:val="left"/>
      <w:pPr>
        <w:tabs>
          <w:tab w:val="left" w:pos="1980"/>
        </w:tabs>
        <w:ind w:left="1980" w:hanging="1260"/>
      </w:pPr>
      <w:rPr>
        <w:rFonts w:hint="eastAsia"/>
      </w:rPr>
    </w:lvl>
    <w:lvl w:ilvl="1" w:tentative="0">
      <w:start w:val="1"/>
      <w:numFmt w:val="decimal"/>
      <w:lvlText w:val="(%2)"/>
      <w:lvlJc w:val="left"/>
      <w:pPr>
        <w:tabs>
          <w:tab w:val="left" w:pos="1500"/>
        </w:tabs>
        <w:ind w:left="1500" w:hanging="360"/>
      </w:pPr>
      <w:rPr>
        <w:rFonts w:hint="default"/>
      </w:rPr>
    </w:lvl>
    <w:lvl w:ilvl="2" w:tentative="0">
      <w:start w:val="1"/>
      <w:numFmt w:val="decimal"/>
      <w:lvlText w:val="%3)"/>
      <w:lvlJc w:val="left"/>
      <w:pPr>
        <w:tabs>
          <w:tab w:val="left" w:pos="1980"/>
        </w:tabs>
        <w:ind w:left="1980" w:hanging="420"/>
      </w:pPr>
      <w:rPr>
        <w:rFonts w:hint="eastAsia"/>
      </w:rPr>
    </w:lvl>
    <w:lvl w:ilvl="3" w:tentative="0">
      <w:start w:val="4"/>
      <w:numFmt w:val="japaneseCounting"/>
      <w:lvlText w:val="%4、"/>
      <w:lvlJc w:val="left"/>
      <w:pPr>
        <w:tabs>
          <w:tab w:val="left" w:pos="2700"/>
        </w:tabs>
        <w:ind w:left="2700" w:hanging="720"/>
      </w:pPr>
      <w:rPr>
        <w:rFonts w:hint="default"/>
      </w:rPr>
    </w:lvl>
    <w:lvl w:ilvl="4" w:tentative="0">
      <w:start w:val="1"/>
      <w:numFmt w:val="decimal"/>
      <w:lvlText w:val="%5）"/>
      <w:lvlJc w:val="left"/>
      <w:pPr>
        <w:tabs>
          <w:tab w:val="left" w:pos="3120"/>
        </w:tabs>
        <w:ind w:left="3120" w:hanging="720"/>
      </w:pPr>
      <w:rPr>
        <w:rFonts w:hint="default"/>
        <w:b w:val="0"/>
      </w:r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12">
    <w:nsid w:val="54A48C29"/>
    <w:multiLevelType w:val="singleLevel"/>
    <w:tmpl w:val="54A48C29"/>
    <w:lvl w:ilvl="0" w:tentative="0">
      <w:start w:val="1"/>
      <w:numFmt w:val="decimal"/>
      <w:lvlText w:val="(%1)"/>
      <w:lvlJc w:val="left"/>
      <w:pPr>
        <w:ind w:left="425" w:hanging="425"/>
      </w:pPr>
      <w:rPr>
        <w:rFonts w:hint="default"/>
      </w:rPr>
    </w:lvl>
  </w:abstractNum>
  <w:abstractNum w:abstractNumId="13">
    <w:nsid w:val="636E47B0"/>
    <w:multiLevelType w:val="multilevel"/>
    <w:tmpl w:val="636E47B0"/>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6B48166D"/>
    <w:multiLevelType w:val="singleLevel"/>
    <w:tmpl w:val="6B48166D"/>
    <w:lvl w:ilvl="0" w:tentative="0">
      <w:start w:val="1"/>
      <w:numFmt w:val="decimal"/>
      <w:lvlText w:val="(%1)"/>
      <w:lvlJc w:val="left"/>
      <w:pPr>
        <w:ind w:left="425" w:hanging="425"/>
      </w:pPr>
      <w:rPr>
        <w:rFonts w:hint="default"/>
      </w:rPr>
    </w:lvl>
  </w:abstractNum>
  <w:abstractNum w:abstractNumId="15">
    <w:nsid w:val="7D82545E"/>
    <w:multiLevelType w:val="singleLevel"/>
    <w:tmpl w:val="7D82545E"/>
    <w:lvl w:ilvl="0" w:tentative="0">
      <w:start w:val="1"/>
      <w:numFmt w:val="decimal"/>
      <w:lvlText w:val="(%1)"/>
      <w:lvlJc w:val="left"/>
      <w:pPr>
        <w:ind w:left="425" w:hanging="425"/>
      </w:pPr>
      <w:rPr>
        <w:rFonts w:hint="default"/>
      </w:rPr>
    </w:lvl>
  </w:abstractNum>
  <w:num w:numId="1">
    <w:abstractNumId w:val="8"/>
  </w:num>
  <w:num w:numId="2">
    <w:abstractNumId w:val="4"/>
  </w:num>
  <w:num w:numId="3">
    <w:abstractNumId w:val="3"/>
  </w:num>
  <w:num w:numId="4">
    <w:abstractNumId w:val="12"/>
  </w:num>
  <w:num w:numId="5">
    <w:abstractNumId w:val="14"/>
  </w:num>
  <w:num w:numId="6">
    <w:abstractNumId w:val="11"/>
  </w:num>
  <w:num w:numId="7">
    <w:abstractNumId w:val="6"/>
  </w:num>
  <w:num w:numId="8">
    <w:abstractNumId w:val="0"/>
  </w:num>
  <w:num w:numId="9">
    <w:abstractNumId w:val="5"/>
  </w:num>
  <w:num w:numId="10">
    <w:abstractNumId w:val="15"/>
  </w:num>
  <w:num w:numId="11">
    <w:abstractNumId w:val="2"/>
  </w:num>
  <w:num w:numId="12">
    <w:abstractNumId w:val="9"/>
  </w:num>
  <w:num w:numId="13">
    <w:abstractNumId w:val="1"/>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kMzQ5Yjk2ZGI3MjFhZGM1NzkyOTg2MDVkN2IyYjMifQ=="/>
  </w:docVars>
  <w:rsids>
    <w:rsidRoot w:val="00172A27"/>
    <w:rsid w:val="00341614"/>
    <w:rsid w:val="003471E1"/>
    <w:rsid w:val="01A954BA"/>
    <w:rsid w:val="02301FCF"/>
    <w:rsid w:val="03160597"/>
    <w:rsid w:val="034877EC"/>
    <w:rsid w:val="035B11A5"/>
    <w:rsid w:val="036239FA"/>
    <w:rsid w:val="03795BF7"/>
    <w:rsid w:val="03963A18"/>
    <w:rsid w:val="03D270B5"/>
    <w:rsid w:val="042F1975"/>
    <w:rsid w:val="04842AA6"/>
    <w:rsid w:val="04D2022C"/>
    <w:rsid w:val="051B72F3"/>
    <w:rsid w:val="056810A7"/>
    <w:rsid w:val="05AB5E10"/>
    <w:rsid w:val="06291443"/>
    <w:rsid w:val="062C51A3"/>
    <w:rsid w:val="06710E08"/>
    <w:rsid w:val="06933D53"/>
    <w:rsid w:val="06DA075B"/>
    <w:rsid w:val="073A028F"/>
    <w:rsid w:val="075A095C"/>
    <w:rsid w:val="079E5B2A"/>
    <w:rsid w:val="07B159F2"/>
    <w:rsid w:val="07DB478B"/>
    <w:rsid w:val="08316AA1"/>
    <w:rsid w:val="0851320B"/>
    <w:rsid w:val="08534C69"/>
    <w:rsid w:val="089B72D4"/>
    <w:rsid w:val="08D579D6"/>
    <w:rsid w:val="08F31FA8"/>
    <w:rsid w:val="094C3DF2"/>
    <w:rsid w:val="094D16B8"/>
    <w:rsid w:val="09622C8A"/>
    <w:rsid w:val="099C0818"/>
    <w:rsid w:val="09AB2883"/>
    <w:rsid w:val="09DC2A3C"/>
    <w:rsid w:val="09E87633"/>
    <w:rsid w:val="0A146C63"/>
    <w:rsid w:val="0A474359"/>
    <w:rsid w:val="0A79472F"/>
    <w:rsid w:val="0A9F5F1D"/>
    <w:rsid w:val="0A9F69B9"/>
    <w:rsid w:val="0AB0425C"/>
    <w:rsid w:val="0AE52FDA"/>
    <w:rsid w:val="0BC55E7E"/>
    <w:rsid w:val="0BCB0FBA"/>
    <w:rsid w:val="0C2F1D41"/>
    <w:rsid w:val="0C306CDD"/>
    <w:rsid w:val="0CDD0FA5"/>
    <w:rsid w:val="0CE14B1E"/>
    <w:rsid w:val="0CF307C8"/>
    <w:rsid w:val="0D5A4650"/>
    <w:rsid w:val="0D796F92"/>
    <w:rsid w:val="0DDF6F9F"/>
    <w:rsid w:val="0E41124F"/>
    <w:rsid w:val="0E6D5540"/>
    <w:rsid w:val="0F026AA1"/>
    <w:rsid w:val="0F614BD5"/>
    <w:rsid w:val="0FA45DAA"/>
    <w:rsid w:val="0FAE6C29"/>
    <w:rsid w:val="0FC1070A"/>
    <w:rsid w:val="0FD85A54"/>
    <w:rsid w:val="101940C3"/>
    <w:rsid w:val="10551A50"/>
    <w:rsid w:val="10804DD6"/>
    <w:rsid w:val="11906551"/>
    <w:rsid w:val="120711AA"/>
    <w:rsid w:val="12071E56"/>
    <w:rsid w:val="120A6AF5"/>
    <w:rsid w:val="120E7E53"/>
    <w:rsid w:val="12435D4E"/>
    <w:rsid w:val="12481821"/>
    <w:rsid w:val="12631F4C"/>
    <w:rsid w:val="12791770"/>
    <w:rsid w:val="12B05686"/>
    <w:rsid w:val="12C42776"/>
    <w:rsid w:val="13196AAF"/>
    <w:rsid w:val="133A5D62"/>
    <w:rsid w:val="133B4ABA"/>
    <w:rsid w:val="133F1353"/>
    <w:rsid w:val="134E4E97"/>
    <w:rsid w:val="13800457"/>
    <w:rsid w:val="1390238F"/>
    <w:rsid w:val="139D323C"/>
    <w:rsid w:val="1422735F"/>
    <w:rsid w:val="14241A38"/>
    <w:rsid w:val="142F34C6"/>
    <w:rsid w:val="147E5329"/>
    <w:rsid w:val="14994CA6"/>
    <w:rsid w:val="14A925F1"/>
    <w:rsid w:val="14CF5677"/>
    <w:rsid w:val="14E07535"/>
    <w:rsid w:val="15154AE1"/>
    <w:rsid w:val="152C2A96"/>
    <w:rsid w:val="1578284F"/>
    <w:rsid w:val="157A2903"/>
    <w:rsid w:val="15BC49FD"/>
    <w:rsid w:val="15F51152"/>
    <w:rsid w:val="16C62AAA"/>
    <w:rsid w:val="17013AE2"/>
    <w:rsid w:val="171E307D"/>
    <w:rsid w:val="17465999"/>
    <w:rsid w:val="17571954"/>
    <w:rsid w:val="175C3F66"/>
    <w:rsid w:val="17771FF6"/>
    <w:rsid w:val="17786A0A"/>
    <w:rsid w:val="17CA41E8"/>
    <w:rsid w:val="17FF2717"/>
    <w:rsid w:val="18133ACD"/>
    <w:rsid w:val="19921369"/>
    <w:rsid w:val="19A54BF8"/>
    <w:rsid w:val="1A002777"/>
    <w:rsid w:val="1A134D66"/>
    <w:rsid w:val="1A2501F7"/>
    <w:rsid w:val="1A964A31"/>
    <w:rsid w:val="1B5508A0"/>
    <w:rsid w:val="1B8851B3"/>
    <w:rsid w:val="1B972C67"/>
    <w:rsid w:val="1B9A3ECD"/>
    <w:rsid w:val="1BB750B7"/>
    <w:rsid w:val="1C055E22"/>
    <w:rsid w:val="1C6813D2"/>
    <w:rsid w:val="1CA03D4F"/>
    <w:rsid w:val="1CDC7212"/>
    <w:rsid w:val="1DD86359"/>
    <w:rsid w:val="1DEE1E48"/>
    <w:rsid w:val="1DF93765"/>
    <w:rsid w:val="1E5229EE"/>
    <w:rsid w:val="1E814020"/>
    <w:rsid w:val="1E8C6387"/>
    <w:rsid w:val="1E9D0594"/>
    <w:rsid w:val="1EB61A58"/>
    <w:rsid w:val="1FF77653"/>
    <w:rsid w:val="20192D94"/>
    <w:rsid w:val="201C7BDE"/>
    <w:rsid w:val="208714FC"/>
    <w:rsid w:val="211E2BF7"/>
    <w:rsid w:val="213845A4"/>
    <w:rsid w:val="21475AF5"/>
    <w:rsid w:val="21E32762"/>
    <w:rsid w:val="22425509"/>
    <w:rsid w:val="22610ADC"/>
    <w:rsid w:val="22CE3412"/>
    <w:rsid w:val="234A5054"/>
    <w:rsid w:val="236E73CB"/>
    <w:rsid w:val="23DC0A83"/>
    <w:rsid w:val="241B7307"/>
    <w:rsid w:val="241F7DA7"/>
    <w:rsid w:val="244970AC"/>
    <w:rsid w:val="248F6BD1"/>
    <w:rsid w:val="24A32186"/>
    <w:rsid w:val="24B16B47"/>
    <w:rsid w:val="24CA5E5B"/>
    <w:rsid w:val="24D90223"/>
    <w:rsid w:val="25190B88"/>
    <w:rsid w:val="2609650F"/>
    <w:rsid w:val="261C4494"/>
    <w:rsid w:val="266728D4"/>
    <w:rsid w:val="267C4F33"/>
    <w:rsid w:val="269840E0"/>
    <w:rsid w:val="26B950A1"/>
    <w:rsid w:val="27313F6F"/>
    <w:rsid w:val="27934C2A"/>
    <w:rsid w:val="28615912"/>
    <w:rsid w:val="28702875"/>
    <w:rsid w:val="288F3951"/>
    <w:rsid w:val="28D70C6A"/>
    <w:rsid w:val="28FC7DB1"/>
    <w:rsid w:val="290A2CCA"/>
    <w:rsid w:val="29186C9E"/>
    <w:rsid w:val="294F692F"/>
    <w:rsid w:val="29656152"/>
    <w:rsid w:val="297D524A"/>
    <w:rsid w:val="297E4681"/>
    <w:rsid w:val="29E21551"/>
    <w:rsid w:val="29EA6657"/>
    <w:rsid w:val="29F554B9"/>
    <w:rsid w:val="2A100020"/>
    <w:rsid w:val="2A7E46F7"/>
    <w:rsid w:val="2AE676A9"/>
    <w:rsid w:val="2B361B54"/>
    <w:rsid w:val="2BA10D50"/>
    <w:rsid w:val="2C02340F"/>
    <w:rsid w:val="2C1B1B52"/>
    <w:rsid w:val="2C412EA7"/>
    <w:rsid w:val="2C5524AE"/>
    <w:rsid w:val="2CA5628F"/>
    <w:rsid w:val="2CCD473A"/>
    <w:rsid w:val="2CDF621C"/>
    <w:rsid w:val="2D0223EB"/>
    <w:rsid w:val="2D085772"/>
    <w:rsid w:val="2DB763E9"/>
    <w:rsid w:val="2E08390E"/>
    <w:rsid w:val="2E305BA5"/>
    <w:rsid w:val="2EC27BA3"/>
    <w:rsid w:val="2EDF2ECD"/>
    <w:rsid w:val="2F04311D"/>
    <w:rsid w:val="2F470841"/>
    <w:rsid w:val="2F755A3F"/>
    <w:rsid w:val="2FD656B4"/>
    <w:rsid w:val="2FDA7375"/>
    <w:rsid w:val="2FFD0E93"/>
    <w:rsid w:val="30032221"/>
    <w:rsid w:val="30336FAA"/>
    <w:rsid w:val="307849BD"/>
    <w:rsid w:val="30D33DC3"/>
    <w:rsid w:val="30E568B7"/>
    <w:rsid w:val="31644CCC"/>
    <w:rsid w:val="31D75713"/>
    <w:rsid w:val="3253123E"/>
    <w:rsid w:val="32764F99"/>
    <w:rsid w:val="327B2543"/>
    <w:rsid w:val="327D700D"/>
    <w:rsid w:val="327E23D9"/>
    <w:rsid w:val="32864942"/>
    <w:rsid w:val="32A42A4B"/>
    <w:rsid w:val="32D0288E"/>
    <w:rsid w:val="3371642D"/>
    <w:rsid w:val="33BE302F"/>
    <w:rsid w:val="340A6556"/>
    <w:rsid w:val="359F479A"/>
    <w:rsid w:val="35BD00A8"/>
    <w:rsid w:val="35F40F8A"/>
    <w:rsid w:val="36090959"/>
    <w:rsid w:val="365027D6"/>
    <w:rsid w:val="366A2FFA"/>
    <w:rsid w:val="36B9188B"/>
    <w:rsid w:val="36C070BE"/>
    <w:rsid w:val="36CE5337"/>
    <w:rsid w:val="37712166"/>
    <w:rsid w:val="37983B97"/>
    <w:rsid w:val="37B71842"/>
    <w:rsid w:val="37E9510D"/>
    <w:rsid w:val="37F17E65"/>
    <w:rsid w:val="37FE39FA"/>
    <w:rsid w:val="38B467AE"/>
    <w:rsid w:val="38F8212C"/>
    <w:rsid w:val="38FB618B"/>
    <w:rsid w:val="390177F1"/>
    <w:rsid w:val="391D25A6"/>
    <w:rsid w:val="3922263E"/>
    <w:rsid w:val="393618B9"/>
    <w:rsid w:val="39363667"/>
    <w:rsid w:val="3961360B"/>
    <w:rsid w:val="39904B26"/>
    <w:rsid w:val="39A74BE8"/>
    <w:rsid w:val="39D8569A"/>
    <w:rsid w:val="3A156427"/>
    <w:rsid w:val="3A1B70B7"/>
    <w:rsid w:val="3A7A73CE"/>
    <w:rsid w:val="3AA219DC"/>
    <w:rsid w:val="3AEB2011"/>
    <w:rsid w:val="3B283915"/>
    <w:rsid w:val="3B3F71BF"/>
    <w:rsid w:val="3B6C511E"/>
    <w:rsid w:val="3B7D557D"/>
    <w:rsid w:val="3C8D7A42"/>
    <w:rsid w:val="3CB13731"/>
    <w:rsid w:val="3CB32765"/>
    <w:rsid w:val="3D564075"/>
    <w:rsid w:val="3DBB238D"/>
    <w:rsid w:val="3DC72AE0"/>
    <w:rsid w:val="3DD627DB"/>
    <w:rsid w:val="3DF37D79"/>
    <w:rsid w:val="3DF64CC6"/>
    <w:rsid w:val="3E416D36"/>
    <w:rsid w:val="3F222FE0"/>
    <w:rsid w:val="3F310B59"/>
    <w:rsid w:val="3F6470B2"/>
    <w:rsid w:val="3F6E1604"/>
    <w:rsid w:val="3F896158"/>
    <w:rsid w:val="3FB74061"/>
    <w:rsid w:val="3FD2380B"/>
    <w:rsid w:val="402661E4"/>
    <w:rsid w:val="405C09BB"/>
    <w:rsid w:val="408E5B37"/>
    <w:rsid w:val="40A62E81"/>
    <w:rsid w:val="40A67324"/>
    <w:rsid w:val="40D16B7C"/>
    <w:rsid w:val="42181B5C"/>
    <w:rsid w:val="422F6EA6"/>
    <w:rsid w:val="42815720"/>
    <w:rsid w:val="429F402B"/>
    <w:rsid w:val="42D926A2"/>
    <w:rsid w:val="42F474B4"/>
    <w:rsid w:val="4393488F"/>
    <w:rsid w:val="43972EFC"/>
    <w:rsid w:val="43BB4E95"/>
    <w:rsid w:val="441E71D2"/>
    <w:rsid w:val="443F7874"/>
    <w:rsid w:val="44917F97"/>
    <w:rsid w:val="44CC1A93"/>
    <w:rsid w:val="44DE19E8"/>
    <w:rsid w:val="44EF1538"/>
    <w:rsid w:val="45060392"/>
    <w:rsid w:val="45091C30"/>
    <w:rsid w:val="45481728"/>
    <w:rsid w:val="456841B6"/>
    <w:rsid w:val="45A57AA0"/>
    <w:rsid w:val="45DB5C2B"/>
    <w:rsid w:val="45E157D5"/>
    <w:rsid w:val="4662784A"/>
    <w:rsid w:val="4690085B"/>
    <w:rsid w:val="47182D87"/>
    <w:rsid w:val="472E32C5"/>
    <w:rsid w:val="47646E8B"/>
    <w:rsid w:val="479E6FA7"/>
    <w:rsid w:val="47A53E92"/>
    <w:rsid w:val="480908C5"/>
    <w:rsid w:val="48343468"/>
    <w:rsid w:val="48693111"/>
    <w:rsid w:val="49067660"/>
    <w:rsid w:val="490B569A"/>
    <w:rsid w:val="4949225C"/>
    <w:rsid w:val="49520049"/>
    <w:rsid w:val="49C66341"/>
    <w:rsid w:val="4A064990"/>
    <w:rsid w:val="4A2861A3"/>
    <w:rsid w:val="4A875AD1"/>
    <w:rsid w:val="4AB359F3"/>
    <w:rsid w:val="4AE4468E"/>
    <w:rsid w:val="4AE65F38"/>
    <w:rsid w:val="4B092A5F"/>
    <w:rsid w:val="4B095FE4"/>
    <w:rsid w:val="4B5859E8"/>
    <w:rsid w:val="4BF058F8"/>
    <w:rsid w:val="4BF87956"/>
    <w:rsid w:val="4C4719BC"/>
    <w:rsid w:val="4CBF124C"/>
    <w:rsid w:val="4CDF7E9B"/>
    <w:rsid w:val="4CE216E4"/>
    <w:rsid w:val="4CF66F3E"/>
    <w:rsid w:val="4D434EC9"/>
    <w:rsid w:val="4D5C3245"/>
    <w:rsid w:val="4E1B5E1D"/>
    <w:rsid w:val="4E440EBE"/>
    <w:rsid w:val="4E5403C0"/>
    <w:rsid w:val="4E5B4F82"/>
    <w:rsid w:val="4E7B594C"/>
    <w:rsid w:val="4E992277"/>
    <w:rsid w:val="4ECD1AE2"/>
    <w:rsid w:val="4F3A18BA"/>
    <w:rsid w:val="4F495A4B"/>
    <w:rsid w:val="4F550905"/>
    <w:rsid w:val="4F7B197C"/>
    <w:rsid w:val="4F952A3E"/>
    <w:rsid w:val="4FBB7FCB"/>
    <w:rsid w:val="4FD507AF"/>
    <w:rsid w:val="4FD72002"/>
    <w:rsid w:val="501F400D"/>
    <w:rsid w:val="50B31D37"/>
    <w:rsid w:val="50CE26AB"/>
    <w:rsid w:val="519A433C"/>
    <w:rsid w:val="51D81308"/>
    <w:rsid w:val="5248054A"/>
    <w:rsid w:val="52933025"/>
    <w:rsid w:val="52CD3020"/>
    <w:rsid w:val="53E126F6"/>
    <w:rsid w:val="54770964"/>
    <w:rsid w:val="5486315D"/>
    <w:rsid w:val="548F6B6C"/>
    <w:rsid w:val="54D330F9"/>
    <w:rsid w:val="55893CB7"/>
    <w:rsid w:val="55A03EEB"/>
    <w:rsid w:val="55AD272F"/>
    <w:rsid w:val="55DA3565"/>
    <w:rsid w:val="5622088D"/>
    <w:rsid w:val="567A578B"/>
    <w:rsid w:val="56C65BD3"/>
    <w:rsid w:val="570B1AB1"/>
    <w:rsid w:val="571D0F95"/>
    <w:rsid w:val="57212E09"/>
    <w:rsid w:val="572823EA"/>
    <w:rsid w:val="57323268"/>
    <w:rsid w:val="577867C7"/>
    <w:rsid w:val="57AB2569"/>
    <w:rsid w:val="57F56770"/>
    <w:rsid w:val="5833388E"/>
    <w:rsid w:val="58395C98"/>
    <w:rsid w:val="5875340D"/>
    <w:rsid w:val="58E16CF4"/>
    <w:rsid w:val="58EE12A9"/>
    <w:rsid w:val="590F2CF4"/>
    <w:rsid w:val="59346788"/>
    <w:rsid w:val="599071DF"/>
    <w:rsid w:val="59992981"/>
    <w:rsid w:val="59A14349"/>
    <w:rsid w:val="5A2E7D17"/>
    <w:rsid w:val="5A3B0686"/>
    <w:rsid w:val="5A6B212B"/>
    <w:rsid w:val="5A9279DD"/>
    <w:rsid w:val="5AAB75B9"/>
    <w:rsid w:val="5B7025B1"/>
    <w:rsid w:val="5B9B17F1"/>
    <w:rsid w:val="5BB406F0"/>
    <w:rsid w:val="5BB943F5"/>
    <w:rsid w:val="5BD95F6E"/>
    <w:rsid w:val="5BE66DBB"/>
    <w:rsid w:val="5C052271"/>
    <w:rsid w:val="5C4952DC"/>
    <w:rsid w:val="5C741C2D"/>
    <w:rsid w:val="5C7D2147"/>
    <w:rsid w:val="5CB511B1"/>
    <w:rsid w:val="5D134F68"/>
    <w:rsid w:val="5D47221B"/>
    <w:rsid w:val="5D712AEF"/>
    <w:rsid w:val="5DB76275"/>
    <w:rsid w:val="5DE2248A"/>
    <w:rsid w:val="5DEA21A7"/>
    <w:rsid w:val="5E0A1B7E"/>
    <w:rsid w:val="5E1C432A"/>
    <w:rsid w:val="5E7303EA"/>
    <w:rsid w:val="5EEE216B"/>
    <w:rsid w:val="5EEF2227"/>
    <w:rsid w:val="5EFD476E"/>
    <w:rsid w:val="5F3B38D7"/>
    <w:rsid w:val="5F70492E"/>
    <w:rsid w:val="5F825EB2"/>
    <w:rsid w:val="5FA36837"/>
    <w:rsid w:val="604D2EC1"/>
    <w:rsid w:val="608A7C71"/>
    <w:rsid w:val="60A95F03"/>
    <w:rsid w:val="60D40EEC"/>
    <w:rsid w:val="61001CE1"/>
    <w:rsid w:val="61684709"/>
    <w:rsid w:val="619C5EAE"/>
    <w:rsid w:val="61AF542D"/>
    <w:rsid w:val="620B282A"/>
    <w:rsid w:val="62742BFD"/>
    <w:rsid w:val="63057A83"/>
    <w:rsid w:val="631B5DAA"/>
    <w:rsid w:val="633640E0"/>
    <w:rsid w:val="63B25426"/>
    <w:rsid w:val="641D74E0"/>
    <w:rsid w:val="646627A3"/>
    <w:rsid w:val="64724767"/>
    <w:rsid w:val="64BA03AB"/>
    <w:rsid w:val="64CF20F6"/>
    <w:rsid w:val="650A5F27"/>
    <w:rsid w:val="651A66FA"/>
    <w:rsid w:val="65501E89"/>
    <w:rsid w:val="656D6699"/>
    <w:rsid w:val="657F1D6E"/>
    <w:rsid w:val="65962C14"/>
    <w:rsid w:val="65EF548E"/>
    <w:rsid w:val="660243D1"/>
    <w:rsid w:val="660E6C4E"/>
    <w:rsid w:val="663166CE"/>
    <w:rsid w:val="66377F53"/>
    <w:rsid w:val="67206D66"/>
    <w:rsid w:val="67406157"/>
    <w:rsid w:val="68835179"/>
    <w:rsid w:val="68B25FB7"/>
    <w:rsid w:val="69116466"/>
    <w:rsid w:val="696F1F2A"/>
    <w:rsid w:val="69985F69"/>
    <w:rsid w:val="69B35D3E"/>
    <w:rsid w:val="69BE7BAE"/>
    <w:rsid w:val="6A002D52"/>
    <w:rsid w:val="6A3C5547"/>
    <w:rsid w:val="6A761BF5"/>
    <w:rsid w:val="6A89343C"/>
    <w:rsid w:val="6AED1528"/>
    <w:rsid w:val="6AF24D91"/>
    <w:rsid w:val="6AF9611F"/>
    <w:rsid w:val="6B1D6E8C"/>
    <w:rsid w:val="6B252A70"/>
    <w:rsid w:val="6B5E7FBB"/>
    <w:rsid w:val="6B9F0244"/>
    <w:rsid w:val="6BA70239"/>
    <w:rsid w:val="6C2170A1"/>
    <w:rsid w:val="6C731F01"/>
    <w:rsid w:val="6CB916DC"/>
    <w:rsid w:val="6CC84395"/>
    <w:rsid w:val="6D2B458A"/>
    <w:rsid w:val="6D702BDA"/>
    <w:rsid w:val="6D8E2C9C"/>
    <w:rsid w:val="6D970EF6"/>
    <w:rsid w:val="6DAF6F69"/>
    <w:rsid w:val="6DBB46E1"/>
    <w:rsid w:val="6E1A18CA"/>
    <w:rsid w:val="6E81395E"/>
    <w:rsid w:val="6E8C13B8"/>
    <w:rsid w:val="6EAD2EE4"/>
    <w:rsid w:val="6EC24A7A"/>
    <w:rsid w:val="6ED206B8"/>
    <w:rsid w:val="6F2D6397"/>
    <w:rsid w:val="6FA35698"/>
    <w:rsid w:val="6FBB39A3"/>
    <w:rsid w:val="700F3CEF"/>
    <w:rsid w:val="70291255"/>
    <w:rsid w:val="705636CC"/>
    <w:rsid w:val="709D12FB"/>
    <w:rsid w:val="70B7211B"/>
    <w:rsid w:val="70B86DF1"/>
    <w:rsid w:val="70C83C00"/>
    <w:rsid w:val="70D627C6"/>
    <w:rsid w:val="70DF187A"/>
    <w:rsid w:val="70E52068"/>
    <w:rsid w:val="711F0916"/>
    <w:rsid w:val="7121131A"/>
    <w:rsid w:val="71493231"/>
    <w:rsid w:val="718A5D23"/>
    <w:rsid w:val="719C4943"/>
    <w:rsid w:val="71A52B5D"/>
    <w:rsid w:val="72741527"/>
    <w:rsid w:val="72812B22"/>
    <w:rsid w:val="72B56E72"/>
    <w:rsid w:val="733F0D8F"/>
    <w:rsid w:val="73726A6F"/>
    <w:rsid w:val="73BB6668"/>
    <w:rsid w:val="73E13DB3"/>
    <w:rsid w:val="742A0EEC"/>
    <w:rsid w:val="74BB1C4B"/>
    <w:rsid w:val="74E64D2D"/>
    <w:rsid w:val="75096F5F"/>
    <w:rsid w:val="751926EE"/>
    <w:rsid w:val="75404925"/>
    <w:rsid w:val="75742F72"/>
    <w:rsid w:val="757D2C20"/>
    <w:rsid w:val="7590362B"/>
    <w:rsid w:val="75BA64AB"/>
    <w:rsid w:val="76052093"/>
    <w:rsid w:val="761C46D7"/>
    <w:rsid w:val="763A3956"/>
    <w:rsid w:val="766C340E"/>
    <w:rsid w:val="76790114"/>
    <w:rsid w:val="769126D0"/>
    <w:rsid w:val="76DA48BA"/>
    <w:rsid w:val="76E73B71"/>
    <w:rsid w:val="77244524"/>
    <w:rsid w:val="772C5186"/>
    <w:rsid w:val="778F6B4C"/>
    <w:rsid w:val="77955421"/>
    <w:rsid w:val="779A012A"/>
    <w:rsid w:val="779B731E"/>
    <w:rsid w:val="77B434E0"/>
    <w:rsid w:val="78280044"/>
    <w:rsid w:val="782C21D0"/>
    <w:rsid w:val="783C3AEF"/>
    <w:rsid w:val="783F29B8"/>
    <w:rsid w:val="78414C61"/>
    <w:rsid w:val="78743F95"/>
    <w:rsid w:val="78BE2756"/>
    <w:rsid w:val="78C37D6C"/>
    <w:rsid w:val="79022643"/>
    <w:rsid w:val="795052A3"/>
    <w:rsid w:val="79666ABE"/>
    <w:rsid w:val="79AC0320"/>
    <w:rsid w:val="79E85CDC"/>
    <w:rsid w:val="79F77CCE"/>
    <w:rsid w:val="79FF300D"/>
    <w:rsid w:val="7A212F9C"/>
    <w:rsid w:val="7A6115EB"/>
    <w:rsid w:val="7A79437C"/>
    <w:rsid w:val="7AB756AF"/>
    <w:rsid w:val="7BB00BA5"/>
    <w:rsid w:val="7BFD146B"/>
    <w:rsid w:val="7C541407"/>
    <w:rsid w:val="7C875377"/>
    <w:rsid w:val="7CB36173"/>
    <w:rsid w:val="7CB400F8"/>
    <w:rsid w:val="7D221505"/>
    <w:rsid w:val="7D64046A"/>
    <w:rsid w:val="7D7F14C3"/>
    <w:rsid w:val="7D8905A1"/>
    <w:rsid w:val="7DE45D6F"/>
    <w:rsid w:val="7DF05160"/>
    <w:rsid w:val="7E492AC2"/>
    <w:rsid w:val="7E5978D0"/>
    <w:rsid w:val="7EA61A6E"/>
    <w:rsid w:val="7EA97CA8"/>
    <w:rsid w:val="7F0E53C0"/>
    <w:rsid w:val="7F5931D8"/>
    <w:rsid w:val="7F5B485B"/>
    <w:rsid w:val="7F9D6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autoRedefine/>
    <w:qFormat/>
    <w:uiPriority w:val="0"/>
    <w:pPr>
      <w:keepNext/>
      <w:keepLines/>
      <w:spacing w:line="480" w:lineRule="auto"/>
      <w:jc w:val="center"/>
      <w:outlineLvl w:val="0"/>
    </w:pPr>
    <w:rPr>
      <w:b/>
      <w:kern w:val="44"/>
      <w:sz w:val="32"/>
      <w:szCs w:val="20"/>
    </w:rPr>
  </w:style>
  <w:style w:type="paragraph" w:styleId="3">
    <w:name w:val="heading 2"/>
    <w:basedOn w:val="1"/>
    <w:next w:val="1"/>
    <w:autoRedefine/>
    <w:qFormat/>
    <w:uiPriority w:val="99"/>
    <w:pPr>
      <w:keepNext/>
      <w:keepLines/>
      <w:numPr>
        <w:ilvl w:val="1"/>
        <w:numId w:val="1"/>
      </w:numPr>
      <w:spacing w:before="500" w:after="500" w:line="480" w:lineRule="auto"/>
      <w:ind w:left="839"/>
      <w:jc w:val="center"/>
      <w:outlineLvl w:val="1"/>
    </w:pPr>
    <w:rPr>
      <w:rFonts w:ascii="Arial" w:hAnsi="Arial" w:eastAsia="黑体"/>
      <w:b/>
      <w:sz w:val="32"/>
      <w:szCs w:val="20"/>
    </w:rPr>
  </w:style>
  <w:style w:type="paragraph" w:styleId="4">
    <w:name w:val="heading 3"/>
    <w:basedOn w:val="1"/>
    <w:next w:val="1"/>
    <w:autoRedefine/>
    <w:qFormat/>
    <w:uiPriority w:val="99"/>
    <w:pPr>
      <w:keepNext/>
      <w:keepLines/>
      <w:spacing w:before="140" w:after="140"/>
      <w:jc w:val="left"/>
      <w:outlineLvl w:val="2"/>
    </w:pPr>
    <w:rPr>
      <w:rFonts w:ascii="宋体" w:hAnsi="宋体"/>
      <w:b/>
      <w:szCs w:val="21"/>
    </w:rPr>
  </w:style>
  <w:style w:type="character" w:default="1" w:styleId="25">
    <w:name w:val="Default Paragraph Font"/>
    <w:autoRedefine/>
    <w:semiHidden/>
    <w:qFormat/>
    <w:uiPriority w:val="0"/>
  </w:style>
  <w:style w:type="table" w:default="1" w:styleId="23">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autoRedefine/>
    <w:qFormat/>
    <w:uiPriority w:val="99"/>
    <w:pPr>
      <w:ind w:firstLine="420"/>
    </w:pPr>
    <w:rPr>
      <w:szCs w:val="20"/>
    </w:rPr>
  </w:style>
  <w:style w:type="paragraph" w:styleId="6">
    <w:name w:val="annotation text"/>
    <w:basedOn w:val="1"/>
    <w:autoRedefine/>
    <w:semiHidden/>
    <w:qFormat/>
    <w:uiPriority w:val="99"/>
    <w:pPr>
      <w:jc w:val="left"/>
    </w:pPr>
  </w:style>
  <w:style w:type="paragraph" w:styleId="7">
    <w:name w:val="Body Text"/>
    <w:basedOn w:val="1"/>
    <w:autoRedefine/>
    <w:qFormat/>
    <w:uiPriority w:val="0"/>
    <w:rPr>
      <w:szCs w:val="21"/>
    </w:rPr>
  </w:style>
  <w:style w:type="paragraph" w:styleId="8">
    <w:name w:val="Body Text Indent"/>
    <w:basedOn w:val="1"/>
    <w:next w:val="9"/>
    <w:autoRedefine/>
    <w:qFormat/>
    <w:uiPriority w:val="0"/>
    <w:rPr>
      <w:rFonts w:ascii="黑体" w:eastAsia="黑体"/>
    </w:rPr>
  </w:style>
  <w:style w:type="paragraph" w:styleId="9">
    <w:name w:val="Body Text First Indent 2"/>
    <w:basedOn w:val="8"/>
    <w:next w:val="10"/>
    <w:autoRedefine/>
    <w:qFormat/>
    <w:uiPriority w:val="0"/>
    <w:pPr>
      <w:ind w:firstLine="420" w:firstLineChars="200"/>
    </w:pPr>
  </w:style>
  <w:style w:type="paragraph" w:customStyle="1" w:styleId="10">
    <w:name w:val="样式 正文首行缩进 2 + Arial"/>
    <w:basedOn w:val="1"/>
    <w:next w:val="1"/>
    <w:qFormat/>
    <w:uiPriority w:val="0"/>
    <w:pPr>
      <w:spacing w:after="120" w:line="320" w:lineRule="atLeast"/>
      <w:ind w:firstLine="200" w:firstLineChars="200"/>
    </w:pPr>
    <w:rPr>
      <w:rFonts w:ascii="Arial" w:hAnsi="Arial"/>
    </w:rPr>
  </w:style>
  <w:style w:type="paragraph" w:styleId="11">
    <w:name w:val="List 2"/>
    <w:basedOn w:val="1"/>
    <w:autoRedefine/>
    <w:qFormat/>
    <w:uiPriority w:val="0"/>
    <w:pPr>
      <w:ind w:left="100" w:leftChars="200" w:hanging="200" w:hangingChars="200"/>
    </w:pPr>
  </w:style>
  <w:style w:type="paragraph" w:styleId="12">
    <w:name w:val="List Continue"/>
    <w:basedOn w:val="1"/>
    <w:autoRedefine/>
    <w:qFormat/>
    <w:uiPriority w:val="0"/>
    <w:pPr>
      <w:spacing w:after="120"/>
      <w:ind w:left="420"/>
    </w:pPr>
    <w:rPr>
      <w:rFonts w:eastAsia="楷体_GB2312"/>
      <w:sz w:val="32"/>
      <w:szCs w:val="20"/>
    </w:rPr>
  </w:style>
  <w:style w:type="paragraph" w:styleId="13">
    <w:name w:val="Plain Text"/>
    <w:basedOn w:val="1"/>
    <w:next w:val="1"/>
    <w:autoRedefine/>
    <w:qFormat/>
    <w:uiPriority w:val="0"/>
    <w:rPr>
      <w:rFonts w:ascii="宋体" w:hAnsi="Courier New" w:cs="Courier New"/>
      <w:szCs w:val="21"/>
    </w:rPr>
  </w:style>
  <w:style w:type="paragraph" w:styleId="14">
    <w:name w:val="Date"/>
    <w:basedOn w:val="1"/>
    <w:next w:val="1"/>
    <w:autoRedefine/>
    <w:qFormat/>
    <w:uiPriority w:val="0"/>
    <w:pPr>
      <w:adjustRightInd w:val="0"/>
      <w:spacing w:line="360" w:lineRule="atLeast"/>
      <w:textAlignment w:val="baseline"/>
    </w:pPr>
    <w:rPr>
      <w:kern w:val="0"/>
      <w:sz w:val="28"/>
      <w:szCs w:val="20"/>
    </w:rPr>
  </w:style>
  <w:style w:type="paragraph" w:styleId="15">
    <w:name w:val="Body Text Indent 2"/>
    <w:basedOn w:val="1"/>
    <w:autoRedefine/>
    <w:qFormat/>
    <w:uiPriority w:val="0"/>
    <w:pPr>
      <w:spacing w:after="120" w:afterLines="0" w:line="480" w:lineRule="auto"/>
      <w:ind w:left="420" w:leftChars="200"/>
    </w:pPr>
  </w:style>
  <w:style w:type="paragraph" w:styleId="16">
    <w:name w:val="footer"/>
    <w:basedOn w:val="1"/>
    <w:autoRedefine/>
    <w:qFormat/>
    <w:uiPriority w:val="0"/>
    <w:pPr>
      <w:tabs>
        <w:tab w:val="center" w:pos="4153"/>
        <w:tab w:val="right" w:pos="8306"/>
      </w:tabs>
      <w:snapToGrid w:val="0"/>
      <w:jc w:val="left"/>
    </w:pPr>
    <w:rPr>
      <w:sz w:val="18"/>
      <w:szCs w:val="18"/>
    </w:rPr>
  </w:style>
  <w:style w:type="paragraph" w:styleId="1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autoRedefine/>
    <w:qFormat/>
    <w:uiPriority w:val="0"/>
  </w:style>
  <w:style w:type="paragraph" w:styleId="19">
    <w:name w:val="List 5"/>
    <w:basedOn w:val="1"/>
    <w:autoRedefine/>
    <w:qFormat/>
    <w:uiPriority w:val="0"/>
    <w:pPr>
      <w:ind w:left="2100" w:hanging="420"/>
    </w:pPr>
    <w:rPr>
      <w:rFonts w:eastAsia="楷体_GB2312"/>
      <w:sz w:val="32"/>
      <w:szCs w:val="20"/>
    </w:rPr>
  </w:style>
  <w:style w:type="paragraph" w:styleId="20">
    <w:name w:val="Body Text 2"/>
    <w:basedOn w:val="1"/>
    <w:autoRedefine/>
    <w:qFormat/>
    <w:uiPriority w:val="0"/>
    <w:pPr>
      <w:widowControl/>
      <w:spacing w:before="100" w:beforeAutospacing="1" w:after="100" w:afterAutospacing="1"/>
      <w:jc w:val="left"/>
    </w:pPr>
    <w:rPr>
      <w:rFonts w:ascii="宋体" w:hAnsi="宋体"/>
      <w:kern w:val="0"/>
      <w:sz w:val="24"/>
    </w:rPr>
  </w:style>
  <w:style w:type="paragraph" w:styleId="21">
    <w:name w:val="Normal (Web)"/>
    <w:basedOn w:val="1"/>
    <w:autoRedefine/>
    <w:qFormat/>
    <w:uiPriority w:val="99"/>
    <w:pPr>
      <w:widowControl/>
      <w:spacing w:before="100" w:beforeAutospacing="1" w:after="100" w:afterAutospacing="1"/>
      <w:jc w:val="left"/>
    </w:pPr>
    <w:rPr>
      <w:rFonts w:ascii="宋体" w:hAnsi="宋体" w:cs="宋体"/>
      <w:sz w:val="24"/>
    </w:rPr>
  </w:style>
  <w:style w:type="paragraph" w:styleId="22">
    <w:name w:val="Body Text First Indent"/>
    <w:basedOn w:val="7"/>
    <w:autoRedefine/>
    <w:unhideWhenUsed/>
    <w:qFormat/>
    <w:uiPriority w:val="99"/>
    <w:pPr>
      <w:spacing w:after="120"/>
      <w:ind w:firstLine="420" w:firstLineChars="100"/>
    </w:pPr>
  </w:style>
  <w:style w:type="table" w:styleId="24">
    <w:name w:val="Table Grid"/>
    <w:basedOn w:val="23"/>
    <w:autoRedefine/>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6">
    <w:name w:val="Strong"/>
    <w:basedOn w:val="25"/>
    <w:autoRedefine/>
    <w:qFormat/>
    <w:uiPriority w:val="22"/>
    <w:rPr>
      <w:b/>
      <w:bCs/>
    </w:rPr>
  </w:style>
  <w:style w:type="character" w:styleId="27">
    <w:name w:val="page number"/>
    <w:basedOn w:val="25"/>
    <w:autoRedefine/>
    <w:qFormat/>
    <w:uiPriority w:val="0"/>
  </w:style>
  <w:style w:type="character" w:styleId="28">
    <w:name w:val="FollowedHyperlink"/>
    <w:basedOn w:val="25"/>
    <w:autoRedefine/>
    <w:qFormat/>
    <w:uiPriority w:val="0"/>
    <w:rPr>
      <w:color w:val="800080"/>
      <w:u w:val="none"/>
    </w:rPr>
  </w:style>
  <w:style w:type="character" w:styleId="29">
    <w:name w:val="Emphasis"/>
    <w:basedOn w:val="25"/>
    <w:autoRedefine/>
    <w:qFormat/>
    <w:uiPriority w:val="0"/>
    <w:rPr>
      <w:b/>
      <w:bCs/>
    </w:rPr>
  </w:style>
  <w:style w:type="character" w:styleId="30">
    <w:name w:val="HTML Definition"/>
    <w:basedOn w:val="25"/>
    <w:autoRedefine/>
    <w:qFormat/>
    <w:uiPriority w:val="0"/>
  </w:style>
  <w:style w:type="character" w:styleId="31">
    <w:name w:val="HTML Typewriter"/>
    <w:basedOn w:val="25"/>
    <w:autoRedefine/>
    <w:qFormat/>
    <w:uiPriority w:val="0"/>
    <w:rPr>
      <w:rFonts w:hint="default" w:ascii="monospace" w:hAnsi="monospace" w:eastAsia="monospace" w:cs="monospace"/>
      <w:sz w:val="20"/>
    </w:rPr>
  </w:style>
  <w:style w:type="character" w:styleId="32">
    <w:name w:val="HTML Acronym"/>
    <w:basedOn w:val="25"/>
    <w:autoRedefine/>
    <w:qFormat/>
    <w:uiPriority w:val="0"/>
  </w:style>
  <w:style w:type="character" w:styleId="33">
    <w:name w:val="HTML Variable"/>
    <w:basedOn w:val="25"/>
    <w:autoRedefine/>
    <w:qFormat/>
    <w:uiPriority w:val="0"/>
  </w:style>
  <w:style w:type="character" w:styleId="34">
    <w:name w:val="Hyperlink"/>
    <w:basedOn w:val="25"/>
    <w:autoRedefine/>
    <w:qFormat/>
    <w:uiPriority w:val="0"/>
    <w:rPr>
      <w:color w:val="0000FF"/>
      <w:u w:val="none"/>
    </w:rPr>
  </w:style>
  <w:style w:type="character" w:styleId="35">
    <w:name w:val="HTML Code"/>
    <w:basedOn w:val="25"/>
    <w:autoRedefine/>
    <w:qFormat/>
    <w:uiPriority w:val="0"/>
    <w:rPr>
      <w:rFonts w:ascii="monospace" w:hAnsi="monospace" w:eastAsia="monospace" w:cs="monospace"/>
      <w:sz w:val="20"/>
    </w:rPr>
  </w:style>
  <w:style w:type="character" w:styleId="36">
    <w:name w:val="HTML Cite"/>
    <w:basedOn w:val="25"/>
    <w:autoRedefine/>
    <w:qFormat/>
    <w:uiPriority w:val="0"/>
  </w:style>
  <w:style w:type="character" w:styleId="37">
    <w:name w:val="HTML Keyboard"/>
    <w:basedOn w:val="25"/>
    <w:autoRedefine/>
    <w:qFormat/>
    <w:uiPriority w:val="0"/>
    <w:rPr>
      <w:rFonts w:hint="default" w:ascii="monospace" w:hAnsi="monospace" w:eastAsia="monospace" w:cs="monospace"/>
      <w:sz w:val="20"/>
    </w:rPr>
  </w:style>
  <w:style w:type="character" w:styleId="38">
    <w:name w:val="HTML Sample"/>
    <w:basedOn w:val="25"/>
    <w:autoRedefine/>
    <w:qFormat/>
    <w:uiPriority w:val="0"/>
    <w:rPr>
      <w:rFonts w:hint="default" w:ascii="monospace" w:hAnsi="monospace" w:eastAsia="monospace" w:cs="monospace"/>
    </w:rPr>
  </w:style>
  <w:style w:type="paragraph" w:customStyle="1" w:styleId="3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WPSOffice手动目录 1"/>
    <w:autoRedefine/>
    <w:qFormat/>
    <w:uiPriority w:val="0"/>
    <w:rPr>
      <w:rFonts w:ascii="Times New Roman" w:hAnsi="Times New Roman" w:eastAsia="宋体" w:cs="Times New Roman"/>
      <w:lang w:val="en-US" w:eastAsia="zh-CN" w:bidi="ar-SA"/>
    </w:rPr>
  </w:style>
  <w:style w:type="character" w:customStyle="1" w:styleId="41">
    <w:name w:val="标题 1 Char"/>
    <w:link w:val="2"/>
    <w:autoRedefine/>
    <w:qFormat/>
    <w:locked/>
    <w:uiPriority w:val="0"/>
    <w:rPr>
      <w:b/>
      <w:kern w:val="44"/>
      <w:sz w:val="32"/>
      <w:szCs w:val="20"/>
    </w:rPr>
  </w:style>
  <w:style w:type="character" w:customStyle="1" w:styleId="42">
    <w:name w:val="font41"/>
    <w:basedOn w:val="25"/>
    <w:autoRedefine/>
    <w:qFormat/>
    <w:uiPriority w:val="0"/>
    <w:rPr>
      <w:rFonts w:hint="eastAsia" w:ascii="宋体" w:hAnsi="宋体" w:eastAsia="宋体" w:cs="宋体"/>
      <w:color w:val="000000"/>
      <w:sz w:val="20"/>
      <w:szCs w:val="20"/>
      <w:u w:val="none"/>
    </w:rPr>
  </w:style>
  <w:style w:type="character" w:customStyle="1" w:styleId="43">
    <w:name w:val="font51"/>
    <w:basedOn w:val="25"/>
    <w:autoRedefine/>
    <w:qFormat/>
    <w:uiPriority w:val="0"/>
    <w:rPr>
      <w:rFonts w:hint="eastAsia" w:ascii="宋体" w:hAnsi="宋体" w:eastAsia="宋体" w:cs="宋体"/>
      <w:b/>
      <w:bCs/>
      <w:color w:val="000000"/>
      <w:sz w:val="20"/>
      <w:szCs w:val="20"/>
      <w:u w:val="none"/>
    </w:rPr>
  </w:style>
  <w:style w:type="character" w:customStyle="1" w:styleId="44">
    <w:name w:val="font01"/>
    <w:basedOn w:val="25"/>
    <w:autoRedefine/>
    <w:qFormat/>
    <w:uiPriority w:val="0"/>
    <w:rPr>
      <w:rFonts w:hint="eastAsia" w:ascii="宋体" w:hAnsi="宋体" w:eastAsia="宋体" w:cs="宋体"/>
      <w:b/>
      <w:bCs/>
      <w:color w:val="000000"/>
      <w:sz w:val="20"/>
      <w:szCs w:val="20"/>
      <w:u w:val="single"/>
    </w:rPr>
  </w:style>
  <w:style w:type="character" w:customStyle="1" w:styleId="45">
    <w:name w:val="font21"/>
    <w:basedOn w:val="25"/>
    <w:autoRedefine/>
    <w:qFormat/>
    <w:uiPriority w:val="0"/>
    <w:rPr>
      <w:rFonts w:hint="eastAsia" w:ascii="宋体" w:hAnsi="宋体" w:eastAsia="宋体" w:cs="宋体"/>
      <w:color w:val="000000"/>
      <w:sz w:val="20"/>
      <w:szCs w:val="20"/>
      <w:u w:val="single"/>
    </w:rPr>
  </w:style>
  <w:style w:type="character" w:customStyle="1" w:styleId="46">
    <w:name w:val="NormalCharacter"/>
    <w:autoRedefine/>
    <w:qFormat/>
    <w:uiPriority w:val="0"/>
    <w:rPr>
      <w:kern w:val="2"/>
      <w:sz w:val="21"/>
      <w:szCs w:val="24"/>
      <w:lang w:val="en-US" w:eastAsia="zh-CN" w:bidi="ar-SA"/>
    </w:rPr>
  </w:style>
  <w:style w:type="paragraph" w:customStyle="1" w:styleId="47">
    <w:name w:val="Normal_0_1"/>
    <w:autoRedefine/>
    <w:qFormat/>
    <w:uiPriority w:val="0"/>
    <w:rPr>
      <w:rFonts w:ascii="Times New Roman" w:hAnsi="Times New Roman" w:eastAsia="Times New Roman" w:cs="Times New Roman"/>
      <w:sz w:val="24"/>
      <w:szCs w:val="24"/>
      <w:lang w:val="en-US" w:eastAsia="zh-CN" w:bidi="ar-SA"/>
    </w:rPr>
  </w:style>
  <w:style w:type="paragraph" w:customStyle="1" w:styleId="48">
    <w:name w:val="Normal_0_2"/>
    <w:autoRedefine/>
    <w:qFormat/>
    <w:uiPriority w:val="0"/>
    <w:rPr>
      <w:rFonts w:ascii="Times New Roman" w:hAnsi="Times New Roman" w:eastAsia="Times New Roman" w:cs="Times New Roman"/>
      <w:sz w:val="24"/>
      <w:szCs w:val="24"/>
      <w:lang w:val="en-US" w:eastAsia="zh-CN" w:bidi="ar-SA"/>
    </w:rPr>
  </w:style>
  <w:style w:type="paragraph" w:customStyle="1" w:styleId="49">
    <w:name w:val="列出段落1"/>
    <w:basedOn w:val="1"/>
    <w:autoRedefine/>
    <w:qFormat/>
    <w:uiPriority w:val="99"/>
    <w:pPr>
      <w:ind w:firstLine="420" w:firstLineChars="200"/>
    </w:pPr>
    <w:rPr>
      <w:rFonts w:ascii="Calibri" w:hAnsi="Calibri"/>
      <w:szCs w:val="22"/>
    </w:rPr>
  </w:style>
  <w:style w:type="paragraph" w:customStyle="1" w:styleId="50">
    <w:name w:val="xl26"/>
    <w:basedOn w:val="1"/>
    <w:autoRedefine/>
    <w:qFormat/>
    <w:uiPriority w:val="0"/>
    <w:pPr>
      <w:widowControl/>
      <w:spacing w:before="100" w:beforeAutospacing="1" w:after="100" w:afterAutospacing="1"/>
      <w:jc w:val="left"/>
    </w:pPr>
    <w:rPr>
      <w:rFonts w:hint="eastAsia" w:ascii="仿宋_GB2312" w:hAnsi="宋体" w:eastAsia="仿宋_GB2312"/>
      <w:kern w:val="0"/>
      <w:sz w:val="32"/>
      <w:szCs w:val="32"/>
    </w:rPr>
  </w:style>
  <w:style w:type="character" w:customStyle="1" w:styleId="51">
    <w:name w:val="first-child"/>
    <w:basedOn w:val="25"/>
    <w:autoRedefine/>
    <w:qFormat/>
    <w:uiPriority w:val="0"/>
  </w:style>
  <w:style w:type="character" w:customStyle="1" w:styleId="52">
    <w:name w:val="layui-layer-tabnow"/>
    <w:basedOn w:val="25"/>
    <w:autoRedefine/>
    <w:qFormat/>
    <w:uiPriority w:val="0"/>
    <w:rPr>
      <w:bdr w:val="single" w:color="CCCCCC" w:sz="6" w:space="0"/>
      <w:shd w:val="clear" w:fill="FFFFFF"/>
    </w:rPr>
  </w:style>
  <w:style w:type="character" w:customStyle="1" w:styleId="53">
    <w:name w:val="fr"/>
    <w:basedOn w:val="25"/>
    <w:autoRedefine/>
    <w:qFormat/>
    <w:uiPriority w:val="0"/>
  </w:style>
  <w:style w:type="character" w:customStyle="1" w:styleId="54">
    <w:name w:val="icon_ds"/>
    <w:basedOn w:val="25"/>
    <w:autoRedefine/>
    <w:qFormat/>
    <w:uiPriority w:val="0"/>
  </w:style>
  <w:style w:type="character" w:customStyle="1" w:styleId="55">
    <w:name w:val="icon_ds1"/>
    <w:basedOn w:val="25"/>
    <w:autoRedefine/>
    <w:qFormat/>
    <w:uiPriority w:val="0"/>
    <w:rPr>
      <w:sz w:val="21"/>
      <w:szCs w:val="21"/>
    </w:rPr>
  </w:style>
  <w:style w:type="character" w:customStyle="1" w:styleId="56">
    <w:name w:val="xiadan"/>
    <w:basedOn w:val="25"/>
    <w:autoRedefine/>
    <w:qFormat/>
    <w:uiPriority w:val="0"/>
    <w:rPr>
      <w:shd w:val="clear" w:fill="E4393C"/>
    </w:rPr>
  </w:style>
  <w:style w:type="character" w:customStyle="1" w:styleId="57">
    <w:name w:val="first-child1"/>
    <w:basedOn w:val="25"/>
    <w:autoRedefine/>
    <w:qFormat/>
    <w:uiPriority w:val="0"/>
    <w:rPr>
      <w:color w:val="1F3149"/>
      <w:sz w:val="24"/>
      <w:szCs w:val="24"/>
    </w:rPr>
  </w:style>
  <w:style w:type="character" w:customStyle="1" w:styleId="58">
    <w:name w:val="icon_gys"/>
    <w:basedOn w:val="25"/>
    <w:autoRedefine/>
    <w:qFormat/>
    <w:uiPriority w:val="0"/>
    <w:rPr>
      <w:sz w:val="21"/>
      <w:szCs w:val="21"/>
    </w:rPr>
  </w:style>
  <w:style w:type="character" w:customStyle="1" w:styleId="59">
    <w:name w:val="hover18"/>
    <w:basedOn w:val="25"/>
    <w:autoRedefine/>
    <w:qFormat/>
    <w:uiPriority w:val="0"/>
  </w:style>
  <w:style w:type="character" w:customStyle="1" w:styleId="60">
    <w:name w:val="font71"/>
    <w:basedOn w:val="25"/>
    <w:autoRedefine/>
    <w:qFormat/>
    <w:uiPriority w:val="0"/>
    <w:rPr>
      <w:rFonts w:hint="eastAsia" w:ascii="宋体" w:hAnsi="宋体" w:eastAsia="宋体" w:cs="宋体"/>
      <w:color w:val="000000"/>
      <w:sz w:val="21"/>
      <w:szCs w:val="21"/>
      <w:u w:val="none"/>
    </w:rPr>
  </w:style>
  <w:style w:type="character" w:customStyle="1" w:styleId="61">
    <w:name w:val="font81"/>
    <w:basedOn w:val="25"/>
    <w:autoRedefine/>
    <w:qFormat/>
    <w:uiPriority w:val="0"/>
    <w:rPr>
      <w:rFonts w:hint="eastAsia" w:ascii="宋体" w:hAnsi="宋体" w:eastAsia="宋体" w:cs="宋体"/>
      <w:color w:val="000000"/>
      <w:sz w:val="21"/>
      <w:szCs w:val="21"/>
      <w:u w:val="none"/>
    </w:rPr>
  </w:style>
  <w:style w:type="character" w:customStyle="1" w:styleId="62">
    <w:name w:val="font101"/>
    <w:basedOn w:val="25"/>
    <w:autoRedefine/>
    <w:qFormat/>
    <w:uiPriority w:val="0"/>
    <w:rPr>
      <w:rFonts w:hint="default" w:ascii="Times New Roman" w:hAnsi="Times New Roman" w:cs="Times New Roman"/>
      <w:color w:val="000000"/>
      <w:sz w:val="22"/>
      <w:szCs w:val="22"/>
      <w:u w:val="none"/>
    </w:rPr>
  </w:style>
  <w:style w:type="character" w:customStyle="1" w:styleId="63">
    <w:name w:val="font31"/>
    <w:basedOn w:val="25"/>
    <w:autoRedefine/>
    <w:qFormat/>
    <w:uiPriority w:val="0"/>
    <w:rPr>
      <w:rFonts w:hint="eastAsia" w:ascii="宋体" w:hAnsi="宋体" w:eastAsia="宋体" w:cs="宋体"/>
      <w:color w:val="000000"/>
      <w:sz w:val="21"/>
      <w:szCs w:val="21"/>
      <w:u w:val="none"/>
    </w:rPr>
  </w:style>
  <w:style w:type="character" w:customStyle="1" w:styleId="64">
    <w:name w:val="font61"/>
    <w:basedOn w:val="25"/>
    <w:autoRedefine/>
    <w:qFormat/>
    <w:uiPriority w:val="0"/>
    <w:rPr>
      <w:rFonts w:hint="default" w:ascii="Times New Roman" w:hAnsi="Times New Roman" w:cs="Times New Roman"/>
      <w:color w:val="000000"/>
      <w:sz w:val="22"/>
      <w:szCs w:val="22"/>
      <w:u w:val="none"/>
    </w:rPr>
  </w:style>
  <w:style w:type="character" w:customStyle="1" w:styleId="65">
    <w:name w:val="hover1"/>
    <w:basedOn w:val="25"/>
    <w:qFormat/>
    <w:uiPriority w:val="0"/>
    <w:rPr>
      <w:color w:val="2590EB"/>
    </w:rPr>
  </w:style>
  <w:style w:type="character" w:customStyle="1" w:styleId="66">
    <w:name w:val="hover2"/>
    <w:basedOn w:val="25"/>
    <w:qFormat/>
    <w:uiPriority w:val="0"/>
    <w:rPr>
      <w:color w:val="2590EB"/>
    </w:rPr>
  </w:style>
  <w:style w:type="character" w:customStyle="1" w:styleId="67">
    <w:name w:val="hover3"/>
    <w:basedOn w:val="25"/>
    <w:qFormat/>
    <w:uiPriority w:val="0"/>
  </w:style>
  <w:style w:type="character" w:customStyle="1" w:styleId="68">
    <w:name w:val="mini-outputtext1"/>
    <w:basedOn w:val="25"/>
    <w:qFormat/>
    <w:uiPriority w:val="0"/>
  </w:style>
  <w:style w:type="paragraph" w:customStyle="1" w:styleId="69">
    <w:name w:val="List Paragraph"/>
    <w:basedOn w:val="1"/>
    <w:autoRedefine/>
    <w:qFormat/>
    <w:uiPriority w:val="0"/>
    <w:pPr>
      <w:ind w:firstLine="420" w:firstLineChars="200"/>
    </w:pPr>
  </w:style>
  <w:style w:type="paragraph" w:customStyle="1" w:styleId="70">
    <w:name w:val="正文首行缩进两字符"/>
    <w:basedOn w:val="1"/>
    <w:autoRedefine/>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14257</Words>
  <Characters>15395</Characters>
  <Lines>0</Lines>
  <Paragraphs>0</Paragraphs>
  <TotalTime>6</TotalTime>
  <ScaleCrop>false</ScaleCrop>
  <LinksUpToDate>false</LinksUpToDate>
  <CharactersWithSpaces>15516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2022-08-05T00:04:00Z</dcterms:created>
  <dc:creator>联想</dc:creator>
  <cp:lastModifiedBy>雷雨涵</cp:lastModifiedBy>
  <cp:lastPrinted>2022-09-28T01:21:00Z</cp:lastPrinted>
  <dcterms:modified xsi:type="dcterms:W3CDTF">2026-09-08T14:01:46Z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8A3CD07CD7AE4D8FAFFA27351CC4FE99</vt:lpwstr>
  </property>
  <property fmtid="{D5CDD505-2E9C-101B-9397-08002B2CF9AE}" pid="4" name="KSOTemplateDocerSaveRecord">
    <vt:lpwstr>eyJoZGlkIjoiZTM5ODk0ZDdjNjZjYmE1MzlmNzI2YjZjNzdjYWM0MTYiLCJ1c2VySWQiOiIzNjgzNTc2NjEifQ==</vt:lpwstr>
  </property>
</Properties>
</file>