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0837">
      <w:pPr>
        <w:shd w:val="clear" w:color="auto" w:fill="auto"/>
        <w:spacing w:line="360" w:lineRule="auto"/>
        <w:jc w:val="center"/>
        <w:rPr>
          <w:rFonts w:hint="eastAsia" w:ascii="黑体" w:hAnsi="黑体" w:eastAsia="黑体" w:cs="宋体"/>
          <w:b/>
          <w:color w:val="auto"/>
          <w:sz w:val="48"/>
          <w:szCs w:val="48"/>
          <w:highlight w:val="none"/>
          <w:lang w:eastAsia="zh-CN"/>
        </w:rPr>
      </w:pPr>
      <w:r>
        <w:rPr>
          <w:rFonts w:hint="eastAsia" w:eastAsia="黑体"/>
          <w:b/>
          <w:color w:val="auto"/>
          <w:sz w:val="48"/>
          <w:szCs w:val="48"/>
          <w:highlight w:val="none"/>
          <w:lang w:eastAsia="zh-CN"/>
        </w:rPr>
        <w:t>灵宝市寺河乡人民政府2026年灵宝市寺河乡苹果数字化分选储运中心建设项目</w:t>
      </w:r>
    </w:p>
    <w:p w14:paraId="56E0110E">
      <w:pPr>
        <w:shd w:val="clear" w:color="auto" w:fill="auto"/>
        <w:spacing w:line="360" w:lineRule="auto"/>
        <w:rPr>
          <w:rFonts w:hint="eastAsia" w:ascii="黑体" w:hAnsi="黑体" w:eastAsia="黑体" w:cs="宋体"/>
          <w:b/>
          <w:color w:val="auto"/>
          <w:sz w:val="44"/>
          <w:szCs w:val="44"/>
          <w:highlight w:val="none"/>
        </w:rPr>
      </w:pPr>
    </w:p>
    <w:p w14:paraId="2439E103">
      <w:pPr>
        <w:shd w:val="clear" w:color="auto" w:fill="auto"/>
        <w:spacing w:line="360" w:lineRule="auto"/>
        <w:rPr>
          <w:rFonts w:hint="eastAsia" w:ascii="黑体" w:hAnsi="黑体" w:eastAsia="黑体" w:cs="宋体"/>
          <w:b/>
          <w:color w:val="auto"/>
          <w:sz w:val="44"/>
          <w:szCs w:val="44"/>
          <w:highlight w:val="none"/>
        </w:rPr>
      </w:pPr>
    </w:p>
    <w:p w14:paraId="34F96E3B">
      <w:pPr>
        <w:shd w:val="clear" w:color="auto" w:fill="auto"/>
        <w:spacing w:line="360" w:lineRule="auto"/>
        <w:rPr>
          <w:rFonts w:hint="eastAsia" w:ascii="黑体" w:hAnsi="黑体" w:eastAsia="黑体" w:cs="宋体"/>
          <w:b/>
          <w:color w:val="auto"/>
          <w:sz w:val="44"/>
          <w:szCs w:val="44"/>
          <w:highlight w:val="none"/>
        </w:rPr>
      </w:pPr>
    </w:p>
    <w:p w14:paraId="2CC1D1CD">
      <w:pPr>
        <w:shd w:val="clear" w:color="auto" w:fill="auto"/>
        <w:spacing w:line="360" w:lineRule="auto"/>
        <w:ind w:firstLine="422" w:firstLineChars="50"/>
        <w:jc w:val="center"/>
        <w:rPr>
          <w:rFonts w:hint="eastAsia" w:ascii="黑体" w:hAnsi="黑体" w:eastAsia="黑体" w:cs="宋体"/>
          <w:b/>
          <w:color w:val="auto"/>
          <w:sz w:val="84"/>
          <w:szCs w:val="84"/>
          <w:highlight w:val="none"/>
        </w:rPr>
      </w:pPr>
      <w:r>
        <w:rPr>
          <w:rFonts w:hint="eastAsia" w:ascii="黑体" w:hAnsi="黑体" w:eastAsia="黑体" w:cs="宋体"/>
          <w:b/>
          <w:color w:val="auto"/>
          <w:sz w:val="84"/>
          <w:szCs w:val="84"/>
          <w:highlight w:val="none"/>
        </w:rPr>
        <w:t>竞争性磋商文件</w:t>
      </w:r>
    </w:p>
    <w:p w14:paraId="2EED7ED8">
      <w:pPr>
        <w:widowControl/>
        <w:shd w:val="clear" w:color="auto" w:fill="auto"/>
        <w:spacing w:line="360" w:lineRule="auto"/>
        <w:jc w:val="center"/>
        <w:rPr>
          <w:rFonts w:hint="default" w:ascii="宋体" w:hAnsi="宋体" w:eastAsia="宋体" w:cs="Times New Roman"/>
          <w:color w:val="auto"/>
          <w:sz w:val="24"/>
          <w:highlight w:val="none"/>
          <w:lang w:val="en-US" w:eastAsia="zh-CN"/>
        </w:rPr>
      </w:pPr>
      <w:r>
        <w:rPr>
          <w:rFonts w:hint="eastAsia" w:ascii="宋体" w:hAnsi="宋体" w:eastAsia="宋体" w:cs="Times New Roman"/>
          <w:color w:val="auto"/>
          <w:sz w:val="24"/>
          <w:highlight w:val="none"/>
          <w:lang w:val="en-US" w:eastAsia="zh-CN"/>
        </w:rPr>
        <w:t>项目编号：LBGZ[2026]186-ZC147、灵宝竞磋采购-2026-109</w:t>
      </w:r>
    </w:p>
    <w:p w14:paraId="06FE00EC">
      <w:pPr>
        <w:widowControl/>
        <w:shd w:val="clear" w:color="auto" w:fill="auto"/>
        <w:jc w:val="center"/>
        <w:rPr>
          <w:rFonts w:hint="eastAsia"/>
          <w:color w:val="auto"/>
          <w:highlight w:val="none"/>
        </w:rPr>
      </w:pPr>
      <w:r>
        <w:rPr>
          <w:rFonts w:hint="eastAsia" w:hAnsi="宋体"/>
          <w:b/>
          <w:color w:val="auto"/>
          <w:sz w:val="28"/>
          <w:szCs w:val="28"/>
          <w:highlight w:val="none"/>
        </w:rPr>
        <w:t xml:space="preserve">  </w:t>
      </w:r>
    </w:p>
    <w:p w14:paraId="2E94887D">
      <w:pPr>
        <w:widowControl/>
        <w:shd w:val="clear" w:color="auto" w:fill="auto"/>
        <w:jc w:val="center"/>
        <w:rPr>
          <w:rFonts w:hint="eastAsia"/>
          <w:color w:val="auto"/>
          <w:highlight w:val="none"/>
        </w:rPr>
      </w:pPr>
    </w:p>
    <w:p w14:paraId="51F50129">
      <w:pPr>
        <w:pStyle w:val="13"/>
        <w:ind w:left="0" w:leftChars="0" w:firstLine="0" w:firstLineChars="0"/>
        <w:rPr>
          <w:rFonts w:hint="eastAsia"/>
          <w:color w:val="auto"/>
          <w:highlight w:val="none"/>
        </w:rPr>
      </w:pPr>
    </w:p>
    <w:p w14:paraId="10027CB9">
      <w:pPr>
        <w:pStyle w:val="14"/>
        <w:ind w:left="0" w:leftChars="0" w:firstLine="0" w:firstLineChars="0"/>
        <w:rPr>
          <w:rFonts w:hint="eastAsia"/>
          <w:color w:val="auto"/>
          <w:highlight w:val="none"/>
        </w:rPr>
      </w:pPr>
    </w:p>
    <w:p w14:paraId="1EDAC080">
      <w:pPr>
        <w:rPr>
          <w:rFonts w:hint="eastAsia"/>
          <w:color w:val="auto"/>
          <w:highlight w:val="none"/>
        </w:rPr>
      </w:pPr>
    </w:p>
    <w:p w14:paraId="37F79312">
      <w:pPr>
        <w:pStyle w:val="13"/>
        <w:ind w:left="0" w:leftChars="0" w:firstLine="0" w:firstLineChars="0"/>
        <w:rPr>
          <w:rFonts w:hint="eastAsia"/>
          <w:color w:val="auto"/>
          <w:highlight w:val="none"/>
        </w:rPr>
      </w:pPr>
    </w:p>
    <w:p w14:paraId="1D2B7FEF">
      <w:pPr>
        <w:pStyle w:val="14"/>
        <w:ind w:left="0" w:leftChars="0" w:firstLine="0" w:firstLineChars="0"/>
        <w:rPr>
          <w:rFonts w:hint="eastAsia"/>
          <w:color w:val="auto"/>
          <w:highlight w:val="none"/>
        </w:rPr>
      </w:pPr>
    </w:p>
    <w:p w14:paraId="71372ECE">
      <w:pPr>
        <w:rPr>
          <w:rFonts w:hint="eastAsia"/>
          <w:color w:val="auto"/>
          <w:highlight w:val="none"/>
        </w:rPr>
      </w:pPr>
    </w:p>
    <w:p w14:paraId="694CA3CF">
      <w:pPr>
        <w:pStyle w:val="13"/>
        <w:ind w:left="0" w:leftChars="0" w:firstLine="0" w:firstLineChars="0"/>
        <w:rPr>
          <w:rFonts w:hint="eastAsia"/>
          <w:color w:val="auto"/>
          <w:highlight w:val="none"/>
        </w:rPr>
      </w:pPr>
    </w:p>
    <w:p w14:paraId="2C52DD61">
      <w:pPr>
        <w:pStyle w:val="14"/>
        <w:ind w:left="0" w:leftChars="0" w:firstLine="0" w:firstLineChars="0"/>
        <w:rPr>
          <w:rFonts w:hint="eastAsia"/>
          <w:color w:val="auto"/>
          <w:highlight w:val="none"/>
        </w:rPr>
      </w:pPr>
    </w:p>
    <w:p w14:paraId="7CDA1BA5">
      <w:pPr>
        <w:widowControl/>
        <w:shd w:val="clear" w:color="auto" w:fill="auto"/>
        <w:jc w:val="left"/>
        <w:rPr>
          <w:rFonts w:hint="eastAsia"/>
          <w:color w:val="auto"/>
          <w:highlight w:val="none"/>
        </w:rPr>
      </w:pPr>
    </w:p>
    <w:p w14:paraId="6D7022C7">
      <w:pPr>
        <w:widowControl/>
        <w:shd w:val="clear" w:color="auto" w:fill="auto"/>
        <w:jc w:val="left"/>
        <w:rPr>
          <w:rFonts w:hint="eastAsia"/>
          <w:color w:val="auto"/>
          <w:highlight w:val="none"/>
        </w:rPr>
      </w:pP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73"/>
        <w:gridCol w:w="5946"/>
      </w:tblGrid>
      <w:tr w14:paraId="348E6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573" w:type="dxa"/>
            <w:tcBorders>
              <w:top w:val="nil"/>
              <w:left w:val="nil"/>
              <w:bottom w:val="nil"/>
              <w:right w:val="nil"/>
            </w:tcBorders>
            <w:noWrap w:val="0"/>
            <w:vAlign w:val="top"/>
          </w:tcPr>
          <w:p w14:paraId="00212173">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rPr>
            </w:pPr>
            <w:r>
              <w:rPr>
                <w:rFonts w:hint="eastAsia" w:ascii="宋体" w:hAnsi="宋体" w:eastAsia="宋体" w:cs="宋体"/>
                <w:b/>
                <w:color w:val="auto"/>
                <w:kern w:val="0"/>
                <w:sz w:val="32"/>
                <w:szCs w:val="32"/>
                <w:highlight w:val="none"/>
                <w:shd w:val="clear" w:color="auto" w:fill="FFFFFF"/>
                <w:lang w:eastAsia="zh-CN"/>
              </w:rPr>
              <w:t>采 购 人：</w:t>
            </w:r>
          </w:p>
        </w:tc>
        <w:tc>
          <w:tcPr>
            <w:tcW w:w="5946" w:type="dxa"/>
            <w:tcBorders>
              <w:top w:val="nil"/>
              <w:left w:val="nil"/>
              <w:bottom w:val="nil"/>
              <w:right w:val="nil"/>
            </w:tcBorders>
            <w:noWrap w:val="0"/>
            <w:vAlign w:val="top"/>
          </w:tcPr>
          <w:p w14:paraId="1C99A14C">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rPr>
            </w:pPr>
            <w:r>
              <w:rPr>
                <w:rFonts w:hint="eastAsia" w:ascii="宋体" w:hAnsi="宋体" w:eastAsia="宋体" w:cs="宋体"/>
                <w:b/>
                <w:color w:val="auto"/>
                <w:kern w:val="0"/>
                <w:sz w:val="32"/>
                <w:szCs w:val="32"/>
                <w:highlight w:val="none"/>
                <w:shd w:val="clear" w:color="auto" w:fill="FFFFFF"/>
                <w:lang w:eastAsia="zh-CN"/>
              </w:rPr>
              <w:t>灵宝市寺河乡人民政府</w:t>
            </w:r>
          </w:p>
        </w:tc>
      </w:tr>
      <w:tr w14:paraId="7E8E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573" w:type="dxa"/>
            <w:tcBorders>
              <w:top w:val="nil"/>
              <w:left w:val="nil"/>
              <w:bottom w:val="nil"/>
              <w:right w:val="nil"/>
            </w:tcBorders>
            <w:noWrap w:val="0"/>
            <w:vAlign w:val="top"/>
          </w:tcPr>
          <w:p w14:paraId="4146B2A1">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rPr>
            </w:pPr>
            <w:r>
              <w:rPr>
                <w:rFonts w:hint="eastAsia" w:ascii="宋体" w:hAnsi="宋体" w:eastAsia="宋体" w:cs="宋体"/>
                <w:b/>
                <w:color w:val="auto"/>
                <w:kern w:val="0"/>
                <w:sz w:val="32"/>
                <w:szCs w:val="32"/>
                <w:highlight w:val="none"/>
                <w:shd w:val="clear" w:color="auto" w:fill="FFFFFF"/>
                <w:lang w:eastAsia="zh-CN"/>
              </w:rPr>
              <w:t>代理机构：</w:t>
            </w:r>
          </w:p>
        </w:tc>
        <w:tc>
          <w:tcPr>
            <w:tcW w:w="5946" w:type="dxa"/>
            <w:tcBorders>
              <w:top w:val="nil"/>
              <w:left w:val="nil"/>
              <w:bottom w:val="nil"/>
              <w:right w:val="nil"/>
            </w:tcBorders>
            <w:noWrap w:val="0"/>
            <w:vAlign w:val="top"/>
          </w:tcPr>
          <w:p w14:paraId="1C3AC5A5">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rPr>
            </w:pPr>
            <w:r>
              <w:rPr>
                <w:rFonts w:hint="eastAsia" w:ascii="宋体" w:hAnsi="宋体" w:eastAsia="宋体" w:cs="宋体"/>
                <w:b/>
                <w:color w:val="auto"/>
                <w:kern w:val="0"/>
                <w:sz w:val="32"/>
                <w:szCs w:val="32"/>
                <w:highlight w:val="none"/>
                <w:shd w:val="clear" w:color="auto" w:fill="FFFFFF"/>
                <w:lang w:eastAsia="zh-CN"/>
              </w:rPr>
              <w:t>河南润程项目管理有限公司</w:t>
            </w:r>
          </w:p>
        </w:tc>
      </w:tr>
      <w:tr w14:paraId="1973B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jc w:val="center"/>
        </w:trPr>
        <w:tc>
          <w:tcPr>
            <w:tcW w:w="2573" w:type="dxa"/>
            <w:tcBorders>
              <w:top w:val="nil"/>
              <w:left w:val="nil"/>
              <w:bottom w:val="nil"/>
              <w:right w:val="nil"/>
            </w:tcBorders>
            <w:noWrap w:val="0"/>
            <w:vAlign w:val="top"/>
          </w:tcPr>
          <w:p w14:paraId="6A7CD49C">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lang w:val="en-US" w:eastAsia="zh-CN"/>
              </w:rPr>
            </w:pPr>
            <w:r>
              <w:rPr>
                <w:rFonts w:hint="eastAsia" w:ascii="宋体" w:hAnsi="宋体" w:eastAsia="宋体" w:cs="宋体"/>
                <w:b/>
                <w:color w:val="auto"/>
                <w:kern w:val="0"/>
                <w:sz w:val="32"/>
                <w:szCs w:val="32"/>
                <w:highlight w:val="none"/>
                <w:shd w:val="clear" w:color="auto" w:fill="FFFFFF"/>
                <w:lang w:val="en-US" w:eastAsia="zh-CN"/>
              </w:rPr>
              <w:t>编制</w:t>
            </w:r>
            <w:r>
              <w:rPr>
                <w:rFonts w:hint="eastAsia" w:ascii="宋体" w:hAnsi="宋体" w:eastAsia="宋体" w:cs="宋体"/>
                <w:b/>
                <w:color w:val="auto"/>
                <w:kern w:val="0"/>
                <w:sz w:val="32"/>
                <w:szCs w:val="32"/>
                <w:highlight w:val="none"/>
                <w:shd w:val="clear" w:color="auto" w:fill="FFFFFF"/>
                <w:lang w:eastAsia="zh-CN"/>
              </w:rPr>
              <w:t>日期：</w:t>
            </w:r>
          </w:p>
        </w:tc>
        <w:tc>
          <w:tcPr>
            <w:tcW w:w="5946" w:type="dxa"/>
            <w:tcBorders>
              <w:top w:val="nil"/>
              <w:left w:val="nil"/>
              <w:bottom w:val="nil"/>
              <w:right w:val="nil"/>
            </w:tcBorders>
            <w:noWrap w:val="0"/>
            <w:vAlign w:val="top"/>
          </w:tcPr>
          <w:p w14:paraId="5E95B5F9">
            <w:pPr>
              <w:shd w:val="clear" w:color="auto" w:fill="auto"/>
              <w:spacing w:line="360" w:lineRule="auto"/>
              <w:jc w:val="distribute"/>
              <w:rPr>
                <w:rFonts w:hint="eastAsia" w:ascii="宋体" w:hAnsi="宋体" w:eastAsia="宋体" w:cs="宋体"/>
                <w:b/>
                <w:color w:val="auto"/>
                <w:kern w:val="0"/>
                <w:sz w:val="32"/>
                <w:szCs w:val="32"/>
                <w:highlight w:val="none"/>
                <w:shd w:val="clear" w:color="auto" w:fill="FFFFFF"/>
              </w:rPr>
            </w:pPr>
            <w:r>
              <w:rPr>
                <w:rFonts w:hint="eastAsia" w:ascii="宋体" w:hAnsi="宋体" w:eastAsia="宋体" w:cs="宋体"/>
                <w:b/>
                <w:color w:val="auto"/>
                <w:kern w:val="0"/>
                <w:sz w:val="32"/>
                <w:szCs w:val="32"/>
                <w:highlight w:val="none"/>
                <w:shd w:val="clear" w:color="auto" w:fill="FFFFFF"/>
                <w:lang w:eastAsia="zh-CN"/>
              </w:rPr>
              <w:t>二</w:t>
            </w:r>
            <w:r>
              <w:rPr>
                <w:rFonts w:hint="eastAsia" w:ascii="宋体" w:hAnsi="宋体" w:eastAsia="宋体" w:cs="宋体"/>
                <w:b/>
                <w:color w:val="auto"/>
                <w:kern w:val="0"/>
                <w:sz w:val="32"/>
                <w:szCs w:val="32"/>
                <w:highlight w:val="none"/>
                <w:shd w:val="clear" w:color="auto" w:fill="FFFFFF"/>
                <w:lang w:val="en-US" w:eastAsia="zh-CN"/>
              </w:rPr>
              <w:t>〇</w:t>
            </w:r>
            <w:r>
              <w:rPr>
                <w:rFonts w:hint="eastAsia" w:ascii="宋体" w:hAnsi="宋体" w:eastAsia="宋体" w:cs="宋体"/>
                <w:b/>
                <w:color w:val="auto"/>
                <w:kern w:val="0"/>
                <w:sz w:val="32"/>
                <w:szCs w:val="32"/>
                <w:highlight w:val="none"/>
                <w:shd w:val="clear" w:color="auto" w:fill="FFFFFF"/>
                <w:lang w:eastAsia="zh-CN"/>
              </w:rPr>
              <w:t>二</w:t>
            </w:r>
            <w:r>
              <w:rPr>
                <w:rFonts w:hint="eastAsia" w:ascii="宋体" w:hAnsi="宋体" w:eastAsia="宋体" w:cs="宋体"/>
                <w:b/>
                <w:color w:val="auto"/>
                <w:kern w:val="0"/>
                <w:sz w:val="32"/>
                <w:szCs w:val="32"/>
                <w:highlight w:val="none"/>
                <w:shd w:val="clear" w:color="auto" w:fill="FFFFFF"/>
                <w:lang w:val="en-US" w:eastAsia="zh-CN"/>
              </w:rPr>
              <w:t>六</w:t>
            </w:r>
            <w:r>
              <w:rPr>
                <w:rFonts w:hint="eastAsia" w:ascii="宋体" w:hAnsi="宋体" w:eastAsia="宋体" w:cs="宋体"/>
                <w:b/>
                <w:color w:val="auto"/>
                <w:kern w:val="0"/>
                <w:sz w:val="32"/>
                <w:szCs w:val="32"/>
                <w:highlight w:val="none"/>
                <w:shd w:val="clear" w:color="auto" w:fill="FFFFFF"/>
                <w:lang w:eastAsia="zh-CN"/>
              </w:rPr>
              <w:t>年</w:t>
            </w:r>
            <w:r>
              <w:rPr>
                <w:rFonts w:hint="eastAsia" w:ascii="宋体" w:hAnsi="宋体" w:eastAsia="宋体" w:cs="宋体"/>
                <w:b/>
                <w:color w:val="auto"/>
                <w:kern w:val="0"/>
                <w:sz w:val="32"/>
                <w:szCs w:val="32"/>
                <w:highlight w:val="none"/>
                <w:shd w:val="clear" w:color="auto" w:fill="FFFFFF"/>
                <w:lang w:val="en-US" w:eastAsia="zh-CN"/>
              </w:rPr>
              <w:t>九</w:t>
            </w:r>
            <w:r>
              <w:rPr>
                <w:rFonts w:hint="eastAsia" w:ascii="宋体" w:hAnsi="宋体" w:eastAsia="宋体" w:cs="宋体"/>
                <w:b/>
                <w:color w:val="auto"/>
                <w:kern w:val="0"/>
                <w:sz w:val="32"/>
                <w:szCs w:val="32"/>
                <w:highlight w:val="none"/>
                <w:shd w:val="clear" w:color="auto" w:fill="FFFFFF"/>
                <w:lang w:eastAsia="zh-CN"/>
              </w:rPr>
              <w:t>月</w:t>
            </w:r>
          </w:p>
        </w:tc>
      </w:tr>
    </w:tbl>
    <w:p w14:paraId="55614122">
      <w:pPr>
        <w:shd w:val="clear" w:color="auto" w:fill="auto"/>
        <w:spacing w:line="360" w:lineRule="auto"/>
        <w:jc w:val="center"/>
        <w:rPr>
          <w:rFonts w:hint="eastAsia" w:ascii="宋体" w:hAnsi="宋体"/>
          <w:b/>
          <w:color w:val="auto"/>
          <w:kern w:val="44"/>
          <w:sz w:val="30"/>
          <w:szCs w:val="30"/>
          <w:highlight w:val="none"/>
        </w:rPr>
      </w:pPr>
      <w:bookmarkStart w:id="0" w:name="_Toc508179882"/>
      <w:r>
        <w:rPr>
          <w:rFonts w:hint="eastAsia" w:ascii="宋体" w:hAnsi="宋体"/>
          <w:b/>
          <w:color w:val="auto"/>
          <w:kern w:val="44"/>
          <w:sz w:val="30"/>
          <w:szCs w:val="30"/>
          <w:highlight w:val="none"/>
        </w:rPr>
        <w:br w:type="page"/>
      </w:r>
      <w:r>
        <w:rPr>
          <w:rFonts w:hint="eastAsia" w:ascii="宋体" w:hAnsi="宋体"/>
          <w:b/>
          <w:color w:val="auto"/>
          <w:kern w:val="44"/>
          <w:sz w:val="30"/>
          <w:szCs w:val="30"/>
          <w:highlight w:val="none"/>
        </w:rPr>
        <w:t>目   录</w:t>
      </w:r>
      <w:bookmarkEnd w:id="0"/>
      <w:bookmarkStart w:id="1" w:name="_Toc16520163"/>
      <w:bookmarkStart w:id="2" w:name="_Toc525811562"/>
      <w:bookmarkStart w:id="3" w:name="_Toc523220931"/>
    </w:p>
    <w:p w14:paraId="5FA7682B">
      <w:pPr>
        <w:shd w:val="clear" w:color="auto" w:fill="auto"/>
        <w:spacing w:line="360" w:lineRule="auto"/>
        <w:jc w:val="center"/>
        <w:rPr>
          <w:rFonts w:hint="eastAsia" w:ascii="黑体" w:hAnsi="黑体" w:eastAsia="黑体"/>
          <w:b w:val="0"/>
          <w:bCs/>
          <w:color w:val="auto"/>
          <w:kern w:val="44"/>
          <w:sz w:val="30"/>
          <w:szCs w:val="30"/>
          <w:highlight w:val="none"/>
        </w:rPr>
      </w:pPr>
    </w:p>
    <w:p w14:paraId="50F07738">
      <w:pPr>
        <w:pStyle w:val="11"/>
        <w:shd w:val="clear" w:color="auto" w:fill="auto"/>
        <w:tabs>
          <w:tab w:val="right" w:leader="dot" w:pos="9241"/>
        </w:tabs>
        <w:rPr>
          <w:b w:val="0"/>
          <w:bCs/>
          <w:color w:val="auto"/>
          <w:sz w:val="30"/>
          <w:szCs w:val="30"/>
          <w:highlight w:val="none"/>
        </w:rPr>
      </w:pPr>
      <w:r>
        <w:rPr>
          <w:rFonts w:ascii="宋体" w:hAnsi="宋体"/>
          <w:b w:val="0"/>
          <w:bCs/>
          <w:caps w:val="0"/>
          <w:color w:val="auto"/>
          <w:sz w:val="30"/>
          <w:szCs w:val="30"/>
          <w:highlight w:val="none"/>
        </w:rPr>
        <w:fldChar w:fldCharType="begin"/>
      </w:r>
      <w:r>
        <w:rPr>
          <w:rFonts w:ascii="宋体" w:hAnsi="宋体"/>
          <w:b w:val="0"/>
          <w:bCs/>
          <w:caps w:val="0"/>
          <w:color w:val="auto"/>
          <w:sz w:val="30"/>
          <w:szCs w:val="30"/>
          <w:highlight w:val="none"/>
        </w:rPr>
        <w:instrText xml:space="preserve"> TOC \o "1-3" \h \z \u </w:instrText>
      </w:r>
      <w:r>
        <w:rPr>
          <w:rFonts w:ascii="宋体" w:hAnsi="宋体"/>
          <w:b w:val="0"/>
          <w:bCs/>
          <w:caps w:val="0"/>
          <w:color w:val="auto"/>
          <w:sz w:val="30"/>
          <w:szCs w:val="30"/>
          <w:highlight w:val="none"/>
        </w:rPr>
        <w:fldChar w:fldCharType="separate"/>
      </w:r>
      <w:r>
        <w:rPr>
          <w:rFonts w:ascii="宋体" w:hAnsi="宋体"/>
          <w:b w:val="0"/>
          <w:bCs/>
          <w:caps w:val="0"/>
          <w:color w:val="auto"/>
          <w:sz w:val="30"/>
          <w:szCs w:val="30"/>
          <w:highlight w:val="none"/>
        </w:rPr>
        <w:fldChar w:fldCharType="begin"/>
      </w:r>
      <w:r>
        <w:rPr>
          <w:rFonts w:ascii="宋体" w:hAnsi="宋体"/>
          <w:b w:val="0"/>
          <w:bCs/>
          <w:caps w:val="0"/>
          <w:color w:val="auto"/>
          <w:sz w:val="30"/>
          <w:szCs w:val="30"/>
          <w:highlight w:val="none"/>
        </w:rPr>
        <w:instrText xml:space="preserve"> HYPERLINK \l _Toc6046 </w:instrText>
      </w:r>
      <w:r>
        <w:rPr>
          <w:rFonts w:ascii="宋体" w:hAnsi="宋体"/>
          <w:b w:val="0"/>
          <w:bCs/>
          <w:caps w:val="0"/>
          <w:color w:val="auto"/>
          <w:sz w:val="30"/>
          <w:szCs w:val="30"/>
          <w:highlight w:val="none"/>
        </w:rPr>
        <w:fldChar w:fldCharType="separate"/>
      </w:r>
      <w:r>
        <w:rPr>
          <w:rFonts w:hint="eastAsia" w:ascii="宋体" w:hAnsi="宋体"/>
          <w:b w:val="0"/>
          <w:bCs/>
          <w:color w:val="auto"/>
          <w:sz w:val="30"/>
          <w:szCs w:val="30"/>
          <w:highlight w:val="none"/>
        </w:rPr>
        <w:t>第一章  竞争性磋商公告</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_Toc6046 \h </w:instrText>
      </w:r>
      <w:r>
        <w:rPr>
          <w:b w:val="0"/>
          <w:bCs/>
          <w:color w:val="auto"/>
          <w:sz w:val="30"/>
          <w:szCs w:val="30"/>
          <w:highlight w:val="none"/>
        </w:rPr>
        <w:fldChar w:fldCharType="separate"/>
      </w:r>
      <w:r>
        <w:rPr>
          <w:b w:val="0"/>
          <w:bCs/>
          <w:color w:val="auto"/>
          <w:sz w:val="30"/>
          <w:szCs w:val="30"/>
          <w:highlight w:val="none"/>
        </w:rPr>
        <w:t>3</w:t>
      </w:r>
      <w:r>
        <w:rPr>
          <w:b w:val="0"/>
          <w:bCs/>
          <w:color w:val="auto"/>
          <w:sz w:val="30"/>
          <w:szCs w:val="30"/>
          <w:highlight w:val="none"/>
        </w:rPr>
        <w:fldChar w:fldCharType="end"/>
      </w:r>
      <w:r>
        <w:rPr>
          <w:rFonts w:ascii="宋体" w:hAnsi="宋体"/>
          <w:b w:val="0"/>
          <w:bCs/>
          <w:caps w:val="0"/>
          <w:color w:val="auto"/>
          <w:sz w:val="30"/>
          <w:szCs w:val="30"/>
          <w:highlight w:val="none"/>
        </w:rPr>
        <w:fldChar w:fldCharType="end"/>
      </w:r>
    </w:p>
    <w:p w14:paraId="05D3E59A">
      <w:pPr>
        <w:pStyle w:val="11"/>
        <w:shd w:val="clear" w:color="auto" w:fill="auto"/>
        <w:tabs>
          <w:tab w:val="right" w:leader="dot" w:pos="9241"/>
        </w:tabs>
        <w:rPr>
          <w:b w:val="0"/>
          <w:bCs/>
          <w:color w:val="auto"/>
          <w:sz w:val="30"/>
          <w:szCs w:val="30"/>
          <w:highlight w:val="none"/>
        </w:rPr>
      </w:pPr>
      <w:r>
        <w:rPr>
          <w:rFonts w:ascii="宋体" w:hAnsi="宋体" w:cs="Calibri"/>
          <w:b w:val="0"/>
          <w:bCs/>
          <w:caps w:val="0"/>
          <w:color w:val="auto"/>
          <w:sz w:val="30"/>
          <w:szCs w:val="30"/>
          <w:highlight w:val="none"/>
        </w:rPr>
        <w:fldChar w:fldCharType="begin"/>
      </w:r>
      <w:r>
        <w:rPr>
          <w:rFonts w:ascii="宋体" w:hAnsi="宋体" w:cs="Calibri"/>
          <w:b w:val="0"/>
          <w:bCs/>
          <w:caps w:val="0"/>
          <w:color w:val="auto"/>
          <w:sz w:val="30"/>
          <w:szCs w:val="30"/>
          <w:highlight w:val="none"/>
        </w:rPr>
        <w:instrText xml:space="preserve"> HYPERLINK \l _Toc24197 </w:instrText>
      </w:r>
      <w:r>
        <w:rPr>
          <w:rFonts w:ascii="宋体" w:hAnsi="宋体" w:cs="Calibri"/>
          <w:b w:val="0"/>
          <w:bCs/>
          <w:caps w:val="0"/>
          <w:color w:val="auto"/>
          <w:sz w:val="30"/>
          <w:szCs w:val="30"/>
          <w:highlight w:val="none"/>
        </w:rPr>
        <w:fldChar w:fldCharType="separate"/>
      </w:r>
      <w:r>
        <w:rPr>
          <w:rFonts w:hint="eastAsia" w:ascii="宋体" w:hAnsi="宋体"/>
          <w:b w:val="0"/>
          <w:bCs/>
          <w:color w:val="auto"/>
          <w:sz w:val="30"/>
          <w:szCs w:val="30"/>
          <w:highlight w:val="none"/>
        </w:rPr>
        <w:t>第二章 供应商须知</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_Toc24197 \h </w:instrText>
      </w:r>
      <w:r>
        <w:rPr>
          <w:b w:val="0"/>
          <w:bCs/>
          <w:color w:val="auto"/>
          <w:sz w:val="30"/>
          <w:szCs w:val="30"/>
          <w:highlight w:val="none"/>
        </w:rPr>
        <w:fldChar w:fldCharType="separate"/>
      </w:r>
      <w:r>
        <w:rPr>
          <w:b w:val="0"/>
          <w:bCs/>
          <w:color w:val="auto"/>
          <w:sz w:val="30"/>
          <w:szCs w:val="30"/>
          <w:highlight w:val="none"/>
        </w:rPr>
        <w:t>8</w:t>
      </w:r>
      <w:r>
        <w:rPr>
          <w:b w:val="0"/>
          <w:bCs/>
          <w:color w:val="auto"/>
          <w:sz w:val="30"/>
          <w:szCs w:val="30"/>
          <w:highlight w:val="none"/>
        </w:rPr>
        <w:fldChar w:fldCharType="end"/>
      </w:r>
      <w:r>
        <w:rPr>
          <w:rFonts w:ascii="宋体" w:hAnsi="宋体" w:cs="Calibri"/>
          <w:b w:val="0"/>
          <w:bCs/>
          <w:caps w:val="0"/>
          <w:color w:val="auto"/>
          <w:sz w:val="30"/>
          <w:szCs w:val="30"/>
          <w:highlight w:val="none"/>
        </w:rPr>
        <w:fldChar w:fldCharType="end"/>
      </w:r>
    </w:p>
    <w:p w14:paraId="529ABC4D">
      <w:pPr>
        <w:pStyle w:val="11"/>
        <w:shd w:val="clear" w:color="auto" w:fill="auto"/>
        <w:tabs>
          <w:tab w:val="right" w:leader="dot" w:pos="9241"/>
        </w:tabs>
        <w:rPr>
          <w:b w:val="0"/>
          <w:bCs/>
          <w:color w:val="auto"/>
          <w:sz w:val="30"/>
          <w:szCs w:val="30"/>
          <w:highlight w:val="none"/>
        </w:rPr>
      </w:pPr>
      <w:r>
        <w:rPr>
          <w:rFonts w:ascii="宋体" w:hAnsi="宋体" w:cs="Calibri"/>
          <w:b w:val="0"/>
          <w:bCs/>
          <w:caps w:val="0"/>
          <w:color w:val="auto"/>
          <w:sz w:val="30"/>
          <w:szCs w:val="30"/>
          <w:highlight w:val="none"/>
        </w:rPr>
        <w:fldChar w:fldCharType="begin"/>
      </w:r>
      <w:r>
        <w:rPr>
          <w:rFonts w:ascii="宋体" w:hAnsi="宋体" w:cs="Calibri"/>
          <w:b w:val="0"/>
          <w:bCs/>
          <w:caps w:val="0"/>
          <w:color w:val="auto"/>
          <w:sz w:val="30"/>
          <w:szCs w:val="30"/>
          <w:highlight w:val="none"/>
        </w:rPr>
        <w:instrText xml:space="preserve"> HYPERLINK \l _Toc733 </w:instrText>
      </w:r>
      <w:r>
        <w:rPr>
          <w:rFonts w:ascii="宋体" w:hAnsi="宋体" w:cs="Calibri"/>
          <w:b w:val="0"/>
          <w:bCs/>
          <w:caps w:val="0"/>
          <w:color w:val="auto"/>
          <w:sz w:val="30"/>
          <w:szCs w:val="30"/>
          <w:highlight w:val="none"/>
        </w:rPr>
        <w:fldChar w:fldCharType="separate"/>
      </w:r>
      <w:r>
        <w:rPr>
          <w:rFonts w:hint="eastAsia" w:ascii="宋体" w:hAnsi="宋体"/>
          <w:b w:val="0"/>
          <w:bCs/>
          <w:color w:val="auto"/>
          <w:sz w:val="30"/>
          <w:szCs w:val="30"/>
          <w:highlight w:val="none"/>
        </w:rPr>
        <w:t>第三章  评审办法</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_Toc733 \h </w:instrText>
      </w:r>
      <w:r>
        <w:rPr>
          <w:b w:val="0"/>
          <w:bCs/>
          <w:color w:val="auto"/>
          <w:sz w:val="30"/>
          <w:szCs w:val="30"/>
          <w:highlight w:val="none"/>
        </w:rPr>
        <w:fldChar w:fldCharType="separate"/>
      </w:r>
      <w:r>
        <w:rPr>
          <w:b w:val="0"/>
          <w:bCs/>
          <w:color w:val="auto"/>
          <w:sz w:val="30"/>
          <w:szCs w:val="30"/>
          <w:highlight w:val="none"/>
        </w:rPr>
        <w:t>28</w:t>
      </w:r>
      <w:r>
        <w:rPr>
          <w:b w:val="0"/>
          <w:bCs/>
          <w:color w:val="auto"/>
          <w:sz w:val="30"/>
          <w:szCs w:val="30"/>
          <w:highlight w:val="none"/>
        </w:rPr>
        <w:fldChar w:fldCharType="end"/>
      </w:r>
      <w:r>
        <w:rPr>
          <w:rFonts w:ascii="宋体" w:hAnsi="宋体" w:cs="Calibri"/>
          <w:b w:val="0"/>
          <w:bCs/>
          <w:caps w:val="0"/>
          <w:color w:val="auto"/>
          <w:sz w:val="30"/>
          <w:szCs w:val="30"/>
          <w:highlight w:val="none"/>
        </w:rPr>
        <w:fldChar w:fldCharType="end"/>
      </w:r>
    </w:p>
    <w:p w14:paraId="0FB87B9A">
      <w:pPr>
        <w:pStyle w:val="11"/>
        <w:shd w:val="clear" w:color="auto" w:fill="auto"/>
        <w:tabs>
          <w:tab w:val="right" w:leader="dot" w:pos="9241"/>
        </w:tabs>
        <w:rPr>
          <w:b w:val="0"/>
          <w:bCs/>
          <w:color w:val="auto"/>
          <w:sz w:val="30"/>
          <w:szCs w:val="30"/>
          <w:highlight w:val="none"/>
        </w:rPr>
      </w:pPr>
      <w:r>
        <w:rPr>
          <w:rFonts w:ascii="宋体" w:hAnsi="宋体" w:cs="Calibri"/>
          <w:b w:val="0"/>
          <w:bCs/>
          <w:caps w:val="0"/>
          <w:color w:val="auto"/>
          <w:sz w:val="30"/>
          <w:szCs w:val="30"/>
          <w:highlight w:val="none"/>
        </w:rPr>
        <w:fldChar w:fldCharType="begin"/>
      </w:r>
      <w:r>
        <w:rPr>
          <w:rFonts w:ascii="宋体" w:hAnsi="宋体" w:cs="Calibri"/>
          <w:b w:val="0"/>
          <w:bCs/>
          <w:caps w:val="0"/>
          <w:color w:val="auto"/>
          <w:sz w:val="30"/>
          <w:szCs w:val="30"/>
          <w:highlight w:val="none"/>
        </w:rPr>
        <w:instrText xml:space="preserve"> HYPERLINK \l _Toc32695 </w:instrText>
      </w:r>
      <w:r>
        <w:rPr>
          <w:rFonts w:ascii="宋体" w:hAnsi="宋体" w:cs="Calibri"/>
          <w:b w:val="0"/>
          <w:bCs/>
          <w:caps w:val="0"/>
          <w:color w:val="auto"/>
          <w:sz w:val="30"/>
          <w:szCs w:val="30"/>
          <w:highlight w:val="none"/>
        </w:rPr>
        <w:fldChar w:fldCharType="separate"/>
      </w:r>
      <w:r>
        <w:rPr>
          <w:rFonts w:hint="eastAsia" w:ascii="宋体" w:hAnsi="宋体"/>
          <w:b w:val="0"/>
          <w:bCs/>
          <w:color w:val="auto"/>
          <w:sz w:val="30"/>
          <w:szCs w:val="30"/>
          <w:highlight w:val="none"/>
        </w:rPr>
        <w:t>第四章 合同协议书（样本）</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_Toc32695 \h </w:instrText>
      </w:r>
      <w:r>
        <w:rPr>
          <w:b w:val="0"/>
          <w:bCs/>
          <w:color w:val="auto"/>
          <w:sz w:val="30"/>
          <w:szCs w:val="30"/>
          <w:highlight w:val="none"/>
        </w:rPr>
        <w:fldChar w:fldCharType="separate"/>
      </w:r>
      <w:r>
        <w:rPr>
          <w:b w:val="0"/>
          <w:bCs/>
          <w:color w:val="auto"/>
          <w:sz w:val="30"/>
          <w:szCs w:val="30"/>
          <w:highlight w:val="none"/>
        </w:rPr>
        <w:t>37</w:t>
      </w:r>
      <w:r>
        <w:rPr>
          <w:b w:val="0"/>
          <w:bCs/>
          <w:color w:val="auto"/>
          <w:sz w:val="30"/>
          <w:szCs w:val="30"/>
          <w:highlight w:val="none"/>
        </w:rPr>
        <w:fldChar w:fldCharType="end"/>
      </w:r>
      <w:r>
        <w:rPr>
          <w:rFonts w:ascii="宋体" w:hAnsi="宋体" w:cs="Calibri"/>
          <w:b w:val="0"/>
          <w:bCs/>
          <w:caps w:val="0"/>
          <w:color w:val="auto"/>
          <w:sz w:val="30"/>
          <w:szCs w:val="30"/>
          <w:highlight w:val="none"/>
        </w:rPr>
        <w:fldChar w:fldCharType="end"/>
      </w:r>
    </w:p>
    <w:p w14:paraId="6E4D2F56">
      <w:pPr>
        <w:pStyle w:val="11"/>
        <w:shd w:val="clear" w:color="auto" w:fill="auto"/>
        <w:tabs>
          <w:tab w:val="right" w:leader="dot" w:pos="9241"/>
        </w:tabs>
        <w:rPr>
          <w:b w:val="0"/>
          <w:bCs/>
          <w:color w:val="auto"/>
          <w:sz w:val="30"/>
          <w:szCs w:val="30"/>
          <w:highlight w:val="none"/>
        </w:rPr>
      </w:pPr>
      <w:r>
        <w:rPr>
          <w:rFonts w:ascii="宋体" w:hAnsi="宋体" w:cs="Calibri"/>
          <w:b w:val="0"/>
          <w:bCs/>
          <w:caps w:val="0"/>
          <w:color w:val="auto"/>
          <w:sz w:val="30"/>
          <w:szCs w:val="30"/>
          <w:highlight w:val="none"/>
        </w:rPr>
        <w:fldChar w:fldCharType="begin"/>
      </w:r>
      <w:r>
        <w:rPr>
          <w:rFonts w:ascii="宋体" w:hAnsi="宋体" w:cs="Calibri"/>
          <w:b w:val="0"/>
          <w:bCs/>
          <w:caps w:val="0"/>
          <w:color w:val="auto"/>
          <w:sz w:val="30"/>
          <w:szCs w:val="30"/>
          <w:highlight w:val="none"/>
        </w:rPr>
        <w:instrText xml:space="preserve"> HYPERLINK \l _Toc24974 </w:instrText>
      </w:r>
      <w:r>
        <w:rPr>
          <w:rFonts w:ascii="宋体" w:hAnsi="宋体" w:cs="Calibri"/>
          <w:b w:val="0"/>
          <w:bCs/>
          <w:caps w:val="0"/>
          <w:color w:val="auto"/>
          <w:sz w:val="30"/>
          <w:szCs w:val="30"/>
          <w:highlight w:val="none"/>
        </w:rPr>
        <w:fldChar w:fldCharType="separate"/>
      </w:r>
      <w:r>
        <w:rPr>
          <w:rFonts w:hint="eastAsia" w:ascii="宋体" w:hAnsi="宋体" w:cs="宋体"/>
          <w:b w:val="0"/>
          <w:bCs/>
          <w:color w:val="auto"/>
          <w:kern w:val="0"/>
          <w:sz w:val="30"/>
          <w:szCs w:val="30"/>
          <w:highlight w:val="none"/>
        </w:rPr>
        <w:t>第五章  工程量清单及图纸（另附）</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_Toc24974 \h </w:instrText>
      </w:r>
      <w:r>
        <w:rPr>
          <w:b w:val="0"/>
          <w:bCs/>
          <w:color w:val="auto"/>
          <w:sz w:val="30"/>
          <w:szCs w:val="30"/>
          <w:highlight w:val="none"/>
        </w:rPr>
        <w:fldChar w:fldCharType="separate"/>
      </w:r>
      <w:r>
        <w:rPr>
          <w:b w:val="0"/>
          <w:bCs/>
          <w:color w:val="auto"/>
          <w:sz w:val="30"/>
          <w:szCs w:val="30"/>
          <w:highlight w:val="none"/>
        </w:rPr>
        <w:t>54</w:t>
      </w:r>
      <w:r>
        <w:rPr>
          <w:b w:val="0"/>
          <w:bCs/>
          <w:color w:val="auto"/>
          <w:sz w:val="30"/>
          <w:szCs w:val="30"/>
          <w:highlight w:val="none"/>
        </w:rPr>
        <w:fldChar w:fldCharType="end"/>
      </w:r>
      <w:r>
        <w:rPr>
          <w:rFonts w:ascii="宋体" w:hAnsi="宋体" w:cs="Calibri"/>
          <w:b w:val="0"/>
          <w:bCs/>
          <w:caps w:val="0"/>
          <w:color w:val="auto"/>
          <w:sz w:val="30"/>
          <w:szCs w:val="30"/>
          <w:highlight w:val="none"/>
        </w:rPr>
        <w:fldChar w:fldCharType="end"/>
      </w:r>
    </w:p>
    <w:p w14:paraId="7EDFBC4F">
      <w:pPr>
        <w:pStyle w:val="11"/>
        <w:shd w:val="clear" w:color="auto" w:fill="auto"/>
        <w:tabs>
          <w:tab w:val="right" w:leader="dot" w:pos="9241"/>
        </w:tabs>
        <w:rPr>
          <w:b w:val="0"/>
          <w:bCs/>
          <w:color w:val="auto"/>
          <w:sz w:val="30"/>
          <w:szCs w:val="30"/>
          <w:highlight w:val="none"/>
        </w:rPr>
      </w:pPr>
      <w:r>
        <w:rPr>
          <w:rFonts w:ascii="宋体" w:hAnsi="宋体" w:cs="Calibri"/>
          <w:b w:val="0"/>
          <w:bCs/>
          <w:caps w:val="0"/>
          <w:color w:val="auto"/>
          <w:sz w:val="30"/>
          <w:szCs w:val="30"/>
          <w:highlight w:val="none"/>
        </w:rPr>
        <w:fldChar w:fldCharType="begin"/>
      </w:r>
      <w:r>
        <w:rPr>
          <w:rFonts w:ascii="宋体" w:hAnsi="宋体" w:cs="Calibri"/>
          <w:b w:val="0"/>
          <w:bCs/>
          <w:caps w:val="0"/>
          <w:color w:val="auto"/>
          <w:sz w:val="30"/>
          <w:szCs w:val="30"/>
          <w:highlight w:val="none"/>
        </w:rPr>
        <w:instrText xml:space="preserve"> HYPERLINK \l _Toc17494 </w:instrText>
      </w:r>
      <w:r>
        <w:rPr>
          <w:rFonts w:ascii="宋体" w:hAnsi="宋体" w:cs="Calibri"/>
          <w:b w:val="0"/>
          <w:bCs/>
          <w:caps w:val="0"/>
          <w:color w:val="auto"/>
          <w:sz w:val="30"/>
          <w:szCs w:val="30"/>
          <w:highlight w:val="none"/>
        </w:rPr>
        <w:fldChar w:fldCharType="separate"/>
      </w:r>
      <w:r>
        <w:rPr>
          <w:rFonts w:hint="eastAsia" w:ascii="宋体" w:hAnsi="宋体"/>
          <w:b w:val="0"/>
          <w:bCs/>
          <w:color w:val="auto"/>
          <w:sz w:val="30"/>
          <w:szCs w:val="30"/>
          <w:highlight w:val="none"/>
        </w:rPr>
        <w:t>第</w:t>
      </w:r>
      <w:r>
        <w:rPr>
          <w:rFonts w:hint="eastAsia" w:ascii="宋体" w:hAnsi="宋体"/>
          <w:b w:val="0"/>
          <w:bCs/>
          <w:color w:val="auto"/>
          <w:sz w:val="30"/>
          <w:szCs w:val="30"/>
          <w:highlight w:val="none"/>
          <w:lang w:val="en-US" w:eastAsia="zh-CN"/>
        </w:rPr>
        <w:t>六</w:t>
      </w:r>
      <w:r>
        <w:rPr>
          <w:rFonts w:hint="eastAsia" w:ascii="宋体" w:hAnsi="宋体"/>
          <w:b w:val="0"/>
          <w:bCs/>
          <w:color w:val="auto"/>
          <w:sz w:val="30"/>
          <w:szCs w:val="30"/>
          <w:highlight w:val="none"/>
        </w:rPr>
        <w:t>章 响应性文件部分格式</w:t>
      </w:r>
      <w:r>
        <w:rPr>
          <w:b w:val="0"/>
          <w:bCs/>
          <w:color w:val="auto"/>
          <w:sz w:val="30"/>
          <w:szCs w:val="30"/>
          <w:highlight w:val="none"/>
        </w:rPr>
        <w:tab/>
      </w:r>
      <w:r>
        <w:rPr>
          <w:b w:val="0"/>
          <w:bCs/>
          <w:color w:val="auto"/>
          <w:sz w:val="30"/>
          <w:szCs w:val="30"/>
          <w:highlight w:val="none"/>
        </w:rPr>
        <w:fldChar w:fldCharType="begin"/>
      </w:r>
      <w:r>
        <w:rPr>
          <w:b w:val="0"/>
          <w:bCs/>
          <w:color w:val="auto"/>
          <w:sz w:val="30"/>
          <w:szCs w:val="30"/>
          <w:highlight w:val="none"/>
        </w:rPr>
        <w:instrText xml:space="preserve"> PAGEREF _Toc17494 \h </w:instrText>
      </w:r>
      <w:r>
        <w:rPr>
          <w:b w:val="0"/>
          <w:bCs/>
          <w:color w:val="auto"/>
          <w:sz w:val="30"/>
          <w:szCs w:val="30"/>
          <w:highlight w:val="none"/>
        </w:rPr>
        <w:fldChar w:fldCharType="separate"/>
      </w:r>
      <w:r>
        <w:rPr>
          <w:b w:val="0"/>
          <w:bCs/>
          <w:color w:val="auto"/>
          <w:sz w:val="30"/>
          <w:szCs w:val="30"/>
          <w:highlight w:val="none"/>
        </w:rPr>
        <w:t>55</w:t>
      </w:r>
      <w:r>
        <w:rPr>
          <w:b w:val="0"/>
          <w:bCs/>
          <w:color w:val="auto"/>
          <w:sz w:val="30"/>
          <w:szCs w:val="30"/>
          <w:highlight w:val="none"/>
        </w:rPr>
        <w:fldChar w:fldCharType="end"/>
      </w:r>
      <w:r>
        <w:rPr>
          <w:rFonts w:ascii="宋体" w:hAnsi="宋体" w:cs="Calibri"/>
          <w:b w:val="0"/>
          <w:bCs/>
          <w:caps w:val="0"/>
          <w:color w:val="auto"/>
          <w:sz w:val="30"/>
          <w:szCs w:val="30"/>
          <w:highlight w:val="none"/>
        </w:rPr>
        <w:fldChar w:fldCharType="end"/>
      </w:r>
    </w:p>
    <w:p w14:paraId="1B45D822">
      <w:pPr>
        <w:pStyle w:val="12"/>
        <w:shd w:val="clear" w:color="auto" w:fill="auto"/>
        <w:tabs>
          <w:tab w:val="right" w:leader="dot" w:pos="9241"/>
        </w:tabs>
        <w:rPr>
          <w:b w:val="0"/>
          <w:bCs/>
          <w:color w:val="auto"/>
          <w:sz w:val="30"/>
          <w:szCs w:val="30"/>
          <w:highlight w:val="none"/>
        </w:rPr>
      </w:pPr>
    </w:p>
    <w:p w14:paraId="53F5F8F0">
      <w:pPr>
        <w:shd w:val="clear" w:color="auto" w:fill="auto"/>
        <w:spacing w:line="480" w:lineRule="auto"/>
        <w:rPr>
          <w:rFonts w:hint="eastAsia" w:ascii="宋体" w:hAnsi="宋体" w:cs="Calibri"/>
          <w:b/>
          <w:caps/>
          <w:color w:val="auto"/>
          <w:sz w:val="24"/>
          <w:highlight w:val="none"/>
        </w:rPr>
      </w:pPr>
      <w:r>
        <w:rPr>
          <w:rFonts w:ascii="宋体" w:hAnsi="宋体" w:cs="Calibri"/>
          <w:b w:val="0"/>
          <w:bCs/>
          <w:caps/>
          <w:color w:val="auto"/>
          <w:sz w:val="30"/>
          <w:szCs w:val="30"/>
          <w:highlight w:val="none"/>
        </w:rPr>
        <w:fldChar w:fldCharType="end"/>
      </w:r>
    </w:p>
    <w:p w14:paraId="58D46AEF">
      <w:pPr>
        <w:shd w:val="clear" w:color="auto" w:fill="auto"/>
        <w:jc w:val="center"/>
        <w:outlineLvl w:val="0"/>
        <w:rPr>
          <w:rFonts w:hint="eastAsia" w:ascii="宋体" w:hAnsi="宋体"/>
          <w:b/>
          <w:bCs/>
          <w:color w:val="auto"/>
          <w:sz w:val="32"/>
          <w:szCs w:val="32"/>
          <w:highlight w:val="none"/>
        </w:rPr>
      </w:pPr>
      <w:bookmarkStart w:id="4" w:name="_Toc6046"/>
      <w:r>
        <w:rPr>
          <w:rFonts w:hint="eastAsia" w:ascii="宋体" w:hAnsi="宋体"/>
          <w:b/>
          <w:bCs/>
          <w:color w:val="auto"/>
          <w:sz w:val="32"/>
          <w:szCs w:val="32"/>
          <w:highlight w:val="none"/>
        </w:rPr>
        <w:br w:type="page"/>
      </w:r>
      <w:r>
        <w:rPr>
          <w:rFonts w:hint="eastAsia" w:ascii="宋体" w:hAnsi="宋体"/>
          <w:b/>
          <w:bCs/>
          <w:color w:val="auto"/>
          <w:sz w:val="32"/>
          <w:szCs w:val="32"/>
          <w:highlight w:val="none"/>
        </w:rPr>
        <w:t>第一章  竞争性磋商公告</w:t>
      </w:r>
      <w:bookmarkEnd w:id="4"/>
    </w:p>
    <w:bookmarkEnd w:id="1"/>
    <w:bookmarkEnd w:id="2"/>
    <w:bookmarkEnd w:id="3"/>
    <w:p w14:paraId="3C6A09BF">
      <w:pPr>
        <w:shd w:val="clear" w:color="auto" w:fill="auto"/>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项目概况</w:t>
      </w:r>
    </w:p>
    <w:p w14:paraId="48544B4A">
      <w:pPr>
        <w:shd w:val="clear" w:color="auto" w:fill="auto"/>
        <w:spacing w:line="360" w:lineRule="auto"/>
        <w:ind w:firstLine="480" w:firstLineChars="200"/>
        <w:jc w:val="left"/>
        <w:rPr>
          <w:rFonts w:hint="eastAsia"/>
          <w:color w:val="auto"/>
          <w:sz w:val="24"/>
          <w:highlight w:val="none"/>
        </w:rPr>
      </w:pPr>
      <w:r>
        <w:rPr>
          <w:rFonts w:hint="eastAsia" w:ascii="宋体" w:hAnsi="宋体" w:cs="宋体"/>
          <w:color w:val="auto"/>
          <w:sz w:val="24"/>
          <w:szCs w:val="24"/>
          <w:highlight w:val="none"/>
          <w:lang w:eastAsia="zh-CN"/>
        </w:rPr>
        <w:t>灵宝市寺河乡人民政府2026年灵宝市寺河乡苹果数字化分选储运中心建设项目</w:t>
      </w:r>
      <w:r>
        <w:rPr>
          <w:rFonts w:hint="eastAsia" w:ascii="宋体" w:hAnsi="宋体" w:cs="宋体"/>
          <w:color w:val="auto"/>
          <w:sz w:val="24"/>
          <w:szCs w:val="24"/>
          <w:highlight w:val="none"/>
        </w:rPr>
        <w:t>招标项目的潜在投标人应在三门峡市公共资源交易中心网（网址：http://gzjy.smx.gov.cn/）；获取招标文件，并于</w:t>
      </w:r>
      <w:r>
        <w:rPr>
          <w:rFonts w:hint="eastAsia" w:ascii="宋体" w:hAnsi="宋体" w:cs="宋体"/>
          <w:color w:val="auto"/>
          <w:sz w:val="24"/>
          <w:szCs w:val="24"/>
          <w:highlight w:val="none"/>
          <w:lang w:eastAsia="zh-CN"/>
        </w:rPr>
        <w:t>2026年09月29日08时30分</w:t>
      </w:r>
      <w:r>
        <w:rPr>
          <w:rFonts w:hint="eastAsia" w:ascii="宋体" w:hAnsi="宋体" w:cs="宋体"/>
          <w:color w:val="auto"/>
          <w:sz w:val="24"/>
          <w:szCs w:val="24"/>
          <w:highlight w:val="none"/>
        </w:rPr>
        <w:t>（北京时间）前递交响应文件。</w:t>
      </w:r>
    </w:p>
    <w:p w14:paraId="10EC4823">
      <w:pPr>
        <w:widowControl/>
        <w:shd w:val="clear" w:color="auto" w:fill="auto"/>
        <w:spacing w:line="360" w:lineRule="auto"/>
        <w:ind w:firstLine="480" w:firstLineChars="200"/>
        <w:jc w:val="left"/>
        <w:rPr>
          <w:color w:val="auto"/>
          <w:sz w:val="24"/>
          <w:highlight w:val="none"/>
        </w:rPr>
      </w:pPr>
      <w:r>
        <w:rPr>
          <w:rFonts w:hint="eastAsia"/>
          <w:color w:val="auto"/>
          <w:sz w:val="24"/>
          <w:highlight w:val="none"/>
        </w:rPr>
        <w:t>一、项目基本情况</w:t>
      </w:r>
    </w:p>
    <w:p w14:paraId="6B752D00">
      <w:pPr>
        <w:widowControl/>
        <w:shd w:val="clear" w:color="auto" w:fill="auto"/>
        <w:spacing w:line="360" w:lineRule="auto"/>
        <w:ind w:firstLine="480" w:firstLineChars="200"/>
        <w:jc w:val="left"/>
        <w:rPr>
          <w:rFonts w:hint="eastAsia" w:ascii="宋体" w:hAnsi="宋体" w:eastAsia="宋体"/>
          <w:color w:val="auto"/>
          <w:sz w:val="24"/>
          <w:highlight w:val="none"/>
          <w:lang w:val="en-US" w:eastAsia="zh-CN"/>
        </w:rPr>
      </w:pPr>
      <w:r>
        <w:rPr>
          <w:rFonts w:hint="eastAsia" w:ascii="宋体" w:hAnsi="宋体"/>
          <w:color w:val="auto"/>
          <w:sz w:val="24"/>
          <w:highlight w:val="none"/>
        </w:rPr>
        <w:t>1、项目编号：</w:t>
      </w:r>
      <w:r>
        <w:rPr>
          <w:rFonts w:hint="eastAsia" w:ascii="宋体" w:hAnsi="宋体"/>
          <w:color w:val="auto"/>
          <w:sz w:val="24"/>
          <w:highlight w:val="none"/>
          <w:lang w:val="en-US" w:eastAsia="zh-CN"/>
        </w:rPr>
        <w:t>LBGZ[2026]186-ZC147</w:t>
      </w:r>
      <w:r>
        <w:rPr>
          <w:rFonts w:hint="eastAsia" w:ascii="宋体" w:hAnsi="宋体" w:eastAsia="宋体" w:cs="Times New Roman"/>
          <w:color w:val="auto"/>
          <w:sz w:val="24"/>
          <w:highlight w:val="none"/>
        </w:rPr>
        <w:t>、</w:t>
      </w:r>
      <w:r>
        <w:rPr>
          <w:rFonts w:hint="eastAsia" w:ascii="宋体" w:hAnsi="宋体" w:eastAsia="宋体" w:cs="Times New Roman"/>
          <w:color w:val="auto"/>
          <w:sz w:val="24"/>
          <w:highlight w:val="none"/>
          <w:lang w:eastAsia="zh-CN"/>
        </w:rPr>
        <w:t>灵宝竞磋采购-2026-109</w:t>
      </w:r>
    </w:p>
    <w:p w14:paraId="71469E73">
      <w:pPr>
        <w:widowControl/>
        <w:shd w:val="clear" w:color="auto" w:fill="auto"/>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2、项目名称：</w:t>
      </w:r>
      <w:bookmarkStart w:id="5" w:name="OLE_LINK4"/>
      <w:bookmarkStart w:id="6" w:name="OLE_LINK3"/>
      <w:r>
        <w:rPr>
          <w:rFonts w:hint="eastAsia" w:ascii="宋体" w:hAnsi="宋体"/>
          <w:color w:val="auto"/>
          <w:sz w:val="24"/>
          <w:highlight w:val="none"/>
          <w:lang w:eastAsia="zh-CN"/>
        </w:rPr>
        <w:t>灵宝市寺河乡人民政府2026年灵宝市寺河乡苹果数字化分选储运中心建设项目</w:t>
      </w:r>
    </w:p>
    <w:bookmarkEnd w:id="5"/>
    <w:bookmarkEnd w:id="6"/>
    <w:p w14:paraId="09F89F5D">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3、采购方式：竞争性磋商</w:t>
      </w:r>
    </w:p>
    <w:p w14:paraId="79D21B8C">
      <w:pPr>
        <w:widowControl/>
        <w:shd w:val="clear" w:color="auto" w:fill="auto"/>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color w:val="auto"/>
          <w:sz w:val="24"/>
          <w:highlight w:val="none"/>
        </w:rPr>
        <w:t>4、预算金额：</w:t>
      </w:r>
      <w:r>
        <w:rPr>
          <w:rFonts w:hint="eastAsia" w:ascii="宋体" w:hAnsi="宋体" w:eastAsia="宋体" w:cs="Times New Roman"/>
          <w:color w:val="auto"/>
          <w:sz w:val="24"/>
          <w:highlight w:val="none"/>
          <w:lang w:val="en-US" w:eastAsia="zh-CN"/>
        </w:rPr>
        <w:t>346.005081</w:t>
      </w:r>
      <w:r>
        <w:rPr>
          <w:rFonts w:hint="eastAsia" w:ascii="宋体" w:hAnsi="宋体" w:eastAsia="宋体" w:cs="Times New Roman"/>
          <w:color w:val="auto"/>
          <w:sz w:val="24"/>
          <w:highlight w:val="none"/>
        </w:rPr>
        <w:t>万元</w:t>
      </w:r>
    </w:p>
    <w:p w14:paraId="19AF579F">
      <w:pPr>
        <w:widowControl/>
        <w:shd w:val="clear" w:color="auto" w:fill="auto"/>
        <w:spacing w:line="360" w:lineRule="auto"/>
        <w:ind w:left="-105" w:leftChars="-50" w:firstLine="960" w:firstLineChars="400"/>
        <w:jc w:val="left"/>
        <w:rPr>
          <w:rFonts w:hint="eastAsia" w:ascii="宋体" w:hAnsi="宋体" w:eastAsia="宋体" w:cs="Times New Roman"/>
          <w:color w:val="auto"/>
          <w:sz w:val="24"/>
          <w:highlight w:val="none"/>
          <w:lang w:val="en-US" w:eastAsia="zh-CN"/>
        </w:rPr>
      </w:pPr>
      <w:r>
        <w:rPr>
          <w:rFonts w:hint="eastAsia" w:ascii="宋体" w:hAnsi="宋体"/>
          <w:color w:val="auto"/>
          <w:sz w:val="24"/>
          <w:highlight w:val="none"/>
        </w:rPr>
        <w:t>最高限价：</w:t>
      </w:r>
      <w:r>
        <w:rPr>
          <w:rFonts w:hint="eastAsia" w:ascii="宋体" w:hAnsi="宋体" w:eastAsia="宋体" w:cs="Times New Roman"/>
          <w:color w:val="auto"/>
          <w:sz w:val="24"/>
          <w:highlight w:val="none"/>
          <w:lang w:val="en-US" w:eastAsia="zh-CN"/>
        </w:rPr>
        <w:t>346.005081万元</w:t>
      </w:r>
    </w:p>
    <w:p w14:paraId="2C2BE8F0">
      <w:pPr>
        <w:widowControl/>
        <w:numPr>
          <w:ilvl w:val="0"/>
          <w:numId w:val="1"/>
        </w:numPr>
        <w:shd w:val="clear" w:color="auto" w:fill="auto"/>
        <w:spacing w:line="360" w:lineRule="auto"/>
        <w:ind w:firstLine="480" w:firstLineChars="200"/>
        <w:jc w:val="left"/>
        <w:rPr>
          <w:rFonts w:hint="eastAsia" w:ascii="宋体" w:hAnsi="宋体"/>
          <w:color w:val="auto"/>
          <w:sz w:val="24"/>
          <w:highlight w:val="none"/>
          <w:lang w:eastAsia="zh-CN"/>
        </w:rPr>
      </w:pPr>
      <w:r>
        <w:rPr>
          <w:rFonts w:hint="eastAsia" w:ascii="宋体" w:hAnsi="宋体"/>
          <w:color w:val="auto"/>
          <w:sz w:val="24"/>
          <w:highlight w:val="none"/>
        </w:rPr>
        <w:t>项目概况：</w:t>
      </w:r>
      <w:bookmarkStart w:id="7" w:name="OLE_LINK6"/>
      <w:bookmarkStart w:id="8" w:name="OLE_LINK8"/>
      <w:r>
        <w:rPr>
          <w:rFonts w:hint="eastAsia" w:ascii="宋体" w:hAnsi="宋体"/>
          <w:color w:val="auto"/>
          <w:sz w:val="24"/>
          <w:highlight w:val="none"/>
          <w:lang w:eastAsia="zh-CN"/>
        </w:rPr>
        <w:t>灵宝市寺河乡人民政府2026年灵宝市寺河乡苹果数字化分选储运中心建设项目</w:t>
      </w:r>
      <w:bookmarkEnd w:id="7"/>
      <w:bookmarkEnd w:id="8"/>
      <w:r>
        <w:rPr>
          <w:rFonts w:hint="eastAsia" w:ascii="宋体" w:hAnsi="宋体"/>
          <w:color w:val="auto"/>
          <w:sz w:val="24"/>
          <w:highlight w:val="none"/>
          <w:lang w:eastAsia="zh-CN"/>
        </w:rPr>
        <w:t>，主要内容包括寺河乡苹果项目数字化分选储运中心的建筑工程、钢结构工程、安装工程等；</w:t>
      </w:r>
    </w:p>
    <w:p w14:paraId="1157A67B">
      <w:pPr>
        <w:widowControl/>
        <w:numPr>
          <w:ilvl w:val="0"/>
          <w:numId w:val="1"/>
        </w:numPr>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招标范围：本项目竞争性磋商文件、图纸、工程量清单及答疑纪要等列明的所有内容。</w:t>
      </w:r>
    </w:p>
    <w:p w14:paraId="6ECD09F4">
      <w:pPr>
        <w:widowControl/>
        <w:shd w:val="clear" w:color="auto" w:fill="auto"/>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7</w:t>
      </w:r>
      <w:r>
        <w:rPr>
          <w:rFonts w:ascii="宋体" w:hAnsi="宋体"/>
          <w:color w:val="auto"/>
          <w:sz w:val="24"/>
          <w:highlight w:val="none"/>
        </w:rPr>
        <w:t>、资金来源：</w:t>
      </w:r>
      <w:r>
        <w:rPr>
          <w:rFonts w:hint="eastAsia" w:ascii="宋体" w:hAnsi="宋体"/>
          <w:color w:val="auto"/>
          <w:sz w:val="24"/>
          <w:highlight w:val="none"/>
        </w:rPr>
        <w:t>财政</w:t>
      </w:r>
      <w:r>
        <w:rPr>
          <w:rFonts w:ascii="宋体" w:hAnsi="宋体"/>
          <w:color w:val="auto"/>
          <w:sz w:val="24"/>
          <w:highlight w:val="none"/>
        </w:rPr>
        <w:t>资金</w:t>
      </w:r>
      <w:r>
        <w:rPr>
          <w:rFonts w:hint="eastAsia" w:ascii="宋体" w:hAnsi="宋体"/>
          <w:color w:val="auto"/>
          <w:sz w:val="24"/>
          <w:highlight w:val="none"/>
          <w:lang w:eastAsia="zh-CN"/>
        </w:rPr>
        <w:t>；</w:t>
      </w:r>
    </w:p>
    <w:p w14:paraId="17F1C3A6">
      <w:pPr>
        <w:widowControl/>
        <w:shd w:val="clear" w:color="auto" w:fill="auto"/>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8、质量要求：达到国家现行建设工程施工质量验收规范合格标准</w:t>
      </w:r>
      <w:r>
        <w:rPr>
          <w:rFonts w:hint="eastAsia" w:ascii="宋体" w:hAnsi="宋体"/>
          <w:color w:val="auto"/>
          <w:sz w:val="24"/>
          <w:highlight w:val="none"/>
          <w:lang w:eastAsia="zh-CN"/>
        </w:rPr>
        <w:t>；</w:t>
      </w:r>
    </w:p>
    <w:p w14:paraId="01CB7764">
      <w:pPr>
        <w:widowControl/>
        <w:shd w:val="clear" w:color="auto" w:fill="auto"/>
        <w:spacing w:line="360" w:lineRule="auto"/>
        <w:ind w:firstLine="480" w:firstLineChars="200"/>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9、计划工期：</w:t>
      </w:r>
      <w:r>
        <w:rPr>
          <w:rFonts w:hint="eastAsia" w:ascii="宋体" w:hAnsi="宋体" w:eastAsia="宋体" w:cs="Times New Roman"/>
          <w:color w:val="auto"/>
          <w:sz w:val="24"/>
          <w:highlight w:val="none"/>
          <w:lang w:val="en-US" w:eastAsia="zh-CN"/>
        </w:rPr>
        <w:t>60日历天</w:t>
      </w:r>
      <w:r>
        <w:rPr>
          <w:rFonts w:hint="eastAsia" w:ascii="宋体" w:hAnsi="宋体" w:eastAsia="宋体" w:cs="Times New Roman"/>
          <w:color w:val="auto"/>
          <w:sz w:val="24"/>
          <w:highlight w:val="none"/>
          <w:lang w:eastAsia="zh-CN"/>
        </w:rPr>
        <w:t>；</w:t>
      </w:r>
    </w:p>
    <w:p w14:paraId="2A895186">
      <w:pPr>
        <w:widowControl/>
        <w:shd w:val="clear" w:color="auto" w:fill="auto"/>
        <w:spacing w:line="360" w:lineRule="auto"/>
        <w:ind w:firstLine="480" w:firstLineChars="200"/>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10、是否接受进口产品：否</w:t>
      </w:r>
      <w:r>
        <w:rPr>
          <w:rFonts w:hint="eastAsia" w:ascii="宋体" w:hAnsi="宋体" w:eastAsia="宋体" w:cs="Times New Roman"/>
          <w:color w:val="auto"/>
          <w:sz w:val="24"/>
          <w:highlight w:val="none"/>
          <w:lang w:eastAsia="zh-CN"/>
        </w:rPr>
        <w:t>；</w:t>
      </w:r>
    </w:p>
    <w:p w14:paraId="0B77C2F6">
      <w:pPr>
        <w:widowControl/>
        <w:shd w:val="clear" w:color="auto" w:fill="auto"/>
        <w:spacing w:line="360" w:lineRule="auto"/>
        <w:ind w:firstLine="480" w:firstLineChars="200"/>
        <w:jc w:val="left"/>
        <w:rPr>
          <w:rFonts w:hint="eastAsia" w:ascii="宋体" w:hAnsi="宋体" w:eastAsia="宋体" w:cs="Times New Roman"/>
          <w:color w:val="auto"/>
          <w:sz w:val="24"/>
          <w:highlight w:val="none"/>
          <w:lang w:eastAsia="zh-CN"/>
        </w:rPr>
      </w:pPr>
      <w:r>
        <w:rPr>
          <w:rFonts w:hint="eastAsia" w:ascii="宋体" w:hAnsi="宋体" w:eastAsia="宋体" w:cs="Times New Roman"/>
          <w:color w:val="auto"/>
          <w:sz w:val="24"/>
          <w:highlight w:val="none"/>
        </w:rPr>
        <w:t>11</w:t>
      </w:r>
      <w:r>
        <w:rPr>
          <w:rFonts w:hint="eastAsia" w:ascii="宋体" w:hAnsi="宋体" w:eastAsia="宋体" w:cs="Times New Roman"/>
          <w:color w:val="auto"/>
          <w:sz w:val="24"/>
          <w:highlight w:val="none"/>
          <w:lang w:eastAsia="zh-CN"/>
        </w:rPr>
        <w:t>、</w:t>
      </w:r>
      <w:r>
        <w:rPr>
          <w:rFonts w:hint="eastAsia" w:ascii="宋体" w:hAnsi="宋体" w:eastAsia="宋体" w:cs="Times New Roman"/>
          <w:color w:val="auto"/>
          <w:sz w:val="24"/>
          <w:highlight w:val="none"/>
        </w:rPr>
        <w:t>是否专门面向中小企业：</w:t>
      </w:r>
      <w:r>
        <w:rPr>
          <w:rFonts w:hint="eastAsia" w:ascii="宋体" w:hAnsi="宋体" w:eastAsia="宋体" w:cs="Times New Roman"/>
          <w:color w:val="auto"/>
          <w:sz w:val="24"/>
          <w:highlight w:val="none"/>
          <w:lang w:val="en-US" w:eastAsia="zh-CN"/>
        </w:rPr>
        <w:t>是</w:t>
      </w:r>
      <w:r>
        <w:rPr>
          <w:rFonts w:hint="eastAsia" w:ascii="宋体" w:hAnsi="宋体" w:eastAsia="宋体" w:cs="Times New Roman"/>
          <w:color w:val="auto"/>
          <w:sz w:val="24"/>
          <w:highlight w:val="none"/>
          <w:lang w:eastAsia="zh-CN"/>
        </w:rPr>
        <w:t>；</w:t>
      </w:r>
    </w:p>
    <w:p w14:paraId="13648A27">
      <w:pPr>
        <w:widowControl/>
        <w:shd w:val="clear" w:color="auto" w:fill="auto"/>
        <w:spacing w:line="360" w:lineRule="auto"/>
        <w:ind w:firstLine="480" w:firstLineChars="200"/>
        <w:jc w:val="left"/>
        <w:rPr>
          <w:color w:val="auto"/>
          <w:sz w:val="24"/>
          <w:highlight w:val="none"/>
        </w:rPr>
      </w:pPr>
      <w:r>
        <w:rPr>
          <w:rFonts w:hint="eastAsia"/>
          <w:color w:val="auto"/>
          <w:sz w:val="24"/>
          <w:highlight w:val="none"/>
        </w:rPr>
        <w:t>二、申请人资格要求：</w:t>
      </w:r>
      <w:r>
        <w:rPr>
          <w:color w:val="auto"/>
          <w:sz w:val="24"/>
          <w:highlight w:val="none"/>
        </w:rPr>
        <w:t xml:space="preserve"> </w:t>
      </w:r>
    </w:p>
    <w:p w14:paraId="442BC8FB">
      <w:pPr>
        <w:widowControl/>
        <w:shd w:val="clear" w:color="auto" w:fill="auto"/>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1、满足《中华人民共和国政府采购法》第二十二条规定；</w:t>
      </w:r>
    </w:p>
    <w:p w14:paraId="1F0B4A54">
      <w:pPr>
        <w:widowControl/>
        <w:shd w:val="clear" w:color="auto" w:fill="auto"/>
        <w:spacing w:line="360" w:lineRule="auto"/>
        <w:ind w:firstLine="480" w:firstLineChars="200"/>
        <w:jc w:val="left"/>
        <w:rPr>
          <w:rFonts w:hint="eastAsia" w:ascii="宋体" w:hAnsi="宋体" w:eastAsia="宋体" w:cs="Times New Roman"/>
          <w:color w:val="auto"/>
          <w:sz w:val="24"/>
          <w:highlight w:val="none"/>
        </w:rPr>
      </w:pPr>
      <w:r>
        <w:rPr>
          <w:rFonts w:hint="eastAsia" w:ascii="宋体" w:hAnsi="宋体" w:eastAsia="宋体" w:cs="Times New Roman"/>
          <w:color w:val="auto"/>
          <w:sz w:val="24"/>
          <w:highlight w:val="none"/>
        </w:rPr>
        <w:t>2、落实政府采购政策满足的资格要求：根据《政府采购促进中小企业发展管理办法》（财库〔2020〕46号）规定，本项目专门面向中小企业采购,同时供应商须提供《中小企业声明函》；</w:t>
      </w:r>
    </w:p>
    <w:p w14:paraId="4935C3CD">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3、本项目的特定资格要求</w:t>
      </w:r>
    </w:p>
    <w:p w14:paraId="1FEB896A">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w:t>
      </w:r>
      <w:r>
        <w:rPr>
          <w:rFonts w:ascii="宋体" w:hAnsi="宋体"/>
          <w:color w:val="auto"/>
          <w:sz w:val="24"/>
          <w:highlight w:val="none"/>
        </w:rPr>
        <w:t>.1</w:t>
      </w:r>
      <w:r>
        <w:rPr>
          <w:rFonts w:hint="eastAsia" w:ascii="宋体" w:hAnsi="宋体"/>
          <w:color w:val="auto"/>
          <w:sz w:val="24"/>
          <w:highlight w:val="none"/>
        </w:rPr>
        <w:t xml:space="preserve"> </w:t>
      </w:r>
      <w:r>
        <w:rPr>
          <w:rFonts w:hint="eastAsia" w:ascii="宋体" w:hAnsi="宋体"/>
          <w:color w:val="auto"/>
          <w:sz w:val="24"/>
          <w:highlight w:val="none"/>
          <w:lang w:eastAsia="zh-CN"/>
        </w:rPr>
        <w:t>供应商须具有独立承担民事责任的能力（提供有效的企业营业执照或其他证明材料）</w:t>
      </w:r>
      <w:r>
        <w:rPr>
          <w:rFonts w:ascii="宋体" w:hAnsi="宋体"/>
          <w:color w:val="auto"/>
          <w:sz w:val="24"/>
          <w:highlight w:val="none"/>
        </w:rPr>
        <w:t>；</w:t>
      </w:r>
    </w:p>
    <w:p w14:paraId="36ACC35D">
      <w:pPr>
        <w:shd w:val="clear" w:color="auto" w:fill="auto"/>
        <w:spacing w:after="0" w:line="540" w:lineRule="exact"/>
        <w:ind w:firstLine="480" w:firstLineChars="200"/>
        <w:rPr>
          <w:rFonts w:ascii="宋体" w:hAnsi="宋体" w:eastAsia="宋体" w:cs="宋体"/>
          <w:color w:val="auto"/>
          <w:sz w:val="24"/>
          <w:szCs w:val="24"/>
          <w:highlight w:val="none"/>
        </w:rPr>
      </w:pPr>
      <w:r>
        <w:rPr>
          <w:rFonts w:hint="eastAsia" w:ascii="宋体" w:hAnsi="宋体"/>
          <w:color w:val="auto"/>
          <w:sz w:val="24"/>
          <w:highlight w:val="none"/>
        </w:rPr>
        <w:t>3</w:t>
      </w:r>
      <w:r>
        <w:rPr>
          <w:rFonts w:ascii="宋体" w:hAnsi="宋体"/>
          <w:color w:val="auto"/>
          <w:sz w:val="24"/>
          <w:highlight w:val="none"/>
        </w:rPr>
        <w:t>.2</w:t>
      </w:r>
      <w:r>
        <w:rPr>
          <w:rFonts w:hint="eastAsia" w:ascii="宋体" w:hAnsi="宋体"/>
          <w:color w:val="auto"/>
          <w:sz w:val="24"/>
          <w:highlight w:val="none"/>
        </w:rPr>
        <w:t xml:space="preserve"> 供应商须具备</w:t>
      </w:r>
      <w:r>
        <w:rPr>
          <w:rFonts w:hint="eastAsia" w:ascii="宋体" w:hAnsi="宋体"/>
          <w:color w:val="auto"/>
          <w:sz w:val="24"/>
          <w:highlight w:val="none"/>
          <w:lang w:eastAsia="zh-CN"/>
        </w:rPr>
        <w:t>建设行政主管部门核发的建筑工程施工总承包叁级及以上资质</w:t>
      </w:r>
      <w:r>
        <w:rPr>
          <w:rFonts w:hint="eastAsia" w:ascii="宋体" w:hAnsi="宋体" w:eastAsia="宋体" w:cs="宋体"/>
          <w:color w:val="auto"/>
          <w:sz w:val="24"/>
          <w:szCs w:val="24"/>
          <w:highlight w:val="none"/>
        </w:rPr>
        <w:t>，具有有效的安全生产许可证</w:t>
      </w:r>
      <w:r>
        <w:rPr>
          <w:rFonts w:hint="eastAsia" w:ascii="宋体" w:hAnsi="宋体" w:eastAsia="宋体" w:cs="宋体"/>
          <w:color w:val="auto"/>
          <w:sz w:val="24"/>
          <w:szCs w:val="24"/>
          <w:highlight w:val="none"/>
          <w:lang w:eastAsia="zh-CN"/>
        </w:rPr>
        <w:t>，并在人员、设备、资金等方面具有相应的施工能力（提供承诺书，格式自拟）</w:t>
      </w:r>
      <w:r>
        <w:rPr>
          <w:rFonts w:hint="eastAsia" w:ascii="宋体" w:hAnsi="宋体" w:eastAsia="宋体" w:cs="宋体"/>
          <w:color w:val="auto"/>
          <w:sz w:val="24"/>
          <w:szCs w:val="24"/>
          <w:highlight w:val="none"/>
        </w:rPr>
        <w:t>；</w:t>
      </w:r>
    </w:p>
    <w:p w14:paraId="13840E08">
      <w:pPr>
        <w:keepNext w:val="0"/>
        <w:keepLines w:val="0"/>
        <w:pageBreakBefore w:val="0"/>
        <w:widowControl w:val="0"/>
        <w:shd w:val="clear" w:color="auto" w:fill="auto"/>
        <w:kinsoku/>
        <w:wordWrap w:val="0"/>
        <w:overflowPunct/>
        <w:topLinePunct/>
        <w:autoSpaceDE/>
        <w:autoSpaceDN/>
        <w:bidi w:val="0"/>
        <w:adjustRightInd/>
        <w:spacing w:line="360" w:lineRule="auto"/>
        <w:ind w:left="0" w:leftChars="0" w:firstLine="482" w:firstLineChars="200"/>
        <w:jc w:val="left"/>
        <w:textAlignment w:val="auto"/>
        <w:rPr>
          <w:rFonts w:hint="eastAsia" w:ascii="宋体" w:hAnsi="宋体"/>
          <w:color w:val="auto"/>
          <w:sz w:val="24"/>
          <w:highlight w:val="none"/>
        </w:rPr>
      </w:pPr>
      <w:r>
        <w:rPr>
          <w:rFonts w:hint="eastAsia" w:ascii="宋体" w:hAnsi="宋体" w:eastAsia="宋体" w:cs="宋体"/>
          <w:b/>
          <w:bCs/>
          <w:i w:val="0"/>
          <w:iCs w:val="0"/>
          <w:caps w:val="0"/>
          <w:color w:val="auto"/>
          <w:spacing w:val="0"/>
          <w:sz w:val="24"/>
          <w:szCs w:val="24"/>
          <w:highlight w:val="none"/>
        </w:rPr>
        <w:t>注：根据《河南省住房和城乡建设厅关于进一步规范建设工程企业资质管理的通知》豫建行规〔2024〕7号文件规定，被</w:t>
      </w:r>
      <w:r>
        <w:rPr>
          <w:rFonts w:hint="eastAsia" w:ascii="宋体" w:hAnsi="宋体" w:eastAsia="宋体" w:cs="宋体"/>
          <w:b/>
          <w:bCs/>
          <w:i w:val="0"/>
          <w:iCs w:val="0"/>
          <w:caps w:val="0"/>
          <w:color w:val="auto"/>
          <w:spacing w:val="0"/>
          <w:sz w:val="24"/>
          <w:szCs w:val="24"/>
          <w:highlight w:val="none"/>
          <w:lang w:eastAsia="zh-CN"/>
        </w:rPr>
        <w:t>全国或河南省</w:t>
      </w:r>
      <w:r>
        <w:rPr>
          <w:rFonts w:hint="eastAsia" w:ascii="宋体" w:hAnsi="宋体" w:eastAsia="宋体" w:cs="宋体"/>
          <w:b/>
          <w:bCs/>
          <w:i w:val="0"/>
          <w:iCs w:val="0"/>
          <w:caps w:val="0"/>
          <w:color w:val="auto"/>
          <w:spacing w:val="0"/>
          <w:sz w:val="24"/>
          <w:szCs w:val="24"/>
          <w:highlight w:val="none"/>
        </w:rPr>
        <w:t>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p w14:paraId="3E2CE6FB">
      <w:pPr>
        <w:widowControl/>
        <w:shd w:val="clear" w:color="auto" w:fill="auto"/>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3</w:t>
      </w:r>
      <w:r>
        <w:rPr>
          <w:rFonts w:ascii="宋体" w:hAnsi="宋体"/>
          <w:color w:val="auto"/>
          <w:sz w:val="24"/>
          <w:highlight w:val="none"/>
        </w:rPr>
        <w:t>.3</w:t>
      </w:r>
      <w:r>
        <w:rPr>
          <w:rFonts w:hint="eastAsia" w:ascii="宋体" w:hAnsi="宋体"/>
          <w:color w:val="auto"/>
          <w:sz w:val="24"/>
          <w:highlight w:val="none"/>
          <w:lang w:val="en-US" w:eastAsia="zh-CN"/>
        </w:rPr>
        <w:t xml:space="preserve"> </w:t>
      </w:r>
      <w:r>
        <w:rPr>
          <w:rFonts w:ascii="宋体" w:hAnsi="宋体"/>
          <w:color w:val="auto"/>
          <w:sz w:val="24"/>
          <w:highlight w:val="none"/>
        </w:rPr>
        <w:t>拟派项目经理应具备</w:t>
      </w:r>
      <w:r>
        <w:rPr>
          <w:rFonts w:hint="eastAsia" w:ascii="宋体" w:hAnsi="宋体" w:eastAsia="宋体" w:cs="宋体"/>
          <w:color w:val="auto"/>
          <w:sz w:val="24"/>
          <w:szCs w:val="24"/>
          <w:highlight w:val="none"/>
          <w:lang w:eastAsia="zh-CN"/>
        </w:rPr>
        <w:t>建筑工程专业</w:t>
      </w:r>
      <w:r>
        <w:rPr>
          <w:rFonts w:hint="eastAsia" w:ascii="宋体" w:hAnsi="宋体" w:eastAsia="宋体" w:cs="宋体"/>
          <w:color w:val="auto"/>
          <w:sz w:val="24"/>
          <w:szCs w:val="24"/>
          <w:highlight w:val="none"/>
        </w:rPr>
        <w:t>贰级（含贰级）及以上注册建造师资格</w:t>
      </w:r>
      <w:r>
        <w:rPr>
          <w:rFonts w:hint="eastAsia" w:ascii="宋体" w:hAnsi="宋体"/>
          <w:color w:val="auto"/>
          <w:sz w:val="24"/>
          <w:highlight w:val="none"/>
        </w:rPr>
        <w:t>，</w:t>
      </w:r>
      <w:r>
        <w:rPr>
          <w:rFonts w:hint="eastAsia" w:ascii="宋体" w:hAnsi="宋体" w:eastAsia="宋体" w:cs="宋体"/>
          <w:color w:val="auto"/>
          <w:sz w:val="24"/>
          <w:szCs w:val="24"/>
          <w:highlight w:val="none"/>
        </w:rPr>
        <w:t>须提供注册建造师证书、安全生产考核合格证书</w:t>
      </w:r>
      <w:r>
        <w:rPr>
          <w:rFonts w:hint="eastAsia" w:ascii="宋体" w:hAnsi="宋体" w:eastAsia="宋体" w:cs="宋体"/>
          <w:color w:val="auto"/>
          <w:sz w:val="24"/>
          <w:szCs w:val="24"/>
          <w:highlight w:val="none"/>
          <w:lang w:eastAsia="zh-CN"/>
        </w:rPr>
        <w:t>，</w:t>
      </w:r>
      <w:r>
        <w:rPr>
          <w:rFonts w:hint="eastAsia" w:ascii="宋体" w:hAnsi="宋体"/>
          <w:color w:val="auto"/>
          <w:sz w:val="24"/>
          <w:highlight w:val="none"/>
        </w:rPr>
        <w:t>且未在其他在建工程项目中担任项目经理，</w:t>
      </w:r>
      <w:r>
        <w:rPr>
          <w:rFonts w:hint="eastAsia" w:ascii="宋体" w:hAnsi="宋体"/>
          <w:color w:val="auto"/>
          <w:sz w:val="24"/>
          <w:highlight w:val="none"/>
          <w:lang w:eastAsia="zh-CN"/>
        </w:rPr>
        <w:t>且须提供近期单位社保证明（以社保网络查询或社保中心出具的证明为准，新成立企业从成立之日起计算）；</w:t>
      </w:r>
    </w:p>
    <w:p w14:paraId="551114B5">
      <w:pPr>
        <w:widowControl/>
        <w:shd w:val="clear" w:color="auto" w:fill="auto"/>
        <w:spacing w:line="360" w:lineRule="auto"/>
        <w:ind w:firstLine="480" w:firstLineChars="200"/>
        <w:jc w:val="left"/>
        <w:rPr>
          <w:rFonts w:hint="eastAsia" w:ascii="宋体" w:hAnsi="宋体" w:eastAsia="宋体"/>
          <w:color w:val="auto"/>
          <w:sz w:val="24"/>
          <w:highlight w:val="none"/>
          <w:lang w:eastAsia="zh-CN"/>
        </w:rPr>
      </w:pPr>
      <w:r>
        <w:rPr>
          <w:rFonts w:hint="eastAsia" w:ascii="宋体" w:hAnsi="宋体"/>
          <w:color w:val="auto"/>
          <w:sz w:val="24"/>
          <w:highlight w:val="none"/>
        </w:rPr>
        <w:t>3.4</w:t>
      </w:r>
      <w:r>
        <w:rPr>
          <w:rFonts w:hint="eastAsia" w:ascii="宋体" w:hAnsi="宋体"/>
          <w:color w:val="auto"/>
          <w:sz w:val="24"/>
          <w:highlight w:val="none"/>
          <w:lang w:val="en-US" w:eastAsia="zh-CN"/>
        </w:rPr>
        <w:t xml:space="preserve"> </w:t>
      </w:r>
      <w:r>
        <w:rPr>
          <w:rFonts w:hint="eastAsia" w:ascii="宋体" w:hAnsi="宋体"/>
          <w:color w:val="auto"/>
          <w:sz w:val="24"/>
          <w:highlight w:val="none"/>
          <w:lang w:eastAsia="zh-CN"/>
        </w:rPr>
        <w:t>供应商自行出具本企业的无商业贿赂及无不正当竞争行为的承诺书；</w:t>
      </w:r>
    </w:p>
    <w:p w14:paraId="042F7063">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3.5 信誉要求：根据《关于在政府采购活动中查询及使用信用记录有关问题的通知》(财库[2016]125号)的规定，企业没有被列入“中国执行信息公开网”网站的“失信被执行人”、“信用中国”网站的“重大税收违法失信主体”、“政府采购严重违法失信行为记录名单”及“中国政府采购网”网站的“政府采购严重违法失信行为记录名单”。【查询渠道：“中国执行信息公开网”网站（http://zxgk.court.gov.cn/shixin）“信用中国”网站（www.creditchina.gov.cn）、中国政府采购网（www.ccgp.gov.cn），提供网站的查询信息截图，信用报告，</w:t>
      </w:r>
      <w:r>
        <w:rPr>
          <w:rFonts w:hint="eastAsia" w:ascii="宋体" w:hAnsi="宋体" w:cs="宋体"/>
          <w:color w:val="auto"/>
          <w:kern w:val="0"/>
          <w:sz w:val="24"/>
          <w:highlight w:val="none"/>
          <w:shd w:val="clear" w:color="auto" w:fill="FFFFFF"/>
        </w:rPr>
        <w:t>查询起始日期为本项目公告发布之后，查询截止时间为开标时间同一时间</w:t>
      </w:r>
      <w:r>
        <w:rPr>
          <w:rFonts w:hint="eastAsia" w:ascii="宋体" w:hAnsi="宋体"/>
          <w:color w:val="auto"/>
          <w:sz w:val="24"/>
          <w:highlight w:val="none"/>
        </w:rPr>
        <w:t>）；</w:t>
      </w:r>
    </w:p>
    <w:p w14:paraId="30A11AC1">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3.6</w:t>
      </w:r>
      <w:r>
        <w:rPr>
          <w:rFonts w:hint="eastAsia" w:ascii="宋体" w:hAnsi="宋体"/>
          <w:color w:val="auto"/>
          <w:sz w:val="24"/>
          <w:highlight w:val="none"/>
          <w:lang w:val="en-US" w:eastAsia="zh-CN"/>
        </w:rPr>
        <w:t xml:space="preserve"> </w:t>
      </w:r>
      <w:r>
        <w:rPr>
          <w:rFonts w:hint="eastAsia" w:ascii="宋体" w:hAnsi="宋体"/>
          <w:color w:val="auto"/>
          <w:sz w:val="24"/>
          <w:highlight w:val="none"/>
        </w:rPr>
        <w:t>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p w14:paraId="67F2A125">
      <w:pPr>
        <w:widowControl/>
        <w:shd w:val="clear" w:color="auto" w:fill="auto"/>
        <w:spacing w:line="360" w:lineRule="auto"/>
        <w:ind w:firstLine="480" w:firstLineChars="200"/>
        <w:jc w:val="left"/>
        <w:rPr>
          <w:rFonts w:hint="eastAsia" w:ascii="宋体" w:hAnsi="宋体"/>
          <w:color w:val="auto"/>
          <w:sz w:val="24"/>
          <w:highlight w:val="none"/>
        </w:rPr>
      </w:pPr>
      <w:r>
        <w:rPr>
          <w:rFonts w:hint="eastAsia" w:ascii="宋体" w:hAnsi="宋体"/>
          <w:color w:val="auto"/>
          <w:sz w:val="24"/>
          <w:highlight w:val="none"/>
        </w:rPr>
        <w:t>3.</w:t>
      </w:r>
      <w:r>
        <w:rPr>
          <w:rFonts w:hint="eastAsia" w:ascii="宋体" w:hAnsi="宋体"/>
          <w:color w:val="auto"/>
          <w:sz w:val="24"/>
          <w:highlight w:val="none"/>
          <w:lang w:val="en-US" w:eastAsia="zh-CN"/>
        </w:rPr>
        <w:t>7.</w:t>
      </w:r>
      <w:r>
        <w:rPr>
          <w:rFonts w:hint="eastAsia" w:ascii="宋体" w:hAnsi="宋体"/>
          <w:color w:val="auto"/>
          <w:sz w:val="24"/>
          <w:highlight w:val="none"/>
        </w:rPr>
        <w:t xml:space="preserve"> 本项目不接受联合体投标；</w:t>
      </w:r>
    </w:p>
    <w:p w14:paraId="4898910D">
      <w:pPr>
        <w:shd w:val="clear" w:color="auto" w:fill="auto"/>
        <w:wordWrap w:val="0"/>
        <w:spacing w:line="360" w:lineRule="auto"/>
        <w:ind w:firstLine="480" w:firstLineChars="200"/>
        <w:jc w:val="left"/>
        <w:rPr>
          <w:rFonts w:hint="eastAsia" w:ascii="宋体" w:hAnsi="宋体"/>
          <w:color w:val="auto"/>
          <w:sz w:val="24"/>
          <w:highlight w:val="none"/>
        </w:rPr>
      </w:pPr>
      <w:r>
        <w:rPr>
          <w:rFonts w:hint="eastAsia" w:ascii="宋体" w:hAnsi="宋体" w:cs="宋体"/>
          <w:color w:val="auto"/>
          <w:sz w:val="24"/>
          <w:szCs w:val="24"/>
          <w:highlight w:val="none"/>
        </w:rPr>
        <w:t>3.</w:t>
      </w:r>
      <w:r>
        <w:rPr>
          <w:rFonts w:hint="eastAsia" w:ascii="宋体" w:hAnsi="宋体" w:cs="宋体"/>
          <w:color w:val="auto"/>
          <w:sz w:val="24"/>
          <w:szCs w:val="24"/>
          <w:highlight w:val="none"/>
          <w:lang w:val="en-US" w:eastAsia="zh-CN"/>
        </w:rPr>
        <w:t xml:space="preserve">8. </w:t>
      </w:r>
      <w:r>
        <w:rPr>
          <w:rFonts w:hint="eastAsia" w:ascii="宋体" w:hAnsi="宋体" w:cs="宋体"/>
          <w:color w:val="auto"/>
          <w:sz w:val="24"/>
          <w:szCs w:val="24"/>
          <w:highlight w:val="none"/>
        </w:rPr>
        <w:t>本次招标实行资格后审，资格审查的具体要求见竞争性磋商文件。</w:t>
      </w:r>
    </w:p>
    <w:p w14:paraId="11DC3770">
      <w:pPr>
        <w:widowControl/>
        <w:shd w:val="clear" w:color="auto" w:fill="auto"/>
        <w:spacing w:line="480" w:lineRule="exact"/>
        <w:ind w:firstLine="480" w:firstLineChars="200"/>
        <w:jc w:val="left"/>
        <w:rPr>
          <w:color w:val="auto"/>
          <w:kern w:val="0"/>
          <w:sz w:val="24"/>
          <w:highlight w:val="none"/>
        </w:rPr>
      </w:pPr>
      <w:r>
        <w:rPr>
          <w:rFonts w:hint="eastAsia"/>
          <w:color w:val="auto"/>
          <w:kern w:val="0"/>
          <w:sz w:val="24"/>
          <w:highlight w:val="none"/>
        </w:rPr>
        <w:t>三、获取采购文件</w:t>
      </w:r>
    </w:p>
    <w:p w14:paraId="0D01B2DA">
      <w:pPr>
        <w:shd w:val="clear" w:color="auto" w:fill="auto"/>
        <w:spacing w:line="360" w:lineRule="auto"/>
        <w:ind w:firstLine="480" w:firstLineChars="200"/>
        <w:jc w:val="left"/>
        <w:rPr>
          <w:color w:val="auto"/>
          <w:sz w:val="24"/>
          <w:highlight w:val="none"/>
        </w:rPr>
      </w:pPr>
      <w:r>
        <w:rPr>
          <w:rFonts w:hint="eastAsia" w:ascii="宋体" w:hAnsi="宋体" w:cs="宋体"/>
          <w:color w:val="auto"/>
          <w:sz w:val="24"/>
          <w:highlight w:val="none"/>
        </w:rPr>
        <w:t>1、时间：</w:t>
      </w:r>
      <w:r>
        <w:rPr>
          <w:rFonts w:hint="eastAsia" w:ascii="宋体" w:hAnsi="宋体" w:eastAsia="宋体" w:cs="宋体"/>
          <w:color w:val="auto"/>
          <w:sz w:val="24"/>
          <w:highlight w:val="none"/>
        </w:rPr>
        <w:t>202</w:t>
      </w:r>
      <w:r>
        <w:rPr>
          <w:rFonts w:hint="eastAsia" w:ascii="宋体" w:hAnsi="宋体" w:eastAsia="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lang w:val="en-US" w:eastAsia="zh-CN"/>
        </w:rPr>
        <w:t>15</w:t>
      </w:r>
      <w:r>
        <w:rPr>
          <w:rFonts w:hint="eastAsia" w:ascii="宋体" w:hAnsi="宋体" w:eastAsia="宋体" w:cs="宋体"/>
          <w:color w:val="auto"/>
          <w:sz w:val="24"/>
          <w:highlight w:val="none"/>
        </w:rPr>
        <w:t>日至</w:t>
      </w:r>
      <w:r>
        <w:rPr>
          <w:rFonts w:hint="eastAsia" w:ascii="宋体" w:hAnsi="宋体" w:eastAsia="宋体" w:cs="宋体"/>
          <w:color w:val="auto"/>
          <w:sz w:val="24"/>
          <w:highlight w:val="none"/>
          <w:lang w:eastAsia="zh-CN"/>
        </w:rPr>
        <w:t>2026年09月29日08时30分</w:t>
      </w:r>
      <w:r>
        <w:rPr>
          <w:rFonts w:hint="eastAsia" w:ascii="宋体" w:hAnsi="宋体" w:eastAsia="宋体" w:cs="宋体"/>
          <w:color w:val="auto"/>
          <w:sz w:val="24"/>
          <w:highlight w:val="none"/>
        </w:rPr>
        <w:t>（北</w:t>
      </w:r>
      <w:r>
        <w:rPr>
          <w:rFonts w:hint="eastAsia"/>
          <w:color w:val="auto"/>
          <w:sz w:val="24"/>
          <w:highlight w:val="none"/>
        </w:rPr>
        <w:t>京时间）。</w:t>
      </w:r>
    </w:p>
    <w:p w14:paraId="7572B1D7">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2、地点：三门峡市公共资源交易中心网（网址：</w:t>
      </w:r>
      <w:r>
        <w:rPr>
          <w:rFonts w:ascii="宋体" w:hAnsi="宋体" w:cs="宋体"/>
          <w:color w:val="auto"/>
          <w:kern w:val="0"/>
          <w:sz w:val="24"/>
          <w:szCs w:val="22"/>
          <w:highlight w:val="none"/>
        </w:rPr>
        <w:t>http://gzjy.smx.gov.cn/</w:t>
      </w:r>
      <w:r>
        <w:rPr>
          <w:rFonts w:hint="eastAsia" w:ascii="宋体" w:hAnsi="宋体" w:cs="宋体"/>
          <w:color w:val="auto"/>
          <w:sz w:val="24"/>
          <w:highlight w:val="none"/>
        </w:rPr>
        <w:t>）；</w:t>
      </w:r>
    </w:p>
    <w:p w14:paraId="59AD3095">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3、方式：本项目没有报名环节，投标人凭CA数字证书通过三门峡市公共资源交易中心网（网址：</w:t>
      </w:r>
      <w:r>
        <w:rPr>
          <w:rFonts w:ascii="宋体" w:hAnsi="宋体" w:cs="宋体"/>
          <w:color w:val="auto"/>
          <w:kern w:val="0"/>
          <w:sz w:val="24"/>
          <w:szCs w:val="22"/>
          <w:highlight w:val="none"/>
        </w:rPr>
        <w:t>http://gzjy.smx.gov.cn/</w:t>
      </w:r>
      <w:r>
        <w:rPr>
          <w:rFonts w:hint="eastAsia" w:ascii="宋体" w:hAnsi="宋体" w:cs="宋体"/>
          <w:color w:val="auto"/>
          <w:sz w:val="24"/>
          <w:highlight w:val="none"/>
        </w:rPr>
        <w:t>），点击交易平台选择“市场主体登录”，在所参与项目右侧点击参与投标，即可直接下载本项目竞争性磋商文件。</w:t>
      </w:r>
    </w:p>
    <w:p w14:paraId="5C58A9CB">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三门峡市公共资源交易平台操作手册：</w:t>
      </w:r>
    </w:p>
    <w:p w14:paraId="03648E10">
      <w:pPr>
        <w:shd w:val="clear" w:color="auto" w:fill="auto"/>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lang w:eastAsia="zh-CN"/>
        </w:rPr>
        <w:t>http://gzjy.smx.gov.cn/fwzn/004003/20200325/2b5a3a5a-f987-405c-993f-88f43e1d1ac3.html</w:t>
      </w:r>
    </w:p>
    <w:p w14:paraId="6CEE3DB8">
      <w:pPr>
        <w:shd w:val="clear" w:color="auto" w:fill="auto"/>
        <w:spacing w:line="360" w:lineRule="auto"/>
        <w:ind w:firstLine="480" w:firstLineChars="200"/>
        <w:jc w:val="left"/>
        <w:rPr>
          <w:rFonts w:hint="eastAsia" w:ascii="宋体" w:hAnsi="宋体" w:eastAsia="宋体" w:cs="宋体"/>
          <w:color w:val="auto"/>
          <w:sz w:val="24"/>
          <w:highlight w:val="none"/>
          <w:lang w:eastAsia="zh-CN"/>
        </w:rPr>
      </w:pPr>
      <w:r>
        <w:rPr>
          <w:rFonts w:hint="eastAsia" w:ascii="宋体" w:hAnsi="宋体" w:cs="宋体"/>
          <w:color w:val="auto"/>
          <w:sz w:val="24"/>
          <w:highlight w:val="none"/>
        </w:rPr>
        <w:t>办理CA证书链接：</w:t>
      </w:r>
      <w:r>
        <w:rPr>
          <w:rFonts w:hint="eastAsia" w:ascii="宋体" w:hAnsi="宋体" w:cs="宋体"/>
          <w:color w:val="auto"/>
          <w:sz w:val="24"/>
          <w:highlight w:val="none"/>
          <w:lang w:eastAsia="zh-CN"/>
        </w:rPr>
        <w:t>http://gzjy.smx.gov.cn/bzzx/008001/20231102/4defc9b5-408e-47f2-9e9f-1f376a06ee1f.html</w:t>
      </w:r>
    </w:p>
    <w:p w14:paraId="498C9780">
      <w:pPr>
        <w:numPr>
          <w:ilvl w:val="0"/>
          <w:numId w:val="2"/>
        </w:numPr>
        <w:shd w:val="clear" w:color="auto" w:fill="auto"/>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highlight w:val="none"/>
        </w:rPr>
        <w:t>本项目为全电子招标，不再收取竞争性</w:t>
      </w:r>
      <w:r>
        <w:rPr>
          <w:rFonts w:hint="eastAsia" w:ascii="宋体" w:hAnsi="宋体" w:cs="宋体"/>
          <w:color w:val="auto"/>
          <w:kern w:val="0"/>
          <w:sz w:val="24"/>
          <w:highlight w:val="none"/>
        </w:rPr>
        <w:t>磋商文件费。</w:t>
      </w:r>
    </w:p>
    <w:p w14:paraId="7A782C29">
      <w:pPr>
        <w:shd w:val="clear" w:color="auto" w:fill="auto"/>
        <w:wordWrap w:val="0"/>
        <w:spacing w:line="360" w:lineRule="auto"/>
        <w:ind w:firstLine="480" w:firstLineChars="200"/>
        <w:jc w:val="left"/>
        <w:rPr>
          <w:rFonts w:hint="eastAsia" w:ascii="宋体" w:hAnsi="宋体" w:cs="宋体"/>
          <w:color w:val="auto"/>
          <w:kern w:val="0"/>
          <w:sz w:val="24"/>
          <w:highlight w:val="none"/>
        </w:rPr>
      </w:pPr>
      <w:r>
        <w:rPr>
          <w:rFonts w:hint="eastAsia" w:ascii="宋体" w:hAnsi="宋体" w:cs="宋体"/>
          <w:color w:val="auto"/>
          <w:sz w:val="24"/>
          <w:szCs w:val="24"/>
          <w:highlight w:val="none"/>
        </w:rPr>
        <w:t>注：本项目为不见面开标项目，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磋商响应文件解密等。每位投标人的解密时间为开标时间起30分钟内完成。因投标人原因未能解密、解密失败或解密超时的将被拒绝。</w:t>
      </w:r>
    </w:p>
    <w:p w14:paraId="74B20233">
      <w:pPr>
        <w:widowControl/>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四、磋商保证金</w:t>
      </w:r>
    </w:p>
    <w:p w14:paraId="7DDAE97F">
      <w:pPr>
        <w:widowControl/>
        <w:shd w:val="clear" w:color="auto" w:fill="auto"/>
        <w:spacing w:line="360" w:lineRule="auto"/>
        <w:ind w:firstLine="480" w:firstLineChars="200"/>
        <w:jc w:val="left"/>
        <w:rPr>
          <w:rFonts w:ascii="宋体" w:hAnsi="宋体"/>
          <w:color w:val="auto"/>
          <w:sz w:val="24"/>
          <w:highlight w:val="none"/>
        </w:rPr>
      </w:pPr>
      <w:r>
        <w:rPr>
          <w:rFonts w:hint="eastAsia" w:ascii="宋体" w:hAnsi="宋体"/>
          <w:color w:val="auto"/>
          <w:sz w:val="24"/>
          <w:highlight w:val="none"/>
        </w:rPr>
        <w:t>根据《河南省财政厅关于优化政府采购营商环境有关问题的通知》（豫财购【2019】4号）第6条的规定，磋商保证金不再收取。</w:t>
      </w:r>
    </w:p>
    <w:p w14:paraId="3E8A2238">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五、磋商时间和地点</w:t>
      </w:r>
    </w:p>
    <w:p w14:paraId="040B9E56">
      <w:pPr>
        <w:shd w:val="clear" w:color="auto" w:fill="auto"/>
        <w:spacing w:line="480" w:lineRule="exact"/>
        <w:ind w:firstLine="480" w:firstLineChars="200"/>
        <w:rPr>
          <w:rFonts w:ascii="宋体" w:hAnsi="宋体" w:cs="宋体"/>
          <w:color w:val="auto"/>
          <w:kern w:val="0"/>
          <w:sz w:val="24"/>
          <w:szCs w:val="22"/>
          <w:highlight w:val="none"/>
        </w:rPr>
      </w:pPr>
      <w:r>
        <w:rPr>
          <w:rFonts w:hint="eastAsia" w:ascii="宋体" w:hAnsi="宋体" w:cs="宋体"/>
          <w:color w:val="auto"/>
          <w:kern w:val="0"/>
          <w:sz w:val="24"/>
          <w:szCs w:val="22"/>
          <w:highlight w:val="none"/>
        </w:rPr>
        <w:t>1、磋商文件</w:t>
      </w:r>
      <w:r>
        <w:rPr>
          <w:rFonts w:hint="eastAsia" w:ascii="宋体" w:hAnsi="宋体" w:cs="宋体"/>
          <w:color w:val="auto"/>
          <w:sz w:val="24"/>
          <w:highlight w:val="none"/>
        </w:rPr>
        <w:t>递交</w:t>
      </w:r>
      <w:r>
        <w:rPr>
          <w:rFonts w:hint="eastAsia" w:ascii="宋体" w:hAnsi="宋体" w:cs="宋体"/>
          <w:color w:val="auto"/>
          <w:kern w:val="0"/>
          <w:sz w:val="24"/>
          <w:szCs w:val="22"/>
          <w:highlight w:val="none"/>
        </w:rPr>
        <w:t>：加密电子投标文件须在投标截止时间前通过“三门峡市公共资源交易中心（</w:t>
      </w:r>
      <w:r>
        <w:rPr>
          <w:rFonts w:ascii="宋体" w:hAnsi="宋体" w:cs="宋体"/>
          <w:color w:val="auto"/>
          <w:kern w:val="0"/>
          <w:sz w:val="24"/>
          <w:szCs w:val="22"/>
          <w:highlight w:val="none"/>
        </w:rPr>
        <w:t>http://gzjy.smx.gov.cn/</w:t>
      </w:r>
      <w:r>
        <w:rPr>
          <w:rFonts w:hint="eastAsia" w:ascii="宋体" w:hAnsi="宋体" w:cs="宋体"/>
          <w:color w:val="auto"/>
          <w:kern w:val="0"/>
          <w:sz w:val="24"/>
          <w:szCs w:val="22"/>
          <w:highlight w:val="none"/>
        </w:rPr>
        <w:t>）”电子交易平台加密上传。逾期上传的或者未上传指定地点的响应文件，采购人不予受理。</w:t>
      </w:r>
    </w:p>
    <w:p w14:paraId="690CDB39">
      <w:pPr>
        <w:shd w:val="clear" w:color="auto" w:fill="auto"/>
        <w:spacing w:line="360" w:lineRule="auto"/>
        <w:ind w:firstLine="480" w:firstLineChars="200"/>
        <w:jc w:val="left"/>
        <w:rPr>
          <w:rFonts w:hint="eastAsia" w:ascii="宋体" w:hAnsi="宋体" w:eastAsia="宋体" w:cs="宋体"/>
          <w:color w:val="auto"/>
          <w:kern w:val="0"/>
          <w:sz w:val="24"/>
          <w:szCs w:val="22"/>
          <w:highlight w:val="none"/>
        </w:rPr>
      </w:pPr>
      <w:r>
        <w:rPr>
          <w:rFonts w:hint="eastAsia" w:ascii="宋体" w:hAnsi="宋体" w:cs="宋体"/>
          <w:color w:val="auto"/>
          <w:sz w:val="24"/>
          <w:highlight w:val="none"/>
        </w:rPr>
        <w:t>2、磋商文件递交截止时间及磋商时间：</w:t>
      </w:r>
      <w:r>
        <w:rPr>
          <w:rFonts w:hint="eastAsia" w:ascii="宋体" w:hAnsi="宋体" w:eastAsia="宋体" w:cs="宋体"/>
          <w:color w:val="auto"/>
          <w:kern w:val="0"/>
          <w:sz w:val="24"/>
          <w:szCs w:val="22"/>
          <w:highlight w:val="none"/>
          <w:lang w:eastAsia="zh-CN"/>
        </w:rPr>
        <w:t>2026年09月29日08时30分</w:t>
      </w:r>
      <w:r>
        <w:rPr>
          <w:rFonts w:hint="eastAsia" w:ascii="宋体" w:hAnsi="宋体" w:eastAsia="宋体" w:cs="宋体"/>
          <w:color w:val="auto"/>
          <w:kern w:val="0"/>
          <w:sz w:val="24"/>
          <w:szCs w:val="22"/>
          <w:highlight w:val="none"/>
        </w:rPr>
        <w:t>。</w:t>
      </w:r>
    </w:p>
    <w:p w14:paraId="730B5364">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3、地点：灵宝市公共资源交易中心</w:t>
      </w:r>
      <w:r>
        <w:rPr>
          <w:rFonts w:hint="eastAsia" w:ascii="宋体" w:hAnsi="宋体" w:cs="宋体"/>
          <w:color w:val="auto"/>
          <w:sz w:val="24"/>
          <w:highlight w:val="none"/>
          <w:lang w:eastAsia="zh-CN"/>
        </w:rPr>
        <w:t>开标</w:t>
      </w:r>
      <w:r>
        <w:rPr>
          <w:rFonts w:hint="eastAsia" w:ascii="宋体" w:hAnsi="宋体" w:cs="宋体"/>
          <w:color w:val="auto"/>
          <w:sz w:val="24"/>
          <w:highlight w:val="none"/>
          <w:lang w:val="en-US" w:eastAsia="zh-CN"/>
        </w:rPr>
        <w:t>二</w:t>
      </w:r>
      <w:r>
        <w:rPr>
          <w:rFonts w:hint="eastAsia" w:ascii="宋体" w:hAnsi="宋体" w:cs="宋体"/>
          <w:color w:val="auto"/>
          <w:sz w:val="24"/>
          <w:highlight w:val="none"/>
          <w:lang w:eastAsia="zh-CN"/>
        </w:rPr>
        <w:t>室、评标</w:t>
      </w:r>
      <w:r>
        <w:rPr>
          <w:rFonts w:hint="eastAsia" w:ascii="宋体" w:hAnsi="宋体" w:cs="宋体"/>
          <w:color w:val="auto"/>
          <w:sz w:val="24"/>
          <w:highlight w:val="none"/>
          <w:lang w:val="en-US" w:eastAsia="zh-CN"/>
        </w:rPr>
        <w:t>二</w:t>
      </w:r>
      <w:r>
        <w:rPr>
          <w:rFonts w:hint="eastAsia" w:ascii="宋体" w:hAnsi="宋体" w:cs="宋体"/>
          <w:color w:val="auto"/>
          <w:sz w:val="24"/>
          <w:highlight w:val="none"/>
          <w:lang w:eastAsia="zh-CN"/>
        </w:rPr>
        <w:t>室</w:t>
      </w:r>
      <w:r>
        <w:rPr>
          <w:rFonts w:hint="eastAsia" w:ascii="宋体" w:hAnsi="宋体" w:cs="宋体"/>
          <w:color w:val="auto"/>
          <w:sz w:val="24"/>
          <w:highlight w:val="none"/>
        </w:rPr>
        <w:t>（灵宝市金城大道信用联社12楼）。开标时，供应商必须持CA密钥在规定时间内对本单位的加密电子响应文件进行远程解密。本次项目实行远程不见面磋商。</w:t>
      </w:r>
    </w:p>
    <w:p w14:paraId="23CC6282">
      <w:pPr>
        <w:shd w:val="clear" w:color="auto" w:fill="auto"/>
        <w:spacing w:line="360" w:lineRule="auto"/>
        <w:ind w:firstLine="480" w:firstLineChars="200"/>
        <w:jc w:val="left"/>
        <w:rPr>
          <w:rFonts w:ascii="宋体" w:hAnsi="宋体" w:cs="宋体"/>
          <w:color w:val="auto"/>
          <w:sz w:val="24"/>
          <w:highlight w:val="none"/>
        </w:rPr>
      </w:pPr>
      <w:r>
        <w:rPr>
          <w:rFonts w:hint="eastAsia" w:ascii="宋体" w:hAnsi="宋体" w:cs="宋体"/>
          <w:color w:val="auto"/>
          <w:sz w:val="24"/>
          <w:highlight w:val="none"/>
        </w:rPr>
        <w:t>六、其他事项</w:t>
      </w:r>
    </w:p>
    <w:p w14:paraId="0801FB9B">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1、资格评（预）审部分：资格评（预）以响应文件为准，其上传资料真实性由供应商自行承担。</w:t>
      </w:r>
    </w:p>
    <w:p w14:paraId="09241311">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2、评标打分部分：评标打分部分仍按照100分制原则进行，涉及到资格审查、企业荣誉、人员业绩、企业业绩等计分部分时，以供应商自行上传到响应文件中的相应内容为准。</w:t>
      </w:r>
    </w:p>
    <w:p w14:paraId="1F5244BB">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响应文件编制部分：在磋商文件中要求供应商按照响应文件格式进行响应文件编制时，应明确将供应商企业基本情况、资质情况、人员情况、财务情况、业绩情况编入响应文件，便于进行资格审查及评标打分。</w:t>
      </w:r>
    </w:p>
    <w:p w14:paraId="57999B38">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4、我单位（采购人）严格按三财购【2021】9号文要求的时限发布中标结果公告，发出中标通知书，签订采购合同，上传采购合同。</w:t>
      </w:r>
    </w:p>
    <w:p w14:paraId="53305BCD">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5、供应商应仔细阅读操作手册，在本公告中要求的截止时间前完成磋商文件下载等工作。因供应商操作不当等问题造成的无法下载磋商文件、无法磋商等一切后果，由供应商自行承担。</w:t>
      </w:r>
    </w:p>
    <w:p w14:paraId="6E092BE2">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、供应商递交的响应文件不论中标与否均不予退还。</w:t>
      </w:r>
    </w:p>
    <w:p w14:paraId="62BD5A93">
      <w:pPr>
        <w:shd w:val="clear" w:color="auto" w:fill="auto"/>
        <w:wordWrap w:val="0"/>
        <w:spacing w:line="360" w:lineRule="auto"/>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7</w:t>
      </w:r>
      <w:r>
        <w:rPr>
          <w:rFonts w:hint="eastAsia" w:ascii="宋体" w:hAnsi="宋体" w:cs="宋体"/>
          <w:color w:val="auto"/>
          <w:sz w:val="24"/>
          <w:szCs w:val="24"/>
          <w:highlight w:val="none"/>
        </w:rPr>
        <w:t>、采购人不组织供应商踏勘现场。</w:t>
      </w:r>
    </w:p>
    <w:p w14:paraId="7C89AD3D">
      <w:pPr>
        <w:shd w:val="clear" w:color="auto" w:fill="auto"/>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七、发布公告的媒介</w:t>
      </w:r>
    </w:p>
    <w:p w14:paraId="36CB9EC5">
      <w:pPr>
        <w:shd w:val="clear" w:color="auto" w:fill="auto"/>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本次竞争性磋商公告同时在《河南省政府采购网》、《中国采购与招标网》和《三门峡市公共资源交易中心网》媒体上发布。</w:t>
      </w:r>
    </w:p>
    <w:p w14:paraId="4B911F54">
      <w:pPr>
        <w:shd w:val="clear" w:color="auto" w:fill="auto"/>
        <w:spacing w:line="480" w:lineRule="exact"/>
        <w:ind w:firstLine="480" w:firstLineChars="200"/>
        <w:rPr>
          <w:rFonts w:ascii="宋体" w:hAnsi="宋体" w:cs="宋体"/>
          <w:color w:val="auto"/>
          <w:sz w:val="24"/>
          <w:highlight w:val="none"/>
        </w:rPr>
      </w:pPr>
      <w:r>
        <w:rPr>
          <w:rFonts w:hint="eastAsia" w:ascii="宋体" w:hAnsi="宋体" w:cs="宋体"/>
          <w:color w:val="auto"/>
          <w:sz w:val="24"/>
          <w:highlight w:val="none"/>
        </w:rPr>
        <w:t>八、凡对本次招标提出询问，请按照以下方式联系</w:t>
      </w:r>
    </w:p>
    <w:p w14:paraId="166AD9A1">
      <w:pPr>
        <w:shd w:val="clear" w:color="auto" w:fill="auto"/>
        <w:spacing w:after="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监督单位：灵宝市财政局政府采购监督管理科</w:t>
      </w:r>
    </w:p>
    <w:p w14:paraId="2B503AC9">
      <w:pPr>
        <w:shd w:val="clear" w:color="auto" w:fill="auto"/>
        <w:spacing w:after="0" w:line="54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联系电话：0398-8852670</w:t>
      </w:r>
    </w:p>
    <w:p w14:paraId="563FE55C">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监督部门：中共灵宝市寺河乡纪律检查委员会</w:t>
      </w:r>
    </w:p>
    <w:p w14:paraId="443A131C">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联系电话：0398-6368806</w:t>
      </w:r>
    </w:p>
    <w:p w14:paraId="392B817E">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采购人：灵宝市寺河乡人民政府</w:t>
      </w:r>
    </w:p>
    <w:p w14:paraId="2B767361">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地址：</w:t>
      </w:r>
      <w:r>
        <w:rPr>
          <w:rFonts w:hint="eastAsia" w:ascii="宋体" w:hAnsi="宋体"/>
          <w:color w:val="auto"/>
          <w:sz w:val="24"/>
          <w:highlight w:val="none"/>
          <w:lang w:val="en-US" w:eastAsia="zh-CN"/>
        </w:rPr>
        <w:t>灵宝市寺河乡</w:t>
      </w:r>
    </w:p>
    <w:p w14:paraId="693986B0">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联系人：李先生</w:t>
      </w:r>
    </w:p>
    <w:p w14:paraId="3CF9A435">
      <w:pPr>
        <w:shd w:val="clear" w:color="auto" w:fill="auto"/>
        <w:spacing w:after="0" w:line="540" w:lineRule="exact"/>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联系方式：19803987361</w:t>
      </w:r>
    </w:p>
    <w:p w14:paraId="0E5DFB58">
      <w:pPr>
        <w:shd w:val="clear" w:color="auto" w:fill="auto"/>
        <w:spacing w:line="360" w:lineRule="auto"/>
        <w:ind w:firstLine="480" w:firstLineChars="200"/>
        <w:jc w:val="left"/>
        <w:rPr>
          <w:rFonts w:hint="eastAsia" w:ascii="宋体" w:hAnsi="宋体" w:eastAsia="宋体" w:cs="宋体"/>
          <w:color w:val="auto"/>
          <w:kern w:val="0"/>
          <w:sz w:val="24"/>
          <w:szCs w:val="22"/>
          <w:highlight w:val="none"/>
          <w:lang w:eastAsia="zh-CN"/>
        </w:rPr>
      </w:pPr>
      <w:r>
        <w:rPr>
          <w:rFonts w:hint="eastAsia" w:ascii="宋体" w:hAnsi="宋体" w:cs="宋体"/>
          <w:color w:val="auto"/>
          <w:kern w:val="0"/>
          <w:sz w:val="24"/>
          <w:szCs w:val="22"/>
          <w:highlight w:val="none"/>
        </w:rPr>
        <w:t>招标代理机构：</w:t>
      </w:r>
      <w:r>
        <w:rPr>
          <w:rFonts w:hint="eastAsia" w:ascii="宋体" w:hAnsi="宋体" w:cs="宋体"/>
          <w:color w:val="auto"/>
          <w:kern w:val="0"/>
          <w:sz w:val="24"/>
          <w:szCs w:val="22"/>
          <w:highlight w:val="none"/>
          <w:lang w:eastAsia="zh-CN"/>
        </w:rPr>
        <w:t>河南润程项目管理有限公司</w:t>
      </w:r>
    </w:p>
    <w:p w14:paraId="7045CEE3">
      <w:pPr>
        <w:shd w:val="clear" w:color="auto" w:fill="auto"/>
        <w:spacing w:line="464" w:lineRule="exact"/>
        <w:ind w:firstLine="480" w:firstLineChars="200"/>
        <w:rPr>
          <w:rFonts w:hint="eastAsia" w:ascii="宋体" w:hAnsi="宋体"/>
          <w:color w:val="auto"/>
          <w:sz w:val="24"/>
          <w:highlight w:val="none"/>
        </w:rPr>
      </w:pPr>
      <w:r>
        <w:rPr>
          <w:rFonts w:hint="eastAsia" w:ascii="宋体" w:hAnsi="宋体"/>
          <w:color w:val="auto"/>
          <w:sz w:val="24"/>
          <w:highlight w:val="none"/>
        </w:rPr>
        <w:t>公司地址：</w:t>
      </w:r>
      <w:r>
        <w:rPr>
          <w:rFonts w:hint="eastAsia" w:ascii="宋体" w:hAnsi="宋体"/>
          <w:color w:val="auto"/>
          <w:sz w:val="24"/>
          <w:highlight w:val="none"/>
          <w:lang w:eastAsia="zh-CN"/>
        </w:rPr>
        <w:t>灵宝市物华路与寺河路交叉口金源馨村小区五号楼南侧一楼</w:t>
      </w:r>
    </w:p>
    <w:p w14:paraId="34314F77">
      <w:pPr>
        <w:shd w:val="clear" w:color="auto" w:fill="auto"/>
        <w:spacing w:line="464" w:lineRule="exact"/>
        <w:ind w:firstLine="480" w:firstLineChars="200"/>
        <w:rPr>
          <w:rFonts w:hint="eastAsia" w:ascii="宋体" w:hAnsi="宋体"/>
          <w:color w:val="auto"/>
          <w:sz w:val="24"/>
          <w:highlight w:val="none"/>
          <w:lang w:val="en-US" w:eastAsia="zh-CN"/>
        </w:rPr>
      </w:pPr>
      <w:r>
        <w:rPr>
          <w:rFonts w:hint="eastAsia" w:ascii="宋体" w:hAnsi="宋体"/>
          <w:color w:val="auto"/>
          <w:sz w:val="24"/>
          <w:highlight w:val="none"/>
        </w:rPr>
        <w:t>联系人：</w:t>
      </w:r>
      <w:r>
        <w:rPr>
          <w:rFonts w:hint="eastAsia" w:ascii="宋体" w:hAnsi="宋体"/>
          <w:color w:val="auto"/>
          <w:sz w:val="24"/>
          <w:highlight w:val="none"/>
          <w:lang w:val="en-US" w:eastAsia="zh-CN"/>
        </w:rPr>
        <w:t>刘女士</w:t>
      </w:r>
    </w:p>
    <w:p w14:paraId="0A12A0CE">
      <w:pPr>
        <w:shd w:val="clear" w:color="auto" w:fill="auto"/>
        <w:spacing w:line="464" w:lineRule="exact"/>
        <w:ind w:firstLine="480" w:firstLineChars="200"/>
        <w:rPr>
          <w:rFonts w:hint="eastAsia" w:ascii="宋体" w:hAnsi="宋体"/>
          <w:color w:val="auto"/>
          <w:sz w:val="24"/>
          <w:highlight w:val="none"/>
          <w:lang w:val="en-US"/>
        </w:rPr>
      </w:pPr>
      <w:r>
        <w:rPr>
          <w:rFonts w:hint="eastAsia" w:ascii="宋体" w:hAnsi="宋体"/>
          <w:color w:val="auto"/>
          <w:sz w:val="24"/>
          <w:highlight w:val="none"/>
        </w:rPr>
        <w:t>联系电话：</w:t>
      </w:r>
      <w:r>
        <w:rPr>
          <w:rFonts w:hint="eastAsia" w:ascii="宋体" w:hAnsi="宋体"/>
          <w:color w:val="auto"/>
          <w:sz w:val="24"/>
          <w:highlight w:val="none"/>
          <w:lang w:val="en-US" w:eastAsia="zh-CN"/>
        </w:rPr>
        <w:t>0398-8852566</w:t>
      </w:r>
    </w:p>
    <w:p w14:paraId="08367B8F">
      <w:pPr>
        <w:widowControl/>
        <w:shd w:val="clear" w:color="auto" w:fill="auto"/>
        <w:jc w:val="center"/>
        <w:outlineLvl w:val="0"/>
        <w:rPr>
          <w:rFonts w:hint="eastAsia" w:ascii="宋体" w:hAnsi="宋体"/>
          <w:b/>
          <w:bCs/>
          <w:color w:val="auto"/>
          <w:sz w:val="32"/>
          <w:szCs w:val="32"/>
          <w:highlight w:val="none"/>
        </w:rPr>
      </w:pPr>
      <w:bookmarkStart w:id="9" w:name="_Toc16520164"/>
      <w:bookmarkStart w:id="10" w:name="_Toc508179883"/>
      <w:bookmarkStart w:id="11" w:name="_Toc16520676"/>
      <w:r>
        <w:rPr>
          <w:rFonts w:hint="eastAsia" w:ascii="宋体" w:hAnsi="宋体"/>
          <w:b/>
          <w:bCs/>
          <w:color w:val="auto"/>
          <w:sz w:val="32"/>
          <w:szCs w:val="32"/>
          <w:highlight w:val="none"/>
        </w:rPr>
        <w:br w:type="page"/>
      </w:r>
      <w:bookmarkStart w:id="12" w:name="_Toc24197"/>
      <w:r>
        <w:rPr>
          <w:rFonts w:hint="eastAsia" w:ascii="宋体" w:hAnsi="宋体"/>
          <w:b/>
          <w:bCs/>
          <w:color w:val="auto"/>
          <w:sz w:val="32"/>
          <w:szCs w:val="32"/>
          <w:highlight w:val="none"/>
        </w:rPr>
        <w:t>第二章 供应商须知</w:t>
      </w:r>
      <w:bookmarkEnd w:id="9"/>
      <w:bookmarkEnd w:id="10"/>
      <w:bookmarkEnd w:id="11"/>
      <w:bookmarkEnd w:id="12"/>
    </w:p>
    <w:p w14:paraId="4FB58E9C">
      <w:pPr>
        <w:shd w:val="clear" w:color="auto" w:fill="auto"/>
        <w:jc w:val="center"/>
        <w:outlineLvl w:val="1"/>
        <w:rPr>
          <w:rFonts w:hint="eastAsia" w:ascii="宋体" w:hAnsi="宋体" w:cs="宋体"/>
          <w:b/>
          <w:bCs/>
          <w:color w:val="auto"/>
          <w:sz w:val="24"/>
          <w:highlight w:val="none"/>
        </w:rPr>
      </w:pPr>
      <w:bookmarkStart w:id="13" w:name="_Toc8871"/>
      <w:bookmarkStart w:id="14" w:name="_Toc208672075"/>
      <w:r>
        <w:rPr>
          <w:rFonts w:hint="eastAsia" w:ascii="宋体" w:hAnsi="宋体" w:cs="宋体"/>
          <w:b/>
          <w:bCs/>
          <w:color w:val="auto"/>
          <w:sz w:val="24"/>
          <w:highlight w:val="none"/>
        </w:rPr>
        <w:t>供应商须知前附表</w:t>
      </w:r>
      <w:bookmarkEnd w:id="13"/>
      <w:bookmarkEnd w:id="14"/>
    </w:p>
    <w:tbl>
      <w:tblPr>
        <w:tblStyle w:val="15"/>
        <w:tblW w:w="9943" w:type="dxa"/>
        <w:jc w:val="center"/>
        <w:tblLayout w:type="fixed"/>
        <w:tblCellMar>
          <w:top w:w="0" w:type="dxa"/>
          <w:left w:w="108" w:type="dxa"/>
          <w:bottom w:w="0" w:type="dxa"/>
          <w:right w:w="108" w:type="dxa"/>
        </w:tblCellMar>
      </w:tblPr>
      <w:tblGrid>
        <w:gridCol w:w="993"/>
        <w:gridCol w:w="2211"/>
        <w:gridCol w:w="6739"/>
      </w:tblGrid>
      <w:tr w14:paraId="31F5A3D9">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9D24B9E">
            <w:pPr>
              <w:shd w:val="clear" w:color="auto" w:fill="auto"/>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条款号</w:t>
            </w: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F8EB8DB">
            <w:pPr>
              <w:shd w:val="clear" w:color="auto" w:fill="auto"/>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条  款  名  称</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6C0160C">
            <w:pPr>
              <w:shd w:val="clear" w:color="auto" w:fill="auto"/>
              <w:spacing w:line="360" w:lineRule="auto"/>
              <w:jc w:val="center"/>
              <w:rPr>
                <w:rFonts w:hint="eastAsia" w:ascii="宋体" w:hAnsi="宋体" w:cs="宋体"/>
                <w:b/>
                <w:color w:val="auto"/>
                <w:sz w:val="24"/>
                <w:highlight w:val="none"/>
              </w:rPr>
            </w:pPr>
            <w:r>
              <w:rPr>
                <w:rFonts w:hint="eastAsia" w:ascii="宋体" w:hAnsi="宋体" w:cs="宋体"/>
                <w:b/>
                <w:color w:val="auto"/>
                <w:sz w:val="24"/>
                <w:highlight w:val="none"/>
              </w:rPr>
              <w:t>编  列  内  容</w:t>
            </w:r>
          </w:p>
        </w:tc>
      </w:tr>
      <w:tr w14:paraId="6E63FD4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F7D4EE4">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F7D30E1">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采 购 人</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1DEE5A3D">
            <w:pPr>
              <w:shd w:val="clear" w:color="auto" w:fill="auto"/>
              <w:spacing w:line="464" w:lineRule="exac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采购人：灵宝市寺河乡人民政府</w:t>
            </w:r>
          </w:p>
          <w:p w14:paraId="6E26CC6E">
            <w:pPr>
              <w:shd w:val="clear" w:color="auto" w:fill="auto"/>
              <w:spacing w:line="464" w:lineRule="exac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地址：灵宝市寺河乡</w:t>
            </w:r>
          </w:p>
          <w:p w14:paraId="2D1EF0BA">
            <w:pPr>
              <w:shd w:val="clear" w:color="auto" w:fill="auto"/>
              <w:spacing w:line="464" w:lineRule="exact"/>
              <w:rPr>
                <w:rFonts w:hint="eastAsia" w:ascii="宋体" w:hAnsi="宋体"/>
                <w:color w:val="auto"/>
                <w:sz w:val="24"/>
                <w:highlight w:val="none"/>
                <w:lang w:val="en-US" w:eastAsia="zh-CN"/>
              </w:rPr>
            </w:pPr>
            <w:r>
              <w:rPr>
                <w:rFonts w:hint="eastAsia" w:ascii="宋体" w:hAnsi="宋体"/>
                <w:color w:val="auto"/>
                <w:sz w:val="24"/>
                <w:highlight w:val="none"/>
                <w:lang w:val="en-US" w:eastAsia="zh-CN"/>
              </w:rPr>
              <w:t>联系人：李先生</w:t>
            </w:r>
          </w:p>
          <w:p w14:paraId="7122987E">
            <w:pPr>
              <w:shd w:val="clear" w:color="auto" w:fill="auto"/>
              <w:spacing w:line="464" w:lineRule="exact"/>
              <w:rPr>
                <w:rFonts w:hint="eastAsia" w:ascii="宋体" w:hAnsi="宋体"/>
                <w:color w:val="auto"/>
                <w:sz w:val="24"/>
                <w:highlight w:val="none"/>
              </w:rPr>
            </w:pPr>
            <w:r>
              <w:rPr>
                <w:rFonts w:hint="eastAsia" w:ascii="宋体" w:hAnsi="宋体"/>
                <w:color w:val="auto"/>
                <w:sz w:val="24"/>
                <w:highlight w:val="none"/>
                <w:lang w:val="en-US" w:eastAsia="zh-CN"/>
              </w:rPr>
              <w:t>联系方式：19803987361</w:t>
            </w:r>
          </w:p>
        </w:tc>
      </w:tr>
      <w:tr w14:paraId="4D88BC58">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580397C">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6F77BCE">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采购代理机构</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FA08A2A">
            <w:pPr>
              <w:shd w:val="clear" w:color="auto" w:fill="auto"/>
              <w:spacing w:line="464" w:lineRule="exact"/>
              <w:rPr>
                <w:rFonts w:hint="eastAsia" w:ascii="宋体" w:hAnsi="宋体" w:eastAsia="宋体"/>
                <w:color w:val="auto"/>
                <w:sz w:val="24"/>
                <w:highlight w:val="none"/>
                <w:lang w:eastAsia="zh-CN"/>
              </w:rPr>
            </w:pPr>
            <w:r>
              <w:rPr>
                <w:rFonts w:hint="eastAsia" w:ascii="宋体" w:hAnsi="宋体"/>
                <w:color w:val="auto"/>
                <w:sz w:val="24"/>
                <w:highlight w:val="none"/>
              </w:rPr>
              <w:t>招标代理机构：</w:t>
            </w:r>
            <w:r>
              <w:rPr>
                <w:rFonts w:hint="eastAsia" w:ascii="宋体" w:hAnsi="宋体"/>
                <w:color w:val="auto"/>
                <w:sz w:val="24"/>
                <w:highlight w:val="none"/>
                <w:lang w:eastAsia="zh-CN"/>
              </w:rPr>
              <w:t>河南润程项目管理有限公司</w:t>
            </w:r>
          </w:p>
          <w:p w14:paraId="48513CF1">
            <w:pPr>
              <w:shd w:val="clear" w:color="auto" w:fill="auto"/>
              <w:spacing w:line="464" w:lineRule="exact"/>
              <w:rPr>
                <w:rFonts w:hint="eastAsia" w:ascii="宋体" w:hAnsi="宋体"/>
                <w:color w:val="auto"/>
                <w:sz w:val="24"/>
                <w:highlight w:val="none"/>
              </w:rPr>
            </w:pPr>
            <w:r>
              <w:rPr>
                <w:rFonts w:hint="eastAsia" w:ascii="宋体" w:hAnsi="宋体"/>
                <w:color w:val="auto"/>
                <w:sz w:val="24"/>
                <w:highlight w:val="none"/>
              </w:rPr>
              <w:t>公司地址：</w:t>
            </w:r>
            <w:r>
              <w:rPr>
                <w:rFonts w:hint="eastAsia" w:ascii="宋体" w:hAnsi="宋体"/>
                <w:color w:val="auto"/>
                <w:sz w:val="24"/>
                <w:highlight w:val="none"/>
                <w:lang w:eastAsia="zh-CN"/>
              </w:rPr>
              <w:t>灵宝市物华路与寺河路交叉口金源馨村小区五号楼南侧一楼</w:t>
            </w:r>
          </w:p>
          <w:p w14:paraId="44D4859F">
            <w:pPr>
              <w:shd w:val="clear" w:color="auto" w:fill="auto"/>
              <w:spacing w:line="464" w:lineRule="exact"/>
              <w:rPr>
                <w:rFonts w:hint="eastAsia" w:ascii="宋体" w:hAnsi="宋体"/>
                <w:color w:val="auto"/>
                <w:sz w:val="24"/>
                <w:highlight w:val="none"/>
                <w:lang w:val="en-US" w:eastAsia="zh-CN"/>
              </w:rPr>
            </w:pPr>
            <w:r>
              <w:rPr>
                <w:rFonts w:hint="eastAsia" w:ascii="宋体" w:hAnsi="宋体"/>
                <w:color w:val="auto"/>
                <w:sz w:val="24"/>
                <w:highlight w:val="none"/>
              </w:rPr>
              <w:t>联系人：</w:t>
            </w:r>
            <w:r>
              <w:rPr>
                <w:rFonts w:hint="eastAsia" w:ascii="宋体" w:hAnsi="宋体"/>
                <w:color w:val="auto"/>
                <w:sz w:val="24"/>
                <w:highlight w:val="none"/>
                <w:lang w:val="en-US" w:eastAsia="zh-CN"/>
              </w:rPr>
              <w:t>刘女士</w:t>
            </w:r>
          </w:p>
          <w:p w14:paraId="52D0B956">
            <w:pPr>
              <w:shd w:val="clear" w:color="auto" w:fill="auto"/>
              <w:spacing w:line="464" w:lineRule="exact"/>
              <w:rPr>
                <w:rFonts w:hint="eastAsia" w:ascii="宋体" w:hAnsi="宋体"/>
                <w:color w:val="auto"/>
                <w:sz w:val="24"/>
                <w:highlight w:val="none"/>
              </w:rPr>
            </w:pPr>
            <w:r>
              <w:rPr>
                <w:rFonts w:hint="eastAsia" w:ascii="宋体" w:hAnsi="宋体"/>
                <w:color w:val="auto"/>
                <w:sz w:val="24"/>
                <w:highlight w:val="none"/>
              </w:rPr>
              <w:t>联系电话：</w:t>
            </w:r>
            <w:r>
              <w:rPr>
                <w:rFonts w:hint="eastAsia" w:ascii="宋体" w:hAnsi="宋体"/>
                <w:color w:val="auto"/>
                <w:sz w:val="24"/>
                <w:highlight w:val="none"/>
                <w:lang w:val="en-US" w:eastAsia="zh-CN"/>
              </w:rPr>
              <w:t>0398-8852566</w:t>
            </w:r>
          </w:p>
        </w:tc>
      </w:tr>
      <w:tr w14:paraId="0337A659">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40044C9">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41E7A6E">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项目名称</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23FDAEE1">
            <w:pPr>
              <w:shd w:val="clear" w:color="auto" w:fill="auto"/>
              <w:spacing w:line="480" w:lineRule="exact"/>
              <w:rPr>
                <w:rFonts w:hint="eastAsia" w:eastAsia="宋体"/>
                <w:color w:val="auto"/>
                <w:sz w:val="24"/>
                <w:highlight w:val="none"/>
                <w:lang w:eastAsia="zh-CN"/>
              </w:rPr>
            </w:pPr>
            <w:r>
              <w:rPr>
                <w:rFonts w:hint="eastAsia" w:ascii="宋体" w:hAnsi="宋体" w:cs="宋体"/>
                <w:color w:val="auto"/>
                <w:sz w:val="24"/>
                <w:highlight w:val="none"/>
                <w:lang w:eastAsia="zh-CN"/>
              </w:rPr>
              <w:t>灵宝市寺河乡人民政府2026年灵宝市寺河乡苹果数字化分选储运中心建设项目</w:t>
            </w:r>
          </w:p>
        </w:tc>
      </w:tr>
      <w:tr w14:paraId="3A3D6EC0">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BAC7115">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EA85A7D">
            <w:pPr>
              <w:shd w:val="clear" w:color="auto" w:fill="auto"/>
              <w:spacing w:line="450" w:lineRule="exact"/>
              <w:jc w:val="center"/>
              <w:rPr>
                <w:rFonts w:hint="eastAsia"/>
                <w:color w:val="auto"/>
                <w:sz w:val="24"/>
                <w:highlight w:val="none"/>
              </w:rPr>
            </w:pPr>
            <w:r>
              <w:rPr>
                <w:rFonts w:hint="eastAsia"/>
                <w:color w:val="auto"/>
                <w:sz w:val="24"/>
                <w:highlight w:val="none"/>
              </w:rPr>
              <w:t>项目概况</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51E680E">
            <w:pPr>
              <w:widowControl/>
              <w:shd w:val="clear" w:color="auto" w:fill="auto"/>
              <w:spacing w:line="360" w:lineRule="auto"/>
              <w:jc w:val="left"/>
              <w:rPr>
                <w:rFonts w:hint="eastAsia"/>
                <w:color w:val="auto"/>
                <w:sz w:val="24"/>
                <w:highlight w:val="none"/>
              </w:rPr>
            </w:pPr>
            <w:r>
              <w:rPr>
                <w:rFonts w:hint="eastAsia" w:ascii="宋体" w:hAnsi="宋体"/>
                <w:color w:val="auto"/>
                <w:sz w:val="24"/>
                <w:highlight w:val="none"/>
                <w:lang w:eastAsia="zh-CN"/>
              </w:rPr>
              <w:t>灵宝市寺河乡人民政府2026年灵宝市寺河乡苹果数字化分选储运中心建设项目，寺河乡苹果项目数字化分选储运中心的建筑工程、钢结构工程、安装工程等等；</w:t>
            </w:r>
          </w:p>
        </w:tc>
      </w:tr>
      <w:tr w14:paraId="6E8A7298">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6F6B25C">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1A881F2">
            <w:pPr>
              <w:shd w:val="clear" w:color="auto" w:fill="auto"/>
              <w:spacing w:line="450" w:lineRule="exact"/>
              <w:jc w:val="center"/>
              <w:rPr>
                <w:rFonts w:hint="eastAsia" w:ascii="宋体" w:hAnsi="宋体"/>
                <w:color w:val="auto"/>
                <w:sz w:val="24"/>
                <w:highlight w:val="none"/>
              </w:rPr>
            </w:pPr>
            <w:r>
              <w:rPr>
                <w:rFonts w:hint="eastAsia" w:ascii="宋体" w:hAnsi="宋体"/>
                <w:color w:val="auto"/>
                <w:sz w:val="24"/>
                <w:highlight w:val="none"/>
              </w:rPr>
              <w:t>质量要求</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EC98E07">
            <w:pPr>
              <w:widowControl/>
              <w:shd w:val="clear" w:color="auto" w:fill="auto"/>
              <w:spacing w:line="420" w:lineRule="exact"/>
              <w:jc w:val="left"/>
              <w:rPr>
                <w:rFonts w:hint="eastAsia" w:ascii="宋体" w:hAnsi="宋体" w:cs="宋体"/>
                <w:color w:val="auto"/>
                <w:sz w:val="24"/>
                <w:highlight w:val="none"/>
              </w:rPr>
            </w:pPr>
            <w:r>
              <w:rPr>
                <w:rFonts w:hint="eastAsia" w:ascii="宋体" w:hAnsi="宋体" w:cs="宋体"/>
                <w:color w:val="auto"/>
                <w:sz w:val="24"/>
                <w:highlight w:val="none"/>
              </w:rPr>
              <w:t>达到国家现行建设工程施工质量验收规范合格标准；</w:t>
            </w:r>
          </w:p>
        </w:tc>
      </w:tr>
      <w:tr w14:paraId="59EC26DF">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6068E26">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6A97181">
            <w:pPr>
              <w:shd w:val="clear" w:color="auto" w:fill="auto"/>
              <w:spacing w:line="450" w:lineRule="exact"/>
              <w:jc w:val="center"/>
              <w:rPr>
                <w:rFonts w:hint="eastAsia" w:ascii="宋体" w:hAnsi="宋体" w:cs="宋体"/>
                <w:color w:val="auto"/>
                <w:sz w:val="24"/>
                <w:highlight w:val="none"/>
              </w:rPr>
            </w:pPr>
            <w:r>
              <w:rPr>
                <w:rFonts w:hint="eastAsia" w:ascii="宋体" w:hAnsi="宋体"/>
                <w:color w:val="auto"/>
                <w:sz w:val="24"/>
                <w:highlight w:val="none"/>
              </w:rPr>
              <w:t>计划工期</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03A9CE5">
            <w:pPr>
              <w:widowControl/>
              <w:shd w:val="clear" w:color="auto" w:fill="auto"/>
              <w:spacing w:line="360" w:lineRule="auto"/>
              <w:jc w:val="left"/>
              <w:rPr>
                <w:rFonts w:hint="eastAsia" w:ascii="宋体" w:hAnsi="宋体" w:cs="宋体"/>
                <w:color w:val="auto"/>
                <w:sz w:val="24"/>
                <w:highlight w:val="none"/>
              </w:rPr>
            </w:pPr>
            <w:r>
              <w:rPr>
                <w:rFonts w:hint="eastAsia" w:ascii="宋体" w:hAnsi="宋体"/>
                <w:color w:val="auto"/>
                <w:sz w:val="24"/>
                <w:highlight w:val="none"/>
                <w:lang w:val="en-US" w:eastAsia="zh-CN"/>
              </w:rPr>
              <w:t>60日历天</w:t>
            </w:r>
          </w:p>
        </w:tc>
      </w:tr>
      <w:tr w14:paraId="00FBBC58">
        <w:tblPrEx>
          <w:tblCellMar>
            <w:top w:w="0" w:type="dxa"/>
            <w:left w:w="108" w:type="dxa"/>
            <w:bottom w:w="0" w:type="dxa"/>
            <w:right w:w="108" w:type="dxa"/>
          </w:tblCellMar>
        </w:tblPrEx>
        <w:trPr>
          <w:trHeight w:val="61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1137DBF">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9A05704">
            <w:pPr>
              <w:shd w:val="clear" w:color="auto" w:fill="auto"/>
              <w:spacing w:line="450" w:lineRule="exact"/>
              <w:jc w:val="center"/>
              <w:rPr>
                <w:rFonts w:hint="eastAsia" w:ascii="宋体" w:hAnsi="宋体" w:cs="宋体"/>
                <w:color w:val="auto"/>
                <w:sz w:val="24"/>
                <w:highlight w:val="none"/>
              </w:rPr>
            </w:pPr>
            <w:r>
              <w:rPr>
                <w:rFonts w:hint="eastAsia" w:ascii="宋体" w:hAnsi="宋体"/>
                <w:color w:val="auto"/>
                <w:sz w:val="24"/>
                <w:highlight w:val="none"/>
              </w:rPr>
              <w:t>施工地点</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6755F53">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采购人指定地点</w:t>
            </w:r>
          </w:p>
        </w:tc>
      </w:tr>
      <w:tr w14:paraId="0193778C">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A1B7D15">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top"/>
          </w:tcPr>
          <w:p w14:paraId="0C302A90">
            <w:pPr>
              <w:shd w:val="clear" w:color="auto" w:fill="auto"/>
              <w:spacing w:line="450" w:lineRule="exact"/>
              <w:jc w:val="center"/>
              <w:rPr>
                <w:rFonts w:ascii="宋体" w:hAnsi="宋体" w:cs="宋体"/>
                <w:color w:val="auto"/>
                <w:sz w:val="24"/>
                <w:highlight w:val="none"/>
              </w:rPr>
            </w:pPr>
            <w:r>
              <w:rPr>
                <w:rFonts w:hint="eastAsia" w:ascii="宋体" w:hAnsi="宋体"/>
                <w:color w:val="auto"/>
                <w:sz w:val="24"/>
                <w:highlight w:val="none"/>
              </w:rPr>
              <w:t>安全措施</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2A47DA4">
            <w:pPr>
              <w:shd w:val="clear" w:color="auto" w:fill="auto"/>
              <w:rPr>
                <w:rFonts w:ascii="宋体" w:hAnsi="宋体" w:cs="宋体"/>
                <w:color w:val="auto"/>
                <w:sz w:val="24"/>
                <w:highlight w:val="none"/>
              </w:rPr>
            </w:pPr>
            <w:r>
              <w:rPr>
                <w:rFonts w:hint="eastAsia" w:ascii="宋体" w:hAnsi="宋体"/>
                <w:color w:val="auto"/>
                <w:sz w:val="24"/>
                <w:highlight w:val="none"/>
              </w:rPr>
              <w:t>按国家规范执行，确保安全</w:t>
            </w:r>
          </w:p>
        </w:tc>
      </w:tr>
      <w:tr w14:paraId="666DFA4A">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5619792">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AF342EC">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资金来源</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1FDAD869">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财政资金</w:t>
            </w:r>
          </w:p>
        </w:tc>
      </w:tr>
      <w:tr w14:paraId="03FDBCA4">
        <w:tblPrEx>
          <w:tblCellMar>
            <w:top w:w="0" w:type="dxa"/>
            <w:left w:w="108" w:type="dxa"/>
            <w:bottom w:w="0" w:type="dxa"/>
            <w:right w:w="108" w:type="dxa"/>
          </w:tblCellMar>
        </w:tblPrEx>
        <w:trPr>
          <w:trHeight w:val="53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F0844A4">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E94E449">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资金落实情况</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E72F5BC">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已落实</w:t>
            </w:r>
          </w:p>
        </w:tc>
      </w:tr>
      <w:tr w14:paraId="049FF8F7">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3487C6E">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832EFD1">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供应商资质条件、能力</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40D3111">
            <w:pPr>
              <w:shd w:val="clear" w:color="auto" w:fill="auto"/>
              <w:spacing w:line="480" w:lineRule="exact"/>
              <w:rPr>
                <w:rFonts w:hint="eastAsia" w:ascii="宋体" w:hAnsi="宋体" w:cs="宋体"/>
                <w:color w:val="auto"/>
                <w:sz w:val="24"/>
                <w:highlight w:val="none"/>
              </w:rPr>
            </w:pPr>
            <w:r>
              <w:rPr>
                <w:rFonts w:hint="eastAsia" w:ascii="宋体" w:hAnsi="宋体" w:cs="宋体"/>
                <w:color w:val="auto"/>
                <w:sz w:val="24"/>
                <w:highlight w:val="none"/>
              </w:rPr>
              <w:t>详见竞争性</w:t>
            </w:r>
            <w:r>
              <w:rPr>
                <w:rFonts w:ascii="宋体" w:hAnsi="宋体" w:cs="宋体"/>
                <w:color w:val="auto"/>
                <w:sz w:val="24"/>
                <w:highlight w:val="none"/>
              </w:rPr>
              <w:t>磋商公告“二、</w:t>
            </w:r>
            <w:r>
              <w:rPr>
                <w:rFonts w:hint="eastAsia"/>
                <w:color w:val="auto"/>
                <w:sz w:val="24"/>
                <w:highlight w:val="none"/>
              </w:rPr>
              <w:t>申请人资格要求</w:t>
            </w:r>
            <w:r>
              <w:rPr>
                <w:rFonts w:ascii="宋体" w:hAnsi="宋体" w:cs="宋体"/>
                <w:color w:val="auto"/>
                <w:sz w:val="24"/>
                <w:highlight w:val="none"/>
              </w:rPr>
              <w:t>”</w:t>
            </w:r>
          </w:p>
        </w:tc>
      </w:tr>
      <w:tr w14:paraId="7A119BF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A35B0F7">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4167A7D">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投标预备会</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9F3474D">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不召开</w:t>
            </w:r>
          </w:p>
        </w:tc>
      </w:tr>
      <w:tr w14:paraId="5E8537D1">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29444BD">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8BDDE48">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分包</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DA868D6">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不允许</w:t>
            </w:r>
          </w:p>
        </w:tc>
      </w:tr>
      <w:tr w14:paraId="2A79B36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40C48FC">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EA4CCFC">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偏离</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7491B65">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允许</w:t>
            </w:r>
            <w:r>
              <w:rPr>
                <w:rFonts w:hint="eastAsia" w:ascii="宋体" w:hAnsi="宋体" w:cs="宋体"/>
                <w:color w:val="auto"/>
                <w:sz w:val="24"/>
                <w:highlight w:val="none"/>
                <w:lang w:val="en-US" w:eastAsia="zh-CN"/>
              </w:rPr>
              <w:t>正</w:t>
            </w:r>
            <w:r>
              <w:rPr>
                <w:rFonts w:hint="eastAsia" w:ascii="宋体" w:hAnsi="宋体" w:cs="宋体"/>
                <w:color w:val="auto"/>
                <w:sz w:val="24"/>
                <w:highlight w:val="none"/>
              </w:rPr>
              <w:t>偏离</w:t>
            </w:r>
          </w:p>
        </w:tc>
      </w:tr>
      <w:tr w14:paraId="2FF0547E">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F64CAC5">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8E0FF60">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供应商提出问题的截止时间</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A94B338">
            <w:pPr>
              <w:keepNext w:val="0"/>
              <w:pageBreakBefore w:val="0"/>
              <w:widowControl/>
              <w:shd w:val="clear" w:color="auto" w:fill="auto"/>
              <w:kinsoku/>
              <w:overflowPunct/>
              <w:topLinePunct w:val="0"/>
              <w:bidi w:val="0"/>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供应商认为磋商文件、磋商过程、成交结果使自己的权益受到损害的，可以在知道或者应知其权益受到损害之日起7个工作日内，以书面形式向招标人、招标代理机构提出质疑。</w:t>
            </w:r>
          </w:p>
          <w:p w14:paraId="65671BE7">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szCs w:val="24"/>
                <w:highlight w:val="none"/>
              </w:rPr>
              <w:t>要求供应商在法定质疑期内一次性提出针对同一磋商程序环节的质疑。</w:t>
            </w:r>
          </w:p>
        </w:tc>
      </w:tr>
      <w:tr w14:paraId="661FB49D">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C2E1BCC">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0130588">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采购人书面澄清或修改的时间</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3540C95">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响应性文件递交截止时间5天前，不足5日的，顺延提交磋商响应文件的截止时间。</w:t>
            </w:r>
          </w:p>
        </w:tc>
      </w:tr>
      <w:tr w14:paraId="2067A549">
        <w:tblPrEx>
          <w:tblCellMar>
            <w:top w:w="0" w:type="dxa"/>
            <w:left w:w="108" w:type="dxa"/>
            <w:bottom w:w="0" w:type="dxa"/>
            <w:right w:w="108" w:type="dxa"/>
          </w:tblCellMar>
        </w:tblPrEx>
        <w:trPr>
          <w:trHeight w:val="759"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6FA930D">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C0415C2">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响应性文件递交截止时间</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EB33812">
            <w:pPr>
              <w:shd w:val="clear" w:color="auto" w:fill="auto"/>
              <w:spacing w:line="450" w:lineRule="exact"/>
              <w:rPr>
                <w:rFonts w:hint="eastAsia" w:ascii="宋体" w:hAnsi="宋体" w:eastAsia="宋体" w:cs="宋体"/>
                <w:color w:val="auto"/>
                <w:sz w:val="24"/>
                <w:highlight w:val="none"/>
                <w:lang w:eastAsia="zh-CN"/>
              </w:rPr>
            </w:pPr>
            <w:r>
              <w:rPr>
                <w:rFonts w:hint="eastAsia" w:ascii="宋体" w:hAnsi="宋体" w:cs="宋体"/>
                <w:color w:val="auto"/>
                <w:kern w:val="0"/>
                <w:sz w:val="24"/>
                <w:highlight w:val="none"/>
                <w:lang w:eastAsia="zh-CN"/>
              </w:rPr>
              <w:t>2026年09月29日08时30分</w:t>
            </w:r>
          </w:p>
        </w:tc>
      </w:tr>
      <w:tr w14:paraId="4E4EC10B">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B98088F">
            <w:pPr>
              <w:numPr>
                <w:ilvl w:val="0"/>
                <w:numId w:val="2"/>
              </w:numPr>
              <w:shd w:val="clear" w:color="auto" w:fill="auto"/>
              <w:spacing w:line="450" w:lineRule="exact"/>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1B91847">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供应商确认收到竞争性磋商文件的澄清或修改时间</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D0EDD98">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三门峡市公共资源交易中心网发布变更公告，不再发纸质的变更信息。提醒供应商随时注意网上发布的信息。如因供应商自身原因未看到信息，因此造成的一切后果由供应商自行承担。</w:t>
            </w:r>
          </w:p>
        </w:tc>
      </w:tr>
      <w:tr w14:paraId="705EA19C">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A2EB152">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A244F80">
            <w:pPr>
              <w:shd w:val="clear" w:color="auto" w:fill="auto"/>
              <w:spacing w:line="450" w:lineRule="exact"/>
              <w:jc w:val="center"/>
              <w:rPr>
                <w:rFonts w:hint="eastAsia" w:ascii="宋体" w:hAnsi="宋体" w:cs="宋体"/>
                <w:color w:val="auto"/>
                <w:sz w:val="24"/>
                <w:highlight w:val="none"/>
              </w:rPr>
            </w:pPr>
            <w:r>
              <w:rPr>
                <w:rFonts w:hint="eastAsia" w:ascii="宋体" w:hAnsi="宋体" w:cs="宋体"/>
                <w:color w:val="auto"/>
                <w:sz w:val="24"/>
                <w:highlight w:val="none"/>
              </w:rPr>
              <w:t>投标有效期</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F7D72D1">
            <w:pPr>
              <w:shd w:val="clear" w:color="auto" w:fill="auto"/>
              <w:spacing w:line="450" w:lineRule="exact"/>
              <w:rPr>
                <w:rFonts w:hint="eastAsia" w:ascii="宋体" w:hAnsi="宋体" w:cs="宋体"/>
                <w:color w:val="auto"/>
                <w:sz w:val="24"/>
                <w:highlight w:val="none"/>
              </w:rPr>
            </w:pPr>
            <w:r>
              <w:rPr>
                <w:rFonts w:hint="eastAsia" w:ascii="宋体" w:hAnsi="宋体" w:cs="宋体"/>
                <w:color w:val="auto"/>
                <w:sz w:val="24"/>
                <w:highlight w:val="none"/>
              </w:rPr>
              <w:t>响应文件递交截止之日起60日历天</w:t>
            </w:r>
          </w:p>
        </w:tc>
      </w:tr>
      <w:tr w14:paraId="089FA17A">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AF28183">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BED675B">
            <w:pPr>
              <w:widowControl/>
              <w:spacing w:line="360" w:lineRule="auto"/>
              <w:jc w:val="center"/>
              <w:rPr>
                <w:rFonts w:hint="eastAsia" w:ascii="宋体" w:hAnsi="宋体" w:cs="宋体"/>
                <w:color w:val="auto"/>
                <w:sz w:val="24"/>
                <w:highlight w:val="none"/>
              </w:rPr>
            </w:pPr>
            <w:r>
              <w:rPr>
                <w:rFonts w:hint="eastAsia" w:ascii="宋体" w:hAnsi="宋体" w:cs="宋体"/>
                <w:color w:val="auto"/>
                <w:sz w:val="24"/>
                <w:szCs w:val="24"/>
                <w:highlight w:val="none"/>
              </w:rPr>
              <w:t>近年财务状况的年份要求</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3DADC9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highlight w:val="none"/>
              </w:rPr>
            </w:pPr>
            <w:r>
              <w:rPr>
                <w:rFonts w:hint="eastAsia" w:ascii="宋体" w:hAnsi="宋体" w:cs="宋体"/>
                <w:color w:val="auto"/>
                <w:sz w:val="24"/>
                <w:szCs w:val="24"/>
                <w:highlight w:val="none"/>
                <w:u w:val="single"/>
                <w:lang w:eastAsia="zh-CN"/>
              </w:rPr>
              <w:t>近</w:t>
            </w:r>
            <w:r>
              <w:rPr>
                <w:rFonts w:hint="eastAsia" w:ascii="宋体" w:hAnsi="宋体" w:cs="宋体"/>
                <w:color w:val="auto"/>
                <w:sz w:val="24"/>
                <w:szCs w:val="24"/>
                <w:highlight w:val="none"/>
                <w:u w:val="single"/>
              </w:rPr>
              <w:t>三</w:t>
            </w:r>
            <w:r>
              <w:rPr>
                <w:rFonts w:hint="eastAsia" w:ascii="宋体" w:hAnsi="宋体" w:cs="宋体"/>
                <w:color w:val="auto"/>
                <w:sz w:val="24"/>
                <w:szCs w:val="24"/>
                <w:highlight w:val="none"/>
              </w:rPr>
              <w:t>年，指202</w:t>
            </w:r>
            <w:r>
              <w:rPr>
                <w:rFonts w:hint="eastAsia" w:ascii="宋体" w:hAnsi="宋体" w:cs="宋体"/>
                <w:color w:val="auto"/>
                <w:sz w:val="24"/>
                <w:szCs w:val="24"/>
                <w:highlight w:val="none"/>
                <w:lang w:val="en-US" w:eastAsia="zh-CN"/>
              </w:rPr>
              <w:t>3</w:t>
            </w:r>
            <w:r>
              <w:rPr>
                <w:rFonts w:hint="eastAsia" w:ascii="宋体" w:hAnsi="宋体" w:cs="宋体"/>
                <w:color w:val="auto"/>
                <w:sz w:val="24"/>
                <w:szCs w:val="24"/>
                <w:highlight w:val="none"/>
              </w:rPr>
              <w:t>年度、202</w:t>
            </w:r>
            <w:r>
              <w:rPr>
                <w:rFonts w:hint="eastAsia" w:ascii="宋体" w:hAnsi="宋体" w:cs="宋体"/>
                <w:color w:val="auto"/>
                <w:sz w:val="24"/>
                <w:szCs w:val="24"/>
                <w:highlight w:val="none"/>
                <w:lang w:val="en-US" w:eastAsia="zh-CN"/>
              </w:rPr>
              <w:t>4</w:t>
            </w:r>
            <w:r>
              <w:rPr>
                <w:rFonts w:hint="eastAsia" w:ascii="宋体" w:hAnsi="宋体" w:cs="宋体"/>
                <w:color w:val="auto"/>
                <w:sz w:val="24"/>
                <w:szCs w:val="24"/>
                <w:highlight w:val="none"/>
              </w:rPr>
              <w:t>年度、202</w:t>
            </w:r>
            <w:r>
              <w:rPr>
                <w:rFonts w:hint="eastAsia" w:ascii="宋体" w:hAnsi="宋体" w:cs="宋体"/>
                <w:color w:val="auto"/>
                <w:sz w:val="24"/>
                <w:szCs w:val="24"/>
                <w:highlight w:val="none"/>
                <w:lang w:val="en-US" w:eastAsia="zh-CN"/>
              </w:rPr>
              <w:t>5</w:t>
            </w:r>
            <w:r>
              <w:rPr>
                <w:rFonts w:hint="eastAsia" w:ascii="宋体" w:hAnsi="宋体" w:cs="宋体"/>
                <w:color w:val="auto"/>
                <w:sz w:val="24"/>
                <w:szCs w:val="24"/>
                <w:highlight w:val="none"/>
              </w:rPr>
              <w:t>年度的经第三方会计师事务所或审计机构出具的审计报告（公司成立不足三年的，以公司成立年份计算</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成立不足1年的出具成立以来财务报表</w:t>
            </w:r>
            <w:r>
              <w:rPr>
                <w:rFonts w:hint="eastAsia" w:ascii="宋体" w:hAnsi="宋体" w:cs="宋体"/>
                <w:color w:val="auto"/>
                <w:sz w:val="24"/>
                <w:szCs w:val="24"/>
                <w:highlight w:val="none"/>
              </w:rPr>
              <w:t>）。</w:t>
            </w:r>
          </w:p>
        </w:tc>
      </w:tr>
      <w:tr w14:paraId="5824185B">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8C11060">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7B8B4F6">
            <w:pPr>
              <w:widowControl/>
              <w:spacing w:line="360" w:lineRule="auto"/>
              <w:jc w:val="center"/>
              <w:rPr>
                <w:rFonts w:hint="eastAsia" w:ascii="宋体" w:hAnsi="宋体" w:cs="宋体"/>
                <w:color w:val="auto"/>
                <w:sz w:val="24"/>
                <w:highlight w:val="none"/>
              </w:rPr>
            </w:pPr>
            <w:r>
              <w:rPr>
                <w:rFonts w:hint="eastAsia" w:ascii="宋体" w:hAnsi="宋体" w:cs="宋体"/>
                <w:color w:val="auto"/>
                <w:sz w:val="24"/>
                <w:szCs w:val="24"/>
                <w:highlight w:val="none"/>
              </w:rPr>
              <w:t>近年完成的类似项目的年份要求</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6F2962D">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highlight w:val="none"/>
              </w:rPr>
            </w:pPr>
            <w:r>
              <w:rPr>
                <w:rFonts w:hint="eastAsia" w:ascii="宋体" w:hAnsi="宋体" w:cs="宋体"/>
                <w:color w:val="auto"/>
                <w:kern w:val="44"/>
                <w:sz w:val="24"/>
                <w:szCs w:val="24"/>
                <w:highlight w:val="none"/>
              </w:rPr>
              <w:t>202</w:t>
            </w:r>
            <w:r>
              <w:rPr>
                <w:rFonts w:hint="eastAsia" w:ascii="宋体" w:hAnsi="宋体" w:cs="宋体"/>
                <w:color w:val="auto"/>
                <w:kern w:val="44"/>
                <w:sz w:val="24"/>
                <w:szCs w:val="24"/>
                <w:highlight w:val="none"/>
                <w:lang w:val="en-US" w:eastAsia="zh-CN"/>
              </w:rPr>
              <w:t>3</w:t>
            </w:r>
            <w:r>
              <w:rPr>
                <w:rFonts w:hint="eastAsia" w:ascii="宋体" w:hAnsi="宋体" w:cs="宋体"/>
                <w:color w:val="auto"/>
                <w:kern w:val="44"/>
                <w:sz w:val="24"/>
                <w:szCs w:val="24"/>
                <w:highlight w:val="none"/>
              </w:rPr>
              <w:t>年1月1日以来</w:t>
            </w:r>
          </w:p>
        </w:tc>
      </w:tr>
      <w:tr w14:paraId="6AF8DD1A">
        <w:tblPrEx>
          <w:tblCellMar>
            <w:top w:w="0" w:type="dxa"/>
            <w:left w:w="108" w:type="dxa"/>
            <w:bottom w:w="0" w:type="dxa"/>
            <w:right w:w="108" w:type="dxa"/>
          </w:tblCellMar>
        </w:tblPrEx>
        <w:trPr>
          <w:trHeight w:val="62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444E58C">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5EA0ED1">
            <w:pPr>
              <w:widowControl/>
              <w:spacing w:line="360" w:lineRule="auto"/>
              <w:jc w:val="center"/>
              <w:rPr>
                <w:rFonts w:hint="eastAsia" w:ascii="宋体" w:hAnsi="宋体" w:cs="宋体"/>
                <w:color w:val="auto"/>
                <w:sz w:val="24"/>
                <w:highlight w:val="none"/>
              </w:rPr>
            </w:pPr>
            <w:r>
              <w:rPr>
                <w:rFonts w:hint="eastAsia" w:ascii="宋体" w:hAnsi="宋体" w:cs="宋体"/>
                <w:color w:val="auto"/>
                <w:sz w:val="24"/>
                <w:szCs w:val="24"/>
                <w:highlight w:val="none"/>
              </w:rPr>
              <w:t>近年发生的诉讼及仲裁情况的年份要求</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2C4AC34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s="宋体"/>
                <w:color w:val="auto"/>
                <w:sz w:val="24"/>
                <w:highlight w:val="none"/>
              </w:rPr>
            </w:pPr>
            <w:r>
              <w:rPr>
                <w:rFonts w:hint="eastAsia" w:ascii="宋体" w:hAnsi="宋体" w:cs="宋体"/>
                <w:color w:val="auto"/>
                <w:kern w:val="44"/>
                <w:sz w:val="24"/>
                <w:szCs w:val="24"/>
                <w:highlight w:val="none"/>
              </w:rPr>
              <w:t>202</w:t>
            </w:r>
            <w:r>
              <w:rPr>
                <w:rFonts w:hint="eastAsia" w:ascii="宋体" w:hAnsi="宋体" w:cs="宋体"/>
                <w:color w:val="auto"/>
                <w:kern w:val="44"/>
                <w:sz w:val="24"/>
                <w:szCs w:val="24"/>
                <w:highlight w:val="none"/>
                <w:lang w:val="en-US" w:eastAsia="zh-CN"/>
              </w:rPr>
              <w:t>3</w:t>
            </w:r>
            <w:r>
              <w:rPr>
                <w:rFonts w:hint="eastAsia" w:ascii="宋体" w:hAnsi="宋体" w:cs="宋体"/>
                <w:color w:val="auto"/>
                <w:kern w:val="44"/>
                <w:sz w:val="24"/>
                <w:szCs w:val="24"/>
                <w:highlight w:val="none"/>
              </w:rPr>
              <w:t>年1月1日以来</w:t>
            </w:r>
          </w:p>
        </w:tc>
      </w:tr>
      <w:tr w14:paraId="20B4B864">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A61ADA9">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278252E">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磋商保证金</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5A973C8">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按照《河南省财政厅关于优化政府采购营商环境有关问题的通知》（豫财购[2019]4号文）的要求本项目不再收取投标保证金。</w:t>
            </w:r>
          </w:p>
        </w:tc>
      </w:tr>
      <w:tr w14:paraId="2D8108A9">
        <w:tblPrEx>
          <w:tblCellMar>
            <w:top w:w="0" w:type="dxa"/>
            <w:left w:w="108" w:type="dxa"/>
            <w:bottom w:w="0" w:type="dxa"/>
            <w:right w:w="108" w:type="dxa"/>
          </w:tblCellMar>
        </w:tblPrEx>
        <w:trPr>
          <w:trHeight w:val="484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15BABEB2">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66B70D6">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签字或盖章要求</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6885BF9">
            <w:pPr>
              <w:shd w:val="clear" w:color="auto" w:fill="auto"/>
              <w:spacing w:line="400" w:lineRule="exact"/>
              <w:rPr>
                <w:rFonts w:ascii="宋体" w:hAnsi="宋体" w:cs="宋体"/>
                <w:color w:val="auto"/>
                <w:sz w:val="24"/>
                <w:highlight w:val="none"/>
              </w:rPr>
            </w:pPr>
            <w:r>
              <w:rPr>
                <w:rFonts w:hint="eastAsia" w:ascii="宋体" w:hAnsi="宋体" w:cs="宋体"/>
                <w:color w:val="auto"/>
                <w:sz w:val="24"/>
                <w:highlight w:val="none"/>
              </w:rPr>
              <w:t>1、供应商在生成电子化响应文件后，应对电子化响应文件进行签章，未对电子化文件进行签章的视为无效投标。</w:t>
            </w:r>
          </w:p>
          <w:p w14:paraId="69BE7A56">
            <w:pPr>
              <w:shd w:val="clear" w:color="auto" w:fill="auto"/>
              <w:spacing w:line="400" w:lineRule="exact"/>
              <w:rPr>
                <w:rFonts w:ascii="宋体" w:hAnsi="宋体" w:cs="宋体"/>
                <w:color w:val="auto"/>
                <w:sz w:val="24"/>
                <w:highlight w:val="none"/>
              </w:rPr>
            </w:pPr>
            <w:r>
              <w:rPr>
                <w:rFonts w:hint="eastAsia" w:ascii="宋体" w:hAnsi="宋体" w:cs="宋体"/>
                <w:color w:val="auto"/>
                <w:sz w:val="24"/>
                <w:highlight w:val="none"/>
              </w:rPr>
              <w:t>2、竞争性磋商文件中要求法定代表人或授权委托人签字或盖章的，供应商在进行电子化响应文件签章时，以签盖法定代表人电子签章为准。（电子化响应文件具体制作教材请供应商通过CA证书登录三门峡市公共资源电子化交易系统在右上角“组件下载”中查看）</w:t>
            </w:r>
          </w:p>
          <w:p w14:paraId="1D7C76B5">
            <w:pPr>
              <w:shd w:val="clear" w:color="auto" w:fill="auto"/>
              <w:spacing w:line="400" w:lineRule="exact"/>
              <w:rPr>
                <w:rFonts w:hint="eastAsia" w:ascii="宋体" w:hAnsi="宋体" w:cs="宋体"/>
                <w:color w:val="auto"/>
                <w:sz w:val="24"/>
                <w:highlight w:val="none"/>
              </w:rPr>
            </w:pPr>
            <w:r>
              <w:rPr>
                <w:rFonts w:hint="eastAsia" w:ascii="宋体" w:hAnsi="宋体" w:cs="宋体"/>
                <w:color w:val="auto"/>
                <w:sz w:val="24"/>
                <w:highlight w:val="none"/>
              </w:rPr>
              <w:t>3、本项目为电子化、无纸化交易项目，响应文件是供应商通过中心投标文件制作系统制作，并经过电子签章和加密后生成的电子版投标文件。供应商投标时，将不再接受任何纸质文件资料</w:t>
            </w:r>
          </w:p>
          <w:p w14:paraId="6F05CC65">
            <w:pPr>
              <w:shd w:val="clear" w:color="auto" w:fill="auto"/>
              <w:spacing w:line="400" w:lineRule="exact"/>
              <w:rPr>
                <w:rFonts w:hint="eastAsia"/>
                <w:color w:val="auto"/>
                <w:highlight w:val="none"/>
              </w:rPr>
            </w:pPr>
            <w:r>
              <w:rPr>
                <w:rFonts w:hint="eastAsia" w:ascii="宋体" w:hAnsi="宋体" w:cs="宋体"/>
                <w:color w:val="auto"/>
                <w:sz w:val="24"/>
                <w:highlight w:val="none"/>
              </w:rPr>
              <w:t>4、成交单位领取成交通知书时提交三份纸质响应文件。</w:t>
            </w:r>
          </w:p>
        </w:tc>
      </w:tr>
      <w:tr w14:paraId="5A126CA6">
        <w:tblPrEx>
          <w:tblCellMar>
            <w:top w:w="0" w:type="dxa"/>
            <w:left w:w="108" w:type="dxa"/>
            <w:bottom w:w="0" w:type="dxa"/>
            <w:right w:w="108" w:type="dxa"/>
          </w:tblCellMar>
        </w:tblPrEx>
        <w:trPr>
          <w:trHeight w:val="1101"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F648AD4">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C37A6D8">
            <w:pPr>
              <w:widowControl/>
              <w:shd w:val="clear" w:color="auto" w:fill="auto"/>
              <w:spacing w:line="259" w:lineRule="auto"/>
              <w:rPr>
                <w:rFonts w:ascii="宋体" w:hAnsi="宋体" w:cs="宋体"/>
                <w:color w:val="auto"/>
                <w:kern w:val="0"/>
                <w:sz w:val="24"/>
                <w:highlight w:val="none"/>
              </w:rPr>
            </w:pPr>
            <w:r>
              <w:rPr>
                <w:rFonts w:hint="eastAsia" w:ascii="宋体" w:hAnsi="宋体" w:cs="宋体"/>
                <w:color w:val="auto"/>
                <w:sz w:val="24"/>
                <w:highlight w:val="none"/>
              </w:rPr>
              <w:t>递交响应文件地点</w:t>
            </w:r>
          </w:p>
        </w:tc>
        <w:tc>
          <w:tcPr>
            <w:tcW w:w="6739" w:type="dxa"/>
            <w:tcBorders>
              <w:top w:val="single" w:color="auto" w:sz="4" w:space="0"/>
              <w:left w:val="single" w:color="auto" w:sz="4" w:space="0"/>
              <w:bottom w:val="single" w:color="auto" w:sz="4" w:space="0"/>
              <w:right w:val="single" w:color="auto" w:sz="4" w:space="0"/>
            </w:tcBorders>
            <w:noWrap w:val="0"/>
            <w:vAlign w:val="top"/>
          </w:tcPr>
          <w:p w14:paraId="012AC60E">
            <w:pPr>
              <w:widowControl/>
              <w:shd w:val="clear" w:color="auto" w:fill="auto"/>
              <w:spacing w:line="259" w:lineRule="auto"/>
              <w:ind w:right="105" w:rightChars="50"/>
              <w:jc w:val="left"/>
              <w:rPr>
                <w:rFonts w:ascii="宋体" w:hAnsi="宋体" w:cs="宋体"/>
                <w:color w:val="auto"/>
                <w:kern w:val="0"/>
                <w:sz w:val="24"/>
                <w:highlight w:val="none"/>
              </w:rPr>
            </w:pPr>
            <w:r>
              <w:rPr>
                <w:rFonts w:hint="eastAsia" w:ascii="宋体" w:hAnsi="宋体" w:cs="宋体"/>
                <w:bCs/>
                <w:color w:val="auto"/>
                <w:sz w:val="24"/>
                <w:highlight w:val="none"/>
              </w:rPr>
              <w:t>本项目为不见面开标项目，开标当日供应商无需到开标现场参加开标会议，供应商应当在投标截止时间前，登陆不见面开标大厅选择登陆三门峡市公共资源电子招投标系统进行操作。</w:t>
            </w:r>
          </w:p>
        </w:tc>
      </w:tr>
      <w:tr w14:paraId="72BECFB1">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B6A12A0">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AB39F31">
            <w:pPr>
              <w:shd w:val="clear" w:color="auto" w:fill="auto"/>
              <w:spacing w:line="276" w:lineRule="auto"/>
              <w:jc w:val="center"/>
              <w:rPr>
                <w:rFonts w:hint="eastAsia" w:ascii="宋体" w:hAnsi="宋体" w:cs="宋体"/>
                <w:color w:val="auto"/>
                <w:kern w:val="10"/>
                <w:sz w:val="24"/>
                <w:highlight w:val="none"/>
              </w:rPr>
            </w:pPr>
            <w:r>
              <w:rPr>
                <w:rFonts w:hint="eastAsia" w:ascii="宋体" w:hAnsi="宋体" w:cs="宋体"/>
                <w:color w:val="auto"/>
                <w:kern w:val="10"/>
                <w:sz w:val="24"/>
                <w:highlight w:val="none"/>
              </w:rPr>
              <w:t>是否允许递交备选投标方案</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113AC83">
            <w:pPr>
              <w:shd w:val="clear" w:color="auto" w:fill="auto"/>
              <w:spacing w:line="360" w:lineRule="auto"/>
              <w:rPr>
                <w:rFonts w:hint="eastAsia" w:ascii="宋体" w:hAnsi="宋体" w:cs="宋体"/>
                <w:color w:val="auto"/>
                <w:kern w:val="10"/>
                <w:sz w:val="24"/>
                <w:highlight w:val="none"/>
              </w:rPr>
            </w:pPr>
            <w:r>
              <w:rPr>
                <w:rFonts w:hint="eastAsia" w:ascii="宋体" w:hAnsi="宋体" w:cs="宋体"/>
                <w:color w:val="auto"/>
                <w:sz w:val="24"/>
                <w:highlight w:val="none"/>
              </w:rPr>
              <w:t>■</w:t>
            </w:r>
            <w:r>
              <w:rPr>
                <w:rFonts w:hint="eastAsia" w:ascii="宋体" w:hAnsi="宋体" w:cs="宋体"/>
                <w:color w:val="auto"/>
                <w:kern w:val="10"/>
                <w:sz w:val="24"/>
                <w:highlight w:val="none"/>
              </w:rPr>
              <w:t>不允许</w:t>
            </w:r>
          </w:p>
        </w:tc>
      </w:tr>
      <w:tr w14:paraId="17E5DF5D">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439A166">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87052B3">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是否退还响应性文件</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838E0A4">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■否</w:t>
            </w:r>
          </w:p>
        </w:tc>
      </w:tr>
      <w:tr w14:paraId="04D06B71">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66B128E">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C8D85AC">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是否提供样品</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C251A8E">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■否</w:t>
            </w:r>
          </w:p>
        </w:tc>
      </w:tr>
      <w:tr w14:paraId="573B0D12">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BFA877">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BE066B0">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磋商时间和地点</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28521F39">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磋商时间：同递交响应性文件截止时间</w:t>
            </w:r>
          </w:p>
          <w:p w14:paraId="4538B797">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磋商地点：同递交响应性文件地点</w:t>
            </w:r>
          </w:p>
        </w:tc>
      </w:tr>
      <w:tr w14:paraId="4CD2078C">
        <w:tblPrEx>
          <w:tblCellMar>
            <w:top w:w="0" w:type="dxa"/>
            <w:left w:w="108" w:type="dxa"/>
            <w:bottom w:w="0" w:type="dxa"/>
            <w:right w:w="108" w:type="dxa"/>
          </w:tblCellMar>
        </w:tblPrEx>
        <w:trPr>
          <w:trHeight w:val="564"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BD53A4C">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02CD76C">
            <w:pPr>
              <w:widowControl/>
              <w:shd w:val="clear" w:color="auto" w:fill="auto"/>
              <w:spacing w:line="259" w:lineRule="auto"/>
              <w:ind w:left="90"/>
              <w:jc w:val="center"/>
              <w:rPr>
                <w:rFonts w:ascii="宋体" w:hAnsi="宋体" w:cs="宋体"/>
                <w:color w:val="auto"/>
                <w:kern w:val="0"/>
                <w:sz w:val="24"/>
                <w:highlight w:val="none"/>
              </w:rPr>
            </w:pPr>
            <w:r>
              <w:rPr>
                <w:rFonts w:ascii="宋体" w:hAnsi="宋体" w:cs="宋体"/>
                <w:color w:val="auto"/>
                <w:kern w:val="0"/>
                <w:sz w:val="24"/>
                <w:highlight w:val="none"/>
              </w:rPr>
              <w:t>开标顺序</w:t>
            </w:r>
          </w:p>
        </w:tc>
        <w:tc>
          <w:tcPr>
            <w:tcW w:w="6739" w:type="dxa"/>
            <w:tcBorders>
              <w:top w:val="single" w:color="auto" w:sz="4" w:space="0"/>
              <w:left w:val="single" w:color="auto" w:sz="4" w:space="0"/>
              <w:bottom w:val="single" w:color="auto" w:sz="4" w:space="0"/>
              <w:right w:val="single" w:color="auto" w:sz="4" w:space="0"/>
            </w:tcBorders>
            <w:noWrap w:val="0"/>
            <w:vAlign w:val="top"/>
          </w:tcPr>
          <w:p w14:paraId="7386614B">
            <w:pPr>
              <w:widowControl/>
              <w:shd w:val="clear" w:color="auto" w:fill="auto"/>
              <w:spacing w:line="259" w:lineRule="auto"/>
              <w:ind w:left="1"/>
              <w:jc w:val="left"/>
              <w:rPr>
                <w:rFonts w:ascii="宋体" w:hAnsi="宋体" w:cs="宋体"/>
                <w:color w:val="auto"/>
                <w:kern w:val="0"/>
                <w:sz w:val="24"/>
                <w:highlight w:val="none"/>
              </w:rPr>
            </w:pPr>
            <w:r>
              <w:rPr>
                <w:rFonts w:ascii="宋体" w:hAnsi="宋体" w:cs="宋体"/>
                <w:color w:val="auto"/>
                <w:kern w:val="0"/>
                <w:sz w:val="24"/>
                <w:highlight w:val="none"/>
              </w:rPr>
              <w:t>按电子响应文件上传的顺序开标</w:t>
            </w:r>
          </w:p>
        </w:tc>
      </w:tr>
      <w:tr w14:paraId="0D0C4F30">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EF97D49">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22356A6">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磋商小组</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9DF35F9">
            <w:pPr>
              <w:keepNext w:val="0"/>
              <w:pageBreakBefore w:val="0"/>
              <w:widowControl/>
              <w:shd w:val="clear" w:color="auto" w:fill="auto"/>
              <w:kinsoku/>
              <w:overflowPunct/>
              <w:topLinePunct w:val="0"/>
              <w:bidi w:val="0"/>
              <w:snapToGrid/>
              <w:spacing w:line="360" w:lineRule="auto"/>
              <w:ind w:firstLine="0" w:firstLineChars="0"/>
              <w:textAlignment w:val="auto"/>
              <w:rPr>
                <w:rFonts w:hint="eastAsia" w:ascii="宋体" w:hAnsi="宋体" w:cs="Calibri"/>
                <w:color w:val="auto"/>
                <w:sz w:val="24"/>
                <w:szCs w:val="24"/>
                <w:highlight w:val="none"/>
              </w:rPr>
            </w:pPr>
            <w:r>
              <w:rPr>
                <w:rFonts w:hint="eastAsia" w:ascii="宋体" w:hAnsi="宋体" w:cs="Calibri"/>
                <w:color w:val="auto"/>
                <w:sz w:val="24"/>
                <w:szCs w:val="24"/>
                <w:highlight w:val="none"/>
              </w:rPr>
              <w:t>磋商小组构成：由</w:t>
            </w:r>
            <w:r>
              <w:rPr>
                <w:rFonts w:hint="eastAsia" w:ascii="宋体" w:hAnsi="宋体" w:cs="Calibri"/>
                <w:color w:val="auto"/>
                <w:sz w:val="24"/>
                <w:szCs w:val="24"/>
                <w:highlight w:val="none"/>
                <w:lang w:val="en-US" w:eastAsia="zh-CN"/>
              </w:rPr>
              <w:t>采购人代表和</w:t>
            </w:r>
            <w:r>
              <w:rPr>
                <w:rFonts w:hint="eastAsia" w:ascii="宋体" w:hAnsi="宋体" w:cs="Calibri"/>
                <w:color w:val="auto"/>
                <w:sz w:val="24"/>
                <w:szCs w:val="24"/>
                <w:highlight w:val="none"/>
              </w:rPr>
              <w:t>有关经济、技术等方面的专家共3人组成，其中</w:t>
            </w:r>
            <w:r>
              <w:rPr>
                <w:rFonts w:hint="eastAsia" w:ascii="宋体" w:hAnsi="宋体" w:cs="Calibri"/>
                <w:color w:val="auto"/>
                <w:sz w:val="24"/>
                <w:szCs w:val="24"/>
                <w:highlight w:val="none"/>
                <w:lang w:val="en-US" w:eastAsia="zh-CN"/>
              </w:rPr>
              <w:t>采购人代表1人、技术</w:t>
            </w:r>
            <w:r>
              <w:rPr>
                <w:rFonts w:hint="eastAsia" w:ascii="宋体" w:hAnsi="宋体" w:cs="Calibri"/>
                <w:color w:val="auto"/>
                <w:sz w:val="24"/>
                <w:szCs w:val="24"/>
                <w:highlight w:val="none"/>
              </w:rPr>
              <w:t>有关方面的专家</w:t>
            </w:r>
            <w:r>
              <w:rPr>
                <w:rFonts w:hint="eastAsia" w:ascii="宋体" w:hAnsi="宋体" w:cs="Calibri"/>
                <w:color w:val="auto"/>
                <w:sz w:val="24"/>
                <w:szCs w:val="24"/>
                <w:highlight w:val="none"/>
                <w:lang w:val="en-US" w:eastAsia="zh-CN"/>
              </w:rPr>
              <w:t>1人</w:t>
            </w:r>
            <w:r>
              <w:rPr>
                <w:rFonts w:hint="eastAsia" w:ascii="宋体" w:hAnsi="宋体" w:cs="Calibri"/>
                <w:color w:val="auto"/>
                <w:sz w:val="24"/>
                <w:szCs w:val="24"/>
                <w:highlight w:val="none"/>
              </w:rPr>
              <w:t>、</w:t>
            </w:r>
            <w:r>
              <w:rPr>
                <w:rFonts w:hint="eastAsia" w:ascii="宋体" w:hAnsi="宋体" w:cs="Calibri"/>
                <w:color w:val="auto"/>
                <w:sz w:val="24"/>
                <w:szCs w:val="24"/>
                <w:highlight w:val="none"/>
                <w:lang w:val="en-US" w:eastAsia="zh-CN"/>
              </w:rPr>
              <w:t>经济</w:t>
            </w:r>
            <w:r>
              <w:rPr>
                <w:rFonts w:hint="eastAsia" w:ascii="宋体" w:hAnsi="宋体" w:cs="Calibri"/>
                <w:color w:val="auto"/>
                <w:sz w:val="24"/>
                <w:szCs w:val="24"/>
                <w:highlight w:val="none"/>
              </w:rPr>
              <w:t>有关方面的专家1人</w:t>
            </w:r>
            <w:r>
              <w:rPr>
                <w:rFonts w:hint="eastAsia" w:ascii="宋体" w:hAnsi="宋体" w:cs="Calibri"/>
                <w:color w:val="auto"/>
                <w:sz w:val="24"/>
                <w:szCs w:val="24"/>
                <w:highlight w:val="none"/>
                <w:lang w:eastAsia="zh-CN"/>
              </w:rPr>
              <w:t>，</w:t>
            </w:r>
            <w:r>
              <w:rPr>
                <w:rFonts w:hint="eastAsia" w:ascii="宋体" w:hAnsi="宋体" w:cs="Calibri"/>
                <w:color w:val="auto"/>
                <w:sz w:val="24"/>
                <w:szCs w:val="24"/>
                <w:highlight w:val="none"/>
                <w:lang w:val="en-US" w:eastAsia="zh-CN"/>
              </w:rPr>
              <w:t>共3人组成</w:t>
            </w:r>
            <w:r>
              <w:rPr>
                <w:rFonts w:hint="eastAsia" w:ascii="宋体" w:hAnsi="宋体" w:cs="Calibri"/>
                <w:color w:val="auto"/>
                <w:sz w:val="24"/>
                <w:szCs w:val="24"/>
                <w:highlight w:val="none"/>
              </w:rPr>
              <w:t>。评标专家确定方式：参加评标的专家在</w:t>
            </w:r>
            <w:r>
              <w:rPr>
                <w:rFonts w:hint="eastAsia" w:ascii="宋体" w:hAnsi="宋体" w:cs="Calibri"/>
                <w:color w:val="auto"/>
                <w:sz w:val="24"/>
                <w:szCs w:val="24"/>
                <w:highlight w:val="none"/>
                <w:lang w:val="en-US" w:eastAsia="zh-CN"/>
              </w:rPr>
              <w:t>河南政府采购网抽取终端</w:t>
            </w:r>
            <w:r>
              <w:rPr>
                <w:rFonts w:hint="eastAsia" w:ascii="宋体" w:hAnsi="宋体" w:cs="Calibri"/>
                <w:color w:val="auto"/>
                <w:sz w:val="24"/>
                <w:szCs w:val="24"/>
                <w:highlight w:val="none"/>
              </w:rPr>
              <w:t>随机抽取确定。</w:t>
            </w:r>
          </w:p>
          <w:p w14:paraId="11689468">
            <w:pPr>
              <w:shd w:val="clear" w:color="auto" w:fill="auto"/>
              <w:spacing w:line="360" w:lineRule="auto"/>
              <w:rPr>
                <w:rFonts w:hint="eastAsia" w:ascii="宋体" w:hAnsi="宋体" w:cs="宋体"/>
                <w:color w:val="auto"/>
                <w:sz w:val="24"/>
                <w:highlight w:val="none"/>
              </w:rPr>
            </w:pPr>
            <w:r>
              <w:rPr>
                <w:rFonts w:hint="eastAsia" w:ascii="宋体" w:hAnsi="宋体" w:cs="Calibri"/>
                <w:color w:val="auto"/>
                <w:sz w:val="24"/>
                <w:szCs w:val="24"/>
                <w:highlight w:val="none"/>
                <w:lang w:val="en-US" w:eastAsia="zh-CN"/>
              </w:rPr>
              <w:t>业主评委无费用。</w:t>
            </w:r>
          </w:p>
        </w:tc>
      </w:tr>
      <w:tr w14:paraId="0CA0ECDB">
        <w:tblPrEx>
          <w:tblCellMar>
            <w:top w:w="0" w:type="dxa"/>
            <w:left w:w="108" w:type="dxa"/>
            <w:bottom w:w="0" w:type="dxa"/>
            <w:right w:w="108" w:type="dxa"/>
          </w:tblCellMar>
        </w:tblPrEx>
        <w:trPr>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30B18E9">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437F3EC">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是否授权磋商小组确定成交供应商</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989D1D7">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rPr>
              <w:t>■否，推荐成交候选人数：3人</w:t>
            </w:r>
          </w:p>
        </w:tc>
      </w:tr>
      <w:tr w14:paraId="73CE6379">
        <w:tblPrEx>
          <w:tblCellMar>
            <w:top w:w="0" w:type="dxa"/>
            <w:left w:w="108" w:type="dxa"/>
            <w:bottom w:w="0" w:type="dxa"/>
            <w:right w:w="108" w:type="dxa"/>
          </w:tblCellMar>
        </w:tblPrEx>
        <w:trPr>
          <w:trHeight w:val="888"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67E7EEC9">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8321C4A">
            <w:pPr>
              <w:shd w:val="clear" w:color="auto" w:fill="auto"/>
              <w:spacing w:line="360" w:lineRule="auto"/>
              <w:jc w:val="center"/>
              <w:rPr>
                <w:rFonts w:hint="eastAsia" w:ascii="宋体" w:hAnsi="宋体" w:cs="宋体"/>
                <w:color w:val="auto"/>
                <w:sz w:val="24"/>
                <w:highlight w:val="none"/>
              </w:rPr>
            </w:pPr>
            <w:r>
              <w:rPr>
                <w:rFonts w:hint="eastAsia" w:ascii="宋体" w:hAnsi="宋体"/>
                <w:color w:val="auto"/>
                <w:sz w:val="24"/>
                <w:highlight w:val="none"/>
              </w:rPr>
              <w:t>履约担保</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08FE12AD">
            <w:pPr>
              <w:widowControl/>
              <w:shd w:val="clear" w:color="auto" w:fill="auto"/>
              <w:spacing w:line="420" w:lineRule="exact"/>
              <w:jc w:val="left"/>
              <w:rPr>
                <w:rFonts w:hint="eastAsia" w:ascii="宋体" w:hAnsi="宋体"/>
                <w:color w:val="auto"/>
                <w:sz w:val="24"/>
                <w:highlight w:val="none"/>
              </w:rPr>
            </w:pPr>
            <w:r>
              <w:rPr>
                <w:rFonts w:hint="eastAsia" w:ascii="宋体" w:hAnsi="宋体"/>
                <w:color w:val="auto"/>
                <w:sz w:val="24"/>
                <w:highlight w:val="none"/>
              </w:rPr>
              <w:t>根据三门峡市财政局三财购【2021】14号文的规定，本项目不收取履约保证金。</w:t>
            </w:r>
          </w:p>
        </w:tc>
      </w:tr>
      <w:tr w14:paraId="2CDC5083">
        <w:tblPrEx>
          <w:tblCellMar>
            <w:top w:w="0" w:type="dxa"/>
            <w:left w:w="108" w:type="dxa"/>
            <w:bottom w:w="0" w:type="dxa"/>
            <w:right w:w="108" w:type="dxa"/>
          </w:tblCellMar>
        </w:tblPrEx>
        <w:trPr>
          <w:trHeight w:val="1772"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A254B8E">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C3FC8CC">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采购控制价</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3F92CB2">
            <w:pPr>
              <w:widowControl/>
              <w:shd w:val="clear" w:color="auto" w:fill="auto"/>
              <w:spacing w:line="420" w:lineRule="exact"/>
              <w:jc w:val="left"/>
              <w:rPr>
                <w:rFonts w:hint="eastAsia" w:ascii="宋体" w:hAnsi="宋体" w:eastAsia="宋体" w:cs="Times New Roman"/>
                <w:color w:val="auto"/>
                <w:sz w:val="24"/>
                <w:highlight w:val="none"/>
              </w:rPr>
            </w:pPr>
            <w:r>
              <w:rPr>
                <w:rFonts w:hint="eastAsia" w:ascii="宋体" w:hAnsi="宋体"/>
                <w:color w:val="auto"/>
                <w:sz w:val="24"/>
                <w:highlight w:val="none"/>
              </w:rPr>
              <w:t>人民币</w:t>
            </w:r>
            <w:r>
              <w:rPr>
                <w:rFonts w:hint="eastAsia" w:ascii="宋体" w:hAnsi="宋体"/>
                <w:color w:val="auto"/>
                <w:sz w:val="24"/>
                <w:highlight w:val="none"/>
                <w:lang w:eastAsia="zh-CN"/>
              </w:rPr>
              <w:t>：346.005081万元</w:t>
            </w:r>
          </w:p>
          <w:p w14:paraId="63C85031">
            <w:pPr>
              <w:widowControl/>
              <w:shd w:val="clear" w:color="auto" w:fill="auto"/>
              <w:spacing w:line="420" w:lineRule="exact"/>
              <w:jc w:val="left"/>
              <w:rPr>
                <w:rFonts w:hint="eastAsia"/>
                <w:color w:val="auto"/>
                <w:highlight w:val="none"/>
              </w:rPr>
            </w:pPr>
            <w:r>
              <w:rPr>
                <w:rFonts w:hint="eastAsia"/>
                <w:color w:val="auto"/>
                <w:highlight w:val="none"/>
              </w:rPr>
              <w:t>本次竞争性磋商分为两轮报价。磋商供应商响应性文件中的报价作为第一次报价，不得高于项目预算金额且不公开；第二轮报价不得高于第一轮报价，参与评标报价以最终报价为准。</w:t>
            </w:r>
          </w:p>
        </w:tc>
      </w:tr>
      <w:tr w14:paraId="1A5BB84B">
        <w:tblPrEx>
          <w:tblCellMar>
            <w:top w:w="0" w:type="dxa"/>
            <w:left w:w="108" w:type="dxa"/>
            <w:bottom w:w="0" w:type="dxa"/>
            <w:right w:w="108" w:type="dxa"/>
          </w:tblCellMar>
        </w:tblPrEx>
        <w:trPr>
          <w:trHeight w:val="59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1FDD014">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4EC82EA">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付款方式</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08A79A4F">
            <w:pPr>
              <w:shd w:val="clear" w:color="auto" w:fill="auto"/>
              <w:spacing w:line="360" w:lineRule="auto"/>
              <w:rPr>
                <w:rFonts w:hint="eastAsia" w:ascii="宋体" w:hAnsi="宋体" w:cs="宋体"/>
                <w:color w:val="auto"/>
                <w:sz w:val="24"/>
                <w:highlight w:val="none"/>
              </w:rPr>
            </w:pPr>
            <w:r>
              <w:rPr>
                <w:rFonts w:hint="eastAsia" w:ascii="宋体" w:hAnsi="宋体"/>
                <w:color w:val="auto"/>
                <w:kern w:val="0"/>
                <w:sz w:val="24"/>
                <w:highlight w:val="none"/>
                <w:lang w:val="en-US" w:eastAsia="zh-CN" w:bidi="en-US"/>
              </w:rPr>
              <w:t>根据形象进度付款，</w:t>
            </w:r>
            <w:r>
              <w:rPr>
                <w:rFonts w:hint="eastAsia" w:ascii="宋体" w:hAnsi="宋体" w:cs="宋体"/>
                <w:color w:val="auto"/>
                <w:kern w:val="44"/>
                <w:sz w:val="24"/>
                <w:szCs w:val="24"/>
                <w:highlight w:val="none"/>
                <w:lang w:bidi="en-US"/>
              </w:rPr>
              <w:t>具体付款方式中标后甲乙双方协商</w:t>
            </w:r>
            <w:r>
              <w:rPr>
                <w:rFonts w:hint="eastAsia" w:ascii="宋体" w:hAnsi="宋体" w:cs="宋体"/>
                <w:color w:val="auto"/>
                <w:kern w:val="44"/>
                <w:sz w:val="24"/>
                <w:szCs w:val="24"/>
                <w:highlight w:val="none"/>
                <w:lang w:val="en-US" w:eastAsia="zh-CN" w:bidi="en-US"/>
              </w:rPr>
              <w:t>确定</w:t>
            </w:r>
            <w:r>
              <w:rPr>
                <w:rFonts w:hint="eastAsia" w:ascii="宋体" w:hAnsi="宋体" w:cs="宋体"/>
                <w:color w:val="auto"/>
                <w:kern w:val="44"/>
                <w:sz w:val="24"/>
                <w:szCs w:val="24"/>
                <w:highlight w:val="none"/>
              </w:rPr>
              <w:t>。</w:t>
            </w:r>
          </w:p>
        </w:tc>
      </w:tr>
      <w:tr w14:paraId="683E5C64">
        <w:tblPrEx>
          <w:tblCellMar>
            <w:top w:w="0" w:type="dxa"/>
            <w:left w:w="108" w:type="dxa"/>
            <w:bottom w:w="0" w:type="dxa"/>
            <w:right w:w="108" w:type="dxa"/>
          </w:tblCellMar>
        </w:tblPrEx>
        <w:trPr>
          <w:trHeight w:val="3196"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80CB75C">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FBA02E0">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采购代理费</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02E2844C">
            <w:pPr>
              <w:shd w:val="clear" w:color="auto" w:fill="auto"/>
              <w:spacing w:line="480" w:lineRule="exact"/>
              <w:rPr>
                <w:rFonts w:hint="eastAsia" w:ascii="宋体" w:hAnsi="宋体" w:cs="宋体"/>
                <w:color w:val="auto"/>
                <w:sz w:val="24"/>
                <w:highlight w:val="none"/>
                <w:shd w:val="clear" w:color="050000" w:fill="auto"/>
              </w:rPr>
            </w:pPr>
            <w:r>
              <w:rPr>
                <w:rFonts w:hint="eastAsia" w:ascii="宋体" w:hAnsi="宋体" w:cs="宋体"/>
                <w:color w:val="auto"/>
                <w:sz w:val="24"/>
                <w:highlight w:val="none"/>
                <w:shd w:val="clear" w:color="050000" w:fill="auto"/>
              </w:rPr>
              <w:t>本项目招标代理费由中标单位承担，收费标准参照豫招协【2023】002号文件所规定的收费标准</w:t>
            </w:r>
            <w:r>
              <w:rPr>
                <w:rFonts w:hint="eastAsia" w:ascii="宋体" w:hAnsi="宋体" w:cs="宋体"/>
                <w:color w:val="auto"/>
                <w:sz w:val="24"/>
                <w:highlight w:val="none"/>
                <w:shd w:val="clear" w:color="050000" w:fill="auto"/>
                <w:lang w:val="en-US" w:eastAsia="zh-CN"/>
              </w:rPr>
              <w:t>100%</w:t>
            </w:r>
            <w:r>
              <w:rPr>
                <w:rFonts w:hint="eastAsia" w:ascii="宋体" w:hAnsi="宋体" w:cs="宋体"/>
                <w:color w:val="auto"/>
                <w:sz w:val="24"/>
                <w:highlight w:val="none"/>
                <w:shd w:val="clear" w:color="050000" w:fill="auto"/>
              </w:rPr>
              <w:t>收取</w:t>
            </w:r>
            <w:r>
              <w:rPr>
                <w:rFonts w:hint="eastAsia" w:ascii="宋体" w:hAnsi="宋体" w:cs="宋体"/>
                <w:color w:val="auto"/>
                <w:sz w:val="24"/>
                <w:highlight w:val="none"/>
                <w:shd w:val="clear" w:color="050000" w:fill="auto"/>
                <w:lang w:eastAsia="zh-CN"/>
              </w:rPr>
              <w:t>（</w:t>
            </w:r>
            <w:r>
              <w:rPr>
                <w:rFonts w:hint="eastAsia" w:ascii="宋体" w:hAnsi="宋体" w:cs="宋体"/>
                <w:color w:val="auto"/>
                <w:sz w:val="24"/>
                <w:highlight w:val="none"/>
                <w:shd w:val="clear" w:color="050000" w:fill="auto"/>
                <w:lang w:val="en-US" w:eastAsia="zh-CN"/>
              </w:rPr>
              <w:t>计费基础为作为预算金额</w:t>
            </w:r>
            <w:r>
              <w:rPr>
                <w:rFonts w:hint="eastAsia" w:ascii="宋体" w:hAnsi="宋体" w:cs="宋体"/>
                <w:color w:val="auto"/>
                <w:sz w:val="24"/>
                <w:highlight w:val="none"/>
                <w:shd w:val="clear" w:color="050000" w:fill="auto"/>
                <w:lang w:eastAsia="zh-CN"/>
              </w:rPr>
              <w:t>）</w:t>
            </w:r>
            <w:r>
              <w:rPr>
                <w:rFonts w:hint="eastAsia" w:ascii="宋体" w:hAnsi="宋体" w:cs="宋体"/>
                <w:color w:val="auto"/>
                <w:sz w:val="24"/>
                <w:highlight w:val="none"/>
                <w:shd w:val="clear" w:color="050000" w:fill="auto"/>
                <w:lang w:val="en-US" w:eastAsia="zh-CN"/>
              </w:rPr>
              <w:t>，</w:t>
            </w:r>
            <w:r>
              <w:rPr>
                <w:rFonts w:hint="eastAsia" w:ascii="宋体" w:hAnsi="宋体" w:cs="宋体"/>
                <w:color w:val="auto"/>
                <w:sz w:val="24"/>
                <w:highlight w:val="none"/>
                <w:shd w:val="clear" w:color="050000" w:fill="auto"/>
              </w:rPr>
              <w:t>代理费由成交单位承担。此费由投标人综合考虑到投标报价中，不再单独列项。</w:t>
            </w:r>
          </w:p>
          <w:p w14:paraId="0A490C98">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账户名称:河南润程项目管理有限公司</w:t>
            </w:r>
          </w:p>
          <w:p w14:paraId="37C23967">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账号:261201747962</w:t>
            </w:r>
          </w:p>
          <w:p w14:paraId="4B69D989">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银行机构名称:中国银行股份有限公司灵宝桃林支行</w:t>
            </w:r>
          </w:p>
          <w:p w14:paraId="4BA24575">
            <w:pPr>
              <w:widowControl/>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法定代表人或负责人姓名:刘晓敏</w:t>
            </w:r>
          </w:p>
          <w:p w14:paraId="4AD3FE8F">
            <w:pPr>
              <w:shd w:val="clear" w:color="auto" w:fill="auto"/>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基本存款账户核准号/编号:J9033211187001</w:t>
            </w:r>
          </w:p>
          <w:p w14:paraId="1947D6A1">
            <w:pPr>
              <w:widowControl/>
              <w:spacing w:line="360" w:lineRule="auto"/>
              <w:jc w:val="left"/>
              <w:rPr>
                <w:rFonts w:ascii="宋体" w:hAnsi="宋体" w:cs="宋体"/>
                <w:color w:val="auto"/>
                <w:kern w:val="44"/>
                <w:sz w:val="24"/>
                <w:highlight w:val="none"/>
              </w:rPr>
            </w:pPr>
            <w:r>
              <w:rPr>
                <w:color w:val="auto"/>
                <w:highlight w:val="none"/>
              </w:rPr>
              <w:drawing>
                <wp:inline distT="0" distB="0" distL="114300" distR="114300">
                  <wp:extent cx="3802380" cy="2095500"/>
                  <wp:effectExtent l="0" t="0" r="762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6"/>
                          <a:stretch>
                            <a:fillRect/>
                          </a:stretch>
                        </pic:blipFill>
                        <pic:spPr>
                          <a:xfrm>
                            <a:off x="0" y="0"/>
                            <a:ext cx="3802380" cy="2095500"/>
                          </a:xfrm>
                          <a:prstGeom prst="rect">
                            <a:avLst/>
                          </a:prstGeom>
                          <a:noFill/>
                          <a:ln>
                            <a:noFill/>
                          </a:ln>
                        </pic:spPr>
                      </pic:pic>
                    </a:graphicData>
                  </a:graphic>
                </wp:inline>
              </w:drawing>
            </w:r>
          </w:p>
          <w:p w14:paraId="6CD1668A">
            <w:pPr>
              <w:spacing w:line="360" w:lineRule="auto"/>
              <w:rPr>
                <w:rFonts w:ascii="宋体" w:hAnsi="宋体" w:cs="宋体"/>
                <w:bCs/>
                <w:color w:val="auto"/>
                <w:sz w:val="24"/>
                <w:highlight w:val="none"/>
              </w:rPr>
            </w:pPr>
            <w:r>
              <w:rPr>
                <w:rFonts w:hint="eastAsia" w:ascii="宋体" w:hAnsi="宋体" w:cs="宋体"/>
                <w:bCs/>
                <w:color w:val="auto"/>
                <w:sz w:val="24"/>
                <w:highlight w:val="none"/>
              </w:rPr>
              <w:t>注: 1招标代理服务收费按差额定率累进法计算。</w:t>
            </w:r>
          </w:p>
          <w:p w14:paraId="6DFA3BC8">
            <w:pPr>
              <w:spacing w:line="360" w:lineRule="auto"/>
              <w:rPr>
                <w:rFonts w:ascii="宋体" w:hAnsi="宋体" w:cs="宋体"/>
                <w:bCs/>
                <w:color w:val="auto"/>
                <w:sz w:val="24"/>
                <w:highlight w:val="none"/>
              </w:rPr>
            </w:pPr>
            <w:r>
              <w:rPr>
                <w:rFonts w:hint="eastAsia" w:ascii="宋体" w:hAnsi="宋体" w:cs="宋体"/>
                <w:bCs/>
                <w:color w:val="auto"/>
                <w:sz w:val="24"/>
                <w:highlight w:val="none"/>
              </w:rPr>
              <w:t>例如: 某工程招标代理业务，项目中标金额为10000 万元，招标代理服务收费计算如下:</w:t>
            </w:r>
          </w:p>
          <w:p w14:paraId="01B7EF53">
            <w:pPr>
              <w:spacing w:line="360" w:lineRule="auto"/>
              <w:rPr>
                <w:rFonts w:ascii="宋体" w:hAnsi="宋体" w:cs="宋体"/>
                <w:bCs/>
                <w:color w:val="auto"/>
                <w:sz w:val="24"/>
                <w:highlight w:val="none"/>
              </w:rPr>
            </w:pPr>
            <w:r>
              <w:rPr>
                <w:rFonts w:hint="eastAsia" w:ascii="宋体" w:hAnsi="宋体" w:cs="宋体"/>
                <w:bCs/>
                <w:color w:val="auto"/>
                <w:sz w:val="24"/>
                <w:highlight w:val="none"/>
              </w:rPr>
              <w:t>100万元×1.2%=1.2万元</w:t>
            </w:r>
          </w:p>
          <w:p w14:paraId="39067387">
            <w:pPr>
              <w:spacing w:line="360" w:lineRule="auto"/>
              <w:rPr>
                <w:rFonts w:ascii="宋体" w:hAnsi="宋体" w:cs="宋体"/>
                <w:bCs/>
                <w:color w:val="auto"/>
                <w:sz w:val="24"/>
                <w:highlight w:val="none"/>
              </w:rPr>
            </w:pPr>
            <w:r>
              <w:rPr>
                <w:rFonts w:hint="eastAsia" w:ascii="宋体" w:hAnsi="宋体" w:cs="宋体"/>
                <w:bCs/>
                <w:color w:val="auto"/>
                <w:sz w:val="24"/>
                <w:highlight w:val="none"/>
              </w:rPr>
              <w:t>(500-100) 万元×1.0%=4万元</w:t>
            </w:r>
          </w:p>
          <w:p w14:paraId="56560849">
            <w:pPr>
              <w:spacing w:line="360" w:lineRule="auto"/>
              <w:rPr>
                <w:rFonts w:ascii="宋体" w:hAnsi="宋体" w:cs="宋体"/>
                <w:bCs/>
                <w:color w:val="auto"/>
                <w:sz w:val="24"/>
                <w:highlight w:val="none"/>
              </w:rPr>
            </w:pPr>
            <w:r>
              <w:rPr>
                <w:rFonts w:hint="eastAsia" w:ascii="宋体" w:hAnsi="宋体" w:cs="宋体"/>
                <w:bCs/>
                <w:color w:val="auto"/>
                <w:sz w:val="24"/>
                <w:highlight w:val="none"/>
              </w:rPr>
              <w:t>(1000-500) ×0.7%=3.5万元</w:t>
            </w:r>
          </w:p>
          <w:p w14:paraId="527DD1F6">
            <w:pPr>
              <w:spacing w:line="360" w:lineRule="auto"/>
              <w:rPr>
                <w:rFonts w:ascii="宋体" w:hAnsi="宋体" w:cs="宋体"/>
                <w:bCs/>
                <w:color w:val="auto"/>
                <w:sz w:val="24"/>
                <w:highlight w:val="none"/>
              </w:rPr>
            </w:pPr>
            <w:r>
              <w:rPr>
                <w:rFonts w:hint="eastAsia" w:ascii="宋体" w:hAnsi="宋体" w:cs="宋体"/>
                <w:bCs/>
                <w:color w:val="auto"/>
                <w:sz w:val="24"/>
                <w:highlight w:val="none"/>
              </w:rPr>
              <w:t>(5000-1000) ×0.4%=16万元</w:t>
            </w:r>
          </w:p>
          <w:p w14:paraId="18F25E8E">
            <w:pPr>
              <w:spacing w:line="360" w:lineRule="auto"/>
              <w:rPr>
                <w:rFonts w:ascii="宋体" w:hAnsi="宋体" w:cs="宋体"/>
                <w:bCs/>
                <w:color w:val="auto"/>
                <w:sz w:val="24"/>
                <w:highlight w:val="none"/>
              </w:rPr>
            </w:pPr>
            <w:r>
              <w:rPr>
                <w:rFonts w:hint="eastAsia" w:ascii="宋体" w:hAnsi="宋体" w:cs="宋体"/>
                <w:bCs/>
                <w:color w:val="auto"/>
                <w:sz w:val="24"/>
                <w:highlight w:val="none"/>
              </w:rPr>
              <w:t>(10000-5000) ×0.25%=12.5万元</w:t>
            </w:r>
          </w:p>
          <w:p w14:paraId="0607EA57">
            <w:pPr>
              <w:spacing w:line="360" w:lineRule="auto"/>
              <w:rPr>
                <w:rFonts w:ascii="宋体" w:hAnsi="宋体" w:cs="宋体"/>
                <w:bCs/>
                <w:color w:val="auto"/>
                <w:sz w:val="24"/>
                <w:highlight w:val="none"/>
              </w:rPr>
            </w:pPr>
            <w:r>
              <w:rPr>
                <w:rFonts w:hint="eastAsia" w:ascii="宋体" w:hAnsi="宋体" w:cs="宋体"/>
                <w:bCs/>
                <w:color w:val="auto"/>
                <w:sz w:val="24"/>
                <w:highlight w:val="none"/>
              </w:rPr>
              <w:t>合计收费=1.2+4+3.5+16+12.5=37.2万元</w:t>
            </w:r>
          </w:p>
          <w:p w14:paraId="3C141D7D">
            <w:pPr>
              <w:shd w:val="clear" w:color="auto" w:fill="auto"/>
              <w:spacing w:line="360" w:lineRule="auto"/>
              <w:rPr>
                <w:rFonts w:hint="eastAsia" w:ascii="宋体" w:hAnsi="宋体" w:eastAsia="宋体" w:cs="宋体"/>
                <w:color w:val="auto"/>
                <w:sz w:val="24"/>
                <w:szCs w:val="24"/>
                <w:highlight w:val="none"/>
              </w:rPr>
            </w:pPr>
            <w:r>
              <w:rPr>
                <w:rFonts w:hint="eastAsia" w:ascii="宋体" w:hAnsi="宋体" w:cs="宋体"/>
                <w:bCs/>
                <w:color w:val="auto"/>
                <w:sz w:val="24"/>
                <w:highlight w:val="none"/>
              </w:rPr>
              <w:t>2.收费标准的计算基数以项目、标段 (包) 的</w:t>
            </w:r>
            <w:r>
              <w:rPr>
                <w:rFonts w:hint="eastAsia" w:ascii="宋体" w:hAnsi="宋体" w:cs="宋体"/>
                <w:bCs/>
                <w:color w:val="auto"/>
                <w:sz w:val="24"/>
                <w:highlight w:val="none"/>
                <w:lang w:val="en-US" w:eastAsia="zh-CN"/>
              </w:rPr>
              <w:t>预算</w:t>
            </w:r>
            <w:r>
              <w:rPr>
                <w:rFonts w:hint="eastAsia" w:ascii="宋体" w:hAnsi="宋体" w:cs="宋体"/>
                <w:bCs/>
                <w:color w:val="auto"/>
                <w:sz w:val="24"/>
                <w:highlight w:val="none"/>
              </w:rPr>
              <w:t>金额为计费基数。</w:t>
            </w:r>
          </w:p>
        </w:tc>
      </w:tr>
      <w:tr w14:paraId="475FAC07">
        <w:tblPrEx>
          <w:tblCellMar>
            <w:top w:w="0" w:type="dxa"/>
            <w:left w:w="108" w:type="dxa"/>
            <w:bottom w:w="0" w:type="dxa"/>
            <w:right w:w="108" w:type="dxa"/>
          </w:tblCellMar>
        </w:tblPrEx>
        <w:trPr>
          <w:trHeight w:val="2480"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49E14C3">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47E92C9E">
            <w:pPr>
              <w:shd w:val="clear" w:color="auto" w:fill="auto"/>
              <w:spacing w:line="360" w:lineRule="auto"/>
              <w:rPr>
                <w:rFonts w:hint="eastAsia" w:ascii="宋体" w:hAnsi="宋体" w:cs="宋体"/>
                <w:color w:val="auto"/>
                <w:sz w:val="24"/>
                <w:highlight w:val="none"/>
              </w:rPr>
            </w:pPr>
            <w:r>
              <w:rPr>
                <w:rFonts w:hint="eastAsia" w:ascii="宋体" w:hAnsi="宋体" w:cs="宋体"/>
                <w:color w:val="auto"/>
                <w:kern w:val="44"/>
                <w:sz w:val="24"/>
                <w:highlight w:val="none"/>
              </w:rPr>
              <w:t>农民工工资保证金</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4D45F38">
            <w:pPr>
              <w:shd w:val="clear" w:color="auto" w:fill="auto"/>
              <w:spacing w:line="360" w:lineRule="auto"/>
              <w:rPr>
                <w:rFonts w:hint="eastAsia" w:ascii="宋体" w:hAnsi="宋体" w:cs="宋体"/>
                <w:color w:val="auto"/>
                <w:sz w:val="24"/>
                <w:highlight w:val="none"/>
              </w:rPr>
            </w:pPr>
            <w:r>
              <w:rPr>
                <w:rFonts w:hint="eastAsia" w:ascii="宋体" w:hAnsi="宋体" w:cs="宋体"/>
                <w:color w:val="auto"/>
                <w:kern w:val="44"/>
                <w:sz w:val="24"/>
                <w:highlight w:val="none"/>
              </w:rPr>
              <w:t>根据《中华人民共和国劳动法》、《建筑领域农民工工资支付暂行办法》等法律法规规定，成交单位成交后能够及时、足额存入农民工工资保障金或工资保函，保障金为成交价的2%。</w:t>
            </w:r>
            <w:r>
              <w:rPr>
                <w:rFonts w:hint="eastAsia" w:ascii="宋体" w:hAnsi="宋体" w:eastAsia="宋体" w:cs="宋体"/>
                <w:color w:val="auto"/>
                <w:sz w:val="24"/>
                <w:szCs w:val="24"/>
                <w:highlight w:val="none"/>
                <w:lang w:eastAsia="zh-CN"/>
              </w:rPr>
              <w:t>一旦其承包的建筑工程项目中出现拖欠农民工工资情况的，可由人力资源社会保障行政部门从农民工工资保障金中先予划支。</w:t>
            </w:r>
          </w:p>
        </w:tc>
      </w:tr>
      <w:tr w14:paraId="711CDFC5">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F89E4E4">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5AA360E">
            <w:pPr>
              <w:shd w:val="clear" w:color="auto" w:fill="auto"/>
              <w:spacing w:line="360" w:lineRule="auto"/>
              <w:jc w:val="center"/>
              <w:rPr>
                <w:rFonts w:hint="eastAsia" w:ascii="宋体" w:hAnsi="宋体" w:cs="宋体"/>
                <w:color w:val="auto"/>
                <w:kern w:val="10"/>
                <w:sz w:val="24"/>
                <w:highlight w:val="none"/>
              </w:rPr>
            </w:pPr>
            <w:r>
              <w:rPr>
                <w:rFonts w:hint="eastAsia" w:ascii="宋体" w:hAnsi="宋体" w:cs="宋体"/>
                <w:color w:val="auto"/>
                <w:kern w:val="10"/>
                <w:sz w:val="24"/>
                <w:highlight w:val="none"/>
                <w:lang w:val="en-US" w:eastAsia="zh-CN"/>
              </w:rPr>
              <w:t>成交</w:t>
            </w:r>
            <w:r>
              <w:rPr>
                <w:rFonts w:hint="eastAsia" w:ascii="宋体" w:hAnsi="宋体" w:cs="宋体"/>
                <w:color w:val="auto"/>
                <w:kern w:val="10"/>
                <w:sz w:val="24"/>
                <w:highlight w:val="none"/>
              </w:rPr>
              <w:t>结果</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E2791D5">
            <w:pPr>
              <w:shd w:val="clear" w:color="auto" w:fill="auto"/>
              <w:spacing w:line="360" w:lineRule="auto"/>
              <w:rPr>
                <w:rFonts w:hint="eastAsia" w:ascii="宋体" w:hAnsi="宋体" w:cs="宋体"/>
                <w:color w:val="auto"/>
                <w:kern w:val="10"/>
                <w:sz w:val="24"/>
                <w:highlight w:val="none"/>
              </w:rPr>
            </w:pPr>
            <w:r>
              <w:rPr>
                <w:rFonts w:hint="eastAsia" w:ascii="宋体" w:hAnsi="宋体"/>
                <w:color w:val="auto"/>
                <w:sz w:val="24"/>
                <w:highlight w:val="none"/>
              </w:rPr>
              <w:t>在《中国</w:t>
            </w:r>
            <w:r>
              <w:rPr>
                <w:rFonts w:hint="eastAsia" w:ascii="宋体" w:hAnsi="宋体"/>
                <w:color w:val="auto"/>
                <w:sz w:val="24"/>
                <w:highlight w:val="none"/>
                <w:lang w:val="en-US" w:eastAsia="zh-CN"/>
              </w:rPr>
              <w:t>采购与招标网</w:t>
            </w:r>
            <w:r>
              <w:rPr>
                <w:rFonts w:hint="eastAsia" w:ascii="宋体" w:hAnsi="宋体"/>
                <w:color w:val="auto"/>
                <w:sz w:val="24"/>
                <w:highlight w:val="none"/>
              </w:rPr>
              <w:t>》、</w:t>
            </w:r>
            <w:r>
              <w:rPr>
                <w:rFonts w:hint="eastAsia" w:ascii="宋体" w:hAnsi="宋体"/>
                <w:color w:val="auto"/>
                <w:sz w:val="24"/>
                <w:highlight w:val="none"/>
                <w:lang w:eastAsia="zh-CN"/>
              </w:rPr>
              <w:t>《</w:t>
            </w:r>
            <w:r>
              <w:rPr>
                <w:rFonts w:hint="eastAsia" w:ascii="宋体" w:hAnsi="宋体"/>
                <w:color w:val="auto"/>
                <w:sz w:val="24"/>
                <w:highlight w:val="none"/>
                <w:lang w:val="en-US" w:eastAsia="zh-CN"/>
              </w:rPr>
              <w:t>河南省政府采购网</w:t>
            </w:r>
            <w:r>
              <w:rPr>
                <w:rFonts w:hint="eastAsia" w:ascii="宋体" w:hAnsi="宋体"/>
                <w:color w:val="auto"/>
                <w:sz w:val="24"/>
                <w:highlight w:val="none"/>
                <w:lang w:eastAsia="zh-CN"/>
              </w:rPr>
              <w:t>》</w:t>
            </w:r>
            <w:r>
              <w:rPr>
                <w:rFonts w:hint="eastAsia" w:ascii="宋体" w:hAnsi="宋体"/>
                <w:color w:val="auto"/>
                <w:sz w:val="24"/>
                <w:highlight w:val="none"/>
              </w:rPr>
              <w:t>和《三门峡市公共资源交易中心网》等网站同步发布。</w:t>
            </w:r>
          </w:p>
        </w:tc>
      </w:tr>
      <w:tr w14:paraId="15D3A62A">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C9A0F03">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674B862">
            <w:pPr>
              <w:widowControl/>
              <w:spacing w:line="360" w:lineRule="auto"/>
              <w:jc w:val="center"/>
              <w:rPr>
                <w:rFonts w:hint="eastAsia" w:ascii="宋体" w:hAnsi="宋体" w:cs="宋体"/>
                <w:color w:val="auto"/>
                <w:sz w:val="24"/>
                <w:szCs w:val="24"/>
                <w:highlight w:val="none"/>
              </w:rPr>
            </w:pPr>
            <w:r>
              <w:rPr>
                <w:rFonts w:hint="eastAsia" w:ascii="宋体" w:hAnsi="宋体" w:cs="宋体"/>
                <w:color w:val="auto"/>
                <w:sz w:val="24"/>
                <w:szCs w:val="24"/>
                <w:highlight w:val="none"/>
              </w:rPr>
              <w:t>工程款支付</w:t>
            </w:r>
          </w:p>
          <w:p w14:paraId="05E1ED19">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方式</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076F180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kern w:val="44"/>
                <w:sz w:val="24"/>
                <w:szCs w:val="24"/>
                <w:highlight w:val="none"/>
              </w:rPr>
              <w:t>进度款按照月形象进度进行支付，累计支付不超过合同价款的80%，工程竣工结算审计后支付至结算价的97%，剩余3%质量保证金，在缺陷责任期满后一次支付完成。</w:t>
            </w:r>
          </w:p>
        </w:tc>
      </w:tr>
      <w:tr w14:paraId="1E1B8264">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CA16F4F">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6154F6C">
            <w:pPr>
              <w:widowControl/>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质保金</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4A0F8748">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default" w:ascii="宋体" w:hAnsi="宋体" w:eastAsia="宋体" w:cs="宋体"/>
                <w:color w:val="auto"/>
                <w:kern w:val="44"/>
                <w:sz w:val="24"/>
                <w:szCs w:val="24"/>
                <w:highlight w:val="none"/>
                <w:lang w:val="en-US" w:eastAsia="zh-CN"/>
              </w:rPr>
            </w:pPr>
            <w:r>
              <w:rPr>
                <w:rFonts w:hint="eastAsia" w:ascii="宋体" w:hAnsi="宋体" w:cs="宋体"/>
                <w:color w:val="auto"/>
                <w:kern w:val="44"/>
                <w:sz w:val="24"/>
                <w:szCs w:val="24"/>
                <w:highlight w:val="none"/>
                <w:lang w:val="en-US" w:eastAsia="zh-CN"/>
              </w:rPr>
              <w:t>3%</w:t>
            </w:r>
          </w:p>
        </w:tc>
      </w:tr>
      <w:tr w14:paraId="5E34296F">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55EDBC08">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F460F23">
            <w:pPr>
              <w:widowControl/>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缺陷责任期</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B1B13C1">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default" w:ascii="宋体" w:hAnsi="宋体" w:eastAsia="宋体" w:cs="宋体"/>
                <w:color w:val="auto"/>
                <w:kern w:val="44"/>
                <w:sz w:val="24"/>
                <w:szCs w:val="24"/>
                <w:highlight w:val="none"/>
                <w:lang w:val="en-US" w:eastAsia="zh-CN"/>
              </w:rPr>
            </w:pPr>
            <w:r>
              <w:rPr>
                <w:rFonts w:hint="eastAsia" w:ascii="宋体" w:hAnsi="宋体" w:cs="宋体"/>
                <w:color w:val="auto"/>
                <w:kern w:val="44"/>
                <w:sz w:val="24"/>
                <w:szCs w:val="24"/>
                <w:highlight w:val="none"/>
                <w:lang w:val="en-US" w:eastAsia="zh-CN"/>
              </w:rPr>
              <w:t>1年</w:t>
            </w:r>
          </w:p>
        </w:tc>
      </w:tr>
      <w:tr w14:paraId="37B94328">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70025E3">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5FE3203B">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是否实行计算机辅助评标</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5C35936">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ascii="宋体" w:hAnsi="宋体" w:cs="宋体"/>
                <w:color w:val="auto"/>
                <w:sz w:val="24"/>
                <w:szCs w:val="24"/>
                <w:highlight w:val="none"/>
              </w:rPr>
            </w:pPr>
            <w:r>
              <w:rPr>
                <w:rFonts w:hint="eastAsia" w:ascii="宋体" w:hAnsi="宋体" w:cs="宋体"/>
                <w:color w:val="auto"/>
                <w:sz w:val="24"/>
                <w:szCs w:val="24"/>
                <w:highlight w:val="none"/>
              </w:rPr>
              <w:t>是。</w:t>
            </w:r>
          </w:p>
          <w:p w14:paraId="121A24F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sz w:val="24"/>
                <w:szCs w:val="24"/>
                <w:highlight w:val="none"/>
              </w:rPr>
              <w:t>供应商须独立制作、修改和上传响应文件，若因“响应文件制作机器码”与其他供应商一致，机器码一致的所有响应文件按无效文件处理，所造成的不良后果由供应商自行承担。</w:t>
            </w:r>
          </w:p>
        </w:tc>
      </w:tr>
      <w:tr w14:paraId="07957551">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49F4FE7">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08F4A29C">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竞争性磋商文件的解释</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1A62E5DB">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kern w:val="44"/>
                <w:sz w:val="24"/>
                <w:szCs w:val="24"/>
                <w:highlight w:val="none"/>
              </w:rPr>
              <w:t>在符合相关法律法规的前提下，竞争性磋商文件的解释权归</w:t>
            </w:r>
            <w:r>
              <w:rPr>
                <w:rFonts w:hint="eastAsia" w:ascii="宋体" w:hAnsi="宋体" w:cs="宋体"/>
                <w:color w:val="auto"/>
                <w:kern w:val="44"/>
                <w:sz w:val="24"/>
                <w:szCs w:val="24"/>
                <w:highlight w:val="none"/>
                <w:lang w:eastAsia="zh-CN"/>
              </w:rPr>
              <w:t>采购人</w:t>
            </w:r>
            <w:r>
              <w:rPr>
                <w:rFonts w:hint="eastAsia" w:ascii="宋体" w:hAnsi="宋体" w:cs="宋体"/>
                <w:color w:val="auto"/>
                <w:kern w:val="44"/>
                <w:sz w:val="24"/>
                <w:szCs w:val="24"/>
                <w:highlight w:val="none"/>
              </w:rPr>
              <w:t>所有。</w:t>
            </w:r>
          </w:p>
        </w:tc>
      </w:tr>
      <w:tr w14:paraId="008A9ED7">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CBC4183">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88C2217">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相关费用</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F41A119">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kern w:val="0"/>
                <w:sz w:val="24"/>
                <w:szCs w:val="24"/>
                <w:highlight w:val="none"/>
              </w:rPr>
              <w:t>竞争性磋商文件费</w:t>
            </w:r>
            <w:r>
              <w:rPr>
                <w:rFonts w:hint="eastAsia" w:ascii="宋体" w:hAnsi="宋体" w:cs="宋体"/>
                <w:color w:val="auto"/>
                <w:sz w:val="24"/>
                <w:szCs w:val="24"/>
                <w:highlight w:val="none"/>
              </w:rPr>
              <w:t>：本项目为全电子招标，不收取竞争性磋商文件费；</w:t>
            </w:r>
          </w:p>
        </w:tc>
      </w:tr>
      <w:tr w14:paraId="03E4055D">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22758BF">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C57CE6F">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不良行为记录</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62AE740">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kern w:val="44"/>
                <w:sz w:val="24"/>
                <w:szCs w:val="24"/>
                <w:highlight w:val="none"/>
              </w:rPr>
              <w:t xml:space="preserve"> 在以往建设项目中，因质量、安全、节能及交易活动受通报批评或记入不良行为记录。</w:t>
            </w:r>
          </w:p>
        </w:tc>
      </w:tr>
      <w:tr w14:paraId="5B85BA00">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0DD03F38">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65FE60A7">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知识产权</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2AECC442">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sz w:val="24"/>
                <w:szCs w:val="24"/>
                <w:highlight w:val="none"/>
              </w:rPr>
              <w:t>构成本竞争性磋商文件各个组成部分的文件，未经</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书面同意，</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不得擅自复印和用于非本招标项目所需的其他目的。</w:t>
            </w:r>
            <w:r>
              <w:rPr>
                <w:rFonts w:hint="eastAsia" w:ascii="宋体" w:hAnsi="宋体" w:cs="宋体"/>
                <w:color w:val="auto"/>
                <w:sz w:val="24"/>
                <w:szCs w:val="24"/>
                <w:highlight w:val="none"/>
                <w:lang w:eastAsia="zh-CN"/>
              </w:rPr>
              <w:t>采购人</w:t>
            </w:r>
            <w:r>
              <w:rPr>
                <w:rFonts w:hint="eastAsia" w:ascii="宋体" w:hAnsi="宋体" w:cs="宋体"/>
                <w:color w:val="auto"/>
                <w:sz w:val="24"/>
                <w:szCs w:val="24"/>
                <w:highlight w:val="none"/>
              </w:rPr>
              <w:t>全部或者部分使用未成交人投标文件中的技术成果或技术方案时，需征得其书面同意，并不得擅自复印或提供给第三人</w:t>
            </w:r>
          </w:p>
        </w:tc>
      </w:tr>
      <w:tr w14:paraId="742B98A0">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EB580AA">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2899C5AA">
            <w:pPr>
              <w:widowControl/>
              <w:spacing w:line="360" w:lineRule="auto"/>
              <w:jc w:val="center"/>
              <w:rPr>
                <w:rFonts w:hint="eastAsia" w:ascii="宋体" w:hAnsi="宋体" w:cs="宋体"/>
                <w:color w:val="auto"/>
                <w:kern w:val="10"/>
                <w:sz w:val="24"/>
                <w:highlight w:val="none"/>
                <w:lang w:val="en-US" w:eastAsia="zh-CN"/>
              </w:rPr>
            </w:pPr>
            <w:r>
              <w:rPr>
                <w:rFonts w:hint="eastAsia" w:ascii="宋体" w:hAnsi="宋体" w:cs="宋体"/>
                <w:color w:val="auto"/>
                <w:sz w:val="24"/>
                <w:szCs w:val="24"/>
                <w:highlight w:val="none"/>
              </w:rPr>
              <w:t>监督</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5FF7E714">
            <w:pPr>
              <w:keepNext w:val="0"/>
              <w:keepLines w:val="0"/>
              <w:pageBreakBefore w:val="0"/>
              <w:widowControl w:val="0"/>
              <w:kinsoku/>
              <w:wordWrap w:val="0"/>
              <w:overflowPunct/>
              <w:topLinePunct/>
              <w:autoSpaceDE/>
              <w:autoSpaceDN/>
              <w:bidi w:val="0"/>
              <w:adjustRightInd/>
              <w:snapToGrid/>
              <w:spacing w:line="360" w:lineRule="auto"/>
              <w:ind w:firstLine="0" w:firstLineChars="0"/>
              <w:jc w:val="left"/>
              <w:textAlignment w:val="auto"/>
              <w:rPr>
                <w:rFonts w:hint="eastAsia" w:ascii="宋体" w:hAnsi="宋体"/>
                <w:color w:val="auto"/>
                <w:sz w:val="24"/>
                <w:highlight w:val="none"/>
              </w:rPr>
            </w:pPr>
            <w:r>
              <w:rPr>
                <w:rFonts w:hint="eastAsia" w:ascii="宋体" w:hAnsi="宋体" w:cs="宋体"/>
                <w:color w:val="auto"/>
                <w:sz w:val="24"/>
                <w:szCs w:val="24"/>
                <w:highlight w:val="none"/>
              </w:rPr>
              <w:t>本项目的招标投标活动及其相关当事人应当接受有管辖权的建设工程招标投标行政监督部门依法实施的监督</w:t>
            </w:r>
          </w:p>
        </w:tc>
      </w:tr>
      <w:tr w14:paraId="020BAF75">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4398964">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71E81F5F">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kern w:val="10"/>
                <w:sz w:val="24"/>
                <w:highlight w:val="none"/>
              </w:rPr>
              <w:t>磋商文件解释</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6167F90A">
            <w:pPr>
              <w:numPr>
                <w:ilvl w:val="0"/>
                <w:numId w:val="3"/>
              </w:numPr>
              <w:shd w:val="clear" w:color="auto" w:fill="auto"/>
              <w:spacing w:line="360" w:lineRule="auto"/>
              <w:rPr>
                <w:rFonts w:hint="eastAsia" w:ascii="宋体" w:hAnsi="宋体" w:cs="宋体"/>
                <w:color w:val="auto"/>
                <w:kern w:val="10"/>
                <w:sz w:val="24"/>
                <w:highlight w:val="none"/>
              </w:rPr>
            </w:pPr>
            <w:r>
              <w:rPr>
                <w:rFonts w:hint="eastAsia" w:ascii="宋体" w:hAnsi="宋体" w:cs="宋体"/>
                <w:color w:val="auto"/>
                <w:kern w:val="10"/>
                <w:sz w:val="24"/>
                <w:highlight w:val="none"/>
              </w:rPr>
              <w:t>构成本磋商文件的各个组成文件应互为解释，互为说明；如有不明确或不一致，构成合同文件组成内容的，以合同文件约定内容为准，除磋商文件中有特别规定外，仅适用于采购阶段的规定，按磋商公告、供应商须知、评分方法、响应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p w14:paraId="19446504">
            <w:pPr>
              <w:shd w:val="clear" w:color="auto" w:fill="auto"/>
              <w:spacing w:line="360" w:lineRule="auto"/>
              <w:rPr>
                <w:rFonts w:hint="eastAsia" w:ascii="宋体" w:hAnsi="宋体" w:cs="宋体"/>
                <w:color w:val="auto"/>
                <w:sz w:val="24"/>
                <w:highlight w:val="none"/>
              </w:rPr>
            </w:pPr>
            <w:r>
              <w:rPr>
                <w:rFonts w:hint="eastAsia" w:ascii="宋体" w:hAnsi="宋体" w:cs="宋体"/>
                <w:color w:val="auto"/>
                <w:kern w:val="10"/>
                <w:sz w:val="24"/>
                <w:highlight w:val="none"/>
              </w:rPr>
              <w:t>2、本文件中“磋商文件”、“采购文件”所表述的为同一内容；本文件中“磋商公告”、“采购公告”所表述的为同一内容；本文件中“招标人”、“采购人”所表述的为同一内容；本文件中“投标人”、“供应商”所表述的为同一内容；本文件中“中标人”、“成交人”所表述的为同一内容；本文件中“响应性文件”、“投标文件”所表述的为同一内容；本文件中“合同履行期限”、“交货期”、“交货及完工期”“完成期限”所表述的为同一内容，本文件中“货物名称”、 “投标货物名称”“产品名称”、“投标产品名称”所表述的为同一内容。</w:t>
            </w:r>
          </w:p>
        </w:tc>
      </w:tr>
      <w:tr w14:paraId="1B69927F">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78B68876">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F9EDAE5">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kern w:val="44"/>
                <w:sz w:val="24"/>
                <w:highlight w:val="none"/>
              </w:rPr>
              <w:t>磋商文件的约束力</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3D662754">
            <w:pPr>
              <w:shd w:val="clear" w:color="auto" w:fill="auto"/>
              <w:spacing w:line="360" w:lineRule="auto"/>
              <w:rPr>
                <w:rFonts w:hint="eastAsia" w:ascii="宋体" w:hAnsi="宋体" w:cs="宋体"/>
                <w:color w:val="auto"/>
                <w:sz w:val="24"/>
                <w:highlight w:val="none"/>
              </w:rPr>
            </w:pPr>
            <w:r>
              <w:rPr>
                <w:rFonts w:hint="eastAsia" w:ascii="宋体" w:hAnsi="宋体" w:cs="宋体"/>
                <w:color w:val="auto"/>
                <w:kern w:val="44"/>
                <w:sz w:val="24"/>
                <w:highlight w:val="none"/>
              </w:rPr>
              <w:t>投标人一旦获取了本磋商文件并参加投标，即被认为对本磋商文件中的所有条件和规定均无异议。</w:t>
            </w:r>
          </w:p>
        </w:tc>
      </w:tr>
      <w:tr w14:paraId="67A6B29F">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B821A4F">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3AFAD936">
            <w:pPr>
              <w:shd w:val="clear" w:color="auto" w:fill="auto"/>
              <w:spacing w:line="360" w:lineRule="auto"/>
              <w:jc w:val="center"/>
              <w:rPr>
                <w:rFonts w:hint="eastAsia" w:ascii="宋体" w:hAnsi="宋体" w:cs="宋体"/>
                <w:color w:val="auto"/>
                <w:sz w:val="24"/>
                <w:highlight w:val="none"/>
              </w:rPr>
            </w:pPr>
            <w:r>
              <w:rPr>
                <w:rFonts w:hint="eastAsia" w:ascii="宋体" w:hAnsi="宋体" w:cs="宋体"/>
                <w:color w:val="auto"/>
                <w:sz w:val="24"/>
                <w:highlight w:val="none"/>
              </w:rPr>
              <w:t>需要补充的其他内容</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00F7D00E">
            <w:pPr>
              <w:shd w:val="clear" w:color="auto" w:fill="auto"/>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1</w:t>
            </w:r>
            <w:r>
              <w:rPr>
                <w:rFonts w:hint="eastAsia" w:ascii="宋体" w:hAnsi="宋体" w:cs="宋体"/>
                <w:color w:val="auto"/>
                <w:sz w:val="24"/>
                <w:highlight w:val="none"/>
              </w:rPr>
              <w:t>、</w:t>
            </w:r>
            <w:r>
              <w:rPr>
                <w:rFonts w:ascii="宋体" w:hAnsi="宋体" w:cs="宋体"/>
                <w:color w:val="auto"/>
                <w:sz w:val="24"/>
                <w:highlight w:val="none"/>
              </w:rPr>
              <w:t>采购人严格按三财购【2021】9号文要求的时限发布中标结果公告，发出中标通知书，签订采购合同，上传采购合同</w:t>
            </w:r>
            <w:r>
              <w:rPr>
                <w:rFonts w:hint="eastAsia" w:ascii="宋体" w:hAnsi="宋体" w:cs="宋体"/>
                <w:color w:val="auto"/>
                <w:sz w:val="24"/>
                <w:highlight w:val="none"/>
                <w:lang w:eastAsia="zh-CN"/>
              </w:rPr>
              <w:t>；</w:t>
            </w:r>
          </w:p>
          <w:p w14:paraId="48A55172">
            <w:pPr>
              <w:shd w:val="clear" w:color="auto" w:fill="auto"/>
              <w:spacing w:line="360" w:lineRule="auto"/>
              <w:rPr>
                <w:rFonts w:hint="eastAsia" w:ascii="宋体" w:hAnsi="宋体" w:eastAsia="宋体" w:cs="宋体"/>
                <w:color w:val="auto"/>
                <w:sz w:val="24"/>
                <w:highlight w:val="none"/>
                <w:lang w:eastAsia="zh-CN"/>
              </w:rPr>
            </w:pPr>
            <w:r>
              <w:rPr>
                <w:rFonts w:hint="eastAsia" w:ascii="宋体" w:hAnsi="宋体" w:cs="宋体"/>
                <w:color w:val="auto"/>
                <w:sz w:val="24"/>
                <w:highlight w:val="none"/>
                <w:lang w:val="en-US" w:eastAsia="zh-CN"/>
              </w:rPr>
              <w:t>2</w:t>
            </w:r>
            <w:r>
              <w:rPr>
                <w:rFonts w:hint="eastAsia" w:ascii="宋体" w:hAnsi="宋体" w:cs="宋体"/>
                <w:color w:val="auto"/>
                <w:sz w:val="24"/>
                <w:highlight w:val="none"/>
              </w:rPr>
              <w:t>、其它未尽事宜，按国家有关法律、法规执行</w:t>
            </w:r>
            <w:r>
              <w:rPr>
                <w:rFonts w:hint="eastAsia" w:ascii="宋体" w:hAnsi="宋体" w:cs="宋体"/>
                <w:color w:val="auto"/>
                <w:sz w:val="24"/>
                <w:highlight w:val="none"/>
                <w:lang w:eastAsia="zh-CN"/>
              </w:rPr>
              <w:t>；</w:t>
            </w:r>
          </w:p>
          <w:p w14:paraId="1942EC9A">
            <w:pPr>
              <w:shd w:val="clear" w:color="auto" w:fill="auto"/>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、技术咨询电</w:t>
            </w:r>
            <w:r>
              <w:rPr>
                <w:rFonts w:hint="eastAsia" w:ascii="宋体" w:hAnsi="宋体" w:eastAsia="宋体" w:cs="宋体"/>
                <w:color w:val="auto"/>
                <w:sz w:val="24"/>
                <w:highlight w:val="none"/>
              </w:rPr>
              <w:t>话：0512-58188538</w:t>
            </w:r>
          </w:p>
        </w:tc>
      </w:tr>
      <w:tr w14:paraId="0F52AEDB">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205CAD29">
            <w:pPr>
              <w:numPr>
                <w:ilvl w:val="0"/>
                <w:numId w:val="2"/>
              </w:numPr>
              <w:shd w:val="clear" w:color="auto" w:fill="auto"/>
              <w:spacing w:line="360" w:lineRule="auto"/>
              <w:ind w:left="0" w:leftChars="0" w:firstLine="0" w:firstLineChars="0"/>
              <w:jc w:val="center"/>
              <w:rPr>
                <w:rFonts w:hint="eastAsia" w:ascii="宋体" w:hAnsi="宋体" w:cs="宋体"/>
                <w:color w:val="auto"/>
                <w:sz w:val="24"/>
                <w:highlight w:val="none"/>
              </w:rPr>
            </w:pPr>
          </w:p>
        </w:tc>
        <w:tc>
          <w:tcPr>
            <w:tcW w:w="2211" w:type="dxa"/>
            <w:tcBorders>
              <w:top w:val="single" w:color="auto" w:sz="4" w:space="0"/>
              <w:left w:val="single" w:color="auto" w:sz="4" w:space="0"/>
              <w:bottom w:val="single" w:color="auto" w:sz="4" w:space="0"/>
              <w:right w:val="single" w:color="auto" w:sz="4" w:space="0"/>
            </w:tcBorders>
            <w:noWrap w:val="0"/>
            <w:vAlign w:val="center"/>
          </w:tcPr>
          <w:p w14:paraId="1772592C">
            <w:pPr>
              <w:shd w:val="clear" w:color="auto" w:fill="auto"/>
              <w:spacing w:line="360" w:lineRule="auto"/>
              <w:jc w:val="center"/>
              <w:rPr>
                <w:rFonts w:hint="eastAsia" w:ascii="宋体" w:hAnsi="宋体" w:cs="宋体"/>
                <w:color w:val="auto"/>
                <w:sz w:val="24"/>
                <w:highlight w:val="none"/>
              </w:rPr>
            </w:pPr>
            <w:r>
              <w:rPr>
                <w:rFonts w:hint="eastAsia" w:ascii="宋体" w:hAnsi="宋体"/>
                <w:color w:val="auto"/>
                <w:sz w:val="24"/>
                <w:highlight w:val="none"/>
              </w:rPr>
              <w:t>政府采购政策</w:t>
            </w:r>
          </w:p>
        </w:tc>
        <w:tc>
          <w:tcPr>
            <w:tcW w:w="6739" w:type="dxa"/>
            <w:tcBorders>
              <w:top w:val="single" w:color="auto" w:sz="4" w:space="0"/>
              <w:left w:val="single" w:color="auto" w:sz="4" w:space="0"/>
              <w:bottom w:val="single" w:color="auto" w:sz="4" w:space="0"/>
              <w:right w:val="single" w:color="auto" w:sz="4" w:space="0"/>
            </w:tcBorders>
            <w:noWrap w:val="0"/>
            <w:vAlign w:val="center"/>
          </w:tcPr>
          <w:p w14:paraId="7A433F60">
            <w:pPr>
              <w:shd w:val="clear" w:color="auto" w:fill="auto"/>
              <w:spacing w:line="400" w:lineRule="exact"/>
              <w:ind w:left="142"/>
              <w:rPr>
                <w:rFonts w:hint="eastAsia" w:ascii="宋体" w:hAnsi="宋体" w:cs="Calibri"/>
                <w:color w:val="auto"/>
                <w:sz w:val="24"/>
                <w:szCs w:val="24"/>
                <w:highlight w:val="none"/>
              </w:rPr>
            </w:pPr>
            <w:r>
              <w:rPr>
                <w:rFonts w:hint="eastAsia" w:ascii="宋体" w:hAnsi="宋体" w:cs="Calibri"/>
                <w:color w:val="auto"/>
                <w:sz w:val="24"/>
                <w:szCs w:val="24"/>
                <w:highlight w:val="none"/>
                <w:lang w:val="en-US" w:eastAsia="zh-CN"/>
              </w:rPr>
              <w:t>1</w:t>
            </w:r>
            <w:r>
              <w:rPr>
                <w:rFonts w:hint="eastAsia" w:ascii="宋体" w:hAnsi="宋体" w:cs="Calibri"/>
                <w:color w:val="auto"/>
                <w:sz w:val="24"/>
                <w:szCs w:val="24"/>
                <w:highlight w:val="none"/>
              </w:rPr>
              <w:t>.划定标准为：《工业和信息化部、国家统计局、国家发展和改革委员会、财政部关于印发&lt;中小企业划型标准规定的通知&gt;（工信部联企业〔2011〕300号）规定的划分标准为依据。</w:t>
            </w:r>
          </w:p>
          <w:p w14:paraId="7713CB4D">
            <w:pPr>
              <w:shd w:val="clear" w:color="auto" w:fill="auto"/>
              <w:spacing w:line="400" w:lineRule="exact"/>
              <w:ind w:left="142"/>
              <w:rPr>
                <w:rFonts w:ascii="宋体" w:hAnsi="宋体" w:cs="Calibri"/>
                <w:b/>
                <w:color w:val="auto"/>
                <w:sz w:val="24"/>
                <w:szCs w:val="24"/>
                <w:highlight w:val="none"/>
              </w:rPr>
            </w:pPr>
            <w:r>
              <w:rPr>
                <w:rFonts w:hint="eastAsia" w:ascii="宋体" w:hAnsi="宋体" w:cs="Calibri"/>
                <w:color w:val="auto"/>
                <w:sz w:val="24"/>
                <w:szCs w:val="24"/>
                <w:highlight w:val="none"/>
              </w:rPr>
              <w:t>本项目采购标的属于</w:t>
            </w:r>
            <w:r>
              <w:rPr>
                <w:rFonts w:hint="eastAsia" w:ascii="宋体" w:hAnsi="宋体" w:cs="Calibri"/>
                <w:b/>
                <w:color w:val="auto"/>
                <w:sz w:val="24"/>
                <w:szCs w:val="24"/>
                <w:highlight w:val="none"/>
              </w:rPr>
              <w:t>建筑业</w:t>
            </w:r>
            <w:r>
              <w:rPr>
                <w:rFonts w:hint="eastAsia" w:ascii="宋体" w:hAnsi="宋体" w:cs="Calibri"/>
                <w:color w:val="auto"/>
                <w:sz w:val="24"/>
                <w:szCs w:val="24"/>
                <w:highlight w:val="none"/>
              </w:rPr>
              <w:t>；</w:t>
            </w:r>
          </w:p>
          <w:p w14:paraId="18C76EBB">
            <w:pPr>
              <w:shd w:val="clear" w:color="auto" w:fill="auto"/>
              <w:spacing w:line="400" w:lineRule="exact"/>
              <w:ind w:left="142"/>
              <w:rPr>
                <w:rFonts w:hint="eastAsia" w:ascii="宋体" w:hAnsi="宋体" w:cs="Calibri"/>
                <w:color w:val="auto"/>
                <w:sz w:val="24"/>
                <w:szCs w:val="24"/>
                <w:highlight w:val="none"/>
              </w:rPr>
            </w:pPr>
            <w:r>
              <w:rPr>
                <w:rFonts w:hint="eastAsia" w:ascii="宋体" w:hAnsi="宋体" w:cs="Calibri"/>
                <w:color w:val="auto"/>
                <w:sz w:val="24"/>
                <w:szCs w:val="24"/>
                <w:highlight w:val="none"/>
                <w:lang w:val="en-US" w:eastAsia="zh-CN"/>
              </w:rPr>
              <w:t>2</w:t>
            </w:r>
            <w:r>
              <w:rPr>
                <w:rFonts w:hint="eastAsia" w:ascii="宋体" w:hAnsi="宋体" w:cs="Calibri"/>
                <w:color w:val="auto"/>
                <w:sz w:val="24"/>
                <w:szCs w:val="24"/>
                <w:highlight w:val="none"/>
              </w:rPr>
              <w:t>.小微企业的认定标准详见《关于印发《政府采购促进中小企业发展管理办法》的通知》（财库〔2020〕46号）。</w:t>
            </w:r>
          </w:p>
          <w:p w14:paraId="404F6758">
            <w:pPr>
              <w:shd w:val="clear" w:color="auto" w:fill="auto"/>
              <w:spacing w:line="400" w:lineRule="exact"/>
              <w:ind w:firstLine="482"/>
              <w:rPr>
                <w:rFonts w:hint="eastAsia" w:ascii="宋体" w:hAnsi="宋体" w:cs="Calibri"/>
                <w:color w:val="auto"/>
                <w:sz w:val="24"/>
                <w:szCs w:val="24"/>
                <w:highlight w:val="none"/>
              </w:rPr>
            </w:pPr>
            <w:r>
              <w:rPr>
                <w:rFonts w:hint="eastAsia" w:ascii="宋体" w:hAnsi="宋体" w:cs="Calibri"/>
                <w:color w:val="auto"/>
                <w:sz w:val="24"/>
                <w:szCs w:val="24"/>
                <w:highlight w:val="none"/>
              </w:rPr>
              <w:t>（1）小微企业认定标准：出具《中小企业声明函》。</w:t>
            </w:r>
          </w:p>
          <w:p w14:paraId="666DC24B">
            <w:pPr>
              <w:shd w:val="clear" w:color="auto" w:fill="auto"/>
              <w:spacing w:line="400" w:lineRule="exact"/>
              <w:ind w:firstLine="482"/>
              <w:rPr>
                <w:rFonts w:hint="eastAsia" w:ascii="宋体" w:hAnsi="宋体" w:cs="Calibri"/>
                <w:color w:val="auto"/>
                <w:sz w:val="24"/>
                <w:szCs w:val="24"/>
                <w:highlight w:val="none"/>
              </w:rPr>
            </w:pPr>
            <w:r>
              <w:rPr>
                <w:rFonts w:hint="eastAsia" w:ascii="宋体" w:hAnsi="宋体" w:cs="Calibri"/>
                <w:color w:val="auto"/>
                <w:sz w:val="24"/>
                <w:szCs w:val="24"/>
                <w:highlight w:val="none"/>
              </w:rPr>
              <w:t>（2）残疾人福利性单位认定标准：出具《残疾人福利性单位声明函》。</w:t>
            </w:r>
          </w:p>
          <w:p w14:paraId="5F3D2CFC">
            <w:pPr>
              <w:shd w:val="clear" w:color="auto" w:fill="auto"/>
              <w:spacing w:line="400" w:lineRule="exact"/>
              <w:ind w:firstLine="482"/>
              <w:rPr>
                <w:rFonts w:hint="eastAsia" w:ascii="宋体" w:hAnsi="宋体" w:cs="Calibri"/>
                <w:color w:val="auto"/>
                <w:sz w:val="24"/>
                <w:szCs w:val="24"/>
                <w:highlight w:val="none"/>
              </w:rPr>
            </w:pPr>
            <w:r>
              <w:rPr>
                <w:rFonts w:hint="eastAsia" w:ascii="宋体" w:hAnsi="宋体" w:cs="Calibri"/>
                <w:color w:val="auto"/>
                <w:sz w:val="24"/>
                <w:szCs w:val="24"/>
                <w:highlight w:val="none"/>
              </w:rPr>
              <w:t>（3）监狱企业的认定标准：省级以上监狱管理局、戒毒管理局（含新疆生产建设兵团）出具的属于监狱企业的证明文件。</w:t>
            </w:r>
          </w:p>
          <w:p w14:paraId="44181DF5">
            <w:pPr>
              <w:shd w:val="clear" w:color="auto" w:fill="auto"/>
              <w:spacing w:line="360" w:lineRule="auto"/>
              <w:ind w:firstLine="482" w:firstLineChars="200"/>
              <w:rPr>
                <w:rFonts w:hint="eastAsia" w:ascii="宋体" w:hAnsi="宋体" w:cs="Calibri"/>
                <w:color w:val="auto"/>
                <w:sz w:val="24"/>
                <w:szCs w:val="24"/>
                <w:highlight w:val="none"/>
              </w:rPr>
            </w:pPr>
            <w:r>
              <w:rPr>
                <w:rFonts w:hint="eastAsia" w:ascii="宋体" w:hAnsi="宋体" w:cs="宋体"/>
                <w:b/>
                <w:bCs/>
                <w:color w:val="auto"/>
                <w:kern w:val="0"/>
                <w:sz w:val="24"/>
                <w:szCs w:val="24"/>
                <w:highlight w:val="none"/>
              </w:rPr>
              <w:t>残疾人福利性单位</w:t>
            </w:r>
            <w:r>
              <w:rPr>
                <w:rFonts w:hint="eastAsia" w:ascii="宋体" w:hAnsi="宋体" w:cs="宋体"/>
                <w:b/>
                <w:bCs/>
                <w:color w:val="auto"/>
                <w:kern w:val="0"/>
                <w:sz w:val="24"/>
                <w:szCs w:val="24"/>
                <w:highlight w:val="none"/>
                <w:lang w:eastAsia="zh-CN"/>
              </w:rPr>
              <w:t>、</w:t>
            </w:r>
            <w:r>
              <w:rPr>
                <w:rFonts w:hint="eastAsia" w:ascii="宋体" w:hAnsi="宋体" w:cs="宋体"/>
                <w:b/>
                <w:bCs/>
                <w:color w:val="auto"/>
                <w:kern w:val="0"/>
                <w:sz w:val="24"/>
                <w:szCs w:val="24"/>
                <w:highlight w:val="none"/>
              </w:rPr>
              <w:t>监狱企业视同小型、微型企业</w:t>
            </w:r>
            <w:r>
              <w:rPr>
                <w:rFonts w:hint="eastAsia" w:ascii="宋体" w:hAnsi="宋体" w:cs="宋体"/>
                <w:b/>
                <w:bCs/>
                <w:color w:val="auto"/>
                <w:kern w:val="0"/>
                <w:sz w:val="24"/>
                <w:szCs w:val="24"/>
                <w:highlight w:val="none"/>
                <w:lang w:eastAsia="zh-CN"/>
              </w:rPr>
              <w:t>。</w:t>
            </w:r>
          </w:p>
          <w:p w14:paraId="269AA4C5">
            <w:pPr>
              <w:shd w:val="clear" w:color="auto" w:fill="auto"/>
              <w:spacing w:line="360" w:lineRule="auto"/>
              <w:rPr>
                <w:rFonts w:hint="eastAsia" w:ascii="宋体" w:hAnsi="宋体" w:eastAsia="宋体"/>
                <w:color w:val="auto"/>
                <w:sz w:val="24"/>
                <w:highlight w:val="none"/>
                <w:lang w:eastAsia="zh-CN"/>
              </w:rPr>
            </w:pPr>
            <w:r>
              <w:rPr>
                <w:rFonts w:hint="eastAsia" w:ascii="宋体" w:hAnsi="宋体" w:cs="Calibri"/>
                <w:color w:val="auto"/>
                <w:sz w:val="24"/>
                <w:szCs w:val="24"/>
                <w:highlight w:val="none"/>
              </w:rPr>
              <w:t>相关风险：提供虚假证明材料后果：投标人为取得上述身份而提供虚假证明材料，在评审过程中发现的，按无效标处理；已取得中标资格的，无论该行为是否影响中标，均取消其中标资格；该投标人还应承担由此引起的其他经济、法律责任。出现此种情形时，招标人、招标代理机构将有关情况上报政府采购监管部门，由监管部门按有关规定对其进行相应处罚。</w:t>
            </w:r>
          </w:p>
        </w:tc>
      </w:tr>
      <w:tr w14:paraId="3B223191">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3FF05CE4">
            <w:pPr>
              <w:numPr>
                <w:ilvl w:val="0"/>
                <w:numId w:val="2"/>
              </w:numPr>
              <w:shd w:val="clear" w:color="auto" w:fill="auto"/>
              <w:spacing w:line="360" w:lineRule="auto"/>
              <w:ind w:left="0" w:leftChars="0" w:firstLine="0" w:firstLineChars="0"/>
              <w:jc w:val="center"/>
              <w:rPr>
                <w:rFonts w:hint="default" w:ascii="宋体" w:hAnsi="宋体" w:eastAsia="宋体" w:cs="宋体"/>
                <w:color w:val="auto"/>
                <w:sz w:val="24"/>
                <w:highlight w:val="none"/>
                <w:lang w:val="en-US" w:eastAsia="zh-CN"/>
              </w:rPr>
            </w:pPr>
          </w:p>
        </w:tc>
        <w:tc>
          <w:tcPr>
            <w:tcW w:w="8950" w:type="dxa"/>
            <w:gridSpan w:val="2"/>
            <w:tcBorders>
              <w:top w:val="single" w:color="auto" w:sz="4" w:space="0"/>
              <w:left w:val="single" w:color="auto" w:sz="4" w:space="0"/>
              <w:bottom w:val="single" w:color="auto" w:sz="4" w:space="0"/>
              <w:right w:val="single" w:color="auto" w:sz="4" w:space="0"/>
            </w:tcBorders>
            <w:noWrap w:val="0"/>
            <w:vAlign w:val="center"/>
          </w:tcPr>
          <w:p w14:paraId="0AF9BF41">
            <w:pPr>
              <w:shd w:val="clear" w:color="auto" w:fill="auto"/>
              <w:spacing w:line="360" w:lineRule="auto"/>
              <w:rPr>
                <w:rFonts w:hint="eastAsia" w:ascii="宋体" w:hAnsi="宋体" w:cs="宋体"/>
                <w:color w:val="auto"/>
                <w:sz w:val="24"/>
                <w:szCs w:val="22"/>
                <w:highlight w:val="none"/>
              </w:rPr>
            </w:pPr>
            <w:r>
              <w:rPr>
                <w:rFonts w:hint="eastAsia" w:ascii="宋体" w:hAnsi="宋体" w:cs="宋体"/>
                <w:color w:val="auto"/>
                <w:sz w:val="24"/>
                <w:szCs w:val="22"/>
                <w:highlight w:val="none"/>
              </w:rPr>
              <w:t>电子化交易注意事项：</w:t>
            </w:r>
          </w:p>
          <w:p w14:paraId="76AFBB24">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本项目为电子化、无纸化交易项目，投标文件是供应商、供应商（以下简称“供应商”）通过中心投标文件制作系统制作，并经过电子签章和加密后生成的电子版投标文件。供应商投标时，将不再接受任何纸质文件资料。为保证您能投标成功，请需仔细阅读以下条款：</w:t>
            </w:r>
          </w:p>
          <w:p w14:paraId="60DD2B7A">
            <w:pPr>
              <w:shd w:val="clear" w:color="auto" w:fill="auto"/>
              <w:spacing w:line="360" w:lineRule="auto"/>
              <w:rPr>
                <w:rFonts w:ascii="宋体" w:hAnsi="宋体" w:cs="宋体"/>
                <w:color w:val="auto"/>
                <w:sz w:val="24"/>
                <w:szCs w:val="22"/>
                <w:highlight w:val="none"/>
              </w:rPr>
            </w:pPr>
            <w:r>
              <w:rPr>
                <w:rFonts w:hint="eastAsia" w:ascii="宋体" w:hAnsi="宋体" w:cs="宋体"/>
                <w:color w:val="auto"/>
                <w:sz w:val="24"/>
                <w:szCs w:val="22"/>
                <w:highlight w:val="none"/>
              </w:rPr>
              <w:t>（一）电子化投标文件的签章</w:t>
            </w:r>
          </w:p>
          <w:p w14:paraId="6E7AF6EF">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1、供应商在生成电子化投标文件后，应对电子化投标文件进行签章，未进行签章的视为无效投标。</w:t>
            </w:r>
          </w:p>
          <w:p w14:paraId="67BECC59">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2、招标文件中要求法定代表人或授权委托人签字或盖章的，供应商在进行电子化投标文件签章时，以签盖法定代表人签章为准。</w:t>
            </w:r>
          </w:p>
          <w:p w14:paraId="58D1FBDE">
            <w:pPr>
              <w:shd w:val="clear" w:color="auto" w:fill="auto"/>
              <w:spacing w:line="360" w:lineRule="auto"/>
              <w:rPr>
                <w:rFonts w:ascii="宋体" w:hAnsi="宋体" w:cs="宋体"/>
                <w:color w:val="auto"/>
                <w:sz w:val="24"/>
                <w:szCs w:val="22"/>
                <w:highlight w:val="none"/>
              </w:rPr>
            </w:pPr>
            <w:r>
              <w:rPr>
                <w:rFonts w:hint="eastAsia" w:ascii="宋体" w:hAnsi="宋体" w:cs="宋体"/>
                <w:color w:val="auto"/>
                <w:sz w:val="24"/>
                <w:szCs w:val="22"/>
                <w:highlight w:val="none"/>
              </w:rPr>
              <w:t>（二）电子化投标文件的格式及上传投标</w:t>
            </w:r>
          </w:p>
          <w:p w14:paraId="6AAE8A7E">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1、供应商所上传的电子化投标文件，应是通过中心投标文件制作系统制作的，经过签章和加密后生成的电子版投标文件。其中包含用于投标文件上传的主文件（后缀为.smxtf）和用于应急补救的投标文件备份文件（后缀为.nsmxtf）。备份文件主要用于电子化开标出现技术问题后的补救，请供应商随身携带。</w:t>
            </w:r>
          </w:p>
          <w:p w14:paraId="62D9B7AD">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注：供应商投报多个标段的，每个标段均要生成独立的电子投标文件。</w:t>
            </w:r>
          </w:p>
          <w:p w14:paraId="196B47C1">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2、电子化投标文件应在投标截止时间前成功上传至三门峡市公共资源电子化交易系统。至投标截止时间止，仍未上传成功的电子化投标文件将不予接收。</w:t>
            </w:r>
          </w:p>
          <w:p w14:paraId="44935DDE">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注：如按照电子化投标操作教材制作完成的电子化投标文件无法上传的，供应商应在投标截止时间前尽早的联系中心技术人员，以便有充分的时间进行处理。供应商应充分考虑到处理技术问题和上传数据等工作所需的时间问题，投标文件未在投标截止时间前成功上传的，其投标文件不予接收。技术联系电话：0398-3117871</w:t>
            </w:r>
          </w:p>
          <w:p w14:paraId="3BC849CC">
            <w:pPr>
              <w:shd w:val="clear" w:color="auto" w:fill="auto"/>
              <w:spacing w:line="360" w:lineRule="auto"/>
              <w:rPr>
                <w:rFonts w:ascii="宋体" w:hAnsi="宋体" w:cs="宋体"/>
                <w:color w:val="auto"/>
                <w:sz w:val="24"/>
                <w:szCs w:val="22"/>
                <w:highlight w:val="none"/>
              </w:rPr>
            </w:pPr>
            <w:r>
              <w:rPr>
                <w:rFonts w:hint="eastAsia" w:ascii="宋体" w:hAnsi="宋体" w:cs="宋体"/>
                <w:color w:val="auto"/>
                <w:sz w:val="24"/>
                <w:szCs w:val="22"/>
                <w:highlight w:val="none"/>
              </w:rPr>
              <w:t>（三）电子化项目开标、解密、唱标、评标</w:t>
            </w:r>
          </w:p>
          <w:p w14:paraId="60C9C51E">
            <w:pPr>
              <w:shd w:val="clear" w:color="auto" w:fill="auto"/>
              <w:spacing w:line="360" w:lineRule="auto"/>
              <w:ind w:firstLine="573"/>
              <w:jc w:val="left"/>
              <w:rPr>
                <w:rFonts w:hint="eastAsia" w:ascii="宋体" w:hAnsi="宋体" w:cs="宋体"/>
                <w:color w:val="auto"/>
                <w:sz w:val="24"/>
                <w:szCs w:val="22"/>
                <w:highlight w:val="none"/>
              </w:rPr>
            </w:pPr>
            <w:r>
              <w:rPr>
                <w:rFonts w:hint="eastAsia" w:ascii="宋体" w:hAnsi="宋体" w:cs="宋体"/>
                <w:color w:val="auto"/>
                <w:sz w:val="24"/>
                <w:szCs w:val="22"/>
                <w:highlight w:val="none"/>
              </w:rPr>
              <w:t>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投标文件解密等</w:t>
            </w:r>
          </w:p>
          <w:p w14:paraId="42740651">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2、电子化投标文件采用一次加密方式。开标时，供应商使用供应商CA证书在规定时间内对其电子化投标文件进行解密。每位供应商的解密时间为开标时间起30分钟内，如在规定时间内未完成解密的，其投标文件不予开标、唱标。</w:t>
            </w:r>
          </w:p>
          <w:p w14:paraId="6051770E">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3、电子化投标文件异常情况的处理</w:t>
            </w:r>
          </w:p>
          <w:p w14:paraId="4D174891">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如出现供应商的电子投标文件无法解密等异常情况，供应商应及时致电中介服务机构说明。投标文件异常，按以下步骤进行处理：</w:t>
            </w:r>
          </w:p>
          <w:p w14:paraId="734FD866">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（1）首先由技术人员进行问题排查。</w:t>
            </w:r>
          </w:p>
          <w:p w14:paraId="22273FF0">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（2）经技术人员排查后，是供应商文件自身问题导致投标文件无法解密的，该投标文件将不予接收、解密和唱标。开标会议继续进行。</w:t>
            </w:r>
          </w:p>
          <w:p w14:paraId="797B649F">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3）经技术人员排查后，如果是电子化交易系统问题造成投标文件无法解密的，将由技术人员对问题进行处理。如短时间内问题无法解决的，将由中介服务机构向监督部门申请，经监督部门同意后，暂停开标会议，待问题解决后继续开标。</w:t>
            </w:r>
          </w:p>
          <w:p w14:paraId="3F168835">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4、待所有供应商投标文件解密完成后，由中介服务机构操作，对所有已解密投标文件进行唱标。</w:t>
            </w:r>
          </w:p>
          <w:p w14:paraId="4896262C">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供应商应保证在开标期间电话、电脑、网络能够正常工作，供应商因停电、电脑病毒、网络堵塞等原因，未在规定的解密时间内对投标文件进行解密的，其投标文件不予接收、唱标。</w:t>
            </w:r>
          </w:p>
          <w:p w14:paraId="57E176AF">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5、开标时供应商可登录到交易系统中在开标大厅中点击开标一览表查看自己的投标报价。如对自己的唱标内容有异议的，应在唱标内容显示后10分钟内向中介服务机构质疑。供应商未在规定时间内提出质疑的，视为认可唱标内容。</w:t>
            </w:r>
          </w:p>
          <w:p w14:paraId="4F0D43BA">
            <w:pPr>
              <w:shd w:val="clear" w:color="auto" w:fill="auto"/>
              <w:spacing w:line="360" w:lineRule="auto"/>
              <w:ind w:firstLine="573"/>
              <w:rPr>
                <w:rFonts w:ascii="宋体" w:hAnsi="宋体" w:cs="宋体"/>
                <w:color w:val="auto"/>
                <w:sz w:val="24"/>
                <w:szCs w:val="22"/>
                <w:highlight w:val="none"/>
              </w:rPr>
            </w:pPr>
            <w:r>
              <w:rPr>
                <w:rFonts w:hint="eastAsia" w:ascii="宋体" w:hAnsi="宋体" w:cs="宋体"/>
                <w:color w:val="auto"/>
                <w:sz w:val="24"/>
                <w:szCs w:val="22"/>
                <w:highlight w:val="none"/>
              </w:rPr>
              <w:t>6、评标时，评标委员会对电子化投标文件有质疑的，将通过电子化交易系统对供应商发起质疑，并在监督人员的监督下，用免提模式致电需要答复的供应商进行详细质询。质疑回复内容确认后，供应商的回复文件必须以经过供应商和其法定代表人签章的PDF格式文件为准，并通过电子化交易系统提交至评标委员会。</w:t>
            </w:r>
          </w:p>
          <w:p w14:paraId="7208A80F">
            <w:pPr>
              <w:shd w:val="clear" w:color="auto" w:fill="auto"/>
              <w:spacing w:line="360" w:lineRule="auto"/>
              <w:ind w:firstLine="573"/>
              <w:rPr>
                <w:rFonts w:hint="eastAsia" w:ascii="宋体" w:hAnsi="宋体" w:cs="宋体"/>
                <w:color w:val="auto"/>
                <w:sz w:val="24"/>
                <w:szCs w:val="22"/>
                <w:highlight w:val="none"/>
              </w:rPr>
            </w:pPr>
            <w:r>
              <w:rPr>
                <w:rFonts w:hint="eastAsia" w:ascii="宋体" w:hAnsi="宋体" w:cs="宋体"/>
                <w:color w:val="auto"/>
                <w:sz w:val="24"/>
                <w:szCs w:val="22"/>
                <w:highlight w:val="none"/>
              </w:rPr>
              <w:t>7、如评标委员会对需要回复的供应商连续三次致电未接通的，视为供应商放弃回复，评标委员会将自行对需要回复的内容进行认定。</w:t>
            </w:r>
          </w:p>
          <w:p w14:paraId="255238BE">
            <w:pPr>
              <w:shd w:val="clear" w:color="auto" w:fill="auto"/>
              <w:spacing w:line="360" w:lineRule="auto"/>
              <w:rPr>
                <w:rFonts w:hint="eastAsia" w:ascii="宋体" w:hAnsi="宋体" w:eastAsia="宋体" w:cs="宋体"/>
                <w:color w:val="auto"/>
                <w:sz w:val="24"/>
                <w:highlight w:val="none"/>
              </w:rPr>
            </w:pPr>
            <w:r>
              <w:rPr>
                <w:rFonts w:hint="eastAsia" w:ascii="宋体" w:hAnsi="宋体" w:cs="宋体"/>
                <w:color w:val="auto"/>
                <w:sz w:val="24"/>
                <w:szCs w:val="22"/>
                <w:highlight w:val="none"/>
              </w:rPr>
              <w:t>提示：本项目为电子化、无纸化交易项目，投标人时不再接受任何纸质资料，为保证您能投标成功，请需仔细阅读以上条款。</w:t>
            </w:r>
          </w:p>
        </w:tc>
      </w:tr>
      <w:tr w14:paraId="64C81F18">
        <w:tblPrEx>
          <w:tblCellMar>
            <w:top w:w="0" w:type="dxa"/>
            <w:left w:w="108" w:type="dxa"/>
            <w:bottom w:w="0" w:type="dxa"/>
            <w:right w:w="108" w:type="dxa"/>
          </w:tblCellMar>
        </w:tblPrEx>
        <w:trPr>
          <w:trHeight w:val="633" w:hRule="atLeast"/>
          <w:jc w:val="center"/>
        </w:trPr>
        <w:tc>
          <w:tcPr>
            <w:tcW w:w="993" w:type="dxa"/>
            <w:tcBorders>
              <w:top w:val="single" w:color="auto" w:sz="4" w:space="0"/>
              <w:left w:val="single" w:color="auto" w:sz="4" w:space="0"/>
              <w:bottom w:val="single" w:color="auto" w:sz="4" w:space="0"/>
              <w:right w:val="single" w:color="auto" w:sz="4" w:space="0"/>
            </w:tcBorders>
            <w:noWrap w:val="0"/>
            <w:vAlign w:val="center"/>
          </w:tcPr>
          <w:p w14:paraId="46273B52">
            <w:pPr>
              <w:shd w:val="clear" w:color="auto" w:fill="auto"/>
              <w:spacing w:line="360" w:lineRule="auto"/>
              <w:jc w:val="center"/>
              <w:rPr>
                <w:rFonts w:hint="default" w:ascii="宋体" w:hAnsi="宋体" w:cs="宋体"/>
                <w:color w:val="auto"/>
                <w:sz w:val="24"/>
                <w:highlight w:val="none"/>
                <w:lang w:val="en-US" w:eastAsia="zh-CN"/>
              </w:rPr>
            </w:pPr>
            <w:r>
              <w:rPr>
                <w:rFonts w:hint="eastAsia" w:ascii="宋体" w:hAnsi="宋体" w:cs="宋体"/>
                <w:color w:val="auto"/>
                <w:sz w:val="24"/>
                <w:highlight w:val="none"/>
                <w:lang w:val="en-US" w:eastAsia="zh-CN"/>
              </w:rPr>
              <w:t>/</w:t>
            </w:r>
          </w:p>
        </w:tc>
        <w:tc>
          <w:tcPr>
            <w:tcW w:w="8950" w:type="dxa"/>
            <w:gridSpan w:val="2"/>
            <w:tcBorders>
              <w:top w:val="single" w:color="auto" w:sz="4" w:space="0"/>
              <w:left w:val="single" w:color="auto" w:sz="4" w:space="0"/>
              <w:bottom w:val="single" w:color="auto" w:sz="4" w:space="0"/>
              <w:right w:val="single" w:color="auto" w:sz="4" w:space="0"/>
            </w:tcBorders>
            <w:noWrap w:val="0"/>
            <w:vAlign w:val="center"/>
          </w:tcPr>
          <w:p w14:paraId="16F383C0">
            <w:pPr>
              <w:shd w:val="clear" w:color="auto" w:fill="auto"/>
              <w:spacing w:line="360" w:lineRule="auto"/>
              <w:rPr>
                <w:rFonts w:ascii="宋体" w:hAnsi="宋体" w:eastAsia="宋体" w:cs="宋体"/>
                <w:b/>
                <w:bCs/>
                <w:color w:val="auto"/>
                <w:sz w:val="24"/>
                <w:szCs w:val="24"/>
                <w:highlight w:val="none"/>
              </w:rPr>
            </w:pPr>
            <w:r>
              <w:rPr>
                <w:rFonts w:ascii="宋体" w:hAnsi="宋体" w:eastAsia="宋体" w:cs="宋体"/>
                <w:b/>
                <w:bCs/>
                <w:color w:val="auto"/>
                <w:sz w:val="24"/>
                <w:szCs w:val="24"/>
                <w:highlight w:val="none"/>
              </w:rPr>
              <w:t>河南省政府采购合同融资政策告知函</w:t>
            </w:r>
          </w:p>
          <w:p w14:paraId="1A65E76C">
            <w:pPr>
              <w:shd w:val="clear" w:color="auto" w:fill="auto"/>
              <w:spacing w:line="360" w:lineRule="auto"/>
              <w:rPr>
                <w:rFonts w:hint="eastAsia" w:ascii="宋体" w:hAnsi="宋体" w:eastAsia="宋体" w:cs="宋体"/>
                <w:color w:val="auto"/>
                <w:sz w:val="24"/>
                <w:szCs w:val="24"/>
                <w:highlight w:val="none"/>
              </w:rPr>
            </w:pPr>
            <w:r>
              <w:rPr>
                <w:rFonts w:ascii="宋体" w:hAnsi="宋体" w:eastAsia="宋体" w:cs="宋体"/>
                <w:b/>
                <w:bCs/>
                <w:color w:val="auto"/>
                <w:sz w:val="24"/>
                <w:szCs w:val="24"/>
                <w:highlight w:val="none"/>
              </w:rPr>
              <w:t>各供应商： 欢迎贵公司参与河南省政府采购活动！ 政府采购合同融资是河南省财政厅支持中小微企业发展，针对参与政府采购活动的供应商融资难、融资贵问题推出的一项融资政策。贵公司若成为本次政府采购项目的中标成交供应商，可持政府采购合同向金融机构申请贷款，无需抵押、担保，融资机构将根据《河南省政府采购合同融资工作实施方案》（豫财购〔2017〕10 号），按照双方自愿的原则提供便捷、优惠的贷款服务。 贷款渠道和提供贷款的金融机构，可在河南省政府采购网“河南省政府采购合同融资平台”查询联系。</w:t>
            </w:r>
          </w:p>
        </w:tc>
      </w:tr>
    </w:tbl>
    <w:p w14:paraId="780310FF">
      <w:pPr>
        <w:shd w:val="clear" w:color="auto" w:fill="auto"/>
        <w:spacing w:line="560" w:lineRule="exact"/>
        <w:rPr>
          <w:rFonts w:hint="eastAsia" w:ascii="宋体" w:hAnsi="宋体" w:cs="宋体"/>
          <w:b/>
          <w:bCs/>
          <w:color w:val="auto"/>
          <w:sz w:val="24"/>
          <w:szCs w:val="24"/>
          <w:highlight w:val="none"/>
        </w:rPr>
      </w:pPr>
      <w:bookmarkStart w:id="15" w:name="_Toc16520678"/>
      <w:bookmarkStart w:id="16" w:name="_Toc16520166"/>
      <w:bookmarkStart w:id="17" w:name="_Toc495647412"/>
      <w:bookmarkStart w:id="18" w:name="_Toc508179885"/>
      <w:bookmarkStart w:id="19" w:name="_Toc523220934"/>
    </w:p>
    <w:p w14:paraId="22AC9CD1">
      <w:pPr>
        <w:shd w:val="clear" w:color="auto" w:fill="auto"/>
        <w:spacing w:line="400" w:lineRule="exact"/>
        <w:ind w:firstLine="480"/>
        <w:rPr>
          <w:rFonts w:hint="eastAsia" w:ascii="宋体" w:hAnsi="宋体" w:cs="宋体"/>
          <w:b/>
          <w:bCs/>
          <w:color w:val="auto"/>
          <w:kern w:val="28"/>
          <w:sz w:val="24"/>
          <w:szCs w:val="24"/>
          <w:highlight w:val="none"/>
        </w:rPr>
      </w:pPr>
      <w:bookmarkStart w:id="20" w:name="_Toc144974497"/>
      <w:bookmarkStart w:id="21" w:name="_Toc246996918"/>
      <w:bookmarkStart w:id="22" w:name="_Toc152045529"/>
      <w:bookmarkStart w:id="23" w:name="_Toc247085689"/>
      <w:bookmarkStart w:id="24" w:name="_Toc246996175"/>
      <w:bookmarkStart w:id="25" w:name="_Toc296602420"/>
      <w:bookmarkStart w:id="26" w:name="_Toc152042305"/>
      <w:bookmarkStart w:id="27" w:name="_Toc179632546"/>
      <w:r>
        <w:rPr>
          <w:rFonts w:hint="eastAsia" w:ascii="宋体" w:hAnsi="宋体" w:cs="宋体"/>
          <w:b/>
          <w:bCs/>
          <w:color w:val="auto"/>
          <w:kern w:val="28"/>
          <w:sz w:val="24"/>
          <w:szCs w:val="24"/>
          <w:highlight w:val="none"/>
        </w:rPr>
        <w:t>1. 总则</w:t>
      </w:r>
      <w:bookmarkEnd w:id="20"/>
      <w:bookmarkEnd w:id="21"/>
      <w:bookmarkEnd w:id="22"/>
      <w:bookmarkEnd w:id="23"/>
      <w:bookmarkEnd w:id="24"/>
      <w:bookmarkEnd w:id="25"/>
      <w:bookmarkEnd w:id="26"/>
      <w:bookmarkEnd w:id="27"/>
    </w:p>
    <w:p w14:paraId="5A87FB7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8" w:name="_Toc77586820"/>
      <w:bookmarkStart w:id="29" w:name="_Toc246996919"/>
      <w:bookmarkStart w:id="30" w:name="_Toc77586913"/>
      <w:bookmarkStart w:id="31" w:name="_Toc144974498"/>
      <w:bookmarkStart w:id="32" w:name="_Toc247085690"/>
      <w:bookmarkStart w:id="33" w:name="_Toc11983"/>
      <w:bookmarkStart w:id="34" w:name="_Toc179632547"/>
      <w:bookmarkStart w:id="35" w:name="_Toc152045530"/>
      <w:bookmarkStart w:id="36" w:name="_Toc152042306"/>
      <w:bookmarkStart w:id="37" w:name="_Toc30894"/>
      <w:bookmarkStart w:id="38" w:name="_Toc246996176"/>
      <w:bookmarkStart w:id="39" w:name="_Toc296602421"/>
      <w:r>
        <w:rPr>
          <w:rFonts w:hint="eastAsia" w:ascii="宋体" w:hAnsi="宋体" w:cs="宋体"/>
          <w:b/>
          <w:bCs/>
          <w:color w:val="auto"/>
          <w:kern w:val="28"/>
          <w:sz w:val="24"/>
          <w:szCs w:val="24"/>
          <w:highlight w:val="none"/>
        </w:rPr>
        <w:t>1.1 项目概况</w:t>
      </w:r>
      <w:bookmarkEnd w:id="28"/>
      <w:bookmarkEnd w:id="29"/>
      <w:bookmarkEnd w:id="30"/>
      <w:bookmarkEnd w:id="31"/>
      <w:bookmarkEnd w:id="32"/>
      <w:bookmarkEnd w:id="33"/>
      <w:bookmarkEnd w:id="34"/>
      <w:bookmarkEnd w:id="35"/>
      <w:bookmarkEnd w:id="36"/>
      <w:bookmarkEnd w:id="37"/>
      <w:bookmarkEnd w:id="38"/>
      <w:bookmarkEnd w:id="39"/>
    </w:p>
    <w:p w14:paraId="2FA2C76C">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1.1.1根据《政府采购竞争性磋商采购方式管理暂行办法》等有关法律、法规和规章的规定，本磋商项目已具备磋商条件，现对本项目施工进行竞争性磋商。</w:t>
      </w:r>
    </w:p>
    <w:p w14:paraId="24A5955D">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1.1.2 本磋商项目招标人：见投标人须知前附表。</w:t>
      </w:r>
    </w:p>
    <w:p w14:paraId="0D48C3AD">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1.1.3 本磋商项目招标代理机构：见投标人须知前附表。</w:t>
      </w:r>
    </w:p>
    <w:p w14:paraId="60403126">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1.1.4 本磋商项目名称：见投标人须知前附表。</w:t>
      </w:r>
    </w:p>
    <w:p w14:paraId="2863483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0" w:name="_Toc246996920"/>
      <w:bookmarkStart w:id="41" w:name="_Toc16641"/>
      <w:bookmarkStart w:id="42" w:name="_Toc77586914"/>
      <w:bookmarkStart w:id="43" w:name="_Toc179632548"/>
      <w:bookmarkStart w:id="44" w:name="_Toc247085691"/>
      <w:bookmarkStart w:id="45" w:name="_Toc77586821"/>
      <w:bookmarkStart w:id="46" w:name="_Toc152042307"/>
      <w:bookmarkStart w:id="47" w:name="_Toc2179"/>
      <w:bookmarkStart w:id="48" w:name="_Toc152045531"/>
      <w:bookmarkStart w:id="49" w:name="_Toc144974499"/>
      <w:bookmarkStart w:id="50" w:name="_Toc296602422"/>
      <w:bookmarkStart w:id="51" w:name="_Toc246996177"/>
      <w:r>
        <w:rPr>
          <w:rFonts w:hint="eastAsia" w:ascii="宋体" w:hAnsi="宋体" w:cs="宋体"/>
          <w:b/>
          <w:bCs/>
          <w:color w:val="auto"/>
          <w:kern w:val="28"/>
          <w:sz w:val="24"/>
          <w:szCs w:val="24"/>
          <w:highlight w:val="none"/>
        </w:rPr>
        <w:t>1.2 资金来源和落实情况</w:t>
      </w:r>
      <w:bookmarkEnd w:id="40"/>
      <w:bookmarkEnd w:id="41"/>
      <w:bookmarkEnd w:id="42"/>
      <w:bookmarkEnd w:id="43"/>
      <w:bookmarkEnd w:id="44"/>
      <w:bookmarkEnd w:id="45"/>
      <w:bookmarkEnd w:id="46"/>
      <w:bookmarkEnd w:id="47"/>
      <w:bookmarkEnd w:id="48"/>
      <w:bookmarkEnd w:id="49"/>
      <w:bookmarkEnd w:id="50"/>
      <w:bookmarkEnd w:id="51"/>
    </w:p>
    <w:p w14:paraId="00E79B25">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1.2.1 本磋商项目的资金来源及出资比例：见投标人须知前附表。</w:t>
      </w:r>
    </w:p>
    <w:p w14:paraId="7B1009FC">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1.2.2 本磋商项目的资金落实情况：见投标人须知前附表。</w:t>
      </w:r>
    </w:p>
    <w:p w14:paraId="54BBAF44">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52" w:name="_Toc296602423"/>
      <w:bookmarkStart w:id="53" w:name="_Toc246996921"/>
      <w:bookmarkStart w:id="54" w:name="_Toc179632549"/>
      <w:bookmarkStart w:id="55" w:name="_Toc152045532"/>
      <w:bookmarkStart w:id="56" w:name="_Toc77586915"/>
      <w:bookmarkStart w:id="57" w:name="_Toc152042308"/>
      <w:bookmarkStart w:id="58" w:name="_Toc144974500"/>
      <w:bookmarkStart w:id="59" w:name="_Toc2409"/>
      <w:bookmarkStart w:id="60" w:name="_Toc30647"/>
      <w:bookmarkStart w:id="61" w:name="_Toc247085692"/>
      <w:bookmarkStart w:id="62" w:name="_Toc77586822"/>
      <w:bookmarkStart w:id="63" w:name="_Toc246996178"/>
      <w:r>
        <w:rPr>
          <w:rFonts w:hint="eastAsia" w:ascii="宋体" w:hAnsi="宋体" w:cs="宋体"/>
          <w:b/>
          <w:bCs/>
          <w:color w:val="auto"/>
          <w:kern w:val="28"/>
          <w:sz w:val="24"/>
          <w:szCs w:val="24"/>
          <w:highlight w:val="none"/>
        </w:rPr>
        <w:t>1.3 磋商范围、工期、质量要求</w:t>
      </w:r>
      <w:bookmarkEnd w:id="52"/>
      <w:bookmarkEnd w:id="53"/>
      <w:bookmarkEnd w:id="54"/>
      <w:bookmarkEnd w:id="55"/>
      <w:bookmarkEnd w:id="56"/>
      <w:bookmarkEnd w:id="57"/>
      <w:bookmarkEnd w:id="58"/>
      <w:bookmarkEnd w:id="59"/>
      <w:bookmarkEnd w:id="60"/>
      <w:bookmarkEnd w:id="61"/>
      <w:bookmarkEnd w:id="62"/>
      <w:bookmarkEnd w:id="63"/>
    </w:p>
    <w:p w14:paraId="039BAE8B">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1.3.1 本次磋商范围：见投标人须知前附表。</w:t>
      </w:r>
    </w:p>
    <w:p w14:paraId="35D41D6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1.3.2 本磋商项目的工期：见投标人须知前附表。</w:t>
      </w:r>
    </w:p>
    <w:p w14:paraId="7C37AC78">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1.3.3 本磋商项目的质量要求：见投标人须知前附表。</w:t>
      </w:r>
    </w:p>
    <w:p w14:paraId="0EB316D0">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64" w:name="_Toc246996179"/>
      <w:bookmarkStart w:id="65" w:name="_Toc77586823"/>
      <w:bookmarkStart w:id="66" w:name="_Toc4279"/>
      <w:bookmarkStart w:id="67" w:name="_Toc1703"/>
      <w:bookmarkStart w:id="68" w:name="_Toc152042310"/>
      <w:bookmarkStart w:id="69" w:name="_Toc77586916"/>
      <w:bookmarkStart w:id="70" w:name="_Toc152045534"/>
      <w:bookmarkStart w:id="71" w:name="_Toc247085693"/>
      <w:bookmarkStart w:id="72" w:name="_Toc246996922"/>
      <w:bookmarkStart w:id="73" w:name="_Toc179632551"/>
      <w:bookmarkStart w:id="74" w:name="_Toc144974502"/>
      <w:bookmarkStart w:id="75" w:name="_Toc296602424"/>
      <w:r>
        <w:rPr>
          <w:rFonts w:hint="eastAsia" w:ascii="宋体" w:hAnsi="宋体" w:cs="宋体"/>
          <w:b/>
          <w:bCs/>
          <w:color w:val="auto"/>
          <w:kern w:val="28"/>
          <w:sz w:val="24"/>
          <w:szCs w:val="24"/>
          <w:highlight w:val="none"/>
        </w:rPr>
        <w:t>1.4 投标人资格要求</w:t>
      </w:r>
      <w:bookmarkEnd w:id="64"/>
      <w:bookmarkEnd w:id="65"/>
      <w:bookmarkEnd w:id="66"/>
      <w:bookmarkEnd w:id="67"/>
      <w:bookmarkEnd w:id="68"/>
      <w:bookmarkEnd w:id="69"/>
      <w:bookmarkEnd w:id="70"/>
      <w:bookmarkEnd w:id="71"/>
      <w:bookmarkEnd w:id="72"/>
      <w:bookmarkEnd w:id="73"/>
      <w:bookmarkEnd w:id="74"/>
      <w:bookmarkEnd w:id="75"/>
    </w:p>
    <w:p w14:paraId="3AFC7AB9">
      <w:pPr>
        <w:shd w:val="clear" w:color="auto" w:fill="auto"/>
        <w:spacing w:line="400" w:lineRule="exact"/>
        <w:ind w:firstLine="283" w:firstLineChars="118"/>
        <w:rPr>
          <w:rFonts w:hint="eastAsia" w:ascii="宋体" w:hAnsi="宋体"/>
          <w:color w:val="auto"/>
          <w:sz w:val="24"/>
          <w:szCs w:val="28"/>
          <w:highlight w:val="none"/>
        </w:rPr>
      </w:pPr>
      <w:r>
        <w:rPr>
          <w:rFonts w:hint="eastAsia" w:ascii="宋体" w:hAnsi="宋体"/>
          <w:color w:val="auto"/>
          <w:sz w:val="24"/>
          <w:szCs w:val="28"/>
          <w:highlight w:val="none"/>
        </w:rPr>
        <w:t>1.4.1 本磋商项目的资格要求：</w:t>
      </w:r>
      <w:r>
        <w:rPr>
          <w:rFonts w:hint="eastAsia" w:ascii="宋体" w:hAnsi="宋体" w:cs="宋体"/>
          <w:color w:val="auto"/>
          <w:sz w:val="24"/>
          <w:szCs w:val="24"/>
          <w:highlight w:val="none"/>
        </w:rPr>
        <w:t>见投标人须知前附表。</w:t>
      </w:r>
    </w:p>
    <w:p w14:paraId="3A012542">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1.4.2 投标人不得存在下列情形之一：</w:t>
      </w:r>
    </w:p>
    <w:p w14:paraId="1899F93A">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（1）为招标人不具有独立法人资格的附属机构（单位）；</w:t>
      </w:r>
    </w:p>
    <w:p w14:paraId="027D2FFB">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（2）为本磋商项目前期准备提供设计或咨询服务的； </w:t>
      </w:r>
    </w:p>
    <w:p w14:paraId="0F5FA882">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（3）为本磋商项目的监理人；</w:t>
      </w:r>
    </w:p>
    <w:p w14:paraId="44B2C733">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（4）为本磋商项目的代建人； </w:t>
      </w:r>
    </w:p>
    <w:p w14:paraId="696AC1A4">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（5）为本磋商项目提供招标代理服务的； </w:t>
      </w:r>
    </w:p>
    <w:p w14:paraId="0B09A79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（6）与本磋商项目的监理人或代建人或招标代理机构同为一个法定代表人的；</w:t>
      </w:r>
    </w:p>
    <w:p w14:paraId="29BE279C">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（7）与本磋商项目的监理人或代建人或招标代理机构相互控股或参股的；</w:t>
      </w:r>
    </w:p>
    <w:p w14:paraId="750B1437">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（8）与本磋商项目的监理人或代建人或招标代理机构相互任职或工作的；</w:t>
      </w:r>
    </w:p>
    <w:p w14:paraId="725E43EE">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（9）被责令停业的； </w:t>
      </w:r>
    </w:p>
    <w:p w14:paraId="64A9A091">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（10）被暂停或取消投标资格的； </w:t>
      </w:r>
    </w:p>
    <w:p w14:paraId="5BA76101">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（11）财产被接管或冻结的；</w:t>
      </w:r>
    </w:p>
    <w:p w14:paraId="54AD6680">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（12）在最近三年内有骗取成交或严重违约或重大工程质量问题的。</w:t>
      </w:r>
    </w:p>
    <w:p w14:paraId="361D7113">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76" w:name="_Toc179632552"/>
      <w:bookmarkStart w:id="77" w:name="_Toc152042311"/>
      <w:bookmarkStart w:id="78" w:name="_Toc144974503"/>
      <w:bookmarkStart w:id="79" w:name="_Toc77586917"/>
      <w:bookmarkStart w:id="80" w:name="_Toc77586824"/>
      <w:bookmarkStart w:id="81" w:name="_Toc2510"/>
      <w:bookmarkStart w:id="82" w:name="_Toc20796"/>
      <w:bookmarkStart w:id="83" w:name="_Toc152045535"/>
      <w:r>
        <w:rPr>
          <w:rFonts w:hint="eastAsia" w:ascii="宋体" w:hAnsi="宋体" w:cs="宋体"/>
          <w:b/>
          <w:bCs/>
          <w:color w:val="auto"/>
          <w:kern w:val="28"/>
          <w:sz w:val="24"/>
          <w:szCs w:val="24"/>
          <w:highlight w:val="none"/>
        </w:rPr>
        <w:t>1.5 费用承担</w:t>
      </w:r>
      <w:bookmarkEnd w:id="76"/>
      <w:bookmarkEnd w:id="77"/>
      <w:bookmarkEnd w:id="78"/>
      <w:bookmarkEnd w:id="79"/>
      <w:bookmarkEnd w:id="80"/>
      <w:bookmarkEnd w:id="81"/>
      <w:bookmarkEnd w:id="82"/>
      <w:bookmarkEnd w:id="83"/>
    </w:p>
    <w:p w14:paraId="18CB9873">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投标人准备和参加投标活动发生的费用自理。</w:t>
      </w:r>
    </w:p>
    <w:p w14:paraId="22249BC9">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84" w:name="_Toc247085695"/>
      <w:bookmarkStart w:id="85" w:name="_Toc246996181"/>
      <w:bookmarkStart w:id="86" w:name="_Toc144974504"/>
      <w:bookmarkStart w:id="87" w:name="_Toc10866"/>
      <w:bookmarkStart w:id="88" w:name="_Toc152045536"/>
      <w:bookmarkStart w:id="89" w:name="_Toc6528"/>
      <w:bookmarkStart w:id="90" w:name="_Toc296602426"/>
      <w:bookmarkStart w:id="91" w:name="_Toc77586918"/>
      <w:bookmarkStart w:id="92" w:name="_Toc77586825"/>
      <w:bookmarkStart w:id="93" w:name="_Toc246996924"/>
      <w:bookmarkStart w:id="94" w:name="_Toc179632553"/>
      <w:bookmarkStart w:id="95" w:name="_Toc152042312"/>
      <w:r>
        <w:rPr>
          <w:rFonts w:hint="eastAsia" w:ascii="宋体" w:hAnsi="宋体" w:cs="宋体"/>
          <w:b/>
          <w:bCs/>
          <w:color w:val="auto"/>
          <w:kern w:val="28"/>
          <w:sz w:val="24"/>
          <w:szCs w:val="24"/>
          <w:highlight w:val="none"/>
        </w:rPr>
        <w:t>1.6 保密</w:t>
      </w:r>
      <w:bookmarkEnd w:id="84"/>
      <w:bookmarkEnd w:id="85"/>
      <w:bookmarkEnd w:id="86"/>
      <w:bookmarkEnd w:id="87"/>
      <w:bookmarkEnd w:id="88"/>
      <w:bookmarkEnd w:id="89"/>
      <w:bookmarkEnd w:id="90"/>
      <w:bookmarkEnd w:id="91"/>
      <w:bookmarkEnd w:id="92"/>
      <w:bookmarkEnd w:id="93"/>
      <w:bookmarkEnd w:id="94"/>
      <w:bookmarkEnd w:id="95"/>
    </w:p>
    <w:p w14:paraId="6529CE0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参与招标投标活动的各方应对竞争性磋商文件和磋商响应文件中的商业和技术等秘密保密，违者应对由此造成的后果承担法律责任。 </w:t>
      </w:r>
    </w:p>
    <w:p w14:paraId="4AE9194D">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96" w:name="_Toc144974505"/>
      <w:bookmarkStart w:id="97" w:name="_Toc296602427"/>
      <w:bookmarkStart w:id="98" w:name="_Toc179632554"/>
      <w:bookmarkStart w:id="99" w:name="_Toc152045537"/>
      <w:bookmarkStart w:id="100" w:name="_Toc15324"/>
      <w:bookmarkStart w:id="101" w:name="_Toc77586919"/>
      <w:bookmarkStart w:id="102" w:name="_Toc152042313"/>
      <w:bookmarkStart w:id="103" w:name="_Toc23615"/>
      <w:bookmarkStart w:id="104" w:name="_Toc246996925"/>
      <w:bookmarkStart w:id="105" w:name="_Toc77586826"/>
      <w:bookmarkStart w:id="106" w:name="_Toc246996182"/>
      <w:bookmarkStart w:id="107" w:name="_Toc247085696"/>
      <w:r>
        <w:rPr>
          <w:rFonts w:hint="eastAsia" w:ascii="宋体" w:hAnsi="宋体" w:cs="宋体"/>
          <w:b/>
          <w:bCs/>
          <w:color w:val="auto"/>
          <w:kern w:val="28"/>
          <w:sz w:val="24"/>
          <w:szCs w:val="24"/>
          <w:highlight w:val="none"/>
        </w:rPr>
        <w:t>1.7 语言</w:t>
      </w:r>
      <w:bookmarkEnd w:id="96"/>
      <w:r>
        <w:rPr>
          <w:rFonts w:hint="eastAsia" w:ascii="宋体" w:hAnsi="宋体" w:cs="宋体"/>
          <w:b/>
          <w:bCs/>
          <w:color w:val="auto"/>
          <w:kern w:val="28"/>
          <w:sz w:val="24"/>
          <w:szCs w:val="24"/>
          <w:highlight w:val="none"/>
        </w:rPr>
        <w:t>文字</w:t>
      </w:r>
      <w:bookmarkEnd w:id="97"/>
      <w:bookmarkEnd w:id="98"/>
      <w:bookmarkEnd w:id="99"/>
      <w:bookmarkEnd w:id="100"/>
      <w:bookmarkEnd w:id="101"/>
      <w:bookmarkEnd w:id="102"/>
      <w:bookmarkEnd w:id="103"/>
      <w:bookmarkEnd w:id="104"/>
      <w:bookmarkEnd w:id="105"/>
      <w:bookmarkEnd w:id="106"/>
      <w:bookmarkEnd w:id="107"/>
    </w:p>
    <w:p w14:paraId="4323543A">
      <w:pPr>
        <w:shd w:val="clear" w:color="auto" w:fill="auto"/>
        <w:spacing w:line="400" w:lineRule="exact"/>
        <w:ind w:firstLine="480" w:firstLineChars="200"/>
        <w:rPr>
          <w:rFonts w:hint="eastAsia" w:ascii="宋体" w:hAnsi="宋体" w:cs="宋体"/>
          <w:color w:val="auto"/>
          <w:sz w:val="24"/>
          <w:szCs w:val="24"/>
          <w:highlight w:val="none"/>
        </w:rPr>
      </w:pPr>
      <w:bookmarkStart w:id="108" w:name="_Toc247085697"/>
      <w:bookmarkStart w:id="109" w:name="_Toc179632555"/>
      <w:bookmarkStart w:id="110" w:name="_Toc246996183"/>
      <w:bookmarkStart w:id="111" w:name="_Toc152045538"/>
      <w:bookmarkStart w:id="112" w:name="_Toc144974506"/>
      <w:bookmarkStart w:id="113" w:name="_Toc246996926"/>
      <w:bookmarkStart w:id="114" w:name="_Toc152042314"/>
      <w:r>
        <w:rPr>
          <w:rFonts w:hint="eastAsia" w:ascii="宋体" w:hAnsi="宋体" w:cs="宋体"/>
          <w:color w:val="auto"/>
          <w:sz w:val="24"/>
          <w:szCs w:val="24"/>
          <w:highlight w:val="none"/>
        </w:rPr>
        <w:t>招标磋商响应文件使用的语言文字为中文。专用术语使用外文的，应附有中文注释。</w:t>
      </w:r>
    </w:p>
    <w:p w14:paraId="1EE5FB94">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15" w:name="_Toc296602428"/>
      <w:bookmarkStart w:id="116" w:name="_Toc18882"/>
      <w:bookmarkStart w:id="117" w:name="_Toc77586920"/>
      <w:bookmarkStart w:id="118" w:name="_Toc9560"/>
      <w:bookmarkStart w:id="119" w:name="_Toc77586827"/>
      <w:r>
        <w:rPr>
          <w:rFonts w:hint="eastAsia" w:ascii="宋体" w:hAnsi="宋体" w:cs="宋体"/>
          <w:b/>
          <w:bCs/>
          <w:color w:val="auto"/>
          <w:kern w:val="28"/>
          <w:sz w:val="24"/>
          <w:szCs w:val="24"/>
          <w:highlight w:val="none"/>
        </w:rPr>
        <w:t>1.8 计量单位</w:t>
      </w:r>
      <w:bookmarkEnd w:id="108"/>
      <w:bookmarkEnd w:id="109"/>
      <w:bookmarkEnd w:id="110"/>
      <w:bookmarkEnd w:id="111"/>
      <w:bookmarkEnd w:id="112"/>
      <w:bookmarkEnd w:id="113"/>
      <w:bookmarkEnd w:id="114"/>
      <w:bookmarkEnd w:id="115"/>
      <w:bookmarkEnd w:id="116"/>
      <w:bookmarkEnd w:id="117"/>
      <w:bookmarkEnd w:id="118"/>
      <w:bookmarkEnd w:id="119"/>
    </w:p>
    <w:p w14:paraId="6FBCA975">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所有计量均采用中华人民共和国法定计量单位。</w:t>
      </w:r>
    </w:p>
    <w:p w14:paraId="65FF3DEE">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20" w:name="_Toc247527563"/>
      <w:bookmarkStart w:id="121" w:name="_Toc77586828"/>
      <w:bookmarkStart w:id="122" w:name="_Toc247513962"/>
      <w:bookmarkStart w:id="123" w:name="_Toc8575"/>
      <w:bookmarkStart w:id="124" w:name="_Toc77586921"/>
      <w:bookmarkStart w:id="125" w:name="_Toc152042315"/>
      <w:bookmarkStart w:id="126" w:name="_Toc296602429"/>
      <w:bookmarkStart w:id="127" w:name="_Toc19917"/>
      <w:bookmarkStart w:id="128" w:name="_Toc144974507"/>
      <w:bookmarkStart w:id="129" w:name="_Toc247592876"/>
      <w:bookmarkStart w:id="130" w:name="_Toc152045539"/>
      <w:r>
        <w:rPr>
          <w:rFonts w:hint="eastAsia" w:ascii="宋体" w:hAnsi="宋体" w:cs="宋体"/>
          <w:b/>
          <w:bCs/>
          <w:color w:val="auto"/>
          <w:kern w:val="28"/>
          <w:sz w:val="24"/>
          <w:szCs w:val="24"/>
          <w:highlight w:val="none"/>
        </w:rPr>
        <w:t>1.9 踏勘现场</w:t>
      </w:r>
      <w:bookmarkEnd w:id="120"/>
      <w:bookmarkEnd w:id="121"/>
      <w:bookmarkEnd w:id="122"/>
      <w:bookmarkEnd w:id="123"/>
      <w:bookmarkEnd w:id="124"/>
      <w:bookmarkEnd w:id="125"/>
      <w:bookmarkEnd w:id="126"/>
      <w:bookmarkEnd w:id="127"/>
      <w:bookmarkEnd w:id="128"/>
      <w:bookmarkEnd w:id="129"/>
      <w:bookmarkEnd w:id="130"/>
    </w:p>
    <w:p w14:paraId="55DECFAE">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1.9.1 招标人不组织现场踏勘，由投标人自行踏勘。 </w:t>
      </w:r>
    </w:p>
    <w:p w14:paraId="6CA0CA16">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1.9.2 投标人踏勘现场发生的费用自理。</w:t>
      </w:r>
    </w:p>
    <w:p w14:paraId="2AE21AC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1.9.3 投标人自行负责在踏勘现场中所发生的人员伤亡和财产损失。</w:t>
      </w:r>
    </w:p>
    <w:p w14:paraId="676B560B">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1.9.4 投标人在踏勘现场中看到的工程场地和相关的周边环境情况，供投标人在编制磋商响应文件时参考，招标人不对投标人据此作出的判断和决策负责。</w:t>
      </w:r>
    </w:p>
    <w:p w14:paraId="0B06A98D">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31" w:name="_Toc296602430"/>
      <w:bookmarkStart w:id="132" w:name="_Toc3560"/>
      <w:bookmarkStart w:id="133" w:name="_Toc77586922"/>
      <w:bookmarkStart w:id="134" w:name="_Toc247527564"/>
      <w:bookmarkStart w:id="135" w:name="_Toc152042316"/>
      <w:bookmarkStart w:id="136" w:name="_Toc21093"/>
      <w:bookmarkStart w:id="137" w:name="_Toc247513963"/>
      <w:bookmarkStart w:id="138" w:name="_Toc144974508"/>
      <w:bookmarkStart w:id="139" w:name="_Toc77586829"/>
      <w:bookmarkStart w:id="140" w:name="_Toc152045540"/>
      <w:bookmarkStart w:id="141" w:name="_Toc247592877"/>
      <w:r>
        <w:rPr>
          <w:rFonts w:hint="eastAsia" w:ascii="宋体" w:hAnsi="宋体" w:cs="宋体"/>
          <w:b/>
          <w:bCs/>
          <w:color w:val="auto"/>
          <w:kern w:val="28"/>
          <w:sz w:val="24"/>
          <w:szCs w:val="24"/>
          <w:highlight w:val="none"/>
        </w:rPr>
        <w:t>1.10 投标预备会</w:t>
      </w:r>
      <w:bookmarkEnd w:id="131"/>
      <w:bookmarkEnd w:id="132"/>
      <w:bookmarkEnd w:id="133"/>
      <w:bookmarkEnd w:id="134"/>
      <w:bookmarkEnd w:id="135"/>
      <w:bookmarkEnd w:id="136"/>
      <w:bookmarkEnd w:id="137"/>
      <w:bookmarkEnd w:id="138"/>
      <w:bookmarkEnd w:id="139"/>
      <w:bookmarkEnd w:id="140"/>
      <w:bookmarkEnd w:id="141"/>
      <w:bookmarkStart w:id="142" w:name="_Toc296602431"/>
    </w:p>
    <w:p w14:paraId="6FA7284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不召开</w:t>
      </w:r>
    </w:p>
    <w:p w14:paraId="04D41256">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43" w:name="_Toc12414"/>
      <w:bookmarkStart w:id="144" w:name="_Toc77586923"/>
      <w:bookmarkStart w:id="145" w:name="_Toc1192"/>
      <w:bookmarkStart w:id="146" w:name="_Toc77586830"/>
      <w:r>
        <w:rPr>
          <w:rFonts w:hint="eastAsia" w:ascii="宋体" w:hAnsi="宋体" w:cs="宋体"/>
          <w:b/>
          <w:bCs/>
          <w:color w:val="auto"/>
          <w:kern w:val="28"/>
          <w:sz w:val="24"/>
          <w:szCs w:val="24"/>
          <w:highlight w:val="none"/>
        </w:rPr>
        <w:t xml:space="preserve">1.11 </w:t>
      </w:r>
      <w:bookmarkEnd w:id="142"/>
      <w:r>
        <w:rPr>
          <w:rFonts w:hint="eastAsia" w:ascii="宋体" w:hAnsi="宋体" w:cs="宋体"/>
          <w:b/>
          <w:bCs/>
          <w:color w:val="auto"/>
          <w:kern w:val="28"/>
          <w:sz w:val="24"/>
          <w:szCs w:val="24"/>
          <w:highlight w:val="none"/>
        </w:rPr>
        <w:t>分包</w:t>
      </w:r>
      <w:bookmarkEnd w:id="143"/>
      <w:bookmarkEnd w:id="144"/>
      <w:bookmarkEnd w:id="145"/>
      <w:bookmarkEnd w:id="146"/>
    </w:p>
    <w:p w14:paraId="194E0EFB">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不允许</w:t>
      </w:r>
    </w:p>
    <w:p w14:paraId="57AD56AD">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47" w:name="_Toc77586924"/>
      <w:bookmarkStart w:id="148" w:name="_Toc144974510"/>
      <w:bookmarkStart w:id="149" w:name="_Toc152045542"/>
      <w:bookmarkStart w:id="150" w:name="_Toc77586831"/>
      <w:bookmarkStart w:id="151" w:name="_Toc246996187"/>
      <w:bookmarkStart w:id="152" w:name="_Toc152042318"/>
      <w:bookmarkStart w:id="153" w:name="_Toc12796"/>
      <w:bookmarkStart w:id="154" w:name="_Toc296602432"/>
      <w:bookmarkStart w:id="155" w:name="_Toc179632560"/>
      <w:bookmarkStart w:id="156" w:name="_Toc5930"/>
      <w:bookmarkStart w:id="157" w:name="_Toc246996930"/>
      <w:bookmarkStart w:id="158" w:name="_Toc247085701"/>
      <w:r>
        <w:rPr>
          <w:rFonts w:hint="eastAsia" w:ascii="宋体" w:hAnsi="宋体" w:cs="宋体"/>
          <w:b/>
          <w:bCs/>
          <w:color w:val="auto"/>
          <w:kern w:val="28"/>
          <w:sz w:val="24"/>
          <w:szCs w:val="24"/>
          <w:highlight w:val="none"/>
        </w:rPr>
        <w:t>2. 竞争性磋商文件</w:t>
      </w:r>
      <w:bookmarkEnd w:id="147"/>
      <w:bookmarkEnd w:id="148"/>
      <w:bookmarkEnd w:id="149"/>
      <w:bookmarkEnd w:id="150"/>
      <w:bookmarkEnd w:id="151"/>
      <w:bookmarkEnd w:id="152"/>
      <w:bookmarkEnd w:id="153"/>
      <w:bookmarkEnd w:id="154"/>
      <w:bookmarkEnd w:id="155"/>
      <w:bookmarkEnd w:id="156"/>
      <w:bookmarkEnd w:id="157"/>
      <w:bookmarkEnd w:id="158"/>
    </w:p>
    <w:p w14:paraId="71840CC8">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59" w:name="_Toc247085702"/>
      <w:bookmarkStart w:id="160" w:name="_Toc20404"/>
      <w:bookmarkStart w:id="161" w:name="_Toc26477"/>
      <w:bookmarkStart w:id="162" w:name="_Toc246996931"/>
      <w:bookmarkStart w:id="163" w:name="_Toc246996188"/>
      <w:bookmarkStart w:id="164" w:name="_Toc77586832"/>
      <w:bookmarkStart w:id="165" w:name="_Toc77586925"/>
      <w:bookmarkStart w:id="166" w:name="_Toc296602433"/>
      <w:bookmarkStart w:id="167" w:name="_Toc179632561"/>
      <w:bookmarkStart w:id="168" w:name="_Toc152042319"/>
      <w:bookmarkStart w:id="169" w:name="_Toc144974511"/>
      <w:bookmarkStart w:id="170" w:name="_Toc152045543"/>
      <w:r>
        <w:rPr>
          <w:rFonts w:hint="eastAsia" w:ascii="宋体" w:hAnsi="宋体" w:cs="宋体"/>
          <w:b/>
          <w:bCs/>
          <w:color w:val="auto"/>
          <w:kern w:val="28"/>
          <w:sz w:val="24"/>
          <w:szCs w:val="24"/>
          <w:highlight w:val="none"/>
        </w:rPr>
        <w:t>2.1 竞争性磋商文件的组成</w:t>
      </w:r>
      <w:bookmarkEnd w:id="159"/>
      <w:bookmarkEnd w:id="160"/>
      <w:bookmarkEnd w:id="161"/>
      <w:bookmarkEnd w:id="162"/>
      <w:bookmarkEnd w:id="163"/>
      <w:bookmarkEnd w:id="164"/>
      <w:bookmarkEnd w:id="165"/>
      <w:bookmarkEnd w:id="166"/>
      <w:bookmarkEnd w:id="167"/>
      <w:bookmarkEnd w:id="168"/>
      <w:bookmarkEnd w:id="169"/>
      <w:bookmarkEnd w:id="170"/>
    </w:p>
    <w:p w14:paraId="4F454A90">
      <w:pPr>
        <w:shd w:val="clear" w:color="auto" w:fill="auto"/>
        <w:spacing w:line="400" w:lineRule="exact"/>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　　2.1.1 本竞争性磋商文件包括：</w:t>
      </w:r>
    </w:p>
    <w:p w14:paraId="48D4E92F">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（1）竞争性磋商公告；</w:t>
      </w:r>
    </w:p>
    <w:p w14:paraId="0D53CDCC">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（2）投标人须知；</w:t>
      </w:r>
    </w:p>
    <w:p w14:paraId="4A5F54A8">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（3）评标办法；</w:t>
      </w:r>
    </w:p>
    <w:p w14:paraId="066AEB60">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（4）合同条款及格式；</w:t>
      </w:r>
    </w:p>
    <w:p w14:paraId="6CA1721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（5）工程量清单（另附）； </w:t>
      </w:r>
    </w:p>
    <w:p w14:paraId="5F55001E">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（6）技术标准和要求； </w:t>
      </w:r>
    </w:p>
    <w:p w14:paraId="344A4D5A">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（7）磋商响应文件格式。</w:t>
      </w:r>
    </w:p>
    <w:p w14:paraId="7FE2858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2.1.2根据本章第2.2款和第2.3款对竞争性磋商文件所作的澄清、修改，构成竞争性磋商文件的组成部分。</w:t>
      </w:r>
    </w:p>
    <w:p w14:paraId="264DF6F8">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71" w:name="_Toc5180"/>
      <w:bookmarkStart w:id="172" w:name="_Toc247085703"/>
      <w:bookmarkStart w:id="173" w:name="_Toc179632562"/>
      <w:bookmarkStart w:id="174" w:name="_Toc296602434"/>
      <w:bookmarkStart w:id="175" w:name="_Toc144974512"/>
      <w:bookmarkStart w:id="176" w:name="_Toc152042320"/>
      <w:bookmarkStart w:id="177" w:name="_Toc77586833"/>
      <w:bookmarkStart w:id="178" w:name="_Toc77586926"/>
      <w:bookmarkStart w:id="179" w:name="_Toc246996932"/>
      <w:bookmarkStart w:id="180" w:name="_Toc246996189"/>
      <w:bookmarkStart w:id="181" w:name="_Toc152045544"/>
      <w:bookmarkStart w:id="182" w:name="_Toc13856"/>
      <w:r>
        <w:rPr>
          <w:rFonts w:hint="eastAsia" w:ascii="宋体" w:hAnsi="宋体" w:cs="宋体"/>
          <w:b/>
          <w:bCs/>
          <w:color w:val="auto"/>
          <w:kern w:val="28"/>
          <w:sz w:val="24"/>
          <w:szCs w:val="24"/>
          <w:highlight w:val="none"/>
        </w:rPr>
        <w:t>2.2 竞争性磋商文件的澄清</w:t>
      </w:r>
      <w:bookmarkEnd w:id="171"/>
      <w:bookmarkEnd w:id="172"/>
      <w:bookmarkEnd w:id="173"/>
      <w:bookmarkEnd w:id="174"/>
      <w:bookmarkEnd w:id="175"/>
      <w:bookmarkEnd w:id="176"/>
      <w:bookmarkEnd w:id="177"/>
      <w:bookmarkEnd w:id="178"/>
      <w:bookmarkEnd w:id="179"/>
      <w:bookmarkEnd w:id="180"/>
      <w:bookmarkEnd w:id="181"/>
      <w:bookmarkEnd w:id="182"/>
    </w:p>
    <w:p w14:paraId="7468470F">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2.2.1 投标人应仔细阅读和检查竞争性磋商文件的全部内容。如发现缺页或附件不全，应及时向招标人提出，以便补齐。如有疑问，应在投标人须知前附表规定的时间前以书面的形式，要求招标人对竞争性磋商文件予以澄清。</w:t>
      </w:r>
    </w:p>
    <w:p w14:paraId="3F8FED7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2.2.2竞争性磋商文件的澄清将以公告形式发布到网上，但不指明澄清问题的来源。如果澄清发出的时间距投标人须知前附表规定的投标截止时间不足5天，并且澄清内容影响磋商响应文件编制的，将相应延长磋商截止时间。 </w:t>
      </w:r>
    </w:p>
    <w:p w14:paraId="1EEE6BD3">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83" w:name="_Toc247085704"/>
      <w:bookmarkStart w:id="184" w:name="_Toc296602435"/>
      <w:bookmarkStart w:id="185" w:name="_Toc4495"/>
      <w:bookmarkStart w:id="186" w:name="_Toc22075"/>
      <w:bookmarkStart w:id="187" w:name="_Toc179632563"/>
      <w:bookmarkStart w:id="188" w:name="_Toc152045545"/>
      <w:bookmarkStart w:id="189" w:name="_Toc152042321"/>
      <w:bookmarkStart w:id="190" w:name="_Toc246996933"/>
      <w:bookmarkStart w:id="191" w:name="_Toc77586834"/>
      <w:bookmarkStart w:id="192" w:name="_Toc77586927"/>
      <w:bookmarkStart w:id="193" w:name="_Toc246996190"/>
      <w:bookmarkStart w:id="194" w:name="_Toc144974513"/>
      <w:r>
        <w:rPr>
          <w:rFonts w:hint="eastAsia" w:ascii="宋体" w:hAnsi="宋体" w:cs="宋体"/>
          <w:b/>
          <w:bCs/>
          <w:color w:val="auto"/>
          <w:kern w:val="28"/>
          <w:sz w:val="24"/>
          <w:szCs w:val="24"/>
          <w:highlight w:val="none"/>
        </w:rPr>
        <w:t>2.3 竞争性磋商文件的修改</w:t>
      </w:r>
      <w:bookmarkEnd w:id="183"/>
      <w:bookmarkEnd w:id="184"/>
      <w:bookmarkEnd w:id="185"/>
      <w:bookmarkEnd w:id="186"/>
      <w:bookmarkEnd w:id="187"/>
      <w:bookmarkEnd w:id="188"/>
      <w:bookmarkEnd w:id="189"/>
      <w:bookmarkEnd w:id="190"/>
      <w:bookmarkEnd w:id="191"/>
      <w:bookmarkEnd w:id="192"/>
      <w:bookmarkEnd w:id="193"/>
      <w:bookmarkEnd w:id="194"/>
    </w:p>
    <w:p w14:paraId="0DB19F03">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2.3.1招标人可以书面形式修改竞争性磋商文件，但如果修改竞争性磋商文件的时间距投标截止时间不足5天，并且修改内容影响磋商响应文件编制的，将相应延长磋商截止时间。</w:t>
      </w:r>
    </w:p>
    <w:p w14:paraId="6C97FB6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195" w:name="_Toc144974514"/>
      <w:bookmarkStart w:id="196" w:name="_Toc246996191"/>
      <w:bookmarkStart w:id="197" w:name="_Toc296602436"/>
      <w:bookmarkStart w:id="198" w:name="_Toc4969"/>
      <w:bookmarkStart w:id="199" w:name="_Toc10972"/>
      <w:bookmarkStart w:id="200" w:name="_Toc246996934"/>
      <w:bookmarkStart w:id="201" w:name="_Toc152042322"/>
      <w:bookmarkStart w:id="202" w:name="_Toc77586835"/>
      <w:bookmarkStart w:id="203" w:name="_Toc247085705"/>
      <w:bookmarkStart w:id="204" w:name="_Toc152045546"/>
      <w:bookmarkStart w:id="205" w:name="_Toc77586928"/>
      <w:bookmarkStart w:id="206" w:name="_Toc179632564"/>
      <w:r>
        <w:rPr>
          <w:rFonts w:hint="eastAsia" w:ascii="宋体" w:hAnsi="宋体" w:cs="宋体"/>
          <w:b/>
          <w:bCs/>
          <w:color w:val="auto"/>
          <w:kern w:val="28"/>
          <w:sz w:val="24"/>
          <w:szCs w:val="24"/>
          <w:highlight w:val="none"/>
        </w:rPr>
        <w:t>3. 竞争性磋商响应文件</w:t>
      </w:r>
      <w:bookmarkEnd w:id="195"/>
      <w:bookmarkEnd w:id="196"/>
      <w:bookmarkEnd w:id="197"/>
      <w:bookmarkEnd w:id="198"/>
      <w:bookmarkEnd w:id="199"/>
      <w:bookmarkEnd w:id="200"/>
      <w:bookmarkEnd w:id="201"/>
      <w:bookmarkEnd w:id="202"/>
      <w:bookmarkEnd w:id="203"/>
      <w:bookmarkEnd w:id="204"/>
      <w:bookmarkEnd w:id="205"/>
      <w:bookmarkEnd w:id="206"/>
    </w:p>
    <w:p w14:paraId="39B89012">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07" w:name="_Toc179632565"/>
      <w:bookmarkStart w:id="208" w:name="_Toc152045547"/>
      <w:bookmarkStart w:id="209" w:name="_Toc5400"/>
      <w:bookmarkStart w:id="210" w:name="_Toc152042323"/>
      <w:bookmarkStart w:id="211" w:name="_Toc246996935"/>
      <w:bookmarkStart w:id="212" w:name="_Toc296602437"/>
      <w:bookmarkStart w:id="213" w:name="_Toc32015"/>
      <w:bookmarkStart w:id="214" w:name="_Toc77586929"/>
      <w:bookmarkStart w:id="215" w:name="_Toc246996192"/>
      <w:bookmarkStart w:id="216" w:name="_Toc247085706"/>
      <w:bookmarkStart w:id="217" w:name="_Toc77586836"/>
      <w:bookmarkStart w:id="218" w:name="_Toc144974515"/>
      <w:r>
        <w:rPr>
          <w:rFonts w:hint="eastAsia" w:ascii="宋体" w:hAnsi="宋体" w:cs="宋体"/>
          <w:b/>
          <w:bCs/>
          <w:color w:val="auto"/>
          <w:kern w:val="28"/>
          <w:sz w:val="24"/>
          <w:szCs w:val="24"/>
          <w:highlight w:val="none"/>
        </w:rPr>
        <w:t>3.1 竞争性磋商响应文件的组成</w:t>
      </w:r>
      <w:bookmarkEnd w:id="207"/>
      <w:bookmarkEnd w:id="208"/>
      <w:bookmarkEnd w:id="209"/>
      <w:bookmarkEnd w:id="210"/>
      <w:bookmarkEnd w:id="211"/>
      <w:bookmarkEnd w:id="212"/>
      <w:bookmarkEnd w:id="213"/>
      <w:bookmarkEnd w:id="214"/>
      <w:bookmarkEnd w:id="215"/>
      <w:bookmarkEnd w:id="216"/>
      <w:bookmarkEnd w:id="217"/>
      <w:bookmarkEnd w:id="218"/>
    </w:p>
    <w:p w14:paraId="3C403C47">
      <w:pPr>
        <w:shd w:val="clear" w:color="auto" w:fill="auto"/>
        <w:spacing w:line="400" w:lineRule="exact"/>
        <w:ind w:firstLine="410" w:firstLineChars="171"/>
        <w:rPr>
          <w:rFonts w:hint="eastAsia" w:ascii="宋体" w:hAnsi="宋体" w:cs="宋体"/>
          <w:color w:val="auto"/>
          <w:sz w:val="24"/>
          <w:szCs w:val="24"/>
          <w:highlight w:val="none"/>
        </w:rPr>
      </w:pPr>
      <w:bookmarkStart w:id="219" w:name="_Toc179632566"/>
      <w:bookmarkStart w:id="220" w:name="_Toc152045548"/>
      <w:bookmarkStart w:id="221" w:name="_Toc246996936"/>
      <w:bookmarkStart w:id="222" w:name="_Toc247085707"/>
      <w:bookmarkStart w:id="223" w:name="_Toc152042324"/>
      <w:bookmarkStart w:id="224" w:name="_Toc246996193"/>
      <w:bookmarkStart w:id="225" w:name="_Toc144974516"/>
      <w:bookmarkStart w:id="226" w:name="_Toc296602438"/>
      <w:r>
        <w:rPr>
          <w:rFonts w:hint="eastAsia" w:ascii="宋体" w:hAnsi="宋体" w:cs="宋体"/>
          <w:color w:val="auto"/>
          <w:sz w:val="24"/>
          <w:szCs w:val="24"/>
          <w:highlight w:val="none"/>
        </w:rPr>
        <w:t>一、磋商响应函</w:t>
      </w:r>
    </w:p>
    <w:p w14:paraId="35B280D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二、首次报价一览表</w:t>
      </w:r>
    </w:p>
    <w:p w14:paraId="534A3616">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三、法定代表人身份证明及授权委托书</w:t>
      </w:r>
    </w:p>
    <w:p w14:paraId="15D2282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四、投标承诺函</w:t>
      </w:r>
    </w:p>
    <w:p w14:paraId="08236A48">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五、已标价工程量清单</w:t>
      </w:r>
    </w:p>
    <w:p w14:paraId="2CBF0832">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六、施工组织设计</w:t>
      </w:r>
    </w:p>
    <w:p w14:paraId="0007FBF0">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七、项目管理机构</w:t>
      </w:r>
    </w:p>
    <w:p w14:paraId="07982F0F">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八、资格审查资料</w:t>
      </w:r>
    </w:p>
    <w:p w14:paraId="3BE288BF">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九、供应商认为应附的其他资料。</w:t>
      </w:r>
    </w:p>
    <w:p w14:paraId="2674E52E">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27" w:name="_Toc77586837"/>
      <w:bookmarkStart w:id="228" w:name="_Toc77586930"/>
      <w:bookmarkStart w:id="229" w:name="_Toc18730"/>
      <w:bookmarkStart w:id="230" w:name="_Toc7295"/>
      <w:r>
        <w:rPr>
          <w:rFonts w:hint="eastAsia" w:ascii="宋体" w:hAnsi="宋体" w:cs="宋体"/>
          <w:b/>
          <w:bCs/>
          <w:color w:val="auto"/>
          <w:kern w:val="28"/>
          <w:sz w:val="24"/>
          <w:szCs w:val="24"/>
          <w:highlight w:val="none"/>
        </w:rPr>
        <w:t>3.2 磋商报价</w:t>
      </w:r>
      <w:bookmarkEnd w:id="219"/>
      <w:bookmarkEnd w:id="220"/>
      <w:bookmarkEnd w:id="221"/>
      <w:bookmarkEnd w:id="222"/>
      <w:bookmarkEnd w:id="223"/>
      <w:bookmarkEnd w:id="224"/>
      <w:bookmarkEnd w:id="225"/>
      <w:bookmarkEnd w:id="226"/>
      <w:bookmarkEnd w:id="227"/>
      <w:bookmarkEnd w:id="228"/>
      <w:bookmarkEnd w:id="229"/>
      <w:bookmarkEnd w:id="230"/>
    </w:p>
    <w:p w14:paraId="3188BBFE">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3.2.1 根据竞争性磋商文件规定的工程内容，投标人应对本次招标工程的全部工作内容进行报价。磋商报价应是竞争性磋商文件所确定的磋商范围内的全部工作内容的价格体现。 </w:t>
      </w:r>
    </w:p>
    <w:p w14:paraId="401974CA">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3.2.2磋商报价应包括竞争性磋商文件及技术规范等规定的，实施和完成招标工程直至竣工验收合格，及达到质量和工期目标、安全文明、环境保护等要求,正式交付招标人使用前所需的全部费用。</w:t>
      </w:r>
    </w:p>
    <w:p w14:paraId="19992B9D">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3.2.3投标人的磋商报价根据竞争性磋商文件、工程量清单、答疑等，充分考虑市场价格、风险因素，在合理范围内自主报价，但不得低于企业实际成本。</w:t>
      </w:r>
    </w:p>
    <w:p w14:paraId="28A355A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3.2.4投标人应结合自身条件，并充分考虑本工程施工难度、工期的要求、质量要求以及市场因素、现场环境因素、社会因素、市场价格调整因素等各方面原因合理报价。磋商报价将被认为已综合考虑了在施工全过程中可能发生的全部不可预见费用。成交人无权再以任何理由提出延长工期、增加价款或索赔等要求。</w:t>
      </w:r>
    </w:p>
    <w:p w14:paraId="310DF5B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3.2.5投标人在磋商报价前可踏勘施工现场，充分考虑工地现状条件可能影响到工程正常施工的所有风险因素。无论投标人是否进行了上述现场踏勘工作，其磋商报价中均将被认为已包含有工地现状在施工作业期间发生的全部不可预见的风险费用，投标人成交后则无权因此要求任何工期或费用上的索赔。</w:t>
      </w:r>
    </w:p>
    <w:p w14:paraId="636D55E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3.3.6施工期间由于工程条件发生变化或投标人原因造成施工方案的更改，所增加的措施费用及工期一概不予调整，相应的费用投标人应在谈判报价中充分考虑，招标人不再另行支付。</w:t>
      </w:r>
    </w:p>
    <w:p w14:paraId="227BC6D8">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3.2.7磋商报价要求</w:t>
      </w:r>
    </w:p>
    <w:p w14:paraId="6BDA5DFD">
      <w:pPr>
        <w:numPr>
          <w:ilvl w:val="0"/>
          <w:numId w:val="4"/>
        </w:num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各投标人在投标时必须在磋商响应文件中提供一份完整的工程量清单；</w:t>
      </w:r>
    </w:p>
    <w:p w14:paraId="3AB71CD0">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（2）各投标人作为有经验的承包商，应充分考虑该工程实施时的各种风险，并将其考虑在本次投标报价各清单项目的综合单价中，结算时综合单价不做调整（合同另有约定的除外）；</w:t>
      </w:r>
    </w:p>
    <w:p w14:paraId="044D3EDE">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（3）本次磋商的最终投标总报价不得高于磋商控制价，高于磋商控制价的报价将不再评审；</w:t>
      </w:r>
    </w:p>
    <w:p w14:paraId="1357DB7A">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（4）磋商响应文件报价中的单价和总价全部采用人民币表示。 </w:t>
      </w:r>
    </w:p>
    <w:p w14:paraId="55BD2BD4">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（5）本项目为竞争性磋商方式，允许二次报价。</w:t>
      </w:r>
    </w:p>
    <w:p w14:paraId="6258B7E3">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3.2.8</w:t>
      </w:r>
      <w:r>
        <w:rPr>
          <w:rFonts w:hint="eastAsia" w:ascii="宋体" w:hAnsi="宋体" w:eastAsia="宋体" w:cs="宋体"/>
          <w:color w:val="auto"/>
          <w:sz w:val="24"/>
          <w:szCs w:val="24"/>
          <w:highlight w:val="none"/>
        </w:rPr>
        <w:t>执行关于推动解决政府采购异常低价问题的通知（财库〔2026〕2 号）</w:t>
      </w:r>
    </w:p>
    <w:p w14:paraId="20A64BFA">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政府采购评审中出现下列情形之一的，评审委员会应当启动异常低价投标（响应）审查程序：</w:t>
      </w:r>
    </w:p>
    <w:p w14:paraId="7648BF8D">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投标（响应）报价低于全部通过符合性审查供应商投标（响应）报价平均值50%的，即投标（响应）报价&lt;全部通过符合性审查供应商投标（响应）报价平均值×50%；</w:t>
      </w:r>
    </w:p>
    <w:p w14:paraId="0636CDBF">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投标（响应）报价低于通过符合性审查的次低报价供应商投标（响应）报价50%的，即投标（响应）报价&lt;通过符合性审查的次低报价供应商投标（响应）报价×50%；</w:t>
      </w:r>
    </w:p>
    <w:p w14:paraId="6B46462A">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投标（响应）报价低于采购项目最高限价</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%的，即投标（响应）报价&lt;采购项目最高限价×</w:t>
      </w:r>
      <w:r>
        <w:rPr>
          <w:rFonts w:hint="eastAsia" w:ascii="宋体" w:hAnsi="宋体" w:eastAsia="宋体" w:cs="宋体"/>
          <w:color w:val="auto"/>
          <w:sz w:val="24"/>
          <w:szCs w:val="24"/>
          <w:highlight w:val="none"/>
          <w:lang w:val="en-US" w:eastAsia="zh-CN"/>
        </w:rPr>
        <w:t>50</w:t>
      </w:r>
      <w:r>
        <w:rPr>
          <w:rFonts w:hint="eastAsia" w:ascii="宋体" w:hAnsi="宋体" w:eastAsia="宋体" w:cs="宋体"/>
          <w:color w:val="auto"/>
          <w:sz w:val="24"/>
          <w:szCs w:val="24"/>
          <w:highlight w:val="none"/>
        </w:rPr>
        <w:t>%；</w:t>
      </w:r>
    </w:p>
    <w:p w14:paraId="0D07133B">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评审委员会基于专业判断，认为供应商报价过低，有可能影响产品质量或者不能诚信履约的其他情形。</w:t>
      </w:r>
    </w:p>
    <w:p w14:paraId="4E11A3C3">
      <w:pPr>
        <w:shd w:val="clear" w:color="auto" w:fill="auto"/>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相关法律法规对供应商报价有规定的，从其规定。</w:t>
      </w:r>
    </w:p>
    <w:p w14:paraId="40E34A0C">
      <w:pPr>
        <w:shd w:val="clear" w:color="auto" w:fill="auto"/>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二）评审委员会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4B1D87CD">
      <w:pPr>
        <w:shd w:val="clear" w:color="auto" w:fill="auto"/>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167EC8EF">
      <w:pPr>
        <w:shd w:val="clear" w:color="auto" w:fill="auto"/>
        <w:spacing w:line="400" w:lineRule="exact"/>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人、采购代理机构应当为评审委员会在评审现场及时获取同类项目中标（成交）价格、类似产品市场价格水平、行业人工费用标准、国家有关部门指导行业协会发布的行业平均成本等相关信息资料提供便利。评审委员会借助互联网等渠道查询相关信息的，应当严格遵守评审工作纪律，不得实施影响评审公正的行为。</w:t>
      </w:r>
    </w:p>
    <w:p w14:paraId="6893F0A9">
      <w:pPr>
        <w:shd w:val="clear" w:color="auto" w:fill="auto"/>
        <w:spacing w:line="400" w:lineRule="exact"/>
        <w:ind w:firstLine="480" w:firstLineChars="200"/>
        <w:rPr>
          <w:rFonts w:hint="default" w:ascii="宋体" w:hAnsi="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异常低价投标（响应）审查的启动原因、审查意见和审查结果应当在评审报告中记录，并随供应商提供的相关书面说明及证明材料，以及评审委员会有关互联网浏览、查询历史一并归档。</w:t>
      </w:r>
    </w:p>
    <w:p w14:paraId="29F75F02">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31" w:name="_Toc152042325"/>
      <w:bookmarkStart w:id="232" w:name="_Toc246996194"/>
      <w:bookmarkStart w:id="233" w:name="_Toc247085708"/>
      <w:bookmarkStart w:id="234" w:name="_Toc77586838"/>
      <w:bookmarkStart w:id="235" w:name="_Toc144974517"/>
      <w:bookmarkStart w:id="236" w:name="_Toc21780"/>
      <w:bookmarkStart w:id="237" w:name="_Toc152045549"/>
      <w:bookmarkStart w:id="238" w:name="_Toc10553"/>
      <w:bookmarkStart w:id="239" w:name="_Toc179632567"/>
      <w:bookmarkStart w:id="240" w:name="_Toc77586931"/>
      <w:bookmarkStart w:id="241" w:name="_Toc296602439"/>
      <w:bookmarkStart w:id="242" w:name="_Toc246996937"/>
      <w:r>
        <w:rPr>
          <w:rFonts w:hint="eastAsia" w:ascii="宋体" w:hAnsi="宋体" w:cs="宋体"/>
          <w:b/>
          <w:bCs/>
          <w:color w:val="auto"/>
          <w:kern w:val="28"/>
          <w:sz w:val="24"/>
          <w:szCs w:val="24"/>
          <w:highlight w:val="none"/>
        </w:rPr>
        <w:t>3.3 磋商有效期</w:t>
      </w:r>
      <w:bookmarkEnd w:id="231"/>
      <w:bookmarkEnd w:id="232"/>
      <w:bookmarkEnd w:id="233"/>
      <w:bookmarkEnd w:id="234"/>
      <w:bookmarkEnd w:id="235"/>
      <w:bookmarkEnd w:id="236"/>
      <w:bookmarkEnd w:id="237"/>
      <w:bookmarkEnd w:id="238"/>
      <w:bookmarkEnd w:id="239"/>
      <w:bookmarkEnd w:id="240"/>
      <w:bookmarkEnd w:id="241"/>
      <w:bookmarkEnd w:id="242"/>
    </w:p>
    <w:p w14:paraId="7A639DA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3.3.1 磋商有效期为</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rPr>
        <w:t>0日历天。</w:t>
      </w:r>
    </w:p>
    <w:p w14:paraId="326D600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3.3.2在磋商有效期内，投标人撤销或修改其磋商响应文件的，应承担磋商文件和法律规定的责任。</w:t>
      </w:r>
    </w:p>
    <w:p w14:paraId="37C40C3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3.3.3出现特殊情况需要延长投标有效期的，招标人以书面形式通知所有投标人延长投标有效期。</w:t>
      </w:r>
    </w:p>
    <w:p w14:paraId="76BA68B3">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43" w:name="_Toc247085709"/>
      <w:bookmarkStart w:id="244" w:name="_Toc179632568"/>
      <w:bookmarkStart w:id="245" w:name="_Toc152042326"/>
      <w:bookmarkStart w:id="246" w:name="_Toc144974518"/>
      <w:bookmarkStart w:id="247" w:name="_Toc246996938"/>
      <w:bookmarkStart w:id="248" w:name="_Toc152045550"/>
      <w:bookmarkStart w:id="249" w:name="_Toc246996195"/>
      <w:bookmarkStart w:id="250" w:name="_Toc296602440"/>
      <w:bookmarkStart w:id="251" w:name="_Toc77586839"/>
      <w:bookmarkStart w:id="252" w:name="_Toc30629"/>
      <w:bookmarkStart w:id="253" w:name="_Toc351"/>
      <w:bookmarkStart w:id="254" w:name="_Toc77586932"/>
      <w:r>
        <w:rPr>
          <w:rFonts w:hint="eastAsia" w:ascii="宋体" w:hAnsi="宋体" w:cs="宋体"/>
          <w:b/>
          <w:bCs/>
          <w:color w:val="auto"/>
          <w:kern w:val="28"/>
          <w:sz w:val="24"/>
          <w:szCs w:val="24"/>
          <w:highlight w:val="none"/>
        </w:rPr>
        <w:t xml:space="preserve">3.4 </w:t>
      </w:r>
      <w:bookmarkEnd w:id="243"/>
      <w:bookmarkEnd w:id="244"/>
      <w:bookmarkEnd w:id="245"/>
      <w:bookmarkEnd w:id="246"/>
      <w:bookmarkEnd w:id="247"/>
      <w:bookmarkEnd w:id="248"/>
      <w:bookmarkEnd w:id="249"/>
      <w:bookmarkEnd w:id="250"/>
      <w:r>
        <w:rPr>
          <w:rFonts w:hint="eastAsia" w:ascii="宋体" w:hAnsi="宋体" w:cs="宋体"/>
          <w:b/>
          <w:bCs/>
          <w:color w:val="auto"/>
          <w:kern w:val="28"/>
          <w:sz w:val="24"/>
          <w:szCs w:val="24"/>
          <w:highlight w:val="none"/>
        </w:rPr>
        <w:t>磋商保证金</w:t>
      </w:r>
      <w:bookmarkEnd w:id="251"/>
      <w:bookmarkEnd w:id="252"/>
      <w:bookmarkEnd w:id="253"/>
      <w:bookmarkEnd w:id="254"/>
    </w:p>
    <w:p w14:paraId="43DA3440">
      <w:pPr>
        <w:shd w:val="clear" w:color="auto" w:fill="auto"/>
        <w:spacing w:line="400" w:lineRule="exact"/>
        <w:ind w:firstLine="240" w:firstLineChars="100"/>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本项目不收取磋商保证金。</w:t>
      </w:r>
    </w:p>
    <w:p w14:paraId="481DD164">
      <w:pPr>
        <w:shd w:val="clear" w:color="auto" w:fill="auto"/>
        <w:spacing w:line="400" w:lineRule="exact"/>
        <w:ind w:firstLine="241" w:firstLineChars="100"/>
        <w:rPr>
          <w:rFonts w:hint="eastAsia" w:ascii="宋体" w:hAnsi="宋体" w:cs="宋体"/>
          <w:color w:val="auto"/>
          <w:sz w:val="24"/>
          <w:szCs w:val="24"/>
          <w:highlight w:val="none"/>
        </w:rPr>
      </w:pPr>
      <w:r>
        <w:rPr>
          <w:rFonts w:hint="eastAsia" w:ascii="宋体" w:hAnsi="宋体" w:cs="宋体"/>
          <w:b/>
          <w:bCs/>
          <w:color w:val="auto"/>
          <w:sz w:val="24"/>
          <w:szCs w:val="24"/>
          <w:highlight w:val="none"/>
        </w:rPr>
        <w:t>3.5 投标人基本情况表</w:t>
      </w:r>
      <w:bookmarkStart w:id="255" w:name="_Toc296602442"/>
      <w:bookmarkStart w:id="256" w:name="_Toc247085711"/>
      <w:bookmarkStart w:id="257" w:name="_Toc152045553"/>
      <w:bookmarkStart w:id="258" w:name="_Toc179632571"/>
      <w:bookmarkStart w:id="259" w:name="_Toc246996197"/>
      <w:bookmarkStart w:id="260" w:name="_Toc246996940"/>
      <w:bookmarkStart w:id="261" w:name="_Toc152042329"/>
      <w:bookmarkStart w:id="262" w:name="_Toc144974521"/>
    </w:p>
    <w:p w14:paraId="3FCC7BD3">
      <w:pPr>
        <w:shd w:val="clear" w:color="auto" w:fill="auto"/>
        <w:spacing w:line="400" w:lineRule="exact"/>
        <w:ind w:firstLine="484" w:firstLineChars="202"/>
        <w:rPr>
          <w:rFonts w:hint="eastAsia" w:ascii="宋体" w:hAnsi="宋体" w:cs="宋体"/>
          <w:color w:val="auto"/>
          <w:sz w:val="24"/>
          <w:szCs w:val="24"/>
          <w:highlight w:val="none"/>
        </w:rPr>
      </w:pPr>
      <w:r>
        <w:rPr>
          <w:rFonts w:hint="eastAsia" w:ascii="宋体" w:hAnsi="宋体" w:cs="宋体"/>
          <w:color w:val="auto"/>
          <w:sz w:val="24"/>
          <w:szCs w:val="24"/>
          <w:highlight w:val="none"/>
        </w:rPr>
        <w:t>3.5.1 “近年财务状况表”可附财务会计报表，具体年份要求见投标人须知前附表。</w:t>
      </w:r>
    </w:p>
    <w:p w14:paraId="5042632E">
      <w:pPr>
        <w:shd w:val="clear" w:color="auto" w:fill="auto"/>
        <w:spacing w:line="400" w:lineRule="exact"/>
        <w:ind w:firstLine="484" w:firstLineChars="202"/>
        <w:rPr>
          <w:rFonts w:hint="eastAsia" w:ascii="宋体" w:hAnsi="宋体" w:cs="宋体"/>
          <w:color w:val="auto"/>
          <w:sz w:val="24"/>
          <w:szCs w:val="24"/>
          <w:highlight w:val="none"/>
        </w:rPr>
      </w:pPr>
      <w:r>
        <w:rPr>
          <w:rFonts w:hint="eastAsia" w:ascii="宋体" w:hAnsi="宋体" w:cs="宋体"/>
          <w:color w:val="auto"/>
          <w:sz w:val="24"/>
          <w:szCs w:val="24"/>
          <w:highlight w:val="none"/>
        </w:rPr>
        <w:t>3.5.2 “近年完成的类似项目情况表” 须提供中标通知书和施工合同，时间以签订施工合同为准，否则不得分。每张表格只填写一个项目，并标明序号。</w:t>
      </w:r>
    </w:p>
    <w:p w14:paraId="11E454EA">
      <w:pPr>
        <w:shd w:val="clear" w:color="auto" w:fill="auto"/>
        <w:spacing w:line="400" w:lineRule="exact"/>
        <w:ind w:firstLine="484" w:firstLineChars="202"/>
        <w:rPr>
          <w:rFonts w:hint="eastAsia" w:ascii="宋体" w:hAnsi="宋体" w:cs="宋体"/>
          <w:color w:val="auto"/>
          <w:sz w:val="24"/>
          <w:szCs w:val="24"/>
          <w:highlight w:val="none"/>
        </w:rPr>
      </w:pPr>
      <w:r>
        <w:rPr>
          <w:rFonts w:hint="eastAsia" w:ascii="宋体" w:hAnsi="宋体" w:cs="宋体"/>
          <w:color w:val="auto"/>
          <w:sz w:val="24"/>
          <w:szCs w:val="24"/>
          <w:highlight w:val="none"/>
        </w:rPr>
        <w:t>3.5.4 “正在施工和新承接的项目情况表”具体要求见评分办法，可附证明材料扫描件。每张表格只填写一个项目，并标明序号。</w:t>
      </w:r>
    </w:p>
    <w:p w14:paraId="72DF2233">
      <w:pPr>
        <w:shd w:val="clear" w:color="auto" w:fill="auto"/>
        <w:spacing w:line="400" w:lineRule="exact"/>
        <w:ind w:firstLine="484" w:firstLineChars="202"/>
        <w:rPr>
          <w:rFonts w:hint="eastAsia" w:ascii="宋体" w:hAnsi="宋体" w:cs="宋体"/>
          <w:color w:val="auto"/>
          <w:sz w:val="24"/>
          <w:szCs w:val="24"/>
          <w:highlight w:val="none"/>
        </w:rPr>
      </w:pPr>
      <w:r>
        <w:rPr>
          <w:rFonts w:hint="eastAsia" w:ascii="宋体" w:hAnsi="宋体" w:cs="宋体"/>
          <w:color w:val="auto"/>
          <w:sz w:val="24"/>
          <w:szCs w:val="24"/>
          <w:highlight w:val="none"/>
        </w:rPr>
        <w:t>3.5.5 “近年发生的诉讼及仲裁情况”应说明相关情况，可附法院或仲裁机构作出的判决、裁决等有关法律文书扫描件，具体年份要求见投标人须知前附表。</w:t>
      </w:r>
    </w:p>
    <w:p w14:paraId="0ADB3546">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63" w:name="_Toc77586840"/>
      <w:bookmarkStart w:id="264" w:name="_Toc77586933"/>
      <w:bookmarkStart w:id="265" w:name="_Toc32672"/>
      <w:bookmarkStart w:id="266" w:name="_Toc16626"/>
      <w:r>
        <w:rPr>
          <w:rFonts w:hint="eastAsia" w:ascii="宋体" w:hAnsi="宋体" w:cs="宋体"/>
          <w:b/>
          <w:bCs/>
          <w:color w:val="auto"/>
          <w:kern w:val="28"/>
          <w:sz w:val="24"/>
          <w:szCs w:val="24"/>
          <w:highlight w:val="none"/>
        </w:rPr>
        <w:t>3.6磋商响应文件的</w:t>
      </w:r>
      <w:bookmarkEnd w:id="255"/>
      <w:r>
        <w:rPr>
          <w:rFonts w:hint="eastAsia" w:ascii="宋体" w:hAnsi="宋体" w:cs="宋体"/>
          <w:b/>
          <w:bCs/>
          <w:color w:val="auto"/>
          <w:kern w:val="28"/>
          <w:sz w:val="24"/>
          <w:szCs w:val="24"/>
          <w:highlight w:val="none"/>
        </w:rPr>
        <w:t>编制</w:t>
      </w:r>
      <w:bookmarkEnd w:id="263"/>
      <w:bookmarkEnd w:id="264"/>
      <w:bookmarkEnd w:id="265"/>
      <w:bookmarkEnd w:id="266"/>
    </w:p>
    <w:bookmarkEnd w:id="256"/>
    <w:bookmarkEnd w:id="257"/>
    <w:bookmarkEnd w:id="258"/>
    <w:bookmarkEnd w:id="259"/>
    <w:bookmarkEnd w:id="260"/>
    <w:bookmarkEnd w:id="261"/>
    <w:bookmarkEnd w:id="262"/>
    <w:p w14:paraId="58D5909E">
      <w:pPr>
        <w:shd w:val="clear" w:color="auto" w:fill="auto"/>
        <w:spacing w:line="400" w:lineRule="exact"/>
        <w:ind w:firstLine="480" w:firstLineChars="200"/>
        <w:rPr>
          <w:rFonts w:hint="eastAsia" w:ascii="宋体" w:hAnsi="宋体" w:cs="宋体"/>
          <w:color w:val="auto"/>
          <w:sz w:val="24"/>
          <w:szCs w:val="24"/>
          <w:highlight w:val="none"/>
        </w:rPr>
      </w:pPr>
      <w:bookmarkStart w:id="267" w:name="_Toc246996199"/>
      <w:bookmarkStart w:id="268" w:name="_Toc144974523"/>
      <w:bookmarkStart w:id="269" w:name="_Toc179632573"/>
      <w:bookmarkStart w:id="270" w:name="_Toc246996942"/>
      <w:bookmarkStart w:id="271" w:name="_Toc247085713"/>
      <w:bookmarkStart w:id="272" w:name="_Toc152045555"/>
      <w:bookmarkStart w:id="273" w:name="_Toc296602443"/>
      <w:bookmarkStart w:id="274" w:name="_Toc152042331"/>
      <w:r>
        <w:rPr>
          <w:rFonts w:hint="eastAsia" w:ascii="宋体" w:hAnsi="宋体" w:cs="宋体"/>
          <w:color w:val="auto"/>
          <w:sz w:val="24"/>
          <w:szCs w:val="24"/>
          <w:highlight w:val="none"/>
        </w:rPr>
        <w:t>3.6.1磋商响应文件可按第八章“磋商响应文件格式”进行编写，如有必要，可以增加附页作为磋商响应文件的组成部分。其中，投标函附录在满足竞争性磋商文件实质性要求的基础上，可以提出比竞争性磋商文件要求更有利于招标人的承诺。</w:t>
      </w:r>
    </w:p>
    <w:p w14:paraId="1FF0D1B0">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3.6.2 磋商响应文件应当对竞争性磋商文件有关项目实施周期、投标有效期、质量要求、招标范围等实质性内容作出响应。</w:t>
      </w:r>
    </w:p>
    <w:p w14:paraId="0199A905">
      <w:pPr>
        <w:shd w:val="clear" w:color="auto" w:fill="auto"/>
        <w:spacing w:line="400" w:lineRule="exact"/>
        <w:ind w:firstLine="480" w:firstLineChars="200"/>
        <w:jc w:val="left"/>
        <w:rPr>
          <w:rFonts w:hint="eastAsia" w:ascii="宋体" w:hAnsi="宋体"/>
          <w:color w:val="auto"/>
          <w:sz w:val="24"/>
          <w:szCs w:val="24"/>
          <w:highlight w:val="none"/>
        </w:rPr>
      </w:pPr>
      <w:r>
        <w:rPr>
          <w:rFonts w:hint="eastAsia" w:ascii="宋体" w:hAnsi="宋体" w:cs="宋体"/>
          <w:color w:val="auto"/>
          <w:sz w:val="24"/>
          <w:szCs w:val="24"/>
          <w:highlight w:val="none"/>
        </w:rPr>
        <w:t>3.6.3</w:t>
      </w:r>
      <w:r>
        <w:rPr>
          <w:rFonts w:hint="eastAsia" w:ascii="宋体" w:hAnsi="宋体"/>
          <w:color w:val="auto"/>
          <w:sz w:val="24"/>
          <w:szCs w:val="24"/>
          <w:highlight w:val="none"/>
        </w:rPr>
        <w:t>投标人所上传的电子化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应是通过中心投标文件制作系统制作的（投标文件制作工具下载地址：https://download.bqpoint.com/download/downloaddetail.html?SourceFrom=Ztb&amp;ZtbSoftXiaQuCode=1506&amp;ZtbSoftType=tballinclusive），经过签章和加密后生成的电子版磋商响应文件。其中包含用于</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文件上传的主文件（后缀为.smxtf）和用于应急补救的</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文件备份文件（后缀为.nsmxtf）。</w:t>
      </w:r>
    </w:p>
    <w:p w14:paraId="02468EBB">
      <w:pPr>
        <w:shd w:val="clear" w:color="auto" w:fill="auto"/>
        <w:spacing w:line="400" w:lineRule="exact"/>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电子化投标文件具体制作教材请投标人点击以下链接学习</w:t>
      </w:r>
      <w:r>
        <w:rPr>
          <w:rFonts w:hint="eastAsia" w:ascii="宋体" w:hAnsi="宋体"/>
          <w:color w:val="auto"/>
          <w:sz w:val="24"/>
          <w:szCs w:val="24"/>
          <w:highlight w:val="none"/>
        </w:rPr>
        <w:t>http://gzjy.smx.gov.cn/bzzx/008001/20200325/4a2f9fa3-b923-4ddd-bd6f-138a0b63f7d1.html</w:t>
      </w:r>
    </w:p>
    <w:p w14:paraId="472C69DC">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75" w:name="_Toc11191"/>
      <w:bookmarkStart w:id="276" w:name="_Toc77586841"/>
      <w:bookmarkStart w:id="277" w:name="_Toc1597"/>
      <w:bookmarkStart w:id="278" w:name="_Toc77586934"/>
      <w:r>
        <w:rPr>
          <w:rFonts w:hint="eastAsia" w:ascii="宋体" w:hAnsi="宋体" w:cs="宋体"/>
          <w:b/>
          <w:bCs/>
          <w:color w:val="auto"/>
          <w:kern w:val="28"/>
          <w:sz w:val="24"/>
          <w:szCs w:val="24"/>
          <w:highlight w:val="none"/>
        </w:rPr>
        <w:t>3.7备选投标方案</w:t>
      </w:r>
      <w:bookmarkEnd w:id="275"/>
      <w:bookmarkEnd w:id="276"/>
      <w:bookmarkEnd w:id="277"/>
      <w:bookmarkEnd w:id="278"/>
    </w:p>
    <w:p w14:paraId="57A7E7C1">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不允许投标人递交备选投标方案。</w:t>
      </w:r>
    </w:p>
    <w:p w14:paraId="533904D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79" w:name="_Toc30262"/>
      <w:bookmarkStart w:id="280" w:name="_Toc16915"/>
      <w:bookmarkStart w:id="281" w:name="_Toc77586842"/>
      <w:bookmarkStart w:id="282" w:name="_Toc77586935"/>
      <w:r>
        <w:rPr>
          <w:rFonts w:hint="eastAsia" w:ascii="宋体" w:hAnsi="宋体" w:cs="宋体"/>
          <w:b/>
          <w:bCs/>
          <w:color w:val="auto"/>
          <w:kern w:val="28"/>
          <w:sz w:val="24"/>
          <w:szCs w:val="24"/>
          <w:highlight w:val="none"/>
        </w:rPr>
        <w:t>4. 投标</w:t>
      </w:r>
      <w:bookmarkEnd w:id="267"/>
      <w:bookmarkEnd w:id="268"/>
      <w:bookmarkEnd w:id="269"/>
      <w:bookmarkEnd w:id="270"/>
      <w:bookmarkEnd w:id="271"/>
      <w:bookmarkEnd w:id="272"/>
      <w:bookmarkEnd w:id="273"/>
      <w:bookmarkEnd w:id="274"/>
      <w:bookmarkEnd w:id="279"/>
      <w:bookmarkEnd w:id="280"/>
      <w:bookmarkEnd w:id="281"/>
      <w:bookmarkEnd w:id="282"/>
    </w:p>
    <w:p w14:paraId="41181C58">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283" w:name="_Toc179632574"/>
      <w:bookmarkStart w:id="284" w:name="_Toc152045556"/>
      <w:bookmarkStart w:id="285" w:name="_Toc144974524"/>
      <w:bookmarkStart w:id="286" w:name="_Toc247085714"/>
      <w:bookmarkStart w:id="287" w:name="_Toc152042332"/>
      <w:bookmarkStart w:id="288" w:name="_Toc246996200"/>
      <w:bookmarkStart w:id="289" w:name="_Toc296602444"/>
      <w:bookmarkStart w:id="290" w:name="_Toc246996943"/>
      <w:bookmarkStart w:id="291" w:name="_Toc77586936"/>
      <w:bookmarkStart w:id="292" w:name="_Toc16776"/>
      <w:bookmarkStart w:id="293" w:name="_Toc15470"/>
      <w:bookmarkStart w:id="294" w:name="_Toc77586843"/>
      <w:r>
        <w:rPr>
          <w:rFonts w:hint="eastAsia" w:ascii="宋体" w:hAnsi="宋体" w:cs="宋体"/>
          <w:b/>
          <w:bCs/>
          <w:color w:val="auto"/>
          <w:kern w:val="28"/>
          <w:sz w:val="24"/>
          <w:szCs w:val="24"/>
          <w:highlight w:val="none"/>
        </w:rPr>
        <w:t>4.1 磋商响应文件的</w:t>
      </w:r>
      <w:bookmarkEnd w:id="283"/>
      <w:bookmarkEnd w:id="284"/>
      <w:bookmarkEnd w:id="285"/>
      <w:bookmarkEnd w:id="286"/>
      <w:bookmarkEnd w:id="287"/>
      <w:bookmarkEnd w:id="288"/>
      <w:bookmarkEnd w:id="289"/>
      <w:bookmarkEnd w:id="290"/>
      <w:r>
        <w:rPr>
          <w:rFonts w:hint="eastAsia" w:ascii="宋体" w:hAnsi="宋体" w:cs="宋体"/>
          <w:b/>
          <w:bCs/>
          <w:color w:val="auto"/>
          <w:kern w:val="28"/>
          <w:sz w:val="24"/>
          <w:szCs w:val="24"/>
          <w:highlight w:val="none"/>
        </w:rPr>
        <w:t>签署</w:t>
      </w:r>
      <w:bookmarkEnd w:id="291"/>
      <w:bookmarkEnd w:id="292"/>
      <w:bookmarkEnd w:id="293"/>
      <w:bookmarkEnd w:id="294"/>
    </w:p>
    <w:p w14:paraId="6849E6C4">
      <w:pPr>
        <w:shd w:val="clear" w:color="auto" w:fill="auto"/>
        <w:spacing w:line="400" w:lineRule="exact"/>
        <w:ind w:firstLine="482"/>
        <w:rPr>
          <w:rFonts w:hint="eastAsia" w:ascii="宋体" w:hAnsi="宋体" w:cs="宋体"/>
          <w:color w:val="auto"/>
          <w:sz w:val="24"/>
          <w:szCs w:val="24"/>
          <w:highlight w:val="none"/>
        </w:rPr>
      </w:pPr>
      <w:bookmarkStart w:id="295" w:name="_Toc246996201"/>
      <w:bookmarkStart w:id="296" w:name="_Toc247085715"/>
      <w:bookmarkStart w:id="297" w:name="_Toc144974525"/>
      <w:bookmarkStart w:id="298" w:name="_Toc152042333"/>
      <w:bookmarkStart w:id="299" w:name="_Toc152045557"/>
      <w:bookmarkStart w:id="300" w:name="_Toc179632575"/>
      <w:bookmarkStart w:id="301" w:name="_Toc246996944"/>
      <w:bookmarkStart w:id="302" w:name="_Toc296602445"/>
      <w:r>
        <w:rPr>
          <w:rFonts w:hint="eastAsia" w:ascii="宋体" w:hAnsi="宋体" w:cs="宋体"/>
          <w:bCs/>
          <w:color w:val="auto"/>
          <w:sz w:val="24"/>
          <w:szCs w:val="24"/>
          <w:highlight w:val="none"/>
        </w:rPr>
        <w:t>4.1.1投标人在进行电子化磋商响应文件签章时，竞争性磋商文件中要求投标人盖章的，以签盖单位章为准；要求法定代表人签章的，以签盖法定代表人签章为准</w:t>
      </w:r>
      <w:r>
        <w:rPr>
          <w:rFonts w:hint="eastAsia" w:ascii="宋体" w:hAnsi="宋体" w:cs="宋体"/>
          <w:color w:val="auto"/>
          <w:sz w:val="24"/>
          <w:szCs w:val="24"/>
          <w:highlight w:val="none"/>
        </w:rPr>
        <w:t>。电子化磋商响应文件具体制作教材请投标人通过CA证书登录三门峡市公共资源电子化交易系统在右上角“组件下载”中查看。</w:t>
      </w:r>
    </w:p>
    <w:p w14:paraId="38F3D4F2">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03" w:name="_Toc77586844"/>
      <w:bookmarkStart w:id="304" w:name="_Toc1081"/>
      <w:bookmarkStart w:id="305" w:name="_Toc26188"/>
      <w:bookmarkStart w:id="306" w:name="_Toc77586937"/>
      <w:r>
        <w:rPr>
          <w:rFonts w:hint="eastAsia" w:ascii="宋体" w:hAnsi="宋体" w:cs="宋体"/>
          <w:b/>
          <w:bCs/>
          <w:color w:val="auto"/>
          <w:kern w:val="28"/>
          <w:sz w:val="24"/>
          <w:szCs w:val="24"/>
          <w:highlight w:val="none"/>
        </w:rPr>
        <w:t>4.2 磋商响应文件的上传</w:t>
      </w:r>
      <w:bookmarkEnd w:id="303"/>
      <w:bookmarkEnd w:id="304"/>
      <w:bookmarkEnd w:id="305"/>
      <w:bookmarkEnd w:id="306"/>
    </w:p>
    <w:p w14:paraId="36E4CD58">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电子化磋商响应文件应在投标截止时间前成功上传至三门峡市公共资源电子化交易系统。至投标截止时间止，仍未上传成功的电子化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文件将不予接收。</w:t>
      </w:r>
    </w:p>
    <w:p w14:paraId="412D0D46">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注：如按照电子化投标操作教材制作完成的电子化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文件无法上传的，投标人应在</w:t>
      </w:r>
      <w:r>
        <w:rPr>
          <w:rFonts w:hint="eastAsia" w:ascii="宋体" w:hAnsi="宋体"/>
          <w:b/>
          <w:color w:val="auto"/>
          <w:sz w:val="24"/>
          <w:szCs w:val="24"/>
          <w:highlight w:val="none"/>
        </w:rPr>
        <w:t>投标截止时间前尽早的</w:t>
      </w:r>
      <w:r>
        <w:rPr>
          <w:rFonts w:hint="eastAsia" w:ascii="宋体" w:hAnsi="宋体"/>
          <w:color w:val="auto"/>
          <w:sz w:val="24"/>
          <w:szCs w:val="24"/>
          <w:highlight w:val="none"/>
        </w:rPr>
        <w:t>联系中心技术人员，以便有充分的时间进行处理。</w:t>
      </w:r>
      <w:r>
        <w:rPr>
          <w:rFonts w:hint="eastAsia" w:ascii="宋体" w:hAnsi="宋体"/>
          <w:b/>
          <w:color w:val="auto"/>
          <w:sz w:val="24"/>
          <w:szCs w:val="24"/>
          <w:highlight w:val="none"/>
        </w:rPr>
        <w:t>投标人应充分考虑到处理技术问题和上传数据等工作所需的时间问题，电子化磋商响应文件未在投标截止时间前成功上传的，其磋商响应文件不予接收。</w:t>
      </w:r>
    </w:p>
    <w:p w14:paraId="1D871F34">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07" w:name="_Toc30286"/>
      <w:bookmarkStart w:id="308" w:name="_Toc7908"/>
      <w:bookmarkStart w:id="309" w:name="_Toc77586845"/>
      <w:bookmarkStart w:id="310" w:name="_Toc77586938"/>
      <w:r>
        <w:rPr>
          <w:rFonts w:hint="eastAsia" w:ascii="宋体" w:hAnsi="宋体" w:cs="宋体"/>
          <w:b/>
          <w:bCs/>
          <w:color w:val="auto"/>
          <w:kern w:val="28"/>
          <w:sz w:val="24"/>
          <w:szCs w:val="24"/>
          <w:highlight w:val="none"/>
        </w:rPr>
        <w:t>4.3 磋商响应文件的修改与撤回</w:t>
      </w:r>
      <w:bookmarkEnd w:id="307"/>
      <w:bookmarkEnd w:id="308"/>
      <w:bookmarkEnd w:id="309"/>
      <w:bookmarkEnd w:id="310"/>
    </w:p>
    <w:p w14:paraId="04EF3120">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4.3.1在投标截止时间之后，投标人不得补充、修改电子化磋商响应文件。</w:t>
      </w:r>
    </w:p>
    <w:bookmarkEnd w:id="295"/>
    <w:bookmarkEnd w:id="296"/>
    <w:bookmarkEnd w:id="297"/>
    <w:bookmarkEnd w:id="298"/>
    <w:bookmarkEnd w:id="299"/>
    <w:bookmarkEnd w:id="300"/>
    <w:bookmarkEnd w:id="301"/>
    <w:bookmarkEnd w:id="302"/>
    <w:p w14:paraId="0944B392">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11" w:name="_Toc152042335"/>
      <w:bookmarkStart w:id="312" w:name="_Toc179632577"/>
      <w:bookmarkStart w:id="313" w:name="_Toc296602447"/>
      <w:bookmarkStart w:id="314" w:name="_Toc246996203"/>
      <w:bookmarkStart w:id="315" w:name="_Toc144974527"/>
      <w:bookmarkStart w:id="316" w:name="_Toc247085717"/>
      <w:bookmarkStart w:id="317" w:name="_Toc152045559"/>
      <w:bookmarkStart w:id="318" w:name="_Toc246996946"/>
      <w:bookmarkStart w:id="319" w:name="_Toc21479"/>
      <w:bookmarkStart w:id="320" w:name="_Toc29915"/>
      <w:bookmarkStart w:id="321" w:name="_Toc77586846"/>
      <w:bookmarkStart w:id="322" w:name="_Toc77586939"/>
      <w:r>
        <w:rPr>
          <w:rFonts w:hint="eastAsia" w:ascii="宋体" w:hAnsi="宋体" w:cs="宋体"/>
          <w:b/>
          <w:bCs/>
          <w:color w:val="auto"/>
          <w:kern w:val="28"/>
          <w:sz w:val="24"/>
          <w:szCs w:val="24"/>
          <w:highlight w:val="none"/>
        </w:rPr>
        <w:t xml:space="preserve">5. </w:t>
      </w:r>
      <w:bookmarkEnd w:id="311"/>
      <w:bookmarkEnd w:id="312"/>
      <w:bookmarkEnd w:id="313"/>
      <w:bookmarkEnd w:id="314"/>
      <w:bookmarkEnd w:id="315"/>
      <w:bookmarkEnd w:id="316"/>
      <w:bookmarkEnd w:id="317"/>
      <w:bookmarkEnd w:id="318"/>
      <w:r>
        <w:rPr>
          <w:rFonts w:hint="eastAsia" w:ascii="宋体" w:hAnsi="宋体" w:cs="宋体"/>
          <w:b/>
          <w:bCs/>
          <w:color w:val="auto"/>
          <w:kern w:val="28"/>
          <w:sz w:val="24"/>
          <w:szCs w:val="24"/>
          <w:highlight w:val="none"/>
        </w:rPr>
        <w:t>磋商</w:t>
      </w:r>
      <w:bookmarkEnd w:id="319"/>
      <w:bookmarkEnd w:id="320"/>
      <w:bookmarkEnd w:id="321"/>
      <w:bookmarkEnd w:id="322"/>
    </w:p>
    <w:p w14:paraId="136EC778">
      <w:pPr>
        <w:shd w:val="clear" w:color="auto" w:fill="auto"/>
        <w:spacing w:line="400" w:lineRule="exact"/>
        <w:ind w:firstLine="422" w:firstLineChars="176"/>
        <w:rPr>
          <w:rFonts w:hint="eastAsia" w:ascii="宋体" w:hAnsi="宋体"/>
          <w:color w:val="auto"/>
          <w:sz w:val="24"/>
          <w:szCs w:val="24"/>
          <w:highlight w:val="none"/>
        </w:rPr>
      </w:pPr>
      <w:bookmarkStart w:id="323" w:name="_Toc179632580"/>
      <w:bookmarkStart w:id="324" w:name="_Toc246996949"/>
      <w:bookmarkStart w:id="325" w:name="_Toc179632579"/>
      <w:bookmarkStart w:id="326" w:name="_Toc152045562"/>
      <w:bookmarkStart w:id="327" w:name="_Toc144974529"/>
      <w:bookmarkStart w:id="328" w:name="_Toc152045561"/>
      <w:bookmarkStart w:id="329" w:name="_Toc152042337"/>
      <w:bookmarkStart w:id="330" w:name="_Toc246996206"/>
      <w:bookmarkStart w:id="331" w:name="_Toc144974530"/>
      <w:bookmarkStart w:id="332" w:name="_Toc247085720"/>
      <w:bookmarkStart w:id="333" w:name="_Toc296602451"/>
      <w:bookmarkStart w:id="334" w:name="_Toc152042338"/>
      <w:r>
        <w:rPr>
          <w:rFonts w:hint="eastAsia" w:ascii="宋体" w:hAnsi="宋体"/>
          <w:color w:val="auto"/>
          <w:sz w:val="24"/>
          <w:szCs w:val="24"/>
          <w:highlight w:val="none"/>
        </w:rPr>
        <w:t>5.1本项目采用电子化、无纸化进行招标，开标当日，投标人无需到开标现场参加开标会议，投标人应当在投标截止时间前，登陆不见面开标大厅选择登陆三门峡市公共资源电子招投标系统进行登陆（网址为http://120.194.249.36:10094/BidOpening/bidopeninghallaction/hall/login）,在线准时参加开标活动并进行磋商响应文件解密等。</w:t>
      </w:r>
    </w:p>
    <w:p w14:paraId="5A2773F5">
      <w:pPr>
        <w:shd w:val="clear" w:color="auto" w:fill="auto"/>
        <w:spacing w:line="400" w:lineRule="exact"/>
        <w:ind w:firstLine="422" w:firstLineChars="176"/>
        <w:rPr>
          <w:rFonts w:hint="eastAsia" w:ascii="宋体" w:hAnsi="宋体"/>
          <w:color w:val="auto"/>
          <w:sz w:val="24"/>
          <w:szCs w:val="24"/>
          <w:highlight w:val="none"/>
        </w:rPr>
      </w:pPr>
      <w:r>
        <w:rPr>
          <w:rFonts w:hint="eastAsia" w:ascii="宋体" w:hAnsi="宋体"/>
          <w:color w:val="auto"/>
          <w:sz w:val="24"/>
          <w:szCs w:val="24"/>
          <w:highlight w:val="none"/>
        </w:rPr>
        <w:t>5.2 电子化磋商响应文件采用一次加密方式。开标时，由投标人使用CA 证书，在规定时间内对其电子化</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文件进行解密。每位投标人的解密时间为开标时间起30 分钟内，如在规定时间内未完成解密的，其</w:t>
      </w:r>
      <w:r>
        <w:rPr>
          <w:rFonts w:hint="eastAsia" w:ascii="宋体" w:hAnsi="宋体" w:cs="宋体"/>
          <w:color w:val="auto"/>
          <w:sz w:val="24"/>
          <w:szCs w:val="24"/>
          <w:highlight w:val="none"/>
        </w:rPr>
        <w:t>磋商响应</w:t>
      </w:r>
      <w:r>
        <w:rPr>
          <w:rFonts w:hint="eastAsia" w:ascii="宋体" w:hAnsi="宋体"/>
          <w:color w:val="auto"/>
          <w:sz w:val="24"/>
          <w:szCs w:val="24"/>
          <w:highlight w:val="none"/>
        </w:rPr>
        <w:t>文件不予开标、唱标。每位投标人的解密时间为开标时间起30分钟内完成。</w:t>
      </w:r>
    </w:p>
    <w:p w14:paraId="227AD8DD">
      <w:pPr>
        <w:shd w:val="clear" w:color="auto" w:fill="auto"/>
        <w:spacing w:line="400" w:lineRule="exact"/>
        <w:ind w:firstLine="241" w:firstLineChars="100"/>
        <w:rPr>
          <w:rFonts w:hint="eastAsia" w:ascii="宋体" w:hAnsi="宋体"/>
          <w:b/>
          <w:color w:val="auto"/>
          <w:sz w:val="24"/>
          <w:szCs w:val="24"/>
          <w:highlight w:val="none"/>
        </w:rPr>
      </w:pPr>
      <w:r>
        <w:rPr>
          <w:rFonts w:hint="eastAsia" w:ascii="宋体" w:hAnsi="宋体"/>
          <w:b/>
          <w:color w:val="auto"/>
          <w:sz w:val="24"/>
          <w:szCs w:val="24"/>
          <w:highlight w:val="none"/>
        </w:rPr>
        <w:t>5.3 电子化磋商响应文件解密异常的处理</w:t>
      </w:r>
    </w:p>
    <w:p w14:paraId="7D7A1A44">
      <w:pPr>
        <w:shd w:val="clear" w:color="auto" w:fill="auto"/>
        <w:spacing w:line="400" w:lineRule="exact"/>
        <w:ind w:firstLine="422" w:firstLineChars="176"/>
        <w:rPr>
          <w:rFonts w:hint="eastAsia" w:ascii="宋体" w:hAnsi="宋体"/>
          <w:color w:val="auto"/>
          <w:sz w:val="24"/>
          <w:szCs w:val="24"/>
          <w:highlight w:val="none"/>
        </w:rPr>
      </w:pPr>
      <w:r>
        <w:rPr>
          <w:rFonts w:hint="eastAsia" w:ascii="宋体" w:hAnsi="宋体"/>
          <w:color w:val="auto"/>
          <w:sz w:val="24"/>
          <w:szCs w:val="24"/>
          <w:highlight w:val="none"/>
        </w:rPr>
        <w:t>如出现投标人的电子磋商响应文件无法解密等异常情况，投标人应及时致电中介服务机构说明。磋商响应文件异常，按以下步骤进行处理：</w:t>
      </w:r>
    </w:p>
    <w:p w14:paraId="2A0436B6">
      <w:pPr>
        <w:shd w:val="clear" w:color="auto" w:fill="auto"/>
        <w:spacing w:line="400" w:lineRule="exact"/>
        <w:ind w:firstLine="422" w:firstLineChars="176"/>
        <w:rPr>
          <w:rFonts w:hint="eastAsia" w:ascii="宋体" w:hAnsi="宋体"/>
          <w:color w:val="auto"/>
          <w:sz w:val="24"/>
          <w:szCs w:val="24"/>
          <w:highlight w:val="none"/>
        </w:rPr>
      </w:pPr>
      <w:r>
        <w:rPr>
          <w:rFonts w:hint="eastAsia" w:ascii="宋体" w:hAnsi="宋体"/>
          <w:color w:val="auto"/>
          <w:sz w:val="24"/>
          <w:szCs w:val="24"/>
          <w:highlight w:val="none"/>
        </w:rPr>
        <w:t>（1）首先由技术人员进行问题排查。</w:t>
      </w:r>
    </w:p>
    <w:p w14:paraId="6914BC3C">
      <w:pPr>
        <w:shd w:val="clear" w:color="auto" w:fill="auto"/>
        <w:spacing w:line="400" w:lineRule="exact"/>
        <w:ind w:firstLine="422" w:firstLineChars="176"/>
        <w:rPr>
          <w:rFonts w:hint="eastAsia" w:ascii="宋体" w:hAnsi="宋体"/>
          <w:color w:val="auto"/>
          <w:sz w:val="24"/>
          <w:szCs w:val="24"/>
          <w:highlight w:val="none"/>
        </w:rPr>
      </w:pPr>
      <w:r>
        <w:rPr>
          <w:rFonts w:hint="eastAsia" w:ascii="宋体" w:hAnsi="宋体"/>
          <w:color w:val="auto"/>
          <w:sz w:val="24"/>
          <w:szCs w:val="24"/>
          <w:highlight w:val="none"/>
        </w:rPr>
        <w:t>（2）经技术人员排查后，是投标人文件自身问题导致磋商响应文件无法解密的，该磋商响应文件将不予接收、解密和唱标。开标会议继续进行。</w:t>
      </w:r>
    </w:p>
    <w:p w14:paraId="43E621D9">
      <w:pPr>
        <w:shd w:val="clear" w:color="auto" w:fill="auto"/>
        <w:spacing w:line="400" w:lineRule="exact"/>
        <w:ind w:firstLine="422" w:firstLineChars="176"/>
        <w:rPr>
          <w:rFonts w:hint="eastAsia" w:ascii="宋体" w:hAnsi="宋体"/>
          <w:color w:val="auto"/>
          <w:sz w:val="24"/>
          <w:szCs w:val="24"/>
          <w:highlight w:val="none"/>
        </w:rPr>
      </w:pPr>
      <w:r>
        <w:rPr>
          <w:rFonts w:hint="eastAsia" w:ascii="宋体" w:hAnsi="宋体"/>
          <w:color w:val="auto"/>
          <w:sz w:val="24"/>
          <w:szCs w:val="24"/>
          <w:highlight w:val="none"/>
        </w:rPr>
        <w:t>（3）经技术人员排查后，如果是电子化交易系统问题造成磋商响应文件无法解密的，将由技术人员对问题进行处理。如短时间内问题无法解决的，将由中介服务机构向监督部门申请，经监督部门同意后，暂停开标会议，待问题解决后继续开标。</w:t>
      </w:r>
    </w:p>
    <w:bookmarkEnd w:id="323"/>
    <w:bookmarkEnd w:id="324"/>
    <w:bookmarkEnd w:id="325"/>
    <w:bookmarkEnd w:id="326"/>
    <w:bookmarkEnd w:id="327"/>
    <w:bookmarkEnd w:id="328"/>
    <w:bookmarkEnd w:id="329"/>
    <w:bookmarkEnd w:id="330"/>
    <w:bookmarkEnd w:id="331"/>
    <w:bookmarkEnd w:id="332"/>
    <w:bookmarkEnd w:id="333"/>
    <w:bookmarkEnd w:id="334"/>
    <w:p w14:paraId="6A533B1D">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35" w:name="_Toc179632581"/>
      <w:bookmarkStart w:id="336" w:name="_Toc247085721"/>
      <w:bookmarkStart w:id="337" w:name="_Toc22146"/>
      <w:bookmarkStart w:id="338" w:name="_Toc246996950"/>
      <w:bookmarkStart w:id="339" w:name="_Toc152045563"/>
      <w:bookmarkStart w:id="340" w:name="_Toc12014"/>
      <w:bookmarkStart w:id="341" w:name="_Toc296602452"/>
      <w:bookmarkStart w:id="342" w:name="_Toc77586940"/>
      <w:bookmarkStart w:id="343" w:name="_Toc144974531"/>
      <w:bookmarkStart w:id="344" w:name="_Toc77586847"/>
      <w:bookmarkStart w:id="345" w:name="_Toc246996207"/>
      <w:bookmarkStart w:id="346" w:name="_Toc152042339"/>
      <w:r>
        <w:rPr>
          <w:rFonts w:hint="eastAsia" w:ascii="宋体" w:hAnsi="宋体" w:cs="宋体"/>
          <w:b/>
          <w:bCs/>
          <w:color w:val="auto"/>
          <w:kern w:val="28"/>
          <w:sz w:val="24"/>
          <w:szCs w:val="24"/>
          <w:highlight w:val="none"/>
        </w:rPr>
        <w:t>5.4 磋商小组</w:t>
      </w:r>
      <w:bookmarkEnd w:id="335"/>
      <w:bookmarkEnd w:id="336"/>
      <w:bookmarkEnd w:id="337"/>
      <w:bookmarkEnd w:id="338"/>
      <w:bookmarkEnd w:id="339"/>
      <w:bookmarkEnd w:id="340"/>
      <w:bookmarkEnd w:id="341"/>
      <w:bookmarkEnd w:id="342"/>
      <w:bookmarkEnd w:id="343"/>
      <w:bookmarkEnd w:id="344"/>
      <w:bookmarkEnd w:id="345"/>
      <w:bookmarkEnd w:id="346"/>
    </w:p>
    <w:p w14:paraId="64BD5FC9">
      <w:pPr>
        <w:widowControl/>
        <w:shd w:val="clear" w:color="auto" w:fill="auto"/>
        <w:spacing w:line="400" w:lineRule="exact"/>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5.4.1 </w:t>
      </w:r>
      <w:r>
        <w:rPr>
          <w:rFonts w:hint="eastAsia" w:ascii="宋体" w:hAnsi="宋体" w:cs="宋体"/>
          <w:color w:val="auto"/>
          <w:kern w:val="44"/>
          <w:sz w:val="24"/>
          <w:szCs w:val="24"/>
          <w:highlight w:val="none"/>
        </w:rPr>
        <w:t>磋商小组由3人组成:磋商小组构成：由采购人代表和有关经济、技术等方面的专家共3人组成，其中采购人代表1人、技术有关方面的专家1人、经济有关方面的专家1人，共3人组成。评标专家确定方式：参加评标的专家在河南政府采购网抽取终端随机抽取确定</w:t>
      </w:r>
      <w:r>
        <w:rPr>
          <w:rFonts w:hint="eastAsia" w:ascii="宋体" w:hAnsi="宋体" w:cs="宋体"/>
          <w:color w:val="auto"/>
          <w:sz w:val="24"/>
          <w:szCs w:val="24"/>
          <w:highlight w:val="none"/>
        </w:rPr>
        <w:t>。</w:t>
      </w:r>
    </w:p>
    <w:p w14:paraId="2A0CD935">
      <w:pPr>
        <w:widowControl/>
        <w:shd w:val="clear" w:color="auto" w:fill="auto"/>
        <w:spacing w:line="400" w:lineRule="exact"/>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5.4.2磋商小组对所有投标人的磋商响应文件进行评审，按评审后得分由高到低顺序排列，递交给招标人。</w:t>
      </w:r>
    </w:p>
    <w:p w14:paraId="4CBA2CC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5.4.3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14:paraId="1935375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5.4.3磋商小组成员和评审工作有关人员不得干预或者影响正常评审工作，不得明示或者暗示其倾向性、引导性意见，不得修改磋商文件确定的评审程序、评审方法，不得征询招标人代表的倾向性意见，不得记录、复制或带走任何评审资料。成交候选人确定后，磋商小组不得修改评审结果或者要求重新评审，但因初步审查认定错误或价格计算错误需依法重新评审的除外。应在评审报告中明确记载。</w:t>
      </w:r>
    </w:p>
    <w:p w14:paraId="26BAC03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5.4.4磋商小组成员有下列情形之一的，应当回避：</w:t>
      </w:r>
    </w:p>
    <w:p w14:paraId="7BC29F69">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（1）投标人或投标人主要负责人的近亲属；</w:t>
      </w:r>
    </w:p>
    <w:p w14:paraId="0C3C6BA3">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（2）项目主管部门或者行政监督部门的人员；</w:t>
      </w:r>
    </w:p>
    <w:p w14:paraId="32CE47C6">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（3）与投标人有经济利益关系；</w:t>
      </w:r>
    </w:p>
    <w:p w14:paraId="599B0D05">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（4）曾因在招标、评标以及其他与招标投标有关活动中从事违法行为而受过行政处罚或刑事处罚的；</w:t>
      </w:r>
    </w:p>
    <w:p w14:paraId="61E0CFCF">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（5）与投标人有其他利害关系。</w:t>
      </w:r>
    </w:p>
    <w:p w14:paraId="2F3D9D16">
      <w:pPr>
        <w:shd w:val="clear" w:color="auto" w:fill="auto"/>
        <w:spacing w:line="400" w:lineRule="exact"/>
        <w:ind w:firstLine="241" w:firstLineChars="100"/>
        <w:rPr>
          <w:rFonts w:hint="eastAsia" w:ascii="宋体" w:hAnsi="宋体" w:cs="宋体"/>
          <w:b/>
          <w:bCs/>
          <w:color w:val="auto"/>
          <w:sz w:val="24"/>
          <w:szCs w:val="24"/>
          <w:highlight w:val="none"/>
        </w:rPr>
      </w:pPr>
      <w:bookmarkStart w:id="347" w:name="_Toc144974532"/>
      <w:bookmarkStart w:id="348" w:name="_Toc246996208"/>
      <w:bookmarkStart w:id="349" w:name="_Toc152045564"/>
      <w:bookmarkStart w:id="350" w:name="_Toc247085722"/>
      <w:bookmarkStart w:id="351" w:name="_Toc296602453"/>
      <w:bookmarkStart w:id="352" w:name="_Toc246996951"/>
      <w:bookmarkStart w:id="353" w:name="_Toc179632582"/>
      <w:bookmarkStart w:id="354" w:name="_Toc152042340"/>
      <w:r>
        <w:rPr>
          <w:rFonts w:hint="eastAsia" w:ascii="宋体" w:hAnsi="宋体" w:cs="宋体"/>
          <w:b/>
          <w:bCs/>
          <w:color w:val="auto"/>
          <w:sz w:val="24"/>
          <w:szCs w:val="24"/>
          <w:highlight w:val="none"/>
        </w:rPr>
        <w:t>5.5磋商原则和方法</w:t>
      </w:r>
    </w:p>
    <w:p w14:paraId="368825A2">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5.5.1坚持公开、公平、公正的原则。</w:t>
      </w:r>
    </w:p>
    <w:p w14:paraId="05E14A68">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5.5.2磋商在磋商小组应当集中与单一投标人分别进行磋商，磋商小组将遵照磋商原则，公正、平等地对待所有投标人。</w:t>
      </w:r>
    </w:p>
    <w:p w14:paraId="4ADB1E03">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5.5.3评审方法</w:t>
      </w:r>
    </w:p>
    <w:p w14:paraId="1240512C">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（1）初步评审（是否响应竞争性磋商文件的要求），确定合格的投标人。</w:t>
      </w:r>
    </w:p>
    <w:p w14:paraId="67070DF9">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  （2）各投标人依据各自情况进行最后报价。</w:t>
      </w:r>
    </w:p>
    <w:p w14:paraId="2F3B6B59">
      <w:pPr>
        <w:shd w:val="clear" w:color="auto" w:fill="auto"/>
        <w:spacing w:line="400" w:lineRule="exact"/>
        <w:ind w:firstLine="410" w:firstLineChars="171"/>
        <w:rPr>
          <w:rFonts w:hint="eastAsia" w:ascii="宋体" w:hAnsi="宋体" w:cs="宋体"/>
          <w:b/>
          <w:bCs/>
          <w:color w:val="auto"/>
          <w:kern w:val="28"/>
          <w:sz w:val="24"/>
          <w:szCs w:val="24"/>
          <w:highlight w:val="none"/>
        </w:rPr>
      </w:pPr>
      <w:r>
        <w:rPr>
          <w:rFonts w:hint="eastAsia" w:ascii="宋体" w:hAnsi="宋体" w:cs="宋体"/>
          <w:color w:val="auto"/>
          <w:sz w:val="24"/>
          <w:szCs w:val="24"/>
          <w:highlight w:val="none"/>
        </w:rPr>
        <w:t xml:space="preserve">  （3）磋商小组采用综合评分法对提交最后报价的投标人的响应文件和最后报价进行综合评分。</w:t>
      </w:r>
    </w:p>
    <w:p w14:paraId="54376BFE">
      <w:pPr>
        <w:shd w:val="clear" w:color="auto" w:fill="auto"/>
        <w:spacing w:line="400" w:lineRule="exact"/>
        <w:ind w:firstLine="241" w:firstLineChars="100"/>
        <w:rPr>
          <w:rFonts w:hint="eastAsia" w:ascii="宋体" w:hAnsi="宋体" w:cs="宋体"/>
          <w:b/>
          <w:bCs/>
          <w:color w:val="auto"/>
          <w:kern w:val="28"/>
          <w:sz w:val="24"/>
          <w:szCs w:val="24"/>
          <w:highlight w:val="none"/>
        </w:rPr>
      </w:pPr>
      <w:r>
        <w:rPr>
          <w:rFonts w:hint="eastAsia" w:ascii="宋体" w:hAnsi="宋体" w:cs="宋体"/>
          <w:b/>
          <w:bCs/>
          <w:color w:val="auto"/>
          <w:kern w:val="28"/>
          <w:sz w:val="24"/>
          <w:szCs w:val="24"/>
          <w:highlight w:val="none"/>
        </w:rPr>
        <w:t>5.6对投标人的评价</w:t>
      </w:r>
    </w:p>
    <w:p w14:paraId="57BA9773">
      <w:pPr>
        <w:shd w:val="clear" w:color="auto" w:fill="auto"/>
        <w:tabs>
          <w:tab w:val="left" w:pos="0"/>
          <w:tab w:val="left" w:pos="851"/>
        </w:tabs>
        <w:autoSpaceDE w:val="0"/>
        <w:autoSpaceDN w:val="0"/>
        <w:adjustRightInd w:val="0"/>
        <w:spacing w:line="400" w:lineRule="exact"/>
        <w:ind w:firstLine="480" w:firstLineChars="200"/>
        <w:rPr>
          <w:rFonts w:hint="eastAsia" w:ascii="宋体" w:hAnsi="宋体" w:cs="黑体"/>
          <w:color w:val="auto"/>
          <w:kern w:val="0"/>
          <w:sz w:val="24"/>
          <w:szCs w:val="24"/>
          <w:highlight w:val="none"/>
        </w:rPr>
      </w:pPr>
      <w:r>
        <w:rPr>
          <w:rFonts w:hint="eastAsia" w:ascii="宋体" w:hAnsi="宋体" w:cs="黑体"/>
          <w:color w:val="auto"/>
          <w:kern w:val="0"/>
          <w:sz w:val="24"/>
          <w:szCs w:val="24"/>
          <w:highlight w:val="none"/>
        </w:rPr>
        <w:t>在初审阶段,响应文件出现以下情况之一者，属于重大偏差，为未能对磋商文件作出实质性响应，作无效标处理：</w:t>
      </w:r>
    </w:p>
    <w:p w14:paraId="7A30A0C8">
      <w:pPr>
        <w:shd w:val="clear" w:color="auto" w:fill="auto"/>
        <w:spacing w:line="400" w:lineRule="exact"/>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（1）响应文件未按规定的格式填写、内容不全的；</w:t>
      </w:r>
    </w:p>
    <w:p w14:paraId="4ADE6A03">
      <w:pPr>
        <w:shd w:val="clear" w:color="auto" w:fill="auto"/>
        <w:spacing w:line="400" w:lineRule="exact"/>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（2）响应文件中无报价、无工期、无质量等级或工期、质量达不到磋商文件要求的；</w:t>
      </w:r>
    </w:p>
    <w:p w14:paraId="54AAE97F">
      <w:pPr>
        <w:shd w:val="clear" w:color="auto" w:fill="auto"/>
        <w:spacing w:line="400" w:lineRule="exact"/>
        <w:ind w:firstLine="482" w:firstLineChars="200"/>
        <w:rPr>
          <w:rFonts w:hint="eastAsia" w:ascii="宋体" w:hAnsi="宋体"/>
          <w:b/>
          <w:color w:val="auto"/>
          <w:sz w:val="24"/>
          <w:szCs w:val="24"/>
          <w:highlight w:val="none"/>
        </w:rPr>
      </w:pPr>
      <w:r>
        <w:rPr>
          <w:rFonts w:hint="eastAsia" w:ascii="宋体" w:hAnsi="宋体"/>
          <w:b/>
          <w:color w:val="auto"/>
          <w:sz w:val="24"/>
          <w:szCs w:val="24"/>
          <w:highlight w:val="none"/>
        </w:rPr>
        <w:t>（3）响应文件有保留或合同草案有招标人不可接受条件；</w:t>
      </w:r>
    </w:p>
    <w:p w14:paraId="16B5DC60">
      <w:pPr>
        <w:shd w:val="clear" w:color="auto" w:fill="auto"/>
        <w:spacing w:line="400" w:lineRule="exact"/>
        <w:ind w:firstLine="412" w:firstLineChars="171"/>
        <w:rPr>
          <w:rFonts w:hint="eastAsia" w:ascii="宋体" w:hAnsi="宋体" w:cs="宋体"/>
          <w:color w:val="auto"/>
          <w:sz w:val="24"/>
          <w:szCs w:val="24"/>
          <w:highlight w:val="none"/>
        </w:rPr>
      </w:pPr>
      <w:r>
        <w:rPr>
          <w:rFonts w:hint="eastAsia" w:ascii="宋体" w:hAnsi="宋体"/>
          <w:b/>
          <w:color w:val="auto"/>
          <w:sz w:val="24"/>
          <w:szCs w:val="24"/>
          <w:highlight w:val="none"/>
        </w:rPr>
        <w:t>（4）资格证明文件不全，或不满足磋商文件规定的供应商资质要求的；</w:t>
      </w:r>
    </w:p>
    <w:p w14:paraId="6D831214">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5.6.1磋商小组只对已判定为实质性响应且通过初步审查的磋商响应文件进行详细评价和比较。</w:t>
      </w:r>
    </w:p>
    <w:p w14:paraId="51688B0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5.6.2磋商小组所有成员应当集中与单一投标人分别进行磋商，并给予所有参加磋商的投标人平等的磋商机会。磋商完成后，要求其在规定时间内提交最后报价，提交最后报价的投标人可以为两家。</w:t>
      </w:r>
    </w:p>
    <w:p w14:paraId="6790DC42">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5.6.3经磋商确定最终工程需求和提交最后报价的投标人后，磋商小组采用综合评分法对提交最后报价的投标人的磋商响应文件和最后报价进行综合评分。</w:t>
      </w:r>
    </w:p>
    <w:p w14:paraId="687F9E1D">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5.6.4磋商小组根据综合评分情况，按评审得分由高到低的顺序确定成交候选人，并编写评审报告。评审得分相同的，按照最后报价由低到高的顺序确定，评审得分且最后报价相同的，按照技术指标优劣顺序确定成交候选人。评审报告由磋商小组全体人员签字。磋商小组成员对评审报告有异议的，磋商小组按照少数服从多数的原则推荐成交候选人，磋商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59129DD2">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5.6.5如果第一名投标人放弃成交资格或因不可抗力提出不能履行合同、竞争性磋商文件规定应当提交履约担保而在规定的期限内未能提交的，或者被查实存在影响成交结果的违法行为等情形、不符合成交条件的，采购人可以按照磋商小组提出的成交候选人名单排序依次确定其他成交候选人为成交供应商，也可以重新开展采购活动。</w:t>
      </w:r>
    </w:p>
    <w:bookmarkEnd w:id="347"/>
    <w:bookmarkEnd w:id="348"/>
    <w:bookmarkEnd w:id="349"/>
    <w:bookmarkEnd w:id="350"/>
    <w:bookmarkEnd w:id="351"/>
    <w:bookmarkEnd w:id="352"/>
    <w:bookmarkEnd w:id="353"/>
    <w:bookmarkEnd w:id="354"/>
    <w:p w14:paraId="687F916D">
      <w:pPr>
        <w:shd w:val="clear" w:color="auto" w:fill="auto"/>
        <w:spacing w:line="400" w:lineRule="exact"/>
        <w:ind w:firstLine="241" w:firstLineChars="100"/>
        <w:rPr>
          <w:rFonts w:hint="eastAsia" w:ascii="宋体" w:hAnsi="宋体" w:cs="宋体"/>
          <w:b/>
          <w:bCs/>
          <w:color w:val="auto"/>
          <w:sz w:val="24"/>
          <w:szCs w:val="24"/>
          <w:highlight w:val="none"/>
        </w:rPr>
      </w:pPr>
      <w:bookmarkStart w:id="355" w:name="_Toc246996953"/>
      <w:bookmarkStart w:id="356" w:name="_Toc152042342"/>
      <w:bookmarkStart w:id="357" w:name="_Toc144974534"/>
      <w:bookmarkStart w:id="358" w:name="_Toc246996210"/>
      <w:bookmarkStart w:id="359" w:name="_Toc179632584"/>
      <w:bookmarkStart w:id="360" w:name="_Toc296602455"/>
      <w:bookmarkStart w:id="361" w:name="_Toc152045566"/>
      <w:bookmarkStart w:id="362" w:name="_Toc247085724"/>
      <w:r>
        <w:rPr>
          <w:rFonts w:hint="eastAsia" w:ascii="宋体" w:hAnsi="宋体" w:cs="宋体"/>
          <w:b/>
          <w:bCs/>
          <w:color w:val="auto"/>
          <w:sz w:val="24"/>
          <w:szCs w:val="24"/>
          <w:highlight w:val="none"/>
        </w:rPr>
        <w:t>5.7确定成交人</w:t>
      </w:r>
    </w:p>
    <w:p w14:paraId="4E8EF224">
      <w:pPr>
        <w:shd w:val="clear" w:color="auto" w:fill="auto"/>
        <w:spacing w:line="400" w:lineRule="exact"/>
        <w:ind w:firstLine="410" w:firstLineChars="171"/>
        <w:rPr>
          <w:rFonts w:hint="eastAsia" w:ascii="宋体" w:hAnsi="宋体" w:cs="宋体"/>
          <w:color w:val="auto"/>
          <w:sz w:val="24"/>
          <w:szCs w:val="24"/>
          <w:highlight w:val="none"/>
        </w:rPr>
      </w:pPr>
      <w:r>
        <w:rPr>
          <w:rFonts w:hint="eastAsia" w:ascii="宋体" w:hAnsi="宋体" w:cs="宋体"/>
          <w:color w:val="auto"/>
          <w:sz w:val="24"/>
          <w:szCs w:val="24"/>
          <w:highlight w:val="none"/>
        </w:rPr>
        <w:t>磋商小组应当根据综合评分情况，按照评审有高到低的顺序推荐成交候选人，并编写评标报告。</w:t>
      </w:r>
    </w:p>
    <w:p w14:paraId="2FE49C3E">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63" w:name="_Toc77586848"/>
      <w:bookmarkStart w:id="364" w:name="_Toc11348"/>
      <w:bookmarkStart w:id="365" w:name="_Toc77586941"/>
      <w:bookmarkStart w:id="366" w:name="_Toc18074"/>
      <w:r>
        <w:rPr>
          <w:rFonts w:hint="eastAsia" w:ascii="宋体" w:hAnsi="宋体" w:cs="宋体"/>
          <w:b/>
          <w:bCs/>
          <w:color w:val="auto"/>
          <w:kern w:val="28"/>
          <w:sz w:val="24"/>
          <w:szCs w:val="24"/>
          <w:highlight w:val="none"/>
        </w:rPr>
        <w:t>6. 合同授予</w:t>
      </w:r>
      <w:bookmarkEnd w:id="355"/>
      <w:bookmarkEnd w:id="356"/>
      <w:bookmarkEnd w:id="357"/>
      <w:bookmarkEnd w:id="358"/>
      <w:bookmarkEnd w:id="359"/>
      <w:bookmarkEnd w:id="360"/>
      <w:bookmarkEnd w:id="361"/>
      <w:bookmarkEnd w:id="362"/>
      <w:bookmarkEnd w:id="363"/>
      <w:bookmarkEnd w:id="364"/>
      <w:bookmarkEnd w:id="365"/>
      <w:bookmarkEnd w:id="366"/>
    </w:p>
    <w:p w14:paraId="4B70549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67" w:name="_Toc77586942"/>
      <w:bookmarkStart w:id="368" w:name="_Toc247085725"/>
      <w:bookmarkStart w:id="369" w:name="_Toc2785"/>
      <w:bookmarkStart w:id="370" w:name="_Toc77586849"/>
      <w:bookmarkStart w:id="371" w:name="_Toc246996211"/>
      <w:bookmarkStart w:id="372" w:name="_Toc144974535"/>
      <w:bookmarkStart w:id="373" w:name="_Toc246996954"/>
      <w:bookmarkStart w:id="374" w:name="_Toc152042343"/>
      <w:bookmarkStart w:id="375" w:name="_Toc179632585"/>
      <w:bookmarkStart w:id="376" w:name="_Toc152045567"/>
      <w:bookmarkStart w:id="377" w:name="_Toc296602456"/>
      <w:bookmarkStart w:id="378" w:name="_Toc14367"/>
      <w:r>
        <w:rPr>
          <w:rFonts w:hint="eastAsia" w:ascii="宋体" w:hAnsi="宋体" w:cs="宋体"/>
          <w:b/>
          <w:bCs/>
          <w:color w:val="auto"/>
          <w:kern w:val="28"/>
          <w:sz w:val="24"/>
          <w:szCs w:val="24"/>
          <w:highlight w:val="none"/>
        </w:rPr>
        <w:t>6.1 定标方式</w:t>
      </w:r>
      <w:bookmarkEnd w:id="367"/>
      <w:bookmarkEnd w:id="368"/>
      <w:bookmarkEnd w:id="369"/>
      <w:bookmarkEnd w:id="370"/>
      <w:bookmarkEnd w:id="371"/>
      <w:bookmarkEnd w:id="372"/>
      <w:bookmarkEnd w:id="373"/>
      <w:bookmarkEnd w:id="374"/>
      <w:bookmarkEnd w:id="375"/>
      <w:bookmarkEnd w:id="376"/>
      <w:bookmarkEnd w:id="377"/>
      <w:bookmarkEnd w:id="378"/>
    </w:p>
    <w:p w14:paraId="2D26B399">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招标人依据磋商小组推荐的成交候选人确定成交人。</w:t>
      </w:r>
    </w:p>
    <w:p w14:paraId="481AF915">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79" w:name="_Toc77586850"/>
      <w:bookmarkStart w:id="380" w:name="_Toc9322"/>
      <w:bookmarkStart w:id="381" w:name="_Toc23383"/>
      <w:bookmarkStart w:id="382" w:name="_Toc296602457"/>
      <w:bookmarkStart w:id="383" w:name="_Toc77586943"/>
      <w:r>
        <w:rPr>
          <w:rFonts w:hint="eastAsia" w:ascii="宋体" w:hAnsi="宋体" w:cs="宋体"/>
          <w:b/>
          <w:bCs/>
          <w:color w:val="auto"/>
          <w:kern w:val="28"/>
          <w:sz w:val="24"/>
          <w:szCs w:val="24"/>
          <w:highlight w:val="none"/>
        </w:rPr>
        <w:t>6.2 成交候选人公示</w:t>
      </w:r>
      <w:bookmarkEnd w:id="379"/>
      <w:bookmarkEnd w:id="380"/>
      <w:bookmarkEnd w:id="381"/>
      <w:bookmarkEnd w:id="382"/>
      <w:bookmarkEnd w:id="383"/>
    </w:p>
    <w:p w14:paraId="31525025">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招标人在投标人须知前附表规定的媒介公示成交候选人。</w:t>
      </w:r>
    </w:p>
    <w:p w14:paraId="015E716B">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84" w:name="_Toc152045568"/>
      <w:bookmarkStart w:id="385" w:name="_Toc152042344"/>
      <w:bookmarkStart w:id="386" w:name="_Toc144974536"/>
      <w:bookmarkStart w:id="387" w:name="_Toc4809"/>
      <w:bookmarkStart w:id="388" w:name="_Toc19436"/>
      <w:bookmarkStart w:id="389" w:name="_Toc179632586"/>
      <w:bookmarkStart w:id="390" w:name="_Toc246996955"/>
      <w:bookmarkStart w:id="391" w:name="_Toc296602458"/>
      <w:bookmarkStart w:id="392" w:name="_Toc77586851"/>
      <w:bookmarkStart w:id="393" w:name="_Toc246996212"/>
      <w:bookmarkStart w:id="394" w:name="_Toc247085726"/>
      <w:bookmarkStart w:id="395" w:name="_Toc77586944"/>
      <w:r>
        <w:rPr>
          <w:rFonts w:hint="eastAsia" w:ascii="宋体" w:hAnsi="宋体" w:cs="宋体"/>
          <w:b/>
          <w:bCs/>
          <w:color w:val="auto"/>
          <w:kern w:val="28"/>
          <w:sz w:val="24"/>
          <w:szCs w:val="24"/>
          <w:highlight w:val="none"/>
        </w:rPr>
        <w:t>6.3 成交通知</w:t>
      </w:r>
      <w:bookmarkEnd w:id="384"/>
      <w:bookmarkEnd w:id="385"/>
      <w:bookmarkEnd w:id="386"/>
      <w:bookmarkEnd w:id="387"/>
      <w:bookmarkEnd w:id="388"/>
      <w:bookmarkEnd w:id="389"/>
      <w:bookmarkEnd w:id="390"/>
      <w:bookmarkEnd w:id="391"/>
      <w:bookmarkEnd w:id="392"/>
      <w:bookmarkEnd w:id="393"/>
      <w:bookmarkEnd w:id="394"/>
      <w:bookmarkEnd w:id="395"/>
    </w:p>
    <w:p w14:paraId="2AECAB66">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在本章第3.3款规定的投标有效期内，招标人以书面形式向成交人发出成交通知书，同时将成交结果通知未成交的投标人。</w:t>
      </w:r>
    </w:p>
    <w:p w14:paraId="6512CB9F">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396" w:name="_Toc246996213"/>
      <w:bookmarkStart w:id="397" w:name="_Toc179632587"/>
      <w:bookmarkStart w:id="398" w:name="_Toc77586852"/>
      <w:bookmarkStart w:id="399" w:name="_Toc246996956"/>
      <w:bookmarkStart w:id="400" w:name="_Toc32258"/>
      <w:bookmarkStart w:id="401" w:name="_Toc247085727"/>
      <w:bookmarkStart w:id="402" w:name="_Toc152042345"/>
      <w:bookmarkStart w:id="403" w:name="_Toc144974537"/>
      <w:bookmarkStart w:id="404" w:name="_Toc152045569"/>
      <w:bookmarkStart w:id="405" w:name="_Toc296602459"/>
      <w:bookmarkStart w:id="406" w:name="_Toc77586945"/>
      <w:bookmarkStart w:id="407" w:name="_Toc12244"/>
      <w:r>
        <w:rPr>
          <w:rFonts w:hint="eastAsia" w:ascii="宋体" w:hAnsi="宋体" w:cs="宋体"/>
          <w:b/>
          <w:bCs/>
          <w:color w:val="auto"/>
          <w:kern w:val="28"/>
          <w:sz w:val="24"/>
          <w:szCs w:val="24"/>
          <w:highlight w:val="none"/>
        </w:rPr>
        <w:t>6.4 履约、支付担保</w:t>
      </w:r>
      <w:bookmarkEnd w:id="396"/>
      <w:bookmarkEnd w:id="397"/>
      <w:bookmarkEnd w:id="398"/>
      <w:bookmarkEnd w:id="399"/>
      <w:bookmarkEnd w:id="400"/>
      <w:bookmarkEnd w:id="401"/>
      <w:bookmarkEnd w:id="402"/>
      <w:bookmarkEnd w:id="403"/>
      <w:bookmarkEnd w:id="404"/>
      <w:bookmarkEnd w:id="405"/>
      <w:bookmarkEnd w:id="406"/>
      <w:bookmarkEnd w:id="407"/>
    </w:p>
    <w:p w14:paraId="3266C0B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6.4.1履约担保金额：见投标人须知前附表，与前附表一致。</w:t>
      </w:r>
    </w:p>
    <w:p w14:paraId="58BAF701">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6.4.2招标人支付担保的提交与释放程序：见投标人须知前附表，与前附表一致。</w:t>
      </w:r>
    </w:p>
    <w:p w14:paraId="7F452C8A">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6.4.3 成交人不能按投标人须知前附表第6.4.1项要求提交履约担保的，视为放弃成交，给招标人造成的损失应当予以赔偿。</w:t>
      </w:r>
    </w:p>
    <w:p w14:paraId="4587FEA1">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08" w:name="_Toc179632588"/>
      <w:bookmarkStart w:id="409" w:name="_Toc77586853"/>
      <w:bookmarkStart w:id="410" w:name="_Toc152042346"/>
      <w:bookmarkStart w:id="411" w:name="_Toc296602460"/>
      <w:bookmarkStart w:id="412" w:name="_Toc246996214"/>
      <w:bookmarkStart w:id="413" w:name="_Toc247085728"/>
      <w:bookmarkStart w:id="414" w:name="_Toc144974538"/>
      <w:bookmarkStart w:id="415" w:name="_Toc7968"/>
      <w:bookmarkStart w:id="416" w:name="_Toc246996957"/>
      <w:bookmarkStart w:id="417" w:name="_Toc23166"/>
      <w:bookmarkStart w:id="418" w:name="_Toc152045570"/>
      <w:bookmarkStart w:id="419" w:name="_Toc77586946"/>
      <w:r>
        <w:rPr>
          <w:rFonts w:hint="eastAsia" w:ascii="宋体" w:hAnsi="宋体" w:cs="宋体"/>
          <w:b/>
          <w:bCs/>
          <w:color w:val="auto"/>
          <w:kern w:val="28"/>
          <w:sz w:val="24"/>
          <w:szCs w:val="24"/>
          <w:highlight w:val="none"/>
        </w:rPr>
        <w:t>6.5 签订合同</w:t>
      </w:r>
      <w:bookmarkEnd w:id="408"/>
      <w:bookmarkEnd w:id="409"/>
      <w:bookmarkEnd w:id="410"/>
      <w:bookmarkEnd w:id="411"/>
      <w:bookmarkEnd w:id="412"/>
      <w:bookmarkEnd w:id="413"/>
      <w:bookmarkEnd w:id="414"/>
      <w:bookmarkEnd w:id="415"/>
      <w:bookmarkEnd w:id="416"/>
      <w:bookmarkEnd w:id="417"/>
      <w:bookmarkEnd w:id="418"/>
      <w:bookmarkEnd w:id="419"/>
    </w:p>
    <w:p w14:paraId="328C39F2">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6.5.1招标人和成交人应当自成交通知书发出之日起30天内，根据竞争性磋商文件和成交人的磋商响应文件订立书面合同。成交人无正当理由拒签合同的，招标人取消其成交资格，给招标人造成的损失应当予以赔偿。</w:t>
      </w:r>
    </w:p>
    <w:p w14:paraId="7A8C8DAF">
      <w:pPr>
        <w:widowControl/>
        <w:shd w:val="clear" w:color="auto" w:fill="auto"/>
        <w:suppressAutoHyphens/>
        <w:adjustRightInd w:val="0"/>
        <w:spacing w:line="400" w:lineRule="exact"/>
        <w:ind w:firstLine="241" w:firstLineChars="100"/>
        <w:jc w:val="left"/>
        <w:outlineLvl w:val="1"/>
        <w:rPr>
          <w:rFonts w:hint="eastAsia" w:ascii="宋体" w:hAnsi="宋体" w:eastAsia="宋体" w:cs="宋体"/>
          <w:b/>
          <w:bCs/>
          <w:color w:val="auto"/>
          <w:kern w:val="28"/>
          <w:sz w:val="24"/>
          <w:szCs w:val="24"/>
          <w:highlight w:val="none"/>
          <w:lang w:val="en-US" w:eastAsia="zh-CN"/>
        </w:rPr>
      </w:pPr>
      <w:bookmarkStart w:id="420" w:name="_Toc16918"/>
      <w:r>
        <w:rPr>
          <w:rFonts w:hint="eastAsia" w:ascii="宋体" w:hAnsi="宋体" w:eastAsia="宋体" w:cs="宋体"/>
          <w:b/>
          <w:bCs/>
          <w:color w:val="auto"/>
          <w:kern w:val="28"/>
          <w:sz w:val="24"/>
          <w:szCs w:val="24"/>
          <w:highlight w:val="none"/>
          <w:lang w:val="en-US" w:eastAsia="zh-CN"/>
        </w:rPr>
        <w:t>6.6合同补充变更</w:t>
      </w:r>
      <w:bookmarkEnd w:id="420"/>
    </w:p>
    <w:p w14:paraId="20BD32F6">
      <w:pPr>
        <w:shd w:val="clear" w:color="auto" w:fill="auto"/>
        <w:spacing w:line="400" w:lineRule="exact"/>
        <w:ind w:firstLine="480" w:firstLineChars="200"/>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6.6</w:t>
      </w:r>
      <w:r>
        <w:rPr>
          <w:rFonts w:ascii="宋体" w:hAnsi="宋体" w:eastAsia="宋体" w:cs="宋体"/>
          <w:color w:val="auto"/>
          <w:sz w:val="24"/>
          <w:szCs w:val="24"/>
          <w:highlight w:val="none"/>
        </w:rPr>
        <w:t xml:space="preserve">.1 政府采购合同履行中，采购人需追加或减少与合同标的相同的货物、工程和服务的（即追加或减少原合同标的数量），在不改变合同条款（包括原合同单价）的前提下，双方可以协商签订补充合同，但所有补充合同总金额不得超过原合同采购金额的10%，不得调增原合同单价，不得超出项目预算，超过原合同采购金额的10%，应重新组织采购活动。 </w:t>
      </w:r>
    </w:p>
    <w:p w14:paraId="7D718065">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21" w:name="_Toc12628"/>
      <w:bookmarkStart w:id="422" w:name="_Toc296602461"/>
      <w:bookmarkStart w:id="423" w:name="_Toc246"/>
      <w:bookmarkStart w:id="424" w:name="_Toc77586854"/>
      <w:bookmarkStart w:id="425" w:name="_Toc77586947"/>
      <w:r>
        <w:rPr>
          <w:rFonts w:hint="eastAsia" w:ascii="宋体" w:hAnsi="宋体" w:cs="宋体"/>
          <w:b/>
          <w:bCs/>
          <w:color w:val="auto"/>
          <w:kern w:val="28"/>
          <w:sz w:val="24"/>
          <w:szCs w:val="24"/>
          <w:highlight w:val="none"/>
        </w:rPr>
        <w:t>7. 纪律和监督</w:t>
      </w:r>
      <w:bookmarkEnd w:id="421"/>
      <w:bookmarkEnd w:id="422"/>
      <w:bookmarkEnd w:id="423"/>
      <w:bookmarkEnd w:id="424"/>
      <w:bookmarkEnd w:id="425"/>
    </w:p>
    <w:p w14:paraId="27744029">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26" w:name="_Toc3882"/>
      <w:bookmarkStart w:id="427" w:name="_Toc296602462"/>
      <w:bookmarkStart w:id="428" w:name="_Toc296590983"/>
      <w:bookmarkStart w:id="429" w:name="_Toc13637"/>
      <w:bookmarkStart w:id="430" w:name="_Toc144974543"/>
      <w:bookmarkStart w:id="431" w:name="_Toc246996962"/>
      <w:bookmarkStart w:id="432" w:name="_Toc152045575"/>
      <w:bookmarkStart w:id="433" w:name="_Toc152042351"/>
      <w:bookmarkStart w:id="434" w:name="_Toc246996219"/>
      <w:bookmarkStart w:id="435" w:name="_Toc247085733"/>
      <w:bookmarkStart w:id="436" w:name="_Toc77586855"/>
      <w:bookmarkStart w:id="437" w:name="_Toc179632593"/>
      <w:bookmarkStart w:id="438" w:name="_Toc77586948"/>
      <w:r>
        <w:rPr>
          <w:rFonts w:hint="eastAsia" w:ascii="宋体" w:hAnsi="宋体" w:cs="宋体"/>
          <w:b/>
          <w:bCs/>
          <w:color w:val="auto"/>
          <w:kern w:val="28"/>
          <w:sz w:val="24"/>
          <w:szCs w:val="24"/>
          <w:highlight w:val="none"/>
        </w:rPr>
        <w:t>7.1 对招标人的纪律要求</w:t>
      </w:r>
      <w:bookmarkEnd w:id="426"/>
      <w:bookmarkEnd w:id="427"/>
      <w:bookmarkEnd w:id="428"/>
      <w:bookmarkEnd w:id="429"/>
      <w:bookmarkEnd w:id="430"/>
      <w:bookmarkEnd w:id="431"/>
      <w:bookmarkEnd w:id="432"/>
      <w:bookmarkEnd w:id="433"/>
      <w:bookmarkEnd w:id="434"/>
      <w:bookmarkEnd w:id="435"/>
      <w:bookmarkEnd w:id="436"/>
      <w:bookmarkEnd w:id="437"/>
      <w:bookmarkEnd w:id="438"/>
    </w:p>
    <w:p w14:paraId="341E98A7">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招标人不得泄漏招标投标活动中应当保密的情况和资料，不得与投标人串通损害国家利益、社会公共利益或者他人合法权益。</w:t>
      </w:r>
    </w:p>
    <w:p w14:paraId="6130F8EF">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39" w:name="_Toc77586856"/>
      <w:bookmarkStart w:id="440" w:name="_Toc144974544"/>
      <w:bookmarkStart w:id="441" w:name="_Toc15672"/>
      <w:bookmarkStart w:id="442" w:name="_Toc246996963"/>
      <w:bookmarkStart w:id="443" w:name="_Toc152045576"/>
      <w:bookmarkStart w:id="444" w:name="_Toc13655"/>
      <w:bookmarkStart w:id="445" w:name="_Toc246996220"/>
      <w:bookmarkStart w:id="446" w:name="_Toc247085734"/>
      <w:bookmarkStart w:id="447" w:name="_Toc296602463"/>
      <w:bookmarkStart w:id="448" w:name="_Toc77586949"/>
      <w:bookmarkStart w:id="449" w:name="_Toc179632594"/>
      <w:bookmarkStart w:id="450" w:name="_Toc152042352"/>
      <w:r>
        <w:rPr>
          <w:rFonts w:hint="eastAsia" w:ascii="宋体" w:hAnsi="宋体" w:cs="宋体"/>
          <w:b/>
          <w:bCs/>
          <w:color w:val="auto"/>
          <w:kern w:val="28"/>
          <w:sz w:val="24"/>
          <w:szCs w:val="24"/>
          <w:highlight w:val="none"/>
        </w:rPr>
        <w:t>7.2 对投标人的纪律要求</w:t>
      </w:r>
      <w:bookmarkEnd w:id="439"/>
      <w:bookmarkEnd w:id="440"/>
      <w:bookmarkEnd w:id="441"/>
      <w:bookmarkEnd w:id="442"/>
      <w:bookmarkEnd w:id="443"/>
      <w:bookmarkEnd w:id="444"/>
      <w:bookmarkEnd w:id="445"/>
      <w:bookmarkEnd w:id="446"/>
      <w:bookmarkEnd w:id="447"/>
      <w:bookmarkEnd w:id="448"/>
      <w:bookmarkEnd w:id="449"/>
      <w:bookmarkEnd w:id="450"/>
    </w:p>
    <w:p w14:paraId="7F3E8114">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投标人不得相互串通投标或者与招标人串通投标，不得向招标人或者磋商小组成员行贿谋取成交，不得以他人名义投标或者以其他方式弄虚作假骗取成交；投标人不得以任何方式干扰、影响评标工作。</w:t>
      </w:r>
    </w:p>
    <w:p w14:paraId="692F0795">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51" w:name="_Toc77586950"/>
      <w:bookmarkStart w:id="452" w:name="_Toc296602464"/>
      <w:bookmarkStart w:id="453" w:name="_Toc246996221"/>
      <w:bookmarkStart w:id="454" w:name="_Toc179632595"/>
      <w:bookmarkStart w:id="455" w:name="_Toc152042353"/>
      <w:bookmarkStart w:id="456" w:name="_Toc77586857"/>
      <w:bookmarkStart w:id="457" w:name="_Toc247085735"/>
      <w:bookmarkStart w:id="458" w:name="_Toc144974545"/>
      <w:bookmarkStart w:id="459" w:name="_Toc152045577"/>
      <w:bookmarkStart w:id="460" w:name="_Toc19260"/>
      <w:bookmarkStart w:id="461" w:name="_Toc246996964"/>
      <w:bookmarkStart w:id="462" w:name="_Toc7766"/>
      <w:r>
        <w:rPr>
          <w:rFonts w:hint="eastAsia" w:ascii="宋体" w:hAnsi="宋体" w:cs="宋体"/>
          <w:b/>
          <w:bCs/>
          <w:color w:val="auto"/>
          <w:kern w:val="28"/>
          <w:sz w:val="24"/>
          <w:szCs w:val="24"/>
          <w:highlight w:val="none"/>
        </w:rPr>
        <w:t>7.3 对磋商小组成员的纪律要求</w:t>
      </w:r>
      <w:bookmarkEnd w:id="451"/>
      <w:bookmarkEnd w:id="452"/>
      <w:bookmarkEnd w:id="453"/>
      <w:bookmarkEnd w:id="454"/>
      <w:bookmarkEnd w:id="455"/>
      <w:bookmarkEnd w:id="456"/>
      <w:bookmarkEnd w:id="457"/>
      <w:bookmarkEnd w:id="458"/>
      <w:bookmarkEnd w:id="459"/>
      <w:bookmarkEnd w:id="460"/>
      <w:bookmarkEnd w:id="461"/>
      <w:bookmarkEnd w:id="462"/>
    </w:p>
    <w:p w14:paraId="067CB993">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磋商小组成员不得收受他人的财物或者其他好处，不得向他人透漏对磋商响应文件的评审和比较、成交候选人的推荐情况以及评标有关的其他情况。在评标活动中，磋商小组成员应当客观、公正地履行职责，遵守职业道德，不得擅离职守，影响评标程序正常进行，不得使用第三章“评标办法”没有规定的评审因素和标准进行评标。</w:t>
      </w:r>
    </w:p>
    <w:p w14:paraId="1B11A486">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63" w:name="_Toc179632596"/>
      <w:bookmarkStart w:id="464" w:name="_Toc77586858"/>
      <w:bookmarkStart w:id="465" w:name="_Toc23478"/>
      <w:bookmarkStart w:id="466" w:name="_Toc247085736"/>
      <w:bookmarkStart w:id="467" w:name="_Toc28168"/>
      <w:bookmarkStart w:id="468" w:name="_Toc246996222"/>
      <w:bookmarkStart w:id="469" w:name="_Toc246996965"/>
      <w:bookmarkStart w:id="470" w:name="_Toc77586951"/>
      <w:bookmarkStart w:id="471" w:name="_Toc152042354"/>
      <w:bookmarkStart w:id="472" w:name="_Toc152045578"/>
      <w:bookmarkStart w:id="473" w:name="_Toc296602465"/>
      <w:bookmarkStart w:id="474" w:name="_Toc144974546"/>
      <w:r>
        <w:rPr>
          <w:rFonts w:hint="eastAsia" w:ascii="宋体" w:hAnsi="宋体" w:cs="宋体"/>
          <w:b/>
          <w:bCs/>
          <w:color w:val="auto"/>
          <w:kern w:val="28"/>
          <w:sz w:val="24"/>
          <w:szCs w:val="24"/>
          <w:highlight w:val="none"/>
        </w:rPr>
        <w:t>7.4 对与评标活动有关的工作人员的纪律要求</w:t>
      </w:r>
      <w:bookmarkEnd w:id="463"/>
      <w:bookmarkEnd w:id="464"/>
      <w:bookmarkEnd w:id="465"/>
      <w:bookmarkEnd w:id="466"/>
      <w:bookmarkEnd w:id="467"/>
      <w:bookmarkEnd w:id="468"/>
      <w:bookmarkEnd w:id="469"/>
      <w:bookmarkEnd w:id="470"/>
      <w:bookmarkEnd w:id="471"/>
      <w:bookmarkEnd w:id="472"/>
      <w:bookmarkEnd w:id="473"/>
    </w:p>
    <w:p w14:paraId="76BEFFCD">
      <w:pPr>
        <w:shd w:val="clear" w:color="auto" w:fill="auto"/>
        <w:spacing w:line="400" w:lineRule="exact"/>
        <w:ind w:firstLine="480" w:firstLineChars="200"/>
        <w:rPr>
          <w:rFonts w:hint="eastAsia" w:ascii="宋体" w:hAnsi="宋体" w:cs="宋体"/>
          <w:color w:val="auto"/>
          <w:sz w:val="24"/>
          <w:szCs w:val="24"/>
          <w:highlight w:val="none"/>
        </w:rPr>
      </w:pPr>
      <w:bookmarkStart w:id="475" w:name="_Toc152042355"/>
      <w:r>
        <w:rPr>
          <w:rFonts w:hint="eastAsia" w:ascii="宋体" w:hAnsi="宋体" w:cs="宋体"/>
          <w:color w:val="auto"/>
          <w:sz w:val="24"/>
          <w:szCs w:val="24"/>
          <w:highlight w:val="none"/>
        </w:rPr>
        <w:t>与评标活动有关的工作人员不得收受他人的财物或者其他好处，不得向他人透漏对磋商响应文件的评审和比较、成交候选人的推荐情况以及评标有关的其他情况。在评标活动中，与评标活动有关的工作人员不得擅离职守，影响评标程序正常进行。</w:t>
      </w:r>
      <w:bookmarkEnd w:id="475"/>
    </w:p>
    <w:p w14:paraId="5C16550A">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76" w:name="_Toc296602466"/>
      <w:bookmarkStart w:id="477" w:name="_Toc22957"/>
      <w:bookmarkStart w:id="478" w:name="_Toc9161"/>
      <w:bookmarkStart w:id="479" w:name="_Toc247085737"/>
      <w:bookmarkStart w:id="480" w:name="_Toc77586859"/>
      <w:bookmarkStart w:id="481" w:name="_Toc152042356"/>
      <w:bookmarkStart w:id="482" w:name="_Toc179632597"/>
      <w:bookmarkStart w:id="483" w:name="_Toc77586952"/>
      <w:bookmarkStart w:id="484" w:name="_Toc246996223"/>
      <w:bookmarkStart w:id="485" w:name="_Toc152045579"/>
      <w:bookmarkStart w:id="486" w:name="_Toc246996966"/>
      <w:r>
        <w:rPr>
          <w:rFonts w:hint="eastAsia" w:ascii="宋体" w:hAnsi="宋体" w:cs="宋体"/>
          <w:b/>
          <w:bCs/>
          <w:color w:val="auto"/>
          <w:kern w:val="28"/>
          <w:sz w:val="24"/>
          <w:szCs w:val="24"/>
          <w:highlight w:val="none"/>
        </w:rPr>
        <w:t>7.5 投诉</w:t>
      </w:r>
      <w:bookmarkEnd w:id="474"/>
      <w:bookmarkEnd w:id="476"/>
      <w:bookmarkEnd w:id="477"/>
      <w:bookmarkEnd w:id="478"/>
      <w:bookmarkEnd w:id="479"/>
      <w:bookmarkEnd w:id="480"/>
      <w:bookmarkEnd w:id="481"/>
      <w:bookmarkEnd w:id="482"/>
      <w:bookmarkEnd w:id="483"/>
      <w:bookmarkEnd w:id="484"/>
      <w:bookmarkEnd w:id="485"/>
      <w:bookmarkEnd w:id="486"/>
    </w:p>
    <w:p w14:paraId="5FFC57F2">
      <w:pPr>
        <w:shd w:val="clear" w:color="auto" w:fill="auto"/>
        <w:spacing w:line="400" w:lineRule="exact"/>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投标人和其他利害关系人认为本次招标活动违反法律、法规和规章规定的，有权向有关行政监督部门投诉。</w:t>
      </w:r>
    </w:p>
    <w:p w14:paraId="1FB4F5AC">
      <w:pPr>
        <w:widowControl/>
        <w:numPr>
          <w:ilvl w:val="0"/>
          <w:numId w:val="5"/>
        </w:numPr>
        <w:shd w:val="clear" w:color="auto" w:fill="auto"/>
        <w:suppressAutoHyphens/>
        <w:adjustRightInd w:val="0"/>
        <w:spacing w:line="400" w:lineRule="exact"/>
        <w:ind w:firstLine="241" w:firstLineChars="100"/>
        <w:jc w:val="left"/>
        <w:outlineLvl w:val="1"/>
        <w:rPr>
          <w:rFonts w:hint="default" w:ascii="宋体" w:hAnsi="宋体" w:eastAsia="宋体" w:cs="宋体"/>
          <w:b/>
          <w:bCs/>
          <w:color w:val="auto"/>
          <w:kern w:val="28"/>
          <w:sz w:val="24"/>
          <w:szCs w:val="24"/>
          <w:highlight w:val="none"/>
          <w:lang w:val="en-US" w:eastAsia="zh-CN"/>
        </w:rPr>
      </w:pPr>
      <w:bookmarkStart w:id="487" w:name="_Toc8181"/>
      <w:bookmarkStart w:id="488" w:name="_Toc246996224"/>
      <w:bookmarkStart w:id="489" w:name="_Toc152042357"/>
      <w:bookmarkStart w:id="490" w:name="_Toc179632598"/>
      <w:bookmarkStart w:id="491" w:name="_Toc77586860"/>
      <w:bookmarkStart w:id="492" w:name="_Toc247085738"/>
      <w:bookmarkStart w:id="493" w:name="_Toc77586953"/>
      <w:bookmarkStart w:id="494" w:name="_Toc296602467"/>
      <w:bookmarkStart w:id="495" w:name="_Toc144974547"/>
      <w:bookmarkStart w:id="496" w:name="_Toc246996967"/>
      <w:bookmarkStart w:id="497" w:name="_Toc23049"/>
      <w:bookmarkStart w:id="498" w:name="_Toc152045580"/>
      <w:r>
        <w:rPr>
          <w:rFonts w:hint="eastAsia" w:ascii="宋体" w:hAnsi="宋体" w:eastAsia="宋体" w:cs="宋体"/>
          <w:b/>
          <w:bCs/>
          <w:color w:val="auto"/>
          <w:kern w:val="28"/>
          <w:sz w:val="24"/>
          <w:szCs w:val="24"/>
          <w:highlight w:val="none"/>
        </w:rPr>
        <w:t>验收</w:t>
      </w:r>
      <w:bookmarkEnd w:id="487"/>
    </w:p>
    <w:p w14:paraId="26DC8D37">
      <w:pPr>
        <w:numPr>
          <w:ilvl w:val="1"/>
          <w:numId w:val="5"/>
        </w:numPr>
        <w:shd w:val="clear" w:color="auto" w:fill="auto"/>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验收时间：</w:t>
      </w:r>
      <w:r>
        <w:rPr>
          <w:rFonts w:hint="eastAsia" w:ascii="宋体" w:hAnsi="宋体" w:eastAsia="宋体" w:cs="宋体"/>
          <w:color w:val="auto"/>
          <w:sz w:val="24"/>
          <w:szCs w:val="24"/>
          <w:highlight w:val="none"/>
        </w:rPr>
        <w:t>项目完工达到验收条件时，由采购人成立验收工作组负责验收。技术复杂、社会影响较大的货物类项目，可以根据需要设置出厂检验、到货检验、安装调试检验、配套服务检验等多重验收环节；服务类项目，可根据项目特点对工期内的服务实施情况进行分期考核，结合考核情况和服务效果进行验收。</w:t>
      </w:r>
    </w:p>
    <w:p w14:paraId="275901B2">
      <w:pPr>
        <w:numPr>
          <w:ilvl w:val="1"/>
          <w:numId w:val="5"/>
        </w:numPr>
        <w:shd w:val="clear" w:color="auto" w:fill="auto"/>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验收工作组：</w:t>
      </w:r>
      <w:r>
        <w:rPr>
          <w:rFonts w:hint="eastAsia" w:ascii="宋体" w:hAnsi="宋体" w:eastAsia="宋体" w:cs="宋体"/>
          <w:color w:val="auto"/>
          <w:sz w:val="24"/>
          <w:szCs w:val="24"/>
          <w:highlight w:val="none"/>
        </w:rPr>
        <w:t>合同履约验收工作应成立验收工作组专门负责。直接参与该项目政府采购活动的主要负责人不得作为验收工作的主要负责人。对于采购人和使用人分离的采购项目，应当邀请实际使用人参与验收；政府向社会公众提供的公共服务项目，验收时应当邀请服务对象参与并出具意见，验收结果应当向社会公告。</w:t>
      </w:r>
    </w:p>
    <w:p w14:paraId="5672F33E">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政府采购合同金额在 10 万元以下（含 10 万元）的项目，原则上可以不邀请评审专家参加，组织方成立验收小组自行验收。自行验收时，验收小组应仔细对照磋商文件及合同，对标的物的数量、质量、规格、型号等参数逐一核对，并编制验收报告。组织方认为不能独立完成验收任务的，可以邀请评审专家参与验收。</w:t>
      </w:r>
    </w:p>
    <w:p w14:paraId="7F558CF6">
      <w:pPr>
        <w:shd w:val="clear" w:color="auto" w:fill="auto"/>
        <w:spacing w:line="400" w:lineRule="exact"/>
        <w:ind w:firstLine="480"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政府采购合同金额 50 万元以下的（含 50 万元）的项目，验收工作组应不少于三人；政府采购合同金额 50 万元以上的项目，验收工作组应由采购人领导牵头，财务、审计、监察、资产管理、技术等部门人员参与，成员不少于五人。验收工作原则上应当邀请采购评审专家参加验收；大型、复杂或者技术性很强的政府采购项目，应当邀请国家认可的质量检测机构参加验收工作；国家规定强制性检测的采购项目，采购人必须委托国家认可专业检测机构进行验收。 </w:t>
      </w:r>
    </w:p>
    <w:p w14:paraId="0B8E0A54">
      <w:pPr>
        <w:shd w:val="clear" w:color="auto" w:fill="auto"/>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8.3 </w:t>
      </w:r>
      <w:r>
        <w:rPr>
          <w:rFonts w:hint="eastAsia" w:ascii="宋体" w:hAnsi="宋体" w:eastAsia="宋体" w:cs="宋体"/>
          <w:b/>
          <w:bCs/>
          <w:color w:val="auto"/>
          <w:sz w:val="24"/>
          <w:szCs w:val="24"/>
          <w:highlight w:val="none"/>
        </w:rPr>
        <w:t>验收时</w:t>
      </w:r>
      <w:r>
        <w:rPr>
          <w:rFonts w:hint="eastAsia" w:ascii="宋体" w:hAnsi="宋体" w:eastAsia="宋体" w:cs="宋体"/>
          <w:color w:val="auto"/>
          <w:sz w:val="24"/>
          <w:szCs w:val="24"/>
          <w:highlight w:val="none"/>
        </w:rPr>
        <w:t>，验收小组按照采购合同的约定对每一项技术、服务、安全标准的履约情况进行确认。验收时需要进行破坏性试验的，供应商应进行充分的配合并提供备品备件。工程质量必须达到对应专业现行的国家（行业）的技术标准、规范且符合相关环保要求。</w:t>
      </w:r>
    </w:p>
    <w:p w14:paraId="6D479047">
      <w:pPr>
        <w:shd w:val="clear" w:color="auto" w:fill="auto"/>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8.4 </w:t>
      </w:r>
      <w:r>
        <w:rPr>
          <w:rFonts w:hint="eastAsia" w:ascii="宋体" w:hAnsi="宋体" w:eastAsia="宋体" w:cs="宋体"/>
          <w:b/>
          <w:bCs/>
          <w:color w:val="auto"/>
          <w:sz w:val="24"/>
          <w:szCs w:val="24"/>
          <w:highlight w:val="none"/>
        </w:rPr>
        <w:t>验收报告：</w:t>
      </w:r>
      <w:r>
        <w:rPr>
          <w:rFonts w:hint="eastAsia" w:ascii="宋体" w:hAnsi="宋体" w:eastAsia="宋体" w:cs="宋体"/>
          <w:color w:val="auto"/>
          <w:sz w:val="24"/>
          <w:szCs w:val="24"/>
          <w:highlight w:val="none"/>
        </w:rPr>
        <w:t>验收后，由采购人及专家等出具验收报告（自行验收的，由采购人出具），国家规定强制性检测的采购项目应附国家认可的专业检测机构出具的验收报告。</w:t>
      </w:r>
    </w:p>
    <w:p w14:paraId="5934BC6D">
      <w:pPr>
        <w:shd w:val="clear" w:color="auto" w:fill="auto"/>
        <w:spacing w:line="400" w:lineRule="exact"/>
        <w:ind w:firstLine="482" w:firstLineChars="200"/>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lang w:val="en-US" w:eastAsia="zh-CN"/>
        </w:rPr>
        <w:t xml:space="preserve">8.5 </w:t>
      </w:r>
      <w:r>
        <w:rPr>
          <w:rFonts w:hint="eastAsia" w:ascii="宋体" w:hAnsi="宋体" w:eastAsia="宋体" w:cs="宋体"/>
          <w:color w:val="auto"/>
          <w:sz w:val="24"/>
          <w:szCs w:val="24"/>
          <w:highlight w:val="none"/>
        </w:rPr>
        <w:t>验收中发现成交供应商未按合同约定的时间、地点或方式履约，提供的货物或服务的数量、质量、性能、功能达不到合同约定的，或者提供假冒伪劣产品等违反合同约定的，验收人员应在验收报告中注明违约情形和事项，并应及时通知财政部门。属假冒伪劣产品的，同时向工商管理、质量监督等行政执法部门举报。</w:t>
      </w:r>
    </w:p>
    <w:p w14:paraId="7B60FEA0">
      <w:pPr>
        <w:shd w:val="clear" w:color="auto" w:fill="auto"/>
        <w:spacing w:line="400" w:lineRule="exact"/>
        <w:ind w:firstLine="482" w:firstLineChars="200"/>
        <w:rPr>
          <w:rFonts w:hint="default" w:ascii="宋体" w:hAnsi="宋体" w:eastAsia="宋体" w:cs="宋体"/>
          <w:color w:val="auto"/>
          <w:sz w:val="24"/>
          <w:szCs w:val="24"/>
          <w:highlight w:val="none"/>
          <w:lang w:val="en-US" w:eastAsia="zh-CN"/>
        </w:rPr>
      </w:pPr>
      <w:r>
        <w:rPr>
          <w:rFonts w:hint="eastAsia" w:ascii="宋体" w:hAnsi="宋体" w:eastAsia="宋体" w:cs="宋体"/>
          <w:b/>
          <w:bCs/>
          <w:color w:val="auto"/>
          <w:sz w:val="24"/>
          <w:szCs w:val="24"/>
          <w:highlight w:val="none"/>
        </w:rPr>
        <w:t>8.6 验收公告的时限：</w:t>
      </w:r>
      <w:r>
        <w:rPr>
          <w:rFonts w:hint="eastAsia" w:ascii="宋体" w:hAnsi="宋体" w:eastAsia="宋体" w:cs="宋体"/>
          <w:color w:val="auto"/>
          <w:sz w:val="24"/>
          <w:szCs w:val="24"/>
          <w:highlight w:val="none"/>
        </w:rPr>
        <w:t>采购人要在政府采购项目验收完成后1个工作日内登陆</w:t>
      </w:r>
      <w:r>
        <w:rPr>
          <w:rFonts w:hint="eastAsia" w:ascii="宋体" w:hAnsi="宋体" w:eastAsia="宋体" w:cs="宋体"/>
          <w:color w:val="auto"/>
          <w:sz w:val="24"/>
          <w:szCs w:val="24"/>
          <w:highlight w:val="none"/>
          <w:lang w:eastAsia="zh-CN"/>
        </w:rPr>
        <w:t>三门峡市</w:t>
      </w:r>
      <w:r>
        <w:rPr>
          <w:rFonts w:hint="eastAsia" w:ascii="宋体" w:hAnsi="宋体" w:eastAsia="宋体" w:cs="宋体"/>
          <w:color w:val="auto"/>
          <w:sz w:val="24"/>
          <w:szCs w:val="24"/>
          <w:highlight w:val="none"/>
        </w:rPr>
        <w:t>政府采购网进行验收公告。</w:t>
      </w:r>
    </w:p>
    <w:p w14:paraId="4273D9D3">
      <w:pPr>
        <w:widowControl/>
        <w:shd w:val="clear" w:color="auto" w:fill="auto"/>
        <w:suppressAutoHyphens/>
        <w:adjustRightInd w:val="0"/>
        <w:spacing w:line="400" w:lineRule="exact"/>
        <w:ind w:firstLine="241" w:firstLineChars="100"/>
        <w:jc w:val="left"/>
        <w:outlineLvl w:val="1"/>
        <w:rPr>
          <w:rFonts w:hint="eastAsia" w:ascii="宋体" w:hAnsi="宋体" w:cs="宋体"/>
          <w:b/>
          <w:bCs/>
          <w:color w:val="auto"/>
          <w:kern w:val="28"/>
          <w:sz w:val="24"/>
          <w:szCs w:val="24"/>
          <w:highlight w:val="none"/>
        </w:rPr>
      </w:pPr>
      <w:bookmarkStart w:id="499" w:name="_Toc9538"/>
      <w:r>
        <w:rPr>
          <w:rFonts w:hint="eastAsia" w:ascii="宋体" w:hAnsi="宋体" w:cs="宋体"/>
          <w:b/>
          <w:bCs/>
          <w:color w:val="auto"/>
          <w:kern w:val="28"/>
          <w:sz w:val="24"/>
          <w:szCs w:val="24"/>
          <w:highlight w:val="none"/>
          <w:lang w:val="en-US" w:eastAsia="zh-CN"/>
        </w:rPr>
        <w:t>9</w:t>
      </w:r>
      <w:r>
        <w:rPr>
          <w:rFonts w:hint="eastAsia" w:ascii="宋体" w:hAnsi="宋体" w:cs="宋体"/>
          <w:b/>
          <w:bCs/>
          <w:color w:val="auto"/>
          <w:kern w:val="28"/>
          <w:sz w:val="24"/>
          <w:szCs w:val="24"/>
          <w:highlight w:val="none"/>
        </w:rPr>
        <w:t>.需要补充的其他内容</w:t>
      </w:r>
      <w:bookmarkEnd w:id="488"/>
      <w:bookmarkEnd w:id="489"/>
      <w:bookmarkEnd w:id="490"/>
      <w:bookmarkEnd w:id="491"/>
      <w:bookmarkEnd w:id="492"/>
      <w:bookmarkEnd w:id="493"/>
      <w:bookmarkEnd w:id="494"/>
      <w:bookmarkEnd w:id="495"/>
      <w:bookmarkEnd w:id="496"/>
      <w:bookmarkEnd w:id="497"/>
      <w:bookmarkEnd w:id="498"/>
      <w:bookmarkEnd w:id="499"/>
    </w:p>
    <w:p w14:paraId="2C764BD3">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需要补充的其他内容：见投标人须知前附表。</w:t>
      </w:r>
    </w:p>
    <w:p w14:paraId="0302CAA2">
      <w:pPr>
        <w:shd w:val="clear" w:color="auto" w:fill="auto"/>
        <w:spacing w:line="400" w:lineRule="exact"/>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招标代理服务收费参照豫招协[2023]002号河南省招标投标协会关于印发《河南省招标代理服务收费指导意见》规定的收费标准收取中标服务费。</w:t>
      </w:r>
    </w:p>
    <w:p w14:paraId="5A99CEBC">
      <w:pPr>
        <w:shd w:val="clear" w:color="auto" w:fill="auto"/>
        <w:tabs>
          <w:tab w:val="left" w:pos="1341"/>
        </w:tabs>
        <w:autoSpaceDE w:val="0"/>
        <w:autoSpaceDN w:val="0"/>
        <w:rPr>
          <w:rFonts w:ascii="宋体" w:hAnsi="宋体" w:cs="宋体"/>
          <w:b/>
          <w:bCs/>
          <w:color w:val="auto"/>
          <w:spacing w:val="-1"/>
          <w:kern w:val="0"/>
          <w:sz w:val="24"/>
          <w:szCs w:val="22"/>
          <w:highlight w:val="none"/>
          <w:lang w:bidi="zh-CN"/>
        </w:rPr>
      </w:pPr>
    </w:p>
    <w:p w14:paraId="396BE631">
      <w:pPr>
        <w:shd w:val="clear" w:color="auto" w:fill="auto"/>
        <w:tabs>
          <w:tab w:val="left" w:pos="1341"/>
        </w:tabs>
        <w:autoSpaceDE w:val="0"/>
        <w:autoSpaceDN w:val="0"/>
        <w:ind w:firstLine="717" w:firstLineChars="300"/>
        <w:rPr>
          <w:rFonts w:ascii="宋体" w:hAnsi="宋体" w:cs="宋体"/>
          <w:b/>
          <w:bCs/>
          <w:color w:val="auto"/>
          <w:spacing w:val="-1"/>
          <w:kern w:val="0"/>
          <w:sz w:val="24"/>
          <w:szCs w:val="22"/>
          <w:highlight w:val="none"/>
          <w:lang w:bidi="zh-CN"/>
        </w:rPr>
      </w:pPr>
      <w:r>
        <w:rPr>
          <w:rFonts w:hint="eastAsia" w:ascii="宋体" w:hAnsi="宋体" w:cs="宋体"/>
          <w:b/>
          <w:bCs/>
          <w:color w:val="auto"/>
          <w:spacing w:val="-1"/>
          <w:kern w:val="0"/>
          <w:sz w:val="24"/>
          <w:szCs w:val="22"/>
          <w:highlight w:val="none"/>
          <w:lang w:bidi="zh-CN"/>
        </w:rPr>
        <w:t>河南省招标代理服务费计算标准</w:t>
      </w:r>
    </w:p>
    <w:tbl>
      <w:tblPr>
        <w:tblStyle w:val="15"/>
        <w:tblpPr w:leftFromText="180" w:rightFromText="180" w:vertAnchor="text" w:horzAnchor="page" w:tblpX="1421" w:tblpY="481"/>
        <w:tblOverlap w:val="never"/>
        <w:tblW w:w="0" w:type="auto"/>
        <w:tblInd w:w="0" w:type="dxa"/>
        <w:tblLayout w:type="fixed"/>
        <w:tblCellMar>
          <w:top w:w="0" w:type="dxa"/>
          <w:left w:w="15" w:type="dxa"/>
          <w:bottom w:w="0" w:type="dxa"/>
          <w:right w:w="15" w:type="dxa"/>
        </w:tblCellMar>
      </w:tblPr>
      <w:tblGrid>
        <w:gridCol w:w="3994"/>
        <w:gridCol w:w="1642"/>
        <w:gridCol w:w="1433"/>
        <w:gridCol w:w="1711"/>
      </w:tblGrid>
      <w:tr w14:paraId="3F8E8CEE">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08048843">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项目类型/（金额万元）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55D739DC">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工程</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A9AA73D">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货物</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219106AC">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服务</w:t>
            </w:r>
          </w:p>
        </w:tc>
      </w:tr>
      <w:tr w14:paraId="251482A1">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437CCE57">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100万元以下（含100万元）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ACF8B3A">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02206F13">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1.70%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740ABAA">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1.70%</w:t>
            </w:r>
          </w:p>
        </w:tc>
      </w:tr>
      <w:tr w14:paraId="718A73BF">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B5A1324">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100-500万元（含500万元）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45D3D5AF">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6CB32249">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4C105E38">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1.20%</w:t>
            </w:r>
          </w:p>
        </w:tc>
      </w:tr>
      <w:tr w14:paraId="12972250">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37C1879">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500-1000万元（含1000万元）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3C3AD9F">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0.70%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35D88B56">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0.80%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E7D346B">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0.70%</w:t>
            </w:r>
          </w:p>
        </w:tc>
      </w:tr>
      <w:tr w14:paraId="0DDFBC78">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433EC342">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1000-5000万元（含5000万元）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1CCED42E">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0.40%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527C6A59">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0.50%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710EF6B">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0.40%</w:t>
            </w:r>
          </w:p>
        </w:tc>
      </w:tr>
      <w:tr w14:paraId="2FBB09A7">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A96F6C8">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5000万元--1亿元（含1亿元）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6933BB7A">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0.25%</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020CB312">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0.30%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AD2FE4E">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0.25%</w:t>
            </w:r>
          </w:p>
        </w:tc>
      </w:tr>
      <w:tr w14:paraId="61F7EAA7">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3849329C">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1亿--5亿元（含5亿元）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1933128">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CA3492E">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441BB17E">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0.10%</w:t>
            </w:r>
          </w:p>
        </w:tc>
      </w:tr>
      <w:tr w14:paraId="06609E2B">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right w:val="single" w:color="000000" w:sz="4" w:space="0"/>
            </w:tcBorders>
            <w:noWrap w:val="0"/>
            <w:vAlign w:val="center"/>
          </w:tcPr>
          <w:p w14:paraId="1AF73FEF">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5亿--10亿元（含10亿元）</w:t>
            </w:r>
          </w:p>
        </w:tc>
        <w:tc>
          <w:tcPr>
            <w:tcW w:w="1642" w:type="dxa"/>
            <w:tcBorders>
              <w:top w:val="single" w:color="000000" w:sz="4" w:space="0"/>
              <w:left w:val="single" w:color="000000" w:sz="4" w:space="0"/>
              <w:right w:val="single" w:color="000000" w:sz="4" w:space="0"/>
            </w:tcBorders>
            <w:noWrap w:val="0"/>
            <w:vAlign w:val="center"/>
          </w:tcPr>
          <w:p w14:paraId="0897C239">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c>
          <w:tcPr>
            <w:tcW w:w="1433" w:type="dxa"/>
            <w:tcBorders>
              <w:top w:val="single" w:color="000000" w:sz="4" w:space="0"/>
              <w:left w:val="single" w:color="000000" w:sz="4" w:space="0"/>
              <w:right w:val="single" w:color="000000" w:sz="4" w:space="0"/>
            </w:tcBorders>
            <w:noWrap w:val="0"/>
            <w:vAlign w:val="center"/>
          </w:tcPr>
          <w:p w14:paraId="3FEC7B8E">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c>
          <w:tcPr>
            <w:tcW w:w="1711" w:type="dxa"/>
            <w:tcBorders>
              <w:top w:val="single" w:color="000000" w:sz="4" w:space="0"/>
              <w:left w:val="single" w:color="000000" w:sz="4" w:space="0"/>
              <w:right w:val="single" w:color="000000" w:sz="4" w:space="0"/>
            </w:tcBorders>
            <w:noWrap w:val="0"/>
            <w:vAlign w:val="center"/>
          </w:tcPr>
          <w:p w14:paraId="7E0B3A1B">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0.045%</w:t>
            </w:r>
          </w:p>
        </w:tc>
      </w:tr>
      <w:tr w14:paraId="189305AF">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5D96BBC1">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10亿--50亿元（含50亿元）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7663247C">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410D7628">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2D698D0">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0.010%</w:t>
            </w:r>
          </w:p>
        </w:tc>
      </w:tr>
      <w:tr w14:paraId="08A91B9E">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7F05FAAC">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50亿--100亿元（含</w:t>
            </w:r>
            <w:r>
              <w:rPr>
                <w:rFonts w:hint="eastAsia" w:ascii="宋体" w:hAnsi="宋体" w:cs="宋体"/>
                <w:color w:val="auto"/>
                <w:kern w:val="0"/>
                <w:sz w:val="24"/>
                <w:szCs w:val="18"/>
                <w:highlight w:val="none"/>
                <w:lang w:bidi="zh-CN"/>
              </w:rPr>
              <w:t>100</w:t>
            </w:r>
            <w:r>
              <w:rPr>
                <w:rFonts w:ascii="宋体" w:hAnsi="宋体" w:cs="宋体"/>
                <w:color w:val="auto"/>
                <w:kern w:val="0"/>
                <w:sz w:val="24"/>
                <w:szCs w:val="18"/>
                <w:highlight w:val="none"/>
                <w:lang w:val="zh-CN" w:bidi="zh-CN"/>
              </w:rPr>
              <w:t>亿元）</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392DA3CB">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7DBBEB39">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6C4179E3">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0.008%</w:t>
            </w:r>
          </w:p>
        </w:tc>
      </w:tr>
      <w:tr w14:paraId="21688E44">
        <w:tblPrEx>
          <w:tblCellMar>
            <w:top w:w="0" w:type="dxa"/>
            <w:left w:w="15" w:type="dxa"/>
            <w:bottom w:w="0" w:type="dxa"/>
            <w:right w:w="15" w:type="dxa"/>
          </w:tblCellMar>
        </w:tblPrEx>
        <w:trPr>
          <w:trHeight w:val="679" w:hRule="atLeast"/>
        </w:trPr>
        <w:tc>
          <w:tcPr>
            <w:tcW w:w="3994" w:type="dxa"/>
            <w:tcBorders>
              <w:top w:val="single" w:color="000000" w:sz="4" w:space="0"/>
              <w:left w:val="single" w:color="000000" w:sz="4" w:space="0"/>
              <w:bottom w:val="single" w:color="000000" w:sz="4" w:space="0"/>
              <w:right w:val="single" w:color="000000" w:sz="4" w:space="0"/>
            </w:tcBorders>
            <w:noWrap w:val="0"/>
            <w:vAlign w:val="center"/>
          </w:tcPr>
          <w:p w14:paraId="24C626BA">
            <w:pPr>
              <w:shd w:val="clear" w:color="auto" w:fill="auto"/>
              <w:autoSpaceDN w:val="0"/>
              <w:jc w:val="left"/>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100亿元以上</w:t>
            </w:r>
          </w:p>
        </w:tc>
        <w:tc>
          <w:tcPr>
            <w:tcW w:w="1642" w:type="dxa"/>
            <w:tcBorders>
              <w:top w:val="single" w:color="000000" w:sz="4" w:space="0"/>
              <w:left w:val="single" w:color="000000" w:sz="4" w:space="0"/>
              <w:bottom w:val="single" w:color="000000" w:sz="4" w:space="0"/>
              <w:right w:val="single" w:color="000000" w:sz="4" w:space="0"/>
            </w:tcBorders>
            <w:noWrap w:val="0"/>
            <w:vAlign w:val="center"/>
          </w:tcPr>
          <w:p w14:paraId="00EB34C6">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c>
          <w:tcPr>
            <w:tcW w:w="1433" w:type="dxa"/>
            <w:tcBorders>
              <w:top w:val="single" w:color="000000" w:sz="4" w:space="0"/>
              <w:left w:val="single" w:color="000000" w:sz="4" w:space="0"/>
              <w:bottom w:val="single" w:color="000000" w:sz="4" w:space="0"/>
              <w:right w:val="single" w:color="000000" w:sz="4" w:space="0"/>
            </w:tcBorders>
            <w:noWrap w:val="0"/>
            <w:vAlign w:val="center"/>
          </w:tcPr>
          <w:p w14:paraId="31FCCF93">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c>
          <w:tcPr>
            <w:tcW w:w="1711" w:type="dxa"/>
            <w:tcBorders>
              <w:top w:val="single" w:color="000000" w:sz="4" w:space="0"/>
              <w:left w:val="single" w:color="000000" w:sz="4" w:space="0"/>
              <w:bottom w:val="single" w:color="000000" w:sz="4" w:space="0"/>
              <w:right w:val="single" w:color="000000" w:sz="4" w:space="0"/>
            </w:tcBorders>
            <w:noWrap w:val="0"/>
            <w:vAlign w:val="center"/>
          </w:tcPr>
          <w:p w14:paraId="56C6370C">
            <w:pPr>
              <w:shd w:val="clear" w:color="auto" w:fill="auto"/>
              <w:autoSpaceDN w:val="0"/>
              <w:jc w:val="center"/>
              <w:textAlignment w:val="center"/>
              <w:rPr>
                <w:rFonts w:ascii="宋体" w:hAnsi="宋体" w:cs="宋体"/>
                <w:color w:val="auto"/>
                <w:kern w:val="0"/>
                <w:sz w:val="24"/>
                <w:szCs w:val="18"/>
                <w:highlight w:val="none"/>
                <w:lang w:val="zh-CN" w:bidi="zh-CN"/>
              </w:rPr>
            </w:pPr>
            <w:r>
              <w:rPr>
                <w:rFonts w:ascii="宋体" w:hAnsi="宋体" w:cs="宋体"/>
                <w:color w:val="auto"/>
                <w:kern w:val="0"/>
                <w:sz w:val="24"/>
                <w:szCs w:val="18"/>
                <w:highlight w:val="none"/>
                <w:lang w:val="zh-CN" w:bidi="zh-CN"/>
              </w:rPr>
              <w:t>0.004%</w:t>
            </w:r>
          </w:p>
        </w:tc>
      </w:tr>
      <w:tr w14:paraId="4488A75B">
        <w:tblPrEx>
          <w:tblCellMar>
            <w:top w:w="0" w:type="dxa"/>
            <w:left w:w="15" w:type="dxa"/>
            <w:bottom w:w="0" w:type="dxa"/>
            <w:right w:w="15" w:type="dxa"/>
          </w:tblCellMar>
        </w:tblPrEx>
        <w:trPr>
          <w:trHeight w:val="621" w:hRule="atLeast"/>
        </w:trPr>
        <w:tc>
          <w:tcPr>
            <w:tcW w:w="8780" w:type="dxa"/>
            <w:gridSpan w:val="4"/>
            <w:noWrap w:val="0"/>
            <w:vAlign w:val="center"/>
          </w:tcPr>
          <w:p w14:paraId="27774B3E">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注：1.按本表费率计算的收费金额为招标代理服务费的基准价格，不含工程量清单、最高投标限价（招标控制价）或标底的编制费用。</w:t>
            </w:r>
          </w:p>
          <w:p w14:paraId="38DE3FBF">
            <w:pPr>
              <w:shd w:val="clear" w:color="auto" w:fill="auto"/>
              <w:autoSpaceDN w:val="0"/>
              <w:spacing w:line="500" w:lineRule="exact"/>
              <w:jc w:val="left"/>
              <w:textAlignment w:val="center"/>
              <w:rPr>
                <w:rFonts w:ascii="宋体" w:hAnsi="宋体" w:cs="宋体"/>
                <w:color w:val="auto"/>
                <w:kern w:val="0"/>
                <w:sz w:val="24"/>
                <w:szCs w:val="24"/>
                <w:highlight w:val="none"/>
                <w:lang w:bidi="zh-CN"/>
              </w:rPr>
            </w:pPr>
            <w:r>
              <w:rPr>
                <w:rFonts w:hint="eastAsia" w:ascii="宋体" w:hAnsi="宋体" w:cs="宋体"/>
                <w:color w:val="auto"/>
                <w:kern w:val="0"/>
                <w:sz w:val="24"/>
                <w:szCs w:val="24"/>
                <w:highlight w:val="none"/>
                <w:lang w:bidi="zh-CN"/>
              </w:rPr>
              <w:t>2.招标代理服务收费按差额定率累进法计算。</w:t>
            </w:r>
          </w:p>
          <w:p w14:paraId="1DD8888B">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例如: 某工程招标代理业务，项目预算金额（招标控制价）为10000 万元，招标代理服务收费计算如下:</w:t>
            </w:r>
          </w:p>
          <w:p w14:paraId="3FC1CABF">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hint="eastAsia" w:ascii="宋体" w:hAnsi="宋体" w:cs="宋体"/>
                <w:color w:val="auto"/>
                <w:kern w:val="0"/>
                <w:sz w:val="24"/>
                <w:szCs w:val="24"/>
                <w:highlight w:val="none"/>
                <w:lang w:bidi="zh-CN"/>
              </w:rPr>
              <w:t xml:space="preserve"> </w:t>
            </w:r>
            <w:r>
              <w:rPr>
                <w:rFonts w:ascii="宋体" w:hAnsi="宋体" w:cs="宋体"/>
                <w:color w:val="auto"/>
                <w:kern w:val="0"/>
                <w:sz w:val="24"/>
                <w:szCs w:val="24"/>
                <w:highlight w:val="none"/>
                <w:lang w:val="zh-CN" w:bidi="zh-CN"/>
              </w:rPr>
              <w:t>100万元×1.2%=1.2万元</w:t>
            </w:r>
          </w:p>
          <w:p w14:paraId="0069CAD4">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（500-100）万元×1.0%=4万元</w:t>
            </w:r>
          </w:p>
          <w:p w14:paraId="4D0BDE20">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（1000-500）×0.7%=3.5万元</w:t>
            </w:r>
          </w:p>
          <w:p w14:paraId="4AAF84BC">
            <w:pPr>
              <w:shd w:val="clear" w:color="auto" w:fill="auto"/>
              <w:autoSpaceDN w:val="0"/>
              <w:spacing w:line="500" w:lineRule="exact"/>
              <w:jc w:val="left"/>
              <w:textAlignment w:val="center"/>
              <w:rPr>
                <w:rFonts w:ascii="宋体" w:hAnsi="宋体" w:cs="宋体"/>
                <w:color w:val="auto"/>
                <w:kern w:val="0"/>
                <w:sz w:val="24"/>
                <w:szCs w:val="24"/>
                <w:highlight w:val="none"/>
                <w:lang w:val="zh-CN" w:bidi="zh-CN"/>
              </w:rPr>
            </w:pPr>
            <w:r>
              <w:rPr>
                <w:rFonts w:ascii="宋体" w:hAnsi="宋体" w:cs="宋体"/>
                <w:color w:val="auto"/>
                <w:kern w:val="0"/>
                <w:sz w:val="24"/>
                <w:szCs w:val="24"/>
                <w:highlight w:val="none"/>
                <w:lang w:val="zh-CN" w:bidi="zh-CN"/>
              </w:rPr>
              <w:t>（5000-1000）×0.4%=16万元</w:t>
            </w:r>
          </w:p>
          <w:p w14:paraId="7255F154">
            <w:pPr>
              <w:shd w:val="clear" w:color="auto" w:fill="auto"/>
              <w:autoSpaceDN w:val="0"/>
              <w:spacing w:line="500" w:lineRule="exact"/>
              <w:jc w:val="left"/>
              <w:textAlignment w:val="center"/>
              <w:rPr>
                <w:rFonts w:ascii="宋体" w:hAnsi="宋体" w:cs="宋体"/>
                <w:color w:val="auto"/>
                <w:kern w:val="0"/>
                <w:szCs w:val="18"/>
                <w:highlight w:val="none"/>
                <w:lang w:val="zh-CN" w:bidi="zh-CN"/>
              </w:rPr>
            </w:pPr>
            <w:r>
              <w:rPr>
                <w:rFonts w:ascii="宋体" w:hAnsi="宋体" w:cs="宋体"/>
                <w:color w:val="auto"/>
                <w:kern w:val="0"/>
                <w:sz w:val="24"/>
                <w:szCs w:val="24"/>
                <w:highlight w:val="none"/>
                <w:lang w:val="zh-CN" w:bidi="zh-CN"/>
              </w:rPr>
              <w:t>（10000-5000）×0.25%=12.5万元合计收费=1.2+4+3.5+16+12.5=37.2万元</w:t>
            </w:r>
          </w:p>
        </w:tc>
      </w:tr>
    </w:tbl>
    <w:p w14:paraId="17F3A676">
      <w:pPr>
        <w:shd w:val="clear" w:color="auto" w:fill="auto"/>
        <w:spacing w:line="400" w:lineRule="exact"/>
        <w:ind w:firstLine="482" w:firstLineChars="200"/>
        <w:rPr>
          <w:rFonts w:hint="eastAsia" w:ascii="宋体" w:hAnsi="宋体" w:cs="宋体"/>
          <w:b/>
          <w:color w:val="auto"/>
          <w:sz w:val="24"/>
          <w:szCs w:val="24"/>
          <w:highlight w:val="none"/>
        </w:rPr>
      </w:pPr>
    </w:p>
    <w:p w14:paraId="7613D4A3">
      <w:pPr>
        <w:shd w:val="clear" w:color="auto" w:fill="auto"/>
        <w:jc w:val="center"/>
        <w:outlineLvl w:val="0"/>
        <w:rPr>
          <w:rFonts w:hint="eastAsia" w:ascii="宋体" w:hAnsi="宋体"/>
          <w:b/>
          <w:bCs/>
          <w:color w:val="auto"/>
          <w:sz w:val="32"/>
          <w:szCs w:val="32"/>
          <w:highlight w:val="none"/>
        </w:rPr>
      </w:pPr>
      <w:r>
        <w:rPr>
          <w:rFonts w:hint="eastAsia" w:ascii="宋体" w:hAnsi="宋体"/>
          <w:b/>
          <w:bCs/>
          <w:color w:val="auto"/>
          <w:sz w:val="32"/>
          <w:szCs w:val="32"/>
          <w:highlight w:val="none"/>
        </w:rPr>
        <w:br w:type="page"/>
      </w:r>
      <w:bookmarkStart w:id="500" w:name="_Toc733"/>
      <w:r>
        <w:rPr>
          <w:rFonts w:hint="eastAsia" w:ascii="宋体" w:hAnsi="宋体"/>
          <w:b/>
          <w:bCs/>
          <w:color w:val="auto"/>
          <w:sz w:val="32"/>
          <w:szCs w:val="32"/>
          <w:highlight w:val="none"/>
        </w:rPr>
        <w:t>第三章  评审办法</w:t>
      </w:r>
      <w:bookmarkEnd w:id="15"/>
      <w:bookmarkEnd w:id="16"/>
      <w:bookmarkEnd w:id="17"/>
      <w:bookmarkEnd w:id="500"/>
    </w:p>
    <w:p w14:paraId="0B343C9D">
      <w:pPr>
        <w:shd w:val="clear" w:color="auto" w:fill="auto"/>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一、评标方法</w:t>
      </w:r>
    </w:p>
    <w:p w14:paraId="69B6A5BE">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本次评标采用综合评估法。磋商小组对满足磋商文件实质性要求的磋商文件，按照本章规定的评分标准进行打分，并按得分由高到低顺序推荐1-3名中标候选人。综合评分相等时，按投标报价由低到高顺序排列；投标报价也相等时，按技术得分由高到低顺序排列。排名第一的的供应商为第一中标候选人,排名第二的供应商为第二中标候选人，排名第三的供应商为第三中标候选人。</w:t>
      </w:r>
    </w:p>
    <w:p w14:paraId="3688884F">
      <w:pPr>
        <w:shd w:val="clear" w:color="auto" w:fill="auto"/>
        <w:spacing w:line="360" w:lineRule="auto"/>
        <w:ind w:firstLine="482" w:firstLineChars="200"/>
        <w:rPr>
          <w:rFonts w:hint="eastAsia" w:ascii="宋体" w:hAnsi="宋体"/>
          <w:b/>
          <w:color w:val="auto"/>
          <w:sz w:val="24"/>
          <w:highlight w:val="none"/>
        </w:rPr>
      </w:pPr>
      <w:r>
        <w:rPr>
          <w:rFonts w:hint="eastAsia" w:ascii="宋体" w:hAnsi="宋体"/>
          <w:b/>
          <w:color w:val="auto"/>
          <w:sz w:val="24"/>
          <w:highlight w:val="none"/>
        </w:rPr>
        <w:t>二、评标程序</w:t>
      </w:r>
    </w:p>
    <w:p w14:paraId="1862EBD3">
      <w:pPr>
        <w:shd w:val="clear" w:color="auto" w:fill="auto"/>
        <w:spacing w:line="360" w:lineRule="auto"/>
        <w:ind w:firstLine="480" w:firstLineChars="200"/>
        <w:rPr>
          <w:rFonts w:ascii="宋体" w:hAnsi="宋体"/>
          <w:color w:val="auto"/>
          <w:sz w:val="24"/>
          <w:highlight w:val="none"/>
        </w:rPr>
      </w:pPr>
      <w:r>
        <w:rPr>
          <w:rFonts w:hint="eastAsia" w:ascii="宋体" w:hAnsi="宋体"/>
          <w:color w:val="auto"/>
          <w:sz w:val="24"/>
          <w:highlight w:val="none"/>
        </w:rPr>
        <w:t>2.1、资格审查</w:t>
      </w:r>
    </w:p>
    <w:p w14:paraId="75EE48A8">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磋商响应性文件不能满足下列情形之一的，由磋商小组初审后将不进入下一轮评审。</w:t>
      </w:r>
    </w:p>
    <w:p w14:paraId="3CA1D659">
      <w:pPr>
        <w:shd w:val="clear" w:color="auto" w:fill="auto"/>
        <w:spacing w:line="360" w:lineRule="auto"/>
        <w:rPr>
          <w:rFonts w:hint="eastAsia" w:ascii="宋体" w:hAnsi="宋体"/>
          <w:color w:val="auto"/>
          <w:sz w:val="24"/>
          <w:highlight w:val="none"/>
        </w:rPr>
      </w:pPr>
      <w:r>
        <w:rPr>
          <w:rFonts w:hint="eastAsia" w:ascii="宋体" w:hAnsi="宋体" w:cs="宋体"/>
          <w:b/>
          <w:bCs/>
          <w:color w:val="auto"/>
          <w:sz w:val="24"/>
          <w:highlight w:val="none"/>
        </w:rPr>
        <w:t>（备注：</w:t>
      </w:r>
      <w:r>
        <w:rPr>
          <w:rFonts w:hint="eastAsia" w:ascii="宋体" w:hAnsi="宋体" w:cs="宋体"/>
          <w:b/>
          <w:color w:val="auto"/>
          <w:sz w:val="24"/>
          <w:highlight w:val="none"/>
        </w:rPr>
        <w:t>资格评审以响应文件为准，其上传资料真实性由供应商自行承担</w:t>
      </w:r>
      <w:r>
        <w:rPr>
          <w:rFonts w:hint="eastAsia" w:ascii="宋体" w:hAnsi="宋体" w:cs="宋体"/>
          <w:b/>
          <w:bCs/>
          <w:color w:val="auto"/>
          <w:sz w:val="24"/>
          <w:highlight w:val="none"/>
        </w:rPr>
        <w:t>）</w:t>
      </w:r>
    </w:p>
    <w:tbl>
      <w:tblPr>
        <w:tblStyle w:val="15"/>
        <w:tblW w:w="93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5"/>
        <w:gridCol w:w="1936"/>
        <w:gridCol w:w="5129"/>
      </w:tblGrid>
      <w:tr w14:paraId="05D6C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265" w:type="dxa"/>
            <w:tcBorders>
              <w:top w:val="single" w:color="auto" w:sz="4" w:space="0"/>
              <w:left w:val="single" w:color="auto" w:sz="4" w:space="0"/>
              <w:bottom w:val="single" w:color="auto" w:sz="4" w:space="0"/>
              <w:right w:val="single" w:color="auto" w:sz="4" w:space="0"/>
            </w:tcBorders>
            <w:noWrap w:val="0"/>
            <w:vAlign w:val="center"/>
          </w:tcPr>
          <w:p w14:paraId="62E8BC9E">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条款号</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6317987">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评审因素</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D87FBE2">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评审标准</w:t>
            </w:r>
          </w:p>
        </w:tc>
      </w:tr>
      <w:tr w14:paraId="25F3C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2F7754F0">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形式评审</w:t>
            </w:r>
          </w:p>
          <w:p w14:paraId="0B609FF4">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标   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199BF4B0">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投标人名称</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8667BF9">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与营业执照、资质证书、安全生产许可证一致</w:t>
            </w:r>
          </w:p>
        </w:tc>
      </w:tr>
      <w:tr w14:paraId="6088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1F24FB3">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23674CAF">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签字盖章</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13A3FDC4">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符合第二章“投标人须知”规定</w:t>
            </w:r>
          </w:p>
        </w:tc>
      </w:tr>
      <w:tr w14:paraId="1FDB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2FF166F">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13C5694F">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报价唯一</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5AC4EB42">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只能有一个有效报价</w:t>
            </w:r>
          </w:p>
        </w:tc>
      </w:tr>
      <w:tr w14:paraId="1403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2C4737B1">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 xml:space="preserve">资格评审 </w:t>
            </w:r>
          </w:p>
          <w:p w14:paraId="78EE79D1">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标  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78939830">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营业执照</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66B15754">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供应商须具有独立承担民事责任的能力（提供有效的企业营业执照或其他证明材料）</w:t>
            </w:r>
          </w:p>
        </w:tc>
      </w:tr>
      <w:tr w14:paraId="75E37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79B26C6">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0DAD9263">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资质等级</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1B1D1C0F">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供应商须具备建设行政主管部门核发的建筑工程施工总承包叁级及以上资质，具有有效的安全生产许可证，并在人员、设备、资金等方面具有相应的施工能力（提供承诺书，格式自拟）；</w:t>
            </w:r>
          </w:p>
          <w:p w14:paraId="0ECDEAF5">
            <w:pPr>
              <w:keepNext w:val="0"/>
              <w:keepLines w:val="0"/>
              <w:pageBreakBefore w:val="0"/>
              <w:widowControl w:val="0"/>
              <w:shd w:val="clear" w:color="auto" w:fill="auto"/>
              <w:kinsoku/>
              <w:wordWrap w:val="0"/>
              <w:overflowPunct/>
              <w:topLinePunct/>
              <w:autoSpaceDE/>
              <w:autoSpaceDN/>
              <w:bidi w:val="0"/>
              <w:adjustRightInd/>
              <w:spacing w:line="360" w:lineRule="auto"/>
              <w:ind w:left="0" w:leftChars="0" w:firstLine="482" w:firstLineChars="200"/>
              <w:jc w:val="left"/>
              <w:textAlignment w:val="auto"/>
              <w:rPr>
                <w:rFonts w:hint="eastAsia"/>
                <w:color w:val="auto"/>
                <w:highlight w:val="none"/>
                <w:lang w:eastAsia="zh-CN"/>
              </w:rPr>
            </w:pPr>
            <w:r>
              <w:rPr>
                <w:rFonts w:hint="eastAsia" w:ascii="宋体" w:hAnsi="宋体" w:eastAsia="宋体" w:cs="宋体"/>
                <w:b/>
                <w:bCs/>
                <w:i w:val="0"/>
                <w:iCs w:val="0"/>
                <w:caps w:val="0"/>
                <w:color w:val="auto"/>
                <w:spacing w:val="0"/>
                <w:sz w:val="24"/>
                <w:szCs w:val="24"/>
                <w:highlight w:val="none"/>
              </w:rPr>
              <w:t>注：根据《河南省住房和城乡建设厅关于进一步规范建设工程企业资质管理的通知》豫建行规〔2024〕7号文件规定，被</w:t>
            </w:r>
            <w:r>
              <w:rPr>
                <w:rFonts w:hint="eastAsia" w:ascii="宋体" w:hAnsi="宋体" w:eastAsia="宋体" w:cs="宋体"/>
                <w:b/>
                <w:bCs/>
                <w:i w:val="0"/>
                <w:iCs w:val="0"/>
                <w:caps w:val="0"/>
                <w:color w:val="auto"/>
                <w:spacing w:val="0"/>
                <w:sz w:val="24"/>
                <w:szCs w:val="24"/>
                <w:highlight w:val="none"/>
                <w:lang w:eastAsia="zh-CN"/>
              </w:rPr>
              <w:t>全国或河南省</w:t>
            </w:r>
            <w:r>
              <w:rPr>
                <w:rFonts w:hint="eastAsia" w:ascii="宋体" w:hAnsi="宋体" w:eastAsia="宋体" w:cs="宋体"/>
                <w:b/>
                <w:bCs/>
                <w:i w:val="0"/>
                <w:iCs w:val="0"/>
                <w:caps w:val="0"/>
                <w:color w:val="auto"/>
                <w:spacing w:val="0"/>
                <w:sz w:val="24"/>
                <w:szCs w:val="24"/>
                <w:highlight w:val="none"/>
              </w:rPr>
              <w:t>建筑市场监管公共服务平台标注为资质异常的，投标人不能使用标注异常的资质承揽本工程，具体要求详见豫建行规〔2024〕7号文件【投标人提供全国建筑市场监管公共服务平台（四库一平台）和河南省建筑市场监管公共服务平台查询截图，如在河南省建筑市场监管公共服务平台无本企业信息，投标人需提供显示“暂无数据的查询结果”，同时提供投标人企业注册所在地省级建筑市场监管平台或同等级官方网站的资质查询截图。】，查询时间为招标公告发布之日后，查询结果需显示网页查询时间。</w:t>
            </w:r>
          </w:p>
        </w:tc>
      </w:tr>
      <w:tr w14:paraId="2D04E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0"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11AD85E7">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B17E79D">
            <w:pPr>
              <w:shd w:val="clear" w:color="auto" w:fill="auto"/>
              <w:spacing w:line="360" w:lineRule="auto"/>
              <w:jc w:val="left"/>
              <w:rPr>
                <w:rFonts w:ascii="宋体" w:hAnsi="宋体" w:cs="宋体"/>
                <w:color w:val="auto"/>
                <w:sz w:val="24"/>
                <w:szCs w:val="24"/>
                <w:highlight w:val="none"/>
              </w:rPr>
            </w:pPr>
            <w:r>
              <w:rPr>
                <w:rFonts w:hint="eastAsia" w:ascii="宋体" w:hAnsi="宋体" w:cs="宋体"/>
                <w:color w:val="auto"/>
                <w:sz w:val="24"/>
                <w:szCs w:val="24"/>
                <w:highlight w:val="none"/>
              </w:rPr>
              <w:t>项目经理</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59616A0C">
            <w:pPr>
              <w:shd w:val="clear" w:color="auto" w:fill="auto"/>
              <w:ind w:firstLine="240" w:firstLineChars="100"/>
              <w:rPr>
                <w:rFonts w:hint="eastAsia" w:ascii="宋体" w:hAnsi="宋体" w:eastAsia="宋体" w:cs="宋体"/>
                <w:color w:val="auto"/>
                <w:sz w:val="24"/>
                <w:szCs w:val="24"/>
                <w:highlight w:val="none"/>
                <w:lang w:eastAsia="zh-CN"/>
              </w:rPr>
            </w:pPr>
            <w:r>
              <w:rPr>
                <w:rFonts w:ascii="宋体" w:hAnsi="宋体"/>
                <w:color w:val="auto"/>
                <w:sz w:val="24"/>
                <w:highlight w:val="none"/>
              </w:rPr>
              <w:t>拟派项目经理应具备</w:t>
            </w:r>
            <w:r>
              <w:rPr>
                <w:rFonts w:hint="eastAsia" w:ascii="宋体" w:hAnsi="宋体" w:eastAsia="宋体" w:cs="宋体"/>
                <w:color w:val="auto"/>
                <w:sz w:val="24"/>
                <w:szCs w:val="24"/>
                <w:highlight w:val="none"/>
                <w:lang w:eastAsia="zh-CN"/>
              </w:rPr>
              <w:t>建筑工程专业</w:t>
            </w:r>
            <w:r>
              <w:rPr>
                <w:rFonts w:hint="eastAsia" w:ascii="宋体" w:hAnsi="宋体" w:eastAsia="宋体" w:cs="宋体"/>
                <w:color w:val="auto"/>
                <w:sz w:val="24"/>
                <w:szCs w:val="24"/>
                <w:highlight w:val="none"/>
              </w:rPr>
              <w:t>贰级（含贰级）及以上注册建造师资格</w:t>
            </w:r>
            <w:r>
              <w:rPr>
                <w:rFonts w:hint="eastAsia" w:ascii="宋体" w:hAnsi="宋体"/>
                <w:color w:val="auto"/>
                <w:sz w:val="24"/>
                <w:highlight w:val="none"/>
              </w:rPr>
              <w:t>，</w:t>
            </w:r>
            <w:r>
              <w:rPr>
                <w:rFonts w:hint="eastAsia" w:ascii="宋体" w:hAnsi="宋体" w:eastAsia="宋体" w:cs="宋体"/>
                <w:color w:val="auto"/>
                <w:sz w:val="24"/>
                <w:szCs w:val="24"/>
                <w:highlight w:val="none"/>
              </w:rPr>
              <w:t>须提供注册建造师证书、安全生产考核合格证书</w:t>
            </w:r>
            <w:r>
              <w:rPr>
                <w:rFonts w:hint="eastAsia" w:ascii="宋体" w:hAnsi="宋体" w:eastAsia="宋体" w:cs="宋体"/>
                <w:color w:val="auto"/>
                <w:sz w:val="24"/>
                <w:szCs w:val="24"/>
                <w:highlight w:val="none"/>
                <w:lang w:eastAsia="zh-CN"/>
              </w:rPr>
              <w:t>，</w:t>
            </w:r>
            <w:r>
              <w:rPr>
                <w:rFonts w:hint="eastAsia" w:ascii="宋体" w:hAnsi="宋体"/>
                <w:color w:val="auto"/>
                <w:sz w:val="24"/>
                <w:highlight w:val="none"/>
              </w:rPr>
              <w:t>且未在其他在建工程项目中担任项目经理，</w:t>
            </w:r>
            <w:r>
              <w:rPr>
                <w:rFonts w:hint="eastAsia" w:ascii="宋体" w:hAnsi="宋体"/>
                <w:color w:val="auto"/>
                <w:sz w:val="24"/>
                <w:highlight w:val="none"/>
                <w:lang w:eastAsia="zh-CN"/>
              </w:rPr>
              <w:t>且须提供近期单位社保证明（以社保网络查询或社保中心出具的证明为准，新成立企业从成立之日起计算）</w:t>
            </w:r>
          </w:p>
        </w:tc>
      </w:tr>
      <w:tr w14:paraId="7989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03475855">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11F1F2EB">
            <w:pPr>
              <w:shd w:val="clear" w:color="auto" w:fill="auto"/>
              <w:spacing w:line="360" w:lineRule="auto"/>
              <w:jc w:val="both"/>
              <w:rPr>
                <w:rFonts w:ascii="宋体" w:hAnsi="宋体" w:cs="宋体"/>
                <w:color w:val="auto"/>
                <w:sz w:val="24"/>
                <w:szCs w:val="24"/>
                <w:highlight w:val="none"/>
              </w:rPr>
            </w:pPr>
            <w:r>
              <w:rPr>
                <w:rFonts w:hint="eastAsia" w:ascii="宋体" w:hAnsi="宋体" w:cs="宋体"/>
                <w:color w:val="auto"/>
                <w:sz w:val="24"/>
                <w:szCs w:val="24"/>
                <w:highlight w:val="none"/>
              </w:rPr>
              <w:t>其他要求</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77186026">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1.供应商自行出具本企业的无商业贿赂及无不正当竞争行为的承诺书；</w:t>
            </w:r>
          </w:p>
          <w:p w14:paraId="07C2B74A">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根据《关于在政府采购活动中查询及使用信用记录有关问题的通知》(财库[2016]125号)的规定，企业没有被列入“中国执行信息公开网”网站的“失信被执行人”、“信用中国”网站的“重大税收违法失信主体”、“政府采购严重违法失信行为记录名单”及“中国政府采购网”网站的“政府采购严重违法失信行为记录名单”。【查询渠道：“中国执行信息公开网”网站（http://zxgk.court.gov.cn/shixin）“信用中国”网站（www.creditchina.gov.cn）、中国政府采购网（www.ccgp.gov.cn），提供网站的查询信息截图，信用报告，查询起始日期为本项目公告发布之后，查询截止时间为开标时间同一时间）；</w:t>
            </w:r>
          </w:p>
          <w:p w14:paraId="26571D01">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单位负责人为同一人或者存在直接控股、管理关系的不同供应商，不得参加同一合同项下的采购活动（提供“国家企业信用信息公示系统”中查询打印的相关信息并加盖公章，查询信息需包含公司基本信息、股东信息及股权变更信息等相关信息，查询日期为本项目公告发布之后）；</w:t>
            </w:r>
          </w:p>
          <w:p w14:paraId="15538BC0">
            <w:pPr>
              <w:shd w:val="clear" w:color="auto" w:fill="auto"/>
              <w:ind w:firstLine="240" w:firstLineChars="100"/>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5.本项目不接受联合体投标</w:t>
            </w:r>
          </w:p>
        </w:tc>
      </w:tr>
      <w:tr w14:paraId="5AE5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6C6771FF">
            <w:pPr>
              <w:widowControl/>
              <w:shd w:val="clear" w:color="auto" w:fill="auto"/>
              <w:ind w:firstLine="482"/>
              <w:jc w:val="left"/>
              <w:rPr>
                <w:rFonts w:ascii="宋体" w:hAnsi="宋体" w:cs="宋体"/>
                <w:color w:val="auto"/>
                <w:sz w:val="24"/>
                <w:szCs w:val="24"/>
                <w:highlight w:val="none"/>
              </w:rPr>
            </w:pPr>
          </w:p>
        </w:tc>
        <w:tc>
          <w:tcPr>
            <w:tcW w:w="7065" w:type="dxa"/>
            <w:gridSpan w:val="2"/>
            <w:tcBorders>
              <w:top w:val="single" w:color="auto" w:sz="4" w:space="0"/>
              <w:left w:val="single" w:color="auto" w:sz="4" w:space="0"/>
              <w:bottom w:val="single" w:color="auto" w:sz="4" w:space="0"/>
              <w:right w:val="single" w:color="auto" w:sz="4" w:space="0"/>
            </w:tcBorders>
            <w:noWrap w:val="0"/>
            <w:vAlign w:val="center"/>
          </w:tcPr>
          <w:p w14:paraId="287BE9A6">
            <w:pPr>
              <w:shd w:val="clear" w:color="auto" w:fill="auto"/>
              <w:spacing w:line="360" w:lineRule="auto"/>
              <w:ind w:firstLine="480"/>
              <w:jc w:val="center"/>
              <w:rPr>
                <w:rFonts w:ascii="宋体" w:hAnsi="宋体" w:cs="宋体"/>
                <w:color w:val="auto"/>
                <w:sz w:val="24"/>
                <w:szCs w:val="24"/>
                <w:highlight w:val="none"/>
              </w:rPr>
            </w:pPr>
            <w:r>
              <w:rPr>
                <w:rFonts w:hint="eastAsia" w:ascii="宋体" w:hAnsi="宋体" w:cs="宋体"/>
                <w:b/>
                <w:bCs/>
                <w:color w:val="auto"/>
                <w:sz w:val="24"/>
                <w:szCs w:val="24"/>
                <w:highlight w:val="none"/>
              </w:rPr>
              <w:t>注：以上资格评审标准以投标文件为准。</w:t>
            </w:r>
          </w:p>
        </w:tc>
      </w:tr>
      <w:tr w14:paraId="2D2A7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restart"/>
            <w:tcBorders>
              <w:top w:val="single" w:color="auto" w:sz="4" w:space="0"/>
              <w:left w:val="single" w:color="auto" w:sz="4" w:space="0"/>
              <w:bottom w:val="single" w:color="auto" w:sz="4" w:space="0"/>
              <w:right w:val="single" w:color="auto" w:sz="4" w:space="0"/>
            </w:tcBorders>
            <w:noWrap w:val="0"/>
            <w:vAlign w:val="center"/>
          </w:tcPr>
          <w:p w14:paraId="53448C25">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响 应 性</w:t>
            </w:r>
          </w:p>
          <w:p w14:paraId="66B79AD9">
            <w:pPr>
              <w:shd w:val="clear" w:color="auto" w:fill="auto"/>
              <w:spacing w:line="360" w:lineRule="auto"/>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评审标准</w:t>
            </w:r>
          </w:p>
        </w:tc>
        <w:tc>
          <w:tcPr>
            <w:tcW w:w="1936" w:type="dxa"/>
            <w:tcBorders>
              <w:top w:val="single" w:color="auto" w:sz="4" w:space="0"/>
              <w:left w:val="single" w:color="auto" w:sz="4" w:space="0"/>
              <w:bottom w:val="single" w:color="auto" w:sz="4" w:space="0"/>
              <w:right w:val="single" w:color="auto" w:sz="4" w:space="0"/>
            </w:tcBorders>
            <w:noWrap w:val="0"/>
            <w:vAlign w:val="center"/>
          </w:tcPr>
          <w:p w14:paraId="3B2B0092">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投标内容</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68D913F6">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本项目竞争性磋商文件、图纸、工程量清单及答疑纪要等列明的所有内容</w:t>
            </w:r>
          </w:p>
        </w:tc>
      </w:tr>
      <w:tr w14:paraId="1FA9F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D12094D">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420EB2AB">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工期</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2EFAB405">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符合第二章“投标人须知”规定</w:t>
            </w:r>
          </w:p>
        </w:tc>
      </w:tr>
      <w:tr w14:paraId="273D9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38AB7C7">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1FA0B86A">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质量要求</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007D971C">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符合第二章“投标人须知”规定</w:t>
            </w:r>
          </w:p>
        </w:tc>
      </w:tr>
      <w:tr w14:paraId="2E881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EBFDA95">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6C57D0C5">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磋商有效期</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2069724B">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符合第二章“投标人须知”规定</w:t>
            </w:r>
          </w:p>
        </w:tc>
      </w:tr>
      <w:tr w14:paraId="17627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0FDA190">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69A4B5CD">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已标价工程量清单</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4BDDD65C">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符合 “工程量清单”给出的范围及数量，投标人不得擅自修改工程量清单上的工程项目和数量，否则其投标将予否决。</w:t>
            </w:r>
          </w:p>
        </w:tc>
      </w:tr>
      <w:tr w14:paraId="3F99E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375274CC">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51AA5F9F">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投标价格</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7E86FB15">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低于（含等于）招标控制价</w:t>
            </w:r>
          </w:p>
        </w:tc>
      </w:tr>
      <w:tr w14:paraId="585B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265" w:type="dxa"/>
            <w:vMerge w:val="continue"/>
            <w:tcBorders>
              <w:top w:val="single" w:color="auto" w:sz="4" w:space="0"/>
              <w:left w:val="single" w:color="auto" w:sz="4" w:space="0"/>
              <w:bottom w:val="single" w:color="auto" w:sz="4" w:space="0"/>
              <w:right w:val="single" w:color="auto" w:sz="4" w:space="0"/>
            </w:tcBorders>
            <w:noWrap w:val="0"/>
            <w:vAlign w:val="center"/>
          </w:tcPr>
          <w:p w14:paraId="2FC63AA3">
            <w:pPr>
              <w:widowControl/>
              <w:shd w:val="clear" w:color="auto" w:fill="auto"/>
              <w:ind w:firstLine="482"/>
              <w:jc w:val="left"/>
              <w:rPr>
                <w:rFonts w:ascii="宋体" w:hAnsi="宋体" w:cs="宋体"/>
                <w:color w:val="auto"/>
                <w:sz w:val="24"/>
                <w:szCs w:val="24"/>
                <w:highlight w:val="none"/>
              </w:rPr>
            </w:pPr>
          </w:p>
        </w:tc>
        <w:tc>
          <w:tcPr>
            <w:tcW w:w="1936" w:type="dxa"/>
            <w:tcBorders>
              <w:top w:val="single" w:color="auto" w:sz="4" w:space="0"/>
              <w:left w:val="single" w:color="auto" w:sz="4" w:space="0"/>
              <w:bottom w:val="single" w:color="auto" w:sz="4" w:space="0"/>
              <w:right w:val="single" w:color="auto" w:sz="4" w:space="0"/>
            </w:tcBorders>
            <w:noWrap w:val="0"/>
            <w:vAlign w:val="center"/>
          </w:tcPr>
          <w:p w14:paraId="0E93DA52">
            <w:pPr>
              <w:shd w:val="clear" w:color="auto" w:fill="auto"/>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《中小企业声明函》</w:t>
            </w:r>
          </w:p>
        </w:tc>
        <w:tc>
          <w:tcPr>
            <w:tcW w:w="5129" w:type="dxa"/>
            <w:tcBorders>
              <w:top w:val="single" w:color="auto" w:sz="4" w:space="0"/>
              <w:left w:val="single" w:color="auto" w:sz="4" w:space="0"/>
              <w:bottom w:val="single" w:color="auto" w:sz="4" w:space="0"/>
              <w:right w:val="single" w:color="auto" w:sz="4" w:space="0"/>
            </w:tcBorders>
            <w:noWrap w:val="0"/>
            <w:vAlign w:val="center"/>
          </w:tcPr>
          <w:p w14:paraId="34263BDC">
            <w:pPr>
              <w:shd w:val="clear" w:color="auto" w:fill="auto"/>
              <w:ind w:firstLine="240" w:firstLineChars="1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根据《政府采购促进中小企业发展管理办法》（财库〔2020〕46号）规定，本项目专门面向中小企业采购,同时供应商须提供《中小企业声明函》</w:t>
            </w:r>
          </w:p>
        </w:tc>
      </w:tr>
    </w:tbl>
    <w:p w14:paraId="2D4F704D">
      <w:pPr>
        <w:widowControl/>
        <w:shd w:val="clear" w:color="auto" w:fill="auto"/>
        <w:jc w:val="left"/>
        <w:rPr>
          <w:rFonts w:hint="eastAsia"/>
          <w:color w:val="auto"/>
          <w:highlight w:val="none"/>
        </w:rPr>
      </w:pPr>
    </w:p>
    <w:p w14:paraId="7E586352">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2.4、投标报价有算术错误的，磋商小组按以下原则对投标报价进行修正，修正的价格经供应商书面确认后具有约束力。供应商不接受修正价格的，其投标作废标处理。</w:t>
      </w:r>
    </w:p>
    <w:p w14:paraId="26D9C5CB">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(1）磋商文件中的大写金额与小写金额不一致的，以大写金额为准；</w:t>
      </w:r>
    </w:p>
    <w:p w14:paraId="2D422E05">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(2）总价金额与依据单价计算出的结果不一致的，以单价金额为准修正总价，但单价金额小数点有明显错误的除外。</w:t>
      </w:r>
    </w:p>
    <w:p w14:paraId="12605E86">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 详细评审</w:t>
      </w:r>
    </w:p>
    <w:p w14:paraId="69F26B22">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2.5.1  对通过初步评审的磋商文件，磋商小组按本规定的量化因素和分值进行打分，并计算出综合评估得分。每个供应商最终得分为各评委打分的算术平均值。</w:t>
      </w:r>
    </w:p>
    <w:p w14:paraId="663D61E9">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2.5.2  评标计分必须填计分卡，评委应签自已的姓名。</w:t>
      </w:r>
    </w:p>
    <w:p w14:paraId="2C4FD600">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2.5.3  评分计算均保留两位小数，两位小数后四舍五入。</w:t>
      </w:r>
    </w:p>
    <w:p w14:paraId="21A81146">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2.5.4  有下列情况之一者，为无效分：</w:t>
      </w:r>
    </w:p>
    <w:p w14:paraId="1784C2AE">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（1）计分高出规定最高或最低分的，计分明显不合理的；</w:t>
      </w:r>
    </w:p>
    <w:p w14:paraId="16FDAA23">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（2）一个计分内容出现两个或两个以上计分的；</w:t>
      </w:r>
    </w:p>
    <w:p w14:paraId="1242F5FC">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（3）计分卡没有签编号或姓名的；</w:t>
      </w:r>
    </w:p>
    <w:p w14:paraId="3E7280B7">
      <w:pPr>
        <w:shd w:val="clear" w:color="auto" w:fill="auto"/>
        <w:spacing w:line="360" w:lineRule="auto"/>
        <w:ind w:firstLine="480" w:firstLineChars="200"/>
        <w:rPr>
          <w:rFonts w:hint="eastAsia" w:ascii="宋体" w:hAnsi="宋体"/>
          <w:color w:val="auto"/>
          <w:sz w:val="24"/>
          <w:highlight w:val="none"/>
        </w:rPr>
      </w:pPr>
      <w:r>
        <w:rPr>
          <w:rFonts w:hint="eastAsia" w:ascii="宋体" w:hAnsi="宋体"/>
          <w:color w:val="auto"/>
          <w:sz w:val="24"/>
          <w:highlight w:val="none"/>
        </w:rPr>
        <w:t>（4）其它未按本规定要求计分的。</w:t>
      </w:r>
    </w:p>
    <w:p w14:paraId="3B19603D">
      <w:pPr>
        <w:shd w:val="clear" w:color="auto" w:fill="auto"/>
        <w:spacing w:line="360" w:lineRule="auto"/>
        <w:ind w:firstLine="482" w:firstLineChars="200"/>
        <w:rPr>
          <w:rFonts w:hint="eastAsia" w:ascii="宋体" w:hAnsi="宋体"/>
          <w:b/>
          <w:color w:val="auto"/>
          <w:sz w:val="24"/>
          <w:highlight w:val="none"/>
        </w:rPr>
      </w:pPr>
    </w:p>
    <w:p w14:paraId="6A2708A3">
      <w:pPr>
        <w:widowControl/>
        <w:shd w:val="clear" w:color="auto" w:fill="auto"/>
        <w:jc w:val="left"/>
        <w:rPr>
          <w:rFonts w:hint="eastAsia"/>
          <w:color w:val="auto"/>
          <w:highlight w:val="none"/>
        </w:rPr>
      </w:pPr>
      <w:r>
        <w:rPr>
          <w:rFonts w:hint="eastAsia"/>
          <w:color w:val="auto"/>
          <w:highlight w:val="none"/>
        </w:rPr>
        <w:br w:type="page"/>
      </w:r>
    </w:p>
    <w:p w14:paraId="41AF6AE6">
      <w:pPr>
        <w:shd w:val="clear" w:color="auto" w:fill="auto"/>
        <w:spacing w:line="360" w:lineRule="auto"/>
        <w:ind w:left="-525" w:leftChars="-250" w:firstLine="482" w:firstLineChars="200"/>
        <w:rPr>
          <w:rFonts w:hint="eastAsia" w:ascii="宋体" w:hAnsi="宋体"/>
          <w:b/>
          <w:color w:val="auto"/>
          <w:sz w:val="24"/>
          <w:highlight w:val="none"/>
        </w:rPr>
      </w:pPr>
      <w:r>
        <w:rPr>
          <w:rFonts w:hint="eastAsia" w:ascii="宋体" w:hAnsi="宋体"/>
          <w:b/>
          <w:color w:val="auto"/>
          <w:sz w:val="24"/>
          <w:highlight w:val="none"/>
        </w:rPr>
        <w:t>附：评分计分标准，供应商评标得分为下表所列所有项的合计得分。</w:t>
      </w:r>
    </w:p>
    <w:bookmarkEnd w:id="18"/>
    <w:bookmarkEnd w:id="19"/>
    <w:tbl>
      <w:tblPr>
        <w:tblStyle w:val="15"/>
        <w:tblW w:w="9148" w:type="dxa"/>
        <w:tblInd w:w="-251" w:type="dxa"/>
        <w:tblLayout w:type="fixed"/>
        <w:tblCellMar>
          <w:top w:w="0" w:type="dxa"/>
          <w:left w:w="108" w:type="dxa"/>
          <w:bottom w:w="0" w:type="dxa"/>
          <w:right w:w="108" w:type="dxa"/>
        </w:tblCellMar>
      </w:tblPr>
      <w:tblGrid>
        <w:gridCol w:w="726"/>
        <w:gridCol w:w="868"/>
        <w:gridCol w:w="608"/>
        <w:gridCol w:w="917"/>
        <w:gridCol w:w="4895"/>
        <w:gridCol w:w="1134"/>
      </w:tblGrid>
      <w:tr w14:paraId="5EEE9012">
        <w:tblPrEx>
          <w:tblCellMar>
            <w:top w:w="0" w:type="dxa"/>
            <w:left w:w="108" w:type="dxa"/>
            <w:bottom w:w="0" w:type="dxa"/>
            <w:right w:w="108" w:type="dxa"/>
          </w:tblCellMar>
        </w:tblPrEx>
        <w:trPr>
          <w:trHeight w:val="518" w:hRule="atLeast"/>
        </w:trPr>
        <w:tc>
          <w:tcPr>
            <w:tcW w:w="9148" w:type="dxa"/>
            <w:gridSpan w:val="6"/>
            <w:tcBorders>
              <w:top w:val="single" w:color="000000" w:sz="6" w:space="0"/>
              <w:left w:val="single" w:color="000000" w:sz="12" w:space="0"/>
              <w:bottom w:val="single" w:color="000000" w:sz="6" w:space="0"/>
              <w:right w:val="single" w:color="000000" w:sz="12" w:space="0"/>
            </w:tcBorders>
            <w:noWrap w:val="0"/>
            <w:vAlign w:val="center"/>
          </w:tcPr>
          <w:p w14:paraId="19461A32">
            <w:pPr>
              <w:shd w:val="clear" w:color="auto" w:fill="auto"/>
              <w:adjustRightInd/>
              <w:snapToGrid/>
              <w:spacing w:after="0" w:line="400" w:lineRule="exact"/>
              <w:jc w:val="center"/>
              <w:rPr>
                <w:rFonts w:ascii="宋体" w:hAnsi="宋体" w:eastAsia="宋体" w:cs="宋体"/>
                <w:color w:val="auto"/>
                <w:kern w:val="1"/>
                <w:sz w:val="24"/>
                <w:szCs w:val="24"/>
                <w:highlight w:val="none"/>
                <w:lang w:eastAsia="en-US" w:bidi="en-US"/>
              </w:rPr>
            </w:pPr>
            <w:bookmarkStart w:id="501" w:name="_Toc508179890"/>
            <w:bookmarkStart w:id="502" w:name="_Toc16520679"/>
            <w:bookmarkStart w:id="503" w:name="_Toc16520167"/>
            <w:r>
              <w:rPr>
                <w:rFonts w:hint="eastAsia" w:ascii="宋体" w:hAnsi="宋体" w:eastAsia="宋体" w:cs="宋体"/>
                <w:b/>
                <w:color w:val="auto"/>
                <w:kern w:val="1"/>
                <w:sz w:val="24"/>
                <w:szCs w:val="24"/>
                <w:highlight w:val="none"/>
                <w:lang w:eastAsia="en-US" w:bidi="en-US"/>
              </w:rPr>
              <w:t>评分部分（满分100分）</w:t>
            </w:r>
          </w:p>
        </w:tc>
      </w:tr>
      <w:tr w14:paraId="65E3E8EC">
        <w:tblPrEx>
          <w:tblCellMar>
            <w:top w:w="0" w:type="dxa"/>
            <w:left w:w="108" w:type="dxa"/>
            <w:bottom w:w="0" w:type="dxa"/>
            <w:right w:w="108" w:type="dxa"/>
          </w:tblCellMar>
        </w:tblPrEx>
        <w:trPr>
          <w:trHeight w:val="691" w:hRule="atLeast"/>
        </w:trPr>
        <w:tc>
          <w:tcPr>
            <w:tcW w:w="1594" w:type="dxa"/>
            <w:gridSpan w:val="2"/>
            <w:tcBorders>
              <w:top w:val="single" w:color="000000" w:sz="6" w:space="0"/>
              <w:left w:val="single" w:color="000000" w:sz="6" w:space="0"/>
              <w:bottom w:val="single" w:color="000000" w:sz="6" w:space="0"/>
              <w:right w:val="single" w:color="000000" w:sz="6" w:space="0"/>
            </w:tcBorders>
            <w:noWrap w:val="0"/>
            <w:vAlign w:val="center"/>
          </w:tcPr>
          <w:p w14:paraId="6E9FCDAF">
            <w:pPr>
              <w:shd w:val="clear" w:color="auto" w:fill="auto"/>
              <w:adjustRightInd/>
              <w:snapToGrid/>
              <w:spacing w:after="0" w:line="400" w:lineRule="exact"/>
              <w:ind w:left="210" w:hanging="210"/>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分值构成</w:t>
            </w:r>
          </w:p>
          <w:p w14:paraId="32160060">
            <w:pPr>
              <w:shd w:val="clear" w:color="auto" w:fill="auto"/>
              <w:adjustRightInd/>
              <w:snapToGrid/>
              <w:spacing w:after="0" w:line="400" w:lineRule="exact"/>
              <w:ind w:left="210" w:hanging="210"/>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(总分100分)</w:t>
            </w:r>
          </w:p>
        </w:tc>
        <w:tc>
          <w:tcPr>
            <w:tcW w:w="7554" w:type="dxa"/>
            <w:gridSpan w:val="4"/>
            <w:tcBorders>
              <w:top w:val="single" w:color="000000" w:sz="6" w:space="0"/>
              <w:left w:val="single" w:color="000000" w:sz="6" w:space="0"/>
              <w:bottom w:val="single" w:color="000000" w:sz="6" w:space="0"/>
              <w:right w:val="single" w:color="000000" w:sz="12" w:space="0"/>
            </w:tcBorders>
            <w:noWrap w:val="0"/>
            <w:vAlign w:val="center"/>
          </w:tcPr>
          <w:p w14:paraId="26C6E3B1">
            <w:pPr>
              <w:shd w:val="clear" w:color="auto" w:fill="auto"/>
              <w:adjustRightInd/>
              <w:snapToGrid/>
              <w:spacing w:after="0" w:line="400" w:lineRule="exact"/>
              <w:rPr>
                <w:rFonts w:ascii="宋体" w:hAnsi="宋体" w:eastAsia="宋体" w:cs="宋体"/>
                <w:color w:val="auto"/>
                <w:kern w:val="1"/>
                <w:sz w:val="24"/>
                <w:szCs w:val="24"/>
                <w:highlight w:val="none"/>
                <w:lang w:bidi="en-US"/>
              </w:rPr>
            </w:pPr>
            <w:r>
              <w:rPr>
                <w:rFonts w:hint="eastAsia" w:ascii="宋体" w:hAnsi="宋体" w:eastAsia="宋体" w:cs="宋体"/>
                <w:color w:val="auto"/>
                <w:kern w:val="1"/>
                <w:sz w:val="24"/>
                <w:szCs w:val="24"/>
                <w:highlight w:val="none"/>
                <w:lang w:bidi="en-US"/>
              </w:rPr>
              <w:t>商务标：</w:t>
            </w:r>
            <w:r>
              <w:rPr>
                <w:rFonts w:hint="eastAsia" w:ascii="宋体" w:hAnsi="宋体" w:eastAsia="宋体" w:cs="宋体"/>
                <w:color w:val="auto"/>
                <w:kern w:val="1"/>
                <w:sz w:val="24"/>
                <w:szCs w:val="24"/>
                <w:highlight w:val="none"/>
                <w:u w:val="single"/>
                <w:lang w:bidi="en-US"/>
              </w:rPr>
              <w:t>30</w:t>
            </w:r>
            <w:r>
              <w:rPr>
                <w:rFonts w:hint="eastAsia" w:ascii="宋体" w:hAnsi="宋体" w:eastAsia="宋体" w:cs="宋体"/>
                <w:color w:val="auto"/>
                <w:kern w:val="1"/>
                <w:sz w:val="24"/>
                <w:szCs w:val="24"/>
                <w:highlight w:val="none"/>
                <w:lang w:bidi="en-US"/>
              </w:rPr>
              <w:t>分</w:t>
            </w:r>
          </w:p>
          <w:p w14:paraId="218202E0">
            <w:pPr>
              <w:shd w:val="clear" w:color="auto" w:fill="auto"/>
              <w:adjustRightInd/>
              <w:snapToGrid/>
              <w:spacing w:after="0" w:line="400" w:lineRule="exact"/>
              <w:rPr>
                <w:rFonts w:ascii="宋体" w:hAnsi="宋体" w:eastAsia="宋体" w:cs="宋体"/>
                <w:color w:val="auto"/>
                <w:kern w:val="1"/>
                <w:sz w:val="24"/>
                <w:szCs w:val="24"/>
                <w:highlight w:val="none"/>
                <w:lang w:bidi="en-US"/>
              </w:rPr>
            </w:pPr>
            <w:r>
              <w:rPr>
                <w:rFonts w:hint="eastAsia" w:ascii="宋体" w:hAnsi="宋体" w:eastAsia="宋体" w:cs="宋体"/>
                <w:color w:val="auto"/>
                <w:kern w:val="1"/>
                <w:sz w:val="24"/>
                <w:szCs w:val="24"/>
                <w:highlight w:val="none"/>
                <w:lang w:bidi="en-US"/>
              </w:rPr>
              <w:t>技术标：</w:t>
            </w:r>
            <w:r>
              <w:rPr>
                <w:rFonts w:hint="eastAsia" w:ascii="宋体" w:hAnsi="宋体" w:eastAsia="宋体" w:cs="宋体"/>
                <w:color w:val="auto"/>
                <w:kern w:val="1"/>
                <w:sz w:val="24"/>
                <w:szCs w:val="24"/>
                <w:highlight w:val="none"/>
                <w:u w:val="single"/>
                <w:lang w:bidi="en-US"/>
              </w:rPr>
              <w:t>45</w:t>
            </w:r>
            <w:r>
              <w:rPr>
                <w:rFonts w:hint="eastAsia" w:ascii="宋体" w:hAnsi="宋体" w:eastAsia="宋体" w:cs="宋体"/>
                <w:color w:val="auto"/>
                <w:kern w:val="1"/>
                <w:sz w:val="24"/>
                <w:szCs w:val="24"/>
                <w:highlight w:val="none"/>
                <w:lang w:bidi="en-US"/>
              </w:rPr>
              <w:t>分</w:t>
            </w:r>
          </w:p>
          <w:p w14:paraId="223B20C9">
            <w:pPr>
              <w:shd w:val="clear" w:color="auto" w:fill="auto"/>
              <w:adjustRightInd/>
              <w:snapToGrid/>
              <w:spacing w:after="0" w:line="400" w:lineRule="exact"/>
              <w:rPr>
                <w:rFonts w:ascii="宋体" w:hAnsi="宋体" w:eastAsia="宋体" w:cs="宋体"/>
                <w:color w:val="auto"/>
                <w:kern w:val="1"/>
                <w:sz w:val="24"/>
                <w:szCs w:val="24"/>
                <w:highlight w:val="none"/>
                <w:lang w:bidi="en-US"/>
              </w:rPr>
            </w:pPr>
            <w:r>
              <w:rPr>
                <w:rFonts w:hint="eastAsia" w:ascii="宋体" w:hAnsi="宋体" w:eastAsia="宋体" w:cs="宋体"/>
                <w:color w:val="auto"/>
                <w:kern w:val="1"/>
                <w:sz w:val="24"/>
                <w:szCs w:val="24"/>
                <w:highlight w:val="none"/>
                <w:lang w:bidi="en-US"/>
              </w:rPr>
              <w:t>综合标：</w:t>
            </w:r>
            <w:r>
              <w:rPr>
                <w:rFonts w:hint="eastAsia" w:ascii="宋体" w:hAnsi="宋体" w:eastAsia="宋体" w:cs="宋体"/>
                <w:color w:val="auto"/>
                <w:kern w:val="1"/>
                <w:sz w:val="24"/>
                <w:szCs w:val="24"/>
                <w:highlight w:val="none"/>
                <w:u w:val="single"/>
                <w:lang w:bidi="en-US"/>
              </w:rPr>
              <w:t>25</w:t>
            </w:r>
            <w:r>
              <w:rPr>
                <w:rFonts w:hint="eastAsia" w:ascii="宋体" w:hAnsi="宋体" w:eastAsia="宋体" w:cs="宋体"/>
                <w:color w:val="auto"/>
                <w:kern w:val="1"/>
                <w:sz w:val="24"/>
                <w:szCs w:val="24"/>
                <w:highlight w:val="none"/>
                <w:lang w:bidi="en-US"/>
              </w:rPr>
              <w:t>分</w:t>
            </w:r>
          </w:p>
        </w:tc>
      </w:tr>
      <w:tr w14:paraId="0A0C32E1">
        <w:tblPrEx>
          <w:tblCellMar>
            <w:top w:w="0" w:type="dxa"/>
            <w:left w:w="108" w:type="dxa"/>
            <w:bottom w:w="0" w:type="dxa"/>
            <w:right w:w="108" w:type="dxa"/>
          </w:tblCellMar>
        </w:tblPrEx>
        <w:trPr>
          <w:trHeight w:val="207" w:hRule="atLeast"/>
        </w:trPr>
        <w:tc>
          <w:tcPr>
            <w:tcW w:w="1594" w:type="dxa"/>
            <w:gridSpan w:val="2"/>
            <w:tcBorders>
              <w:top w:val="single" w:color="000000" w:sz="6" w:space="0"/>
              <w:left w:val="single" w:color="000000" w:sz="6" w:space="0"/>
              <w:bottom w:val="single" w:color="000000" w:sz="6" w:space="0"/>
              <w:right w:val="single" w:color="000000" w:sz="6" w:space="0"/>
            </w:tcBorders>
            <w:noWrap w:val="0"/>
            <w:vAlign w:val="center"/>
          </w:tcPr>
          <w:p w14:paraId="691EFC64">
            <w:pPr>
              <w:shd w:val="clear" w:color="auto" w:fill="auto"/>
              <w:adjustRightInd/>
              <w:snapToGrid/>
              <w:spacing w:after="0" w:line="400" w:lineRule="exact"/>
              <w:jc w:val="center"/>
              <w:rPr>
                <w:rFonts w:ascii="宋体" w:hAnsi="宋体" w:eastAsia="宋体" w:cs="宋体"/>
                <w:b/>
                <w:color w:val="auto"/>
                <w:kern w:val="1"/>
                <w:sz w:val="24"/>
                <w:szCs w:val="24"/>
                <w:highlight w:val="none"/>
                <w:lang w:eastAsia="en-US" w:bidi="en-US"/>
              </w:rPr>
            </w:pPr>
            <w:r>
              <w:rPr>
                <w:rFonts w:hint="eastAsia" w:ascii="宋体" w:hAnsi="宋体" w:eastAsia="宋体" w:cs="宋体"/>
                <w:b/>
                <w:color w:val="auto"/>
                <w:kern w:val="1"/>
                <w:sz w:val="24"/>
                <w:szCs w:val="24"/>
                <w:highlight w:val="none"/>
                <w:lang w:eastAsia="en-US" w:bidi="en-US"/>
              </w:rPr>
              <w:t>评分因素</w:t>
            </w:r>
          </w:p>
        </w:tc>
        <w:tc>
          <w:tcPr>
            <w:tcW w:w="7554" w:type="dxa"/>
            <w:gridSpan w:val="4"/>
            <w:tcBorders>
              <w:top w:val="single" w:color="000000" w:sz="6" w:space="0"/>
              <w:left w:val="single" w:color="000000" w:sz="6" w:space="0"/>
              <w:bottom w:val="single" w:color="000000" w:sz="6" w:space="0"/>
              <w:right w:val="single" w:color="000000" w:sz="12" w:space="0"/>
            </w:tcBorders>
            <w:noWrap w:val="0"/>
            <w:vAlign w:val="center"/>
          </w:tcPr>
          <w:p w14:paraId="73EE2215">
            <w:pPr>
              <w:shd w:val="clear" w:color="auto" w:fill="auto"/>
              <w:adjustRightInd/>
              <w:snapToGrid/>
              <w:spacing w:after="0" w:line="400" w:lineRule="exact"/>
              <w:jc w:val="center"/>
              <w:rPr>
                <w:rFonts w:ascii="宋体" w:hAnsi="宋体" w:eastAsia="宋体" w:cs="宋体"/>
                <w:b/>
                <w:color w:val="auto"/>
                <w:kern w:val="1"/>
                <w:sz w:val="24"/>
                <w:szCs w:val="24"/>
                <w:highlight w:val="none"/>
                <w:lang w:eastAsia="en-US" w:bidi="en-US"/>
              </w:rPr>
            </w:pPr>
            <w:r>
              <w:rPr>
                <w:rFonts w:hint="eastAsia" w:ascii="宋体" w:hAnsi="宋体" w:eastAsia="宋体" w:cs="宋体"/>
                <w:b/>
                <w:color w:val="auto"/>
                <w:kern w:val="1"/>
                <w:sz w:val="24"/>
                <w:szCs w:val="24"/>
                <w:highlight w:val="none"/>
                <w:lang w:eastAsia="en-US" w:bidi="en-US"/>
              </w:rPr>
              <w:t>评分标准</w:t>
            </w:r>
          </w:p>
        </w:tc>
      </w:tr>
      <w:tr w14:paraId="2D171066">
        <w:tblPrEx>
          <w:tblCellMar>
            <w:top w:w="0" w:type="dxa"/>
            <w:left w:w="108" w:type="dxa"/>
            <w:bottom w:w="0" w:type="dxa"/>
            <w:right w:w="108" w:type="dxa"/>
          </w:tblCellMar>
        </w:tblPrEx>
        <w:trPr>
          <w:trHeight w:val="602" w:hRule="atLeast"/>
        </w:trPr>
        <w:tc>
          <w:tcPr>
            <w:tcW w:w="726" w:type="dxa"/>
            <w:tcBorders>
              <w:top w:val="single" w:color="000000" w:sz="6" w:space="0"/>
              <w:left w:val="single" w:color="000000" w:sz="4" w:space="0"/>
              <w:bottom w:val="single" w:color="000000" w:sz="6" w:space="0"/>
              <w:right w:val="single" w:color="000000" w:sz="6" w:space="0"/>
            </w:tcBorders>
            <w:noWrap w:val="0"/>
            <w:vAlign w:val="center"/>
          </w:tcPr>
          <w:p w14:paraId="32AA31F5">
            <w:pPr>
              <w:shd w:val="clear" w:color="auto" w:fill="auto"/>
              <w:adjustRightInd/>
              <w:snapToGrid/>
              <w:spacing w:after="0" w:line="400" w:lineRule="exact"/>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商务标（</w:t>
            </w:r>
            <w:r>
              <w:rPr>
                <w:rFonts w:hint="eastAsia" w:ascii="宋体" w:hAnsi="宋体" w:eastAsia="宋体" w:cs="宋体"/>
                <w:color w:val="auto"/>
                <w:kern w:val="1"/>
                <w:sz w:val="24"/>
                <w:szCs w:val="24"/>
                <w:highlight w:val="none"/>
                <w:lang w:bidi="en-US"/>
              </w:rPr>
              <w:t>3</w:t>
            </w:r>
            <w:r>
              <w:rPr>
                <w:rFonts w:hint="eastAsia" w:ascii="宋体" w:hAnsi="宋体" w:eastAsia="宋体" w:cs="宋体"/>
                <w:color w:val="auto"/>
                <w:kern w:val="1"/>
                <w:sz w:val="24"/>
                <w:szCs w:val="24"/>
                <w:highlight w:val="none"/>
                <w:lang w:eastAsia="en-US" w:bidi="en-US"/>
              </w:rPr>
              <w:t>0分）</w:t>
            </w:r>
          </w:p>
        </w:tc>
        <w:tc>
          <w:tcPr>
            <w:tcW w:w="868" w:type="dxa"/>
            <w:tcBorders>
              <w:top w:val="single" w:color="000000" w:sz="6" w:space="0"/>
              <w:left w:val="single" w:color="000000" w:sz="4" w:space="0"/>
              <w:bottom w:val="single" w:color="000000" w:sz="6" w:space="0"/>
              <w:right w:val="single" w:color="000000" w:sz="6" w:space="0"/>
            </w:tcBorders>
            <w:noWrap w:val="0"/>
            <w:vAlign w:val="center"/>
          </w:tcPr>
          <w:p w14:paraId="2EEBF9BC">
            <w:pPr>
              <w:shd w:val="clear" w:color="auto" w:fill="auto"/>
              <w:adjustRightInd/>
              <w:snapToGrid/>
              <w:spacing w:after="0" w:line="400" w:lineRule="exact"/>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投标报价</w:t>
            </w:r>
          </w:p>
        </w:tc>
        <w:tc>
          <w:tcPr>
            <w:tcW w:w="7554" w:type="dxa"/>
            <w:gridSpan w:val="4"/>
            <w:tcBorders>
              <w:top w:val="single" w:color="000000" w:sz="6" w:space="0"/>
              <w:left w:val="single" w:color="000000" w:sz="6" w:space="0"/>
              <w:bottom w:val="single" w:color="000000" w:sz="6" w:space="0"/>
              <w:right w:val="single" w:color="000000" w:sz="12" w:space="0"/>
            </w:tcBorders>
            <w:noWrap w:val="0"/>
            <w:vAlign w:val="center"/>
          </w:tcPr>
          <w:p w14:paraId="254CAC16">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1、综合评分法中的价格分统一采用低价优先法计算，即满足磋商文件要求且最后报价最低的供应商的价格为磋商基准价，其价格分为满分。</w:t>
            </w:r>
          </w:p>
          <w:p w14:paraId="4DC608D8">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2、其他供应商的价格分统一按照下列公式计算：磋商报价得分=（磋商基准价/最后磋商报价）×30</w:t>
            </w:r>
          </w:p>
          <w:p w14:paraId="39C683A0">
            <w:pPr>
              <w:shd w:val="clear" w:color="auto" w:fill="auto"/>
              <w:adjustRightInd/>
              <w:snapToGrid/>
              <w:spacing w:after="0" w:line="400" w:lineRule="exact"/>
              <w:rPr>
                <w:rFonts w:ascii="宋体" w:hAnsi="宋体" w:eastAsia="宋体" w:cs="宋体"/>
                <w:b/>
                <w:bCs/>
                <w:color w:val="auto"/>
                <w:sz w:val="24"/>
                <w:szCs w:val="24"/>
                <w:highlight w:val="none"/>
                <w:lang w:bidi="en-US"/>
              </w:rPr>
            </w:pPr>
            <w:r>
              <w:rPr>
                <w:rFonts w:hint="eastAsia" w:ascii="宋体" w:hAnsi="宋体" w:eastAsia="宋体" w:cs="宋体"/>
                <w:b/>
                <w:bCs/>
                <w:color w:val="auto"/>
                <w:sz w:val="24"/>
                <w:szCs w:val="24"/>
                <w:highlight w:val="none"/>
                <w:lang w:bidi="en-US"/>
              </w:rPr>
              <w:t>注：（1）分值计算保留两位小数。</w:t>
            </w:r>
          </w:p>
          <w:p w14:paraId="036D79B6">
            <w:pPr>
              <w:shd w:val="clear" w:color="auto" w:fill="auto"/>
              <w:adjustRightInd/>
              <w:snapToGrid/>
              <w:spacing w:after="0" w:line="400" w:lineRule="exact"/>
              <w:rPr>
                <w:rFonts w:ascii="宋体" w:hAnsi="宋体" w:eastAsia="宋体" w:cs="宋体"/>
                <w:b/>
                <w:bCs/>
                <w:color w:val="auto"/>
                <w:sz w:val="24"/>
                <w:szCs w:val="24"/>
                <w:highlight w:val="none"/>
                <w:lang w:bidi="en-US"/>
              </w:rPr>
            </w:pPr>
            <w:r>
              <w:rPr>
                <w:rFonts w:hint="eastAsia" w:ascii="宋体" w:hAnsi="宋体" w:eastAsia="宋体" w:cs="宋体"/>
                <w:b/>
                <w:bCs/>
                <w:color w:val="auto"/>
                <w:sz w:val="24"/>
                <w:szCs w:val="24"/>
                <w:highlight w:val="none"/>
                <w:lang w:bidi="en-US"/>
              </w:rPr>
              <w:t>（2）参加投标活动的中小企业应当提供《政府采购促进中小企业发展管理办法》（财库﹝2020﹞46号）规定的《中小企业声明函》，未填写中小企业声明函的在评标过程中不予认可。若提供的声明与实际情况不符，采购人有权取消该中标响应人的中标资格，并对因其造成的损失进行追责；</w:t>
            </w:r>
          </w:p>
          <w:p w14:paraId="3A928B77">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b/>
                <w:bCs/>
                <w:color w:val="auto"/>
                <w:sz w:val="24"/>
                <w:szCs w:val="24"/>
                <w:highlight w:val="none"/>
                <w:lang w:bidi="en-US"/>
              </w:rPr>
              <w:t>3、磋商小组认为供应商的报价明显低于其他通过符合性审查供应商的报价，有可能影响工程质量或者不能诚信履约的，应当要求其在合理的时间内提供说明，必要时提交相关证明材料；供应商不能证明其报价合理性的，磋商小组应当将其作为无效文件处理。</w:t>
            </w:r>
          </w:p>
        </w:tc>
      </w:tr>
      <w:tr w14:paraId="0294D30E">
        <w:tblPrEx>
          <w:tblCellMar>
            <w:top w:w="0" w:type="dxa"/>
            <w:left w:w="108" w:type="dxa"/>
            <w:bottom w:w="0" w:type="dxa"/>
            <w:right w:w="108" w:type="dxa"/>
          </w:tblCellMar>
        </w:tblPrEx>
        <w:trPr>
          <w:trHeight w:val="406" w:hRule="atLeast"/>
        </w:trPr>
        <w:tc>
          <w:tcPr>
            <w:tcW w:w="726" w:type="dxa"/>
            <w:vMerge w:val="restart"/>
            <w:tcBorders>
              <w:top w:val="single" w:color="000000" w:sz="6" w:space="0"/>
              <w:left w:val="single" w:color="000000" w:sz="6" w:space="0"/>
              <w:right w:val="single" w:color="000000" w:sz="4" w:space="0"/>
            </w:tcBorders>
            <w:noWrap w:val="0"/>
            <w:vAlign w:val="center"/>
          </w:tcPr>
          <w:p w14:paraId="325BBDD9">
            <w:pPr>
              <w:shd w:val="clear" w:color="auto" w:fill="auto"/>
              <w:adjustRightInd/>
              <w:snapToGrid/>
              <w:spacing w:after="0" w:line="400" w:lineRule="exact"/>
              <w:jc w:val="center"/>
              <w:rPr>
                <w:rFonts w:ascii="宋体" w:hAnsi="宋体" w:eastAsia="宋体" w:cs="宋体"/>
                <w:color w:val="auto"/>
                <w:spacing w:val="6"/>
                <w:kern w:val="1"/>
                <w:sz w:val="24"/>
                <w:szCs w:val="24"/>
                <w:highlight w:val="none"/>
                <w:lang w:eastAsia="en-US" w:bidi="en-US"/>
              </w:rPr>
            </w:pPr>
            <w:r>
              <w:rPr>
                <w:rFonts w:hint="eastAsia" w:ascii="宋体" w:hAnsi="宋体" w:eastAsia="宋体" w:cs="宋体"/>
                <w:color w:val="auto"/>
                <w:spacing w:val="6"/>
                <w:kern w:val="1"/>
                <w:sz w:val="24"/>
                <w:szCs w:val="24"/>
                <w:highlight w:val="none"/>
                <w:lang w:eastAsia="en-US" w:bidi="en-US"/>
              </w:rPr>
              <w:t>技术标</w:t>
            </w:r>
          </w:p>
          <w:p w14:paraId="67E3C80A">
            <w:pPr>
              <w:shd w:val="clear" w:color="auto" w:fill="auto"/>
              <w:adjustRightInd/>
              <w:snapToGrid/>
              <w:spacing w:after="0" w:line="400" w:lineRule="exact"/>
              <w:jc w:val="center"/>
              <w:rPr>
                <w:rFonts w:ascii="宋体" w:hAnsi="宋体" w:eastAsia="宋体" w:cs="宋体"/>
                <w:color w:val="auto"/>
                <w:spacing w:val="6"/>
                <w:kern w:val="1"/>
                <w:sz w:val="24"/>
                <w:szCs w:val="24"/>
                <w:highlight w:val="none"/>
                <w:lang w:eastAsia="en-US" w:bidi="en-US"/>
              </w:rPr>
            </w:pPr>
            <w:r>
              <w:rPr>
                <w:rFonts w:hint="eastAsia" w:ascii="宋体" w:hAnsi="宋体" w:eastAsia="宋体" w:cs="宋体"/>
                <w:color w:val="auto"/>
                <w:spacing w:val="6"/>
                <w:kern w:val="1"/>
                <w:sz w:val="24"/>
                <w:szCs w:val="24"/>
                <w:highlight w:val="none"/>
                <w:lang w:eastAsia="en-US" w:bidi="en-US"/>
              </w:rPr>
              <w:t>（</w:t>
            </w:r>
            <w:r>
              <w:rPr>
                <w:rFonts w:hint="eastAsia" w:ascii="宋体" w:hAnsi="宋体" w:eastAsia="宋体" w:cs="宋体"/>
                <w:color w:val="auto"/>
                <w:spacing w:val="6"/>
                <w:kern w:val="1"/>
                <w:sz w:val="24"/>
                <w:szCs w:val="24"/>
                <w:highlight w:val="none"/>
                <w:lang w:bidi="en-US"/>
              </w:rPr>
              <w:t>45</w:t>
            </w:r>
            <w:r>
              <w:rPr>
                <w:rFonts w:hint="eastAsia" w:ascii="宋体" w:hAnsi="宋体" w:eastAsia="宋体" w:cs="宋体"/>
                <w:color w:val="auto"/>
                <w:spacing w:val="6"/>
                <w:kern w:val="1"/>
                <w:sz w:val="24"/>
                <w:szCs w:val="24"/>
                <w:highlight w:val="none"/>
                <w:lang w:eastAsia="en-US" w:bidi="en-US"/>
              </w:rPr>
              <w:t>分）</w:t>
            </w:r>
          </w:p>
        </w:tc>
        <w:tc>
          <w:tcPr>
            <w:tcW w:w="868" w:type="dxa"/>
            <w:vMerge w:val="restart"/>
            <w:tcBorders>
              <w:top w:val="single" w:color="000000" w:sz="6" w:space="0"/>
              <w:left w:val="single" w:color="000000" w:sz="6" w:space="0"/>
              <w:right w:val="single" w:color="000000" w:sz="4" w:space="0"/>
            </w:tcBorders>
            <w:noWrap w:val="0"/>
            <w:vAlign w:val="center"/>
          </w:tcPr>
          <w:p w14:paraId="60E195CB">
            <w:pPr>
              <w:shd w:val="clear" w:color="auto" w:fill="auto"/>
              <w:adjustRightInd/>
              <w:snapToGrid/>
              <w:spacing w:after="0" w:line="400" w:lineRule="exact"/>
              <w:jc w:val="center"/>
              <w:rPr>
                <w:rFonts w:ascii="宋体" w:hAnsi="宋体" w:eastAsia="宋体" w:cs="宋体"/>
                <w:color w:val="auto"/>
                <w:spacing w:val="6"/>
                <w:kern w:val="1"/>
                <w:sz w:val="24"/>
                <w:szCs w:val="24"/>
                <w:highlight w:val="none"/>
                <w:lang w:bidi="en-US"/>
              </w:rPr>
            </w:pPr>
            <w:r>
              <w:rPr>
                <w:rFonts w:hint="eastAsia" w:ascii="宋体" w:hAnsi="宋体" w:eastAsia="宋体" w:cs="宋体"/>
                <w:color w:val="auto"/>
                <w:spacing w:val="6"/>
                <w:kern w:val="1"/>
                <w:sz w:val="24"/>
                <w:szCs w:val="24"/>
                <w:highlight w:val="none"/>
                <w:lang w:bidi="en-US"/>
              </w:rPr>
              <w:t>施工组织设计</w:t>
            </w:r>
          </w:p>
          <w:p w14:paraId="68FF8CA3">
            <w:pPr>
              <w:shd w:val="clear" w:color="auto" w:fill="auto"/>
              <w:adjustRightInd/>
              <w:snapToGrid/>
              <w:spacing w:after="0" w:line="400" w:lineRule="exact"/>
              <w:jc w:val="center"/>
              <w:rPr>
                <w:rFonts w:ascii="宋体" w:hAnsi="宋体" w:eastAsia="宋体" w:cs="宋体"/>
                <w:color w:val="auto"/>
                <w:spacing w:val="6"/>
                <w:kern w:val="1"/>
                <w:sz w:val="24"/>
                <w:szCs w:val="24"/>
                <w:highlight w:val="none"/>
                <w:lang w:bidi="en-US"/>
              </w:rPr>
            </w:pPr>
            <w:r>
              <w:rPr>
                <w:rFonts w:hint="eastAsia" w:ascii="宋体" w:hAnsi="宋体" w:eastAsia="宋体" w:cs="宋体"/>
                <w:color w:val="auto"/>
                <w:spacing w:val="6"/>
                <w:kern w:val="1"/>
                <w:sz w:val="24"/>
                <w:szCs w:val="24"/>
                <w:highlight w:val="none"/>
                <w:lang w:bidi="en-US"/>
              </w:rPr>
              <w:t>评分标准</w:t>
            </w:r>
          </w:p>
        </w:tc>
        <w:tc>
          <w:tcPr>
            <w:tcW w:w="1525" w:type="dxa"/>
            <w:gridSpan w:val="2"/>
            <w:vMerge w:val="restart"/>
            <w:tcBorders>
              <w:top w:val="single" w:color="000000" w:sz="6" w:space="0"/>
              <w:left w:val="single" w:color="000000" w:sz="4" w:space="0"/>
              <w:right w:val="single" w:color="000000" w:sz="6" w:space="0"/>
            </w:tcBorders>
            <w:noWrap w:val="0"/>
            <w:vAlign w:val="center"/>
          </w:tcPr>
          <w:p w14:paraId="14F30344">
            <w:pPr>
              <w:shd w:val="clear" w:color="auto" w:fill="auto"/>
              <w:spacing w:after="0" w:line="360" w:lineRule="auto"/>
              <w:jc w:val="both"/>
              <w:rPr>
                <w:rFonts w:ascii="宋体" w:hAnsi="宋体" w:eastAsia="宋体" w:cs="宋体"/>
                <w:color w:val="auto"/>
                <w:sz w:val="24"/>
                <w:szCs w:val="24"/>
                <w:highlight w:val="none"/>
              </w:rPr>
            </w:pPr>
            <w:r>
              <w:rPr>
                <w:rFonts w:hint="eastAsia" w:ascii="宋体" w:hAnsi="宋体" w:eastAsia="宋体" w:cs="Times New Roman"/>
                <w:color w:val="auto"/>
                <w:sz w:val="24"/>
                <w:szCs w:val="24"/>
                <w:highlight w:val="none"/>
                <w:lang w:val="zh-CN"/>
              </w:rPr>
              <w:t>1.</w:t>
            </w:r>
            <w:r>
              <w:rPr>
                <w:rFonts w:hint="eastAsia" w:ascii="宋体" w:hAnsi="宋体" w:eastAsia="宋体" w:cs="Times New Roman"/>
                <w:color w:val="auto"/>
                <w:sz w:val="24"/>
                <w:szCs w:val="24"/>
                <w:highlight w:val="none"/>
              </w:rPr>
              <w:t>主要施工方法（0-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4895" w:type="dxa"/>
            <w:vMerge w:val="restart"/>
            <w:tcBorders>
              <w:top w:val="single" w:color="000000" w:sz="6" w:space="0"/>
              <w:left w:val="single" w:color="000000" w:sz="6" w:space="0"/>
              <w:right w:val="single" w:color="000000" w:sz="12" w:space="0"/>
            </w:tcBorders>
            <w:noWrap w:val="0"/>
            <w:vAlign w:val="center"/>
          </w:tcPr>
          <w:p w14:paraId="17AB14E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Times New Roman"/>
                <w:color w:val="auto"/>
                <w:sz w:val="24"/>
                <w:szCs w:val="24"/>
                <w:highlight w:val="none"/>
              </w:rPr>
              <w:t>各</w:t>
            </w:r>
            <w:r>
              <w:rPr>
                <w:rFonts w:hint="eastAsia" w:ascii="宋体" w:hAnsi="宋体" w:eastAsia="宋体" w:cs="宋体"/>
                <w:color w:val="auto"/>
                <w:sz w:val="24"/>
                <w:szCs w:val="24"/>
                <w:highlight w:val="none"/>
                <w:lang w:bidi="en-US"/>
              </w:rPr>
              <w:t>项主要内容的施工方案和措施</w:t>
            </w:r>
          </w:p>
          <w:p w14:paraId="7ED8BB4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34F04DDD">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2A966CC0">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01EF713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419F032B">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51CC5A29">
            <w:pPr>
              <w:shd w:val="clear" w:color="auto" w:fill="auto"/>
              <w:adjustRightInd/>
              <w:snapToGrid/>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en-US"/>
              </w:rPr>
              <w:t>未针对本项描述的得0分。</w:t>
            </w:r>
          </w:p>
        </w:tc>
        <w:tc>
          <w:tcPr>
            <w:tcW w:w="1134" w:type="dxa"/>
            <w:vMerge w:val="restart"/>
            <w:tcBorders>
              <w:top w:val="single" w:color="000000" w:sz="6" w:space="0"/>
              <w:left w:val="single" w:color="000000" w:sz="6" w:space="0"/>
              <w:right w:val="single" w:color="000000" w:sz="12" w:space="0"/>
            </w:tcBorders>
            <w:noWrap w:val="0"/>
            <w:vAlign w:val="center"/>
          </w:tcPr>
          <w:p w14:paraId="2E403FA7">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064AC596">
        <w:tblPrEx>
          <w:tblCellMar>
            <w:top w:w="0" w:type="dxa"/>
            <w:left w:w="108" w:type="dxa"/>
            <w:bottom w:w="0" w:type="dxa"/>
            <w:right w:w="108" w:type="dxa"/>
          </w:tblCellMar>
        </w:tblPrEx>
        <w:trPr>
          <w:trHeight w:val="2779" w:hRule="atLeast"/>
        </w:trPr>
        <w:tc>
          <w:tcPr>
            <w:tcW w:w="726" w:type="dxa"/>
            <w:vMerge w:val="continue"/>
            <w:tcBorders>
              <w:left w:val="single" w:color="000000" w:sz="6" w:space="0"/>
              <w:right w:val="single" w:color="000000" w:sz="4" w:space="0"/>
            </w:tcBorders>
            <w:noWrap w:val="0"/>
            <w:vAlign w:val="top"/>
          </w:tcPr>
          <w:p w14:paraId="6295E645">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6AB2CED3">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vMerge w:val="continue"/>
            <w:tcBorders>
              <w:left w:val="single" w:color="000000" w:sz="4" w:space="0"/>
              <w:bottom w:val="single" w:color="000000" w:sz="6" w:space="0"/>
              <w:right w:val="single" w:color="000000" w:sz="6" w:space="0"/>
            </w:tcBorders>
            <w:noWrap w:val="0"/>
            <w:vAlign w:val="center"/>
          </w:tcPr>
          <w:p w14:paraId="08BC9232">
            <w:pPr>
              <w:shd w:val="clear" w:color="auto" w:fill="auto"/>
              <w:spacing w:after="0" w:line="360" w:lineRule="auto"/>
              <w:jc w:val="both"/>
              <w:rPr>
                <w:rFonts w:ascii="宋体" w:hAnsi="宋体" w:eastAsia="宋体" w:cs="Times New Roman"/>
                <w:color w:val="auto"/>
                <w:sz w:val="24"/>
                <w:szCs w:val="24"/>
                <w:highlight w:val="none"/>
                <w:lang w:val="zh-CN"/>
              </w:rPr>
            </w:pPr>
          </w:p>
        </w:tc>
        <w:tc>
          <w:tcPr>
            <w:tcW w:w="4895" w:type="dxa"/>
            <w:vMerge w:val="continue"/>
            <w:tcBorders>
              <w:left w:val="single" w:color="000000" w:sz="6" w:space="0"/>
              <w:bottom w:val="single" w:color="000000" w:sz="6" w:space="0"/>
              <w:right w:val="single" w:color="000000" w:sz="12" w:space="0"/>
            </w:tcBorders>
            <w:noWrap w:val="0"/>
            <w:vAlign w:val="center"/>
          </w:tcPr>
          <w:p w14:paraId="2B31C575">
            <w:pPr>
              <w:shd w:val="clear" w:color="auto" w:fill="auto"/>
              <w:spacing w:after="0" w:line="360" w:lineRule="auto"/>
              <w:jc w:val="both"/>
              <w:rPr>
                <w:rFonts w:ascii="宋体" w:hAnsi="宋体" w:eastAsia="宋体" w:cs="Times New Roman"/>
                <w:color w:val="auto"/>
                <w:sz w:val="24"/>
                <w:szCs w:val="24"/>
                <w:highlight w:val="none"/>
                <w:lang w:val="zh-CN"/>
              </w:rPr>
            </w:pPr>
          </w:p>
        </w:tc>
        <w:tc>
          <w:tcPr>
            <w:tcW w:w="1134" w:type="dxa"/>
            <w:vMerge w:val="continue"/>
            <w:tcBorders>
              <w:left w:val="single" w:color="000000" w:sz="6" w:space="0"/>
              <w:bottom w:val="single" w:color="000000" w:sz="6" w:space="0"/>
              <w:right w:val="single" w:color="000000" w:sz="12" w:space="0"/>
            </w:tcBorders>
            <w:noWrap w:val="0"/>
            <w:vAlign w:val="center"/>
          </w:tcPr>
          <w:p w14:paraId="48FB8333">
            <w:pPr>
              <w:shd w:val="clear" w:color="auto" w:fill="auto"/>
              <w:spacing w:after="0" w:line="400" w:lineRule="exact"/>
              <w:jc w:val="center"/>
              <w:rPr>
                <w:rFonts w:ascii="宋体" w:hAnsi="宋体" w:eastAsia="宋体" w:cs="宋体"/>
                <w:color w:val="auto"/>
                <w:sz w:val="24"/>
                <w:szCs w:val="24"/>
                <w:highlight w:val="none"/>
              </w:rPr>
            </w:pPr>
          </w:p>
        </w:tc>
      </w:tr>
      <w:tr w14:paraId="16385764">
        <w:tblPrEx>
          <w:tblCellMar>
            <w:top w:w="0" w:type="dxa"/>
            <w:left w:w="108" w:type="dxa"/>
            <w:bottom w:w="0" w:type="dxa"/>
            <w:right w:w="108" w:type="dxa"/>
          </w:tblCellMar>
        </w:tblPrEx>
        <w:trPr>
          <w:trHeight w:val="363" w:hRule="atLeast"/>
        </w:trPr>
        <w:tc>
          <w:tcPr>
            <w:tcW w:w="726" w:type="dxa"/>
            <w:vMerge w:val="continue"/>
            <w:tcBorders>
              <w:left w:val="single" w:color="000000" w:sz="6" w:space="0"/>
              <w:right w:val="single" w:color="000000" w:sz="4" w:space="0"/>
            </w:tcBorders>
            <w:noWrap w:val="0"/>
            <w:vAlign w:val="top"/>
          </w:tcPr>
          <w:p w14:paraId="40B2E464">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029EB791">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1F978801">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rPr>
              <w:t>2.工程施工重点、难点分析及对策（0-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7DA1C3CA">
            <w:pPr>
              <w:shd w:val="clear" w:color="auto" w:fill="auto"/>
              <w:adjustRightInd/>
              <w:snapToGrid/>
              <w:spacing w:after="0" w:line="4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工程施工中重难点问题及关键过程分析</w:t>
            </w:r>
          </w:p>
          <w:p w14:paraId="6A6FF00E">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44EF65E9">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714C922C">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5D0981E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4EF7B59E">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04332C73">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7F653194">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1E5D591B">
        <w:tblPrEx>
          <w:tblCellMar>
            <w:top w:w="0" w:type="dxa"/>
            <w:left w:w="108" w:type="dxa"/>
            <w:bottom w:w="0" w:type="dxa"/>
            <w:right w:w="108" w:type="dxa"/>
          </w:tblCellMar>
        </w:tblPrEx>
        <w:trPr>
          <w:trHeight w:val="349" w:hRule="atLeast"/>
        </w:trPr>
        <w:tc>
          <w:tcPr>
            <w:tcW w:w="726" w:type="dxa"/>
            <w:vMerge w:val="continue"/>
            <w:tcBorders>
              <w:left w:val="single" w:color="000000" w:sz="6" w:space="0"/>
              <w:right w:val="single" w:color="000000" w:sz="4" w:space="0"/>
            </w:tcBorders>
            <w:noWrap w:val="0"/>
            <w:vAlign w:val="top"/>
          </w:tcPr>
          <w:p w14:paraId="069C1A61">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7C00A401">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771C2DA5">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3.</w:t>
            </w:r>
            <w:r>
              <w:rPr>
                <w:rFonts w:hint="eastAsia" w:ascii="宋体" w:hAnsi="宋体" w:eastAsia="宋体" w:cs="Times New Roman"/>
                <w:color w:val="auto"/>
                <w:sz w:val="24"/>
                <w:szCs w:val="24"/>
                <w:highlight w:val="none"/>
              </w:rPr>
              <w:t>质量管理体系与措施（0-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3166278D">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包含但不限于以下方面：质量管理的组织机构及职责、项目质量目标、制度及保障措施、关键分部主体结构严格按照强制性标准实施、建立项目建设过程质量检查制度，制定纠正和预防措施等方面；</w:t>
            </w:r>
          </w:p>
          <w:p w14:paraId="580DBA1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1441EDED">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6808AD8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0BF131D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14FBD80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61189FE9">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368AF04C">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429C08DB">
        <w:tblPrEx>
          <w:tblCellMar>
            <w:top w:w="0" w:type="dxa"/>
            <w:left w:w="108" w:type="dxa"/>
            <w:bottom w:w="0" w:type="dxa"/>
            <w:right w:w="108" w:type="dxa"/>
          </w:tblCellMar>
        </w:tblPrEx>
        <w:trPr>
          <w:trHeight w:val="364" w:hRule="atLeast"/>
        </w:trPr>
        <w:tc>
          <w:tcPr>
            <w:tcW w:w="726" w:type="dxa"/>
            <w:vMerge w:val="continue"/>
            <w:tcBorders>
              <w:left w:val="single" w:color="000000" w:sz="6" w:space="0"/>
              <w:right w:val="single" w:color="000000" w:sz="4" w:space="0"/>
            </w:tcBorders>
            <w:noWrap w:val="0"/>
            <w:vAlign w:val="top"/>
          </w:tcPr>
          <w:p w14:paraId="0492CDA8">
            <w:pPr>
              <w:shd w:val="clear" w:color="auto" w:fill="auto"/>
              <w:adjustRightInd/>
              <w:snapToGrid/>
              <w:spacing w:after="0" w:line="400" w:lineRule="exact"/>
              <w:rPr>
                <w:rFonts w:ascii="宋体" w:hAnsi="宋体" w:eastAsia="宋体" w:cs="宋体"/>
                <w:color w:val="auto"/>
                <w:kern w:val="1"/>
                <w:sz w:val="24"/>
                <w:szCs w:val="24"/>
                <w:highlight w:val="none"/>
                <w:lang w:eastAsia="en-US" w:bidi="en-US"/>
              </w:rPr>
            </w:pPr>
          </w:p>
        </w:tc>
        <w:tc>
          <w:tcPr>
            <w:tcW w:w="868" w:type="dxa"/>
            <w:vMerge w:val="continue"/>
            <w:tcBorders>
              <w:left w:val="single" w:color="000000" w:sz="6" w:space="0"/>
              <w:right w:val="single" w:color="000000" w:sz="4" w:space="0"/>
            </w:tcBorders>
            <w:noWrap w:val="0"/>
            <w:vAlign w:val="top"/>
          </w:tcPr>
          <w:p w14:paraId="5793DCDD">
            <w:pPr>
              <w:shd w:val="clear" w:color="auto" w:fill="auto"/>
              <w:adjustRightInd/>
              <w:snapToGrid/>
              <w:spacing w:after="0" w:line="400" w:lineRule="exact"/>
              <w:rPr>
                <w:rFonts w:ascii="宋体" w:hAnsi="宋体" w:eastAsia="宋体" w:cs="宋体"/>
                <w:color w:val="auto"/>
                <w:kern w:val="1"/>
                <w:sz w:val="24"/>
                <w:szCs w:val="24"/>
                <w:highlight w:val="none"/>
                <w:lang w:eastAsia="en-US"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2D7D0C65">
            <w:pPr>
              <w:shd w:val="clear" w:color="auto" w:fill="auto"/>
              <w:spacing w:after="0" w:line="360" w:lineRule="auto"/>
              <w:jc w:val="both"/>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4.安全管理体系与措施（0-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0347D2D0">
            <w:pPr>
              <w:shd w:val="clear" w:color="auto" w:fill="auto"/>
              <w:adjustRightInd/>
              <w:snapToGrid/>
              <w:spacing w:after="0" w:line="4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施工安全生产保障体系健全，安全管理制度完善，安全管理目标具体，全员安全责任制明确，现场安全管理组织机构、人员配备满足国家规定</w:t>
            </w:r>
          </w:p>
          <w:p w14:paraId="510FF0C2">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696596BE">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2CB2F7FB">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2A3FAE96">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58F75D1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63DE11E8">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44A771AC">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0C135B2E">
        <w:tblPrEx>
          <w:tblCellMar>
            <w:top w:w="0" w:type="dxa"/>
            <w:left w:w="108" w:type="dxa"/>
            <w:bottom w:w="0" w:type="dxa"/>
            <w:right w:w="108" w:type="dxa"/>
          </w:tblCellMar>
        </w:tblPrEx>
        <w:trPr>
          <w:trHeight w:val="349" w:hRule="atLeast"/>
        </w:trPr>
        <w:tc>
          <w:tcPr>
            <w:tcW w:w="726" w:type="dxa"/>
            <w:vMerge w:val="continue"/>
            <w:tcBorders>
              <w:left w:val="single" w:color="000000" w:sz="6" w:space="0"/>
              <w:right w:val="single" w:color="000000" w:sz="4" w:space="0"/>
            </w:tcBorders>
            <w:noWrap w:val="0"/>
            <w:vAlign w:val="top"/>
          </w:tcPr>
          <w:p w14:paraId="6ACCC3CF">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3C406FC8">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44B32AD3">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5.</w:t>
            </w:r>
            <w:r>
              <w:rPr>
                <w:rFonts w:hint="eastAsia" w:ascii="宋体" w:hAnsi="宋体" w:eastAsia="宋体" w:cs="Times New Roman"/>
                <w:color w:val="auto"/>
                <w:sz w:val="24"/>
                <w:szCs w:val="24"/>
                <w:highlight w:val="none"/>
              </w:rPr>
              <w:t>工程进度计划与措施（0-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622CBA92">
            <w:pPr>
              <w:shd w:val="clear" w:color="auto" w:fill="auto"/>
              <w:adjustRightInd/>
              <w:snapToGrid/>
              <w:spacing w:after="0" w:line="4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对总体进度计划、关键节点及中间完工项目施工进度计划、施工强度等</w:t>
            </w:r>
          </w:p>
          <w:p w14:paraId="575FCC5C">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33EC040A">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60EF7362">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7D27048C">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461C1CF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483131E0">
            <w:pPr>
              <w:shd w:val="clear" w:color="auto" w:fill="auto"/>
              <w:spacing w:after="0" w:line="360" w:lineRule="auto"/>
              <w:jc w:val="both"/>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541B1C50">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10D21DF0">
        <w:tblPrEx>
          <w:tblCellMar>
            <w:top w:w="0" w:type="dxa"/>
            <w:left w:w="108" w:type="dxa"/>
            <w:bottom w:w="0" w:type="dxa"/>
            <w:right w:w="108" w:type="dxa"/>
          </w:tblCellMar>
        </w:tblPrEx>
        <w:trPr>
          <w:trHeight w:val="391" w:hRule="atLeast"/>
        </w:trPr>
        <w:tc>
          <w:tcPr>
            <w:tcW w:w="726" w:type="dxa"/>
            <w:vMerge w:val="continue"/>
            <w:tcBorders>
              <w:left w:val="single" w:color="000000" w:sz="6" w:space="0"/>
              <w:right w:val="single" w:color="000000" w:sz="4" w:space="0"/>
            </w:tcBorders>
            <w:noWrap w:val="0"/>
            <w:vAlign w:val="top"/>
          </w:tcPr>
          <w:p w14:paraId="626EAA4E">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35B023EF">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59F2EB07">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6.</w:t>
            </w:r>
            <w:r>
              <w:rPr>
                <w:rFonts w:hint="eastAsia" w:ascii="宋体" w:hAnsi="宋体" w:eastAsia="宋体" w:cs="Times New Roman"/>
                <w:color w:val="auto"/>
                <w:sz w:val="24"/>
                <w:szCs w:val="24"/>
                <w:highlight w:val="none"/>
              </w:rPr>
              <w:t>组织机构及管理人员、资源配备计划（0-5分）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78C344FC">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1.组织机构模式合理并满足工程施工需要，各部门责任、任务明确</w:t>
            </w:r>
          </w:p>
          <w:p w14:paraId="4A48A972">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内容完整、切实可行，完全符合本项目需求的得3分；</w:t>
            </w:r>
          </w:p>
          <w:p w14:paraId="61E19DB1">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内容较为完善、较切实可行，较符合本项目需求的得，得2分；</w:t>
            </w:r>
          </w:p>
          <w:p w14:paraId="14647ED9">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内容基本完善，基本可行，基本符合本项目需求的得1分；</w:t>
            </w:r>
          </w:p>
          <w:p w14:paraId="3FD1DE06">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未针对本项描述的得0分。</w:t>
            </w:r>
          </w:p>
          <w:p w14:paraId="61D90128">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2.劳动力配备计划及主要施工机械配备计划合理、可行</w:t>
            </w:r>
          </w:p>
          <w:p w14:paraId="29A7A57E">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内容完整、切实可行，完全符合本项目需求的得2分；</w:t>
            </w:r>
          </w:p>
          <w:p w14:paraId="07D3B1E8">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内容较为完善、较切实可行，较符合本项目需求的得，得1分；</w:t>
            </w:r>
          </w:p>
          <w:p w14:paraId="497917C4">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3AB30FED">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0-5分</w:t>
            </w:r>
          </w:p>
        </w:tc>
      </w:tr>
      <w:tr w14:paraId="61C7880B">
        <w:tblPrEx>
          <w:tblCellMar>
            <w:top w:w="0" w:type="dxa"/>
            <w:left w:w="108" w:type="dxa"/>
            <w:bottom w:w="0" w:type="dxa"/>
            <w:right w:w="108" w:type="dxa"/>
          </w:tblCellMar>
        </w:tblPrEx>
        <w:trPr>
          <w:trHeight w:val="979" w:hRule="atLeast"/>
        </w:trPr>
        <w:tc>
          <w:tcPr>
            <w:tcW w:w="726" w:type="dxa"/>
            <w:vMerge w:val="continue"/>
            <w:tcBorders>
              <w:left w:val="single" w:color="000000" w:sz="6" w:space="0"/>
              <w:right w:val="single" w:color="000000" w:sz="4" w:space="0"/>
            </w:tcBorders>
            <w:noWrap w:val="0"/>
            <w:vAlign w:val="top"/>
          </w:tcPr>
          <w:p w14:paraId="4EE0D763">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12669516">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737D4C49">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rPr>
              <w:t>7.</w:t>
            </w:r>
            <w:r>
              <w:rPr>
                <w:rFonts w:hint="eastAsia" w:ascii="宋体" w:hAnsi="宋体" w:eastAsia="宋体" w:cs="Times New Roman"/>
                <w:color w:val="auto"/>
                <w:sz w:val="24"/>
                <w:szCs w:val="24"/>
                <w:highlight w:val="none"/>
                <w:lang w:val="zh-CN"/>
              </w:rPr>
              <w:t>确保环境保护管理的技术与措施（</w:t>
            </w:r>
            <w:r>
              <w:rPr>
                <w:rFonts w:hint="eastAsia" w:ascii="宋体" w:hAnsi="宋体" w:eastAsia="宋体" w:cs="Times New Roman"/>
                <w:color w:val="auto"/>
                <w:sz w:val="24"/>
                <w:szCs w:val="24"/>
                <w:highlight w:val="none"/>
              </w:rPr>
              <w:t>0-</w:t>
            </w:r>
            <w:r>
              <w:rPr>
                <w:rFonts w:hint="eastAsia" w:ascii="宋体" w:hAnsi="宋体" w:eastAsia="宋体" w:cs="Times New Roman"/>
                <w:color w:val="auto"/>
                <w:sz w:val="24"/>
                <w:szCs w:val="24"/>
                <w:highlight w:val="none"/>
                <w:lang w:val="en-US" w:eastAsia="zh-CN"/>
              </w:rPr>
              <w:t>5</w:t>
            </w:r>
            <w:r>
              <w:rPr>
                <w:rFonts w:hint="eastAsia" w:ascii="宋体" w:hAnsi="宋体" w:eastAsia="宋体" w:cs="Times New Roman"/>
                <w:color w:val="auto"/>
                <w:sz w:val="24"/>
                <w:szCs w:val="24"/>
                <w:highlight w:val="none"/>
              </w:rPr>
              <w:t>分</w:t>
            </w:r>
            <w:r>
              <w:rPr>
                <w:rFonts w:hint="eastAsia" w:ascii="宋体" w:hAnsi="宋体" w:eastAsia="宋体" w:cs="Times New Roman"/>
                <w:color w:val="auto"/>
                <w:sz w:val="24"/>
                <w:szCs w:val="24"/>
                <w:highlight w:val="none"/>
                <w:lang w:val="zh-CN"/>
              </w:rPr>
              <w:t>）</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725039D8">
            <w:pPr>
              <w:shd w:val="clear" w:color="auto" w:fill="auto"/>
              <w:adjustRightInd/>
              <w:snapToGrid/>
              <w:spacing w:after="0" w:line="4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有环境保护管理体系与施工环保措施计划且措施</w:t>
            </w:r>
          </w:p>
          <w:p w14:paraId="3106FFCC">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w:t>
            </w:r>
            <w:r>
              <w:rPr>
                <w:rFonts w:hint="eastAsia" w:ascii="宋体" w:hAnsi="宋体" w:eastAsia="宋体" w:cs="宋体"/>
                <w:color w:val="auto"/>
                <w:sz w:val="24"/>
                <w:szCs w:val="24"/>
                <w:highlight w:val="none"/>
                <w:lang w:val="en-US" w:eastAsia="zh-CN" w:bidi="en-US"/>
              </w:rPr>
              <w:t>5</w:t>
            </w:r>
            <w:r>
              <w:rPr>
                <w:rFonts w:hint="eastAsia" w:ascii="宋体" w:hAnsi="宋体" w:eastAsia="宋体" w:cs="宋体"/>
                <w:color w:val="auto"/>
                <w:sz w:val="24"/>
                <w:szCs w:val="24"/>
                <w:highlight w:val="none"/>
                <w:lang w:bidi="en-US"/>
              </w:rPr>
              <w:t>分；</w:t>
            </w:r>
          </w:p>
          <w:p w14:paraId="22DBA4BB">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w:t>
            </w:r>
            <w:r>
              <w:rPr>
                <w:rFonts w:hint="eastAsia" w:ascii="宋体" w:hAnsi="宋体" w:eastAsia="宋体" w:cs="宋体"/>
                <w:color w:val="auto"/>
                <w:sz w:val="24"/>
                <w:szCs w:val="24"/>
                <w:highlight w:val="none"/>
                <w:lang w:val="en-US" w:eastAsia="zh-CN" w:bidi="en-US"/>
              </w:rPr>
              <w:t>4</w:t>
            </w:r>
            <w:r>
              <w:rPr>
                <w:rFonts w:hint="eastAsia" w:ascii="宋体" w:hAnsi="宋体" w:eastAsia="宋体" w:cs="宋体"/>
                <w:color w:val="auto"/>
                <w:sz w:val="24"/>
                <w:szCs w:val="24"/>
                <w:highlight w:val="none"/>
                <w:lang w:bidi="en-US"/>
              </w:rPr>
              <w:t>分；</w:t>
            </w:r>
          </w:p>
          <w:p w14:paraId="7D107318">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w:t>
            </w:r>
            <w:r>
              <w:rPr>
                <w:rFonts w:hint="eastAsia" w:ascii="宋体" w:hAnsi="宋体" w:eastAsia="宋体" w:cs="宋体"/>
                <w:color w:val="auto"/>
                <w:sz w:val="24"/>
                <w:szCs w:val="24"/>
                <w:highlight w:val="none"/>
                <w:lang w:val="en-US" w:eastAsia="zh-CN" w:bidi="en-US"/>
              </w:rPr>
              <w:t>3</w:t>
            </w:r>
            <w:r>
              <w:rPr>
                <w:rFonts w:hint="eastAsia" w:ascii="宋体" w:hAnsi="宋体" w:eastAsia="宋体" w:cs="宋体"/>
                <w:color w:val="auto"/>
                <w:sz w:val="24"/>
                <w:szCs w:val="24"/>
                <w:highlight w:val="none"/>
                <w:lang w:bidi="en-US"/>
              </w:rPr>
              <w:t>分；</w:t>
            </w:r>
          </w:p>
          <w:p w14:paraId="71362FFF">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内容存在不合理项、存在实施难度的得2分；</w:t>
            </w:r>
          </w:p>
          <w:p w14:paraId="630FCB61">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内容前后不连贯导致语义不明或存在与本项目无关内容的得1分；</w:t>
            </w:r>
          </w:p>
          <w:p w14:paraId="6E3A407F">
            <w:pPr>
              <w:shd w:val="clear" w:color="auto" w:fill="auto"/>
              <w:spacing w:after="0" w:line="360" w:lineRule="auto"/>
              <w:jc w:val="both"/>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4A3CE5B4">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分</w:t>
            </w:r>
          </w:p>
        </w:tc>
      </w:tr>
      <w:tr w14:paraId="0F62342A">
        <w:tblPrEx>
          <w:tblCellMar>
            <w:top w:w="0" w:type="dxa"/>
            <w:left w:w="108" w:type="dxa"/>
            <w:bottom w:w="0" w:type="dxa"/>
            <w:right w:w="108" w:type="dxa"/>
          </w:tblCellMar>
        </w:tblPrEx>
        <w:trPr>
          <w:trHeight w:val="979" w:hRule="atLeast"/>
        </w:trPr>
        <w:tc>
          <w:tcPr>
            <w:tcW w:w="726" w:type="dxa"/>
            <w:vMerge w:val="continue"/>
            <w:tcBorders>
              <w:left w:val="single" w:color="000000" w:sz="6" w:space="0"/>
              <w:right w:val="single" w:color="000000" w:sz="4" w:space="0"/>
            </w:tcBorders>
            <w:noWrap w:val="0"/>
            <w:vAlign w:val="top"/>
          </w:tcPr>
          <w:p w14:paraId="742B27C2">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73135C28">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bottom w:val="single" w:color="000000" w:sz="6" w:space="0"/>
              <w:right w:val="single" w:color="000000" w:sz="6" w:space="0"/>
            </w:tcBorders>
            <w:noWrap w:val="0"/>
            <w:vAlign w:val="center"/>
          </w:tcPr>
          <w:p w14:paraId="21067979">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8.劳动力计划及主要施工机械计划</w:t>
            </w:r>
            <w:r>
              <w:rPr>
                <w:rFonts w:hint="eastAsia" w:ascii="宋体" w:hAnsi="宋体" w:eastAsia="宋体" w:cs="Times New Roman"/>
                <w:color w:val="auto"/>
                <w:sz w:val="24"/>
                <w:szCs w:val="24"/>
                <w:highlight w:val="none"/>
              </w:rPr>
              <w:t>（0-5分）</w:t>
            </w:r>
          </w:p>
        </w:tc>
        <w:tc>
          <w:tcPr>
            <w:tcW w:w="4895" w:type="dxa"/>
            <w:tcBorders>
              <w:top w:val="single" w:color="000000" w:sz="6" w:space="0"/>
              <w:left w:val="single" w:color="000000" w:sz="6" w:space="0"/>
              <w:bottom w:val="single" w:color="000000" w:sz="6" w:space="0"/>
              <w:right w:val="single" w:color="000000" w:sz="12" w:space="0"/>
            </w:tcBorders>
            <w:noWrap w:val="0"/>
            <w:vAlign w:val="center"/>
          </w:tcPr>
          <w:p w14:paraId="7F24FBDE">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1.机械：投入计划与进度计划呼应，采用先进机械设备且配置合理、先进，满足安全技术规范和施工进度需要，得2分，缺项不得分；</w:t>
            </w:r>
          </w:p>
          <w:p w14:paraId="311B7CC5">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2.劳动力：投入计划与进度计划呼应，较好满足施工需要，调配投入计划合理、准确，得1分，缺项不得分；</w:t>
            </w:r>
          </w:p>
          <w:p w14:paraId="2795AED7">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3.主要施工计划：主要物资投入计划与进度计划呼应，较好满足施工需要，调配投入计划合理、准确，得2分，缺项不得分。</w:t>
            </w:r>
          </w:p>
        </w:tc>
        <w:tc>
          <w:tcPr>
            <w:tcW w:w="1134" w:type="dxa"/>
            <w:tcBorders>
              <w:top w:val="single" w:color="000000" w:sz="6" w:space="0"/>
              <w:left w:val="single" w:color="000000" w:sz="6" w:space="0"/>
              <w:bottom w:val="single" w:color="000000" w:sz="6" w:space="0"/>
              <w:right w:val="single" w:color="000000" w:sz="12" w:space="0"/>
            </w:tcBorders>
            <w:noWrap w:val="0"/>
            <w:vAlign w:val="center"/>
          </w:tcPr>
          <w:p w14:paraId="3D1BA332">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0-5分</w:t>
            </w:r>
          </w:p>
        </w:tc>
      </w:tr>
      <w:tr w14:paraId="42AFDC51">
        <w:tblPrEx>
          <w:tblCellMar>
            <w:top w:w="0" w:type="dxa"/>
            <w:left w:w="108" w:type="dxa"/>
            <w:bottom w:w="0" w:type="dxa"/>
            <w:right w:w="108" w:type="dxa"/>
          </w:tblCellMar>
        </w:tblPrEx>
        <w:trPr>
          <w:trHeight w:val="695" w:hRule="atLeast"/>
        </w:trPr>
        <w:tc>
          <w:tcPr>
            <w:tcW w:w="726" w:type="dxa"/>
            <w:vMerge w:val="continue"/>
            <w:tcBorders>
              <w:left w:val="single" w:color="000000" w:sz="6" w:space="0"/>
              <w:right w:val="single" w:color="000000" w:sz="4" w:space="0"/>
            </w:tcBorders>
            <w:noWrap w:val="0"/>
            <w:vAlign w:val="top"/>
          </w:tcPr>
          <w:p w14:paraId="0E51D536">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right w:val="single" w:color="000000" w:sz="4" w:space="0"/>
            </w:tcBorders>
            <w:noWrap w:val="0"/>
            <w:vAlign w:val="top"/>
          </w:tcPr>
          <w:p w14:paraId="2AAF3482">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1525" w:type="dxa"/>
            <w:gridSpan w:val="2"/>
            <w:tcBorders>
              <w:top w:val="single" w:color="000000" w:sz="6" w:space="0"/>
              <w:left w:val="single" w:color="000000" w:sz="4" w:space="0"/>
              <w:right w:val="single" w:color="000000" w:sz="6" w:space="0"/>
            </w:tcBorders>
            <w:noWrap w:val="0"/>
            <w:vAlign w:val="center"/>
          </w:tcPr>
          <w:p w14:paraId="1C693612">
            <w:pPr>
              <w:shd w:val="clear" w:color="auto" w:fill="auto"/>
              <w:spacing w:after="0" w:line="360" w:lineRule="auto"/>
              <w:jc w:val="both"/>
              <w:rPr>
                <w:rFonts w:ascii="宋体" w:hAnsi="宋体" w:eastAsia="宋体" w:cs="Times New Roman"/>
                <w:color w:val="auto"/>
                <w:sz w:val="24"/>
                <w:szCs w:val="24"/>
                <w:highlight w:val="none"/>
                <w:lang w:val="zh-CN"/>
              </w:rPr>
            </w:pPr>
            <w:r>
              <w:rPr>
                <w:rFonts w:hint="eastAsia" w:ascii="宋体" w:hAnsi="宋体" w:eastAsia="宋体" w:cs="Times New Roman"/>
                <w:color w:val="auto"/>
                <w:sz w:val="24"/>
                <w:szCs w:val="24"/>
                <w:highlight w:val="none"/>
                <w:lang w:val="zh-CN"/>
              </w:rPr>
              <w:t>9.</w:t>
            </w:r>
            <w:r>
              <w:rPr>
                <w:rFonts w:hint="eastAsia" w:ascii="宋体" w:hAnsi="宋体" w:eastAsia="宋体" w:cs="Times New Roman"/>
                <w:color w:val="auto"/>
                <w:sz w:val="24"/>
                <w:szCs w:val="24"/>
                <w:highlight w:val="none"/>
              </w:rPr>
              <w:t>施工平面图布置图及施工进度图（0-5分）</w:t>
            </w:r>
          </w:p>
        </w:tc>
        <w:tc>
          <w:tcPr>
            <w:tcW w:w="4895" w:type="dxa"/>
            <w:tcBorders>
              <w:top w:val="single" w:color="000000" w:sz="6" w:space="0"/>
              <w:left w:val="single" w:color="000000" w:sz="6" w:space="0"/>
              <w:right w:val="single" w:color="000000" w:sz="12" w:space="0"/>
            </w:tcBorders>
            <w:noWrap w:val="0"/>
            <w:vAlign w:val="center"/>
          </w:tcPr>
          <w:p w14:paraId="40BB000B">
            <w:pPr>
              <w:shd w:val="clear" w:color="auto" w:fill="auto"/>
              <w:adjustRightInd/>
              <w:snapToGrid/>
              <w:spacing w:after="0" w:line="400" w:lineRule="exact"/>
              <w:rPr>
                <w:rFonts w:ascii="宋体" w:hAnsi="宋体" w:eastAsia="宋体" w:cs="Times New Roman"/>
                <w:color w:val="auto"/>
                <w:sz w:val="24"/>
                <w:szCs w:val="24"/>
                <w:highlight w:val="none"/>
              </w:rPr>
            </w:pPr>
            <w:r>
              <w:rPr>
                <w:rFonts w:hint="eastAsia" w:ascii="宋体" w:hAnsi="宋体" w:eastAsia="宋体" w:cs="Times New Roman"/>
                <w:color w:val="auto"/>
                <w:sz w:val="24"/>
                <w:szCs w:val="24"/>
                <w:highlight w:val="none"/>
              </w:rPr>
              <w:t>总体布置有针对性、合理、能较好满足施工需要，符合安全、文明施工要求；材料堆放有序。关键线路清晰、准确、完整、计划编制合理</w:t>
            </w:r>
          </w:p>
          <w:p w14:paraId="6BA1B460">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内容完整、切实可行，完全符合本项目需求的得5分；</w:t>
            </w:r>
          </w:p>
          <w:p w14:paraId="3EE3DE05">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内容较为完善、较切实可行，较符合本项目需求的得，得4分；</w:t>
            </w:r>
          </w:p>
          <w:p w14:paraId="360BD717">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内容基本完善，基本可行，基本符合本项目需求的得3分；</w:t>
            </w:r>
          </w:p>
          <w:p w14:paraId="08FB58FF">
            <w:pPr>
              <w:shd w:val="clear" w:color="auto" w:fill="auto"/>
              <w:adjustRightInd/>
              <w:snapToGrid/>
              <w:spacing w:after="0" w:line="400" w:lineRule="exact"/>
              <w:rPr>
                <w:rFonts w:ascii="宋体" w:hAnsi="宋体" w:eastAsia="宋体" w:cs="宋体"/>
                <w:color w:val="auto"/>
                <w:sz w:val="24"/>
                <w:szCs w:val="24"/>
                <w:highlight w:val="none"/>
                <w:lang w:bidi="en-US"/>
              </w:rPr>
            </w:pPr>
            <w:r>
              <w:rPr>
                <w:rFonts w:hint="eastAsia" w:ascii="宋体" w:hAnsi="宋体" w:eastAsia="宋体" w:cs="宋体"/>
                <w:color w:val="auto"/>
                <w:sz w:val="24"/>
                <w:szCs w:val="24"/>
                <w:highlight w:val="none"/>
                <w:lang w:bidi="en-US"/>
              </w:rPr>
              <w:t>内容前后不连贯导致语义不明或存在与本项目无关内容的得2分；</w:t>
            </w:r>
          </w:p>
          <w:p w14:paraId="389AD263">
            <w:pPr>
              <w:shd w:val="clear" w:color="auto" w:fill="auto"/>
              <w:spacing w:after="0" w:line="360" w:lineRule="auto"/>
              <w:jc w:val="both"/>
              <w:rPr>
                <w:rFonts w:ascii="宋体" w:hAnsi="宋体" w:eastAsia="宋体" w:cs="Times New Roman"/>
                <w:color w:val="auto"/>
                <w:sz w:val="24"/>
                <w:szCs w:val="24"/>
                <w:highlight w:val="none"/>
              </w:rPr>
            </w:pPr>
            <w:r>
              <w:rPr>
                <w:rFonts w:hint="eastAsia" w:ascii="宋体" w:hAnsi="宋体" w:eastAsia="宋体" w:cs="宋体"/>
                <w:color w:val="auto"/>
                <w:sz w:val="24"/>
                <w:szCs w:val="24"/>
                <w:highlight w:val="none"/>
                <w:lang w:bidi="en-US"/>
              </w:rPr>
              <w:t>未针对本项描述的得0分。</w:t>
            </w:r>
          </w:p>
        </w:tc>
        <w:tc>
          <w:tcPr>
            <w:tcW w:w="1134" w:type="dxa"/>
            <w:tcBorders>
              <w:top w:val="single" w:color="000000" w:sz="6" w:space="0"/>
              <w:left w:val="single" w:color="000000" w:sz="6" w:space="0"/>
              <w:right w:val="single" w:color="000000" w:sz="12" w:space="0"/>
            </w:tcBorders>
            <w:noWrap w:val="0"/>
            <w:vAlign w:val="center"/>
          </w:tcPr>
          <w:p w14:paraId="72923145">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0-5分</w:t>
            </w:r>
          </w:p>
        </w:tc>
      </w:tr>
      <w:tr w14:paraId="211AB3E7">
        <w:tblPrEx>
          <w:tblCellMar>
            <w:top w:w="0" w:type="dxa"/>
            <w:left w:w="108" w:type="dxa"/>
            <w:bottom w:w="0" w:type="dxa"/>
            <w:right w:w="108" w:type="dxa"/>
          </w:tblCellMar>
        </w:tblPrEx>
        <w:trPr>
          <w:trHeight w:val="391" w:hRule="atLeast"/>
        </w:trPr>
        <w:tc>
          <w:tcPr>
            <w:tcW w:w="726" w:type="dxa"/>
            <w:vMerge w:val="continue"/>
            <w:tcBorders>
              <w:left w:val="single" w:color="000000" w:sz="6" w:space="0"/>
              <w:right w:val="single" w:color="000000" w:sz="4" w:space="0"/>
            </w:tcBorders>
            <w:noWrap w:val="0"/>
            <w:vAlign w:val="top"/>
          </w:tcPr>
          <w:p w14:paraId="5423CAEB">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868" w:type="dxa"/>
            <w:vMerge w:val="continue"/>
            <w:tcBorders>
              <w:left w:val="single" w:color="000000" w:sz="6" w:space="0"/>
              <w:bottom w:val="single" w:color="auto" w:sz="4" w:space="0"/>
              <w:right w:val="single" w:color="000000" w:sz="4" w:space="0"/>
            </w:tcBorders>
            <w:noWrap w:val="0"/>
            <w:vAlign w:val="top"/>
          </w:tcPr>
          <w:p w14:paraId="27154A7C">
            <w:pPr>
              <w:shd w:val="clear" w:color="auto" w:fill="auto"/>
              <w:adjustRightInd/>
              <w:snapToGrid/>
              <w:spacing w:after="0" w:line="400" w:lineRule="exact"/>
              <w:rPr>
                <w:rFonts w:ascii="宋体" w:hAnsi="宋体" w:eastAsia="宋体" w:cs="宋体"/>
                <w:color w:val="auto"/>
                <w:kern w:val="1"/>
                <w:sz w:val="24"/>
                <w:szCs w:val="24"/>
                <w:highlight w:val="none"/>
                <w:lang w:bidi="en-US"/>
              </w:rPr>
            </w:pPr>
          </w:p>
        </w:tc>
        <w:tc>
          <w:tcPr>
            <w:tcW w:w="7554" w:type="dxa"/>
            <w:gridSpan w:val="4"/>
            <w:tcBorders>
              <w:top w:val="single" w:color="000000" w:sz="6" w:space="0"/>
              <w:left w:val="single" w:color="000000" w:sz="4" w:space="0"/>
              <w:bottom w:val="single" w:color="auto" w:sz="4" w:space="0"/>
              <w:right w:val="single" w:color="000000" w:sz="12" w:space="0"/>
            </w:tcBorders>
            <w:noWrap w:val="0"/>
            <w:vAlign w:val="center"/>
          </w:tcPr>
          <w:p w14:paraId="3F936554">
            <w:pPr>
              <w:shd w:val="clear" w:color="auto" w:fill="auto"/>
              <w:adjustRightInd/>
              <w:snapToGrid/>
              <w:spacing w:after="0" w:line="400" w:lineRule="exact"/>
              <w:jc w:val="center"/>
              <w:rPr>
                <w:rFonts w:ascii="宋体" w:hAnsi="宋体" w:eastAsia="宋体" w:cs="宋体"/>
                <w:color w:val="auto"/>
                <w:kern w:val="1"/>
                <w:sz w:val="24"/>
                <w:szCs w:val="24"/>
                <w:highlight w:val="none"/>
                <w:lang w:bidi="en-US"/>
              </w:rPr>
            </w:pPr>
            <w:r>
              <w:rPr>
                <w:rFonts w:hint="eastAsia" w:ascii="宋体" w:hAnsi="宋体" w:eastAsia="宋体" w:cs="宋体"/>
                <w:color w:val="auto"/>
                <w:kern w:val="1"/>
                <w:sz w:val="24"/>
                <w:szCs w:val="24"/>
                <w:highlight w:val="none"/>
                <w:lang w:bidi="en-US"/>
              </w:rPr>
              <w:t>缺项为0分。不缺项不低于最低分</w:t>
            </w:r>
          </w:p>
        </w:tc>
      </w:tr>
      <w:tr w14:paraId="32F325E0">
        <w:tblPrEx>
          <w:tblCellMar>
            <w:top w:w="0" w:type="dxa"/>
            <w:left w:w="108" w:type="dxa"/>
            <w:bottom w:w="0" w:type="dxa"/>
            <w:right w:w="108" w:type="dxa"/>
          </w:tblCellMar>
        </w:tblPrEx>
        <w:trPr>
          <w:trHeight w:val="1447" w:hRule="atLeast"/>
        </w:trPr>
        <w:tc>
          <w:tcPr>
            <w:tcW w:w="726" w:type="dxa"/>
            <w:vMerge w:val="restart"/>
            <w:tcBorders>
              <w:top w:val="single" w:color="000000" w:sz="4" w:space="0"/>
              <w:left w:val="single" w:color="000000" w:sz="6" w:space="0"/>
              <w:right w:val="single" w:color="auto" w:sz="4" w:space="0"/>
            </w:tcBorders>
            <w:noWrap w:val="0"/>
            <w:vAlign w:val="center"/>
          </w:tcPr>
          <w:p w14:paraId="1319477F">
            <w:pPr>
              <w:shd w:val="clear" w:color="auto" w:fill="auto"/>
              <w:adjustRightInd/>
              <w:snapToGrid/>
              <w:spacing w:after="0" w:line="400" w:lineRule="exact"/>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综合标</w:t>
            </w:r>
          </w:p>
          <w:p w14:paraId="0426F1A2">
            <w:pPr>
              <w:shd w:val="clear" w:color="auto" w:fill="auto"/>
              <w:adjustRightInd/>
              <w:snapToGrid/>
              <w:spacing w:after="0" w:line="400" w:lineRule="exact"/>
              <w:jc w:val="center"/>
              <w:rPr>
                <w:rFonts w:ascii="宋体" w:hAnsi="宋体" w:eastAsia="宋体" w:cs="宋体"/>
                <w:color w:val="auto"/>
                <w:kern w:val="1"/>
                <w:sz w:val="24"/>
                <w:szCs w:val="24"/>
                <w:highlight w:val="none"/>
                <w:lang w:eastAsia="en-US" w:bidi="en-US"/>
              </w:rPr>
            </w:pPr>
            <w:r>
              <w:rPr>
                <w:rFonts w:hint="eastAsia" w:ascii="宋体" w:hAnsi="宋体" w:eastAsia="宋体" w:cs="宋体"/>
                <w:color w:val="auto"/>
                <w:kern w:val="1"/>
                <w:sz w:val="24"/>
                <w:szCs w:val="24"/>
                <w:highlight w:val="none"/>
                <w:lang w:eastAsia="en-US" w:bidi="en-US"/>
              </w:rPr>
              <w:t>（</w:t>
            </w:r>
            <w:r>
              <w:rPr>
                <w:rFonts w:hint="eastAsia" w:ascii="宋体" w:hAnsi="宋体" w:eastAsia="宋体" w:cs="宋体"/>
                <w:color w:val="auto"/>
                <w:kern w:val="1"/>
                <w:sz w:val="24"/>
                <w:szCs w:val="24"/>
                <w:highlight w:val="none"/>
                <w:lang w:bidi="en-US"/>
              </w:rPr>
              <w:t>25</w:t>
            </w:r>
            <w:r>
              <w:rPr>
                <w:rFonts w:hint="eastAsia" w:ascii="宋体" w:hAnsi="宋体" w:eastAsia="宋体" w:cs="宋体"/>
                <w:color w:val="auto"/>
                <w:kern w:val="1"/>
                <w:sz w:val="24"/>
                <w:szCs w:val="24"/>
                <w:highlight w:val="none"/>
                <w:lang w:eastAsia="en-US" w:bidi="en-US"/>
              </w:rPr>
              <w:t>分）</w:t>
            </w:r>
          </w:p>
        </w:tc>
        <w:tc>
          <w:tcPr>
            <w:tcW w:w="1476" w:type="dxa"/>
            <w:gridSpan w:val="2"/>
            <w:tcBorders>
              <w:top w:val="single" w:color="auto" w:sz="4" w:space="0"/>
              <w:left w:val="single" w:color="auto" w:sz="4" w:space="0"/>
              <w:bottom w:val="single" w:color="auto" w:sz="4" w:space="0"/>
              <w:right w:val="single" w:color="auto" w:sz="4" w:space="0"/>
            </w:tcBorders>
            <w:noWrap w:val="0"/>
            <w:vAlign w:val="center"/>
          </w:tcPr>
          <w:p w14:paraId="2235CC53">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企业业绩</w:t>
            </w:r>
          </w:p>
          <w:p w14:paraId="5F0BF252">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0-4分</w:t>
            </w:r>
          </w:p>
        </w:tc>
        <w:tc>
          <w:tcPr>
            <w:tcW w:w="6946" w:type="dxa"/>
            <w:gridSpan w:val="3"/>
            <w:tcBorders>
              <w:top w:val="single" w:color="auto" w:sz="4" w:space="0"/>
              <w:left w:val="single" w:color="auto" w:sz="4" w:space="0"/>
              <w:bottom w:val="single" w:color="auto" w:sz="4" w:space="0"/>
              <w:right w:val="single" w:color="auto" w:sz="4" w:space="0"/>
            </w:tcBorders>
            <w:noWrap w:val="0"/>
            <w:vAlign w:val="center"/>
          </w:tcPr>
          <w:p w14:paraId="187FD8DC">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bCs/>
                <w:color w:val="auto"/>
                <w:kern w:val="1"/>
                <w:sz w:val="24"/>
                <w:szCs w:val="24"/>
                <w:highlight w:val="none"/>
                <w:lang w:val="zh-CN"/>
              </w:rPr>
              <w:t>202</w:t>
            </w:r>
            <w:r>
              <w:rPr>
                <w:rFonts w:hint="eastAsia" w:ascii="宋体" w:hAnsi="宋体" w:eastAsia="宋体" w:cs="宋体"/>
                <w:bCs/>
                <w:color w:val="auto"/>
                <w:kern w:val="1"/>
                <w:sz w:val="24"/>
                <w:szCs w:val="24"/>
                <w:highlight w:val="none"/>
                <w:lang w:val="en-US" w:eastAsia="zh-CN"/>
              </w:rPr>
              <w:t>3</w:t>
            </w:r>
            <w:r>
              <w:rPr>
                <w:rFonts w:hint="eastAsia" w:ascii="宋体" w:hAnsi="宋体" w:eastAsia="宋体" w:cs="宋体"/>
                <w:bCs/>
                <w:color w:val="auto"/>
                <w:kern w:val="1"/>
                <w:sz w:val="24"/>
                <w:szCs w:val="24"/>
                <w:highlight w:val="none"/>
                <w:lang w:val="zh-CN"/>
              </w:rPr>
              <w:t>年1月1日以来承担过类似业绩每份2分，最多得4分（须提供中标通知书和施工合同，时间以签订施工合同为准，否则不得分）</w:t>
            </w:r>
          </w:p>
        </w:tc>
      </w:tr>
      <w:tr w14:paraId="021C93BF">
        <w:tblPrEx>
          <w:tblCellMar>
            <w:top w:w="0" w:type="dxa"/>
            <w:left w:w="108" w:type="dxa"/>
            <w:bottom w:w="0" w:type="dxa"/>
            <w:right w:w="108" w:type="dxa"/>
          </w:tblCellMar>
        </w:tblPrEx>
        <w:trPr>
          <w:trHeight w:val="864" w:hRule="atLeast"/>
        </w:trPr>
        <w:tc>
          <w:tcPr>
            <w:tcW w:w="726" w:type="dxa"/>
            <w:vMerge w:val="continue"/>
            <w:tcBorders>
              <w:left w:val="single" w:color="000000" w:sz="6" w:space="0"/>
              <w:right w:val="single" w:color="auto" w:sz="4" w:space="0"/>
            </w:tcBorders>
            <w:noWrap w:val="0"/>
            <w:vAlign w:val="center"/>
          </w:tcPr>
          <w:p w14:paraId="3A62DF6D">
            <w:pPr>
              <w:shd w:val="clear" w:color="auto" w:fill="auto"/>
              <w:adjustRightInd/>
              <w:snapToGrid/>
              <w:spacing w:after="0" w:line="400" w:lineRule="exact"/>
              <w:jc w:val="center"/>
              <w:rPr>
                <w:rFonts w:ascii="宋体" w:hAnsi="宋体" w:eastAsia="宋体" w:cs="宋体"/>
                <w:color w:val="auto"/>
                <w:kern w:val="1"/>
                <w:sz w:val="24"/>
                <w:szCs w:val="24"/>
                <w:highlight w:val="none"/>
                <w:lang w:bidi="en-US"/>
              </w:rPr>
            </w:pPr>
          </w:p>
        </w:tc>
        <w:tc>
          <w:tcPr>
            <w:tcW w:w="1476" w:type="dxa"/>
            <w:gridSpan w:val="2"/>
            <w:tcBorders>
              <w:top w:val="single" w:color="auto" w:sz="4" w:space="0"/>
              <w:left w:val="single" w:color="auto" w:sz="4" w:space="0"/>
              <w:bottom w:val="single" w:color="auto" w:sz="4" w:space="0"/>
              <w:right w:val="single" w:color="auto" w:sz="4" w:space="0"/>
            </w:tcBorders>
            <w:noWrap w:val="0"/>
            <w:vAlign w:val="center"/>
          </w:tcPr>
          <w:p w14:paraId="77A4DDD0">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w:t>
            </w:r>
          </w:p>
          <w:p w14:paraId="2E1CBE31">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0-7分</w:t>
            </w:r>
          </w:p>
        </w:tc>
        <w:tc>
          <w:tcPr>
            <w:tcW w:w="6946" w:type="dxa"/>
            <w:gridSpan w:val="3"/>
            <w:tcBorders>
              <w:top w:val="single" w:color="auto" w:sz="4" w:space="0"/>
              <w:left w:val="single" w:color="auto" w:sz="4" w:space="0"/>
              <w:bottom w:val="single" w:color="auto" w:sz="4" w:space="0"/>
              <w:right w:val="single" w:color="auto" w:sz="4" w:space="0"/>
            </w:tcBorders>
            <w:noWrap w:val="0"/>
            <w:vAlign w:val="center"/>
          </w:tcPr>
          <w:p w14:paraId="4A869D7E">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优惠承诺应是书面的符合工程实际情况，在施工过程中协调配合、文明施工，工程质量、工期、安全等承诺。</w:t>
            </w:r>
          </w:p>
          <w:p w14:paraId="5F10B412">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承诺内容全面、详实可行、合法有效、有针对性的得7分；</w:t>
            </w:r>
          </w:p>
          <w:p w14:paraId="719180E4">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承诺内容比较全面、详实可行、合法有效的得5分；</w:t>
            </w:r>
          </w:p>
          <w:p w14:paraId="21B394D8">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承诺内容片面、不详细、不完整的得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3DB426E4">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内容前后不连贯导致语义不明或存在与本项目无关内容的得1分；</w:t>
            </w:r>
          </w:p>
          <w:p w14:paraId="06A655D6">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未提供者不得分。</w:t>
            </w:r>
          </w:p>
        </w:tc>
      </w:tr>
      <w:tr w14:paraId="5DCD3736">
        <w:tblPrEx>
          <w:tblCellMar>
            <w:top w:w="0" w:type="dxa"/>
            <w:left w:w="108" w:type="dxa"/>
            <w:bottom w:w="0" w:type="dxa"/>
            <w:right w:w="108" w:type="dxa"/>
          </w:tblCellMar>
        </w:tblPrEx>
        <w:trPr>
          <w:trHeight w:val="637" w:hRule="atLeast"/>
        </w:trPr>
        <w:tc>
          <w:tcPr>
            <w:tcW w:w="726" w:type="dxa"/>
            <w:vMerge w:val="continue"/>
            <w:tcBorders>
              <w:left w:val="single" w:color="000000" w:sz="6" w:space="0"/>
              <w:right w:val="single" w:color="000000" w:sz="2" w:space="0"/>
            </w:tcBorders>
            <w:noWrap w:val="0"/>
            <w:vAlign w:val="center"/>
          </w:tcPr>
          <w:p w14:paraId="61086713">
            <w:pPr>
              <w:shd w:val="clear" w:color="auto" w:fill="auto"/>
              <w:adjustRightInd/>
              <w:snapToGrid/>
              <w:spacing w:after="0" w:line="400" w:lineRule="exact"/>
              <w:jc w:val="center"/>
              <w:rPr>
                <w:rFonts w:ascii="宋体" w:hAnsi="宋体" w:eastAsia="宋体" w:cs="宋体"/>
                <w:color w:val="auto"/>
                <w:kern w:val="1"/>
                <w:sz w:val="24"/>
                <w:szCs w:val="24"/>
                <w:highlight w:val="none"/>
                <w:lang w:bidi="en-US"/>
              </w:rPr>
            </w:pPr>
          </w:p>
        </w:tc>
        <w:tc>
          <w:tcPr>
            <w:tcW w:w="1476" w:type="dxa"/>
            <w:gridSpan w:val="2"/>
            <w:tcBorders>
              <w:top w:val="single" w:color="auto" w:sz="4" w:space="0"/>
              <w:left w:val="single" w:color="000000" w:sz="6" w:space="0"/>
              <w:bottom w:val="single" w:color="000000" w:sz="4" w:space="0"/>
              <w:right w:val="single" w:color="000000" w:sz="12" w:space="0"/>
            </w:tcBorders>
            <w:noWrap w:val="0"/>
            <w:vAlign w:val="center"/>
          </w:tcPr>
          <w:p w14:paraId="6DD93B0F">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履职尽责承诺</w:t>
            </w:r>
          </w:p>
          <w:p w14:paraId="65976135">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0-7分</w:t>
            </w:r>
          </w:p>
        </w:tc>
        <w:tc>
          <w:tcPr>
            <w:tcW w:w="6946" w:type="dxa"/>
            <w:gridSpan w:val="3"/>
            <w:tcBorders>
              <w:top w:val="single" w:color="auto" w:sz="4" w:space="0"/>
              <w:left w:val="single" w:color="000000" w:sz="2" w:space="0"/>
              <w:bottom w:val="single" w:color="000000" w:sz="4" w:space="0"/>
              <w:right w:val="single" w:color="000000" w:sz="12" w:space="0"/>
            </w:tcBorders>
            <w:noWrap w:val="0"/>
            <w:vAlign w:val="center"/>
          </w:tcPr>
          <w:p w14:paraId="1D93E34C">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具有全面、详实、可行、合法有效的书面保证技术措施落实到位的承诺和落实不到位的处理承诺，其中包括各关键岗位人员（项目经理、技术负责人及相关技术人员等）的在岗、更换等履职尽责承诺。</w:t>
            </w:r>
          </w:p>
          <w:p w14:paraId="1800365A">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承诺内容全面、详实可行、合法有效、有针对性的得7分；</w:t>
            </w:r>
          </w:p>
          <w:p w14:paraId="205CC7A3">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承诺内容比较全面、详实可行、合法有效的得5分；</w:t>
            </w:r>
          </w:p>
          <w:p w14:paraId="0B89B804">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承诺内容片面、不详细、不完整的得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16215E20">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内容前后不连贯导致语义不明或存在与本项目无关内容的得1分；</w:t>
            </w:r>
          </w:p>
          <w:p w14:paraId="08FC6AF9">
            <w:pPr>
              <w:shd w:val="clear" w:color="auto" w:fill="auto"/>
              <w:spacing w:after="0" w:line="400" w:lineRule="exact"/>
              <w:rPr>
                <w:color w:val="auto"/>
                <w:sz w:val="24"/>
                <w:szCs w:val="24"/>
                <w:highlight w:val="none"/>
              </w:rPr>
            </w:pPr>
            <w:r>
              <w:rPr>
                <w:rFonts w:hint="eastAsia" w:ascii="宋体" w:hAnsi="宋体" w:eastAsia="宋体" w:cs="宋体"/>
                <w:color w:val="auto"/>
                <w:sz w:val="24"/>
                <w:szCs w:val="24"/>
                <w:highlight w:val="none"/>
              </w:rPr>
              <w:t>未提供者不得分。</w:t>
            </w:r>
          </w:p>
        </w:tc>
      </w:tr>
      <w:tr w14:paraId="5B77585B">
        <w:tblPrEx>
          <w:tblCellMar>
            <w:top w:w="0" w:type="dxa"/>
            <w:left w:w="108" w:type="dxa"/>
            <w:bottom w:w="0" w:type="dxa"/>
            <w:right w:w="108" w:type="dxa"/>
          </w:tblCellMar>
        </w:tblPrEx>
        <w:trPr>
          <w:trHeight w:val="637" w:hRule="atLeast"/>
        </w:trPr>
        <w:tc>
          <w:tcPr>
            <w:tcW w:w="726" w:type="dxa"/>
            <w:vMerge w:val="continue"/>
            <w:tcBorders>
              <w:left w:val="single" w:color="000000" w:sz="6" w:space="0"/>
              <w:right w:val="single" w:color="000000" w:sz="2" w:space="0"/>
            </w:tcBorders>
            <w:noWrap w:val="0"/>
            <w:vAlign w:val="center"/>
          </w:tcPr>
          <w:p w14:paraId="5438F846">
            <w:pPr>
              <w:shd w:val="clear" w:color="auto" w:fill="auto"/>
              <w:adjustRightInd/>
              <w:snapToGrid/>
              <w:spacing w:after="0" w:line="400" w:lineRule="exact"/>
              <w:jc w:val="center"/>
              <w:rPr>
                <w:rFonts w:ascii="宋体" w:hAnsi="宋体" w:eastAsia="宋体" w:cs="宋体"/>
                <w:color w:val="auto"/>
                <w:kern w:val="1"/>
                <w:sz w:val="24"/>
                <w:szCs w:val="24"/>
                <w:highlight w:val="none"/>
                <w:lang w:bidi="en-US"/>
              </w:rPr>
            </w:pPr>
          </w:p>
        </w:tc>
        <w:tc>
          <w:tcPr>
            <w:tcW w:w="1476" w:type="dxa"/>
            <w:gridSpan w:val="2"/>
            <w:tcBorders>
              <w:top w:val="single" w:color="000000" w:sz="4" w:space="0"/>
              <w:left w:val="single" w:color="000000" w:sz="6" w:space="0"/>
              <w:bottom w:val="single" w:color="000000" w:sz="4" w:space="0"/>
              <w:right w:val="single" w:color="000000" w:sz="12" w:space="0"/>
            </w:tcBorders>
            <w:noWrap w:val="0"/>
            <w:vAlign w:val="center"/>
          </w:tcPr>
          <w:p w14:paraId="4A70A4C9">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相关承诺</w:t>
            </w:r>
          </w:p>
          <w:p w14:paraId="2D916BE5">
            <w:pPr>
              <w:shd w:val="clear" w:color="auto" w:fill="auto"/>
              <w:spacing w:after="0" w:line="40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0-7分</w:t>
            </w:r>
          </w:p>
        </w:tc>
        <w:tc>
          <w:tcPr>
            <w:tcW w:w="6946" w:type="dxa"/>
            <w:gridSpan w:val="3"/>
            <w:tcBorders>
              <w:left w:val="single" w:color="000000" w:sz="2" w:space="0"/>
              <w:bottom w:val="single" w:color="000000" w:sz="4" w:space="0"/>
              <w:right w:val="single" w:color="000000" w:sz="12" w:space="0"/>
            </w:tcBorders>
            <w:noWrap w:val="0"/>
            <w:vAlign w:val="center"/>
          </w:tcPr>
          <w:p w14:paraId="4705A0B6">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承诺质量达到或优于国家规范要求、工期达到或优于磋商文件要求、</w:t>
            </w:r>
            <w:r>
              <w:rPr>
                <w:rFonts w:hint="eastAsia" w:ascii="宋体" w:hAnsi="宋体" w:eastAsia="宋体" w:cs="宋体"/>
                <w:color w:val="auto"/>
                <w:sz w:val="24"/>
                <w:szCs w:val="24"/>
                <w:highlight w:val="none"/>
                <w:lang w:val="en-US" w:eastAsia="zh-CN"/>
              </w:rPr>
              <w:t>提供设备或货物与投标文件一致、</w:t>
            </w:r>
            <w:r>
              <w:rPr>
                <w:rFonts w:hint="eastAsia" w:ascii="宋体" w:hAnsi="宋体" w:eastAsia="宋体" w:cs="宋体"/>
                <w:color w:val="auto"/>
                <w:sz w:val="24"/>
                <w:szCs w:val="24"/>
                <w:highlight w:val="none"/>
              </w:rPr>
              <w:t>工程进度及施工程序、项目部组成人员及现场管理服从采购人及监理人管理并有具体措施。</w:t>
            </w:r>
          </w:p>
          <w:p w14:paraId="3F756B99">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承诺内容全面、详实可行、合法有效、有针对性的得7分；</w:t>
            </w:r>
          </w:p>
          <w:p w14:paraId="6D31BA33">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承诺内容比较全面、详实可行、合法有效的得5分；</w:t>
            </w:r>
          </w:p>
          <w:p w14:paraId="1FE589EB">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承诺内容片面、不详细、不完整的得</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p w14:paraId="099471AC">
            <w:pPr>
              <w:shd w:val="clear" w:color="auto" w:fill="auto"/>
              <w:spacing w:after="0" w:line="400" w:lineRule="exac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bidi="en-US"/>
              </w:rPr>
              <w:t>内容前后不连贯导致语义不明或存在与本项目无关内容的得1分；</w:t>
            </w:r>
          </w:p>
          <w:p w14:paraId="77233941">
            <w:pPr>
              <w:pStyle w:val="4"/>
              <w:shd w:val="clear" w:color="auto" w:fill="auto"/>
              <w:rPr>
                <w:color w:val="auto"/>
                <w:sz w:val="24"/>
                <w:highlight w:val="none"/>
              </w:rPr>
            </w:pPr>
            <w:r>
              <w:rPr>
                <w:rFonts w:hint="eastAsia" w:ascii="宋体" w:hAnsi="宋体" w:cs="宋体"/>
                <w:color w:val="auto"/>
                <w:sz w:val="24"/>
                <w:highlight w:val="none"/>
              </w:rPr>
              <w:t>未提供者不得分。</w:t>
            </w:r>
          </w:p>
        </w:tc>
      </w:tr>
      <w:tr w14:paraId="143013B4">
        <w:tblPrEx>
          <w:tblCellMar>
            <w:top w:w="0" w:type="dxa"/>
            <w:left w:w="108" w:type="dxa"/>
            <w:bottom w:w="0" w:type="dxa"/>
            <w:right w:w="108" w:type="dxa"/>
          </w:tblCellMar>
        </w:tblPrEx>
        <w:trPr>
          <w:trHeight w:val="1009" w:hRule="atLeast"/>
        </w:trPr>
        <w:tc>
          <w:tcPr>
            <w:tcW w:w="9148" w:type="dxa"/>
            <w:gridSpan w:val="6"/>
            <w:tcBorders>
              <w:top w:val="single" w:color="000000" w:sz="4" w:space="0"/>
              <w:left w:val="single" w:color="000000" w:sz="12" w:space="0"/>
              <w:bottom w:val="single" w:color="000000" w:sz="12" w:space="0"/>
              <w:right w:val="single" w:color="000000" w:sz="6" w:space="0"/>
            </w:tcBorders>
            <w:noWrap w:val="0"/>
            <w:vAlign w:val="center"/>
          </w:tcPr>
          <w:p w14:paraId="7B4EE610">
            <w:pPr>
              <w:shd w:val="clear" w:color="auto" w:fill="auto"/>
              <w:adjustRightInd/>
              <w:snapToGrid/>
              <w:spacing w:after="0" w:line="400" w:lineRule="exact"/>
              <w:rPr>
                <w:rFonts w:ascii="宋体" w:hAnsi="宋体" w:eastAsia="宋体" w:cs="宋体"/>
                <w:b/>
                <w:color w:val="auto"/>
                <w:sz w:val="24"/>
                <w:szCs w:val="24"/>
                <w:highlight w:val="none"/>
                <w:lang w:bidi="en-US"/>
              </w:rPr>
            </w:pPr>
            <w:r>
              <w:rPr>
                <w:rFonts w:hint="eastAsia" w:ascii="宋体" w:hAnsi="宋体" w:eastAsia="宋体" w:cs="宋体"/>
                <w:b/>
                <w:color w:val="auto"/>
                <w:sz w:val="24"/>
                <w:szCs w:val="24"/>
                <w:highlight w:val="none"/>
                <w:lang w:bidi="en-US"/>
              </w:rPr>
              <w:t>供应商综合得分=技术标得分+商务标得分+综合标得分</w:t>
            </w:r>
          </w:p>
          <w:p w14:paraId="17ABDC6F">
            <w:pPr>
              <w:shd w:val="clear" w:color="auto" w:fill="auto"/>
              <w:adjustRightInd/>
              <w:snapToGrid/>
              <w:spacing w:after="0" w:line="400" w:lineRule="exact"/>
              <w:rPr>
                <w:rFonts w:ascii="宋体" w:hAnsi="宋体" w:eastAsia="宋体" w:cs="宋体"/>
                <w:b/>
                <w:color w:val="auto"/>
                <w:sz w:val="24"/>
                <w:szCs w:val="24"/>
                <w:highlight w:val="none"/>
                <w:lang w:bidi="en-US"/>
              </w:rPr>
            </w:pPr>
            <w:r>
              <w:rPr>
                <w:rFonts w:hint="eastAsia" w:ascii="宋体" w:hAnsi="宋体" w:eastAsia="宋体" w:cs="宋体"/>
                <w:b/>
                <w:color w:val="auto"/>
                <w:sz w:val="24"/>
                <w:szCs w:val="24"/>
                <w:highlight w:val="none"/>
                <w:lang w:bidi="en-US"/>
              </w:rPr>
              <w:t>供应商的报价应包含供应商所承诺的应达到的工程质量标准及其他承诺应达到的标准所包含的所有费用。</w:t>
            </w:r>
          </w:p>
        </w:tc>
      </w:tr>
    </w:tbl>
    <w:p w14:paraId="20BA995A">
      <w:pPr>
        <w:shd w:val="clear" w:color="auto" w:fill="auto"/>
        <w:jc w:val="center"/>
        <w:outlineLvl w:val="0"/>
        <w:rPr>
          <w:rFonts w:hint="eastAsia" w:ascii="宋体" w:hAnsi="宋体"/>
          <w:b/>
          <w:bCs/>
          <w:color w:val="auto"/>
          <w:sz w:val="32"/>
          <w:szCs w:val="32"/>
          <w:highlight w:val="none"/>
        </w:rPr>
      </w:pPr>
      <w:r>
        <w:rPr>
          <w:rFonts w:hint="eastAsia" w:ascii="宋体" w:hAnsi="宋体"/>
          <w:b/>
          <w:bCs/>
          <w:color w:val="auto"/>
          <w:sz w:val="32"/>
          <w:szCs w:val="32"/>
          <w:highlight w:val="none"/>
        </w:rPr>
        <w:br w:type="page"/>
      </w:r>
      <w:bookmarkStart w:id="504" w:name="_Toc32695"/>
      <w:r>
        <w:rPr>
          <w:rFonts w:hint="eastAsia" w:ascii="宋体" w:hAnsi="宋体"/>
          <w:b/>
          <w:bCs/>
          <w:color w:val="auto"/>
          <w:sz w:val="32"/>
          <w:szCs w:val="32"/>
          <w:highlight w:val="none"/>
        </w:rPr>
        <w:t xml:space="preserve">第四章 </w:t>
      </w:r>
      <w:bookmarkEnd w:id="501"/>
      <w:r>
        <w:rPr>
          <w:rFonts w:hint="eastAsia" w:ascii="宋体" w:hAnsi="宋体"/>
          <w:b/>
          <w:bCs/>
          <w:color w:val="auto"/>
          <w:sz w:val="32"/>
          <w:szCs w:val="32"/>
          <w:highlight w:val="none"/>
        </w:rPr>
        <w:t>合同协议书</w:t>
      </w:r>
      <w:bookmarkEnd w:id="502"/>
      <w:bookmarkEnd w:id="503"/>
      <w:r>
        <w:rPr>
          <w:rFonts w:hint="eastAsia" w:ascii="宋体" w:hAnsi="宋体"/>
          <w:b/>
          <w:bCs/>
          <w:color w:val="auto"/>
          <w:sz w:val="32"/>
          <w:szCs w:val="32"/>
          <w:highlight w:val="none"/>
        </w:rPr>
        <w:t>（样本）</w:t>
      </w:r>
      <w:bookmarkEnd w:id="504"/>
    </w:p>
    <w:p w14:paraId="4594B01E">
      <w:pPr>
        <w:widowControl/>
        <w:shd w:val="clear" w:color="auto" w:fill="auto"/>
        <w:autoSpaceDE w:val="0"/>
        <w:autoSpaceDN w:val="0"/>
        <w:adjustRightInd w:val="0"/>
        <w:snapToGrid w:val="0"/>
        <w:spacing w:after="200"/>
        <w:ind w:firstLine="480" w:firstLineChars="200"/>
        <w:rPr>
          <w:rFonts w:hint="eastAsia" w:ascii="宋体" w:hAnsi="宋体"/>
          <w:bCs/>
          <w:color w:val="auto"/>
          <w:sz w:val="32"/>
          <w:szCs w:val="32"/>
          <w:highlight w:val="none"/>
        </w:rPr>
      </w:pPr>
      <w:r>
        <w:rPr>
          <w:rFonts w:hint="eastAsia" w:ascii="宋体" w:hAnsi="宋体" w:cs="Calibri"/>
          <w:color w:val="auto"/>
          <w:kern w:val="0"/>
          <w:sz w:val="24"/>
          <w:szCs w:val="21"/>
          <w:highlight w:val="none"/>
        </w:rPr>
        <w:t>此合同仅供参考。以最终招标人与成交人签定的合同草案为准进行公示。</w:t>
      </w:r>
      <w:r>
        <w:rPr>
          <w:rFonts w:hint="eastAsia" w:ascii="宋体" w:hAnsi="宋体" w:cs="宋体"/>
          <w:color w:val="auto"/>
          <w:sz w:val="24"/>
          <w:highlight w:val="none"/>
        </w:rPr>
        <w:t>我单位（采购人）严格按三财购【2021】9号文要求的时限发布中标结果公告，发出中标通知书，签订采购合同，上传采购合同。</w:t>
      </w:r>
    </w:p>
    <w:p w14:paraId="0043FBA8">
      <w:pPr>
        <w:widowControl/>
        <w:shd w:val="clear" w:color="auto" w:fill="auto"/>
        <w:autoSpaceDE w:val="0"/>
        <w:autoSpaceDN w:val="0"/>
        <w:adjustRightInd w:val="0"/>
        <w:snapToGrid w:val="0"/>
        <w:spacing w:after="200"/>
        <w:ind w:firstLine="482"/>
        <w:jc w:val="center"/>
        <w:rPr>
          <w:rFonts w:hint="eastAsia" w:ascii="宋体" w:hAnsi="宋体"/>
          <w:bCs/>
          <w:color w:val="auto"/>
          <w:sz w:val="32"/>
          <w:szCs w:val="32"/>
          <w:highlight w:val="none"/>
        </w:rPr>
      </w:pPr>
      <w:r>
        <w:rPr>
          <w:rFonts w:hint="eastAsia" w:ascii="宋体" w:hAnsi="宋体" w:cs="Calibri"/>
          <w:color w:val="auto"/>
          <w:kern w:val="0"/>
          <w:sz w:val="24"/>
          <w:highlight w:val="none"/>
        </w:rPr>
        <w:t>此合同仅供参考。以最终招标人与成交人签定的合同草案为准进行公示</w:t>
      </w:r>
    </w:p>
    <w:p w14:paraId="4CD30C35">
      <w:pPr>
        <w:keepNext/>
        <w:keepLines/>
        <w:shd w:val="clear" w:color="auto" w:fill="auto"/>
        <w:spacing w:line="400" w:lineRule="exact"/>
        <w:ind w:firstLine="643"/>
        <w:jc w:val="center"/>
        <w:outlineLvl w:val="2"/>
        <w:rPr>
          <w:rFonts w:hint="eastAsia" w:ascii="宋体" w:hAnsi="宋体"/>
          <w:bCs/>
          <w:color w:val="auto"/>
          <w:sz w:val="32"/>
          <w:szCs w:val="32"/>
          <w:highlight w:val="none"/>
        </w:rPr>
      </w:pPr>
      <w:bookmarkStart w:id="505" w:name="_Toc12861"/>
      <w:bookmarkStart w:id="506" w:name="_Toc28057"/>
      <w:r>
        <w:rPr>
          <w:rFonts w:hint="eastAsia" w:ascii="宋体" w:hAnsi="宋体"/>
          <w:bCs/>
          <w:color w:val="auto"/>
          <w:sz w:val="32"/>
          <w:szCs w:val="32"/>
          <w:highlight w:val="none"/>
        </w:rPr>
        <w:t>第一部分、合同协议书</w:t>
      </w:r>
      <w:bookmarkEnd w:id="505"/>
      <w:bookmarkEnd w:id="506"/>
    </w:p>
    <w:p w14:paraId="3A3062F3">
      <w:pPr>
        <w:shd w:val="clear" w:color="auto" w:fill="auto"/>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发包人（全称）：</w:t>
      </w:r>
      <w:r>
        <w:rPr>
          <w:rFonts w:hint="eastAsia" w:ascii="宋体" w:hAnsi="宋体"/>
          <w:color w:val="auto"/>
          <w:sz w:val="24"/>
          <w:szCs w:val="24"/>
          <w:highlight w:val="none"/>
          <w:u w:val="single"/>
        </w:rPr>
        <w:t xml:space="preserve">         </w:t>
      </w:r>
    </w:p>
    <w:p w14:paraId="641A9996">
      <w:pPr>
        <w:shd w:val="clear" w:color="auto" w:fill="auto"/>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承包人（全称）：</w:t>
      </w:r>
      <w:r>
        <w:rPr>
          <w:rFonts w:hint="eastAsia" w:ascii="宋体" w:hAnsi="宋体"/>
          <w:color w:val="auto"/>
          <w:sz w:val="24"/>
          <w:szCs w:val="24"/>
          <w:highlight w:val="none"/>
          <w:u w:val="single"/>
        </w:rPr>
        <w:t xml:space="preserve">     </w:t>
      </w:r>
    </w:p>
    <w:p w14:paraId="49CA9151">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根据《中华人民共和国民法典》、《中华人民共和国建筑法》及有关法律规定，遵循平等、自愿、公平和诚实信用的原则，双方就</w:t>
      </w:r>
    </w:p>
    <w:p w14:paraId="30C1A6FE">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工程施工及有关事项协商一致，共同达成如下协议：</w:t>
      </w:r>
    </w:p>
    <w:p w14:paraId="5A7BF4DF">
      <w:pPr>
        <w:keepNext/>
        <w:keepLines/>
        <w:shd w:val="clear" w:color="auto" w:fill="auto"/>
        <w:spacing w:line="400" w:lineRule="exact"/>
        <w:ind w:firstLine="482"/>
        <w:outlineLvl w:val="3"/>
        <w:rPr>
          <w:rFonts w:hint="eastAsia" w:ascii="宋体" w:hAnsi="宋体"/>
          <w:color w:val="auto"/>
          <w:sz w:val="24"/>
          <w:szCs w:val="24"/>
          <w:highlight w:val="none"/>
        </w:rPr>
      </w:pPr>
      <w:bookmarkStart w:id="507" w:name="_Toc351203481"/>
      <w:r>
        <w:rPr>
          <w:rFonts w:hint="eastAsia" w:ascii="宋体" w:hAnsi="宋体"/>
          <w:bCs/>
          <w:color w:val="auto"/>
          <w:sz w:val="24"/>
          <w:szCs w:val="24"/>
          <w:highlight w:val="none"/>
        </w:rPr>
        <w:t>一、工程概况</w:t>
      </w:r>
      <w:bookmarkEnd w:id="507"/>
    </w:p>
    <w:p w14:paraId="505C819D">
      <w:pPr>
        <w:shd w:val="clear" w:color="auto" w:fill="auto"/>
        <w:spacing w:line="400" w:lineRule="exact"/>
        <w:ind w:firstLine="470" w:firstLineChars="196"/>
        <w:rPr>
          <w:rFonts w:hint="eastAsia" w:ascii="宋体" w:hAnsi="宋体"/>
          <w:color w:val="auto"/>
          <w:sz w:val="24"/>
          <w:szCs w:val="24"/>
          <w:highlight w:val="none"/>
          <w:u w:val="single"/>
        </w:rPr>
      </w:pPr>
      <w:r>
        <w:rPr>
          <w:rFonts w:hint="eastAsia" w:ascii="宋体" w:hAnsi="宋体"/>
          <w:bCs/>
          <w:color w:val="auto"/>
          <w:sz w:val="24"/>
          <w:szCs w:val="24"/>
          <w:highlight w:val="none"/>
        </w:rPr>
        <w:t>1.工程名称</w:t>
      </w:r>
      <w:r>
        <w:rPr>
          <w:rFonts w:hint="eastAsia" w:ascii="宋体" w:hAnsi="宋体"/>
          <w:color w:val="auto"/>
          <w:sz w:val="24"/>
          <w:szCs w:val="24"/>
          <w:highlight w:val="none"/>
        </w:rPr>
        <w:t>：</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075551B">
      <w:pPr>
        <w:shd w:val="clear" w:color="auto" w:fill="auto"/>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2.工程地点：</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7C73F6C">
      <w:pPr>
        <w:shd w:val="clear" w:color="auto" w:fill="auto"/>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3.工程立项批准文号：</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3E204373">
      <w:pPr>
        <w:shd w:val="clear" w:color="auto" w:fill="auto"/>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4.资金来源：</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74CEB390">
      <w:pPr>
        <w:shd w:val="clear" w:color="auto" w:fill="auto"/>
        <w:spacing w:line="400" w:lineRule="exact"/>
        <w:ind w:firstLine="470" w:firstLineChars="196"/>
        <w:rPr>
          <w:rFonts w:hint="eastAsia" w:ascii="宋体" w:hAnsi="宋体"/>
          <w:bCs/>
          <w:color w:val="auto"/>
          <w:sz w:val="24"/>
          <w:szCs w:val="24"/>
          <w:highlight w:val="none"/>
        </w:rPr>
      </w:pPr>
      <w:r>
        <w:rPr>
          <w:rFonts w:hint="eastAsia" w:ascii="宋体" w:hAnsi="宋体"/>
          <w:bCs/>
          <w:color w:val="auto"/>
          <w:sz w:val="24"/>
          <w:szCs w:val="24"/>
          <w:highlight w:val="none"/>
        </w:rPr>
        <w:t>5.工程内容：</w:t>
      </w:r>
      <w:r>
        <w:rPr>
          <w:rFonts w:hint="eastAsia" w:ascii="宋体" w:hAnsi="宋体"/>
          <w:color w:val="auto"/>
          <w:sz w:val="24"/>
          <w:szCs w:val="24"/>
          <w:highlight w:val="none"/>
          <w:u w:val="single"/>
        </w:rPr>
        <w:t xml:space="preserve"> </w:t>
      </w:r>
      <w:r>
        <w:rPr>
          <w:rFonts w:hint="eastAsia" w:ascii="宋体" w:hAnsi="宋体"/>
          <w:bCs/>
          <w:color w:val="auto"/>
          <w:sz w:val="24"/>
          <w:szCs w:val="24"/>
          <w:highlight w:val="none"/>
        </w:rPr>
        <w:t>。</w:t>
      </w:r>
    </w:p>
    <w:p w14:paraId="09580716">
      <w:pPr>
        <w:shd w:val="clear" w:color="auto" w:fill="auto"/>
        <w:spacing w:line="400" w:lineRule="exact"/>
        <w:ind w:firstLine="470" w:firstLineChars="196"/>
        <w:rPr>
          <w:rFonts w:hint="eastAsia" w:ascii="宋体" w:hAnsi="宋体"/>
          <w:bCs/>
          <w:color w:val="auto"/>
          <w:sz w:val="24"/>
          <w:szCs w:val="24"/>
          <w:highlight w:val="none"/>
        </w:rPr>
      </w:pPr>
      <w:r>
        <w:rPr>
          <w:rFonts w:hint="eastAsia" w:ascii="宋体" w:hAnsi="宋体"/>
          <w:color w:val="auto"/>
          <w:sz w:val="24"/>
          <w:szCs w:val="24"/>
          <w:highlight w:val="none"/>
        </w:rPr>
        <w:t>群体工程应附《承包人承揽工程项目一览表》（附件1）。</w:t>
      </w:r>
    </w:p>
    <w:p w14:paraId="54F88B21">
      <w:pPr>
        <w:shd w:val="clear" w:color="auto" w:fill="auto"/>
        <w:spacing w:line="400" w:lineRule="exact"/>
        <w:ind w:firstLine="470" w:firstLineChars="196"/>
        <w:rPr>
          <w:rFonts w:hint="eastAsia" w:ascii="宋体" w:hAnsi="宋体"/>
          <w:color w:val="auto"/>
          <w:sz w:val="24"/>
          <w:szCs w:val="24"/>
          <w:highlight w:val="none"/>
        </w:rPr>
      </w:pPr>
      <w:r>
        <w:rPr>
          <w:rFonts w:hint="eastAsia" w:ascii="宋体" w:hAnsi="宋体"/>
          <w:bCs/>
          <w:color w:val="auto"/>
          <w:sz w:val="24"/>
          <w:szCs w:val="24"/>
          <w:highlight w:val="none"/>
        </w:rPr>
        <w:t>6.工程承包范围：</w:t>
      </w:r>
      <w:r>
        <w:rPr>
          <w:rFonts w:hint="eastAsia" w:ascii="宋体" w:hAnsi="宋体"/>
          <w:color w:val="auto"/>
          <w:sz w:val="24"/>
          <w:szCs w:val="24"/>
          <w:highlight w:val="none"/>
        </w:rPr>
        <w:t>。</w:t>
      </w:r>
    </w:p>
    <w:p w14:paraId="1813B605">
      <w:pPr>
        <w:keepNext/>
        <w:keepLines/>
        <w:shd w:val="clear" w:color="auto" w:fill="auto"/>
        <w:spacing w:line="400" w:lineRule="exact"/>
        <w:ind w:firstLine="482"/>
        <w:outlineLvl w:val="3"/>
        <w:rPr>
          <w:rFonts w:hint="eastAsia" w:ascii="宋体" w:hAnsi="宋体"/>
          <w:bCs/>
          <w:color w:val="auto"/>
          <w:sz w:val="24"/>
          <w:szCs w:val="24"/>
          <w:highlight w:val="none"/>
        </w:rPr>
      </w:pPr>
      <w:bookmarkStart w:id="508" w:name="_Toc351203482"/>
      <w:r>
        <w:rPr>
          <w:rFonts w:hint="eastAsia" w:ascii="宋体" w:hAnsi="宋体"/>
          <w:bCs/>
          <w:color w:val="auto"/>
          <w:sz w:val="24"/>
          <w:szCs w:val="24"/>
          <w:highlight w:val="none"/>
        </w:rPr>
        <w:t>二、合同工期</w:t>
      </w:r>
      <w:bookmarkEnd w:id="508"/>
    </w:p>
    <w:p w14:paraId="1EDFD913">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计划开工日期：年月日。</w:t>
      </w:r>
    </w:p>
    <w:p w14:paraId="76CFC768">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计划竣工日期：年月日。</w:t>
      </w:r>
    </w:p>
    <w:p w14:paraId="7BFB5A91">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工期总日历天数：天。工期总日历天数与根据前述计划开竣工日期计算的工期天数不一致的，以工期总日历天数为准。</w:t>
      </w:r>
    </w:p>
    <w:p w14:paraId="1C3E56AC">
      <w:pPr>
        <w:keepNext/>
        <w:keepLines/>
        <w:shd w:val="clear" w:color="auto" w:fill="auto"/>
        <w:spacing w:line="400" w:lineRule="exact"/>
        <w:ind w:firstLine="482"/>
        <w:outlineLvl w:val="3"/>
        <w:rPr>
          <w:rFonts w:hint="eastAsia" w:ascii="宋体" w:hAnsi="宋体"/>
          <w:color w:val="auto"/>
          <w:sz w:val="24"/>
          <w:szCs w:val="24"/>
          <w:highlight w:val="none"/>
        </w:rPr>
      </w:pPr>
      <w:bookmarkStart w:id="509" w:name="_Toc351203483"/>
      <w:r>
        <w:rPr>
          <w:rFonts w:hint="eastAsia" w:ascii="宋体" w:hAnsi="宋体"/>
          <w:bCs/>
          <w:color w:val="auto"/>
          <w:sz w:val="24"/>
          <w:szCs w:val="24"/>
          <w:highlight w:val="none"/>
        </w:rPr>
        <w:t>三、质量标准</w:t>
      </w:r>
      <w:bookmarkEnd w:id="509"/>
    </w:p>
    <w:p w14:paraId="00FECD53">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工程质量符合标准。</w:t>
      </w:r>
    </w:p>
    <w:p w14:paraId="3A9B9BAC">
      <w:pPr>
        <w:keepNext/>
        <w:keepLines/>
        <w:shd w:val="clear" w:color="auto" w:fill="auto"/>
        <w:spacing w:line="400" w:lineRule="exact"/>
        <w:ind w:firstLine="482"/>
        <w:outlineLvl w:val="3"/>
        <w:rPr>
          <w:rFonts w:hint="eastAsia" w:ascii="宋体" w:hAnsi="宋体"/>
          <w:color w:val="auto"/>
          <w:sz w:val="24"/>
          <w:szCs w:val="24"/>
          <w:highlight w:val="none"/>
        </w:rPr>
      </w:pPr>
      <w:bookmarkStart w:id="510" w:name="_Toc351203484"/>
      <w:r>
        <w:rPr>
          <w:rFonts w:hint="eastAsia" w:ascii="宋体" w:hAnsi="宋体"/>
          <w:bCs/>
          <w:color w:val="auto"/>
          <w:sz w:val="24"/>
          <w:szCs w:val="24"/>
          <w:highlight w:val="none"/>
        </w:rPr>
        <w:t>四、签约合同价与合同价格形式</w:t>
      </w:r>
      <w:bookmarkEnd w:id="510"/>
      <w:r>
        <w:rPr>
          <w:rFonts w:hint="eastAsia" w:ascii="宋体" w:hAnsi="宋体"/>
          <w:bCs/>
          <w:color w:val="auto"/>
          <w:sz w:val="24"/>
          <w:szCs w:val="24"/>
          <w:highlight w:val="none"/>
        </w:rPr>
        <w:tab/>
      </w:r>
    </w:p>
    <w:p w14:paraId="6B74FC74">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1.签约合同价为：</w:t>
      </w:r>
    </w:p>
    <w:p w14:paraId="74316BE0">
      <w:pPr>
        <w:shd w:val="clear" w:color="auto" w:fill="auto"/>
        <w:spacing w:line="400" w:lineRule="exact"/>
        <w:ind w:firstLine="600" w:firstLineChars="250"/>
        <w:rPr>
          <w:rFonts w:hint="eastAsia" w:ascii="宋体" w:hAnsi="宋体"/>
          <w:color w:val="auto"/>
          <w:sz w:val="24"/>
          <w:szCs w:val="24"/>
          <w:highlight w:val="none"/>
        </w:rPr>
      </w:pPr>
      <w:r>
        <w:rPr>
          <w:rFonts w:hint="eastAsia" w:ascii="宋体" w:hAnsi="宋体"/>
          <w:color w:val="auto"/>
          <w:sz w:val="24"/>
          <w:szCs w:val="24"/>
          <w:highlight w:val="none"/>
        </w:rPr>
        <w:t>人民币（大写）(¥元)；</w:t>
      </w:r>
    </w:p>
    <w:p w14:paraId="6A0485B9">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其中：</w:t>
      </w:r>
    </w:p>
    <w:p w14:paraId="1C69588E">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（1）安全文明施工费：</w:t>
      </w:r>
    </w:p>
    <w:p w14:paraId="2969D923">
      <w:pPr>
        <w:shd w:val="clear" w:color="auto" w:fill="auto"/>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5A9F95FC">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（2）材料和工程设备暂估价金额：</w:t>
      </w:r>
    </w:p>
    <w:p w14:paraId="05D388B5">
      <w:pPr>
        <w:shd w:val="clear" w:color="auto" w:fill="auto"/>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0A3C923D">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（3）专业工程暂估价金额：</w:t>
      </w:r>
    </w:p>
    <w:p w14:paraId="7278EB33">
      <w:pPr>
        <w:shd w:val="clear" w:color="auto" w:fill="auto"/>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5AD6B4C7">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（4）暂列金额：</w:t>
      </w:r>
    </w:p>
    <w:p w14:paraId="76250273">
      <w:pPr>
        <w:shd w:val="clear" w:color="auto" w:fill="auto"/>
        <w:spacing w:line="400" w:lineRule="exact"/>
        <w:ind w:firstLine="1080" w:firstLineChars="450"/>
        <w:rPr>
          <w:rFonts w:hint="eastAsia" w:ascii="宋体" w:hAnsi="宋体"/>
          <w:color w:val="auto"/>
          <w:sz w:val="24"/>
          <w:szCs w:val="24"/>
          <w:highlight w:val="none"/>
        </w:rPr>
      </w:pPr>
      <w:r>
        <w:rPr>
          <w:rFonts w:hint="eastAsia" w:ascii="宋体" w:hAnsi="宋体"/>
          <w:color w:val="auto"/>
          <w:sz w:val="24"/>
          <w:szCs w:val="24"/>
          <w:highlight w:val="none"/>
        </w:rPr>
        <w:t>人民币（大写） (¥元)。</w:t>
      </w:r>
    </w:p>
    <w:p w14:paraId="2C0785F0">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2.合同价格形式：</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64F2764">
      <w:pPr>
        <w:keepNext/>
        <w:keepLines/>
        <w:shd w:val="clear" w:color="auto" w:fill="auto"/>
        <w:spacing w:line="400" w:lineRule="exact"/>
        <w:ind w:firstLine="482"/>
        <w:outlineLvl w:val="3"/>
        <w:rPr>
          <w:rFonts w:hint="eastAsia" w:ascii="宋体" w:hAnsi="宋体"/>
          <w:bCs/>
          <w:color w:val="auto"/>
          <w:sz w:val="24"/>
          <w:szCs w:val="24"/>
          <w:highlight w:val="none"/>
        </w:rPr>
      </w:pPr>
      <w:bookmarkStart w:id="511" w:name="_Toc351203485"/>
      <w:r>
        <w:rPr>
          <w:rFonts w:hint="eastAsia" w:ascii="宋体" w:hAnsi="宋体"/>
          <w:bCs/>
          <w:color w:val="auto"/>
          <w:sz w:val="24"/>
          <w:szCs w:val="24"/>
          <w:highlight w:val="none"/>
        </w:rPr>
        <w:t>五、</w:t>
      </w:r>
      <w:bookmarkEnd w:id="511"/>
      <w:r>
        <w:rPr>
          <w:rFonts w:hint="eastAsia" w:ascii="宋体" w:hAnsi="宋体"/>
          <w:bCs/>
          <w:color w:val="auto"/>
          <w:sz w:val="24"/>
          <w:szCs w:val="24"/>
          <w:highlight w:val="none"/>
        </w:rPr>
        <w:t>项目经理</w:t>
      </w:r>
    </w:p>
    <w:p w14:paraId="3EB045CF">
      <w:pPr>
        <w:shd w:val="clear" w:color="auto" w:fill="auto"/>
        <w:spacing w:line="40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承包人项目经理：。</w:t>
      </w:r>
    </w:p>
    <w:p w14:paraId="7EADA418">
      <w:pPr>
        <w:keepNext/>
        <w:keepLines/>
        <w:shd w:val="clear" w:color="auto" w:fill="auto"/>
        <w:spacing w:line="400" w:lineRule="exact"/>
        <w:ind w:firstLine="482"/>
        <w:outlineLvl w:val="3"/>
        <w:rPr>
          <w:rFonts w:hint="eastAsia" w:ascii="宋体" w:hAnsi="宋体"/>
          <w:color w:val="auto"/>
          <w:sz w:val="24"/>
          <w:szCs w:val="24"/>
          <w:highlight w:val="none"/>
        </w:rPr>
      </w:pPr>
      <w:bookmarkStart w:id="512" w:name="_Toc351203486"/>
      <w:r>
        <w:rPr>
          <w:rFonts w:hint="eastAsia" w:ascii="宋体" w:hAnsi="宋体"/>
          <w:bCs/>
          <w:color w:val="auto"/>
          <w:sz w:val="24"/>
          <w:szCs w:val="24"/>
          <w:highlight w:val="none"/>
        </w:rPr>
        <w:t>六、合同文件构成</w:t>
      </w:r>
      <w:bookmarkEnd w:id="512"/>
    </w:p>
    <w:p w14:paraId="0476DFB0">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本协议书与下列文件一起构成合同文件：</w:t>
      </w:r>
    </w:p>
    <w:p w14:paraId="490EDC90">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（1）中标通知书（如果有）；</w:t>
      </w:r>
    </w:p>
    <w:p w14:paraId="508F1DCD">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 xml:space="preserve">（2）投标函及其附录（如果有）； </w:t>
      </w:r>
    </w:p>
    <w:p w14:paraId="4BD86ABD">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（3）专用合同草案及其附件；</w:t>
      </w:r>
    </w:p>
    <w:p w14:paraId="67C5D9C6">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（4）通用合同草案；</w:t>
      </w:r>
    </w:p>
    <w:p w14:paraId="36F16F0A">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（5）技术标准和要求；</w:t>
      </w:r>
    </w:p>
    <w:p w14:paraId="0E037BDB">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（6）图纸；</w:t>
      </w:r>
    </w:p>
    <w:p w14:paraId="7E4C8D55">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（7）已标价工程量清单或预算书；</w:t>
      </w:r>
    </w:p>
    <w:p w14:paraId="79AF984C">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（8）其他合同文件。</w:t>
      </w:r>
    </w:p>
    <w:p w14:paraId="7278A20C">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在合同订立及履行过程中形成的与合同有关的文件均构成合同文件组成部分。</w:t>
      </w:r>
    </w:p>
    <w:p w14:paraId="64BE840E">
      <w:pPr>
        <w:shd w:val="clear" w:color="auto" w:fill="auto"/>
        <w:autoSpaceDE w:val="0"/>
        <w:autoSpaceDN w:val="0"/>
        <w:adjustRightInd w:val="0"/>
        <w:spacing w:line="40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上述各项合同文件包括合同当事人就该项合同文件所作出的补充和修改，属于同一类内容的文件，应以最新签署的为准。专用合同草案及其附件须经合同当事人电子签章。</w:t>
      </w:r>
    </w:p>
    <w:p w14:paraId="462D2CA9">
      <w:pPr>
        <w:keepNext/>
        <w:keepLines/>
        <w:shd w:val="clear" w:color="auto" w:fill="auto"/>
        <w:spacing w:line="400" w:lineRule="exact"/>
        <w:ind w:firstLine="482"/>
        <w:outlineLvl w:val="3"/>
        <w:rPr>
          <w:rFonts w:hint="eastAsia" w:ascii="宋体" w:hAnsi="宋体"/>
          <w:color w:val="auto"/>
          <w:sz w:val="24"/>
          <w:szCs w:val="24"/>
          <w:highlight w:val="none"/>
        </w:rPr>
      </w:pPr>
      <w:bookmarkStart w:id="513" w:name="_Toc351203487"/>
      <w:r>
        <w:rPr>
          <w:rFonts w:hint="eastAsia" w:ascii="宋体" w:hAnsi="宋体"/>
          <w:bCs/>
          <w:color w:val="auto"/>
          <w:sz w:val="24"/>
          <w:szCs w:val="24"/>
          <w:highlight w:val="none"/>
        </w:rPr>
        <w:t>七、承诺</w:t>
      </w:r>
      <w:bookmarkEnd w:id="513"/>
    </w:p>
    <w:p w14:paraId="61B656CE">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1.发包人承诺按照法律规定履行项目审批手续、筹集工程建设资金并按照合同约定的期限和方式支付合同价款。</w:t>
      </w:r>
    </w:p>
    <w:p w14:paraId="5B80D35A">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2.承包人承诺按照法律规定及合同约定组织完成工程施工，确保工程质量和安全，不进行转包及违法分包，并在缺陷责任期及保修期内承担相应的工程维修责任。</w:t>
      </w:r>
    </w:p>
    <w:p w14:paraId="10ABB095">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3.发包人和承包人通过招投标形式签订合同的，双方理解并承诺不再就同一工程另行签订与合同实质性内容相背离的协议。</w:t>
      </w:r>
    </w:p>
    <w:p w14:paraId="25378A98">
      <w:pPr>
        <w:shd w:val="clear" w:color="auto" w:fill="auto"/>
        <w:spacing w:line="400" w:lineRule="exact"/>
        <w:ind w:firstLine="482"/>
        <w:rPr>
          <w:rFonts w:hint="eastAsia" w:ascii="宋体" w:hAnsi="宋体"/>
          <w:bCs/>
          <w:color w:val="auto"/>
          <w:sz w:val="24"/>
          <w:szCs w:val="24"/>
          <w:highlight w:val="none"/>
        </w:rPr>
      </w:pPr>
      <w:bookmarkStart w:id="514" w:name="_Toc351203488"/>
      <w:r>
        <w:rPr>
          <w:rFonts w:hint="eastAsia" w:ascii="宋体" w:hAnsi="宋体"/>
          <w:color w:val="auto"/>
          <w:sz w:val="24"/>
          <w:szCs w:val="24"/>
          <w:highlight w:val="none"/>
        </w:rPr>
        <w:t>八、词语含义</w:t>
      </w:r>
      <w:bookmarkEnd w:id="514"/>
    </w:p>
    <w:p w14:paraId="3A25B971">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本协议书中词语含义与第二部分通用合同草案中赋予的含义相同。</w:t>
      </w:r>
    </w:p>
    <w:p w14:paraId="32A0CB37">
      <w:pPr>
        <w:keepNext/>
        <w:keepLines/>
        <w:shd w:val="clear" w:color="auto" w:fill="auto"/>
        <w:spacing w:line="400" w:lineRule="exact"/>
        <w:ind w:firstLine="482"/>
        <w:outlineLvl w:val="3"/>
        <w:rPr>
          <w:rFonts w:hint="eastAsia" w:ascii="宋体" w:hAnsi="宋体"/>
          <w:color w:val="auto"/>
          <w:sz w:val="24"/>
          <w:szCs w:val="24"/>
          <w:highlight w:val="none"/>
        </w:rPr>
      </w:pPr>
      <w:bookmarkStart w:id="515" w:name="_Toc351203489"/>
      <w:r>
        <w:rPr>
          <w:rFonts w:hint="eastAsia" w:ascii="宋体" w:hAnsi="宋体"/>
          <w:bCs/>
          <w:color w:val="auto"/>
          <w:sz w:val="24"/>
          <w:szCs w:val="24"/>
          <w:highlight w:val="none"/>
        </w:rPr>
        <w:t>九、签订时间</w:t>
      </w:r>
      <w:bookmarkEnd w:id="515"/>
    </w:p>
    <w:p w14:paraId="10F7331E">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本合同于年月日签订。</w:t>
      </w:r>
    </w:p>
    <w:p w14:paraId="2FDF7767">
      <w:pPr>
        <w:keepNext/>
        <w:keepLines/>
        <w:shd w:val="clear" w:color="auto" w:fill="auto"/>
        <w:spacing w:line="400" w:lineRule="exact"/>
        <w:ind w:firstLine="482"/>
        <w:outlineLvl w:val="3"/>
        <w:rPr>
          <w:rFonts w:hint="eastAsia" w:ascii="宋体" w:hAnsi="宋体"/>
          <w:color w:val="auto"/>
          <w:sz w:val="24"/>
          <w:szCs w:val="24"/>
          <w:highlight w:val="none"/>
        </w:rPr>
      </w:pPr>
      <w:bookmarkStart w:id="516" w:name="_Toc351203490"/>
      <w:r>
        <w:rPr>
          <w:rFonts w:hint="eastAsia" w:ascii="宋体" w:hAnsi="宋体"/>
          <w:bCs/>
          <w:color w:val="auto"/>
          <w:sz w:val="24"/>
          <w:szCs w:val="24"/>
          <w:highlight w:val="none"/>
        </w:rPr>
        <w:t>十、签订地点</w:t>
      </w:r>
      <w:bookmarkEnd w:id="516"/>
    </w:p>
    <w:p w14:paraId="3DA5DA17">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本合同在签订。</w:t>
      </w:r>
    </w:p>
    <w:p w14:paraId="17C1C0E6">
      <w:pPr>
        <w:keepNext/>
        <w:keepLines/>
        <w:shd w:val="clear" w:color="auto" w:fill="auto"/>
        <w:spacing w:line="400" w:lineRule="exact"/>
        <w:ind w:firstLine="482"/>
        <w:outlineLvl w:val="3"/>
        <w:rPr>
          <w:rFonts w:hint="eastAsia" w:ascii="宋体" w:hAnsi="宋体"/>
          <w:color w:val="auto"/>
          <w:sz w:val="24"/>
          <w:szCs w:val="24"/>
          <w:highlight w:val="none"/>
        </w:rPr>
      </w:pPr>
      <w:bookmarkStart w:id="517" w:name="_Toc351203491"/>
      <w:r>
        <w:rPr>
          <w:rFonts w:hint="eastAsia" w:ascii="宋体" w:hAnsi="宋体"/>
          <w:bCs/>
          <w:color w:val="auto"/>
          <w:sz w:val="24"/>
          <w:szCs w:val="24"/>
          <w:highlight w:val="none"/>
        </w:rPr>
        <w:t>十一、补充协议</w:t>
      </w:r>
      <w:bookmarkEnd w:id="517"/>
    </w:p>
    <w:p w14:paraId="1372342D">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合同未尽事宜，合同当事人另行签订补充协议，补充协议是合同的组成部分。</w:t>
      </w:r>
    </w:p>
    <w:p w14:paraId="1530E155">
      <w:pPr>
        <w:keepNext/>
        <w:keepLines/>
        <w:shd w:val="clear" w:color="auto" w:fill="auto"/>
        <w:spacing w:line="400" w:lineRule="exact"/>
        <w:ind w:firstLine="482"/>
        <w:outlineLvl w:val="3"/>
        <w:rPr>
          <w:rFonts w:hint="eastAsia" w:ascii="宋体" w:hAnsi="宋体"/>
          <w:color w:val="auto"/>
          <w:sz w:val="24"/>
          <w:szCs w:val="24"/>
          <w:highlight w:val="none"/>
        </w:rPr>
      </w:pPr>
      <w:bookmarkStart w:id="518" w:name="_Toc351203492"/>
      <w:r>
        <w:rPr>
          <w:rFonts w:hint="eastAsia" w:ascii="宋体" w:hAnsi="宋体"/>
          <w:bCs/>
          <w:color w:val="auto"/>
          <w:sz w:val="24"/>
          <w:szCs w:val="24"/>
          <w:highlight w:val="none"/>
        </w:rPr>
        <w:t>十二、合同生效</w:t>
      </w:r>
      <w:bookmarkEnd w:id="518"/>
    </w:p>
    <w:p w14:paraId="4DE00235">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本合同自生效。</w:t>
      </w:r>
    </w:p>
    <w:p w14:paraId="774300BA">
      <w:pPr>
        <w:keepNext/>
        <w:keepLines/>
        <w:shd w:val="clear" w:color="auto" w:fill="auto"/>
        <w:spacing w:line="400" w:lineRule="exact"/>
        <w:ind w:firstLine="482"/>
        <w:outlineLvl w:val="3"/>
        <w:rPr>
          <w:rFonts w:hint="eastAsia" w:ascii="宋体" w:hAnsi="宋体"/>
          <w:color w:val="auto"/>
          <w:sz w:val="24"/>
          <w:szCs w:val="24"/>
          <w:highlight w:val="none"/>
        </w:rPr>
      </w:pPr>
      <w:bookmarkStart w:id="519" w:name="_Toc351203493"/>
      <w:r>
        <w:rPr>
          <w:rFonts w:hint="eastAsia" w:ascii="宋体" w:hAnsi="宋体"/>
          <w:bCs/>
          <w:color w:val="auto"/>
          <w:sz w:val="24"/>
          <w:szCs w:val="24"/>
          <w:highlight w:val="none"/>
        </w:rPr>
        <w:t>十三、合同份数</w:t>
      </w:r>
      <w:bookmarkEnd w:id="519"/>
    </w:p>
    <w:p w14:paraId="2B33BC26">
      <w:pPr>
        <w:shd w:val="clear" w:color="auto" w:fill="auto"/>
        <w:spacing w:line="400" w:lineRule="exact"/>
        <w:ind w:firstLine="480" w:firstLineChars="200"/>
        <w:rPr>
          <w:rFonts w:hint="eastAsia" w:ascii="宋体" w:hAnsi="宋体"/>
          <w:bCs/>
          <w:color w:val="auto"/>
          <w:sz w:val="24"/>
          <w:szCs w:val="24"/>
          <w:highlight w:val="none"/>
        </w:rPr>
      </w:pPr>
      <w:r>
        <w:rPr>
          <w:rFonts w:hint="eastAsia" w:ascii="宋体" w:hAnsi="宋体"/>
          <w:bCs/>
          <w:color w:val="auto"/>
          <w:sz w:val="24"/>
          <w:szCs w:val="24"/>
          <w:highlight w:val="none"/>
        </w:rPr>
        <w:t>本合同一式份，均具有同等法律效力，发包人执份，承包人执份。</w:t>
      </w:r>
    </w:p>
    <w:p w14:paraId="2FA74A5C">
      <w:pPr>
        <w:shd w:val="clear" w:color="auto" w:fill="auto"/>
        <w:spacing w:line="400" w:lineRule="exact"/>
        <w:ind w:firstLine="482"/>
        <w:rPr>
          <w:rFonts w:hint="eastAsia" w:ascii="宋体" w:hAnsi="宋体"/>
          <w:bCs/>
          <w:color w:val="auto"/>
          <w:sz w:val="24"/>
          <w:szCs w:val="24"/>
          <w:highlight w:val="none"/>
        </w:rPr>
      </w:pPr>
    </w:p>
    <w:p w14:paraId="3F809523">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发包人：  (公章)承包人：  (公章)</w:t>
      </w:r>
    </w:p>
    <w:p w14:paraId="2041A869">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 xml:space="preserve">法定代表人或其委托代理人：（签字） 法定代表人或其委托代理人：（签字）                    </w:t>
      </w:r>
    </w:p>
    <w:p w14:paraId="001AC1B8">
      <w:pPr>
        <w:shd w:val="clear" w:color="auto" w:fill="auto"/>
        <w:tabs>
          <w:tab w:val="left" w:pos="4410"/>
        </w:tabs>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组织机构代码：</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 xml:space="preserve"> 组织机构代码：</w:t>
      </w:r>
      <w:r>
        <w:rPr>
          <w:rFonts w:hint="eastAsia" w:ascii="宋体" w:hAnsi="宋体"/>
          <w:color w:val="auto"/>
          <w:sz w:val="24"/>
          <w:szCs w:val="24"/>
          <w:highlight w:val="none"/>
          <w:u w:val="single"/>
        </w:rPr>
        <w:t xml:space="preserve">   </w:t>
      </w:r>
    </w:p>
    <w:p w14:paraId="29C1477A">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地  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地  址：</w:t>
      </w:r>
      <w:r>
        <w:rPr>
          <w:rFonts w:hint="eastAsia" w:ascii="宋体" w:hAnsi="宋体"/>
          <w:color w:val="auto"/>
          <w:sz w:val="24"/>
          <w:szCs w:val="24"/>
          <w:highlight w:val="none"/>
          <w:u w:val="single"/>
        </w:rPr>
        <w:t xml:space="preserve"> </w:t>
      </w:r>
    </w:p>
    <w:p w14:paraId="551648F3">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邮政编码：</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邮政编码：</w:t>
      </w:r>
      <w:r>
        <w:rPr>
          <w:rFonts w:hint="eastAsia" w:ascii="宋体" w:hAnsi="宋体"/>
          <w:color w:val="auto"/>
          <w:sz w:val="24"/>
          <w:szCs w:val="24"/>
          <w:highlight w:val="none"/>
          <w:u w:val="single"/>
        </w:rPr>
        <w:t xml:space="preserve">   </w:t>
      </w:r>
    </w:p>
    <w:p w14:paraId="5E286AF2">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法定代表人：法定代表人：</w:t>
      </w:r>
    </w:p>
    <w:p w14:paraId="2B30E84A">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委托代理人：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委托代理人：</w:t>
      </w:r>
      <w:r>
        <w:rPr>
          <w:rFonts w:hint="eastAsia" w:ascii="宋体" w:hAnsi="宋体"/>
          <w:color w:val="auto"/>
          <w:sz w:val="24"/>
          <w:szCs w:val="24"/>
          <w:highlight w:val="none"/>
          <w:u w:val="single"/>
        </w:rPr>
        <w:t xml:space="preserve">  </w:t>
      </w:r>
    </w:p>
    <w:p w14:paraId="133F2CD6">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电  话：电  话：</w:t>
      </w:r>
    </w:p>
    <w:p w14:paraId="1449CB06">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传  真：</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传  真：</w:t>
      </w:r>
      <w:r>
        <w:rPr>
          <w:rFonts w:hint="eastAsia" w:ascii="宋体" w:hAnsi="宋体"/>
          <w:color w:val="auto"/>
          <w:sz w:val="24"/>
          <w:szCs w:val="24"/>
          <w:highlight w:val="none"/>
          <w:u w:val="single"/>
        </w:rPr>
        <w:t xml:space="preserve">   </w:t>
      </w:r>
    </w:p>
    <w:p w14:paraId="23C5A7BF">
      <w:pPr>
        <w:shd w:val="clear" w:color="auto" w:fill="auto"/>
        <w:spacing w:line="40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电子信箱：电子信箱：</w:t>
      </w:r>
      <w:r>
        <w:rPr>
          <w:rFonts w:hint="eastAsia" w:ascii="宋体" w:hAnsi="宋体"/>
          <w:color w:val="auto"/>
          <w:sz w:val="24"/>
          <w:szCs w:val="24"/>
          <w:highlight w:val="none"/>
          <w:u w:val="single"/>
        </w:rPr>
        <w:t xml:space="preserve">   </w:t>
      </w:r>
    </w:p>
    <w:p w14:paraId="118217B6">
      <w:pPr>
        <w:shd w:val="clear" w:color="auto" w:fill="auto"/>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开户银行：</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开户银行：</w:t>
      </w:r>
      <w:r>
        <w:rPr>
          <w:rFonts w:hint="eastAsia" w:ascii="宋体" w:hAnsi="宋体"/>
          <w:color w:val="auto"/>
          <w:sz w:val="24"/>
          <w:szCs w:val="24"/>
          <w:highlight w:val="none"/>
          <w:u w:val="single"/>
        </w:rPr>
        <w:t xml:space="preserve">   </w:t>
      </w:r>
    </w:p>
    <w:p w14:paraId="38D92D9E">
      <w:pPr>
        <w:shd w:val="clear" w:color="auto" w:fill="auto"/>
        <w:spacing w:line="400" w:lineRule="exact"/>
        <w:ind w:firstLine="482"/>
        <w:rPr>
          <w:rFonts w:hint="eastAsia" w:ascii="宋体" w:hAnsi="宋体"/>
          <w:color w:val="auto"/>
          <w:sz w:val="24"/>
          <w:szCs w:val="24"/>
          <w:highlight w:val="none"/>
          <w:u w:val="single"/>
        </w:rPr>
      </w:pPr>
      <w:r>
        <w:rPr>
          <w:rFonts w:hint="eastAsia" w:ascii="宋体" w:hAnsi="宋体"/>
          <w:color w:val="auto"/>
          <w:sz w:val="24"/>
          <w:szCs w:val="24"/>
          <w:highlight w:val="none"/>
        </w:rPr>
        <w:t>账  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账 号：</w:t>
      </w:r>
    </w:p>
    <w:p w14:paraId="758EC3EF">
      <w:pPr>
        <w:shd w:val="clear" w:color="auto" w:fill="auto"/>
        <w:spacing w:line="490" w:lineRule="exact"/>
        <w:ind w:firstLine="482"/>
        <w:jc w:val="center"/>
        <w:rPr>
          <w:rFonts w:hint="eastAsia" w:ascii="宋体" w:hAnsi="宋体" w:cs="仿宋_GB2312"/>
          <w:color w:val="auto"/>
          <w:sz w:val="24"/>
          <w:szCs w:val="24"/>
          <w:highlight w:val="none"/>
        </w:rPr>
      </w:pPr>
    </w:p>
    <w:p w14:paraId="3DADC36B">
      <w:pPr>
        <w:shd w:val="clear" w:color="auto" w:fill="auto"/>
        <w:spacing w:line="490" w:lineRule="exact"/>
        <w:ind w:firstLine="482"/>
        <w:rPr>
          <w:rFonts w:hint="eastAsia" w:ascii="宋体" w:hAnsi="宋体"/>
          <w:color w:val="auto"/>
          <w:sz w:val="24"/>
          <w:szCs w:val="24"/>
          <w:highlight w:val="none"/>
        </w:rPr>
      </w:pPr>
    </w:p>
    <w:p w14:paraId="1D2DC996">
      <w:pPr>
        <w:shd w:val="clear" w:color="auto" w:fill="auto"/>
        <w:spacing w:line="490" w:lineRule="exact"/>
        <w:ind w:firstLine="640"/>
        <w:jc w:val="center"/>
        <w:rPr>
          <w:rFonts w:hint="eastAsia" w:ascii="宋体" w:hAnsi="宋体"/>
          <w:color w:val="auto"/>
          <w:kern w:val="0"/>
          <w:sz w:val="32"/>
          <w:szCs w:val="32"/>
          <w:highlight w:val="none"/>
        </w:rPr>
      </w:pPr>
      <w:r>
        <w:rPr>
          <w:rFonts w:hint="eastAsia" w:ascii="宋体" w:hAnsi="宋体" w:cs="宋体"/>
          <w:b/>
          <w:bCs/>
          <w:color w:val="auto"/>
          <w:sz w:val="32"/>
          <w:szCs w:val="32"/>
          <w:highlight w:val="none"/>
        </w:rPr>
        <w:br w:type="page"/>
      </w:r>
      <w:bookmarkStart w:id="520" w:name="_Toc351203494"/>
      <w:r>
        <w:rPr>
          <w:rFonts w:hint="eastAsia" w:ascii="宋体" w:hAnsi="宋体"/>
          <w:color w:val="auto"/>
          <w:kern w:val="0"/>
          <w:sz w:val="32"/>
          <w:szCs w:val="32"/>
          <w:highlight w:val="none"/>
        </w:rPr>
        <w:t>第二部分 通用</w:t>
      </w:r>
      <w:bookmarkEnd w:id="520"/>
      <w:r>
        <w:rPr>
          <w:rFonts w:hint="eastAsia" w:ascii="宋体" w:hAnsi="宋体"/>
          <w:color w:val="auto"/>
          <w:kern w:val="0"/>
          <w:sz w:val="32"/>
          <w:szCs w:val="32"/>
          <w:highlight w:val="none"/>
        </w:rPr>
        <w:t>合同草案</w:t>
      </w:r>
    </w:p>
    <w:p w14:paraId="6BE79431">
      <w:pPr>
        <w:shd w:val="clear" w:color="auto" w:fill="auto"/>
        <w:spacing w:line="490" w:lineRule="exact"/>
        <w:ind w:firstLine="562"/>
        <w:jc w:val="center"/>
        <w:rPr>
          <w:rFonts w:hint="eastAsia" w:ascii="Calibri" w:hAnsi="Calibri"/>
          <w:color w:val="auto"/>
          <w:highlight w:val="none"/>
        </w:rPr>
      </w:pPr>
      <w:r>
        <w:rPr>
          <w:rFonts w:hint="eastAsia" w:ascii="宋体" w:hAnsi="宋体"/>
          <w:color w:val="auto"/>
          <w:kern w:val="0"/>
          <w:sz w:val="28"/>
          <w:szCs w:val="28"/>
          <w:highlight w:val="none"/>
        </w:rPr>
        <w:t>详见建设工程施工合同（GF—2017—0201）中的通用合同草案</w:t>
      </w:r>
    </w:p>
    <w:p w14:paraId="39057B0C">
      <w:pPr>
        <w:shd w:val="clear" w:color="auto" w:fill="auto"/>
        <w:spacing w:line="490" w:lineRule="exact"/>
        <w:ind w:firstLine="562"/>
        <w:jc w:val="center"/>
        <w:rPr>
          <w:rFonts w:ascii="宋体" w:hAnsi="宋体"/>
          <w:color w:val="auto"/>
          <w:kern w:val="0"/>
          <w:sz w:val="28"/>
          <w:szCs w:val="28"/>
          <w:highlight w:val="none"/>
        </w:rPr>
      </w:pPr>
    </w:p>
    <w:p w14:paraId="6878004D">
      <w:pPr>
        <w:shd w:val="clear" w:color="auto" w:fill="auto"/>
        <w:autoSpaceDE w:val="0"/>
        <w:autoSpaceDN w:val="0"/>
        <w:adjustRightInd w:val="0"/>
        <w:spacing w:line="490" w:lineRule="exact"/>
        <w:ind w:firstLine="643"/>
        <w:jc w:val="center"/>
        <w:rPr>
          <w:rFonts w:hint="eastAsia" w:ascii="宋体" w:hAnsi="宋体"/>
          <w:bCs/>
          <w:color w:val="auto"/>
          <w:sz w:val="32"/>
          <w:szCs w:val="32"/>
          <w:highlight w:val="none"/>
        </w:rPr>
      </w:pPr>
    </w:p>
    <w:p w14:paraId="41ADD268">
      <w:pPr>
        <w:shd w:val="clear" w:color="auto" w:fill="auto"/>
        <w:autoSpaceDE w:val="0"/>
        <w:autoSpaceDN w:val="0"/>
        <w:adjustRightInd w:val="0"/>
        <w:spacing w:line="400" w:lineRule="exact"/>
        <w:ind w:firstLine="643"/>
        <w:jc w:val="center"/>
        <w:rPr>
          <w:rFonts w:hint="eastAsia" w:ascii="宋体" w:hAnsi="宋体"/>
          <w:bCs/>
          <w:color w:val="auto"/>
          <w:sz w:val="32"/>
          <w:szCs w:val="32"/>
          <w:highlight w:val="none"/>
        </w:rPr>
      </w:pPr>
      <w:r>
        <w:rPr>
          <w:rFonts w:hint="eastAsia" w:ascii="宋体" w:hAnsi="宋体"/>
          <w:bCs/>
          <w:color w:val="auto"/>
          <w:sz w:val="32"/>
          <w:szCs w:val="32"/>
          <w:highlight w:val="none"/>
        </w:rPr>
        <w:t>第三部分 专用合同草案</w:t>
      </w:r>
    </w:p>
    <w:p w14:paraId="4ECC7BF7">
      <w:pPr>
        <w:keepNext/>
        <w:keepLines/>
        <w:shd w:val="clear" w:color="auto" w:fill="auto"/>
        <w:spacing w:line="380" w:lineRule="exact"/>
        <w:ind w:firstLine="482"/>
        <w:outlineLvl w:val="3"/>
        <w:rPr>
          <w:rFonts w:hint="eastAsia" w:ascii="宋体" w:hAnsi="宋体"/>
          <w:bCs/>
          <w:color w:val="auto"/>
          <w:sz w:val="24"/>
          <w:szCs w:val="24"/>
          <w:highlight w:val="none"/>
        </w:rPr>
      </w:pPr>
      <w:bookmarkStart w:id="521" w:name="_Toc351203633"/>
      <w:r>
        <w:rPr>
          <w:rFonts w:hint="eastAsia" w:ascii="宋体" w:hAnsi="宋体"/>
          <w:bCs/>
          <w:color w:val="auto"/>
          <w:sz w:val="24"/>
          <w:szCs w:val="24"/>
          <w:highlight w:val="none"/>
        </w:rPr>
        <w:t>1</w:t>
      </w:r>
      <w:bookmarkStart w:id="522" w:name="_Toc297120456"/>
      <w:bookmarkStart w:id="523" w:name="_Toc297048342"/>
      <w:bookmarkStart w:id="524" w:name="_Toc296890984"/>
      <w:bookmarkStart w:id="525" w:name="_Toc296944495"/>
      <w:bookmarkStart w:id="526" w:name="_Toc296503156"/>
      <w:bookmarkStart w:id="527" w:name="_Toc292559866"/>
      <w:bookmarkStart w:id="528" w:name="_Toc296891196"/>
      <w:bookmarkStart w:id="529" w:name="_Toc296346657"/>
      <w:bookmarkStart w:id="530" w:name="_Toc296347155"/>
      <w:bookmarkStart w:id="531" w:name="_Toc292559361"/>
      <w:r>
        <w:rPr>
          <w:rFonts w:hint="eastAsia" w:ascii="宋体" w:hAnsi="宋体"/>
          <w:bCs/>
          <w:color w:val="auto"/>
          <w:sz w:val="24"/>
          <w:szCs w:val="24"/>
          <w:highlight w:val="none"/>
        </w:rPr>
        <w:t>. 一般约定</w:t>
      </w:r>
      <w:bookmarkEnd w:id="521"/>
    </w:p>
    <w:bookmarkEnd w:id="522"/>
    <w:bookmarkEnd w:id="523"/>
    <w:bookmarkEnd w:id="524"/>
    <w:bookmarkEnd w:id="525"/>
    <w:bookmarkEnd w:id="526"/>
    <w:bookmarkEnd w:id="527"/>
    <w:bookmarkEnd w:id="528"/>
    <w:bookmarkEnd w:id="529"/>
    <w:bookmarkEnd w:id="530"/>
    <w:bookmarkEnd w:id="531"/>
    <w:p w14:paraId="7BB9CCC5">
      <w:pPr>
        <w:shd w:val="clear" w:color="auto" w:fill="auto"/>
        <w:spacing w:line="380" w:lineRule="exact"/>
        <w:ind w:firstLine="480" w:firstLineChars="200"/>
        <w:outlineLvl w:val="0"/>
        <w:rPr>
          <w:rFonts w:hint="eastAsia" w:ascii="宋体" w:hAnsi="宋体"/>
          <w:color w:val="auto"/>
          <w:sz w:val="24"/>
          <w:szCs w:val="24"/>
          <w:highlight w:val="none"/>
        </w:rPr>
      </w:pPr>
      <w:bookmarkStart w:id="532" w:name="_Toc5323"/>
      <w:bookmarkStart w:id="533" w:name="_Toc18899"/>
      <w:bookmarkStart w:id="534" w:name="_Toc3310"/>
      <w:bookmarkStart w:id="535" w:name="_Toc19202"/>
      <w:bookmarkStart w:id="536" w:name="_Toc18003"/>
      <w:bookmarkStart w:id="537" w:name="_Toc30819"/>
      <w:bookmarkStart w:id="538" w:name="_Toc31882"/>
      <w:bookmarkStart w:id="539" w:name="_Toc6409"/>
      <w:r>
        <w:rPr>
          <w:rFonts w:hint="eastAsia" w:ascii="宋体" w:hAnsi="宋体"/>
          <w:color w:val="auto"/>
          <w:sz w:val="24"/>
          <w:szCs w:val="24"/>
          <w:highlight w:val="none"/>
        </w:rPr>
        <w:t>1.1 词语定义</w:t>
      </w:r>
      <w:bookmarkEnd w:id="532"/>
      <w:bookmarkEnd w:id="533"/>
      <w:bookmarkEnd w:id="534"/>
      <w:bookmarkEnd w:id="535"/>
      <w:bookmarkEnd w:id="536"/>
      <w:bookmarkEnd w:id="537"/>
      <w:bookmarkEnd w:id="538"/>
      <w:bookmarkEnd w:id="539"/>
    </w:p>
    <w:p w14:paraId="7A2591D2">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1.1.1合同</w:t>
      </w:r>
    </w:p>
    <w:p w14:paraId="71C4491F">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1.1.1.10其他合同文件包括：</w:t>
      </w:r>
      <w:r>
        <w:rPr>
          <w:rFonts w:hint="eastAsia" w:ascii="宋体" w:hAnsi="宋体" w:cs="宋体"/>
          <w:color w:val="auto"/>
          <w:sz w:val="24"/>
          <w:szCs w:val="24"/>
          <w:highlight w:val="none"/>
          <w:u w:val="single"/>
          <w:lang w:bidi="ar"/>
        </w:rPr>
        <w:t>合同发行中，发包人和承包人有关工程的会议纪要、工程变更、签证、工程洽商、有关通知、信件、数据电文等，以及法律、法规规定具有证明效力和合同效力的文件或资料视为本合同的组成部分</w:t>
      </w:r>
      <w:r>
        <w:rPr>
          <w:rFonts w:hint="eastAsia" w:ascii="宋体" w:hAnsi="宋体"/>
          <w:color w:val="auto"/>
          <w:sz w:val="24"/>
          <w:szCs w:val="24"/>
          <w:highlight w:val="none"/>
        </w:rPr>
        <w:t>。</w:t>
      </w:r>
    </w:p>
    <w:p w14:paraId="3BE01D7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 合同当事人及其他相关方</w:t>
      </w:r>
    </w:p>
    <w:p w14:paraId="26E5FCF0">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1.1.2.4监理人：</w:t>
      </w:r>
    </w:p>
    <w:p w14:paraId="5FF38774">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名    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9465740">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资质类别和等级：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0E7911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E82B12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79535FC">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2BCA2D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1.1.2.5 设计人：</w:t>
      </w:r>
    </w:p>
    <w:p w14:paraId="4481B56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名    称：</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713096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资质类别和等级：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570DDD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81D78B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3247069">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B84255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 工程和设备</w:t>
      </w:r>
    </w:p>
    <w:p w14:paraId="3800E17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1.1.3.7 作为施工现场组成部分的其他场所包括：</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DE2D6C1">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1.1.3.9 永久占地包括：</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p>
    <w:p w14:paraId="4C3284E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1.1.3.10 临时占地包括：</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p>
    <w:p w14:paraId="3A18399C">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 xml:space="preserve">1.3法律 </w:t>
      </w:r>
    </w:p>
    <w:p w14:paraId="1644DB9F">
      <w:pPr>
        <w:shd w:val="clear" w:color="auto" w:fill="auto"/>
        <w:autoSpaceDE w:val="0"/>
        <w:autoSpaceDN w:val="0"/>
        <w:adjustRightInd w:val="0"/>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适用于合同的其他规范性文件：</w:t>
      </w:r>
      <w:r>
        <w:rPr>
          <w:rFonts w:hint="eastAsia" w:ascii="宋体" w:hAnsi="宋体"/>
          <w:color w:val="auto"/>
          <w:sz w:val="24"/>
          <w:szCs w:val="24"/>
          <w:highlight w:val="none"/>
          <w:u w:val="single" w:color="000000"/>
          <w:lang w:val="zh-TW" w:eastAsia="zh-TW"/>
        </w:rPr>
        <w:t>《中华人民共和国建筑法》、《</w:t>
      </w:r>
      <w:r>
        <w:rPr>
          <w:rFonts w:hint="eastAsia" w:ascii="宋体" w:hAnsi="宋体"/>
          <w:color w:val="auto"/>
          <w:sz w:val="24"/>
          <w:szCs w:val="24"/>
          <w:highlight w:val="none"/>
          <w:u w:val="single" w:color="000000"/>
          <w:lang w:val="zh-TW"/>
        </w:rPr>
        <w:t>中华人民共和国民法典</w:t>
      </w:r>
      <w:r>
        <w:rPr>
          <w:rFonts w:hint="eastAsia" w:ascii="宋体" w:hAnsi="宋体"/>
          <w:color w:val="auto"/>
          <w:sz w:val="24"/>
          <w:szCs w:val="24"/>
          <w:highlight w:val="none"/>
          <w:u w:val="single" w:color="000000"/>
          <w:lang w:val="zh-TW" w:eastAsia="zh-TW"/>
        </w:rPr>
        <w:t>》、《中华人民共和国招标投标法》、《</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强制性标准条文》、《建设工程质量管理条例》、《</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质量保修办法》、河南省及</w:t>
      </w:r>
      <w:r>
        <w:rPr>
          <w:rFonts w:hint="eastAsia" w:ascii="宋体" w:hAnsi="宋体"/>
          <w:color w:val="auto"/>
          <w:sz w:val="24"/>
          <w:szCs w:val="24"/>
          <w:highlight w:val="none"/>
          <w:u w:val="single" w:color="000000"/>
          <w:lang w:val="zh-TW"/>
        </w:rPr>
        <w:t>三门峡</w:t>
      </w:r>
      <w:r>
        <w:rPr>
          <w:rFonts w:hint="eastAsia" w:ascii="宋体" w:hAnsi="宋体"/>
          <w:color w:val="auto"/>
          <w:sz w:val="24"/>
          <w:szCs w:val="24"/>
          <w:highlight w:val="none"/>
          <w:u w:val="single" w:color="000000"/>
          <w:lang w:val="zh-TW" w:eastAsia="zh-TW"/>
        </w:rPr>
        <w:t>市关于安全文明施工的法规、条例和行政规范性文件等</w:t>
      </w:r>
      <w:r>
        <w:rPr>
          <w:rFonts w:hint="eastAsia" w:ascii="宋体" w:hAnsi="宋体"/>
          <w:color w:val="auto"/>
          <w:sz w:val="24"/>
          <w:szCs w:val="24"/>
          <w:highlight w:val="none"/>
        </w:rPr>
        <w:t>。</w:t>
      </w:r>
    </w:p>
    <w:p w14:paraId="7D28D12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 标准和规范</w:t>
      </w:r>
    </w:p>
    <w:p w14:paraId="40177A35">
      <w:pPr>
        <w:shd w:val="clear" w:color="auto" w:fill="auto"/>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1.4.1适用于工程的标准规范包括：</w:t>
      </w:r>
      <w:r>
        <w:rPr>
          <w:rFonts w:hint="eastAsia" w:ascii="宋体" w:hAnsi="宋体"/>
          <w:color w:val="auto"/>
          <w:sz w:val="24"/>
          <w:szCs w:val="24"/>
          <w:highlight w:val="none"/>
          <w:u w:val="single" w:color="000000"/>
          <w:lang w:val="zh-TW" w:eastAsia="zh-TW"/>
        </w:rPr>
        <w:t>《建设工程工程量清单计价规范》（</w:t>
      </w:r>
      <w:r>
        <w:rPr>
          <w:rFonts w:hint="eastAsia" w:ascii="宋体" w:hAnsi="宋体"/>
          <w:color w:val="auto"/>
          <w:sz w:val="24"/>
          <w:szCs w:val="24"/>
          <w:highlight w:val="none"/>
          <w:u w:val="single" w:color="000000"/>
        </w:rPr>
        <w:t>GB50500-2013</w:t>
      </w:r>
      <w:r>
        <w:rPr>
          <w:rFonts w:hint="eastAsia" w:ascii="宋体" w:hAnsi="宋体"/>
          <w:color w:val="auto"/>
          <w:sz w:val="24"/>
          <w:szCs w:val="24"/>
          <w:highlight w:val="none"/>
          <w:u w:val="single" w:color="000000"/>
          <w:lang w:val="zh-TW" w:eastAsia="zh-TW"/>
        </w:rPr>
        <w:t>）、《</w:t>
      </w:r>
      <w:r>
        <w:rPr>
          <w:rFonts w:hint="eastAsia" w:ascii="宋体" w:hAnsi="宋体"/>
          <w:color w:val="auto"/>
          <w:sz w:val="24"/>
          <w:szCs w:val="24"/>
          <w:highlight w:val="none"/>
          <w:u w:val="single" w:color="000000"/>
          <w:lang w:val="zh-TW" w:eastAsia="zh-CN"/>
        </w:rPr>
        <w:t>建筑工程</w:t>
      </w:r>
      <w:r>
        <w:rPr>
          <w:rFonts w:hint="eastAsia" w:ascii="宋体" w:hAnsi="宋体"/>
          <w:color w:val="auto"/>
          <w:sz w:val="24"/>
          <w:szCs w:val="24"/>
          <w:highlight w:val="none"/>
          <w:u w:val="single" w:color="000000"/>
          <w:lang w:val="zh-TW" w:eastAsia="zh-TW"/>
        </w:rPr>
        <w:t>施工质量验收统一标准》等现行国家标准、规范等</w:t>
      </w:r>
      <w:r>
        <w:rPr>
          <w:rFonts w:hint="eastAsia" w:ascii="宋体" w:hAnsi="宋体"/>
          <w:color w:val="auto"/>
          <w:sz w:val="24"/>
          <w:szCs w:val="24"/>
          <w:highlight w:val="none"/>
        </w:rPr>
        <w:t>。</w:t>
      </w:r>
    </w:p>
    <w:p w14:paraId="570C9C76">
      <w:pPr>
        <w:shd w:val="clear" w:color="auto" w:fill="auto"/>
        <w:spacing w:line="380" w:lineRule="exact"/>
        <w:ind w:firstLine="480" w:firstLineChars="200"/>
        <w:outlineLvl w:val="0"/>
        <w:rPr>
          <w:rFonts w:hint="eastAsia" w:ascii="宋体" w:hAnsi="宋体"/>
          <w:color w:val="auto"/>
          <w:kern w:val="0"/>
          <w:sz w:val="24"/>
          <w:szCs w:val="24"/>
          <w:highlight w:val="none"/>
        </w:rPr>
      </w:pPr>
      <w:bookmarkStart w:id="540" w:name="_Toc7481"/>
      <w:bookmarkStart w:id="541" w:name="_Toc17608"/>
      <w:bookmarkStart w:id="542" w:name="_Toc8531"/>
      <w:bookmarkStart w:id="543" w:name="_Toc3436"/>
      <w:bookmarkStart w:id="544" w:name="_Toc14271"/>
      <w:bookmarkStart w:id="545" w:name="_Toc26784"/>
      <w:bookmarkStart w:id="546" w:name="_Toc29816"/>
      <w:bookmarkStart w:id="547" w:name="_Toc9718"/>
      <w:r>
        <w:rPr>
          <w:rFonts w:hint="eastAsia" w:ascii="宋体" w:hAnsi="宋体"/>
          <w:color w:val="auto"/>
          <w:kern w:val="0"/>
          <w:sz w:val="24"/>
          <w:szCs w:val="24"/>
          <w:highlight w:val="none"/>
        </w:rPr>
        <w:t>1.4.2 发包人提供国外标准、规范的名称：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bookmarkEnd w:id="540"/>
      <w:bookmarkEnd w:id="541"/>
      <w:bookmarkEnd w:id="542"/>
      <w:bookmarkEnd w:id="543"/>
      <w:bookmarkEnd w:id="544"/>
      <w:bookmarkEnd w:id="545"/>
      <w:bookmarkEnd w:id="546"/>
      <w:bookmarkEnd w:id="547"/>
    </w:p>
    <w:p w14:paraId="387B2F14">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发包人提供国外标准、规范的份数：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3C530DFB">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发包人提供国外标准、规范的名称：</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4FEE972A">
      <w:pPr>
        <w:shd w:val="clear" w:color="auto" w:fill="auto"/>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1.4.3发包人对工程的技术标准和功能要求的特殊要求：</w:t>
      </w:r>
    </w:p>
    <w:p w14:paraId="00FFFE19">
      <w:pPr>
        <w:widowControl/>
        <w:shd w:val="clear" w:color="auto" w:fill="auto"/>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s="宋体"/>
          <w:color w:val="auto"/>
          <w:kern w:val="0"/>
          <w:sz w:val="24"/>
          <w:szCs w:val="24"/>
          <w:highlight w:val="none"/>
          <w:u w:val="single" w:color="000000"/>
          <w:lang w:val="zh-TW" w:eastAsia="zh-TW"/>
        </w:rPr>
        <w:t>如遇遗漏所需施工的工程规范，承包人应征得监理工程师和发包人代表同意，补充规范以满足合同要求。</w:t>
      </w:r>
    </w:p>
    <w:p w14:paraId="3EBE825D">
      <w:pPr>
        <w:widowControl/>
        <w:shd w:val="clear" w:color="auto" w:fill="auto"/>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s="宋体"/>
          <w:color w:val="auto"/>
          <w:kern w:val="0"/>
          <w:sz w:val="24"/>
          <w:szCs w:val="24"/>
          <w:highlight w:val="none"/>
          <w:u w:val="single" w:color="000000"/>
          <w:lang w:val="zh-TW" w:eastAsia="zh-TW"/>
        </w:rPr>
        <w:t>如遇设计或施工规范和标准对同一问题的处理出现相互矛盾的情况时，承包人应通知监理工程师，提出解决办法并征得监理工程师和发包人代表的同意。</w:t>
      </w:r>
    </w:p>
    <w:p w14:paraId="7A977098">
      <w:pPr>
        <w:widowControl/>
        <w:shd w:val="clear" w:color="auto" w:fill="auto"/>
        <w:spacing w:line="380" w:lineRule="exact"/>
        <w:ind w:firstLine="482"/>
        <w:jc w:val="left"/>
        <w:rPr>
          <w:rFonts w:hint="eastAsia" w:ascii="宋体" w:hAnsi="宋体" w:cs="宋体"/>
          <w:color w:val="auto"/>
          <w:kern w:val="0"/>
          <w:sz w:val="24"/>
          <w:szCs w:val="24"/>
          <w:highlight w:val="none"/>
          <w:u w:val="single" w:color="000000"/>
          <w:lang w:val="zh-TW" w:eastAsia="zh-TW"/>
        </w:rPr>
      </w:pPr>
      <w:r>
        <w:rPr>
          <w:rFonts w:hint="eastAsia" w:ascii="宋体" w:hAnsi="宋体"/>
          <w:color w:val="auto"/>
          <w:sz w:val="24"/>
          <w:szCs w:val="24"/>
          <w:highlight w:val="none"/>
          <w:u w:val="single"/>
          <w:lang w:val="zh-TW" w:eastAsia="zh-TW"/>
        </w:rPr>
        <w:t>施工所用的规范及标准应采用最新版本，除非所使用规范、监理工程师书面通知或合同中另有规定</w:t>
      </w:r>
      <w:r>
        <w:rPr>
          <w:rFonts w:hint="eastAsia" w:ascii="宋体" w:hAnsi="宋体"/>
          <w:color w:val="auto"/>
          <w:sz w:val="24"/>
          <w:szCs w:val="24"/>
          <w:highlight w:val="none"/>
        </w:rPr>
        <w:t>。</w:t>
      </w:r>
    </w:p>
    <w:p w14:paraId="32D56968">
      <w:pPr>
        <w:shd w:val="clear" w:color="auto" w:fill="auto"/>
        <w:spacing w:line="380" w:lineRule="exact"/>
        <w:ind w:firstLine="480" w:firstLineChars="200"/>
        <w:outlineLvl w:val="0"/>
        <w:rPr>
          <w:rFonts w:hint="eastAsia" w:ascii="宋体" w:hAnsi="宋体"/>
          <w:color w:val="auto"/>
          <w:sz w:val="24"/>
          <w:szCs w:val="24"/>
          <w:highlight w:val="none"/>
        </w:rPr>
      </w:pPr>
      <w:bookmarkStart w:id="548" w:name="_Toc10302"/>
      <w:bookmarkStart w:id="549" w:name="_Toc5833"/>
      <w:bookmarkStart w:id="550" w:name="_Toc15485"/>
      <w:bookmarkStart w:id="551" w:name="_Toc4785"/>
      <w:bookmarkStart w:id="552" w:name="_Toc22939"/>
      <w:bookmarkStart w:id="553" w:name="_Toc32029"/>
      <w:bookmarkStart w:id="554" w:name="_Toc19049"/>
      <w:bookmarkStart w:id="555" w:name="_Toc14278"/>
      <w:r>
        <w:rPr>
          <w:rFonts w:hint="eastAsia" w:ascii="宋体" w:hAnsi="宋体"/>
          <w:color w:val="auto"/>
          <w:sz w:val="24"/>
          <w:szCs w:val="24"/>
          <w:highlight w:val="none"/>
        </w:rPr>
        <w:t>1.5 合同文件的优先顺序</w:t>
      </w:r>
      <w:bookmarkEnd w:id="548"/>
      <w:bookmarkEnd w:id="549"/>
      <w:bookmarkEnd w:id="550"/>
      <w:bookmarkEnd w:id="551"/>
      <w:bookmarkEnd w:id="552"/>
      <w:bookmarkEnd w:id="553"/>
      <w:bookmarkEnd w:id="554"/>
      <w:bookmarkEnd w:id="555"/>
    </w:p>
    <w:p w14:paraId="4C4162D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合同文件组成及优先顺序为：</w:t>
      </w:r>
      <w:r>
        <w:rPr>
          <w:rFonts w:hint="eastAsia" w:ascii="宋体" w:hAnsi="宋体"/>
          <w:color w:val="auto"/>
          <w:sz w:val="24"/>
          <w:szCs w:val="24"/>
          <w:highlight w:val="none"/>
          <w:u w:val="single" w:color="000000"/>
          <w:lang w:val="zh-TW" w:eastAsia="zh-TW"/>
        </w:rPr>
        <w:t>按照本合同第一部分合同协议书第六条处理，本合同处于最优先地位。合同履行中签订的补充或修改合同文书并入本合同</w:t>
      </w:r>
      <w:r>
        <w:rPr>
          <w:rFonts w:hint="eastAsia" w:ascii="宋体" w:hAnsi="宋体"/>
          <w:color w:val="auto"/>
          <w:sz w:val="24"/>
          <w:szCs w:val="24"/>
          <w:highlight w:val="none"/>
        </w:rPr>
        <w:t>。</w:t>
      </w:r>
    </w:p>
    <w:p w14:paraId="434A33EC">
      <w:pPr>
        <w:shd w:val="clear" w:color="auto" w:fill="auto"/>
        <w:spacing w:line="380" w:lineRule="exact"/>
        <w:ind w:firstLine="480" w:firstLineChars="200"/>
        <w:outlineLvl w:val="0"/>
        <w:rPr>
          <w:rFonts w:hint="eastAsia" w:ascii="宋体" w:hAnsi="宋体"/>
          <w:color w:val="auto"/>
          <w:sz w:val="24"/>
          <w:szCs w:val="24"/>
          <w:highlight w:val="none"/>
        </w:rPr>
      </w:pPr>
      <w:bookmarkStart w:id="556" w:name="_Toc1278"/>
      <w:bookmarkStart w:id="557" w:name="_Toc12742"/>
      <w:bookmarkStart w:id="558" w:name="_Toc28045"/>
      <w:bookmarkStart w:id="559" w:name="_Toc12786"/>
      <w:bookmarkStart w:id="560" w:name="_Toc2477"/>
      <w:bookmarkStart w:id="561" w:name="_Toc32741"/>
      <w:bookmarkStart w:id="562" w:name="_Toc8185"/>
      <w:bookmarkStart w:id="563" w:name="_Toc13900"/>
      <w:r>
        <w:rPr>
          <w:rFonts w:hint="eastAsia" w:ascii="宋体" w:hAnsi="宋体"/>
          <w:color w:val="auto"/>
          <w:sz w:val="24"/>
          <w:szCs w:val="24"/>
          <w:highlight w:val="none"/>
        </w:rPr>
        <w:t>1.6 图纸和承包人文件</w:t>
      </w:r>
      <w:bookmarkEnd w:id="556"/>
      <w:bookmarkEnd w:id="557"/>
      <w:bookmarkEnd w:id="558"/>
      <w:bookmarkEnd w:id="559"/>
      <w:bookmarkEnd w:id="560"/>
      <w:bookmarkEnd w:id="561"/>
      <w:bookmarkEnd w:id="562"/>
      <w:bookmarkEnd w:id="563"/>
      <w:r>
        <w:rPr>
          <w:rFonts w:hint="eastAsia" w:ascii="宋体" w:hAnsi="宋体"/>
          <w:color w:val="auto"/>
          <w:sz w:val="24"/>
          <w:szCs w:val="24"/>
          <w:highlight w:val="none"/>
        </w:rPr>
        <w:tab/>
      </w:r>
    </w:p>
    <w:p w14:paraId="2A65AA4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1.6.1 图纸的提供</w:t>
      </w:r>
    </w:p>
    <w:p w14:paraId="09F08AE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0DF03C3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发包人向承包人提供图纸的数量：；</w:t>
      </w:r>
    </w:p>
    <w:p w14:paraId="010C061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发包人向承包人提供图纸的内容：</w:t>
      </w:r>
      <w:r>
        <w:rPr>
          <w:rFonts w:hint="eastAsia" w:ascii="宋体" w:hAnsi="宋体" w:cs="宋体"/>
          <w:color w:val="auto"/>
          <w:sz w:val="24"/>
          <w:szCs w:val="24"/>
          <w:highlight w:val="none"/>
          <w:u w:val="single"/>
          <w:lang w:bidi="ar"/>
        </w:rPr>
        <w:t xml:space="preserve">详见图纸目录    </w:t>
      </w:r>
      <w:r>
        <w:rPr>
          <w:rFonts w:hint="eastAsia" w:ascii="宋体" w:hAnsi="宋体"/>
          <w:color w:val="auto"/>
          <w:sz w:val="24"/>
          <w:szCs w:val="24"/>
          <w:highlight w:val="none"/>
        </w:rPr>
        <w:t>。</w:t>
      </w:r>
    </w:p>
    <w:p w14:paraId="37DFEF8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1.6.4 承包人文件</w:t>
      </w:r>
    </w:p>
    <w:p w14:paraId="047A264C">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需要由承包人提供的文件，包括：</w:t>
      </w:r>
      <w:r>
        <w:rPr>
          <w:rFonts w:hint="eastAsia" w:ascii="宋体" w:hAnsi="宋体" w:cs="宋体"/>
          <w:color w:val="auto"/>
          <w:sz w:val="24"/>
          <w:szCs w:val="24"/>
          <w:highlight w:val="none"/>
          <w:u w:val="single"/>
          <w:lang w:bidi="ar"/>
        </w:rPr>
        <w:t>施工组织设计及方案、施工过程管控资料及相关会议纪要、联系函等文件</w:t>
      </w:r>
      <w:r>
        <w:rPr>
          <w:rFonts w:hint="eastAsia" w:ascii="宋体" w:hAnsi="宋体"/>
          <w:color w:val="auto"/>
          <w:sz w:val="24"/>
          <w:szCs w:val="24"/>
          <w:highlight w:val="none"/>
        </w:rPr>
        <w:t>；</w:t>
      </w:r>
    </w:p>
    <w:p w14:paraId="0920591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承包人提供的文件的期限为：</w:t>
      </w:r>
      <w:r>
        <w:rPr>
          <w:rFonts w:hint="eastAsia" w:ascii="宋体" w:hAnsi="宋体" w:cs="宋体"/>
          <w:color w:val="auto"/>
          <w:sz w:val="24"/>
          <w:szCs w:val="24"/>
          <w:highlight w:val="none"/>
          <w:u w:val="single"/>
          <w:lang w:bidi="ar"/>
        </w:rPr>
        <w:t>按基本要求</w:t>
      </w:r>
      <w:r>
        <w:rPr>
          <w:rFonts w:hint="eastAsia" w:ascii="宋体" w:hAnsi="宋体"/>
          <w:color w:val="auto"/>
          <w:sz w:val="24"/>
          <w:szCs w:val="24"/>
          <w:highlight w:val="none"/>
        </w:rPr>
        <w:t>；</w:t>
      </w:r>
    </w:p>
    <w:p w14:paraId="3A306DD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承包人提供的文件的数量为：</w:t>
      </w:r>
      <w:r>
        <w:rPr>
          <w:rFonts w:hint="eastAsia" w:ascii="宋体" w:hAnsi="宋体" w:cs="宋体"/>
          <w:color w:val="auto"/>
          <w:sz w:val="24"/>
          <w:szCs w:val="24"/>
          <w:highlight w:val="none"/>
          <w:u w:val="single"/>
          <w:lang w:bidi="ar"/>
        </w:rPr>
        <w:t>按基本要求</w:t>
      </w:r>
      <w:r>
        <w:rPr>
          <w:rFonts w:hint="eastAsia" w:ascii="宋体" w:hAnsi="宋体"/>
          <w:color w:val="auto"/>
          <w:sz w:val="24"/>
          <w:szCs w:val="24"/>
          <w:highlight w:val="none"/>
        </w:rPr>
        <w:t>；</w:t>
      </w:r>
    </w:p>
    <w:p w14:paraId="044387CC">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承包人提供的文件的形式为：</w:t>
      </w:r>
      <w:r>
        <w:rPr>
          <w:rFonts w:hint="eastAsia" w:ascii="宋体" w:hAnsi="宋体" w:cs="宋体"/>
          <w:color w:val="auto"/>
          <w:sz w:val="24"/>
          <w:szCs w:val="24"/>
          <w:highlight w:val="none"/>
          <w:u w:val="single"/>
          <w:lang w:bidi="ar"/>
        </w:rPr>
        <w:t>纸质</w:t>
      </w:r>
      <w:r>
        <w:rPr>
          <w:rFonts w:hint="eastAsia" w:ascii="宋体" w:hAnsi="宋体"/>
          <w:color w:val="auto"/>
          <w:sz w:val="24"/>
          <w:szCs w:val="24"/>
          <w:highlight w:val="none"/>
        </w:rPr>
        <w:t>；</w:t>
      </w:r>
    </w:p>
    <w:p w14:paraId="11D1CF0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发包人审批承包人文件的期限：</w:t>
      </w:r>
      <w:r>
        <w:rPr>
          <w:rFonts w:hint="eastAsia" w:ascii="宋体" w:hAnsi="宋体" w:cs="宋体"/>
          <w:color w:val="auto"/>
          <w:sz w:val="24"/>
          <w:szCs w:val="24"/>
          <w:highlight w:val="none"/>
          <w:u w:val="single"/>
          <w:lang w:bidi="ar"/>
        </w:rPr>
        <w:t>七日内</w:t>
      </w:r>
      <w:r>
        <w:rPr>
          <w:rFonts w:hint="eastAsia" w:ascii="宋体" w:hAnsi="宋体"/>
          <w:color w:val="auto"/>
          <w:sz w:val="24"/>
          <w:szCs w:val="24"/>
          <w:highlight w:val="none"/>
        </w:rPr>
        <w:t>。</w:t>
      </w:r>
    </w:p>
    <w:p w14:paraId="2AAF559B">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1.6.5 现场图纸准备</w:t>
      </w:r>
    </w:p>
    <w:p w14:paraId="69868AC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关于现场图纸准备的约定：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504066DB">
      <w:pPr>
        <w:shd w:val="clear" w:color="auto" w:fill="auto"/>
        <w:spacing w:line="380" w:lineRule="exact"/>
        <w:ind w:firstLine="480" w:firstLineChars="200"/>
        <w:outlineLvl w:val="0"/>
        <w:rPr>
          <w:rFonts w:hint="eastAsia" w:ascii="宋体" w:hAnsi="宋体"/>
          <w:color w:val="auto"/>
          <w:sz w:val="24"/>
          <w:szCs w:val="24"/>
          <w:highlight w:val="none"/>
        </w:rPr>
      </w:pPr>
      <w:bookmarkStart w:id="564" w:name="_Toc32560"/>
      <w:bookmarkStart w:id="565" w:name="_Toc9273"/>
      <w:bookmarkStart w:id="566" w:name="_Toc23676"/>
      <w:bookmarkStart w:id="567" w:name="_Toc2154"/>
      <w:bookmarkStart w:id="568" w:name="_Toc21272"/>
      <w:bookmarkStart w:id="569" w:name="_Toc22947"/>
      <w:bookmarkStart w:id="570" w:name="_Toc22565"/>
      <w:bookmarkStart w:id="571" w:name="_Toc9890"/>
      <w:r>
        <w:rPr>
          <w:rFonts w:hint="eastAsia" w:ascii="宋体" w:hAnsi="宋体"/>
          <w:color w:val="auto"/>
          <w:sz w:val="24"/>
          <w:szCs w:val="24"/>
          <w:highlight w:val="none"/>
        </w:rPr>
        <w:t>1.7 联络</w:t>
      </w:r>
      <w:bookmarkEnd w:id="564"/>
      <w:bookmarkEnd w:id="565"/>
      <w:bookmarkEnd w:id="566"/>
      <w:bookmarkEnd w:id="567"/>
      <w:bookmarkEnd w:id="568"/>
      <w:bookmarkEnd w:id="569"/>
      <w:bookmarkEnd w:id="570"/>
      <w:bookmarkEnd w:id="571"/>
    </w:p>
    <w:p w14:paraId="6773F216">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1.7.1发包人和承包人应当在</w:t>
      </w:r>
      <w:r>
        <w:rPr>
          <w:rFonts w:hint="eastAsia" w:ascii="宋体" w:hAnsi="宋体"/>
          <w:color w:val="auto"/>
          <w:sz w:val="24"/>
          <w:szCs w:val="24"/>
          <w:highlight w:val="none"/>
          <w:u w:val="single"/>
        </w:rPr>
        <w:t>7</w:t>
      </w:r>
      <w:r>
        <w:rPr>
          <w:rFonts w:hint="eastAsia" w:ascii="宋体" w:hAnsi="宋体"/>
          <w:color w:val="auto"/>
          <w:kern w:val="0"/>
          <w:sz w:val="24"/>
          <w:szCs w:val="24"/>
          <w:highlight w:val="none"/>
        </w:rPr>
        <w:t>天内将与合同有关的通知、批准、证明、证书、指示、指令、要求、请求、同意、意见、确定和决定等书面函件送达对方当事人。</w:t>
      </w:r>
    </w:p>
    <w:p w14:paraId="09F28A3E">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1.7.2 发包人接收文件的地点：</w:t>
      </w:r>
      <w:r>
        <w:rPr>
          <w:rFonts w:hint="eastAsia" w:ascii="宋体" w:hAnsi="宋体"/>
          <w:color w:val="auto"/>
          <w:sz w:val="24"/>
          <w:szCs w:val="24"/>
          <w:highlight w:val="none"/>
          <w:u w:val="single"/>
          <w:lang w:val="zh-TW" w:eastAsia="zh-TW"/>
        </w:rPr>
        <w:t>发包人办公地点</w:t>
      </w:r>
      <w:r>
        <w:rPr>
          <w:rFonts w:hint="eastAsia" w:ascii="宋体" w:hAnsi="宋体"/>
          <w:color w:val="auto"/>
          <w:kern w:val="0"/>
          <w:sz w:val="24"/>
          <w:szCs w:val="24"/>
          <w:highlight w:val="none"/>
        </w:rPr>
        <w:t>；</w:t>
      </w:r>
    </w:p>
    <w:p w14:paraId="1B3FBAE4">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发包人指定的接收人为：</w:t>
      </w:r>
      <w:r>
        <w:rPr>
          <w:rFonts w:hint="eastAsia" w:ascii="宋体" w:hAnsi="宋体"/>
          <w:color w:val="auto"/>
          <w:sz w:val="24"/>
          <w:szCs w:val="24"/>
          <w:highlight w:val="none"/>
          <w:u w:val="single"/>
          <w:lang w:val="zh-TW" w:eastAsia="zh-TW"/>
        </w:rPr>
        <w:t>发包人代表</w:t>
      </w:r>
      <w:r>
        <w:rPr>
          <w:rFonts w:hint="eastAsia" w:ascii="宋体" w:hAnsi="宋体"/>
          <w:color w:val="auto"/>
          <w:kern w:val="0"/>
          <w:sz w:val="24"/>
          <w:szCs w:val="24"/>
          <w:highlight w:val="none"/>
        </w:rPr>
        <w:t>。</w:t>
      </w:r>
    </w:p>
    <w:p w14:paraId="3860033E">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承包人接收文件的地点：</w:t>
      </w:r>
      <w:r>
        <w:rPr>
          <w:rFonts w:hint="eastAsia" w:ascii="宋体" w:hAnsi="宋体"/>
          <w:color w:val="auto"/>
          <w:sz w:val="24"/>
          <w:szCs w:val="24"/>
          <w:highlight w:val="none"/>
          <w:u w:val="single"/>
          <w:lang w:val="zh-TW" w:eastAsia="zh-TW"/>
        </w:rPr>
        <w:t>承包人工程项目部</w:t>
      </w:r>
      <w:r>
        <w:rPr>
          <w:rFonts w:hint="eastAsia" w:ascii="宋体" w:hAnsi="宋体"/>
          <w:color w:val="auto"/>
          <w:kern w:val="0"/>
          <w:sz w:val="24"/>
          <w:szCs w:val="24"/>
          <w:highlight w:val="none"/>
        </w:rPr>
        <w:t>；</w:t>
      </w:r>
    </w:p>
    <w:p w14:paraId="1DEBF20E">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承包人指定的接收人为：</w:t>
      </w:r>
      <w:r>
        <w:rPr>
          <w:rFonts w:hint="eastAsia" w:ascii="宋体" w:hAnsi="宋体"/>
          <w:color w:val="auto"/>
          <w:sz w:val="24"/>
          <w:szCs w:val="24"/>
          <w:highlight w:val="none"/>
          <w:u w:val="single"/>
          <w:lang w:val="zh-TW" w:eastAsia="zh-TW"/>
        </w:rPr>
        <w:t>项目经理</w:t>
      </w:r>
      <w:r>
        <w:rPr>
          <w:rFonts w:hint="eastAsia" w:ascii="宋体" w:hAnsi="宋体"/>
          <w:color w:val="auto"/>
          <w:kern w:val="0"/>
          <w:sz w:val="24"/>
          <w:szCs w:val="24"/>
          <w:highlight w:val="none"/>
        </w:rPr>
        <w:t>。</w:t>
      </w:r>
    </w:p>
    <w:p w14:paraId="10E8AEE0">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监理人接收文件的地点：</w:t>
      </w:r>
      <w:r>
        <w:rPr>
          <w:rFonts w:hint="eastAsia" w:ascii="宋体" w:hAnsi="宋体"/>
          <w:color w:val="auto"/>
          <w:sz w:val="24"/>
          <w:szCs w:val="24"/>
          <w:highlight w:val="none"/>
          <w:u w:val="single"/>
          <w:lang w:val="zh-TW" w:eastAsia="zh-TW"/>
        </w:rPr>
        <w:t>监理项目部</w:t>
      </w:r>
      <w:r>
        <w:rPr>
          <w:rFonts w:hint="eastAsia" w:ascii="宋体" w:hAnsi="宋体"/>
          <w:color w:val="auto"/>
          <w:kern w:val="0"/>
          <w:sz w:val="24"/>
          <w:szCs w:val="24"/>
          <w:highlight w:val="none"/>
        </w:rPr>
        <w:t>；</w:t>
      </w:r>
    </w:p>
    <w:p w14:paraId="6A233FAA">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监理人指定的接收人为：</w:t>
      </w:r>
      <w:r>
        <w:rPr>
          <w:rFonts w:hint="eastAsia" w:ascii="宋体" w:hAnsi="宋体"/>
          <w:color w:val="auto"/>
          <w:sz w:val="24"/>
          <w:szCs w:val="24"/>
          <w:highlight w:val="none"/>
          <w:u w:val="single"/>
          <w:lang w:val="zh-TW" w:eastAsia="zh-TW"/>
        </w:rPr>
        <w:t>项目总监</w:t>
      </w:r>
      <w:r>
        <w:rPr>
          <w:rFonts w:hint="eastAsia" w:ascii="宋体" w:hAnsi="宋体"/>
          <w:color w:val="auto"/>
          <w:kern w:val="0"/>
          <w:sz w:val="24"/>
          <w:szCs w:val="24"/>
          <w:highlight w:val="none"/>
        </w:rPr>
        <w:t>。</w:t>
      </w:r>
    </w:p>
    <w:p w14:paraId="0719CF9B">
      <w:pPr>
        <w:shd w:val="clear" w:color="auto" w:fill="auto"/>
        <w:spacing w:line="380" w:lineRule="exact"/>
        <w:ind w:firstLine="480" w:firstLineChars="200"/>
        <w:outlineLvl w:val="0"/>
        <w:rPr>
          <w:rFonts w:hint="eastAsia" w:ascii="宋体" w:hAnsi="宋体"/>
          <w:color w:val="auto"/>
          <w:sz w:val="24"/>
          <w:szCs w:val="24"/>
          <w:highlight w:val="none"/>
        </w:rPr>
      </w:pPr>
      <w:bookmarkStart w:id="572" w:name="_Toc9600"/>
      <w:bookmarkStart w:id="573" w:name="_Toc27458"/>
      <w:bookmarkStart w:id="574" w:name="_Toc19893"/>
      <w:bookmarkStart w:id="575" w:name="_Toc19491"/>
      <w:bookmarkStart w:id="576" w:name="_Toc21604"/>
      <w:bookmarkStart w:id="577" w:name="_Toc2508"/>
      <w:bookmarkStart w:id="578" w:name="_Toc25614"/>
      <w:bookmarkStart w:id="579" w:name="_Toc7819"/>
      <w:r>
        <w:rPr>
          <w:rFonts w:hint="eastAsia" w:ascii="宋体" w:hAnsi="宋体"/>
          <w:color w:val="auto"/>
          <w:sz w:val="24"/>
          <w:szCs w:val="24"/>
          <w:highlight w:val="none"/>
        </w:rPr>
        <w:t>1.10 交通运输</w:t>
      </w:r>
      <w:bookmarkEnd w:id="572"/>
      <w:bookmarkEnd w:id="573"/>
      <w:bookmarkEnd w:id="574"/>
      <w:bookmarkEnd w:id="575"/>
      <w:bookmarkEnd w:id="576"/>
      <w:bookmarkEnd w:id="577"/>
      <w:bookmarkEnd w:id="578"/>
      <w:bookmarkEnd w:id="579"/>
    </w:p>
    <w:p w14:paraId="7FE9520F">
      <w:pPr>
        <w:shd w:val="clear" w:color="auto" w:fill="auto"/>
        <w:spacing w:line="380" w:lineRule="exact"/>
        <w:ind w:firstLine="480" w:firstLineChars="200"/>
        <w:outlineLvl w:val="0"/>
        <w:rPr>
          <w:rFonts w:hint="eastAsia" w:ascii="宋体" w:hAnsi="宋体"/>
          <w:color w:val="auto"/>
          <w:sz w:val="24"/>
          <w:szCs w:val="24"/>
          <w:highlight w:val="none"/>
        </w:rPr>
      </w:pPr>
      <w:bookmarkStart w:id="580" w:name="_Toc23966"/>
      <w:bookmarkStart w:id="581" w:name="_Toc14894"/>
      <w:bookmarkStart w:id="582" w:name="_Toc29818"/>
      <w:bookmarkStart w:id="583" w:name="_Toc26127"/>
      <w:bookmarkStart w:id="584" w:name="_Toc16686"/>
      <w:bookmarkStart w:id="585" w:name="_Toc21983"/>
      <w:bookmarkStart w:id="586" w:name="_Toc7381"/>
      <w:bookmarkStart w:id="587" w:name="_Toc14855"/>
      <w:r>
        <w:rPr>
          <w:rFonts w:hint="eastAsia" w:ascii="宋体" w:hAnsi="宋体"/>
          <w:color w:val="auto"/>
          <w:sz w:val="24"/>
          <w:szCs w:val="24"/>
          <w:highlight w:val="none"/>
        </w:rPr>
        <w:t>1</w:t>
      </w:r>
      <w:bookmarkStart w:id="588" w:name="_Toc304295521"/>
      <w:bookmarkStart w:id="589" w:name="_Toc312677986"/>
      <w:bookmarkStart w:id="590" w:name="_Toc303539100"/>
      <w:bookmarkStart w:id="591" w:name="_Toc318581155"/>
      <w:bookmarkStart w:id="592" w:name="_Toc300934943"/>
      <w:r>
        <w:rPr>
          <w:rFonts w:hint="eastAsia" w:ascii="宋体" w:hAnsi="宋体"/>
          <w:color w:val="auto"/>
          <w:sz w:val="24"/>
          <w:szCs w:val="24"/>
          <w:highlight w:val="none"/>
        </w:rPr>
        <w:t>.10.1 出入现场的权利</w:t>
      </w:r>
      <w:bookmarkEnd w:id="580"/>
      <w:bookmarkEnd w:id="581"/>
      <w:bookmarkEnd w:id="582"/>
      <w:bookmarkEnd w:id="583"/>
      <w:bookmarkEnd w:id="584"/>
      <w:bookmarkEnd w:id="585"/>
      <w:bookmarkEnd w:id="586"/>
      <w:bookmarkEnd w:id="587"/>
    </w:p>
    <w:p w14:paraId="1086D7C2">
      <w:pPr>
        <w:shd w:val="clear" w:color="auto" w:fill="auto"/>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关于出入现场的权利的约定：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bookmarkEnd w:id="588"/>
    <w:bookmarkEnd w:id="589"/>
    <w:bookmarkEnd w:id="590"/>
    <w:bookmarkEnd w:id="591"/>
    <w:bookmarkEnd w:id="592"/>
    <w:p w14:paraId="50C56933">
      <w:pPr>
        <w:shd w:val="clear" w:color="auto" w:fill="auto"/>
        <w:spacing w:line="380" w:lineRule="exact"/>
        <w:ind w:firstLine="480" w:firstLineChars="200"/>
        <w:jc w:val="left"/>
        <w:outlineLvl w:val="0"/>
        <w:rPr>
          <w:rFonts w:hint="eastAsia" w:ascii="宋体" w:hAnsi="宋体"/>
          <w:color w:val="auto"/>
          <w:sz w:val="24"/>
          <w:szCs w:val="24"/>
          <w:highlight w:val="none"/>
        </w:rPr>
      </w:pPr>
      <w:bookmarkStart w:id="593" w:name="_Toc29938"/>
      <w:bookmarkStart w:id="594" w:name="_Toc10776"/>
      <w:bookmarkStart w:id="595" w:name="_Toc26942"/>
      <w:bookmarkStart w:id="596" w:name="_Toc14787"/>
      <w:bookmarkStart w:id="597" w:name="_Toc9751"/>
      <w:bookmarkStart w:id="598" w:name="_Toc22632"/>
      <w:bookmarkStart w:id="599" w:name="_Toc32733"/>
      <w:bookmarkStart w:id="600" w:name="_Toc9547"/>
      <w:r>
        <w:rPr>
          <w:rFonts w:hint="eastAsia" w:ascii="宋体" w:hAnsi="宋体"/>
          <w:color w:val="auto"/>
          <w:sz w:val="24"/>
          <w:szCs w:val="24"/>
          <w:highlight w:val="none"/>
        </w:rPr>
        <w:t>1</w:t>
      </w:r>
      <w:bookmarkStart w:id="601" w:name="_Toc303539101"/>
      <w:bookmarkStart w:id="602" w:name="_Toc312677987"/>
      <w:bookmarkStart w:id="603" w:name="_Toc300934944"/>
      <w:bookmarkStart w:id="604" w:name="_Toc318581156"/>
      <w:bookmarkStart w:id="605" w:name="_Toc304295522"/>
      <w:r>
        <w:rPr>
          <w:rFonts w:hint="eastAsia" w:ascii="宋体" w:hAnsi="宋体"/>
          <w:color w:val="auto"/>
          <w:sz w:val="24"/>
          <w:szCs w:val="24"/>
          <w:highlight w:val="none"/>
        </w:rPr>
        <w:t>.10.3 场内交通</w:t>
      </w:r>
      <w:bookmarkEnd w:id="593"/>
      <w:bookmarkEnd w:id="594"/>
      <w:bookmarkEnd w:id="595"/>
      <w:bookmarkEnd w:id="596"/>
      <w:bookmarkEnd w:id="597"/>
      <w:bookmarkEnd w:id="598"/>
      <w:bookmarkEnd w:id="599"/>
      <w:bookmarkEnd w:id="600"/>
    </w:p>
    <w:p w14:paraId="77B64CF4">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关于场外交通和场内交通的边界的约定：</w:t>
      </w:r>
      <w:r>
        <w:rPr>
          <w:rFonts w:hint="eastAsia" w:ascii="宋体" w:hAnsi="宋体" w:cs="宋体"/>
          <w:color w:val="auto"/>
          <w:sz w:val="24"/>
          <w:szCs w:val="24"/>
          <w:highlight w:val="none"/>
          <w:u w:val="single"/>
          <w:lang w:bidi="ar"/>
        </w:rPr>
        <w:t>发包人根据施工需要，负责取得出入施工现场所需的批准手续和全部权利</w:t>
      </w:r>
      <w:r>
        <w:rPr>
          <w:rFonts w:hint="eastAsia" w:ascii="宋体" w:hAnsi="宋体"/>
          <w:color w:val="auto"/>
          <w:sz w:val="24"/>
          <w:szCs w:val="24"/>
          <w:highlight w:val="none"/>
        </w:rPr>
        <w:t>。</w:t>
      </w:r>
    </w:p>
    <w:p w14:paraId="601DE1D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关于发包人向承包人免费提供满足工程施工需要的场内道路和交通设施的约定：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bookmarkEnd w:id="601"/>
      <w:bookmarkEnd w:id="602"/>
      <w:bookmarkEnd w:id="603"/>
      <w:bookmarkEnd w:id="604"/>
      <w:bookmarkEnd w:id="605"/>
      <w:bookmarkStart w:id="606" w:name="_Toc318581157"/>
    </w:p>
    <w:p w14:paraId="6FDA8E2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1.10.4超大件和超重件的运输</w:t>
      </w:r>
    </w:p>
    <w:p w14:paraId="15246A2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运输超大件或超重件所需的道路和桥梁临时加固改造费用和其他有关费用由</w:t>
      </w:r>
      <w:r>
        <w:rPr>
          <w:rFonts w:hint="eastAsia" w:ascii="宋体" w:hAnsi="宋体" w:cs="宋体"/>
          <w:color w:val="auto"/>
          <w:sz w:val="24"/>
          <w:szCs w:val="24"/>
          <w:highlight w:val="none"/>
          <w:u w:val="single"/>
          <w:lang w:bidi="ar"/>
        </w:rPr>
        <w:t>承包人</w:t>
      </w:r>
      <w:r>
        <w:rPr>
          <w:rFonts w:hint="eastAsia" w:ascii="宋体" w:hAnsi="宋体"/>
          <w:color w:val="auto"/>
          <w:sz w:val="24"/>
          <w:szCs w:val="24"/>
          <w:highlight w:val="none"/>
        </w:rPr>
        <w:t>承担。</w:t>
      </w:r>
    </w:p>
    <w:bookmarkEnd w:id="606"/>
    <w:p w14:paraId="13B693C9">
      <w:pPr>
        <w:shd w:val="clear" w:color="auto" w:fill="auto"/>
        <w:spacing w:line="380" w:lineRule="exact"/>
        <w:ind w:firstLine="480" w:firstLineChars="200"/>
        <w:outlineLvl w:val="0"/>
        <w:rPr>
          <w:rFonts w:hint="eastAsia" w:ascii="宋体" w:hAnsi="宋体"/>
          <w:color w:val="auto"/>
          <w:sz w:val="24"/>
          <w:szCs w:val="24"/>
          <w:highlight w:val="none"/>
        </w:rPr>
      </w:pPr>
      <w:bookmarkStart w:id="607" w:name="_Toc5804"/>
      <w:bookmarkStart w:id="608" w:name="_Toc15146"/>
      <w:bookmarkStart w:id="609" w:name="_Toc11948"/>
      <w:bookmarkStart w:id="610" w:name="_Toc32393"/>
      <w:bookmarkStart w:id="611" w:name="_Toc11496"/>
      <w:bookmarkStart w:id="612" w:name="_Toc31852"/>
      <w:bookmarkStart w:id="613" w:name="_Toc3388"/>
      <w:bookmarkStart w:id="614" w:name="_Toc20355"/>
      <w:r>
        <w:rPr>
          <w:rFonts w:hint="eastAsia" w:ascii="宋体" w:hAnsi="宋体"/>
          <w:color w:val="auto"/>
          <w:sz w:val="24"/>
          <w:szCs w:val="24"/>
          <w:highlight w:val="none"/>
        </w:rPr>
        <w:t>1.11 知识产权</w:t>
      </w:r>
      <w:bookmarkEnd w:id="607"/>
      <w:bookmarkEnd w:id="608"/>
      <w:bookmarkEnd w:id="609"/>
      <w:bookmarkEnd w:id="610"/>
      <w:bookmarkEnd w:id="611"/>
      <w:bookmarkEnd w:id="612"/>
      <w:bookmarkEnd w:id="613"/>
      <w:bookmarkEnd w:id="614"/>
    </w:p>
    <w:p w14:paraId="3C8580D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cs="宋体"/>
          <w:color w:val="auto"/>
          <w:sz w:val="24"/>
          <w:szCs w:val="24"/>
          <w:highlight w:val="none"/>
          <w:u w:val="single"/>
          <w:lang w:bidi="ar"/>
        </w:rPr>
        <w:t>发包人</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DCD0561">
      <w:pPr>
        <w:shd w:val="clear" w:color="auto" w:fill="auto"/>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关于发包人提供的上述文件的使用限制的要求：</w:t>
      </w:r>
      <w:r>
        <w:rPr>
          <w:rFonts w:hint="eastAsia" w:ascii="宋体" w:hAnsi="宋体" w:cs="宋体"/>
          <w:color w:val="auto"/>
          <w:sz w:val="24"/>
          <w:szCs w:val="24"/>
          <w:highlight w:val="none"/>
          <w:u w:val="single"/>
          <w:lang w:bidi="ar"/>
        </w:rPr>
        <w:t>不得转给任何第三方</w:t>
      </w:r>
      <w:r>
        <w:rPr>
          <w:rFonts w:hint="eastAsia" w:ascii="宋体" w:hAnsi="宋体"/>
          <w:color w:val="auto"/>
          <w:sz w:val="24"/>
          <w:szCs w:val="24"/>
          <w:highlight w:val="none"/>
        </w:rPr>
        <w:t>。</w:t>
      </w:r>
    </w:p>
    <w:p w14:paraId="35DD76D7">
      <w:pPr>
        <w:shd w:val="clear" w:color="auto" w:fill="auto"/>
        <w:spacing w:line="380" w:lineRule="exact"/>
        <w:ind w:firstLine="482"/>
        <w:outlineLvl w:val="0"/>
        <w:rPr>
          <w:rFonts w:hint="eastAsia" w:ascii="宋体" w:hAnsi="宋体"/>
          <w:color w:val="auto"/>
          <w:sz w:val="24"/>
          <w:szCs w:val="24"/>
          <w:highlight w:val="none"/>
        </w:rPr>
      </w:pPr>
      <w:bookmarkStart w:id="615" w:name="_Toc16189"/>
      <w:bookmarkStart w:id="616" w:name="_Toc22778"/>
      <w:bookmarkStart w:id="617" w:name="_Toc2789"/>
      <w:bookmarkStart w:id="618" w:name="_Toc14221"/>
      <w:bookmarkStart w:id="619" w:name="_Toc23892"/>
      <w:bookmarkStart w:id="620" w:name="_Toc4949"/>
      <w:bookmarkStart w:id="621" w:name="_Toc6771"/>
      <w:bookmarkStart w:id="622" w:name="_Toc32369"/>
      <w:r>
        <w:rPr>
          <w:rFonts w:hint="eastAsia" w:ascii="宋体" w:hAnsi="宋体"/>
          <w:color w:val="auto"/>
          <w:sz w:val="24"/>
          <w:szCs w:val="24"/>
          <w:highlight w:val="none"/>
        </w:rPr>
        <w:t>1.11.2 关于承包人为实施工程所编制文件的著作权的归属：</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bookmarkEnd w:id="615"/>
      <w:bookmarkEnd w:id="616"/>
      <w:bookmarkEnd w:id="617"/>
      <w:bookmarkEnd w:id="618"/>
      <w:bookmarkEnd w:id="619"/>
      <w:bookmarkEnd w:id="620"/>
      <w:bookmarkEnd w:id="621"/>
      <w:bookmarkEnd w:id="622"/>
    </w:p>
    <w:p w14:paraId="68A3E57C">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关于承包人提供的上述文件的使用限制的要求：</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0408450">
      <w:pPr>
        <w:shd w:val="clear" w:color="auto" w:fill="auto"/>
        <w:spacing w:line="380" w:lineRule="exact"/>
        <w:ind w:firstLine="480" w:firstLineChars="200"/>
        <w:outlineLvl w:val="0"/>
        <w:rPr>
          <w:rFonts w:hint="eastAsia" w:ascii="宋体" w:hAnsi="宋体"/>
          <w:color w:val="auto"/>
          <w:kern w:val="0"/>
          <w:sz w:val="24"/>
          <w:szCs w:val="24"/>
          <w:highlight w:val="none"/>
        </w:rPr>
      </w:pPr>
      <w:bookmarkStart w:id="623" w:name="_Toc32767"/>
      <w:bookmarkStart w:id="624" w:name="_Toc12165"/>
      <w:bookmarkStart w:id="625" w:name="_Toc19620"/>
      <w:bookmarkStart w:id="626" w:name="_Toc19647"/>
      <w:bookmarkStart w:id="627" w:name="_Toc20088"/>
      <w:bookmarkStart w:id="628" w:name="_Toc18009"/>
      <w:bookmarkStart w:id="629" w:name="_Toc138"/>
      <w:bookmarkStart w:id="630" w:name="_Toc19030"/>
      <w:r>
        <w:rPr>
          <w:rFonts w:hint="eastAsia" w:ascii="宋体" w:hAnsi="宋体"/>
          <w:color w:val="auto"/>
          <w:sz w:val="24"/>
          <w:szCs w:val="24"/>
          <w:highlight w:val="none"/>
        </w:rPr>
        <w:t>1.11.4 承包人在施工过程中所采用的专利、专有技术、技术秘密的使用费的承担方式：</w:t>
      </w:r>
      <w:r>
        <w:rPr>
          <w:rFonts w:hint="eastAsia" w:ascii="宋体" w:hAnsi="宋体"/>
          <w:color w:val="auto"/>
          <w:sz w:val="24"/>
          <w:szCs w:val="24"/>
          <w:highlight w:val="none"/>
          <w:u w:val="single"/>
        </w:rPr>
        <w:t xml:space="preserve">/     </w:t>
      </w:r>
      <w:r>
        <w:rPr>
          <w:rFonts w:hint="eastAsia" w:ascii="宋体" w:hAnsi="宋体"/>
          <w:color w:val="auto"/>
          <w:kern w:val="0"/>
          <w:sz w:val="24"/>
          <w:szCs w:val="24"/>
          <w:highlight w:val="none"/>
        </w:rPr>
        <w:t>。</w:t>
      </w:r>
      <w:bookmarkEnd w:id="623"/>
      <w:bookmarkEnd w:id="624"/>
      <w:bookmarkEnd w:id="625"/>
      <w:bookmarkEnd w:id="626"/>
      <w:bookmarkEnd w:id="627"/>
      <w:bookmarkEnd w:id="628"/>
      <w:bookmarkEnd w:id="629"/>
      <w:bookmarkEnd w:id="630"/>
    </w:p>
    <w:p w14:paraId="604F693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1.13工程量清单错误的修正</w:t>
      </w:r>
    </w:p>
    <w:p w14:paraId="38D42BC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出现工程量清单错误时，是否调整合同价格：</w:t>
      </w:r>
      <w:r>
        <w:rPr>
          <w:rFonts w:hint="eastAsia" w:ascii="宋体" w:hAnsi="宋体"/>
          <w:color w:val="auto"/>
          <w:sz w:val="24"/>
          <w:szCs w:val="24"/>
          <w:highlight w:val="none"/>
          <w:u w:val="single"/>
        </w:rPr>
        <w:t xml:space="preserve"> 是  </w:t>
      </w:r>
      <w:r>
        <w:rPr>
          <w:rFonts w:hint="eastAsia" w:ascii="宋体" w:hAnsi="宋体"/>
          <w:color w:val="auto"/>
          <w:kern w:val="0"/>
          <w:sz w:val="24"/>
          <w:szCs w:val="24"/>
          <w:highlight w:val="none"/>
        </w:rPr>
        <w:t>。</w:t>
      </w:r>
    </w:p>
    <w:p w14:paraId="3F9A06E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允许调整合同价格的工程量偏差范围：</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工程结算时：</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、当工程量清单中所列的工程量与实际完成工程量不符或由于设计变更引起工程量增减时，</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）、工程量增加幅度在</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％以内（包括</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）按原综合单价结算，工程量据实调整；</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）、工程量增加幅度在</w:t>
      </w:r>
      <w:r>
        <w:rPr>
          <w:rFonts w:hint="eastAsia" w:ascii="宋体" w:hAnsi="宋体"/>
          <w:color w:val="auto"/>
          <w:sz w:val="24"/>
          <w:szCs w:val="24"/>
          <w:highlight w:val="none"/>
          <w:u w:val="single"/>
        </w:rPr>
        <w:t>10</w:t>
      </w:r>
      <w:r>
        <w:rPr>
          <w:rFonts w:hint="eastAsia" w:ascii="宋体" w:hAnsi="宋体"/>
          <w:color w:val="auto"/>
          <w:sz w:val="24"/>
          <w:szCs w:val="24"/>
          <w:highlight w:val="none"/>
          <w:u w:val="single"/>
          <w:lang w:val="zh-TW" w:eastAsia="zh-TW"/>
        </w:rPr>
        <w:t>％以上的部分可以调整综合单价；</w:t>
      </w:r>
      <w:r>
        <w:rPr>
          <w:rFonts w:hint="eastAsia" w:ascii="宋体" w:hAnsi="宋体"/>
          <w:color w:val="auto"/>
          <w:sz w:val="24"/>
          <w:szCs w:val="24"/>
          <w:highlight w:val="none"/>
          <w:u w:val="single"/>
        </w:rPr>
        <w:t>3</w:t>
      </w:r>
      <w:r>
        <w:rPr>
          <w:rFonts w:hint="eastAsia" w:ascii="宋体" w:hAnsi="宋体"/>
          <w:color w:val="auto"/>
          <w:sz w:val="24"/>
          <w:szCs w:val="24"/>
          <w:highlight w:val="none"/>
          <w:u w:val="single"/>
          <w:lang w:val="zh-TW" w:eastAsia="zh-TW"/>
        </w:rPr>
        <w:t>）工程量减少时按原单价扣除，工程量据实调整。</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、工程变更调整：非承包人原因的工程量变更，造成增加新的工程清单项目，对应的综合单价按以下方法确定：</w:t>
      </w:r>
      <w:r>
        <w:rPr>
          <w:rFonts w:hint="eastAsia" w:ascii="宋体" w:hAnsi="宋体"/>
          <w:color w:val="auto"/>
          <w:sz w:val="24"/>
          <w:szCs w:val="24"/>
          <w:highlight w:val="none"/>
          <w:u w:val="single"/>
        </w:rPr>
        <w:t>①</w:t>
      </w:r>
      <w:r>
        <w:rPr>
          <w:rFonts w:hint="eastAsia" w:ascii="宋体" w:hAnsi="宋体"/>
          <w:color w:val="auto"/>
          <w:sz w:val="24"/>
          <w:szCs w:val="24"/>
          <w:highlight w:val="none"/>
          <w:u w:val="single"/>
          <w:lang w:val="zh-TW" w:eastAsia="zh-TW"/>
        </w:rPr>
        <w:t>工程量清单中已有适用的综合单价，按已有的综合单价确定；</w:t>
      </w:r>
      <w:r>
        <w:rPr>
          <w:rFonts w:hint="eastAsia" w:ascii="宋体" w:hAnsi="宋体"/>
          <w:color w:val="auto"/>
          <w:sz w:val="24"/>
          <w:szCs w:val="24"/>
          <w:highlight w:val="none"/>
          <w:u w:val="single"/>
        </w:rPr>
        <w:t>②</w:t>
      </w:r>
      <w:r>
        <w:rPr>
          <w:rFonts w:hint="eastAsia" w:ascii="宋体" w:hAnsi="宋体"/>
          <w:color w:val="auto"/>
          <w:sz w:val="24"/>
          <w:szCs w:val="24"/>
          <w:highlight w:val="none"/>
          <w:u w:val="single"/>
          <w:lang w:val="zh-TW" w:eastAsia="zh-TW"/>
        </w:rPr>
        <w:t>工程量清单中有类似的综合单价，按类似的综合单价确定；</w:t>
      </w:r>
      <w:r>
        <w:rPr>
          <w:rFonts w:hint="eastAsia" w:ascii="宋体" w:hAnsi="宋体"/>
          <w:color w:val="auto"/>
          <w:sz w:val="24"/>
          <w:szCs w:val="24"/>
          <w:highlight w:val="none"/>
          <w:u w:val="single"/>
        </w:rPr>
        <w:t>③</w:t>
      </w:r>
      <w:r>
        <w:rPr>
          <w:rFonts w:hint="eastAsia" w:ascii="宋体" w:hAnsi="宋体"/>
          <w:color w:val="auto"/>
          <w:sz w:val="24"/>
          <w:szCs w:val="24"/>
          <w:highlight w:val="none"/>
          <w:u w:val="single"/>
          <w:lang w:val="zh-TW" w:eastAsia="zh-TW"/>
        </w:rPr>
        <w:t>中标工程量清单中没有适用或类似的综合单价，按《建设工程工程量清单计价规范》（</w:t>
      </w:r>
      <w:r>
        <w:rPr>
          <w:rFonts w:hint="eastAsia" w:ascii="宋体" w:hAnsi="宋体"/>
          <w:color w:val="auto"/>
          <w:sz w:val="24"/>
          <w:szCs w:val="24"/>
          <w:highlight w:val="none"/>
          <w:u w:val="single"/>
        </w:rPr>
        <w:t>GB50500-2013</w:t>
      </w:r>
      <w:r>
        <w:rPr>
          <w:rFonts w:hint="eastAsia" w:ascii="宋体" w:hAnsi="宋体"/>
          <w:color w:val="auto"/>
          <w:sz w:val="24"/>
          <w:szCs w:val="24"/>
          <w:highlight w:val="none"/>
          <w:u w:val="single"/>
          <w:lang w:val="zh-TW" w:eastAsia="zh-TW"/>
        </w:rPr>
        <w:t>），《河南省房屋建筑与装饰工程预算定额》（</w:t>
      </w:r>
      <w:r>
        <w:rPr>
          <w:rFonts w:hint="eastAsia" w:ascii="宋体" w:hAnsi="宋体"/>
          <w:color w:val="auto"/>
          <w:sz w:val="24"/>
          <w:szCs w:val="24"/>
          <w:highlight w:val="none"/>
          <w:u w:val="single"/>
        </w:rPr>
        <w:t>HA  01-31-2016</w:t>
      </w:r>
      <w:r>
        <w:rPr>
          <w:rFonts w:hint="eastAsia" w:ascii="宋体" w:hAnsi="宋体"/>
          <w:color w:val="auto"/>
          <w:sz w:val="24"/>
          <w:szCs w:val="24"/>
          <w:highlight w:val="none"/>
          <w:u w:val="single"/>
          <w:lang w:val="zh-TW" w:eastAsia="zh-TW"/>
        </w:rPr>
        <w:t>）、《河南省通用安装工程预算定额》（</w:t>
      </w:r>
      <w:r>
        <w:rPr>
          <w:rFonts w:hint="eastAsia" w:ascii="宋体" w:hAnsi="宋体"/>
          <w:color w:val="auto"/>
          <w:sz w:val="24"/>
          <w:szCs w:val="24"/>
          <w:highlight w:val="none"/>
          <w:u w:val="single"/>
        </w:rPr>
        <w:t>HA  02-31-2016</w:t>
      </w:r>
      <w:r>
        <w:rPr>
          <w:rFonts w:hint="eastAsia" w:ascii="宋体" w:hAnsi="宋体"/>
          <w:color w:val="auto"/>
          <w:sz w:val="24"/>
          <w:szCs w:val="24"/>
          <w:highlight w:val="none"/>
          <w:u w:val="single"/>
          <w:lang w:val="zh-TW" w:eastAsia="zh-TW"/>
        </w:rPr>
        <w:t>）</w:t>
      </w:r>
      <w:r>
        <w:rPr>
          <w:rFonts w:hint="eastAsia" w:ascii="宋体" w:hAnsi="宋体"/>
          <w:color w:val="auto"/>
          <w:kern w:val="0"/>
          <w:sz w:val="24"/>
          <w:szCs w:val="24"/>
          <w:highlight w:val="none"/>
        </w:rPr>
        <w:t>。</w:t>
      </w:r>
    </w:p>
    <w:p w14:paraId="167FB9B0">
      <w:pPr>
        <w:keepNext/>
        <w:keepLines/>
        <w:shd w:val="clear" w:color="auto" w:fill="auto"/>
        <w:spacing w:line="380" w:lineRule="exact"/>
        <w:ind w:firstLine="482"/>
        <w:outlineLvl w:val="3"/>
        <w:rPr>
          <w:rFonts w:hint="eastAsia" w:ascii="宋体" w:hAnsi="宋体"/>
          <w:bCs/>
          <w:color w:val="auto"/>
          <w:sz w:val="24"/>
          <w:szCs w:val="24"/>
          <w:highlight w:val="none"/>
        </w:rPr>
      </w:pPr>
      <w:bookmarkStart w:id="631" w:name="_Toc351203634"/>
      <w:r>
        <w:rPr>
          <w:rFonts w:hint="eastAsia" w:ascii="宋体" w:hAnsi="宋体"/>
          <w:bCs/>
          <w:color w:val="auto"/>
          <w:sz w:val="24"/>
          <w:szCs w:val="24"/>
          <w:highlight w:val="none"/>
        </w:rPr>
        <w:t>2</w:t>
      </w:r>
      <w:bookmarkStart w:id="632" w:name="_Toc296890985"/>
      <w:bookmarkStart w:id="633" w:name="_Toc296891197"/>
      <w:bookmarkStart w:id="634" w:name="_Toc297120457"/>
      <w:bookmarkStart w:id="635" w:name="_Toc292559362"/>
      <w:bookmarkStart w:id="636" w:name="_Toc296346658"/>
      <w:bookmarkStart w:id="637" w:name="_Toc296944496"/>
      <w:bookmarkStart w:id="638" w:name="_Toc296347156"/>
      <w:bookmarkStart w:id="639" w:name="_Toc296503157"/>
      <w:bookmarkStart w:id="640" w:name="_Toc297048343"/>
      <w:bookmarkStart w:id="641" w:name="_Toc292559867"/>
      <w:r>
        <w:rPr>
          <w:rFonts w:hint="eastAsia" w:ascii="宋体" w:hAnsi="宋体"/>
          <w:bCs/>
          <w:color w:val="auto"/>
          <w:sz w:val="24"/>
          <w:szCs w:val="24"/>
          <w:highlight w:val="none"/>
        </w:rPr>
        <w:t>. 发包人</w:t>
      </w:r>
      <w:bookmarkEnd w:id="631"/>
    </w:p>
    <w:bookmarkEnd w:id="632"/>
    <w:bookmarkEnd w:id="633"/>
    <w:bookmarkEnd w:id="634"/>
    <w:bookmarkEnd w:id="635"/>
    <w:bookmarkEnd w:id="636"/>
    <w:bookmarkEnd w:id="637"/>
    <w:bookmarkEnd w:id="638"/>
    <w:bookmarkEnd w:id="639"/>
    <w:bookmarkEnd w:id="640"/>
    <w:bookmarkEnd w:id="641"/>
    <w:p w14:paraId="6A577763">
      <w:pPr>
        <w:shd w:val="clear" w:color="auto" w:fill="auto"/>
        <w:spacing w:line="380" w:lineRule="exact"/>
        <w:ind w:firstLine="480" w:firstLineChars="200"/>
        <w:outlineLvl w:val="0"/>
        <w:rPr>
          <w:rFonts w:hint="eastAsia" w:ascii="宋体" w:hAnsi="宋体"/>
          <w:color w:val="auto"/>
          <w:sz w:val="24"/>
          <w:szCs w:val="24"/>
          <w:highlight w:val="none"/>
        </w:rPr>
      </w:pPr>
      <w:bookmarkStart w:id="642" w:name="_Toc26299"/>
      <w:bookmarkStart w:id="643" w:name="_Toc7117"/>
      <w:bookmarkStart w:id="644" w:name="_Toc6618"/>
      <w:bookmarkStart w:id="645" w:name="_Toc14097"/>
      <w:bookmarkStart w:id="646" w:name="_Toc3865"/>
      <w:bookmarkStart w:id="647" w:name="_Toc25607"/>
      <w:bookmarkStart w:id="648" w:name="_Toc26816"/>
      <w:bookmarkStart w:id="649" w:name="_Toc14811"/>
      <w:r>
        <w:rPr>
          <w:rFonts w:hint="eastAsia" w:ascii="宋体" w:hAnsi="宋体"/>
          <w:color w:val="auto"/>
          <w:sz w:val="24"/>
          <w:szCs w:val="24"/>
          <w:highlight w:val="none"/>
        </w:rPr>
        <w:t>2.2 发包人代表</w:t>
      </w:r>
      <w:bookmarkEnd w:id="642"/>
      <w:bookmarkEnd w:id="643"/>
      <w:bookmarkEnd w:id="644"/>
      <w:bookmarkEnd w:id="645"/>
      <w:bookmarkEnd w:id="646"/>
      <w:bookmarkEnd w:id="647"/>
      <w:bookmarkEnd w:id="648"/>
      <w:bookmarkEnd w:id="649"/>
    </w:p>
    <w:p w14:paraId="0362843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发包人代表：</w:t>
      </w:r>
    </w:p>
    <w:p w14:paraId="3A01310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72052B3">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身份证号：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9DE381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职    务：</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6BCDF9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2C7855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7EE27F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C3D1C9D">
      <w:pPr>
        <w:shd w:val="clear" w:color="auto" w:fill="auto"/>
        <w:spacing w:line="380" w:lineRule="exact"/>
        <w:ind w:firstLine="482"/>
        <w:rPr>
          <w:rFonts w:hint="eastAsia" w:ascii="宋体" w:hAnsi="宋体"/>
          <w:b/>
          <w:color w:val="auto"/>
          <w:sz w:val="24"/>
          <w:szCs w:val="24"/>
          <w:highlight w:val="none"/>
        </w:rPr>
      </w:pPr>
      <w:r>
        <w:rPr>
          <w:rFonts w:hint="eastAsia" w:ascii="宋体" w:hAnsi="宋体"/>
          <w:color w:val="auto"/>
          <w:sz w:val="24"/>
          <w:szCs w:val="24"/>
          <w:highlight w:val="none"/>
        </w:rPr>
        <w:t>发包人对发包人代表的授权范围如下：。</w:t>
      </w:r>
    </w:p>
    <w:p w14:paraId="54F63E97">
      <w:pPr>
        <w:shd w:val="clear" w:color="auto" w:fill="auto"/>
        <w:spacing w:line="380" w:lineRule="exact"/>
        <w:ind w:firstLine="480" w:firstLineChars="200"/>
        <w:outlineLvl w:val="0"/>
        <w:rPr>
          <w:rFonts w:hint="eastAsia" w:ascii="宋体" w:hAnsi="宋体"/>
          <w:color w:val="auto"/>
          <w:sz w:val="24"/>
          <w:szCs w:val="24"/>
          <w:highlight w:val="none"/>
        </w:rPr>
      </w:pPr>
      <w:bookmarkStart w:id="650" w:name="_Toc28782"/>
      <w:bookmarkStart w:id="651" w:name="_Toc7802"/>
      <w:bookmarkStart w:id="652" w:name="_Toc10661"/>
      <w:bookmarkStart w:id="653" w:name="_Toc15455"/>
      <w:bookmarkStart w:id="654" w:name="_Toc5375"/>
      <w:bookmarkStart w:id="655" w:name="_Toc18092"/>
      <w:bookmarkStart w:id="656" w:name="_Toc10388"/>
      <w:bookmarkStart w:id="657" w:name="_Toc27870"/>
      <w:r>
        <w:rPr>
          <w:rFonts w:hint="eastAsia" w:ascii="宋体" w:hAnsi="宋体"/>
          <w:color w:val="auto"/>
          <w:sz w:val="24"/>
          <w:szCs w:val="24"/>
          <w:highlight w:val="none"/>
        </w:rPr>
        <w:t>2.4 施工现场、施工条件和基础资料的提供</w:t>
      </w:r>
      <w:bookmarkEnd w:id="650"/>
      <w:bookmarkEnd w:id="651"/>
      <w:bookmarkEnd w:id="652"/>
      <w:bookmarkEnd w:id="653"/>
      <w:bookmarkEnd w:id="654"/>
      <w:bookmarkEnd w:id="655"/>
      <w:bookmarkEnd w:id="656"/>
      <w:bookmarkEnd w:id="657"/>
    </w:p>
    <w:p w14:paraId="58DB070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2.4.1 提供施工现场</w:t>
      </w:r>
    </w:p>
    <w:p w14:paraId="00378B3D">
      <w:pPr>
        <w:widowControl/>
        <w:shd w:val="clear" w:color="auto" w:fill="auto"/>
        <w:spacing w:line="380" w:lineRule="exact"/>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关于发包人移交施工现场的期限要求：</w:t>
      </w:r>
      <w:r>
        <w:rPr>
          <w:rFonts w:hint="eastAsia" w:ascii="宋体" w:hAnsi="宋体" w:cs="宋体"/>
          <w:color w:val="auto"/>
          <w:kern w:val="0"/>
          <w:sz w:val="24"/>
          <w:szCs w:val="24"/>
          <w:highlight w:val="none"/>
          <w:u w:val="single"/>
        </w:rPr>
        <w:t>开工前3天</w:t>
      </w:r>
      <w:r>
        <w:rPr>
          <w:rFonts w:hint="eastAsia" w:ascii="宋体" w:hAnsi="宋体" w:cs="宋体"/>
          <w:color w:val="auto"/>
          <w:kern w:val="0"/>
          <w:sz w:val="24"/>
          <w:szCs w:val="24"/>
          <w:highlight w:val="none"/>
          <w:u w:val="single" w:color="000000"/>
          <w:lang w:val="zh-TW" w:eastAsia="zh-TW"/>
        </w:rPr>
        <w:t>。</w:t>
      </w:r>
    </w:p>
    <w:p w14:paraId="245BB39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2.4.2 提供施工条件</w:t>
      </w:r>
    </w:p>
    <w:p w14:paraId="71A3AEC5">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关于发包人应负责提供施工所需要的条件，包括：</w:t>
      </w:r>
      <w:r>
        <w:rPr>
          <w:rFonts w:hint="eastAsia" w:ascii="宋体" w:hAnsi="宋体" w:cs="宋体"/>
          <w:color w:val="auto"/>
          <w:sz w:val="24"/>
          <w:szCs w:val="24"/>
          <w:highlight w:val="none"/>
          <w:u w:val="single"/>
          <w:lang w:bidi="ar"/>
        </w:rPr>
        <w:t>工程开工前7日内，组织水准点与坐标控制点交验，承包人自行安装相关设备</w:t>
      </w:r>
      <w:r>
        <w:rPr>
          <w:rFonts w:hint="eastAsia" w:ascii="宋体" w:hAnsi="宋体"/>
          <w:color w:val="auto"/>
          <w:sz w:val="24"/>
          <w:szCs w:val="24"/>
          <w:highlight w:val="none"/>
        </w:rPr>
        <w:t>。</w:t>
      </w:r>
    </w:p>
    <w:p w14:paraId="580545CE">
      <w:pPr>
        <w:shd w:val="clear" w:color="auto" w:fill="auto"/>
        <w:spacing w:line="380" w:lineRule="exact"/>
        <w:ind w:firstLine="480" w:firstLineChars="200"/>
        <w:outlineLvl w:val="0"/>
        <w:rPr>
          <w:rFonts w:hint="eastAsia" w:ascii="宋体" w:hAnsi="宋体"/>
          <w:color w:val="auto"/>
          <w:sz w:val="24"/>
          <w:szCs w:val="24"/>
          <w:highlight w:val="none"/>
        </w:rPr>
      </w:pPr>
      <w:bookmarkStart w:id="658" w:name="_Toc5742"/>
      <w:bookmarkStart w:id="659" w:name="_Toc28463"/>
      <w:bookmarkStart w:id="660" w:name="_Toc30880"/>
      <w:bookmarkStart w:id="661" w:name="_Toc2376"/>
      <w:bookmarkStart w:id="662" w:name="_Toc767"/>
      <w:bookmarkStart w:id="663" w:name="_Toc3165"/>
      <w:bookmarkStart w:id="664" w:name="_Toc24997"/>
      <w:bookmarkStart w:id="665" w:name="_Toc989"/>
      <w:r>
        <w:rPr>
          <w:rFonts w:hint="eastAsia" w:ascii="宋体" w:hAnsi="宋体"/>
          <w:color w:val="auto"/>
          <w:sz w:val="24"/>
          <w:szCs w:val="24"/>
          <w:highlight w:val="none"/>
        </w:rPr>
        <w:t>2.5 资金来源证明及支付担保</w:t>
      </w:r>
      <w:bookmarkEnd w:id="658"/>
      <w:bookmarkEnd w:id="659"/>
      <w:bookmarkEnd w:id="660"/>
      <w:bookmarkEnd w:id="661"/>
      <w:bookmarkEnd w:id="662"/>
      <w:bookmarkEnd w:id="663"/>
      <w:bookmarkEnd w:id="664"/>
      <w:bookmarkEnd w:id="665"/>
    </w:p>
    <w:p w14:paraId="54D1EA9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发包人提供资金来源证明的期限要求：</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41943D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发包人是否提供支付担保：</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50561DDC">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发包人提供支付担保的形式：</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399B9FAB">
      <w:pPr>
        <w:keepNext/>
        <w:keepLines/>
        <w:shd w:val="clear" w:color="auto" w:fill="auto"/>
        <w:spacing w:line="380" w:lineRule="exact"/>
        <w:ind w:firstLine="482"/>
        <w:outlineLvl w:val="3"/>
        <w:rPr>
          <w:rFonts w:hint="eastAsia" w:ascii="宋体" w:hAnsi="宋体"/>
          <w:bCs/>
          <w:color w:val="auto"/>
          <w:sz w:val="24"/>
          <w:szCs w:val="24"/>
          <w:highlight w:val="none"/>
        </w:rPr>
      </w:pPr>
      <w:bookmarkStart w:id="666" w:name="_Toc351203635"/>
      <w:r>
        <w:rPr>
          <w:rFonts w:hint="eastAsia" w:ascii="宋体" w:hAnsi="宋体"/>
          <w:bCs/>
          <w:color w:val="auto"/>
          <w:sz w:val="24"/>
          <w:szCs w:val="24"/>
          <w:highlight w:val="none"/>
        </w:rPr>
        <w:t>3</w:t>
      </w:r>
      <w:bookmarkStart w:id="667" w:name="_Toc296503158"/>
      <w:bookmarkStart w:id="668" w:name="_Toc292559363"/>
      <w:bookmarkStart w:id="669" w:name="_Toc296944497"/>
      <w:bookmarkStart w:id="670" w:name="_Toc296346659"/>
      <w:bookmarkStart w:id="671" w:name="_Toc296890986"/>
      <w:bookmarkStart w:id="672" w:name="_Toc297048344"/>
      <w:bookmarkStart w:id="673" w:name="_Toc292559868"/>
      <w:bookmarkStart w:id="674" w:name="_Toc296347157"/>
      <w:bookmarkStart w:id="675" w:name="_Toc297120458"/>
      <w:bookmarkStart w:id="676" w:name="_Toc296891198"/>
      <w:r>
        <w:rPr>
          <w:rFonts w:hint="eastAsia" w:ascii="宋体" w:hAnsi="宋体"/>
          <w:bCs/>
          <w:color w:val="auto"/>
          <w:sz w:val="24"/>
          <w:szCs w:val="24"/>
          <w:highlight w:val="none"/>
        </w:rPr>
        <w:t>. 承包人</w:t>
      </w:r>
      <w:bookmarkEnd w:id="666"/>
    </w:p>
    <w:bookmarkEnd w:id="667"/>
    <w:bookmarkEnd w:id="668"/>
    <w:bookmarkEnd w:id="669"/>
    <w:bookmarkEnd w:id="670"/>
    <w:bookmarkEnd w:id="671"/>
    <w:bookmarkEnd w:id="672"/>
    <w:bookmarkEnd w:id="673"/>
    <w:bookmarkEnd w:id="674"/>
    <w:bookmarkEnd w:id="675"/>
    <w:bookmarkEnd w:id="676"/>
    <w:p w14:paraId="06C18FA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3.1 承包人的一般义务</w:t>
      </w:r>
    </w:p>
    <w:p w14:paraId="6CDEE24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（9）</w:t>
      </w:r>
      <w:r>
        <w:rPr>
          <w:rFonts w:hint="eastAsia" w:ascii="宋体" w:hAnsi="宋体"/>
          <w:color w:val="auto"/>
          <w:sz w:val="24"/>
          <w:szCs w:val="24"/>
          <w:highlight w:val="none"/>
        </w:rPr>
        <w:t>承包人提交的竣工资料的内容：</w:t>
      </w:r>
      <w:r>
        <w:rPr>
          <w:rFonts w:hint="eastAsia" w:ascii="宋体" w:hAnsi="宋体" w:cs="宋体"/>
          <w:color w:val="auto"/>
          <w:sz w:val="24"/>
          <w:szCs w:val="24"/>
          <w:highlight w:val="none"/>
          <w:u w:val="single"/>
          <w:lang w:bidi="ar"/>
        </w:rPr>
        <w:t>竣工图及竣工验收资料</w:t>
      </w:r>
      <w:r>
        <w:rPr>
          <w:rFonts w:hint="eastAsia" w:ascii="宋体" w:hAnsi="宋体"/>
          <w:color w:val="auto"/>
          <w:sz w:val="24"/>
          <w:szCs w:val="24"/>
          <w:highlight w:val="none"/>
        </w:rPr>
        <w:t>。</w:t>
      </w:r>
    </w:p>
    <w:p w14:paraId="77F060F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承包人需要提交的竣工资料套数：。</w:t>
      </w:r>
    </w:p>
    <w:p w14:paraId="38984547">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承包人提交的竣工资料的费用承担：</w:t>
      </w:r>
      <w:r>
        <w:rPr>
          <w:rFonts w:hint="eastAsia" w:ascii="宋体" w:hAnsi="宋体" w:cs="宋体"/>
          <w:color w:val="auto"/>
          <w:sz w:val="24"/>
          <w:szCs w:val="24"/>
          <w:highlight w:val="none"/>
          <w:u w:val="single"/>
          <w:lang w:bidi="ar"/>
        </w:rPr>
        <w:t>自行承担</w:t>
      </w:r>
      <w:r>
        <w:rPr>
          <w:rFonts w:hint="eastAsia" w:ascii="宋体" w:hAnsi="宋体"/>
          <w:color w:val="auto"/>
          <w:sz w:val="24"/>
          <w:szCs w:val="24"/>
          <w:highlight w:val="none"/>
        </w:rPr>
        <w:t>。</w:t>
      </w:r>
    </w:p>
    <w:p w14:paraId="018E9D66">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承包人提交的竣工资料移交时间：</w:t>
      </w:r>
      <w:r>
        <w:rPr>
          <w:rFonts w:hint="eastAsia" w:ascii="宋体" w:hAnsi="宋体" w:cs="宋体"/>
          <w:color w:val="auto"/>
          <w:sz w:val="24"/>
          <w:szCs w:val="24"/>
          <w:highlight w:val="none"/>
          <w:u w:val="single"/>
          <w:lang w:bidi="ar"/>
        </w:rPr>
        <w:t>竣工验收后28天内</w:t>
      </w:r>
      <w:r>
        <w:rPr>
          <w:rFonts w:hint="eastAsia" w:ascii="宋体" w:hAnsi="宋体"/>
          <w:color w:val="auto"/>
          <w:sz w:val="24"/>
          <w:szCs w:val="24"/>
          <w:highlight w:val="none"/>
        </w:rPr>
        <w:t>。</w:t>
      </w:r>
    </w:p>
    <w:p w14:paraId="609A75D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承包人提交的竣工资料形式要求：</w:t>
      </w:r>
      <w:r>
        <w:rPr>
          <w:rFonts w:hint="eastAsia" w:ascii="宋体" w:hAnsi="宋体" w:cs="宋体"/>
          <w:color w:val="auto"/>
          <w:sz w:val="24"/>
          <w:szCs w:val="24"/>
          <w:highlight w:val="none"/>
          <w:u w:val="single"/>
          <w:lang w:bidi="ar"/>
        </w:rPr>
        <w:t>纸质</w:t>
      </w:r>
      <w:r>
        <w:rPr>
          <w:rFonts w:hint="eastAsia" w:ascii="宋体" w:hAnsi="宋体"/>
          <w:color w:val="auto"/>
          <w:sz w:val="24"/>
          <w:szCs w:val="24"/>
          <w:highlight w:val="none"/>
        </w:rPr>
        <w:t>。</w:t>
      </w:r>
    </w:p>
    <w:p w14:paraId="4CBD070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（10）承包人应履行的其他义务：</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315495E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3.2 项目经理</w:t>
      </w:r>
    </w:p>
    <w:p w14:paraId="1E09E114">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kern w:val="0"/>
          <w:sz w:val="24"/>
          <w:szCs w:val="24"/>
          <w:highlight w:val="none"/>
        </w:rPr>
        <w:t xml:space="preserve">3.2.1 </w:t>
      </w:r>
      <w:r>
        <w:rPr>
          <w:rFonts w:hint="eastAsia" w:ascii="宋体" w:hAnsi="宋体"/>
          <w:color w:val="auto"/>
          <w:sz w:val="24"/>
          <w:szCs w:val="24"/>
          <w:highlight w:val="none"/>
        </w:rPr>
        <w:t>项目经理：</w:t>
      </w:r>
    </w:p>
    <w:p w14:paraId="31F56649">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1DB36E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身份证号：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ED0492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建造师执业资格等级：</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3E1FCA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建造师注册证书号：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E8539F3">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建造师执业印章号：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C583C0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安全生产考核合格证书号：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6C89919">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8DA34C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325FD0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6ECC05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承包人对项目经理的授权范围如下：</w:t>
      </w:r>
      <w:r>
        <w:rPr>
          <w:rFonts w:hint="eastAsia" w:ascii="宋体" w:hAnsi="宋体"/>
          <w:color w:val="auto"/>
          <w:sz w:val="24"/>
          <w:szCs w:val="24"/>
          <w:highlight w:val="none"/>
          <w:u w:val="single"/>
        </w:rPr>
        <w:t>代表承包人行使本合同约定的权利，履行本合同约定的义务</w:t>
      </w:r>
      <w:r>
        <w:rPr>
          <w:rFonts w:hint="eastAsia" w:ascii="宋体" w:hAnsi="宋体"/>
          <w:color w:val="auto"/>
          <w:sz w:val="24"/>
          <w:szCs w:val="24"/>
          <w:highlight w:val="none"/>
        </w:rPr>
        <w:t>。</w:t>
      </w:r>
    </w:p>
    <w:p w14:paraId="1851F453">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关于项目经理每月在施工现场的时间要求：</w:t>
      </w:r>
      <w:r>
        <w:rPr>
          <w:rFonts w:hint="eastAsia" w:ascii="宋体" w:hAnsi="宋体"/>
          <w:color w:val="auto"/>
          <w:sz w:val="24"/>
          <w:szCs w:val="24"/>
          <w:highlight w:val="none"/>
          <w:u w:val="single"/>
          <w:lang w:val="zh-TW" w:eastAsia="zh-TW"/>
        </w:rPr>
        <w:t>上岗时间不低于施工时间的50%</w:t>
      </w:r>
      <w:r>
        <w:rPr>
          <w:rFonts w:hint="eastAsia" w:ascii="宋体" w:hAnsi="宋体"/>
          <w:color w:val="auto"/>
          <w:sz w:val="24"/>
          <w:szCs w:val="24"/>
          <w:highlight w:val="none"/>
        </w:rPr>
        <w:t>。</w:t>
      </w:r>
    </w:p>
    <w:p w14:paraId="6B20E38E">
      <w:pPr>
        <w:shd w:val="clear" w:color="auto" w:fill="auto"/>
        <w:spacing w:line="380" w:lineRule="exact"/>
        <w:ind w:firstLine="480" w:firstLineChars="200"/>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承包人未提交劳动合同，以及没有为项目经理缴纳社会保险证明的违约责任：</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D55C143">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kern w:val="0"/>
          <w:sz w:val="24"/>
          <w:szCs w:val="24"/>
          <w:highlight w:val="none"/>
        </w:rPr>
        <w:t>项目经理未经批准，擅自离开施工现场的违约责任：</w:t>
      </w:r>
      <w:r>
        <w:rPr>
          <w:rFonts w:hint="eastAsia" w:ascii="宋体" w:hAnsi="宋体"/>
          <w:color w:val="auto"/>
          <w:sz w:val="24"/>
          <w:szCs w:val="24"/>
          <w:highlight w:val="none"/>
          <w:u w:val="single"/>
          <w:lang w:val="zh-TW" w:eastAsia="zh-TW"/>
        </w:rPr>
        <w:t>按有关规定执行处理</w:t>
      </w:r>
      <w:r>
        <w:rPr>
          <w:rFonts w:hint="eastAsia" w:ascii="宋体" w:hAnsi="宋体"/>
          <w:color w:val="auto"/>
          <w:sz w:val="24"/>
          <w:szCs w:val="24"/>
          <w:highlight w:val="none"/>
        </w:rPr>
        <w:t>。</w:t>
      </w:r>
    </w:p>
    <w:p w14:paraId="77A8D48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3.2.3 承包人擅自更换项目经理的违约责任：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3B79AEBC">
      <w:pPr>
        <w:shd w:val="clear" w:color="auto" w:fill="auto"/>
        <w:spacing w:line="380" w:lineRule="exact"/>
        <w:ind w:firstLine="482"/>
        <w:outlineLvl w:val="0"/>
        <w:rPr>
          <w:rFonts w:hint="eastAsia" w:ascii="宋体" w:hAnsi="宋体"/>
          <w:color w:val="auto"/>
          <w:sz w:val="24"/>
          <w:szCs w:val="24"/>
          <w:highlight w:val="none"/>
        </w:rPr>
      </w:pPr>
      <w:bookmarkStart w:id="677" w:name="_Toc21921"/>
      <w:bookmarkStart w:id="678" w:name="_Toc22963"/>
      <w:bookmarkStart w:id="679" w:name="_Toc5814"/>
      <w:bookmarkStart w:id="680" w:name="_Toc1533"/>
      <w:bookmarkStart w:id="681" w:name="_Toc14870"/>
      <w:bookmarkStart w:id="682" w:name="_Toc31071"/>
      <w:bookmarkStart w:id="683" w:name="_Toc24446"/>
      <w:bookmarkStart w:id="684" w:name="_Toc22863"/>
      <w:r>
        <w:rPr>
          <w:rFonts w:hint="eastAsia" w:ascii="宋体" w:hAnsi="宋体"/>
          <w:color w:val="auto"/>
          <w:sz w:val="24"/>
          <w:szCs w:val="24"/>
          <w:highlight w:val="none"/>
        </w:rPr>
        <w:t>3.2.4 承包人无正当理由拒绝更换项目经理的违约责任：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bookmarkEnd w:id="677"/>
      <w:bookmarkEnd w:id="678"/>
      <w:bookmarkEnd w:id="679"/>
      <w:bookmarkEnd w:id="680"/>
      <w:bookmarkEnd w:id="681"/>
      <w:bookmarkEnd w:id="682"/>
      <w:bookmarkEnd w:id="683"/>
      <w:bookmarkEnd w:id="684"/>
    </w:p>
    <w:p w14:paraId="6D95663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 承包人人员</w:t>
      </w:r>
    </w:p>
    <w:p w14:paraId="3116FEF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3.3.1 承包人提交项目管理机构及施工现场管理人员安排报告的期限：</w:t>
      </w:r>
      <w:r>
        <w:rPr>
          <w:rFonts w:hint="eastAsia" w:ascii="宋体" w:hAnsi="宋体"/>
          <w:color w:val="auto"/>
          <w:sz w:val="24"/>
          <w:szCs w:val="24"/>
          <w:highlight w:val="none"/>
          <w:u w:val="single"/>
        </w:rPr>
        <w:t xml:space="preserve">  </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B2763D4">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3.3.3 承包人无正当理由拒绝撤换主要施工管理人员的违约责任：</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2C3DF7D2">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3.3.4 承包人主要施工管理人员离开施工现场的批准要求：</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77F09F4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3.3.5承包人擅自更换主要施工管理人员的违约责任：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5F1034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承包人主要施工管理人员擅自离开施工现场的违约责任：</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46A7186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w:t>
      </w:r>
      <w:bookmarkStart w:id="685" w:name="_Toc304295523"/>
      <w:bookmarkStart w:id="686" w:name="_Toc296503159"/>
      <w:bookmarkStart w:id="687" w:name="_Toc297216151"/>
      <w:bookmarkStart w:id="688" w:name="_Toc296891199"/>
      <w:bookmarkStart w:id="689" w:name="_Toc296890987"/>
      <w:bookmarkStart w:id="690" w:name="_Toc303539102"/>
      <w:bookmarkStart w:id="691" w:name="_Toc312677988"/>
      <w:bookmarkStart w:id="692" w:name="_Toc300934945"/>
      <w:bookmarkStart w:id="693" w:name="_Toc292559364"/>
      <w:bookmarkStart w:id="694" w:name="_Toc297048345"/>
      <w:bookmarkStart w:id="695" w:name="_Toc296346660"/>
      <w:bookmarkStart w:id="696" w:name="_Toc296944498"/>
      <w:bookmarkStart w:id="697" w:name="_Toc296347158"/>
      <w:bookmarkStart w:id="698" w:name="_Toc297120459"/>
      <w:bookmarkStart w:id="699" w:name="_Toc292559869"/>
      <w:bookmarkStart w:id="700" w:name="_Toc297123492"/>
      <w:r>
        <w:rPr>
          <w:rFonts w:hint="eastAsia" w:ascii="宋体" w:hAnsi="宋体"/>
          <w:color w:val="auto"/>
          <w:sz w:val="24"/>
          <w:szCs w:val="24"/>
          <w:highlight w:val="none"/>
        </w:rPr>
        <w:t>.5 分包</w:t>
      </w:r>
    </w:p>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p w14:paraId="593A87E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w:t>
      </w:r>
      <w:bookmarkStart w:id="701" w:name="_Toc303539103"/>
      <w:bookmarkStart w:id="702" w:name="_Toc300934946"/>
      <w:bookmarkStart w:id="703" w:name="_Toc296346661"/>
      <w:bookmarkStart w:id="704" w:name="_Toc297120460"/>
      <w:bookmarkStart w:id="705" w:name="_Toc297123493"/>
      <w:bookmarkStart w:id="706" w:name="_Toc297048346"/>
      <w:bookmarkStart w:id="707" w:name="_Toc296347159"/>
      <w:bookmarkStart w:id="708" w:name="_Toc304295524"/>
      <w:bookmarkStart w:id="709" w:name="_Toc296503160"/>
      <w:bookmarkStart w:id="710" w:name="_Toc292559365"/>
      <w:bookmarkStart w:id="711" w:name="_Toc296890988"/>
      <w:bookmarkStart w:id="712" w:name="_Toc296944499"/>
      <w:bookmarkStart w:id="713" w:name="_Toc297216152"/>
      <w:bookmarkStart w:id="714" w:name="_Toc292559870"/>
      <w:bookmarkStart w:id="715" w:name="_Toc296891200"/>
      <w:bookmarkStart w:id="716" w:name="_Toc318581158"/>
      <w:bookmarkStart w:id="717" w:name="_Toc312677989"/>
      <w:r>
        <w:rPr>
          <w:rFonts w:hint="eastAsia" w:ascii="宋体" w:hAnsi="宋体"/>
          <w:color w:val="auto"/>
          <w:sz w:val="24"/>
          <w:szCs w:val="24"/>
          <w:highlight w:val="none"/>
        </w:rPr>
        <w:t>.5.1 分包的一般约定</w:t>
      </w:r>
    </w:p>
    <w:p w14:paraId="25D12F3C">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禁止分包的工程包括：</w:t>
      </w:r>
      <w:r>
        <w:rPr>
          <w:rFonts w:hint="eastAsia" w:ascii="宋体" w:hAnsi="宋体"/>
          <w:color w:val="auto"/>
          <w:sz w:val="24"/>
          <w:szCs w:val="24"/>
          <w:highlight w:val="none"/>
          <w:u w:val="single"/>
          <w:lang w:val="zh-TW" w:eastAsia="zh-TW"/>
        </w:rPr>
        <w:t>除发包人同意分包的工程外，承包人不得再分包</w:t>
      </w:r>
      <w:r>
        <w:rPr>
          <w:rFonts w:hint="eastAsia" w:ascii="宋体" w:hAnsi="宋体"/>
          <w:color w:val="auto"/>
          <w:sz w:val="24"/>
          <w:szCs w:val="24"/>
          <w:highlight w:val="none"/>
        </w:rPr>
        <w:t>。</w:t>
      </w:r>
    </w:p>
    <w:p w14:paraId="21061D28">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主体结构、关键性工作的范围：</w:t>
      </w:r>
      <w:r>
        <w:rPr>
          <w:rFonts w:hint="eastAsia" w:ascii="宋体" w:hAnsi="宋体"/>
          <w:color w:val="auto"/>
          <w:sz w:val="24"/>
          <w:szCs w:val="24"/>
          <w:highlight w:val="none"/>
          <w:u w:val="single"/>
          <w:lang w:val="zh-TW" w:eastAsia="zh-TW"/>
        </w:rPr>
        <w:t>执行合同通用条款</w:t>
      </w:r>
      <w:r>
        <w:rPr>
          <w:rFonts w:hint="eastAsia" w:ascii="宋体" w:hAnsi="宋体"/>
          <w:color w:val="auto"/>
          <w:sz w:val="24"/>
          <w:szCs w:val="24"/>
          <w:highlight w:val="none"/>
        </w:rPr>
        <w:t>。</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Start w:id="718" w:name="_Toc296346662"/>
      <w:bookmarkStart w:id="719" w:name="_Toc296944500"/>
      <w:bookmarkStart w:id="720" w:name="_Toc297216153"/>
      <w:bookmarkStart w:id="721" w:name="_Toc296347160"/>
      <w:bookmarkStart w:id="722" w:name="_Toc296890989"/>
      <w:bookmarkStart w:id="723" w:name="_Toc296891201"/>
      <w:bookmarkStart w:id="724" w:name="_Toc300934947"/>
      <w:bookmarkStart w:id="725" w:name="_Toc297048347"/>
      <w:bookmarkStart w:id="726" w:name="_Toc296503161"/>
      <w:bookmarkStart w:id="727" w:name="_Toc303539104"/>
      <w:bookmarkStart w:id="728" w:name="_Toc297123494"/>
      <w:bookmarkStart w:id="729" w:name="_Toc304295525"/>
      <w:bookmarkStart w:id="730" w:name="_Toc297120461"/>
    </w:p>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14:paraId="690C3035">
      <w:pPr>
        <w:shd w:val="clear" w:color="auto" w:fill="auto"/>
        <w:spacing w:line="380" w:lineRule="exact"/>
        <w:ind w:firstLine="482"/>
        <w:rPr>
          <w:rFonts w:hint="eastAsia" w:ascii="宋体" w:hAnsi="宋体"/>
          <w:color w:val="auto"/>
          <w:sz w:val="24"/>
          <w:szCs w:val="24"/>
          <w:highlight w:val="none"/>
        </w:rPr>
      </w:pPr>
      <w:r>
        <w:rPr>
          <w:rFonts w:hint="eastAsia" w:ascii="宋体" w:hAnsi="宋体"/>
          <w:color w:val="auto"/>
          <w:sz w:val="24"/>
          <w:szCs w:val="24"/>
          <w:highlight w:val="none"/>
        </w:rPr>
        <w:t xml:space="preserve">    3</w:t>
      </w:r>
      <w:bookmarkStart w:id="731" w:name="_Toc312677990"/>
      <w:bookmarkStart w:id="732" w:name="_Toc318581159"/>
      <w:r>
        <w:rPr>
          <w:rFonts w:hint="eastAsia" w:ascii="宋体" w:hAnsi="宋体"/>
          <w:color w:val="auto"/>
          <w:sz w:val="24"/>
          <w:szCs w:val="24"/>
          <w:highlight w:val="none"/>
        </w:rPr>
        <w:t>.5.2分包的确定</w:t>
      </w:r>
    </w:p>
    <w:p w14:paraId="133716D8">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允许分包的专业工程包括：</w:t>
      </w:r>
      <w:r>
        <w:rPr>
          <w:rFonts w:hint="eastAsia" w:ascii="宋体" w:hAnsi="宋体"/>
          <w:color w:val="auto"/>
          <w:sz w:val="24"/>
          <w:szCs w:val="24"/>
          <w:highlight w:val="none"/>
          <w:u w:val="single"/>
          <w:lang w:val="zh-TW" w:eastAsia="zh-TW"/>
        </w:rPr>
        <w:t>不允许</w:t>
      </w:r>
      <w:r>
        <w:rPr>
          <w:rFonts w:hint="eastAsia" w:ascii="宋体" w:hAnsi="宋体"/>
          <w:color w:val="auto"/>
          <w:sz w:val="24"/>
          <w:szCs w:val="24"/>
          <w:highlight w:val="none"/>
        </w:rPr>
        <w:t>。</w:t>
      </w:r>
    </w:p>
    <w:p w14:paraId="7CC768C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其他关于分包的约定：</w:t>
      </w:r>
      <w:r>
        <w:rPr>
          <w:rFonts w:hint="eastAsia" w:ascii="宋体" w:hAnsi="宋体"/>
          <w:color w:val="auto"/>
          <w:sz w:val="24"/>
          <w:szCs w:val="24"/>
          <w:highlight w:val="none"/>
          <w:u w:val="single"/>
          <w:lang w:val="zh-TW" w:eastAsia="zh-TW"/>
        </w:rPr>
        <w:t>承包人在选择专业分包单位时，发包人参与前期考察、招标及确认，发包人具有否决权</w:t>
      </w:r>
      <w:r>
        <w:rPr>
          <w:rFonts w:hint="eastAsia" w:ascii="宋体" w:hAnsi="宋体"/>
          <w:color w:val="auto"/>
          <w:sz w:val="24"/>
          <w:szCs w:val="24"/>
          <w:highlight w:val="none"/>
        </w:rPr>
        <w:t>。</w:t>
      </w:r>
    </w:p>
    <w:p w14:paraId="51B3562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3.5.4 分包合同价款</w:t>
      </w:r>
    </w:p>
    <w:p w14:paraId="6C80E9C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关于分包合同价款支付的约定：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bookmarkEnd w:id="731"/>
    <w:bookmarkEnd w:id="732"/>
    <w:p w14:paraId="7B39C75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3.6 工程照管与成品、半成品保护</w:t>
      </w:r>
    </w:p>
    <w:p w14:paraId="15C1E611">
      <w:pPr>
        <w:shd w:val="clear" w:color="auto" w:fill="auto"/>
        <w:spacing w:line="380" w:lineRule="exact"/>
        <w:ind w:firstLine="480" w:firstLineChars="200"/>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承包人负责照管工程及工程相关的材料、工程设备的起始时间：</w:t>
      </w:r>
      <w:r>
        <w:rPr>
          <w:rFonts w:hint="eastAsia" w:ascii="宋体" w:hAnsi="宋体"/>
          <w:color w:val="auto"/>
          <w:sz w:val="24"/>
          <w:szCs w:val="24"/>
          <w:highlight w:val="none"/>
          <w:u w:val="single"/>
          <w:lang w:val="zh-TW" w:eastAsia="zh-TW"/>
        </w:rPr>
        <w:t>自发包人向承包人移交施工现场之日起，承包人应负责照管工程及工程相关的材料、工程设备，到竣工验收合格止，竣工验收合格后全部由发包人照管</w:t>
      </w:r>
      <w:r>
        <w:rPr>
          <w:rFonts w:hint="eastAsia" w:ascii="宋体" w:hAnsi="宋体"/>
          <w:color w:val="auto"/>
          <w:kern w:val="0"/>
          <w:sz w:val="24"/>
          <w:szCs w:val="24"/>
          <w:highlight w:val="none"/>
        </w:rPr>
        <w:t>。</w:t>
      </w:r>
    </w:p>
    <w:p w14:paraId="587C766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3.7 履约担保</w:t>
      </w:r>
    </w:p>
    <w:p w14:paraId="26AAC5C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承包人是否提供履约担保：</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3A94A30">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承包人提供履约担保的形式、金额及期限的：</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8C9FBF0">
      <w:pPr>
        <w:keepNext/>
        <w:keepLines/>
        <w:shd w:val="clear" w:color="auto" w:fill="auto"/>
        <w:spacing w:line="380" w:lineRule="exact"/>
        <w:ind w:firstLine="482"/>
        <w:outlineLvl w:val="3"/>
        <w:rPr>
          <w:rFonts w:hint="eastAsia" w:ascii="宋体" w:hAnsi="宋体"/>
          <w:bCs/>
          <w:color w:val="auto"/>
          <w:sz w:val="24"/>
          <w:szCs w:val="24"/>
          <w:highlight w:val="none"/>
        </w:rPr>
      </w:pPr>
      <w:bookmarkStart w:id="733" w:name="_Toc351203636"/>
      <w:r>
        <w:rPr>
          <w:rFonts w:hint="eastAsia" w:ascii="宋体" w:hAnsi="宋体"/>
          <w:bCs/>
          <w:color w:val="auto"/>
          <w:sz w:val="24"/>
          <w:szCs w:val="24"/>
          <w:highlight w:val="none"/>
        </w:rPr>
        <w:t>4</w:t>
      </w:r>
      <w:bookmarkStart w:id="734" w:name="_Toc292559871"/>
      <w:bookmarkStart w:id="735" w:name="_Toc267251413"/>
      <w:bookmarkStart w:id="736" w:name="_Toc296891202"/>
      <w:bookmarkStart w:id="737" w:name="_Toc296346663"/>
      <w:bookmarkStart w:id="738" w:name="_Toc292559366"/>
      <w:bookmarkStart w:id="739" w:name="_Toc296944501"/>
      <w:bookmarkStart w:id="740" w:name="_Toc296890990"/>
      <w:bookmarkStart w:id="741" w:name="_Toc297120462"/>
      <w:bookmarkStart w:id="742" w:name="_Toc297048348"/>
      <w:bookmarkStart w:id="743" w:name="_Toc296347161"/>
      <w:bookmarkStart w:id="744" w:name="_Toc296503162"/>
      <w:r>
        <w:rPr>
          <w:rFonts w:hint="eastAsia" w:ascii="宋体" w:hAnsi="宋体"/>
          <w:bCs/>
          <w:color w:val="auto"/>
          <w:sz w:val="24"/>
          <w:szCs w:val="24"/>
          <w:highlight w:val="none"/>
        </w:rPr>
        <w:t>. 监</w:t>
      </w:r>
      <w:bookmarkEnd w:id="734"/>
      <w:bookmarkEnd w:id="735"/>
      <w:bookmarkEnd w:id="736"/>
      <w:bookmarkEnd w:id="737"/>
      <w:bookmarkEnd w:id="738"/>
      <w:bookmarkEnd w:id="739"/>
      <w:bookmarkEnd w:id="740"/>
      <w:bookmarkEnd w:id="741"/>
      <w:bookmarkEnd w:id="742"/>
      <w:bookmarkEnd w:id="743"/>
      <w:bookmarkEnd w:id="744"/>
      <w:r>
        <w:rPr>
          <w:rFonts w:hint="eastAsia" w:ascii="宋体" w:hAnsi="宋体"/>
          <w:bCs/>
          <w:color w:val="auto"/>
          <w:sz w:val="24"/>
          <w:szCs w:val="24"/>
          <w:highlight w:val="none"/>
        </w:rPr>
        <w:t>理人</w:t>
      </w:r>
      <w:bookmarkEnd w:id="733"/>
    </w:p>
    <w:p w14:paraId="60A9E50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4.1监理人的一般规定</w:t>
      </w:r>
    </w:p>
    <w:p w14:paraId="71B05526">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关于监理人的监理内容：</w:t>
      </w:r>
      <w:r>
        <w:rPr>
          <w:rFonts w:hint="eastAsia" w:ascii="宋体" w:hAnsi="宋体"/>
          <w:color w:val="auto"/>
          <w:sz w:val="24"/>
          <w:szCs w:val="24"/>
          <w:highlight w:val="none"/>
          <w:u w:val="single"/>
          <w:lang w:val="zh-TW" w:eastAsia="zh-TW"/>
        </w:rPr>
        <w:t>详见工程监理委托合同</w:t>
      </w:r>
      <w:r>
        <w:rPr>
          <w:rFonts w:hint="eastAsia" w:ascii="宋体" w:hAnsi="宋体"/>
          <w:color w:val="auto"/>
          <w:sz w:val="24"/>
          <w:szCs w:val="24"/>
          <w:highlight w:val="none"/>
        </w:rPr>
        <w:t>。</w:t>
      </w:r>
    </w:p>
    <w:p w14:paraId="760FB3A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关于监理人的监理权限：</w:t>
      </w:r>
      <w:r>
        <w:rPr>
          <w:rFonts w:hint="eastAsia" w:ascii="宋体" w:hAnsi="宋体"/>
          <w:color w:val="auto"/>
          <w:sz w:val="24"/>
          <w:szCs w:val="24"/>
          <w:highlight w:val="none"/>
          <w:u w:val="single"/>
          <w:lang w:val="zh-TW" w:eastAsia="zh-TW"/>
        </w:rPr>
        <w:t>详见工程监理委托合同</w:t>
      </w:r>
      <w:r>
        <w:rPr>
          <w:rFonts w:hint="eastAsia" w:ascii="宋体" w:hAnsi="宋体"/>
          <w:color w:val="auto"/>
          <w:sz w:val="24"/>
          <w:szCs w:val="24"/>
          <w:highlight w:val="none"/>
        </w:rPr>
        <w:t xml:space="preserve">。 </w:t>
      </w:r>
    </w:p>
    <w:p w14:paraId="50B55DDB">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关于监理人在施工现场的办公场所、生活场所的提供和费用承担的约定：</w:t>
      </w:r>
      <w:r>
        <w:rPr>
          <w:rFonts w:hint="eastAsia" w:ascii="宋体" w:hAnsi="宋体"/>
          <w:color w:val="auto"/>
          <w:sz w:val="24"/>
          <w:szCs w:val="24"/>
          <w:highlight w:val="none"/>
          <w:u w:val="single"/>
          <w:lang w:val="zh-TW" w:eastAsia="zh-TW"/>
        </w:rPr>
        <w:t>同通用条款</w:t>
      </w:r>
      <w:r>
        <w:rPr>
          <w:rFonts w:hint="eastAsia" w:ascii="宋体" w:hAnsi="宋体"/>
          <w:color w:val="auto"/>
          <w:sz w:val="24"/>
          <w:szCs w:val="24"/>
          <w:highlight w:val="none"/>
        </w:rPr>
        <w:t>。</w:t>
      </w:r>
    </w:p>
    <w:p w14:paraId="729B819B">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4.2 监理人员</w:t>
      </w:r>
    </w:p>
    <w:p w14:paraId="4CB8462F">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总监理工程师：</w:t>
      </w:r>
    </w:p>
    <w:p w14:paraId="41A8F16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姓    名：</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20498C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职    务：</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0E0D656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监理工程师执业资格证书号：</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327E66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联系电话：</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6A8748C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电子信箱：</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551034E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通信地址：</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0E9EA1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关于监理人的其他约定：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28C4EE2B">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4.4 商定或确定</w:t>
      </w:r>
    </w:p>
    <w:p w14:paraId="2EA75DE8">
      <w:pPr>
        <w:shd w:val="clear" w:color="auto" w:fill="auto"/>
        <w:spacing w:line="380" w:lineRule="exact"/>
        <w:ind w:firstLine="480" w:firstLineChars="200"/>
        <w:rPr>
          <w:rFonts w:hint="eastAsia" w:ascii="宋体" w:hAnsi="宋体"/>
          <w:color w:val="auto"/>
          <w:sz w:val="24"/>
          <w:szCs w:val="24"/>
          <w:highlight w:val="none"/>
        </w:rPr>
      </w:pPr>
      <w:bookmarkStart w:id="745" w:name="_Toc267251418"/>
      <w:r>
        <w:rPr>
          <w:rFonts w:hint="eastAsia" w:ascii="宋体" w:hAnsi="宋体"/>
          <w:color w:val="auto"/>
          <w:sz w:val="24"/>
          <w:szCs w:val="24"/>
          <w:highlight w:val="none"/>
        </w:rPr>
        <w:t>在发包人和承包人不能通过协商达成一致意见时，发包人授权监理人对以下事项进行确定：</w:t>
      </w:r>
    </w:p>
    <w:p w14:paraId="4F4AC3D3">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w:t>
      </w:r>
      <w:r>
        <w:rPr>
          <w:rFonts w:hint="eastAsia" w:ascii="宋体" w:hAnsi="宋体"/>
          <w:color w:val="auto"/>
          <w:sz w:val="24"/>
          <w:szCs w:val="24"/>
          <w:highlight w:val="none"/>
        </w:rPr>
        <w:t>；</w:t>
      </w:r>
    </w:p>
    <w:p w14:paraId="24155989">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w:t>
      </w:r>
      <w:r>
        <w:rPr>
          <w:rFonts w:hint="eastAsia" w:ascii="宋体" w:hAnsi="宋体"/>
          <w:color w:val="auto"/>
          <w:sz w:val="24"/>
          <w:szCs w:val="24"/>
          <w:highlight w:val="none"/>
        </w:rPr>
        <w:t>；</w:t>
      </w:r>
    </w:p>
    <w:p w14:paraId="4ECAB5FC">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w:t>
      </w:r>
      <w:r>
        <w:rPr>
          <w:rFonts w:hint="eastAsia" w:ascii="宋体" w:hAnsi="宋体"/>
          <w:color w:val="auto"/>
          <w:sz w:val="24"/>
          <w:szCs w:val="24"/>
          <w:highlight w:val="none"/>
        </w:rPr>
        <w:t>。</w:t>
      </w:r>
    </w:p>
    <w:p w14:paraId="35EEC4E2">
      <w:pPr>
        <w:keepNext/>
        <w:keepLines/>
        <w:shd w:val="clear" w:color="auto" w:fill="auto"/>
        <w:spacing w:line="380" w:lineRule="exact"/>
        <w:ind w:firstLine="482"/>
        <w:outlineLvl w:val="3"/>
        <w:rPr>
          <w:rFonts w:hint="eastAsia" w:ascii="宋体" w:hAnsi="宋体"/>
          <w:bCs/>
          <w:color w:val="auto"/>
          <w:sz w:val="24"/>
          <w:szCs w:val="24"/>
          <w:highlight w:val="none"/>
        </w:rPr>
      </w:pPr>
      <w:bookmarkStart w:id="746" w:name="_Toc351203637"/>
      <w:r>
        <w:rPr>
          <w:rFonts w:hint="eastAsia" w:ascii="宋体" w:hAnsi="宋体"/>
          <w:bCs/>
          <w:color w:val="auto"/>
          <w:sz w:val="24"/>
          <w:szCs w:val="24"/>
          <w:highlight w:val="none"/>
        </w:rPr>
        <w:t>5</w:t>
      </w:r>
      <w:bookmarkEnd w:id="745"/>
      <w:bookmarkStart w:id="747" w:name="_Toc296347162"/>
      <w:bookmarkStart w:id="748" w:name="_Toc292559872"/>
      <w:bookmarkStart w:id="749" w:name="_Toc296346664"/>
      <w:bookmarkStart w:id="750" w:name="_Toc297048349"/>
      <w:bookmarkStart w:id="751" w:name="_Toc296503163"/>
      <w:bookmarkStart w:id="752" w:name="_Toc292559367"/>
      <w:bookmarkStart w:id="753" w:name="_Toc296944502"/>
      <w:bookmarkStart w:id="754" w:name="_Toc297120463"/>
      <w:bookmarkStart w:id="755" w:name="_Toc296890991"/>
      <w:bookmarkStart w:id="756" w:name="_Toc296891203"/>
      <w:r>
        <w:rPr>
          <w:rFonts w:hint="eastAsia" w:ascii="宋体" w:hAnsi="宋体"/>
          <w:bCs/>
          <w:color w:val="auto"/>
          <w:sz w:val="24"/>
          <w:szCs w:val="24"/>
          <w:highlight w:val="none"/>
        </w:rPr>
        <w:t>. 工程质量</w:t>
      </w:r>
      <w:bookmarkEnd w:id="746"/>
    </w:p>
    <w:p w14:paraId="3E07EC2D">
      <w:pPr>
        <w:shd w:val="clear" w:color="auto" w:fill="auto"/>
        <w:spacing w:line="380" w:lineRule="exact"/>
        <w:ind w:firstLine="480" w:firstLineChars="200"/>
        <w:outlineLvl w:val="0"/>
        <w:rPr>
          <w:rFonts w:hint="eastAsia" w:ascii="宋体" w:hAnsi="宋体"/>
          <w:color w:val="auto"/>
          <w:sz w:val="24"/>
          <w:szCs w:val="24"/>
          <w:highlight w:val="none"/>
        </w:rPr>
      </w:pPr>
      <w:bookmarkStart w:id="757" w:name="_Toc10939"/>
      <w:bookmarkStart w:id="758" w:name="_Toc28173"/>
      <w:bookmarkStart w:id="759" w:name="_Toc31451"/>
      <w:bookmarkStart w:id="760" w:name="_Toc8293"/>
      <w:bookmarkStart w:id="761" w:name="_Toc30512"/>
      <w:bookmarkStart w:id="762" w:name="_Toc27026"/>
      <w:bookmarkStart w:id="763" w:name="_Toc873"/>
      <w:bookmarkStart w:id="764" w:name="_Toc32326"/>
      <w:r>
        <w:rPr>
          <w:rFonts w:hint="eastAsia" w:ascii="宋体" w:hAnsi="宋体"/>
          <w:color w:val="auto"/>
          <w:sz w:val="24"/>
          <w:szCs w:val="24"/>
          <w:highlight w:val="none"/>
        </w:rPr>
        <w:t>5.1 质量要求</w:t>
      </w:r>
      <w:bookmarkEnd w:id="757"/>
      <w:bookmarkEnd w:id="758"/>
      <w:bookmarkEnd w:id="759"/>
      <w:bookmarkEnd w:id="760"/>
      <w:bookmarkEnd w:id="761"/>
      <w:bookmarkEnd w:id="762"/>
      <w:bookmarkEnd w:id="763"/>
      <w:bookmarkEnd w:id="764"/>
    </w:p>
    <w:p w14:paraId="201AB84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w:t>
      </w:r>
      <w:bookmarkStart w:id="765" w:name="_Toc297123496"/>
      <w:bookmarkStart w:id="766" w:name="_Toc304295527"/>
      <w:bookmarkStart w:id="767" w:name="_Toc300934949"/>
      <w:bookmarkStart w:id="768" w:name="_Toc303539106"/>
      <w:bookmarkStart w:id="769" w:name="_Toc318581164"/>
      <w:bookmarkStart w:id="770" w:name="_Toc297216155"/>
      <w:bookmarkStart w:id="771" w:name="_Toc312677997"/>
      <w:r>
        <w:rPr>
          <w:rFonts w:hint="eastAsia" w:ascii="宋体" w:hAnsi="宋体"/>
          <w:color w:val="auto"/>
          <w:sz w:val="24"/>
          <w:szCs w:val="24"/>
          <w:highlight w:val="none"/>
        </w:rPr>
        <w:t>.1.1 特殊质量标准和要求：</w:t>
      </w:r>
      <w:r>
        <w:rPr>
          <w:rFonts w:hint="eastAsia" w:ascii="宋体" w:hAnsi="宋体"/>
          <w:color w:val="auto"/>
          <w:sz w:val="24"/>
          <w:szCs w:val="24"/>
          <w:highlight w:val="none"/>
          <w:u w:val="single"/>
          <w:lang w:val="zh-TW" w:eastAsia="zh-TW"/>
        </w:rPr>
        <w:t>符合（工程施工质量验收规范）合格标准</w:t>
      </w:r>
      <w:r>
        <w:rPr>
          <w:rFonts w:hint="eastAsia" w:ascii="宋体" w:hAnsi="宋体"/>
          <w:color w:val="auto"/>
          <w:sz w:val="24"/>
          <w:szCs w:val="24"/>
          <w:highlight w:val="none"/>
        </w:rPr>
        <w:t>。</w:t>
      </w:r>
    </w:p>
    <w:p w14:paraId="62F488FF">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关于工程奖项的约定：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0116BEF">
      <w:pPr>
        <w:shd w:val="clear" w:color="auto" w:fill="auto"/>
        <w:spacing w:line="380" w:lineRule="exact"/>
        <w:ind w:firstLine="480" w:firstLineChars="200"/>
        <w:outlineLvl w:val="0"/>
        <w:rPr>
          <w:rFonts w:hint="eastAsia" w:ascii="宋体" w:hAnsi="宋体"/>
          <w:color w:val="auto"/>
          <w:sz w:val="24"/>
          <w:szCs w:val="24"/>
          <w:highlight w:val="none"/>
        </w:rPr>
      </w:pPr>
      <w:bookmarkStart w:id="772" w:name="_Toc25610"/>
      <w:bookmarkStart w:id="773" w:name="_Toc2925"/>
      <w:bookmarkStart w:id="774" w:name="_Toc16502"/>
      <w:bookmarkStart w:id="775" w:name="_Toc13519"/>
      <w:bookmarkStart w:id="776" w:name="_Toc16100"/>
      <w:bookmarkStart w:id="777" w:name="_Toc23760"/>
      <w:bookmarkStart w:id="778" w:name="_Toc11534"/>
      <w:bookmarkStart w:id="779" w:name="_Toc27779"/>
      <w:r>
        <w:rPr>
          <w:rFonts w:hint="eastAsia" w:ascii="宋体" w:hAnsi="宋体"/>
          <w:color w:val="auto"/>
          <w:sz w:val="24"/>
          <w:szCs w:val="24"/>
          <w:highlight w:val="none"/>
        </w:rPr>
        <w:t>5.3 隐蔽工程检查</w:t>
      </w:r>
      <w:bookmarkEnd w:id="772"/>
      <w:bookmarkEnd w:id="773"/>
      <w:bookmarkEnd w:id="774"/>
      <w:bookmarkEnd w:id="775"/>
      <w:bookmarkEnd w:id="776"/>
      <w:bookmarkEnd w:id="777"/>
      <w:bookmarkEnd w:id="778"/>
      <w:bookmarkEnd w:id="779"/>
    </w:p>
    <w:p w14:paraId="3BA2C33A">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5.3.2承包人提前通知监理人隐蔽工程检查的期限的约定：</w:t>
      </w:r>
      <w:r>
        <w:rPr>
          <w:rFonts w:hint="eastAsia" w:ascii="宋体" w:hAnsi="宋体"/>
          <w:color w:val="auto"/>
          <w:sz w:val="24"/>
          <w:szCs w:val="24"/>
          <w:highlight w:val="none"/>
          <w:u w:val="single"/>
        </w:rPr>
        <w:t>48小时</w:t>
      </w:r>
      <w:r>
        <w:rPr>
          <w:rFonts w:hint="eastAsia" w:ascii="宋体" w:hAnsi="宋体"/>
          <w:color w:val="auto"/>
          <w:sz w:val="24"/>
          <w:szCs w:val="24"/>
          <w:highlight w:val="none"/>
        </w:rPr>
        <w:t>。</w:t>
      </w:r>
    </w:p>
    <w:p w14:paraId="2A27328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监理人不能按时进行检查时，应提前</w:t>
      </w:r>
      <w:r>
        <w:rPr>
          <w:rFonts w:hint="eastAsia" w:ascii="宋体" w:hAnsi="宋体"/>
          <w:color w:val="auto"/>
          <w:sz w:val="24"/>
          <w:szCs w:val="24"/>
          <w:highlight w:val="none"/>
          <w:u w:val="single"/>
        </w:rPr>
        <w:t>12</w:t>
      </w:r>
      <w:r>
        <w:rPr>
          <w:rFonts w:hint="eastAsia" w:ascii="宋体" w:hAnsi="宋体"/>
          <w:color w:val="auto"/>
          <w:sz w:val="24"/>
          <w:szCs w:val="24"/>
          <w:highlight w:val="none"/>
        </w:rPr>
        <w:t>小时提交书面延期要求。</w:t>
      </w:r>
    </w:p>
    <w:p w14:paraId="288ED75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关于延期最长不得超过：</w:t>
      </w:r>
      <w:r>
        <w:rPr>
          <w:rFonts w:hint="eastAsia" w:ascii="宋体" w:hAnsi="宋体"/>
          <w:color w:val="auto"/>
          <w:sz w:val="24"/>
          <w:szCs w:val="24"/>
          <w:highlight w:val="none"/>
          <w:u w:val="single"/>
        </w:rPr>
        <w:t>24</w:t>
      </w:r>
      <w:r>
        <w:rPr>
          <w:rFonts w:hint="eastAsia" w:ascii="宋体" w:hAnsi="宋体"/>
          <w:color w:val="auto"/>
          <w:sz w:val="24"/>
          <w:szCs w:val="24"/>
          <w:highlight w:val="none"/>
        </w:rPr>
        <w:t>小时。</w:t>
      </w:r>
    </w:p>
    <w:p w14:paraId="57A3F21E">
      <w:pPr>
        <w:keepNext/>
        <w:keepLines/>
        <w:shd w:val="clear" w:color="auto" w:fill="auto"/>
        <w:spacing w:line="380" w:lineRule="exact"/>
        <w:ind w:firstLine="482"/>
        <w:outlineLvl w:val="3"/>
        <w:rPr>
          <w:rFonts w:hint="eastAsia" w:ascii="宋体" w:hAnsi="宋体"/>
          <w:bCs/>
          <w:color w:val="auto"/>
          <w:sz w:val="24"/>
          <w:szCs w:val="24"/>
          <w:highlight w:val="none"/>
        </w:rPr>
      </w:pPr>
      <w:bookmarkStart w:id="780" w:name="_Toc351203638"/>
      <w:r>
        <w:rPr>
          <w:rFonts w:hint="eastAsia" w:ascii="宋体" w:hAnsi="宋体"/>
          <w:bCs/>
          <w:color w:val="auto"/>
          <w:sz w:val="24"/>
          <w:szCs w:val="24"/>
          <w:highlight w:val="none"/>
        </w:rPr>
        <w:t>6. 安全文明施工与环境保护</w:t>
      </w:r>
      <w:bookmarkEnd w:id="780"/>
    </w:p>
    <w:p w14:paraId="7778F4F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6.1安全文明施工</w:t>
      </w:r>
    </w:p>
    <w:p w14:paraId="7E88DDC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6.1.1 项目安全生产的达标目标及相应事项的约定：</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43A597E5">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6.1.4 关于治安保卫的特别约定：</w:t>
      </w:r>
      <w:r>
        <w:rPr>
          <w:rFonts w:hint="eastAsia" w:ascii="宋体" w:hAnsi="宋体" w:cs="Noto Serif CJK SC"/>
          <w:color w:val="auto"/>
          <w:kern w:val="0"/>
          <w:sz w:val="24"/>
          <w:szCs w:val="24"/>
          <w:highlight w:val="none"/>
          <w:u w:val="single"/>
        </w:rPr>
        <w:t>由承包人负责并承担相应的费用</w:t>
      </w:r>
      <w:r>
        <w:rPr>
          <w:rFonts w:hint="eastAsia" w:ascii="宋体" w:hAnsi="宋体"/>
          <w:color w:val="auto"/>
          <w:sz w:val="24"/>
          <w:szCs w:val="24"/>
          <w:highlight w:val="none"/>
        </w:rPr>
        <w:t>。</w:t>
      </w:r>
    </w:p>
    <w:p w14:paraId="4A0F223A">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关于编制施工场地治安管理计划的约定：</w:t>
      </w:r>
      <w:r>
        <w:rPr>
          <w:rFonts w:hint="eastAsia" w:ascii="宋体" w:hAnsi="宋体"/>
          <w:color w:val="auto"/>
          <w:sz w:val="24"/>
          <w:szCs w:val="24"/>
          <w:highlight w:val="none"/>
          <w:u w:val="single"/>
          <w:lang w:val="zh-TW" w:eastAsia="zh-TW"/>
        </w:rPr>
        <w:t>开工</w:t>
      </w:r>
      <w:r>
        <w:rPr>
          <w:rFonts w:hint="eastAsia" w:ascii="宋体" w:hAnsi="宋体"/>
          <w:color w:val="auto"/>
          <w:sz w:val="24"/>
          <w:szCs w:val="24"/>
          <w:highlight w:val="none"/>
          <w:u w:val="single"/>
        </w:rPr>
        <w:t>7</w:t>
      </w:r>
      <w:r>
        <w:rPr>
          <w:rFonts w:hint="eastAsia" w:ascii="宋体" w:hAnsi="宋体"/>
          <w:color w:val="auto"/>
          <w:sz w:val="24"/>
          <w:szCs w:val="24"/>
          <w:highlight w:val="none"/>
          <w:u w:val="single"/>
          <w:lang w:val="zh-TW" w:eastAsia="zh-TW"/>
        </w:rPr>
        <w:t>日前承包人提供施工场地治安管理计划</w:t>
      </w:r>
      <w:r>
        <w:rPr>
          <w:rFonts w:hint="eastAsia" w:ascii="宋体" w:hAnsi="宋体"/>
          <w:color w:val="auto"/>
          <w:sz w:val="24"/>
          <w:szCs w:val="24"/>
          <w:highlight w:val="none"/>
        </w:rPr>
        <w:t>。</w:t>
      </w:r>
    </w:p>
    <w:p w14:paraId="6706062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6.1.5 文明施工</w:t>
      </w:r>
    </w:p>
    <w:p w14:paraId="4ECCA6EC">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合同当事人对文明施工的要求：</w:t>
      </w:r>
      <w:r>
        <w:rPr>
          <w:rFonts w:hint="eastAsia" w:ascii="宋体" w:hAnsi="宋体" w:cs="宋体"/>
          <w:color w:val="auto"/>
          <w:sz w:val="24"/>
          <w:szCs w:val="24"/>
          <w:highlight w:val="none"/>
          <w:u w:val="single"/>
          <w:lang w:bidi="ar"/>
        </w:rPr>
        <w:t>达到《建筑施工现场环境与卫生标准》GJ146-2004、《三门峡市建筑工地安全文明施工标准化基本要求》及附件十《安全文明施工项目明细表》的要求并且符合三环委【2016】1号及三公办【2016】58号要求</w:t>
      </w:r>
      <w:r>
        <w:rPr>
          <w:rFonts w:hint="eastAsia" w:ascii="宋体" w:hAnsi="宋体"/>
          <w:color w:val="auto"/>
          <w:sz w:val="24"/>
          <w:szCs w:val="24"/>
          <w:highlight w:val="none"/>
        </w:rPr>
        <w:t>。</w:t>
      </w:r>
    </w:p>
    <w:p w14:paraId="3D497007">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6.1.6 关于安全文明施工费支付比例和支付期限的约定：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bookmarkEnd w:id="765"/>
    <w:bookmarkEnd w:id="766"/>
    <w:bookmarkEnd w:id="767"/>
    <w:bookmarkEnd w:id="768"/>
    <w:bookmarkEnd w:id="769"/>
    <w:bookmarkEnd w:id="770"/>
    <w:bookmarkEnd w:id="771"/>
    <w:p w14:paraId="4C973692">
      <w:pPr>
        <w:keepNext/>
        <w:keepLines/>
        <w:shd w:val="clear" w:color="auto" w:fill="auto"/>
        <w:spacing w:line="380" w:lineRule="exact"/>
        <w:ind w:firstLine="482"/>
        <w:outlineLvl w:val="3"/>
        <w:rPr>
          <w:rFonts w:hint="eastAsia" w:ascii="宋体" w:hAnsi="宋体"/>
          <w:bCs/>
          <w:color w:val="auto"/>
          <w:sz w:val="24"/>
          <w:szCs w:val="24"/>
          <w:highlight w:val="none"/>
        </w:rPr>
      </w:pPr>
      <w:bookmarkStart w:id="781" w:name="_Toc351203639"/>
      <w:r>
        <w:rPr>
          <w:rFonts w:hint="eastAsia" w:ascii="宋体" w:hAnsi="宋体"/>
          <w:bCs/>
          <w:color w:val="auto"/>
          <w:sz w:val="24"/>
          <w:szCs w:val="24"/>
          <w:highlight w:val="none"/>
        </w:rPr>
        <w:t>7. 工期和进度</w:t>
      </w:r>
      <w:bookmarkEnd w:id="781"/>
    </w:p>
    <w:p w14:paraId="570CB48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7.1 施工组织设计</w:t>
      </w:r>
    </w:p>
    <w:p w14:paraId="4F08D4F0">
      <w:pPr>
        <w:shd w:val="clear" w:color="auto" w:fill="auto"/>
        <w:autoSpaceDE w:val="0"/>
        <w:autoSpaceDN w:val="0"/>
        <w:adjustRightInd w:val="0"/>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7.1.1 合</w:t>
      </w:r>
      <w:r>
        <w:rPr>
          <w:rFonts w:hint="eastAsia" w:ascii="宋体" w:hAnsi="宋体"/>
          <w:color w:val="auto"/>
          <w:kern w:val="0"/>
          <w:sz w:val="24"/>
          <w:szCs w:val="24"/>
          <w:highlight w:val="none"/>
        </w:rPr>
        <w:t>同当事人约定的施工组织设计应包括的其他内容：</w:t>
      </w:r>
      <w:r>
        <w:rPr>
          <w:rFonts w:hint="eastAsia" w:ascii="宋体" w:hAnsi="宋体"/>
          <w:color w:val="auto"/>
          <w:sz w:val="24"/>
          <w:szCs w:val="24"/>
          <w:highlight w:val="none"/>
          <w:u w:val="single"/>
          <w:lang w:val="zh-TW" w:eastAsia="zh-TW"/>
        </w:rPr>
        <w:t>同通用条款</w:t>
      </w:r>
      <w:r>
        <w:rPr>
          <w:rFonts w:hint="eastAsia" w:ascii="宋体" w:hAnsi="宋体"/>
          <w:color w:val="auto"/>
          <w:sz w:val="24"/>
          <w:szCs w:val="24"/>
          <w:highlight w:val="none"/>
        </w:rPr>
        <w:t>。</w:t>
      </w:r>
    </w:p>
    <w:p w14:paraId="0ED67599">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 xml:space="preserve">7.1.2 </w:t>
      </w:r>
      <w:r>
        <w:rPr>
          <w:rFonts w:hint="eastAsia" w:ascii="宋体" w:hAnsi="宋体"/>
          <w:color w:val="auto"/>
          <w:kern w:val="0"/>
          <w:sz w:val="24"/>
          <w:szCs w:val="24"/>
          <w:highlight w:val="none"/>
        </w:rPr>
        <w:t>施工组织设计的提交和修改</w:t>
      </w:r>
    </w:p>
    <w:p w14:paraId="58E6F32A">
      <w:pPr>
        <w:shd w:val="clear" w:color="auto" w:fill="auto"/>
        <w:autoSpaceDE w:val="0"/>
        <w:autoSpaceDN w:val="0"/>
        <w:adjustRightInd w:val="0"/>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承包人提交详细施工组织设计的期限的约定：</w:t>
      </w:r>
      <w:r>
        <w:rPr>
          <w:rFonts w:hint="eastAsia" w:ascii="宋体" w:hAnsi="宋体" w:cs="宋体"/>
          <w:color w:val="auto"/>
          <w:sz w:val="24"/>
          <w:szCs w:val="24"/>
          <w:highlight w:val="none"/>
          <w:u w:val="single"/>
          <w:lang w:bidi="ar"/>
        </w:rPr>
        <w:t>在工程开工7天前</w:t>
      </w:r>
      <w:r>
        <w:rPr>
          <w:rFonts w:hint="eastAsia" w:ascii="宋体" w:hAnsi="宋体"/>
          <w:color w:val="auto"/>
          <w:sz w:val="24"/>
          <w:szCs w:val="24"/>
          <w:highlight w:val="none"/>
        </w:rPr>
        <w:t>。</w:t>
      </w:r>
    </w:p>
    <w:p w14:paraId="16551C71">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发包人和监理人在收到详细的施工组织设计后确认或提出修改意见的期限：</w:t>
      </w:r>
      <w:r>
        <w:rPr>
          <w:rFonts w:hint="eastAsia" w:ascii="宋体" w:hAnsi="宋体" w:cs="宋体"/>
          <w:color w:val="auto"/>
          <w:sz w:val="24"/>
          <w:szCs w:val="24"/>
          <w:highlight w:val="none"/>
          <w:u w:val="single"/>
          <w:lang w:bidi="ar"/>
        </w:rPr>
        <w:t>监理人应按协议条款约定的时间（7天内）予以批准或提出修改意见，逾期不批复，可视为该施工组织设计和进度计划已经批准</w:t>
      </w:r>
      <w:r>
        <w:rPr>
          <w:rFonts w:hint="eastAsia" w:ascii="宋体" w:hAnsi="宋体"/>
          <w:color w:val="auto"/>
          <w:sz w:val="24"/>
          <w:szCs w:val="24"/>
          <w:highlight w:val="none"/>
        </w:rPr>
        <w:t>。</w:t>
      </w:r>
    </w:p>
    <w:p w14:paraId="6362464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782" w:name="_Toc312677479"/>
      <w:bookmarkStart w:id="783" w:name="_Toc297123514"/>
      <w:bookmarkStart w:id="784" w:name="_Toc304295541"/>
      <w:bookmarkStart w:id="785" w:name="_Toc312678005"/>
      <w:bookmarkStart w:id="786" w:name="_Toc303539123"/>
      <w:bookmarkStart w:id="787" w:name="_Toc300934966"/>
      <w:bookmarkStart w:id="788" w:name="_Toc297216173"/>
      <w:r>
        <w:rPr>
          <w:rFonts w:hint="eastAsia" w:ascii="宋体" w:hAnsi="宋体"/>
          <w:color w:val="auto"/>
          <w:sz w:val="24"/>
          <w:szCs w:val="24"/>
          <w:highlight w:val="none"/>
        </w:rPr>
        <w:t>.2 施工进度计划</w:t>
      </w:r>
    </w:p>
    <w:p w14:paraId="4BD9CFB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7.2.2 施工进度计划的修订</w:t>
      </w:r>
    </w:p>
    <w:p w14:paraId="13C79E5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发包人和监理人在收到修订的施工进度计划后确认或提出修改意见的期限：</w:t>
      </w:r>
      <w:r>
        <w:rPr>
          <w:rFonts w:hint="eastAsia" w:ascii="宋体" w:hAnsi="宋体"/>
          <w:color w:val="auto"/>
          <w:sz w:val="24"/>
          <w:szCs w:val="24"/>
          <w:highlight w:val="none"/>
          <w:u w:val="single"/>
        </w:rPr>
        <w:t xml:space="preserve">3天内             </w:t>
      </w:r>
      <w:r>
        <w:rPr>
          <w:rFonts w:hint="eastAsia" w:ascii="宋体" w:hAnsi="宋体"/>
          <w:color w:val="auto"/>
          <w:sz w:val="24"/>
          <w:szCs w:val="24"/>
          <w:highlight w:val="none"/>
        </w:rPr>
        <w:t>。</w:t>
      </w:r>
    </w:p>
    <w:p w14:paraId="3373CA2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7.3 开工</w:t>
      </w:r>
    </w:p>
    <w:p w14:paraId="662815A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7.3.1 开工准备</w:t>
      </w:r>
    </w:p>
    <w:p w14:paraId="1A94CEFC">
      <w:pPr>
        <w:shd w:val="clear" w:color="auto" w:fill="auto"/>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关于承包人提交</w:t>
      </w:r>
      <w:r>
        <w:rPr>
          <w:rFonts w:hint="eastAsia" w:ascii="宋体" w:hAnsi="宋体"/>
          <w:color w:val="auto"/>
          <w:kern w:val="0"/>
          <w:sz w:val="24"/>
          <w:szCs w:val="24"/>
          <w:highlight w:val="none"/>
        </w:rPr>
        <w:t>工程开工报审表的期限：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43C1BC10">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关于发包人应完成的其他开工准备工作及期限：</w:t>
      </w:r>
      <w:r>
        <w:rPr>
          <w:rFonts w:hint="eastAsia" w:ascii="宋体" w:hAnsi="宋体" w:cs="宋体"/>
          <w:color w:val="auto"/>
          <w:sz w:val="24"/>
          <w:szCs w:val="24"/>
          <w:highlight w:val="none"/>
          <w:u w:val="single"/>
          <w:lang w:bidi="ar"/>
        </w:rPr>
        <w:t>开工前7天</w:t>
      </w:r>
      <w:r>
        <w:rPr>
          <w:rFonts w:hint="eastAsia" w:ascii="宋体" w:hAnsi="宋体"/>
          <w:color w:val="auto"/>
          <w:sz w:val="24"/>
          <w:szCs w:val="24"/>
          <w:highlight w:val="none"/>
        </w:rPr>
        <w:t>。</w:t>
      </w:r>
    </w:p>
    <w:p w14:paraId="7F4A913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关于承包人应完成的其他开工准备工作及期限：</w:t>
      </w:r>
      <w:r>
        <w:rPr>
          <w:rFonts w:hint="eastAsia" w:ascii="宋体" w:hAnsi="宋体" w:cs="宋体"/>
          <w:color w:val="auto"/>
          <w:sz w:val="24"/>
          <w:szCs w:val="24"/>
          <w:highlight w:val="none"/>
          <w:u w:val="single"/>
          <w:lang w:bidi="ar"/>
        </w:rPr>
        <w:t>以监理人的通知为准</w:t>
      </w:r>
      <w:r>
        <w:rPr>
          <w:rFonts w:hint="eastAsia" w:ascii="宋体" w:hAnsi="宋体"/>
          <w:color w:val="auto"/>
          <w:sz w:val="24"/>
          <w:szCs w:val="24"/>
          <w:highlight w:val="none"/>
        </w:rPr>
        <w:t>。</w:t>
      </w:r>
    </w:p>
    <w:p w14:paraId="097E49E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7.3.2开工通知</w:t>
      </w:r>
    </w:p>
    <w:p w14:paraId="721B1EB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因发包人原因造成监理人未能在计划开工日期之日起</w:t>
      </w:r>
      <w:r>
        <w:rPr>
          <w:rFonts w:hint="eastAsia" w:ascii="宋体" w:hAnsi="宋体"/>
          <w:color w:val="auto"/>
          <w:sz w:val="24"/>
          <w:szCs w:val="24"/>
          <w:highlight w:val="none"/>
          <w:u w:val="single"/>
        </w:rPr>
        <w:t>90</w:t>
      </w:r>
      <w:r>
        <w:rPr>
          <w:rFonts w:hint="eastAsia" w:ascii="宋体" w:hAnsi="宋体"/>
          <w:color w:val="auto"/>
          <w:sz w:val="24"/>
          <w:szCs w:val="24"/>
          <w:highlight w:val="none"/>
        </w:rPr>
        <w:t>内发出开工通知的，承包人有权提出价格调整要求，或者解除合同。</w:t>
      </w:r>
    </w:p>
    <w:bookmarkEnd w:id="782"/>
    <w:bookmarkEnd w:id="783"/>
    <w:bookmarkEnd w:id="784"/>
    <w:bookmarkEnd w:id="785"/>
    <w:bookmarkEnd w:id="786"/>
    <w:bookmarkEnd w:id="787"/>
    <w:bookmarkEnd w:id="788"/>
    <w:p w14:paraId="021F566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7.4 测量放线</w:t>
      </w:r>
    </w:p>
    <w:p w14:paraId="1B130EB2">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7.4.1发包人通过监理人向承包人提供测量基准点、基准线和水准点及其书面资料的期限：</w:t>
      </w:r>
      <w:r>
        <w:rPr>
          <w:rFonts w:hint="eastAsia" w:ascii="宋体" w:hAnsi="宋体"/>
          <w:color w:val="auto"/>
          <w:sz w:val="24"/>
          <w:szCs w:val="24"/>
          <w:highlight w:val="none"/>
          <w:u w:val="single"/>
        </w:rPr>
        <w:t xml:space="preserve">     开工前7天           </w:t>
      </w:r>
      <w:r>
        <w:rPr>
          <w:rFonts w:hint="eastAsia" w:ascii="宋体" w:hAnsi="宋体"/>
          <w:color w:val="auto"/>
          <w:sz w:val="24"/>
          <w:szCs w:val="24"/>
          <w:highlight w:val="none"/>
        </w:rPr>
        <w:t>。</w:t>
      </w:r>
    </w:p>
    <w:p w14:paraId="3CB64180">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789" w:name="_Toc297123516"/>
      <w:bookmarkStart w:id="790" w:name="_Toc312677484"/>
      <w:bookmarkStart w:id="791" w:name="_Toc304295546"/>
      <w:bookmarkStart w:id="792" w:name="_Toc312678010"/>
      <w:bookmarkStart w:id="793" w:name="_Toc303539125"/>
      <w:bookmarkStart w:id="794" w:name="_Toc300934968"/>
      <w:bookmarkStart w:id="795" w:name="_Toc297216175"/>
      <w:r>
        <w:rPr>
          <w:rFonts w:hint="eastAsia" w:ascii="宋体" w:hAnsi="宋体"/>
          <w:color w:val="auto"/>
          <w:sz w:val="24"/>
          <w:szCs w:val="24"/>
          <w:highlight w:val="none"/>
        </w:rPr>
        <w:t>.5 工期延误</w:t>
      </w:r>
    </w:p>
    <w:bookmarkEnd w:id="789"/>
    <w:bookmarkEnd w:id="790"/>
    <w:bookmarkEnd w:id="791"/>
    <w:bookmarkEnd w:id="792"/>
    <w:bookmarkEnd w:id="793"/>
    <w:bookmarkEnd w:id="794"/>
    <w:bookmarkEnd w:id="795"/>
    <w:p w14:paraId="6E59C45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7.5.1 因发包人原因导致工期延误</w:t>
      </w:r>
    </w:p>
    <w:p w14:paraId="1F813C2C">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（7）因发包人原因导致工期延误的其他情形：</w:t>
      </w:r>
      <w:r>
        <w:rPr>
          <w:rFonts w:hint="eastAsia" w:ascii="宋体" w:hAnsi="宋体"/>
          <w:color w:val="auto"/>
          <w:sz w:val="24"/>
          <w:szCs w:val="24"/>
          <w:highlight w:val="none"/>
          <w:u w:val="single"/>
          <w:lang w:val="zh-TW" w:eastAsia="zh-TW"/>
        </w:rPr>
        <w:t>（</w:t>
      </w:r>
      <w:r>
        <w:rPr>
          <w:rFonts w:hint="eastAsia" w:ascii="宋体" w:hAnsi="宋体"/>
          <w:color w:val="auto"/>
          <w:sz w:val="24"/>
          <w:szCs w:val="24"/>
          <w:highlight w:val="none"/>
          <w:u w:val="single"/>
        </w:rPr>
        <w:t>1</w:t>
      </w:r>
      <w:r>
        <w:rPr>
          <w:rFonts w:hint="eastAsia" w:ascii="宋体" w:hAnsi="宋体"/>
          <w:color w:val="auto"/>
          <w:sz w:val="24"/>
          <w:szCs w:val="24"/>
          <w:highlight w:val="none"/>
          <w:u w:val="single"/>
          <w:lang w:val="zh-TW" w:eastAsia="zh-TW"/>
        </w:rPr>
        <w:t>）由于国家政策停建或者缓建，致使施工无法正常进行以及由于政府及相关规定造成的工期延误。（</w:t>
      </w:r>
      <w:r>
        <w:rPr>
          <w:rFonts w:hint="eastAsia" w:ascii="宋体" w:hAnsi="宋体"/>
          <w:color w:val="auto"/>
          <w:sz w:val="24"/>
          <w:szCs w:val="24"/>
          <w:highlight w:val="none"/>
          <w:u w:val="single"/>
        </w:rPr>
        <w:t>2</w:t>
      </w:r>
      <w:r>
        <w:rPr>
          <w:rFonts w:hint="eastAsia" w:ascii="宋体" w:hAnsi="宋体"/>
          <w:color w:val="auto"/>
          <w:sz w:val="24"/>
          <w:szCs w:val="24"/>
          <w:highlight w:val="none"/>
          <w:u w:val="single"/>
          <w:lang w:val="zh-TW" w:eastAsia="zh-TW"/>
        </w:rPr>
        <w:t>）经双方书面确认的工期延误。（</w:t>
      </w:r>
      <w:r>
        <w:rPr>
          <w:rFonts w:hint="eastAsia" w:ascii="宋体" w:hAnsi="宋体"/>
          <w:color w:val="auto"/>
          <w:sz w:val="24"/>
          <w:szCs w:val="24"/>
          <w:highlight w:val="none"/>
          <w:u w:val="single"/>
        </w:rPr>
        <w:t>3</w:t>
      </w:r>
      <w:r>
        <w:rPr>
          <w:rFonts w:hint="eastAsia" w:ascii="宋体" w:hAnsi="宋体"/>
          <w:color w:val="auto"/>
          <w:sz w:val="24"/>
          <w:szCs w:val="24"/>
          <w:highlight w:val="none"/>
          <w:u w:val="single"/>
          <w:lang w:val="zh-TW" w:eastAsia="zh-TW"/>
        </w:rPr>
        <w:t>）由于不可抗力原因而影响工程施工；（</w:t>
      </w:r>
      <w:r>
        <w:rPr>
          <w:rFonts w:hint="eastAsia" w:ascii="宋体" w:hAnsi="宋体"/>
          <w:color w:val="auto"/>
          <w:sz w:val="24"/>
          <w:szCs w:val="24"/>
          <w:highlight w:val="none"/>
          <w:u w:val="single"/>
        </w:rPr>
        <w:t>4</w:t>
      </w:r>
      <w:r>
        <w:rPr>
          <w:rFonts w:hint="eastAsia" w:ascii="宋体" w:hAnsi="宋体"/>
          <w:color w:val="auto"/>
          <w:sz w:val="24"/>
          <w:szCs w:val="24"/>
          <w:highlight w:val="none"/>
          <w:u w:val="single"/>
          <w:lang w:val="zh-TW" w:eastAsia="zh-TW"/>
        </w:rPr>
        <w:t>）非承包人原因导致工期延误的其他情形</w:t>
      </w:r>
      <w:r>
        <w:rPr>
          <w:rFonts w:hint="eastAsia" w:ascii="宋体" w:hAnsi="宋体"/>
          <w:color w:val="auto"/>
          <w:sz w:val="24"/>
          <w:szCs w:val="24"/>
          <w:highlight w:val="none"/>
        </w:rPr>
        <w:t>。</w:t>
      </w:r>
    </w:p>
    <w:p w14:paraId="0D9B09F3">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w:t>
      </w:r>
      <w:bookmarkStart w:id="796" w:name="_Toc312677486"/>
      <w:bookmarkStart w:id="797" w:name="_Toc312678012"/>
      <w:bookmarkStart w:id="798" w:name="_Toc318581169"/>
      <w:bookmarkStart w:id="799" w:name="_Toc304295548"/>
      <w:bookmarkStart w:id="800" w:name="_Toc297216177"/>
      <w:bookmarkStart w:id="801" w:name="_Toc297123518"/>
      <w:bookmarkStart w:id="802" w:name="_Toc300934970"/>
      <w:bookmarkStart w:id="803" w:name="_Toc303539127"/>
      <w:r>
        <w:rPr>
          <w:rFonts w:hint="eastAsia" w:ascii="宋体" w:hAnsi="宋体"/>
          <w:color w:val="auto"/>
          <w:sz w:val="24"/>
          <w:szCs w:val="24"/>
          <w:highlight w:val="none"/>
        </w:rPr>
        <w:t>.5.2 因承包人原因导致工期延误</w:t>
      </w:r>
    </w:p>
    <w:bookmarkEnd w:id="796"/>
    <w:bookmarkEnd w:id="797"/>
    <w:bookmarkEnd w:id="798"/>
    <w:p w14:paraId="466A5935">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因</w:t>
      </w:r>
      <w:bookmarkStart w:id="804" w:name="_Toc312678013"/>
      <w:bookmarkStart w:id="805" w:name="_Toc312677487"/>
      <w:bookmarkStart w:id="806" w:name="_Toc318581170"/>
      <w:r>
        <w:rPr>
          <w:rFonts w:hint="eastAsia" w:ascii="宋体" w:hAnsi="宋体"/>
          <w:color w:val="auto"/>
          <w:sz w:val="24"/>
          <w:szCs w:val="24"/>
          <w:highlight w:val="none"/>
        </w:rPr>
        <w:t>承包人原因造成工期延误，逾期竣工违约金的计算方法为：</w:t>
      </w:r>
    </w:p>
    <w:p w14:paraId="6C6DEF81">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u w:val="single"/>
          <w:lang w:val="zh-TW" w:eastAsia="zh-TW"/>
        </w:rPr>
        <w:t>工期顺延按合同总价的万分之五/天</w:t>
      </w:r>
      <w:r>
        <w:rPr>
          <w:rFonts w:hint="eastAsia" w:ascii="宋体" w:hAnsi="宋体"/>
          <w:color w:val="auto"/>
          <w:sz w:val="24"/>
          <w:szCs w:val="24"/>
          <w:highlight w:val="none"/>
        </w:rPr>
        <w:t>。</w:t>
      </w:r>
      <w:bookmarkEnd w:id="799"/>
      <w:bookmarkEnd w:id="800"/>
      <w:bookmarkEnd w:id="801"/>
      <w:bookmarkEnd w:id="802"/>
      <w:bookmarkEnd w:id="803"/>
      <w:bookmarkEnd w:id="804"/>
      <w:bookmarkEnd w:id="805"/>
    </w:p>
    <w:bookmarkEnd w:id="806"/>
    <w:p w14:paraId="37E9E7AE">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因承包人原因造成工期延误，逾</w:t>
      </w:r>
      <w:bookmarkStart w:id="807" w:name="_Toc318581171"/>
      <w:bookmarkStart w:id="808" w:name="_Toc312678014"/>
      <w:r>
        <w:rPr>
          <w:rFonts w:hint="eastAsia" w:ascii="宋体" w:hAnsi="宋体"/>
          <w:color w:val="auto"/>
          <w:sz w:val="24"/>
          <w:szCs w:val="24"/>
          <w:highlight w:val="none"/>
        </w:rPr>
        <w:t>期竣工违约金的上限：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807"/>
    <w:bookmarkEnd w:id="808"/>
    <w:p w14:paraId="18820E5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809" w:name="_Toc303539128"/>
      <w:bookmarkStart w:id="810" w:name="_Toc297216178"/>
      <w:bookmarkStart w:id="811" w:name="_Toc312678015"/>
      <w:bookmarkStart w:id="812" w:name="_Toc297123519"/>
      <w:bookmarkStart w:id="813" w:name="_Toc304295549"/>
      <w:bookmarkStart w:id="814" w:name="_Toc300934971"/>
      <w:r>
        <w:rPr>
          <w:rFonts w:hint="eastAsia" w:ascii="宋体" w:hAnsi="宋体"/>
          <w:color w:val="auto"/>
          <w:sz w:val="24"/>
          <w:szCs w:val="24"/>
          <w:highlight w:val="none"/>
        </w:rPr>
        <w:t>.6 不</w:t>
      </w:r>
      <w:bookmarkEnd w:id="809"/>
      <w:bookmarkEnd w:id="810"/>
      <w:bookmarkEnd w:id="811"/>
      <w:bookmarkEnd w:id="812"/>
      <w:bookmarkEnd w:id="813"/>
      <w:bookmarkEnd w:id="814"/>
      <w:r>
        <w:rPr>
          <w:rFonts w:hint="eastAsia" w:ascii="宋体" w:hAnsi="宋体"/>
          <w:color w:val="auto"/>
          <w:sz w:val="24"/>
          <w:szCs w:val="24"/>
          <w:highlight w:val="none"/>
        </w:rPr>
        <w:t>利物质条件</w:t>
      </w:r>
    </w:p>
    <w:p w14:paraId="51EB4134">
      <w:pPr>
        <w:shd w:val="clear" w:color="auto" w:fill="auto"/>
        <w:spacing w:line="380" w:lineRule="exact"/>
        <w:ind w:firstLine="482"/>
        <w:jc w:val="left"/>
        <w:rPr>
          <w:rFonts w:hint="eastAsia" w:ascii="宋体" w:hAnsi="宋体"/>
          <w:color w:val="auto"/>
          <w:sz w:val="24"/>
          <w:szCs w:val="24"/>
          <w:highlight w:val="none"/>
        </w:rPr>
      </w:pPr>
      <w:bookmarkStart w:id="815" w:name="_Toc303539129"/>
      <w:bookmarkStart w:id="816" w:name="_Toc304295550"/>
      <w:bookmarkStart w:id="817" w:name="_Toc312678016"/>
      <w:bookmarkStart w:id="818" w:name="_Toc297216179"/>
      <w:bookmarkStart w:id="819" w:name="_Toc297123520"/>
      <w:bookmarkStart w:id="820" w:name="_Toc300934972"/>
      <w:bookmarkStart w:id="821" w:name="_Toc318581172"/>
      <w:r>
        <w:rPr>
          <w:rFonts w:hint="eastAsia" w:ascii="宋体" w:hAnsi="宋体"/>
          <w:color w:val="auto"/>
          <w:sz w:val="24"/>
          <w:szCs w:val="24"/>
          <w:highlight w:val="none"/>
        </w:rPr>
        <w:t>不利物质条件的其他情形和有关约定：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815"/>
    <w:bookmarkEnd w:id="816"/>
    <w:bookmarkEnd w:id="817"/>
    <w:bookmarkEnd w:id="818"/>
    <w:bookmarkEnd w:id="819"/>
    <w:bookmarkEnd w:id="820"/>
    <w:bookmarkEnd w:id="821"/>
    <w:p w14:paraId="6DA70267">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7</w:t>
      </w:r>
      <w:bookmarkStart w:id="822" w:name="_Toc303539130"/>
      <w:bookmarkStart w:id="823" w:name="_Toc304295551"/>
      <w:bookmarkStart w:id="824" w:name="_Toc300934973"/>
      <w:bookmarkStart w:id="825" w:name="_Toc312678017"/>
      <w:bookmarkStart w:id="826" w:name="_Toc297216180"/>
      <w:bookmarkStart w:id="827" w:name="_Toc297123521"/>
      <w:r>
        <w:rPr>
          <w:rFonts w:hint="eastAsia" w:ascii="宋体" w:hAnsi="宋体"/>
          <w:color w:val="auto"/>
          <w:sz w:val="24"/>
          <w:szCs w:val="24"/>
          <w:highlight w:val="none"/>
        </w:rPr>
        <w:t>.7异常恶劣的气候条件</w:t>
      </w:r>
    </w:p>
    <w:bookmarkEnd w:id="822"/>
    <w:bookmarkEnd w:id="823"/>
    <w:bookmarkEnd w:id="824"/>
    <w:bookmarkEnd w:id="825"/>
    <w:bookmarkEnd w:id="826"/>
    <w:bookmarkEnd w:id="827"/>
    <w:p w14:paraId="13E08CDA">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发包人和承包人同意以下情形视为异常恶劣的气候条件：</w:t>
      </w:r>
    </w:p>
    <w:p w14:paraId="0F1746F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r>
        <w:rPr>
          <w:rFonts w:hint="eastAsia" w:ascii="宋体" w:hAnsi="宋体"/>
          <w:color w:val="auto"/>
          <w:sz w:val="24"/>
          <w:szCs w:val="24"/>
          <w:highlight w:val="none"/>
          <w:u w:val="single"/>
          <w:lang w:val="zh-TW" w:eastAsia="zh-TW"/>
        </w:rPr>
        <w:t>双方另行确定</w:t>
      </w:r>
    </w:p>
    <w:p w14:paraId="1846A9B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w:t>
      </w:r>
    </w:p>
    <w:p w14:paraId="1ECF4A1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（3）。</w:t>
      </w:r>
    </w:p>
    <w:p w14:paraId="11C6542D">
      <w:pPr>
        <w:shd w:val="clear" w:color="auto" w:fill="auto"/>
        <w:spacing w:line="380" w:lineRule="exact"/>
        <w:ind w:firstLine="480" w:firstLineChars="200"/>
        <w:outlineLvl w:val="0"/>
        <w:rPr>
          <w:rFonts w:hint="eastAsia" w:ascii="宋体" w:hAnsi="宋体"/>
          <w:color w:val="auto"/>
          <w:sz w:val="24"/>
          <w:szCs w:val="24"/>
          <w:highlight w:val="none"/>
        </w:rPr>
      </w:pPr>
      <w:bookmarkStart w:id="828" w:name="_Toc27038"/>
      <w:bookmarkStart w:id="829" w:name="_Toc7521"/>
      <w:bookmarkStart w:id="830" w:name="_Toc21266"/>
      <w:bookmarkStart w:id="831" w:name="_Toc28860"/>
      <w:bookmarkStart w:id="832" w:name="_Toc15734"/>
      <w:bookmarkStart w:id="833" w:name="_Toc17322"/>
      <w:bookmarkStart w:id="834" w:name="_Toc9468"/>
      <w:bookmarkStart w:id="835" w:name="_Toc18677"/>
      <w:r>
        <w:rPr>
          <w:rFonts w:hint="eastAsia" w:ascii="宋体" w:hAnsi="宋体"/>
          <w:color w:val="auto"/>
          <w:sz w:val="24"/>
          <w:szCs w:val="24"/>
          <w:highlight w:val="none"/>
        </w:rPr>
        <w:t>7.9 提前竣工的奖励</w:t>
      </w:r>
      <w:bookmarkEnd w:id="828"/>
      <w:bookmarkEnd w:id="829"/>
      <w:bookmarkEnd w:id="830"/>
      <w:bookmarkEnd w:id="831"/>
      <w:bookmarkEnd w:id="832"/>
      <w:bookmarkEnd w:id="833"/>
      <w:bookmarkEnd w:id="834"/>
      <w:bookmarkEnd w:id="835"/>
    </w:p>
    <w:p w14:paraId="0B8E4CB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7.9.2提前竣工的奖励：</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8D54ED5">
      <w:pPr>
        <w:keepNext/>
        <w:keepLines/>
        <w:shd w:val="clear" w:color="auto" w:fill="auto"/>
        <w:spacing w:line="380" w:lineRule="exact"/>
        <w:ind w:firstLine="482"/>
        <w:outlineLvl w:val="3"/>
        <w:rPr>
          <w:rFonts w:hint="eastAsia" w:ascii="宋体" w:hAnsi="宋体"/>
          <w:bCs/>
          <w:color w:val="auto"/>
          <w:sz w:val="24"/>
          <w:szCs w:val="24"/>
          <w:highlight w:val="none"/>
        </w:rPr>
      </w:pPr>
      <w:bookmarkStart w:id="836" w:name="_Toc351203640"/>
      <w:r>
        <w:rPr>
          <w:rFonts w:hint="eastAsia" w:ascii="宋体" w:hAnsi="宋体"/>
          <w:bCs/>
          <w:color w:val="auto"/>
          <w:sz w:val="24"/>
          <w:szCs w:val="24"/>
          <w:highlight w:val="none"/>
        </w:rPr>
        <w:t>8. 材料与设备</w:t>
      </w:r>
      <w:bookmarkEnd w:id="836"/>
    </w:p>
    <w:bookmarkEnd w:id="747"/>
    <w:bookmarkEnd w:id="748"/>
    <w:bookmarkEnd w:id="749"/>
    <w:bookmarkEnd w:id="750"/>
    <w:bookmarkEnd w:id="751"/>
    <w:bookmarkEnd w:id="752"/>
    <w:bookmarkEnd w:id="753"/>
    <w:bookmarkEnd w:id="754"/>
    <w:bookmarkEnd w:id="755"/>
    <w:bookmarkEnd w:id="756"/>
    <w:p w14:paraId="0CD59923">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8</w:t>
      </w:r>
      <w:bookmarkStart w:id="837" w:name="_Toc296944506"/>
      <w:bookmarkStart w:id="838" w:name="_Toc297120467"/>
      <w:bookmarkStart w:id="839" w:name="_Toc312678019"/>
      <w:bookmarkStart w:id="840" w:name="_Toc312677493"/>
      <w:bookmarkStart w:id="841" w:name="_Toc296346668"/>
      <w:bookmarkStart w:id="842" w:name="_Toc292559877"/>
      <w:bookmarkStart w:id="843" w:name="_Toc292559372"/>
      <w:bookmarkStart w:id="844" w:name="_Toc296890995"/>
      <w:bookmarkStart w:id="845" w:name="_Toc297216186"/>
      <w:bookmarkStart w:id="846" w:name="_Toc296891207"/>
      <w:bookmarkStart w:id="847" w:name="_Toc300934979"/>
      <w:bookmarkStart w:id="848" w:name="_Toc304295556"/>
      <w:bookmarkStart w:id="849" w:name="_Toc296347166"/>
      <w:bookmarkStart w:id="850" w:name="_Toc280868654"/>
      <w:bookmarkStart w:id="851" w:name="_Toc297123527"/>
      <w:bookmarkStart w:id="852" w:name="_Toc303539136"/>
      <w:bookmarkStart w:id="853" w:name="_Toc297048353"/>
      <w:bookmarkStart w:id="854" w:name="_Toc296503167"/>
      <w:bookmarkStart w:id="855" w:name="_Toc267251424"/>
      <w:bookmarkStart w:id="856" w:name="_Toc280868655"/>
      <w:bookmarkStart w:id="857" w:name="_Toc280868656"/>
      <w:r>
        <w:rPr>
          <w:rFonts w:hint="eastAsia" w:ascii="宋体" w:hAnsi="宋体"/>
          <w:color w:val="auto"/>
          <w:sz w:val="24"/>
          <w:szCs w:val="24"/>
          <w:highlight w:val="none"/>
        </w:rPr>
        <w:t>.4材料与工程设备的保管与使用</w:t>
      </w:r>
    </w:p>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14:paraId="4CCB915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w:t>
      </w:r>
      <w:bookmarkStart w:id="858" w:name="_Toc292559373"/>
      <w:bookmarkStart w:id="859" w:name="_Toc292559878"/>
      <w:bookmarkStart w:id="860" w:name="_Toc304295557"/>
      <w:bookmarkStart w:id="861" w:name="_Toc296503168"/>
      <w:bookmarkStart w:id="862" w:name="_Toc297048354"/>
      <w:bookmarkStart w:id="863" w:name="_Toc297123528"/>
      <w:bookmarkStart w:id="864" w:name="_Toc296347167"/>
      <w:bookmarkStart w:id="865" w:name="_Toc296891208"/>
      <w:bookmarkStart w:id="866" w:name="_Toc297216187"/>
      <w:bookmarkStart w:id="867" w:name="_Toc312677494"/>
      <w:bookmarkStart w:id="868" w:name="_Toc300934980"/>
      <w:bookmarkStart w:id="869" w:name="_Toc318581173"/>
      <w:bookmarkStart w:id="870" w:name="_Toc296944507"/>
      <w:bookmarkStart w:id="871" w:name="_Toc312678020"/>
      <w:bookmarkStart w:id="872" w:name="_Toc296346669"/>
      <w:bookmarkStart w:id="873" w:name="_Toc296890996"/>
      <w:bookmarkStart w:id="874" w:name="_Toc297120468"/>
      <w:bookmarkStart w:id="875" w:name="_Toc303539137"/>
      <w:r>
        <w:rPr>
          <w:rFonts w:hint="eastAsia" w:ascii="宋体" w:hAnsi="宋体"/>
          <w:color w:val="auto"/>
          <w:sz w:val="24"/>
          <w:szCs w:val="24"/>
          <w:highlight w:val="none"/>
        </w:rPr>
        <w:t>.4.1发包人供应的材料设备的保管费用的承担：</w:t>
      </w:r>
      <w:r>
        <w:rPr>
          <w:rFonts w:hint="eastAsia" w:ascii="宋体" w:hAnsi="宋体"/>
          <w:color w:val="auto"/>
          <w:sz w:val="24"/>
          <w:szCs w:val="24"/>
          <w:highlight w:val="none"/>
          <w:u w:val="single"/>
          <w:lang w:val="zh-TW" w:eastAsia="zh-TW"/>
        </w:rPr>
        <w:t>由发包人承担</w:t>
      </w:r>
      <w:r>
        <w:rPr>
          <w:rFonts w:hint="eastAsia" w:ascii="宋体" w:hAnsi="宋体"/>
          <w:color w:val="auto"/>
          <w:sz w:val="24"/>
          <w:szCs w:val="24"/>
          <w:highlight w:val="none"/>
        </w:rPr>
        <w:t>。</w:t>
      </w:r>
      <w:bookmarkEnd w:id="858"/>
      <w:bookmarkEnd w:id="859"/>
    </w:p>
    <w:p w14:paraId="0ECB5874">
      <w:pPr>
        <w:shd w:val="clear" w:color="auto" w:fill="auto"/>
        <w:spacing w:line="380" w:lineRule="exact"/>
        <w:ind w:firstLine="480" w:firstLineChars="200"/>
        <w:outlineLvl w:val="0"/>
        <w:rPr>
          <w:rFonts w:hint="eastAsia" w:ascii="宋体" w:hAnsi="宋体"/>
          <w:color w:val="auto"/>
          <w:sz w:val="24"/>
          <w:szCs w:val="24"/>
          <w:highlight w:val="none"/>
        </w:rPr>
      </w:pPr>
      <w:bookmarkStart w:id="876" w:name="_Toc26487"/>
      <w:bookmarkStart w:id="877" w:name="_Toc10489"/>
      <w:bookmarkStart w:id="878" w:name="_Toc8633"/>
      <w:bookmarkStart w:id="879" w:name="_Toc31142"/>
      <w:bookmarkStart w:id="880" w:name="_Toc26827"/>
      <w:bookmarkStart w:id="881" w:name="_Toc29280"/>
      <w:bookmarkStart w:id="882" w:name="_Toc7715"/>
      <w:bookmarkStart w:id="883" w:name="_Toc10139"/>
      <w:r>
        <w:rPr>
          <w:rFonts w:hint="eastAsia" w:ascii="宋体" w:hAnsi="宋体"/>
          <w:color w:val="auto"/>
          <w:sz w:val="24"/>
          <w:szCs w:val="24"/>
          <w:highlight w:val="none"/>
        </w:rPr>
        <w:t>8.6 样品</w:t>
      </w:r>
      <w:bookmarkEnd w:id="876"/>
      <w:bookmarkEnd w:id="877"/>
      <w:bookmarkEnd w:id="878"/>
      <w:bookmarkEnd w:id="879"/>
      <w:bookmarkEnd w:id="880"/>
      <w:bookmarkEnd w:id="881"/>
      <w:bookmarkEnd w:id="882"/>
      <w:bookmarkEnd w:id="883"/>
    </w:p>
    <w:p w14:paraId="3AB5E586">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8.6.1</w:t>
      </w:r>
      <w:r>
        <w:rPr>
          <w:rFonts w:hint="eastAsia" w:ascii="宋体" w:hAnsi="宋体"/>
          <w:color w:val="auto"/>
          <w:kern w:val="0"/>
          <w:sz w:val="24"/>
          <w:szCs w:val="24"/>
          <w:highlight w:val="none"/>
        </w:rPr>
        <w:tab/>
      </w:r>
      <w:r>
        <w:rPr>
          <w:rFonts w:hint="eastAsia" w:ascii="宋体" w:hAnsi="宋体"/>
          <w:color w:val="auto"/>
          <w:kern w:val="0"/>
          <w:sz w:val="24"/>
          <w:szCs w:val="24"/>
          <w:highlight w:val="none"/>
        </w:rPr>
        <w:t>样品的报送与封存</w:t>
      </w:r>
    </w:p>
    <w:p w14:paraId="69DDF534">
      <w:pPr>
        <w:shd w:val="clear" w:color="auto" w:fill="auto"/>
        <w:autoSpaceDE w:val="0"/>
        <w:autoSpaceDN w:val="0"/>
        <w:adjustRightInd w:val="0"/>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需要承包人报送样品的材料或工程设备，样品的种类、名称、规格、数量要求：</w:t>
      </w:r>
      <w:r>
        <w:rPr>
          <w:rFonts w:hint="eastAsia" w:ascii="宋体" w:hAnsi="宋体"/>
          <w:color w:val="auto"/>
          <w:sz w:val="24"/>
          <w:szCs w:val="24"/>
          <w:highlight w:val="none"/>
        </w:rPr>
        <w:t>。</w:t>
      </w:r>
    </w:p>
    <w:p w14:paraId="675BCF0D">
      <w:pPr>
        <w:shd w:val="clear" w:color="auto" w:fill="auto"/>
        <w:spacing w:line="380" w:lineRule="exact"/>
        <w:ind w:firstLine="480" w:firstLineChars="200"/>
        <w:outlineLvl w:val="0"/>
        <w:rPr>
          <w:rFonts w:hint="eastAsia" w:ascii="宋体" w:hAnsi="宋体"/>
          <w:color w:val="auto"/>
          <w:sz w:val="24"/>
          <w:szCs w:val="24"/>
          <w:highlight w:val="none"/>
        </w:rPr>
      </w:pPr>
      <w:bookmarkStart w:id="884" w:name="_Toc823"/>
      <w:bookmarkStart w:id="885" w:name="_Toc18512"/>
      <w:bookmarkStart w:id="886" w:name="_Toc29728"/>
      <w:bookmarkStart w:id="887" w:name="_Toc25508"/>
      <w:bookmarkStart w:id="888" w:name="_Toc21446"/>
      <w:bookmarkStart w:id="889" w:name="_Toc5065"/>
      <w:bookmarkStart w:id="890" w:name="_Toc393"/>
      <w:bookmarkStart w:id="891" w:name="_Toc23358"/>
      <w:r>
        <w:rPr>
          <w:rFonts w:hint="eastAsia" w:ascii="宋体" w:hAnsi="宋体"/>
          <w:color w:val="auto"/>
          <w:sz w:val="24"/>
          <w:szCs w:val="24"/>
          <w:highlight w:val="none"/>
        </w:rPr>
        <w:t>8.8 施工设备和临时设施</w:t>
      </w:r>
      <w:bookmarkEnd w:id="884"/>
      <w:bookmarkEnd w:id="885"/>
      <w:bookmarkEnd w:id="886"/>
      <w:bookmarkEnd w:id="887"/>
      <w:bookmarkEnd w:id="888"/>
      <w:bookmarkEnd w:id="889"/>
      <w:bookmarkEnd w:id="890"/>
      <w:bookmarkEnd w:id="891"/>
    </w:p>
    <w:p w14:paraId="6C70A1C6">
      <w:pPr>
        <w:shd w:val="clear" w:color="auto" w:fill="auto"/>
        <w:autoSpaceDE w:val="0"/>
        <w:autoSpaceDN w:val="0"/>
        <w:adjustRightInd w:val="0"/>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8.8.1 承包人提供的施工设备和临时设施</w:t>
      </w:r>
    </w:p>
    <w:p w14:paraId="610BBC65">
      <w:pPr>
        <w:shd w:val="clear" w:color="auto" w:fill="auto"/>
        <w:spacing w:line="380" w:lineRule="exact"/>
        <w:ind w:firstLine="480" w:firstLineChars="200"/>
        <w:rPr>
          <w:rFonts w:hint="eastAsia" w:ascii="宋体" w:hAnsi="宋体"/>
          <w:color w:val="auto"/>
          <w:sz w:val="24"/>
          <w:szCs w:val="24"/>
          <w:highlight w:val="none"/>
          <w:u w:val="single"/>
        </w:rPr>
      </w:pPr>
      <w:r>
        <w:rPr>
          <w:rFonts w:hint="eastAsia" w:ascii="宋体" w:hAnsi="宋体"/>
          <w:color w:val="auto"/>
          <w:sz w:val="24"/>
          <w:szCs w:val="24"/>
          <w:highlight w:val="none"/>
        </w:rPr>
        <w:t>关于修建临时设施费用承担的约定：</w:t>
      </w:r>
    </w:p>
    <w:p w14:paraId="43A2DF5F">
      <w:pPr>
        <w:shd w:val="clear" w:color="auto" w:fill="auto"/>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1.承包人应按设计和有关标准要求采购工程所需材料，并提供材料、产品合格证明，报发包人代表和监理工程师签字验收认可后方可进场，不合格的材料、设备不得进场。</w:t>
      </w:r>
    </w:p>
    <w:p w14:paraId="4D6CFB91">
      <w:pPr>
        <w:shd w:val="clear" w:color="auto" w:fill="auto"/>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2.承包人采购的材料、设备在使用前，应按要求进行检验或试验，检验合格且报发包人和监理工程师签字验收认可后方可使用，不合格的材料不得使用，检验、试验费由承包人承担。</w:t>
      </w:r>
    </w:p>
    <w:p w14:paraId="30E5B94C">
      <w:pPr>
        <w:shd w:val="clear" w:color="auto" w:fill="auto"/>
        <w:spacing w:line="380" w:lineRule="exact"/>
        <w:ind w:firstLine="480" w:firstLineChars="200"/>
        <w:jc w:val="left"/>
        <w:rPr>
          <w:rFonts w:hint="eastAsia" w:ascii="宋体" w:hAnsi="宋体" w:cs="宋体"/>
          <w:color w:val="auto"/>
          <w:sz w:val="24"/>
          <w:szCs w:val="24"/>
          <w:highlight w:val="none"/>
          <w:u w:val="single"/>
          <w:lang w:bidi="ar"/>
        </w:rPr>
      </w:pPr>
      <w:r>
        <w:rPr>
          <w:rFonts w:hint="eastAsia" w:ascii="宋体" w:hAnsi="宋体" w:cs="宋体"/>
          <w:color w:val="auto"/>
          <w:sz w:val="24"/>
          <w:szCs w:val="24"/>
          <w:highlight w:val="none"/>
          <w:u w:val="single"/>
          <w:lang w:bidi="ar"/>
        </w:rPr>
        <w:t>3.发包人和监理人发现在施工中有以次充好的、没有产品合格证的、经抽查检验或实验不合规格的材料或设备，承包人必须立即无条件地将这些材料或设备清理出场，并向发包人支付材料或设备价200%的经济补偿赔偿金，赔偿对发包人造成的损失。抽检中涉及的检验、试验费由承包人承担。</w:t>
      </w:r>
    </w:p>
    <w:p w14:paraId="471E951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s="宋体"/>
          <w:color w:val="auto"/>
          <w:sz w:val="24"/>
          <w:szCs w:val="24"/>
          <w:highlight w:val="none"/>
          <w:u w:val="single"/>
          <w:lang w:bidi="ar"/>
        </w:rPr>
        <w:t>4.材料在进货前由承包人组织，由发包人、监理人、承包人共同考察确定，承包人按三方认可的产品进货。且所有购货合同必须由发包人代表和监理工程师签字，到货产品必须与样品一致。不合格的材料、与样品不符的材料不准进入施工现场。否则，发包人可以通过监理人强行清理出场，其费用由承包人承担，并从工程款中直接扣除</w:t>
      </w:r>
      <w:r>
        <w:rPr>
          <w:rFonts w:hint="eastAsia" w:ascii="宋体" w:hAnsi="宋体"/>
          <w:color w:val="auto"/>
          <w:sz w:val="24"/>
          <w:szCs w:val="24"/>
          <w:highlight w:val="none"/>
        </w:rPr>
        <w:t>。</w:t>
      </w:r>
    </w:p>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14:paraId="0A4F72CE">
      <w:pPr>
        <w:keepNext/>
        <w:keepLines/>
        <w:shd w:val="clear" w:color="auto" w:fill="auto"/>
        <w:spacing w:line="380" w:lineRule="exact"/>
        <w:ind w:firstLine="482"/>
        <w:outlineLvl w:val="3"/>
        <w:rPr>
          <w:rFonts w:hint="eastAsia" w:ascii="宋体" w:hAnsi="宋体"/>
          <w:bCs/>
          <w:color w:val="auto"/>
          <w:sz w:val="24"/>
          <w:szCs w:val="24"/>
          <w:highlight w:val="none"/>
        </w:rPr>
      </w:pPr>
      <w:bookmarkStart w:id="892" w:name="_Toc351203641"/>
      <w:r>
        <w:rPr>
          <w:rFonts w:hint="eastAsia" w:ascii="宋体" w:hAnsi="宋体"/>
          <w:bCs/>
          <w:color w:val="auto"/>
          <w:sz w:val="24"/>
          <w:szCs w:val="24"/>
          <w:highlight w:val="none"/>
        </w:rPr>
        <w:t>9</w:t>
      </w:r>
      <w:bookmarkEnd w:id="855"/>
      <w:bookmarkEnd w:id="856"/>
      <w:bookmarkEnd w:id="857"/>
      <w:bookmarkStart w:id="893" w:name="_Toc297216192"/>
      <w:bookmarkStart w:id="894" w:name="_Toc304295559"/>
      <w:bookmarkStart w:id="895" w:name="_Toc303539139"/>
      <w:bookmarkStart w:id="896" w:name="_Toc312677495"/>
      <w:bookmarkStart w:id="897" w:name="_Toc297123533"/>
      <w:bookmarkStart w:id="898" w:name="_Toc312678021"/>
      <w:bookmarkStart w:id="899" w:name="_Toc300934982"/>
      <w:bookmarkStart w:id="900" w:name="_Toc296346674"/>
      <w:bookmarkStart w:id="901" w:name="_Toc297048359"/>
      <w:bookmarkStart w:id="902" w:name="_Toc267251428"/>
      <w:bookmarkStart w:id="903" w:name="_Toc292559883"/>
      <w:bookmarkStart w:id="904" w:name="_Toc297120473"/>
      <w:bookmarkStart w:id="905" w:name="_Toc267251427"/>
      <w:bookmarkStart w:id="906" w:name="_Toc292559378"/>
      <w:bookmarkStart w:id="907" w:name="_Toc296503173"/>
      <w:bookmarkStart w:id="908" w:name="_Toc296944512"/>
      <w:bookmarkStart w:id="909" w:name="_Toc296347172"/>
      <w:bookmarkStart w:id="910" w:name="_Toc296891001"/>
      <w:bookmarkStart w:id="911" w:name="_Toc296891213"/>
      <w:r>
        <w:rPr>
          <w:rFonts w:hint="eastAsia" w:ascii="宋体" w:hAnsi="宋体"/>
          <w:bCs/>
          <w:color w:val="auto"/>
          <w:sz w:val="24"/>
          <w:szCs w:val="24"/>
          <w:highlight w:val="none"/>
        </w:rPr>
        <w:t>. 试验与检验</w:t>
      </w:r>
      <w:bookmarkEnd w:id="892"/>
    </w:p>
    <w:bookmarkEnd w:id="893"/>
    <w:bookmarkEnd w:id="894"/>
    <w:bookmarkEnd w:id="895"/>
    <w:bookmarkEnd w:id="896"/>
    <w:bookmarkEnd w:id="897"/>
    <w:bookmarkEnd w:id="898"/>
    <w:bookmarkEnd w:id="899"/>
    <w:p w14:paraId="411C2021">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9</w:t>
      </w:r>
      <w:bookmarkStart w:id="912" w:name="_Toc312678022"/>
      <w:bookmarkStart w:id="913" w:name="_Toc297123534"/>
      <w:bookmarkStart w:id="914" w:name="_Toc297216193"/>
      <w:bookmarkStart w:id="915" w:name="_Toc304295560"/>
      <w:bookmarkStart w:id="916" w:name="_Toc303539140"/>
      <w:bookmarkStart w:id="917" w:name="_Toc300934983"/>
      <w:bookmarkStart w:id="918" w:name="_Toc312677496"/>
      <w:r>
        <w:rPr>
          <w:rFonts w:hint="eastAsia" w:ascii="宋体" w:hAnsi="宋体"/>
          <w:color w:val="auto"/>
          <w:sz w:val="24"/>
          <w:szCs w:val="24"/>
          <w:highlight w:val="none"/>
        </w:rPr>
        <w:t>.1试验设备与试验人员</w:t>
      </w:r>
    </w:p>
    <w:bookmarkEnd w:id="912"/>
    <w:bookmarkEnd w:id="913"/>
    <w:bookmarkEnd w:id="914"/>
    <w:bookmarkEnd w:id="915"/>
    <w:bookmarkEnd w:id="916"/>
    <w:bookmarkEnd w:id="917"/>
    <w:bookmarkEnd w:id="918"/>
    <w:p w14:paraId="4A36C0D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9</w:t>
      </w:r>
      <w:bookmarkStart w:id="919" w:name="_Toc300934984"/>
      <w:bookmarkStart w:id="920" w:name="_Toc297216194"/>
      <w:bookmarkStart w:id="921" w:name="_Toc312678023"/>
      <w:bookmarkStart w:id="922" w:name="_Toc303539141"/>
      <w:bookmarkStart w:id="923" w:name="_Toc312677497"/>
      <w:bookmarkStart w:id="924" w:name="_Toc304295561"/>
      <w:bookmarkStart w:id="925" w:name="_Toc297123535"/>
      <w:bookmarkStart w:id="926" w:name="_Toc318581174"/>
      <w:r>
        <w:rPr>
          <w:rFonts w:hint="eastAsia" w:ascii="宋体" w:hAnsi="宋体"/>
          <w:color w:val="auto"/>
          <w:sz w:val="24"/>
          <w:szCs w:val="24"/>
          <w:highlight w:val="none"/>
        </w:rPr>
        <w:t>.1.2 试验设备</w:t>
      </w:r>
    </w:p>
    <w:p w14:paraId="613C3CB2">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施工现场需要配置的试验场所：</w:t>
      </w:r>
      <w:bookmarkEnd w:id="919"/>
      <w:bookmarkEnd w:id="920"/>
      <w:bookmarkEnd w:id="921"/>
      <w:bookmarkEnd w:id="922"/>
      <w:bookmarkEnd w:id="923"/>
      <w:bookmarkEnd w:id="924"/>
      <w:bookmarkEnd w:id="925"/>
      <w:bookmarkStart w:id="927" w:name="_Toc297123536"/>
      <w:bookmarkStart w:id="928" w:name="_Toc312678024"/>
      <w:bookmarkStart w:id="929" w:name="_Toc297216195"/>
      <w:bookmarkStart w:id="930" w:name="_Toc300934985"/>
      <w:bookmarkStart w:id="931" w:name="_Toc303539142"/>
      <w:bookmarkStart w:id="932" w:name="_Toc312677498"/>
      <w:bookmarkStart w:id="933" w:name="_Toc304295562"/>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3343A9EC">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施工现场需要配备的试验设备：</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1002FC94">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施工现场需要具备的其他试验条件：</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65B34215">
      <w:pPr>
        <w:shd w:val="clear" w:color="auto" w:fill="auto"/>
        <w:spacing w:line="380" w:lineRule="exact"/>
        <w:ind w:firstLine="480" w:firstLineChars="200"/>
        <w:outlineLvl w:val="0"/>
        <w:rPr>
          <w:rFonts w:hint="eastAsia" w:ascii="宋体" w:hAnsi="宋体"/>
          <w:color w:val="auto"/>
          <w:sz w:val="24"/>
          <w:szCs w:val="24"/>
          <w:highlight w:val="none"/>
        </w:rPr>
      </w:pPr>
      <w:bookmarkStart w:id="934" w:name="_Toc24363"/>
      <w:bookmarkStart w:id="935" w:name="_Toc32105"/>
      <w:bookmarkStart w:id="936" w:name="_Toc3544"/>
      <w:bookmarkStart w:id="937" w:name="_Toc26424"/>
      <w:bookmarkStart w:id="938" w:name="_Toc17353"/>
      <w:bookmarkStart w:id="939" w:name="_Toc21575"/>
      <w:bookmarkStart w:id="940" w:name="_Toc10194"/>
      <w:bookmarkStart w:id="941" w:name="_Toc2724"/>
      <w:r>
        <w:rPr>
          <w:rFonts w:hint="eastAsia" w:ascii="宋体" w:hAnsi="宋体"/>
          <w:color w:val="auto"/>
          <w:sz w:val="24"/>
          <w:szCs w:val="24"/>
          <w:highlight w:val="none"/>
        </w:rPr>
        <w:t>9.4 现场工艺试验</w:t>
      </w:r>
      <w:bookmarkEnd w:id="934"/>
      <w:bookmarkEnd w:id="935"/>
      <w:bookmarkEnd w:id="936"/>
      <w:bookmarkEnd w:id="937"/>
      <w:bookmarkEnd w:id="938"/>
      <w:bookmarkEnd w:id="939"/>
      <w:bookmarkEnd w:id="940"/>
      <w:bookmarkEnd w:id="941"/>
    </w:p>
    <w:p w14:paraId="396C9A77">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现场工艺试验的有关约定：</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bookmarkEnd w:id="926"/>
    <w:bookmarkEnd w:id="927"/>
    <w:bookmarkEnd w:id="928"/>
    <w:bookmarkEnd w:id="929"/>
    <w:bookmarkEnd w:id="930"/>
    <w:bookmarkEnd w:id="931"/>
    <w:bookmarkEnd w:id="932"/>
    <w:bookmarkEnd w:id="933"/>
    <w:p w14:paraId="46733A05">
      <w:pPr>
        <w:keepNext/>
        <w:keepLines/>
        <w:shd w:val="clear" w:color="auto" w:fill="auto"/>
        <w:spacing w:line="380" w:lineRule="exact"/>
        <w:ind w:firstLine="482"/>
        <w:outlineLvl w:val="3"/>
        <w:rPr>
          <w:rFonts w:hint="eastAsia" w:ascii="宋体" w:hAnsi="宋体"/>
          <w:bCs/>
          <w:color w:val="auto"/>
          <w:sz w:val="24"/>
          <w:szCs w:val="24"/>
          <w:highlight w:val="none"/>
        </w:rPr>
      </w:pPr>
      <w:bookmarkStart w:id="942" w:name="_Toc351203642"/>
      <w:r>
        <w:rPr>
          <w:rFonts w:hint="eastAsia" w:ascii="宋体" w:hAnsi="宋体"/>
          <w:bCs/>
          <w:color w:val="auto"/>
          <w:sz w:val="24"/>
          <w:szCs w:val="24"/>
          <w:highlight w:val="none"/>
        </w:rPr>
        <w:t>1</w:t>
      </w:r>
      <w:bookmarkEnd w:id="900"/>
      <w:bookmarkEnd w:id="901"/>
      <w:bookmarkEnd w:id="902"/>
      <w:bookmarkEnd w:id="903"/>
      <w:bookmarkEnd w:id="904"/>
      <w:bookmarkEnd w:id="905"/>
      <w:bookmarkEnd w:id="906"/>
      <w:bookmarkEnd w:id="907"/>
      <w:bookmarkEnd w:id="908"/>
      <w:bookmarkEnd w:id="909"/>
      <w:bookmarkEnd w:id="910"/>
      <w:bookmarkEnd w:id="911"/>
      <w:bookmarkStart w:id="943" w:name="_Toc292559398"/>
      <w:bookmarkStart w:id="944" w:name="_Toc297120493"/>
      <w:bookmarkStart w:id="945" w:name="_Toc296891021"/>
      <w:bookmarkStart w:id="946" w:name="_Toc303539146"/>
      <w:bookmarkStart w:id="947" w:name="_Toc297123540"/>
      <w:bookmarkStart w:id="948" w:name="_Toc296891233"/>
      <w:bookmarkStart w:id="949" w:name="_Toc300934989"/>
      <w:bookmarkStart w:id="950" w:name="_Toc304295566"/>
      <w:bookmarkStart w:id="951" w:name="_Toc296347192"/>
      <w:bookmarkStart w:id="952" w:name="_Toc297216199"/>
      <w:bookmarkStart w:id="953" w:name="_Toc292559903"/>
      <w:bookmarkStart w:id="954" w:name="_Toc296503193"/>
      <w:bookmarkStart w:id="955" w:name="_Toc296346694"/>
      <w:bookmarkStart w:id="956" w:name="_Toc297048379"/>
      <w:bookmarkStart w:id="957" w:name="_Toc296944532"/>
      <w:bookmarkStart w:id="958" w:name="_Toc312678025"/>
      <w:bookmarkStart w:id="959" w:name="_Toc312677499"/>
      <w:bookmarkStart w:id="960" w:name="_Toc267251441"/>
      <w:bookmarkStart w:id="961" w:name="_Toc267251439"/>
      <w:bookmarkStart w:id="962" w:name="_Toc267251440"/>
      <w:bookmarkStart w:id="963" w:name="_Toc267251435"/>
      <w:bookmarkStart w:id="964" w:name="_Toc267251437"/>
      <w:bookmarkStart w:id="965" w:name="_Toc267251433"/>
      <w:bookmarkStart w:id="966" w:name="_Toc267251442"/>
      <w:r>
        <w:rPr>
          <w:rFonts w:hint="eastAsia" w:ascii="宋体" w:hAnsi="宋体"/>
          <w:bCs/>
          <w:color w:val="auto"/>
          <w:sz w:val="24"/>
          <w:szCs w:val="24"/>
          <w:highlight w:val="none"/>
        </w:rPr>
        <w:t>0. 变更</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p>
    <w:bookmarkEnd w:id="958"/>
    <w:bookmarkEnd w:id="959"/>
    <w:p w14:paraId="0A7FCE3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bookmarkStart w:id="967" w:name="_Toc296347193"/>
      <w:bookmarkStart w:id="968" w:name="_Toc296891234"/>
      <w:bookmarkStart w:id="969" w:name="_Toc297048380"/>
      <w:bookmarkStart w:id="970" w:name="_Toc304295567"/>
      <w:bookmarkStart w:id="971" w:name="_Toc297216200"/>
      <w:bookmarkStart w:id="972" w:name="_Toc303539147"/>
      <w:bookmarkStart w:id="973" w:name="_Toc292559904"/>
      <w:bookmarkStart w:id="974" w:name="_Toc312678026"/>
      <w:bookmarkStart w:id="975" w:name="_Toc296346695"/>
      <w:bookmarkStart w:id="976" w:name="_Toc296503194"/>
      <w:bookmarkStart w:id="977" w:name="_Toc300934990"/>
      <w:bookmarkStart w:id="978" w:name="_Toc296944533"/>
      <w:bookmarkStart w:id="979" w:name="_Toc312677500"/>
      <w:bookmarkStart w:id="980" w:name="_Toc292559399"/>
      <w:bookmarkStart w:id="981" w:name="_Toc297120494"/>
      <w:bookmarkStart w:id="982" w:name="_Toc297123541"/>
      <w:bookmarkStart w:id="983" w:name="_Toc296891022"/>
      <w:r>
        <w:rPr>
          <w:rFonts w:hint="eastAsia" w:ascii="宋体" w:hAnsi="宋体"/>
          <w:color w:val="auto"/>
          <w:sz w:val="24"/>
          <w:szCs w:val="24"/>
          <w:highlight w:val="none"/>
        </w:rPr>
        <w:t>0.1变更的范围</w:t>
      </w:r>
    </w:p>
    <w:p w14:paraId="651CE869">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关于变更的范围的约定：</w:t>
      </w:r>
      <w:r>
        <w:rPr>
          <w:rFonts w:hint="eastAsia" w:ascii="宋体" w:hAnsi="宋体" w:cs="宋体"/>
          <w:color w:val="auto"/>
          <w:sz w:val="24"/>
          <w:szCs w:val="24"/>
          <w:highlight w:val="none"/>
          <w:u w:val="single"/>
          <w:lang w:bidi="ar"/>
        </w:rPr>
        <w:t>增加或减少合同中任何工作，或追加额外的工作；改变合同中任何工作的质量标准或其他特性</w:t>
      </w:r>
      <w:r>
        <w:rPr>
          <w:rFonts w:hint="eastAsia" w:ascii="宋体" w:hAnsi="宋体"/>
          <w:color w:val="auto"/>
          <w:sz w:val="24"/>
          <w:szCs w:val="24"/>
          <w:highlight w:val="none"/>
        </w:rPr>
        <w:t>。</w:t>
      </w:r>
    </w:p>
    <w:p w14:paraId="4FA05F60">
      <w:pPr>
        <w:shd w:val="clear" w:color="auto" w:fill="auto"/>
        <w:spacing w:line="380" w:lineRule="exact"/>
        <w:ind w:firstLine="480" w:firstLineChars="200"/>
        <w:outlineLvl w:val="0"/>
        <w:rPr>
          <w:rFonts w:hint="eastAsia" w:ascii="宋体" w:hAnsi="宋体"/>
          <w:color w:val="auto"/>
          <w:sz w:val="24"/>
          <w:szCs w:val="24"/>
          <w:highlight w:val="none"/>
        </w:rPr>
      </w:pPr>
      <w:bookmarkStart w:id="984" w:name="_Toc14085"/>
      <w:bookmarkStart w:id="985" w:name="_Toc172"/>
      <w:bookmarkStart w:id="986" w:name="_Toc19051"/>
      <w:bookmarkStart w:id="987" w:name="_Toc20064"/>
      <w:bookmarkStart w:id="988" w:name="_Toc30468"/>
      <w:bookmarkStart w:id="989" w:name="_Toc3593"/>
      <w:bookmarkStart w:id="990" w:name="_Toc22985"/>
      <w:bookmarkStart w:id="991" w:name="_Toc16420"/>
      <w:r>
        <w:rPr>
          <w:rFonts w:hint="eastAsia" w:ascii="宋体" w:hAnsi="宋体"/>
          <w:color w:val="auto"/>
          <w:sz w:val="24"/>
          <w:szCs w:val="24"/>
          <w:highlight w:val="none"/>
        </w:rPr>
        <w:t>10.4 变更估价</w:t>
      </w:r>
      <w:bookmarkEnd w:id="984"/>
      <w:bookmarkEnd w:id="985"/>
      <w:bookmarkEnd w:id="986"/>
      <w:bookmarkEnd w:id="987"/>
      <w:bookmarkEnd w:id="988"/>
      <w:bookmarkEnd w:id="989"/>
      <w:bookmarkEnd w:id="990"/>
      <w:bookmarkEnd w:id="991"/>
    </w:p>
    <w:p w14:paraId="274A675E">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10.4.1 变更估价原则</w:t>
      </w:r>
    </w:p>
    <w:p w14:paraId="4AA25732">
      <w:pPr>
        <w:shd w:val="clear" w:color="auto" w:fill="auto"/>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 xml:space="preserve">关于变更估价的约定: </w:t>
      </w:r>
      <w:r>
        <w:rPr>
          <w:rFonts w:hint="eastAsia" w:ascii="宋体" w:hAnsi="宋体"/>
          <w:color w:val="auto"/>
          <w:sz w:val="24"/>
          <w:szCs w:val="24"/>
          <w:highlight w:val="none"/>
          <w:u w:val="single"/>
          <w:lang w:val="zh-TW" w:eastAsia="zh-TW"/>
        </w:rPr>
        <w:t>执行通用条款</w:t>
      </w:r>
      <w:r>
        <w:rPr>
          <w:rFonts w:hint="eastAsia" w:ascii="宋体" w:hAnsi="宋体"/>
          <w:color w:val="auto"/>
          <w:sz w:val="24"/>
          <w:szCs w:val="24"/>
          <w:highlight w:val="none"/>
        </w:rPr>
        <w:t>。</w:t>
      </w:r>
    </w:p>
    <w:p w14:paraId="563E8AA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Start w:id="992" w:name="_Toc292559907"/>
      <w:bookmarkStart w:id="993" w:name="_Toc296346698"/>
      <w:bookmarkStart w:id="994" w:name="_Toc297048383"/>
      <w:bookmarkStart w:id="995" w:name="_Toc300934993"/>
      <w:bookmarkStart w:id="996" w:name="_Toc296347196"/>
      <w:bookmarkStart w:id="997" w:name="_Toc292559402"/>
      <w:bookmarkStart w:id="998" w:name="_Toc297123544"/>
      <w:bookmarkStart w:id="999" w:name="_Toc296503197"/>
      <w:bookmarkStart w:id="1000" w:name="_Toc303539150"/>
      <w:bookmarkStart w:id="1001" w:name="_Toc296891025"/>
      <w:bookmarkStart w:id="1002" w:name="_Toc297120497"/>
      <w:bookmarkStart w:id="1003" w:name="_Toc296944536"/>
      <w:bookmarkStart w:id="1004" w:name="_Toc296891237"/>
      <w:bookmarkStart w:id="1005" w:name="_Toc297216203"/>
      <w:bookmarkStart w:id="1006" w:name="_Toc312678029"/>
      <w:bookmarkStart w:id="1007" w:name="_Toc304295570"/>
      <w:bookmarkStart w:id="1008" w:name="_Toc312677503"/>
      <w:r>
        <w:rPr>
          <w:rFonts w:hint="eastAsia" w:ascii="宋体" w:hAnsi="宋体"/>
          <w:color w:val="auto"/>
          <w:sz w:val="24"/>
          <w:szCs w:val="24"/>
          <w:highlight w:val="none"/>
        </w:rPr>
        <w:t>0.5承</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Start w:id="1009" w:name="_Toc296346704"/>
      <w:bookmarkStart w:id="1010" w:name="_Toc300934994"/>
      <w:bookmarkStart w:id="1011" w:name="_Toc292559913"/>
      <w:bookmarkStart w:id="1012" w:name="_Toc296503203"/>
      <w:bookmarkStart w:id="1013" w:name="_Toc292559408"/>
      <w:bookmarkStart w:id="1014" w:name="_Toc297048389"/>
      <w:bookmarkStart w:id="1015" w:name="_Toc296891031"/>
      <w:bookmarkStart w:id="1016" w:name="_Toc296944542"/>
      <w:bookmarkStart w:id="1017" w:name="_Toc297120503"/>
      <w:bookmarkStart w:id="1018" w:name="_Toc297216204"/>
      <w:bookmarkStart w:id="1019" w:name="_Toc296891243"/>
      <w:bookmarkStart w:id="1020" w:name="_Toc303539151"/>
      <w:bookmarkStart w:id="1021" w:name="_Toc296347202"/>
      <w:bookmarkStart w:id="1022" w:name="_Toc297123545"/>
      <w:r>
        <w:rPr>
          <w:rFonts w:hint="eastAsia" w:ascii="宋体" w:hAnsi="宋体"/>
          <w:color w:val="auto"/>
          <w:sz w:val="24"/>
          <w:szCs w:val="24"/>
          <w:highlight w:val="none"/>
        </w:rPr>
        <w:t>包人的合理化建议</w:t>
      </w:r>
    </w:p>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14:paraId="3D77DFD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监理人审查承包人合理化建议的期限：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p w14:paraId="6A76A696">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发包人审批承包人合理化建议的期限：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p w14:paraId="6A5C7226">
      <w:pPr>
        <w:shd w:val="clear" w:color="auto" w:fill="auto"/>
        <w:spacing w:line="380" w:lineRule="exact"/>
        <w:ind w:firstLine="482"/>
        <w:jc w:val="left"/>
        <w:rPr>
          <w:rFonts w:hint="eastAsia" w:ascii="宋体" w:hAnsi="宋体"/>
          <w:color w:val="auto"/>
          <w:sz w:val="24"/>
          <w:szCs w:val="24"/>
          <w:highlight w:val="none"/>
          <w:u w:val="single"/>
        </w:rPr>
      </w:pPr>
      <w:r>
        <w:rPr>
          <w:rFonts w:hint="eastAsia" w:ascii="宋体" w:hAnsi="宋体"/>
          <w:color w:val="auto"/>
          <w:sz w:val="24"/>
          <w:szCs w:val="24"/>
          <w:highlight w:val="none"/>
        </w:rPr>
        <w:t>承</w:t>
      </w:r>
      <w:bookmarkStart w:id="1023" w:name="_Toc312677504"/>
      <w:bookmarkStart w:id="1024" w:name="_Toc304295571"/>
      <w:bookmarkStart w:id="1025" w:name="_Toc292559914"/>
      <w:bookmarkStart w:id="1026" w:name="_Toc292559409"/>
      <w:bookmarkStart w:id="1027" w:name="_Toc297048390"/>
      <w:bookmarkStart w:id="1028" w:name="_Toc296503204"/>
      <w:bookmarkStart w:id="1029" w:name="_Toc300934995"/>
      <w:bookmarkStart w:id="1030" w:name="_Toc318581175"/>
      <w:bookmarkStart w:id="1031" w:name="_Toc297123546"/>
      <w:bookmarkStart w:id="1032" w:name="_Toc297120504"/>
      <w:bookmarkStart w:id="1033" w:name="_Toc296347203"/>
      <w:bookmarkStart w:id="1034" w:name="_Toc312678030"/>
      <w:bookmarkStart w:id="1035" w:name="_Toc303539152"/>
      <w:bookmarkStart w:id="1036" w:name="_Toc296944543"/>
      <w:bookmarkStart w:id="1037" w:name="_Toc296891244"/>
      <w:bookmarkStart w:id="1038" w:name="_Toc296346705"/>
      <w:bookmarkStart w:id="1039" w:name="_Toc297216205"/>
      <w:bookmarkStart w:id="1040" w:name="_Toc296891032"/>
      <w:r>
        <w:rPr>
          <w:rFonts w:hint="eastAsia" w:ascii="宋体" w:hAnsi="宋体"/>
          <w:color w:val="auto"/>
          <w:sz w:val="24"/>
          <w:szCs w:val="24"/>
          <w:highlight w:val="none"/>
        </w:rPr>
        <w:t>包人提出的合理化建议降低了合同价格或者提高了工程经济效益的奖励的方法和金额为：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p w14:paraId="7D4555CB">
      <w:pPr>
        <w:shd w:val="clear" w:color="auto" w:fill="auto"/>
        <w:spacing w:line="380" w:lineRule="exact"/>
        <w:ind w:firstLine="480" w:firstLineChars="200"/>
        <w:outlineLvl w:val="0"/>
        <w:rPr>
          <w:rFonts w:hint="eastAsia" w:ascii="宋体" w:hAnsi="宋体"/>
          <w:color w:val="auto"/>
          <w:sz w:val="24"/>
          <w:szCs w:val="24"/>
          <w:highlight w:val="none"/>
        </w:rPr>
      </w:pPr>
      <w:bookmarkStart w:id="1041" w:name="_Toc8923"/>
      <w:bookmarkStart w:id="1042" w:name="_Toc3640"/>
      <w:bookmarkStart w:id="1043" w:name="_Toc24799"/>
      <w:bookmarkStart w:id="1044" w:name="_Toc24439"/>
      <w:bookmarkStart w:id="1045" w:name="_Toc23449"/>
      <w:bookmarkStart w:id="1046" w:name="_Toc11106"/>
      <w:bookmarkStart w:id="1047" w:name="_Toc9265"/>
      <w:bookmarkStart w:id="1048" w:name="_Toc3697"/>
      <w:r>
        <w:rPr>
          <w:rFonts w:hint="eastAsia" w:ascii="宋体" w:hAnsi="宋体"/>
          <w:color w:val="auto"/>
          <w:sz w:val="24"/>
          <w:szCs w:val="24"/>
          <w:highlight w:val="none"/>
        </w:rPr>
        <w:t>1</w:t>
      </w:r>
      <w:bookmarkStart w:id="1049" w:name="_Toc296503199"/>
      <w:bookmarkStart w:id="1050" w:name="_Toc296891027"/>
      <w:bookmarkStart w:id="1051" w:name="_Toc296346700"/>
      <w:bookmarkStart w:id="1052" w:name="_Toc303539154"/>
      <w:bookmarkStart w:id="1053" w:name="_Toc292559909"/>
      <w:bookmarkStart w:id="1054" w:name="_Toc304295574"/>
      <w:bookmarkStart w:id="1055" w:name="_Toc296944538"/>
      <w:bookmarkStart w:id="1056" w:name="_Toc296347198"/>
      <w:bookmarkStart w:id="1057" w:name="_Toc312677507"/>
      <w:bookmarkStart w:id="1058" w:name="_Toc300934997"/>
      <w:bookmarkStart w:id="1059" w:name="_Toc297123548"/>
      <w:bookmarkStart w:id="1060" w:name="_Toc296891239"/>
      <w:bookmarkStart w:id="1061" w:name="_Toc312678033"/>
      <w:bookmarkStart w:id="1062" w:name="_Toc297216207"/>
      <w:bookmarkStart w:id="1063" w:name="_Toc292559404"/>
      <w:bookmarkStart w:id="1064" w:name="_Toc297120499"/>
      <w:bookmarkStart w:id="1065" w:name="_Toc297048385"/>
      <w:r>
        <w:rPr>
          <w:rFonts w:hint="eastAsia" w:ascii="宋体" w:hAnsi="宋体"/>
          <w:color w:val="auto"/>
          <w:sz w:val="24"/>
          <w:szCs w:val="24"/>
          <w:highlight w:val="none"/>
        </w:rPr>
        <w:t>0.7 暂估价</w:t>
      </w:r>
      <w:bookmarkEnd w:id="1041"/>
      <w:bookmarkEnd w:id="1042"/>
      <w:bookmarkEnd w:id="1043"/>
      <w:bookmarkEnd w:id="1044"/>
      <w:bookmarkEnd w:id="1045"/>
      <w:bookmarkEnd w:id="1046"/>
      <w:bookmarkEnd w:id="1047"/>
      <w:bookmarkEnd w:id="1048"/>
    </w:p>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p w14:paraId="05151EC1">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暂</w:t>
      </w:r>
      <w:bookmarkStart w:id="1066" w:name="_Toc312677508"/>
      <w:bookmarkStart w:id="1067" w:name="_Toc318581176"/>
      <w:bookmarkStart w:id="1068" w:name="_Toc312678034"/>
      <w:r>
        <w:rPr>
          <w:rFonts w:hint="eastAsia" w:ascii="宋体" w:hAnsi="宋体"/>
          <w:color w:val="auto"/>
          <w:kern w:val="0"/>
          <w:sz w:val="24"/>
          <w:szCs w:val="24"/>
          <w:highlight w:val="none"/>
        </w:rPr>
        <w:t>估价材料和工程设备的明细详见附件11：《</w:t>
      </w:r>
      <w:r>
        <w:rPr>
          <w:rFonts w:hint="eastAsia" w:ascii="宋体" w:hAnsi="宋体"/>
          <w:color w:val="auto"/>
          <w:sz w:val="24"/>
          <w:szCs w:val="24"/>
          <w:highlight w:val="none"/>
        </w:rPr>
        <w:t>暂估价一览表》</w:t>
      </w:r>
      <w:r>
        <w:rPr>
          <w:rFonts w:hint="eastAsia" w:ascii="宋体" w:hAnsi="宋体"/>
          <w:color w:val="auto"/>
          <w:kern w:val="0"/>
          <w:sz w:val="24"/>
          <w:szCs w:val="24"/>
          <w:highlight w:val="none"/>
        </w:rPr>
        <w:t>。</w:t>
      </w:r>
    </w:p>
    <w:bookmarkEnd w:id="1066"/>
    <w:bookmarkEnd w:id="1067"/>
    <w:bookmarkEnd w:id="1068"/>
    <w:p w14:paraId="45F18C1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bookmarkStart w:id="1069" w:name="_Toc312677509"/>
      <w:bookmarkStart w:id="1070" w:name="_Toc318581177"/>
      <w:bookmarkStart w:id="1071" w:name="_Toc312678035"/>
      <w:r>
        <w:rPr>
          <w:rFonts w:hint="eastAsia" w:ascii="宋体" w:hAnsi="宋体"/>
          <w:color w:val="auto"/>
          <w:sz w:val="24"/>
          <w:szCs w:val="24"/>
          <w:highlight w:val="none"/>
        </w:rPr>
        <w:t>0.7.1 依法必须招标的暂估价项目</w:t>
      </w:r>
    </w:p>
    <w:bookmarkEnd w:id="1069"/>
    <w:bookmarkEnd w:id="1070"/>
    <w:bookmarkEnd w:id="1071"/>
    <w:p w14:paraId="152A07E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对于依法必须招标的暂估价项目的确认和批准采取第种方式确定。</w:t>
      </w:r>
    </w:p>
    <w:p w14:paraId="0E20F9E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10.7.2 不属于依法必须招标的暂估价项目</w:t>
      </w:r>
    </w:p>
    <w:p w14:paraId="7C02779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对于不属于依法必须招标的暂估价项目的确认和批准采取第 种方式确定。</w:t>
      </w:r>
    </w:p>
    <w:p w14:paraId="4070D1CF">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第3种方式：</w:t>
      </w:r>
      <w:r>
        <w:rPr>
          <w:rFonts w:hint="eastAsia" w:ascii="宋体" w:hAnsi="宋体"/>
          <w:color w:val="auto"/>
          <w:kern w:val="0"/>
          <w:sz w:val="24"/>
          <w:szCs w:val="24"/>
          <w:highlight w:val="none"/>
        </w:rPr>
        <w:t>承包人直接实施的暂估价项目</w:t>
      </w:r>
    </w:p>
    <w:p w14:paraId="58FC0C9A">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承包人直接实施的暂估价项目的约定：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489B04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10.8 暂列金额</w:t>
      </w:r>
    </w:p>
    <w:p w14:paraId="39BA151C">
      <w:pPr>
        <w:shd w:val="clear" w:color="auto" w:fill="auto"/>
        <w:autoSpaceDE w:val="0"/>
        <w:autoSpaceDN w:val="0"/>
        <w:adjustRightInd w:val="0"/>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合同当事人关于暂列金额使用的约定：</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w:t>
      </w:r>
    </w:p>
    <w:p w14:paraId="6AB4BCC8">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072" w:name="_Toc351203643"/>
      <w:r>
        <w:rPr>
          <w:rFonts w:hint="eastAsia" w:ascii="宋体" w:hAnsi="宋体"/>
          <w:bCs/>
          <w:color w:val="auto"/>
          <w:sz w:val="24"/>
          <w:szCs w:val="24"/>
          <w:highlight w:val="none"/>
        </w:rPr>
        <w:t>11. 价格调整</w:t>
      </w:r>
      <w:bookmarkEnd w:id="1072"/>
    </w:p>
    <w:p w14:paraId="3401AD15">
      <w:pPr>
        <w:shd w:val="clear" w:color="auto" w:fill="auto"/>
        <w:spacing w:line="380" w:lineRule="exact"/>
        <w:ind w:firstLine="480" w:firstLineChars="200"/>
        <w:rPr>
          <w:rFonts w:hint="eastAsia" w:ascii="宋体" w:hAnsi="宋体"/>
          <w:color w:val="auto"/>
          <w:sz w:val="24"/>
          <w:szCs w:val="24"/>
          <w:highlight w:val="none"/>
        </w:rPr>
      </w:pPr>
      <w:bookmarkStart w:id="1073" w:name="_Toc296503201"/>
      <w:bookmarkStart w:id="1074" w:name="_Toc297216209"/>
      <w:bookmarkStart w:id="1075" w:name="_Toc300935000"/>
      <w:bookmarkStart w:id="1076" w:name="_Toc297120501"/>
      <w:bookmarkStart w:id="1077" w:name="_Toc297123550"/>
      <w:bookmarkStart w:id="1078" w:name="_Toc292559406"/>
      <w:bookmarkStart w:id="1079" w:name="_Toc296347200"/>
      <w:bookmarkStart w:id="1080" w:name="_Toc304295577"/>
      <w:bookmarkStart w:id="1081" w:name="_Toc296944540"/>
      <w:bookmarkStart w:id="1082" w:name="_Toc303539157"/>
      <w:bookmarkStart w:id="1083" w:name="_Toc297048387"/>
      <w:bookmarkStart w:id="1084" w:name="_Toc296891241"/>
      <w:bookmarkStart w:id="1085" w:name="_Toc312678039"/>
      <w:bookmarkStart w:id="1086" w:name="_Toc296891029"/>
      <w:bookmarkStart w:id="1087" w:name="_Toc292559911"/>
      <w:bookmarkStart w:id="1088" w:name="_Toc296346702"/>
      <w:r>
        <w:rPr>
          <w:rFonts w:hint="eastAsia" w:ascii="宋体" w:hAnsi="宋体"/>
          <w:color w:val="auto"/>
          <w:sz w:val="24"/>
          <w:szCs w:val="24"/>
          <w:highlight w:val="none"/>
        </w:rPr>
        <w:t>11.1 市场价格波动引起的调整</w:t>
      </w:r>
    </w:p>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p w14:paraId="4F5883FC">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市场价格波动是否调整合同价格的约定：</w:t>
      </w:r>
      <w:r>
        <w:rPr>
          <w:rFonts w:hint="eastAsia" w:ascii="宋体" w:hAnsi="宋体"/>
          <w:color w:val="auto"/>
          <w:sz w:val="24"/>
          <w:szCs w:val="24"/>
          <w:highlight w:val="none"/>
        </w:rPr>
        <w:t>。</w:t>
      </w:r>
    </w:p>
    <w:p w14:paraId="71FB4E6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因市场价格波动调整合同价格，采用以下第</w:t>
      </w:r>
      <w:r>
        <w:rPr>
          <w:rFonts w:hint="eastAsia" w:ascii="宋体" w:hAnsi="宋体"/>
          <w:color w:val="auto"/>
          <w:sz w:val="24"/>
          <w:szCs w:val="24"/>
          <w:highlight w:val="none"/>
          <w:u w:val="single"/>
        </w:rPr>
        <w:t>2</w:t>
      </w:r>
      <w:r>
        <w:rPr>
          <w:rFonts w:hint="eastAsia" w:ascii="宋体" w:hAnsi="宋体"/>
          <w:color w:val="auto"/>
          <w:sz w:val="24"/>
          <w:szCs w:val="24"/>
          <w:highlight w:val="none"/>
        </w:rPr>
        <w:t>种方式对合同价格进行调整：</w:t>
      </w:r>
    </w:p>
    <w:p w14:paraId="5E0EF03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第1种方式：采用价格指数进行价格调整。</w:t>
      </w:r>
    </w:p>
    <w:p w14:paraId="257FBAE3">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关于各可调因子、定值和变值权重，以及基本价格指数及其来源的约定：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 xml:space="preserve">；  </w:t>
      </w:r>
    </w:p>
    <w:p w14:paraId="1D3C8ED3">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第2种方式：采用造价信息进行价格调整。</w:t>
      </w:r>
    </w:p>
    <w:p w14:paraId="5F1D379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（2）关于基准价格的约定：</w:t>
      </w:r>
      <w:r>
        <w:rPr>
          <w:rFonts w:hint="eastAsia" w:ascii="宋体" w:hAnsi="宋体" w:cs="宋体"/>
          <w:color w:val="auto"/>
          <w:sz w:val="24"/>
          <w:szCs w:val="24"/>
          <w:highlight w:val="none"/>
          <w:u w:val="single"/>
          <w:lang w:bidi="ar"/>
        </w:rPr>
        <w:t>以投标当月当地建设工程价格信息为基准价格</w:t>
      </w:r>
      <w:r>
        <w:rPr>
          <w:rFonts w:hint="eastAsia" w:ascii="宋体" w:hAnsi="宋体"/>
          <w:color w:val="auto"/>
          <w:sz w:val="24"/>
          <w:szCs w:val="24"/>
          <w:highlight w:val="none"/>
        </w:rPr>
        <w:t>。</w:t>
      </w:r>
    </w:p>
    <w:p w14:paraId="1628C1B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专用合同草案</w:t>
      </w:r>
      <w:r>
        <w:rPr>
          <w:rFonts w:hint="eastAsia" w:ascii="宋体" w:hAnsi="宋体" w:cs="宋体"/>
          <w:color w:val="auto"/>
          <w:sz w:val="24"/>
          <w:szCs w:val="24"/>
          <w:highlight w:val="none"/>
        </w:rPr>
        <w:t>①</w:t>
      </w:r>
      <w:r>
        <w:rPr>
          <w:rFonts w:hint="eastAsia" w:ascii="宋体" w:hAnsi="宋体"/>
          <w:color w:val="auto"/>
          <w:sz w:val="24"/>
          <w:szCs w:val="24"/>
          <w:highlight w:val="none"/>
        </w:rPr>
        <w:t>承包人在已标价工程量清单或预算书中载明的材料单价低于基准价格的：专用合同草案合同履行期间材料单价涨幅以基准价格为基础超过10%时，或材料单价跌幅以已标价工程量清单或预算书中载明材料单价为基础超过10%时，其超过部分据实调整。</w:t>
      </w:r>
    </w:p>
    <w:p w14:paraId="3291B8D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s="宋体"/>
          <w:color w:val="auto"/>
          <w:sz w:val="24"/>
          <w:szCs w:val="24"/>
          <w:highlight w:val="none"/>
        </w:rPr>
        <w:t>②</w:t>
      </w:r>
      <w:r>
        <w:rPr>
          <w:rFonts w:hint="eastAsia" w:ascii="宋体" w:hAnsi="宋体"/>
          <w:color w:val="auto"/>
          <w:sz w:val="24"/>
          <w:szCs w:val="24"/>
          <w:highlight w:val="none"/>
        </w:rPr>
        <w:t>承包人在已标价工程量清单或预算书中载明的材料单价高于基准价格的：专用合同草案合同履行期间材料单价跌幅以基准价格为基础超过10%时，材料单价涨幅以已标价工程量清单或预算书中载明材料单价为基础超过10%时，其超过部分据实调整。</w:t>
      </w:r>
    </w:p>
    <w:p w14:paraId="03C3F201">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s="宋体"/>
          <w:color w:val="auto"/>
          <w:sz w:val="24"/>
          <w:szCs w:val="24"/>
          <w:highlight w:val="none"/>
        </w:rPr>
        <w:t>③</w:t>
      </w:r>
      <w:r>
        <w:rPr>
          <w:rFonts w:hint="eastAsia" w:ascii="宋体" w:hAnsi="宋体"/>
          <w:color w:val="auto"/>
          <w:sz w:val="24"/>
          <w:szCs w:val="24"/>
          <w:highlight w:val="none"/>
        </w:rPr>
        <w:t>承包人在已标价工程量清单或预算书中载明的材料单价等于基准单价的：专用合同草案合同履行期间材料单价涨跌幅以基准单价为基础超过±</w:t>
      </w:r>
      <w:r>
        <w:rPr>
          <w:rFonts w:hint="eastAsia" w:ascii="宋体" w:hAnsi="宋体"/>
          <w:color w:val="auto"/>
          <w:sz w:val="24"/>
          <w:szCs w:val="24"/>
          <w:highlight w:val="none"/>
          <w:u w:val="single"/>
        </w:rPr>
        <w:t>10</w:t>
      </w:r>
      <w:r>
        <w:rPr>
          <w:rFonts w:hint="eastAsia" w:ascii="宋体" w:hAnsi="宋体"/>
          <w:color w:val="auto"/>
          <w:sz w:val="24"/>
          <w:szCs w:val="24"/>
          <w:highlight w:val="none"/>
        </w:rPr>
        <w:t>%时，其超过部分据实调整。</w:t>
      </w:r>
    </w:p>
    <w:p w14:paraId="599AA0EB">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第3种方式：其他价格调整方式：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960"/>
    <w:bookmarkEnd w:id="961"/>
    <w:bookmarkEnd w:id="962"/>
    <w:bookmarkEnd w:id="963"/>
    <w:bookmarkEnd w:id="964"/>
    <w:bookmarkEnd w:id="965"/>
    <w:p w14:paraId="6AAE2AC3">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089" w:name="_Toc292559410"/>
      <w:bookmarkStart w:id="1090" w:name="_Toc296891245"/>
      <w:bookmarkStart w:id="1091" w:name="_Toc296944544"/>
      <w:bookmarkStart w:id="1092" w:name="_Toc292559915"/>
      <w:bookmarkStart w:id="1093" w:name="_Toc297120505"/>
      <w:bookmarkStart w:id="1094" w:name="_Toc296891033"/>
      <w:bookmarkStart w:id="1095" w:name="_Toc296347204"/>
      <w:bookmarkStart w:id="1096" w:name="_Toc296346706"/>
      <w:bookmarkStart w:id="1097" w:name="_Toc297048391"/>
      <w:bookmarkStart w:id="1098" w:name="_Toc296503205"/>
      <w:bookmarkStart w:id="1099" w:name="_Toc351203644"/>
      <w:bookmarkStart w:id="1100" w:name="_Toc297123552"/>
      <w:bookmarkStart w:id="1101" w:name="_Toc304295579"/>
      <w:bookmarkStart w:id="1102" w:name="_Toc300935002"/>
      <w:bookmarkStart w:id="1103" w:name="_Toc312678040"/>
      <w:bookmarkStart w:id="1104" w:name="_Toc303539159"/>
      <w:bookmarkStart w:id="1105" w:name="_Toc297216211"/>
      <w:r>
        <w:rPr>
          <w:rFonts w:hint="eastAsia" w:ascii="宋体" w:hAnsi="宋体"/>
          <w:bCs/>
          <w:color w:val="auto"/>
          <w:sz w:val="24"/>
          <w:szCs w:val="24"/>
          <w:highlight w:val="none"/>
        </w:rPr>
        <w:t xml:space="preserve">12. </w:t>
      </w:r>
      <w:bookmarkEnd w:id="1089"/>
      <w:bookmarkEnd w:id="1090"/>
      <w:bookmarkEnd w:id="1091"/>
      <w:bookmarkEnd w:id="1092"/>
      <w:bookmarkEnd w:id="1093"/>
      <w:bookmarkEnd w:id="1094"/>
      <w:bookmarkEnd w:id="1095"/>
      <w:bookmarkEnd w:id="1096"/>
      <w:bookmarkEnd w:id="1097"/>
      <w:bookmarkEnd w:id="1098"/>
      <w:r>
        <w:rPr>
          <w:rFonts w:hint="eastAsia" w:ascii="宋体" w:hAnsi="宋体"/>
          <w:bCs/>
          <w:color w:val="auto"/>
          <w:sz w:val="24"/>
          <w:szCs w:val="24"/>
          <w:highlight w:val="none"/>
        </w:rPr>
        <w:t>合同价格、计量与支付</w:t>
      </w:r>
      <w:bookmarkEnd w:id="1099"/>
    </w:p>
    <w:bookmarkEnd w:id="1100"/>
    <w:bookmarkEnd w:id="1101"/>
    <w:bookmarkEnd w:id="1102"/>
    <w:bookmarkEnd w:id="1103"/>
    <w:bookmarkEnd w:id="1104"/>
    <w:bookmarkEnd w:id="1105"/>
    <w:p w14:paraId="47336291">
      <w:pPr>
        <w:shd w:val="clear" w:color="auto" w:fill="auto"/>
        <w:spacing w:line="380" w:lineRule="exact"/>
        <w:ind w:firstLine="480" w:firstLineChars="200"/>
        <w:rPr>
          <w:rFonts w:hint="eastAsia" w:ascii="宋体" w:hAnsi="宋体"/>
          <w:color w:val="auto"/>
          <w:sz w:val="24"/>
          <w:szCs w:val="24"/>
          <w:highlight w:val="none"/>
        </w:rPr>
      </w:pPr>
      <w:bookmarkStart w:id="1106" w:name="_Toc292559411"/>
      <w:bookmarkStart w:id="1107" w:name="_Toc292559916"/>
      <w:bookmarkStart w:id="1108" w:name="_Toc267251461"/>
      <w:bookmarkStart w:id="1109" w:name="_Toc296891246"/>
      <w:bookmarkStart w:id="1110" w:name="_Toc296346707"/>
      <w:bookmarkStart w:id="1111" w:name="_Toc296347205"/>
      <w:bookmarkStart w:id="1112" w:name="_Toc296944545"/>
      <w:bookmarkStart w:id="1113" w:name="_Toc296503206"/>
      <w:bookmarkStart w:id="1114" w:name="_Toc297120506"/>
      <w:bookmarkStart w:id="1115" w:name="_Toc297048392"/>
      <w:bookmarkStart w:id="1116" w:name="_Toc296891034"/>
      <w:bookmarkStart w:id="1117" w:name="_Toc304295580"/>
      <w:bookmarkStart w:id="1118" w:name="_Toc312678041"/>
      <w:bookmarkStart w:id="1119" w:name="_Toc303539160"/>
      <w:bookmarkStart w:id="1120" w:name="_Toc300935003"/>
      <w:bookmarkStart w:id="1121" w:name="_Toc297216212"/>
      <w:bookmarkStart w:id="1122" w:name="_Toc297123553"/>
      <w:r>
        <w:rPr>
          <w:rFonts w:hint="eastAsia" w:ascii="宋体" w:hAnsi="宋体"/>
          <w:color w:val="auto"/>
          <w:sz w:val="24"/>
          <w:szCs w:val="24"/>
          <w:highlight w:val="none"/>
        </w:rPr>
        <w:t>12.1 合</w:t>
      </w:r>
      <w:bookmarkEnd w:id="1106"/>
      <w:bookmarkEnd w:id="1107"/>
      <w:bookmarkEnd w:id="1108"/>
      <w:r>
        <w:rPr>
          <w:rFonts w:hint="eastAsia" w:ascii="宋体" w:hAnsi="宋体"/>
          <w:color w:val="auto"/>
          <w:sz w:val="24"/>
          <w:szCs w:val="24"/>
          <w:highlight w:val="none"/>
        </w:rPr>
        <w:t>同价</w:t>
      </w:r>
      <w:bookmarkEnd w:id="1109"/>
      <w:bookmarkEnd w:id="1110"/>
      <w:bookmarkEnd w:id="1111"/>
      <w:bookmarkEnd w:id="1112"/>
      <w:bookmarkEnd w:id="1113"/>
      <w:bookmarkEnd w:id="1114"/>
      <w:bookmarkEnd w:id="1115"/>
      <w:bookmarkEnd w:id="1116"/>
      <w:r>
        <w:rPr>
          <w:rFonts w:hint="eastAsia" w:ascii="宋体" w:hAnsi="宋体"/>
          <w:color w:val="auto"/>
          <w:sz w:val="24"/>
          <w:szCs w:val="24"/>
          <w:highlight w:val="none"/>
        </w:rPr>
        <w:t>格形式</w:t>
      </w:r>
    </w:p>
    <w:bookmarkEnd w:id="1117"/>
    <w:bookmarkEnd w:id="1118"/>
    <w:bookmarkEnd w:id="1119"/>
    <w:bookmarkEnd w:id="1120"/>
    <w:bookmarkEnd w:id="1121"/>
    <w:bookmarkEnd w:id="1122"/>
    <w:p w14:paraId="08BB36D5">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1、单价合同。</w:t>
      </w:r>
    </w:p>
    <w:p w14:paraId="01598D22">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综合单价包含的风险范围：</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B0B88BE">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风险费用的计算方法：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C90331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风险范围以外合同价格的调整方法：</w:t>
      </w:r>
      <w:r>
        <w:rPr>
          <w:rFonts w:hint="eastAsia" w:ascii="宋体" w:hAnsi="宋体"/>
          <w:color w:val="auto"/>
          <w:sz w:val="24"/>
          <w:szCs w:val="24"/>
          <w:highlight w:val="none"/>
          <w:u w:val="single"/>
          <w:lang w:val="zh-TW" w:eastAsia="zh-TW"/>
        </w:rPr>
        <w:t>设计变更，工程签证，具实调整</w:t>
      </w:r>
      <w:r>
        <w:rPr>
          <w:rFonts w:hint="eastAsia" w:ascii="宋体" w:hAnsi="宋体"/>
          <w:color w:val="auto"/>
          <w:sz w:val="24"/>
          <w:szCs w:val="24"/>
          <w:highlight w:val="none"/>
        </w:rPr>
        <w:t>。</w:t>
      </w:r>
    </w:p>
    <w:p w14:paraId="1492D13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2、总价合同。</w:t>
      </w:r>
    </w:p>
    <w:p w14:paraId="2E3F2B4F">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总价包含的风险范围：</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2573528">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风险费用的计算方法：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41BB64E">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风险范围以外合同价格的调整方法：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763B2BB">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3、其他价格方式：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7A0AA1D">
      <w:pPr>
        <w:shd w:val="clear" w:color="auto" w:fill="auto"/>
        <w:spacing w:line="380" w:lineRule="exact"/>
        <w:ind w:firstLine="480" w:firstLineChars="200"/>
        <w:rPr>
          <w:rFonts w:hint="eastAsia" w:ascii="宋体" w:hAnsi="宋体"/>
          <w:color w:val="auto"/>
          <w:sz w:val="24"/>
          <w:szCs w:val="24"/>
          <w:highlight w:val="none"/>
        </w:rPr>
      </w:pPr>
      <w:bookmarkStart w:id="1123" w:name="_Toc297216213"/>
      <w:bookmarkStart w:id="1124" w:name="_Toc303539161"/>
      <w:bookmarkStart w:id="1125" w:name="_Toc304295581"/>
      <w:bookmarkStart w:id="1126" w:name="_Toc300935004"/>
      <w:bookmarkStart w:id="1127" w:name="_Toc297123554"/>
      <w:bookmarkStart w:id="1128" w:name="_Toc312678042"/>
      <w:bookmarkStart w:id="1129" w:name="_Toc292559917"/>
      <w:bookmarkStart w:id="1130" w:name="_Toc296347206"/>
      <w:bookmarkStart w:id="1131" w:name="_Toc296944546"/>
      <w:bookmarkStart w:id="1132" w:name="_Toc296891035"/>
      <w:bookmarkStart w:id="1133" w:name="_Toc297048393"/>
      <w:bookmarkStart w:id="1134" w:name="_Toc296891247"/>
      <w:bookmarkStart w:id="1135" w:name="_Toc296346708"/>
      <w:bookmarkStart w:id="1136" w:name="_Toc297120507"/>
      <w:bookmarkStart w:id="1137" w:name="_Toc292559412"/>
      <w:bookmarkStart w:id="1138" w:name="_Toc296503207"/>
      <w:r>
        <w:rPr>
          <w:rFonts w:hint="eastAsia" w:ascii="宋体" w:hAnsi="宋体"/>
          <w:color w:val="auto"/>
          <w:sz w:val="24"/>
          <w:szCs w:val="24"/>
          <w:highlight w:val="none"/>
        </w:rPr>
        <w:t>12.2 预付款</w:t>
      </w:r>
    </w:p>
    <w:bookmarkEnd w:id="1123"/>
    <w:bookmarkEnd w:id="1124"/>
    <w:bookmarkEnd w:id="1125"/>
    <w:bookmarkEnd w:id="1126"/>
    <w:bookmarkEnd w:id="1127"/>
    <w:bookmarkEnd w:id="1128"/>
    <w:p w14:paraId="0BABC3E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12.2.1 预付款的支付</w:t>
      </w:r>
    </w:p>
    <w:p w14:paraId="0BB4095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预付款支付比例或金额：</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F1270CC">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预付款支付期限：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46B49CBE">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预付款扣回的方式：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8044BFE">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12.2.2 预付款担保</w:t>
      </w:r>
    </w:p>
    <w:p w14:paraId="04B5A7B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承包人提交预付款担保的期限：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B78F20A">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预付款担保的形式为：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129"/>
    <w:bookmarkEnd w:id="1130"/>
    <w:bookmarkEnd w:id="1131"/>
    <w:bookmarkEnd w:id="1132"/>
    <w:bookmarkEnd w:id="1133"/>
    <w:bookmarkEnd w:id="1134"/>
    <w:bookmarkEnd w:id="1135"/>
    <w:bookmarkEnd w:id="1136"/>
    <w:bookmarkEnd w:id="1137"/>
    <w:bookmarkEnd w:id="1138"/>
    <w:p w14:paraId="71D89E0C">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12.3 计量</w:t>
      </w:r>
    </w:p>
    <w:p w14:paraId="46457581">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12.3.1 计量原则</w:t>
      </w:r>
    </w:p>
    <w:p w14:paraId="1F7EAD9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工程量计算规则：</w:t>
      </w:r>
      <w:r>
        <w:rPr>
          <w:rFonts w:hint="eastAsia" w:ascii="宋体" w:hAnsi="宋体"/>
          <w:color w:val="auto"/>
          <w:sz w:val="24"/>
          <w:szCs w:val="24"/>
          <w:highlight w:val="none"/>
          <w:u w:val="single"/>
          <w:lang w:val="zh-TW" w:eastAsia="zh-TW"/>
        </w:rPr>
        <w:t>按《建设工程工程量清单计价规范》（</w:t>
      </w:r>
      <w:r>
        <w:rPr>
          <w:rFonts w:hint="eastAsia" w:ascii="宋体" w:hAnsi="宋体"/>
          <w:color w:val="auto"/>
          <w:sz w:val="24"/>
          <w:szCs w:val="24"/>
          <w:highlight w:val="none"/>
          <w:u w:val="single"/>
        </w:rPr>
        <w:t>GB50500-2013</w:t>
      </w:r>
      <w:r>
        <w:rPr>
          <w:rFonts w:hint="eastAsia" w:ascii="宋体" w:hAnsi="宋体"/>
          <w:color w:val="auto"/>
          <w:sz w:val="24"/>
          <w:szCs w:val="24"/>
          <w:highlight w:val="none"/>
          <w:u w:val="single"/>
          <w:lang w:val="zh-TW" w:eastAsia="zh-TW"/>
        </w:rPr>
        <w:t>）及配套计量规范计算</w:t>
      </w:r>
      <w:r>
        <w:rPr>
          <w:rFonts w:hint="eastAsia" w:ascii="宋体" w:hAnsi="宋体"/>
          <w:color w:val="auto"/>
          <w:sz w:val="24"/>
          <w:szCs w:val="24"/>
          <w:highlight w:val="none"/>
        </w:rPr>
        <w:t>。</w:t>
      </w:r>
    </w:p>
    <w:p w14:paraId="7BABC201">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12.3.2 计量周期</w:t>
      </w:r>
    </w:p>
    <w:p w14:paraId="2B9A5AE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关于计量周期的约定：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71EB17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12.3.3 单价合同的计量</w:t>
      </w:r>
    </w:p>
    <w:p w14:paraId="6617950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关于单价合同计量的约定：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E0C032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12.3.4 总价合同的计量</w:t>
      </w:r>
    </w:p>
    <w:p w14:paraId="7B80C0C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关于总价合同计量的约定：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7CF0FB3">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12.3.5总价合同采用支付分解表计量支付的，是否适用第</w:t>
      </w:r>
      <w:r>
        <w:rPr>
          <w:rFonts w:hint="eastAsia" w:ascii="宋体" w:hAnsi="宋体"/>
          <w:color w:val="auto"/>
          <w:kern w:val="0"/>
          <w:sz w:val="24"/>
          <w:szCs w:val="24"/>
          <w:highlight w:val="none"/>
        </w:rPr>
        <w:t xml:space="preserve">12.3.4 </w:t>
      </w:r>
      <w:r>
        <w:rPr>
          <w:rFonts w:hint="eastAsia" w:ascii="宋体" w:hAnsi="宋体"/>
          <w:color w:val="auto"/>
          <w:sz w:val="24"/>
          <w:szCs w:val="24"/>
          <w:highlight w:val="none"/>
        </w:rPr>
        <w:t>项</w:t>
      </w:r>
      <w:r>
        <w:rPr>
          <w:rFonts w:hint="eastAsia" w:ascii="宋体" w:hAnsi="宋体"/>
          <w:color w:val="auto"/>
          <w:kern w:val="0"/>
          <w:sz w:val="24"/>
          <w:szCs w:val="24"/>
          <w:highlight w:val="none"/>
        </w:rPr>
        <w:t>〔总价合同的计量〕</w:t>
      </w:r>
      <w:r>
        <w:rPr>
          <w:rFonts w:hint="eastAsia" w:ascii="宋体" w:hAnsi="宋体"/>
          <w:color w:val="auto"/>
          <w:sz w:val="24"/>
          <w:szCs w:val="24"/>
          <w:highlight w:val="none"/>
        </w:rPr>
        <w:t>约定进行计量：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34E443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12.3.6 其他价格形式合同的计量</w:t>
      </w:r>
    </w:p>
    <w:p w14:paraId="4F9B8C06">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其他价格形式的计量方式和程序：</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98BBDA8">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12.4 工程进度款支付</w:t>
      </w:r>
    </w:p>
    <w:p w14:paraId="5C4AD561">
      <w:pPr>
        <w:shd w:val="clear" w:color="auto" w:fill="auto"/>
        <w:spacing w:line="380" w:lineRule="exact"/>
        <w:ind w:firstLine="480" w:firstLineChars="200"/>
        <w:jc w:val="left"/>
        <w:rPr>
          <w:rFonts w:hint="eastAsia" w:ascii="宋体" w:hAnsi="宋体"/>
          <w:color w:val="auto"/>
          <w:sz w:val="24"/>
          <w:szCs w:val="24"/>
          <w:highlight w:val="none"/>
        </w:rPr>
      </w:pPr>
      <w:bookmarkStart w:id="1139" w:name="_Toc297048397"/>
      <w:bookmarkStart w:id="1140" w:name="_Toc296346712"/>
      <w:bookmarkStart w:id="1141" w:name="_Toc296891251"/>
      <w:bookmarkStart w:id="1142" w:name="_Toc296503211"/>
      <w:bookmarkStart w:id="1143" w:name="_Toc300935006"/>
      <w:bookmarkStart w:id="1144" w:name="_Toc296944550"/>
      <w:bookmarkStart w:id="1145" w:name="_Toc292559416"/>
      <w:bookmarkStart w:id="1146" w:name="_Toc296347210"/>
      <w:bookmarkStart w:id="1147" w:name="_Toc292559921"/>
      <w:bookmarkStart w:id="1148" w:name="_Toc296891039"/>
      <w:bookmarkStart w:id="1149" w:name="_Toc303539163"/>
      <w:bookmarkStart w:id="1150" w:name="_Toc297120511"/>
      <w:bookmarkStart w:id="1151" w:name="_Toc297216215"/>
      <w:bookmarkStart w:id="1152" w:name="_Toc297123556"/>
      <w:r>
        <w:rPr>
          <w:rFonts w:hint="eastAsia" w:ascii="宋体" w:hAnsi="宋体"/>
          <w:color w:val="auto"/>
          <w:sz w:val="24"/>
          <w:szCs w:val="24"/>
          <w:highlight w:val="none"/>
        </w:rPr>
        <w:t>12.4.1 付款周期</w:t>
      </w:r>
    </w:p>
    <w:p w14:paraId="68B0E3B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关于付款办法的约定：</w:t>
      </w:r>
      <w:r>
        <w:rPr>
          <w:rFonts w:hint="eastAsia" w:ascii="宋体" w:hAnsi="宋体"/>
          <w:color w:val="auto"/>
          <w:sz w:val="24"/>
          <w:szCs w:val="24"/>
          <w:highlight w:val="none"/>
          <w:u w:val="single"/>
        </w:rPr>
        <w:t>双方另行协商</w:t>
      </w:r>
    </w:p>
    <w:p w14:paraId="45931C55">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12.4.2 进度付款申请单的编制</w:t>
      </w:r>
    </w:p>
    <w:p w14:paraId="401AA9F3">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关于进度付款申请单编制的约定：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712B54C5">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w:t>
      </w:r>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r>
        <w:rPr>
          <w:rFonts w:hint="eastAsia" w:ascii="宋体" w:hAnsi="宋体"/>
          <w:color w:val="auto"/>
          <w:sz w:val="24"/>
          <w:szCs w:val="24"/>
          <w:highlight w:val="none"/>
        </w:rPr>
        <w:t>2.4.3 进度付款申请单的提交</w:t>
      </w:r>
    </w:p>
    <w:p w14:paraId="09130B8A">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（1）单价合同进度付款申请单提交的约定：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B702EC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（2）总价合同进度付款申请单提交的约定：</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70FBA97A">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（3）其他价格形式合同进度付款申请单提交的约定：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139628B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12.4.4 进度款审核和支付</w:t>
      </w:r>
    </w:p>
    <w:p w14:paraId="4474039A">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（1）监理人审查并报送发包人的期限：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6836C64">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发包人完成审批并签发进度款支付证书的期限：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C0A4C8E">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（2）发包人支付进度款的期限：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646852D3">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发包人逾期支付进度款的违约金的计算方式：</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77EAAD93">
      <w:pPr>
        <w:shd w:val="clear" w:color="auto" w:fill="auto"/>
        <w:spacing w:line="380" w:lineRule="exact"/>
        <w:ind w:firstLine="600" w:firstLineChars="250"/>
        <w:jc w:val="left"/>
        <w:rPr>
          <w:rFonts w:hint="eastAsia" w:ascii="宋体" w:hAnsi="宋体"/>
          <w:color w:val="auto"/>
          <w:sz w:val="24"/>
          <w:szCs w:val="24"/>
          <w:highlight w:val="none"/>
        </w:rPr>
      </w:pPr>
      <w:r>
        <w:rPr>
          <w:rFonts w:hint="eastAsia" w:ascii="宋体" w:hAnsi="宋体"/>
          <w:color w:val="auto"/>
          <w:sz w:val="24"/>
          <w:szCs w:val="24"/>
          <w:highlight w:val="none"/>
        </w:rPr>
        <w:t>12.4.6 支付分解表的编制</w:t>
      </w:r>
    </w:p>
    <w:p w14:paraId="0851E730">
      <w:pPr>
        <w:shd w:val="clear" w:color="auto" w:fill="auto"/>
        <w:spacing w:line="380" w:lineRule="exact"/>
        <w:ind w:left="4800" w:hanging="4800" w:hangingChars="2000"/>
        <w:jc w:val="left"/>
        <w:rPr>
          <w:rFonts w:hint="eastAsia" w:ascii="宋体" w:hAnsi="宋体"/>
          <w:color w:val="auto"/>
          <w:sz w:val="24"/>
          <w:szCs w:val="24"/>
          <w:highlight w:val="none"/>
        </w:rPr>
      </w:pPr>
      <w:r>
        <w:rPr>
          <w:rFonts w:hint="eastAsia" w:ascii="宋体" w:hAnsi="宋体"/>
          <w:color w:val="auto"/>
          <w:sz w:val="24"/>
          <w:szCs w:val="24"/>
          <w:highlight w:val="none"/>
        </w:rPr>
        <w:t>2、总价合同支付分解表的编制与审批：</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2A0BDF6D">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3、单价合同的总价项目支付分解表的编制与审批：</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966"/>
    <w:p w14:paraId="00D53663">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153" w:name="_Toc351203645"/>
      <w:bookmarkStart w:id="1154" w:name="_Toc296503219"/>
      <w:bookmarkStart w:id="1155" w:name="_Toc297120519"/>
      <w:bookmarkStart w:id="1156" w:name="_Toc303539172"/>
      <w:bookmarkStart w:id="1157" w:name="_Toc292559929"/>
      <w:bookmarkStart w:id="1158" w:name="_Toc292559424"/>
      <w:bookmarkStart w:id="1159" w:name="_Toc296944558"/>
      <w:bookmarkStart w:id="1160" w:name="_Toc296346720"/>
      <w:bookmarkStart w:id="1161" w:name="_Toc296347218"/>
      <w:bookmarkStart w:id="1162" w:name="_Toc296891259"/>
      <w:bookmarkStart w:id="1163" w:name="_Toc304295593"/>
      <w:bookmarkStart w:id="1164" w:name="_Toc297123564"/>
      <w:bookmarkStart w:id="1165" w:name="_Toc297216223"/>
      <w:bookmarkStart w:id="1166" w:name="_Toc297048405"/>
      <w:bookmarkStart w:id="1167" w:name="_Toc296891047"/>
      <w:bookmarkStart w:id="1168" w:name="_Toc300935015"/>
      <w:bookmarkStart w:id="1169" w:name="_Toc312678053"/>
      <w:r>
        <w:rPr>
          <w:rFonts w:hint="eastAsia" w:ascii="宋体" w:hAnsi="宋体"/>
          <w:bCs/>
          <w:color w:val="auto"/>
          <w:sz w:val="24"/>
          <w:szCs w:val="24"/>
          <w:highlight w:val="none"/>
        </w:rPr>
        <w:t>13.验收和工程试车</w:t>
      </w:r>
      <w:bookmarkEnd w:id="1153"/>
    </w:p>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p w14:paraId="78C4844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13.1 分部分项工程验收</w:t>
      </w:r>
    </w:p>
    <w:p w14:paraId="51374E45">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13.1.2监理人不能按时进行验收时，应提前</w:t>
      </w:r>
      <w:r>
        <w:rPr>
          <w:rFonts w:hint="eastAsia" w:ascii="宋体" w:hAnsi="宋体"/>
          <w:color w:val="auto"/>
          <w:sz w:val="24"/>
          <w:szCs w:val="24"/>
          <w:highlight w:val="none"/>
          <w:u w:val="single"/>
        </w:rPr>
        <w:t>24</w:t>
      </w:r>
      <w:r>
        <w:rPr>
          <w:rFonts w:hint="eastAsia" w:ascii="宋体" w:hAnsi="宋体"/>
          <w:color w:val="auto"/>
          <w:sz w:val="24"/>
          <w:szCs w:val="24"/>
          <w:highlight w:val="none"/>
        </w:rPr>
        <w:t>小时提交书面延期要求。</w:t>
      </w:r>
    </w:p>
    <w:p w14:paraId="4860A1A7">
      <w:pPr>
        <w:shd w:val="clear" w:color="auto" w:fill="auto"/>
        <w:spacing w:line="380" w:lineRule="exact"/>
        <w:ind w:firstLine="480" w:firstLineChars="200"/>
        <w:jc w:val="left"/>
        <w:rPr>
          <w:rFonts w:hint="eastAsia" w:ascii="宋体" w:hAnsi="宋体"/>
          <w:b/>
          <w:color w:val="auto"/>
          <w:sz w:val="24"/>
          <w:szCs w:val="24"/>
          <w:highlight w:val="none"/>
        </w:rPr>
      </w:pPr>
      <w:r>
        <w:rPr>
          <w:rFonts w:hint="eastAsia" w:ascii="宋体" w:hAnsi="宋体"/>
          <w:color w:val="auto"/>
          <w:sz w:val="24"/>
          <w:szCs w:val="24"/>
          <w:highlight w:val="none"/>
        </w:rPr>
        <w:t>关于延期最长不得超过：</w:t>
      </w:r>
      <w:r>
        <w:rPr>
          <w:rFonts w:hint="eastAsia" w:ascii="宋体" w:hAnsi="宋体"/>
          <w:color w:val="auto"/>
          <w:sz w:val="24"/>
          <w:szCs w:val="24"/>
          <w:highlight w:val="none"/>
          <w:u w:val="single"/>
        </w:rPr>
        <w:t>48</w:t>
      </w:r>
      <w:r>
        <w:rPr>
          <w:rFonts w:hint="eastAsia" w:ascii="宋体" w:hAnsi="宋体"/>
          <w:color w:val="auto"/>
          <w:sz w:val="24"/>
          <w:szCs w:val="24"/>
          <w:highlight w:val="none"/>
        </w:rPr>
        <w:t>小时。</w:t>
      </w:r>
    </w:p>
    <w:p w14:paraId="11A59F18">
      <w:pPr>
        <w:shd w:val="clear" w:color="auto" w:fill="auto"/>
        <w:spacing w:line="380" w:lineRule="exact"/>
        <w:ind w:firstLine="480" w:firstLineChars="200"/>
        <w:rPr>
          <w:rFonts w:hint="eastAsia" w:ascii="宋体" w:hAnsi="宋体"/>
          <w:color w:val="auto"/>
          <w:sz w:val="24"/>
          <w:szCs w:val="24"/>
          <w:highlight w:val="none"/>
        </w:rPr>
      </w:pPr>
      <w:bookmarkStart w:id="1170" w:name="_Toc297120523"/>
      <w:bookmarkStart w:id="1171" w:name="_Toc296891263"/>
      <w:bookmarkStart w:id="1172" w:name="_Toc296891051"/>
      <w:bookmarkStart w:id="1173" w:name="_Toc297048409"/>
      <w:bookmarkStart w:id="1174" w:name="_Toc312678056"/>
      <w:bookmarkStart w:id="1175" w:name="_Toc304295596"/>
      <w:bookmarkStart w:id="1176" w:name="_Toc296944562"/>
      <w:bookmarkStart w:id="1177" w:name="_Toc296346724"/>
      <w:bookmarkStart w:id="1178" w:name="_Toc296503223"/>
      <w:bookmarkStart w:id="1179" w:name="_Toc297123565"/>
      <w:bookmarkStart w:id="1180" w:name="_Toc292559428"/>
      <w:bookmarkStart w:id="1181" w:name="_Toc300935016"/>
      <w:bookmarkStart w:id="1182" w:name="_Toc303539173"/>
      <w:bookmarkStart w:id="1183" w:name="_Toc296347222"/>
      <w:bookmarkStart w:id="1184" w:name="_Toc297216224"/>
      <w:bookmarkStart w:id="1185" w:name="_Toc292559933"/>
      <w:bookmarkStart w:id="1186" w:name="_Toc267251476"/>
      <w:bookmarkStart w:id="1187" w:name="_Toc267251470"/>
      <w:bookmarkStart w:id="1188" w:name="_Toc267251474"/>
      <w:bookmarkStart w:id="1189" w:name="_Toc267251473"/>
      <w:bookmarkStart w:id="1190" w:name="_Toc267251472"/>
      <w:bookmarkStart w:id="1191" w:name="_Toc267251471"/>
      <w:bookmarkStart w:id="1192" w:name="_Toc267251475"/>
      <w:r>
        <w:rPr>
          <w:rFonts w:hint="eastAsia" w:ascii="宋体" w:hAnsi="宋体"/>
          <w:color w:val="auto"/>
          <w:sz w:val="24"/>
          <w:szCs w:val="24"/>
          <w:highlight w:val="none"/>
        </w:rPr>
        <w:t>13.2 竣工验收</w:t>
      </w:r>
    </w:p>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14:paraId="761A8388">
      <w:pPr>
        <w:shd w:val="clear" w:color="auto" w:fill="auto"/>
        <w:spacing w:line="380" w:lineRule="exact"/>
        <w:ind w:firstLine="480" w:firstLineChars="200"/>
        <w:jc w:val="left"/>
        <w:rPr>
          <w:rFonts w:hint="eastAsia" w:ascii="宋体" w:hAnsi="宋体"/>
          <w:color w:val="auto"/>
          <w:sz w:val="24"/>
          <w:szCs w:val="24"/>
          <w:highlight w:val="none"/>
        </w:rPr>
      </w:pPr>
      <w:bookmarkStart w:id="1193" w:name="_Toc280868704"/>
      <w:bookmarkStart w:id="1194" w:name="_Toc280868705"/>
      <w:bookmarkStart w:id="1195" w:name="_Toc280868706"/>
      <w:bookmarkStart w:id="1196" w:name="_Toc280868707"/>
      <w:bookmarkStart w:id="1197" w:name="_Toc280868708"/>
      <w:bookmarkStart w:id="1198" w:name="_Toc280868709"/>
      <w:r>
        <w:rPr>
          <w:rFonts w:hint="eastAsia" w:ascii="宋体" w:hAnsi="宋体"/>
          <w:color w:val="auto"/>
          <w:sz w:val="24"/>
          <w:szCs w:val="24"/>
          <w:highlight w:val="none"/>
        </w:rPr>
        <w:t>13.2.2竣工验收程序</w:t>
      </w:r>
    </w:p>
    <w:bookmarkEnd w:id="1193"/>
    <w:p w14:paraId="4DAD362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关于竣工验收程序的约定：</w:t>
      </w:r>
      <w:r>
        <w:rPr>
          <w:rFonts w:hint="eastAsia" w:ascii="宋体" w:hAnsi="宋体" w:cs="宋体"/>
          <w:color w:val="auto"/>
          <w:sz w:val="24"/>
          <w:szCs w:val="24"/>
          <w:highlight w:val="none"/>
          <w:u w:val="single"/>
          <w:lang w:bidi="ar"/>
        </w:rPr>
        <w:t>按照现行</w:t>
      </w:r>
      <w:r>
        <w:rPr>
          <w:rFonts w:hint="eastAsia" w:ascii="宋体" w:hAnsi="宋体" w:cs="宋体"/>
          <w:color w:val="auto"/>
          <w:sz w:val="24"/>
          <w:szCs w:val="24"/>
          <w:highlight w:val="none"/>
          <w:u w:val="single"/>
          <w:lang w:eastAsia="zh-CN" w:bidi="ar"/>
        </w:rPr>
        <w:t>建筑工程</w:t>
      </w:r>
      <w:r>
        <w:rPr>
          <w:rFonts w:hint="eastAsia" w:ascii="宋体" w:hAnsi="宋体" w:cs="宋体"/>
          <w:color w:val="auto"/>
          <w:sz w:val="24"/>
          <w:szCs w:val="24"/>
          <w:highlight w:val="none"/>
          <w:u w:val="single"/>
          <w:lang w:bidi="ar"/>
        </w:rPr>
        <w:t>监理规范和地方质量监督部门的要求执行</w:t>
      </w:r>
      <w:r>
        <w:rPr>
          <w:rFonts w:hint="eastAsia" w:ascii="宋体" w:hAnsi="宋体"/>
          <w:color w:val="auto"/>
          <w:sz w:val="24"/>
          <w:szCs w:val="24"/>
          <w:highlight w:val="none"/>
        </w:rPr>
        <w:t>。</w:t>
      </w:r>
    </w:p>
    <w:p w14:paraId="1D0CE740">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发包人不按照本项约定组织竣工验收、颁发工程接收证书的违约金的计算方法：</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194"/>
    <w:p w14:paraId="118A4B0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13.2.5移交、接收全部与部分工程</w:t>
      </w:r>
    </w:p>
    <w:bookmarkEnd w:id="1195"/>
    <w:p w14:paraId="270B444A">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承包人向发包人移交工程的期限：</w:t>
      </w:r>
      <w:r>
        <w:rPr>
          <w:rFonts w:hint="eastAsia" w:ascii="宋体" w:hAnsi="宋体" w:cs="宋体"/>
          <w:color w:val="auto"/>
          <w:sz w:val="24"/>
          <w:szCs w:val="24"/>
          <w:highlight w:val="none"/>
          <w:u w:val="single"/>
          <w:lang w:bidi="ar"/>
        </w:rPr>
        <w:t>在颁发工程接收证书后7天内完成工程的移交</w:t>
      </w:r>
      <w:r>
        <w:rPr>
          <w:rFonts w:hint="eastAsia" w:ascii="宋体" w:hAnsi="宋体"/>
          <w:color w:val="auto"/>
          <w:sz w:val="24"/>
          <w:szCs w:val="24"/>
          <w:highlight w:val="none"/>
        </w:rPr>
        <w:t>。</w:t>
      </w:r>
    </w:p>
    <w:p w14:paraId="5202F734">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kern w:val="0"/>
          <w:sz w:val="24"/>
          <w:szCs w:val="24"/>
          <w:highlight w:val="none"/>
        </w:rPr>
        <w:t>发包人未按本合同约定接收全部或部分工程的，违约金的计算方法为：</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bookmarkEnd w:id="1196"/>
    <w:p w14:paraId="43384DD6">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承包人未按时移交工程的，违约金的计算方法为：</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4A5756F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13.3 工程试车</w:t>
      </w:r>
    </w:p>
    <w:bookmarkEnd w:id="1197"/>
    <w:p w14:paraId="1027BE1D">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13.3.1 试车程序</w:t>
      </w:r>
    </w:p>
    <w:p w14:paraId="20DE5D09">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工程试车内容：</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B6E0FAE">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（1）单机无负荷试车费用由</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承担；</w:t>
      </w:r>
    </w:p>
    <w:p w14:paraId="519DA610">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（2）无负荷联动试车费用由</w:t>
      </w:r>
      <w:r>
        <w:rPr>
          <w:rFonts w:hint="eastAsia" w:ascii="宋体" w:hAnsi="宋体"/>
          <w:color w:val="auto"/>
          <w:sz w:val="24"/>
          <w:szCs w:val="24"/>
          <w:highlight w:val="none"/>
          <w:u w:val="single"/>
        </w:rPr>
        <w:t>/</w:t>
      </w:r>
      <w:r>
        <w:rPr>
          <w:rFonts w:hint="eastAsia" w:ascii="宋体" w:hAnsi="宋体"/>
          <w:color w:val="auto"/>
          <w:kern w:val="0"/>
          <w:sz w:val="24"/>
          <w:szCs w:val="24"/>
          <w:highlight w:val="none"/>
        </w:rPr>
        <w:t>承担。</w:t>
      </w:r>
    </w:p>
    <w:p w14:paraId="013B873C">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13.3.3 投料试车</w:t>
      </w:r>
    </w:p>
    <w:p w14:paraId="2DF79370">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关于投料试车相关事项的约定：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w:t>
      </w:r>
    </w:p>
    <w:p w14:paraId="029C2BE9">
      <w:pPr>
        <w:shd w:val="clear" w:color="auto" w:fill="auto"/>
        <w:spacing w:line="380" w:lineRule="exact"/>
        <w:ind w:firstLine="480" w:firstLineChars="200"/>
        <w:outlineLvl w:val="0"/>
        <w:rPr>
          <w:rFonts w:hint="eastAsia" w:ascii="宋体" w:hAnsi="宋体"/>
          <w:color w:val="auto"/>
          <w:sz w:val="24"/>
          <w:szCs w:val="24"/>
          <w:highlight w:val="none"/>
        </w:rPr>
      </w:pPr>
      <w:bookmarkStart w:id="1199" w:name="_Toc26696"/>
      <w:bookmarkStart w:id="1200" w:name="_Toc27034"/>
      <w:bookmarkStart w:id="1201" w:name="_Toc13191"/>
      <w:bookmarkStart w:id="1202" w:name="_Toc28494"/>
      <w:bookmarkStart w:id="1203" w:name="_Toc2300"/>
      <w:bookmarkStart w:id="1204" w:name="_Toc31517"/>
      <w:bookmarkStart w:id="1205" w:name="_Toc30445"/>
      <w:bookmarkStart w:id="1206" w:name="_Toc21325"/>
      <w:r>
        <w:rPr>
          <w:rFonts w:hint="eastAsia" w:ascii="宋体" w:hAnsi="宋体"/>
          <w:color w:val="auto"/>
          <w:sz w:val="24"/>
          <w:szCs w:val="24"/>
          <w:highlight w:val="none"/>
        </w:rPr>
        <w:t>13.6 竣工退场</w:t>
      </w:r>
      <w:bookmarkEnd w:id="1199"/>
      <w:bookmarkEnd w:id="1200"/>
      <w:bookmarkEnd w:id="1201"/>
      <w:bookmarkEnd w:id="1202"/>
      <w:bookmarkEnd w:id="1203"/>
      <w:bookmarkEnd w:id="1204"/>
      <w:bookmarkEnd w:id="1205"/>
      <w:bookmarkEnd w:id="1206"/>
    </w:p>
    <w:p w14:paraId="409CD813">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13.6.1 竣工退场</w:t>
      </w:r>
    </w:p>
    <w:p w14:paraId="17ECACFF">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承包人完成竣工退场的期限：</w:t>
      </w:r>
      <w:r>
        <w:rPr>
          <w:rFonts w:hint="eastAsia" w:ascii="宋体" w:hAnsi="宋体" w:cs="宋体"/>
          <w:color w:val="auto"/>
          <w:sz w:val="24"/>
          <w:szCs w:val="24"/>
          <w:highlight w:val="none"/>
          <w:u w:val="single"/>
          <w:lang w:bidi="ar"/>
        </w:rPr>
        <w:t>执行通用条款</w:t>
      </w:r>
      <w:r>
        <w:rPr>
          <w:rFonts w:hint="eastAsia" w:ascii="宋体" w:hAnsi="宋体"/>
          <w:color w:val="auto"/>
          <w:kern w:val="0"/>
          <w:sz w:val="24"/>
          <w:szCs w:val="24"/>
          <w:highlight w:val="none"/>
        </w:rPr>
        <w:t>。</w:t>
      </w:r>
    </w:p>
    <w:p w14:paraId="02C2EE8C">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207" w:name="_Toc351203646"/>
      <w:r>
        <w:rPr>
          <w:rFonts w:hint="eastAsia" w:ascii="宋体" w:hAnsi="宋体"/>
          <w:bCs/>
          <w:color w:val="auto"/>
          <w:sz w:val="24"/>
          <w:szCs w:val="24"/>
          <w:highlight w:val="none"/>
        </w:rPr>
        <w:t>14. 竣工结算</w:t>
      </w:r>
      <w:bookmarkEnd w:id="1207"/>
    </w:p>
    <w:p w14:paraId="1E9C803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14.1 竣工结算申请</w:t>
      </w:r>
    </w:p>
    <w:p w14:paraId="29E0D5F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承包人提交竣工结算申请单的期限：</w:t>
      </w:r>
      <w:r>
        <w:rPr>
          <w:rFonts w:hint="eastAsia" w:ascii="宋体" w:hAnsi="宋体" w:cs="宋体"/>
          <w:color w:val="auto"/>
          <w:sz w:val="24"/>
          <w:szCs w:val="24"/>
          <w:highlight w:val="none"/>
          <w:u w:val="single"/>
          <w:lang w:bidi="ar"/>
        </w:rPr>
        <w:t>竣工验收合格后28天内</w:t>
      </w:r>
      <w:r>
        <w:rPr>
          <w:rFonts w:hint="eastAsia" w:ascii="宋体" w:hAnsi="宋体"/>
          <w:color w:val="auto"/>
          <w:sz w:val="24"/>
          <w:szCs w:val="24"/>
          <w:highlight w:val="none"/>
        </w:rPr>
        <w:t>。</w:t>
      </w:r>
    </w:p>
    <w:p w14:paraId="33E7C363">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竣工结算申请单应包括的内容：</w:t>
      </w:r>
      <w:r>
        <w:rPr>
          <w:rFonts w:hint="eastAsia" w:ascii="宋体" w:hAnsi="宋体" w:cs="宋体"/>
          <w:color w:val="auto"/>
          <w:sz w:val="24"/>
          <w:szCs w:val="24"/>
          <w:highlight w:val="none"/>
          <w:u w:val="single"/>
          <w:lang w:bidi="ar"/>
        </w:rPr>
        <w:t>（1）竣工结算报送价格；（2）发包人已支付承包人的款项；（3）发包人应支付承包人的合同价款</w:t>
      </w:r>
      <w:r>
        <w:rPr>
          <w:rFonts w:hint="eastAsia" w:ascii="宋体" w:hAnsi="宋体"/>
          <w:color w:val="auto"/>
          <w:sz w:val="24"/>
          <w:szCs w:val="24"/>
          <w:highlight w:val="none"/>
        </w:rPr>
        <w:t>。</w:t>
      </w:r>
    </w:p>
    <w:p w14:paraId="4CEE1FAD">
      <w:pPr>
        <w:shd w:val="clear" w:color="auto" w:fill="auto"/>
        <w:spacing w:line="380" w:lineRule="exact"/>
        <w:ind w:firstLine="480" w:firstLineChars="200"/>
        <w:outlineLvl w:val="0"/>
        <w:rPr>
          <w:rFonts w:hint="eastAsia" w:ascii="宋体" w:hAnsi="宋体"/>
          <w:color w:val="auto"/>
          <w:sz w:val="24"/>
          <w:szCs w:val="24"/>
          <w:highlight w:val="none"/>
        </w:rPr>
      </w:pPr>
      <w:bookmarkStart w:id="1208" w:name="_Toc31660"/>
      <w:bookmarkStart w:id="1209" w:name="_Toc3374"/>
      <w:bookmarkStart w:id="1210" w:name="_Toc3259"/>
      <w:bookmarkStart w:id="1211" w:name="_Toc6269"/>
      <w:bookmarkStart w:id="1212" w:name="_Toc30276"/>
      <w:bookmarkStart w:id="1213" w:name="_Toc19211"/>
      <w:bookmarkStart w:id="1214" w:name="_Toc22215"/>
      <w:bookmarkStart w:id="1215" w:name="_Toc29886"/>
      <w:r>
        <w:rPr>
          <w:rFonts w:hint="eastAsia" w:ascii="宋体" w:hAnsi="宋体"/>
          <w:color w:val="auto"/>
          <w:sz w:val="24"/>
          <w:szCs w:val="24"/>
          <w:highlight w:val="none"/>
        </w:rPr>
        <w:t>14.2 竣工结算审核</w:t>
      </w:r>
      <w:bookmarkEnd w:id="1208"/>
      <w:bookmarkEnd w:id="1209"/>
      <w:bookmarkEnd w:id="1210"/>
      <w:bookmarkEnd w:id="1211"/>
      <w:bookmarkEnd w:id="1212"/>
      <w:bookmarkEnd w:id="1213"/>
      <w:bookmarkEnd w:id="1214"/>
      <w:bookmarkEnd w:id="1215"/>
    </w:p>
    <w:p w14:paraId="6A8BB7C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发包人审批竣工付款申请单的期限：</w:t>
      </w:r>
      <w:r>
        <w:rPr>
          <w:rFonts w:hint="eastAsia" w:ascii="宋体" w:hAnsi="宋体" w:cs="宋体"/>
          <w:color w:val="auto"/>
          <w:sz w:val="24"/>
          <w:szCs w:val="24"/>
          <w:highlight w:val="none"/>
          <w:u w:val="single"/>
          <w:lang w:bidi="ar"/>
        </w:rPr>
        <w:t>30天内</w:t>
      </w:r>
      <w:r>
        <w:rPr>
          <w:rFonts w:hint="eastAsia" w:ascii="宋体" w:hAnsi="宋体"/>
          <w:color w:val="auto"/>
          <w:sz w:val="24"/>
          <w:szCs w:val="24"/>
          <w:highlight w:val="none"/>
        </w:rPr>
        <w:t>。</w:t>
      </w:r>
    </w:p>
    <w:p w14:paraId="57C176C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发包人完成竣工付款的期限：</w:t>
      </w:r>
      <w:r>
        <w:rPr>
          <w:rFonts w:hint="eastAsia" w:ascii="宋体" w:hAnsi="宋体" w:cs="宋体"/>
          <w:color w:val="auto"/>
          <w:sz w:val="24"/>
          <w:szCs w:val="24"/>
          <w:highlight w:val="none"/>
          <w:u w:val="single"/>
          <w:lang w:bidi="ar"/>
        </w:rPr>
        <w:t>三方确认的审计结果出具后30天内</w:t>
      </w:r>
      <w:r>
        <w:rPr>
          <w:rFonts w:hint="eastAsia" w:ascii="宋体" w:hAnsi="宋体"/>
          <w:color w:val="auto"/>
          <w:sz w:val="24"/>
          <w:szCs w:val="24"/>
          <w:highlight w:val="none"/>
        </w:rPr>
        <w:t>。</w:t>
      </w:r>
    </w:p>
    <w:p w14:paraId="10A9DF96">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关于竣工付款证书异议部分复核的方式和程序：</w:t>
      </w:r>
      <w:r>
        <w:rPr>
          <w:rFonts w:hint="eastAsia" w:ascii="宋体" w:hAnsi="宋体" w:cs="宋体"/>
          <w:color w:val="auto"/>
          <w:sz w:val="24"/>
          <w:szCs w:val="24"/>
          <w:highlight w:val="none"/>
          <w:u w:val="single"/>
          <w:lang w:bidi="ar"/>
        </w:rPr>
        <w:t>执行通用条款</w:t>
      </w:r>
      <w:r>
        <w:rPr>
          <w:rFonts w:hint="eastAsia" w:ascii="宋体" w:hAnsi="宋体"/>
          <w:color w:val="auto"/>
          <w:sz w:val="24"/>
          <w:szCs w:val="24"/>
          <w:highlight w:val="none"/>
        </w:rPr>
        <w:t>。</w:t>
      </w:r>
    </w:p>
    <w:p w14:paraId="704C2274">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14.4 最终结清</w:t>
      </w:r>
    </w:p>
    <w:p w14:paraId="1A1A0D67">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14.4.1 最终结清申请单</w:t>
      </w:r>
    </w:p>
    <w:p w14:paraId="64922C04">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承包人提交最终结清申请单的份数：</w:t>
      </w:r>
      <w:r>
        <w:rPr>
          <w:rFonts w:hint="eastAsia" w:ascii="宋体" w:hAnsi="宋体" w:cs="宋体"/>
          <w:color w:val="auto"/>
          <w:sz w:val="24"/>
          <w:szCs w:val="24"/>
          <w:highlight w:val="none"/>
          <w:u w:val="single"/>
          <w:lang w:bidi="ar"/>
        </w:rPr>
        <w:t>伍份</w:t>
      </w:r>
      <w:r>
        <w:rPr>
          <w:rFonts w:hint="eastAsia" w:ascii="宋体" w:hAnsi="宋体"/>
          <w:color w:val="auto"/>
          <w:sz w:val="24"/>
          <w:szCs w:val="24"/>
          <w:highlight w:val="none"/>
        </w:rPr>
        <w:t>。</w:t>
      </w:r>
    </w:p>
    <w:p w14:paraId="669A623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kern w:val="0"/>
          <w:sz w:val="24"/>
          <w:szCs w:val="24"/>
          <w:highlight w:val="none"/>
        </w:rPr>
        <w:t>承包人提交最终结算申请单的期限：</w:t>
      </w:r>
      <w:r>
        <w:rPr>
          <w:rFonts w:hint="eastAsia" w:ascii="宋体" w:hAnsi="宋体" w:cs="宋体"/>
          <w:color w:val="auto"/>
          <w:sz w:val="24"/>
          <w:szCs w:val="24"/>
          <w:highlight w:val="none"/>
          <w:u w:val="single"/>
          <w:lang w:bidi="ar"/>
        </w:rPr>
        <w:t>缺陷责任期终止后7天内</w:t>
      </w:r>
      <w:r>
        <w:rPr>
          <w:rFonts w:hint="eastAsia" w:ascii="宋体" w:hAnsi="宋体"/>
          <w:color w:val="auto"/>
          <w:sz w:val="24"/>
          <w:szCs w:val="24"/>
          <w:highlight w:val="none"/>
        </w:rPr>
        <w:t xml:space="preserve">。 </w:t>
      </w:r>
    </w:p>
    <w:p w14:paraId="14338588">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14.4.2 最终结清证书和支付</w:t>
      </w:r>
    </w:p>
    <w:p w14:paraId="321E8B1D">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（1）发包人完成最终结清申请单的审批并颁发最终结清证书的期限：</w:t>
      </w:r>
      <w:r>
        <w:rPr>
          <w:rFonts w:hint="eastAsia" w:ascii="宋体" w:hAnsi="宋体" w:cs="宋体"/>
          <w:color w:val="auto"/>
          <w:sz w:val="24"/>
          <w:szCs w:val="24"/>
          <w:highlight w:val="none"/>
          <w:u w:val="single"/>
          <w:lang w:bidi="ar"/>
        </w:rPr>
        <w:t>收到承包人提交的最终结清证书7天内</w:t>
      </w:r>
      <w:r>
        <w:rPr>
          <w:rFonts w:hint="eastAsia" w:ascii="宋体" w:hAnsi="宋体"/>
          <w:color w:val="auto"/>
          <w:sz w:val="24"/>
          <w:szCs w:val="24"/>
          <w:highlight w:val="none"/>
        </w:rPr>
        <w:t>。</w:t>
      </w:r>
    </w:p>
    <w:p w14:paraId="2C0E819C">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（2）发包人完成支付的期限：</w:t>
      </w:r>
      <w:r>
        <w:rPr>
          <w:rFonts w:hint="eastAsia" w:ascii="宋体" w:hAnsi="宋体" w:cs="宋体"/>
          <w:color w:val="auto"/>
          <w:sz w:val="24"/>
          <w:szCs w:val="24"/>
          <w:highlight w:val="none"/>
          <w:u w:val="single"/>
          <w:lang w:bidi="ar"/>
        </w:rPr>
        <w:t>7天内</w:t>
      </w:r>
      <w:r>
        <w:rPr>
          <w:rFonts w:hint="eastAsia" w:ascii="宋体" w:hAnsi="宋体"/>
          <w:color w:val="auto"/>
          <w:sz w:val="24"/>
          <w:szCs w:val="24"/>
          <w:highlight w:val="none"/>
        </w:rPr>
        <w:t>。</w:t>
      </w:r>
    </w:p>
    <w:bookmarkEnd w:id="1186"/>
    <w:bookmarkEnd w:id="1187"/>
    <w:bookmarkEnd w:id="1188"/>
    <w:bookmarkEnd w:id="1189"/>
    <w:bookmarkEnd w:id="1190"/>
    <w:bookmarkEnd w:id="1191"/>
    <w:bookmarkEnd w:id="1192"/>
    <w:bookmarkEnd w:id="1198"/>
    <w:p w14:paraId="26D29A1E">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216" w:name="_Toc351203647"/>
      <w:bookmarkStart w:id="1217" w:name="_Toc267251483"/>
      <w:bookmarkStart w:id="1218" w:name="_Toc267251484"/>
      <w:bookmarkStart w:id="1219" w:name="_Toc267251482"/>
      <w:bookmarkStart w:id="1220" w:name="_Toc267251485"/>
      <w:bookmarkStart w:id="1221" w:name="_Toc267251488"/>
      <w:bookmarkStart w:id="1222" w:name="_Toc267251486"/>
      <w:bookmarkStart w:id="1223" w:name="_Toc267251489"/>
      <w:bookmarkStart w:id="1224" w:name="_Toc267251490"/>
      <w:bookmarkStart w:id="1225" w:name="_Toc267251503"/>
      <w:bookmarkStart w:id="1226" w:name="_Toc267251496"/>
      <w:bookmarkStart w:id="1227" w:name="_Toc267251492"/>
      <w:bookmarkStart w:id="1228" w:name="_Toc267251501"/>
      <w:bookmarkStart w:id="1229" w:name="_Toc267251497"/>
      <w:bookmarkStart w:id="1230" w:name="_Toc267251499"/>
      <w:bookmarkStart w:id="1231" w:name="_Toc267251494"/>
      <w:bookmarkStart w:id="1232" w:name="_Toc267251491"/>
      <w:bookmarkStart w:id="1233" w:name="_Toc267251493"/>
      <w:bookmarkStart w:id="1234" w:name="_Toc267251502"/>
      <w:bookmarkStart w:id="1235" w:name="_Toc267251498"/>
      <w:bookmarkStart w:id="1236" w:name="_Toc267251495"/>
      <w:bookmarkStart w:id="1237" w:name="_Toc267251504"/>
      <w:bookmarkStart w:id="1238" w:name="_Toc267251506"/>
      <w:bookmarkStart w:id="1239" w:name="_Toc267251507"/>
      <w:bookmarkStart w:id="1240" w:name="_Toc267251508"/>
      <w:bookmarkStart w:id="1241" w:name="_Toc267251515"/>
      <w:bookmarkStart w:id="1242" w:name="_Toc267251509"/>
      <w:bookmarkStart w:id="1243" w:name="_Toc267251514"/>
      <w:bookmarkStart w:id="1244" w:name="_Toc267251510"/>
      <w:bookmarkStart w:id="1245" w:name="_Toc267251513"/>
      <w:bookmarkStart w:id="1246" w:name="_Toc267251511"/>
      <w:r>
        <w:rPr>
          <w:rFonts w:hint="eastAsia" w:ascii="宋体" w:hAnsi="宋体"/>
          <w:bCs/>
          <w:color w:val="auto"/>
          <w:sz w:val="24"/>
          <w:szCs w:val="24"/>
          <w:highlight w:val="none"/>
        </w:rPr>
        <w:t>15. 缺陷责任期与保修</w:t>
      </w:r>
      <w:bookmarkEnd w:id="1216"/>
    </w:p>
    <w:p w14:paraId="52632F42">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15.2缺陷责任期</w:t>
      </w:r>
      <w:bookmarkEnd w:id="1217"/>
    </w:p>
    <w:p w14:paraId="3906EFD2">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缺陷责任期的具体期限：</w:t>
      </w:r>
      <w:r>
        <w:rPr>
          <w:rFonts w:hint="eastAsia" w:ascii="宋体" w:hAnsi="宋体"/>
          <w:color w:val="auto"/>
          <w:sz w:val="24"/>
          <w:szCs w:val="24"/>
          <w:highlight w:val="none"/>
          <w:u w:val="single"/>
          <w:lang w:val="zh-TW" w:eastAsia="zh-TW"/>
        </w:rPr>
        <w:t>按附件《工程质量保修书》执行</w:t>
      </w:r>
      <w:r>
        <w:rPr>
          <w:rFonts w:hint="eastAsia" w:ascii="宋体" w:hAnsi="宋体"/>
          <w:color w:val="auto"/>
          <w:sz w:val="24"/>
          <w:szCs w:val="24"/>
          <w:highlight w:val="none"/>
        </w:rPr>
        <w:t>。</w:t>
      </w:r>
    </w:p>
    <w:p w14:paraId="00B0CF7C">
      <w:pPr>
        <w:shd w:val="clear" w:color="auto" w:fill="auto"/>
        <w:spacing w:line="380" w:lineRule="exact"/>
        <w:ind w:firstLine="480" w:firstLineChars="200"/>
        <w:outlineLvl w:val="0"/>
        <w:rPr>
          <w:rFonts w:hint="eastAsia" w:ascii="宋体" w:hAnsi="宋体"/>
          <w:color w:val="auto"/>
          <w:sz w:val="24"/>
          <w:szCs w:val="24"/>
          <w:highlight w:val="none"/>
        </w:rPr>
      </w:pPr>
      <w:bookmarkStart w:id="1247" w:name="_Toc14625"/>
      <w:bookmarkStart w:id="1248" w:name="_Toc30258"/>
      <w:bookmarkStart w:id="1249" w:name="_Toc1466"/>
      <w:bookmarkStart w:id="1250" w:name="_Toc13030"/>
      <w:bookmarkStart w:id="1251" w:name="_Toc31755"/>
      <w:bookmarkStart w:id="1252" w:name="_Toc2594"/>
      <w:bookmarkStart w:id="1253" w:name="_Toc20177"/>
      <w:bookmarkStart w:id="1254" w:name="_Toc18347"/>
      <w:r>
        <w:rPr>
          <w:rFonts w:hint="eastAsia" w:ascii="宋体" w:hAnsi="宋体"/>
          <w:color w:val="auto"/>
          <w:sz w:val="24"/>
          <w:szCs w:val="24"/>
          <w:highlight w:val="none"/>
        </w:rPr>
        <w:t>15.3 质量保证金</w:t>
      </w:r>
      <w:bookmarkEnd w:id="1247"/>
      <w:bookmarkEnd w:id="1248"/>
      <w:bookmarkEnd w:id="1249"/>
      <w:bookmarkEnd w:id="1250"/>
      <w:bookmarkEnd w:id="1251"/>
      <w:bookmarkEnd w:id="1252"/>
      <w:bookmarkEnd w:id="1253"/>
      <w:bookmarkEnd w:id="1254"/>
    </w:p>
    <w:p w14:paraId="507A118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关于是否扣留质量保证金的约定：</w:t>
      </w:r>
      <w:r>
        <w:rPr>
          <w:rFonts w:hint="eastAsia" w:ascii="宋体" w:hAnsi="宋体" w:cs="宋体"/>
          <w:color w:val="auto"/>
          <w:sz w:val="24"/>
          <w:szCs w:val="24"/>
          <w:highlight w:val="none"/>
          <w:u w:val="single"/>
          <w:lang w:bidi="ar"/>
        </w:rPr>
        <w:t>扣留最终审计结果的3%</w:t>
      </w:r>
      <w:r>
        <w:rPr>
          <w:rFonts w:hint="eastAsia" w:ascii="宋体" w:hAnsi="宋体"/>
          <w:color w:val="auto"/>
          <w:sz w:val="24"/>
          <w:szCs w:val="24"/>
          <w:highlight w:val="none"/>
        </w:rPr>
        <w:t>。在工程项目竣工前，承包人按专用合同草案第3.7条提供履约担保的，发包人不得同时预留工程质量保证金。</w:t>
      </w:r>
    </w:p>
    <w:p w14:paraId="06A108E8">
      <w:pPr>
        <w:shd w:val="clear" w:color="auto" w:fill="auto"/>
        <w:spacing w:line="380" w:lineRule="exact"/>
        <w:ind w:firstLine="480" w:firstLineChars="200"/>
        <w:jc w:val="left"/>
        <w:outlineLvl w:val="0"/>
        <w:rPr>
          <w:rFonts w:hint="eastAsia" w:ascii="宋体" w:hAnsi="宋体"/>
          <w:color w:val="auto"/>
          <w:sz w:val="24"/>
          <w:szCs w:val="24"/>
          <w:highlight w:val="none"/>
        </w:rPr>
      </w:pPr>
      <w:bookmarkStart w:id="1255" w:name="_Toc24323"/>
      <w:bookmarkStart w:id="1256" w:name="_Toc29769"/>
      <w:bookmarkStart w:id="1257" w:name="_Toc10745"/>
      <w:bookmarkStart w:id="1258" w:name="_Toc3933"/>
      <w:bookmarkStart w:id="1259" w:name="_Toc21830"/>
      <w:bookmarkStart w:id="1260" w:name="_Toc11209"/>
      <w:bookmarkStart w:id="1261" w:name="_Toc17088"/>
      <w:bookmarkStart w:id="1262" w:name="_Toc28723"/>
      <w:r>
        <w:rPr>
          <w:rFonts w:hint="eastAsia" w:ascii="宋体" w:hAnsi="宋体"/>
          <w:color w:val="auto"/>
          <w:sz w:val="24"/>
          <w:szCs w:val="24"/>
          <w:highlight w:val="none"/>
        </w:rPr>
        <w:t>15.3.1 承包人提供质量保证金的方式</w:t>
      </w:r>
      <w:bookmarkEnd w:id="1255"/>
      <w:bookmarkEnd w:id="1256"/>
      <w:bookmarkEnd w:id="1257"/>
      <w:bookmarkEnd w:id="1258"/>
      <w:bookmarkEnd w:id="1259"/>
      <w:bookmarkEnd w:id="1260"/>
      <w:bookmarkEnd w:id="1261"/>
      <w:bookmarkEnd w:id="1262"/>
    </w:p>
    <w:p w14:paraId="0B43492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质量保证金采用以下第</w:t>
      </w:r>
      <w:r>
        <w:rPr>
          <w:rFonts w:hint="eastAsia" w:ascii="宋体" w:hAnsi="宋体"/>
          <w:color w:val="auto"/>
          <w:sz w:val="24"/>
          <w:szCs w:val="24"/>
          <w:highlight w:val="none"/>
          <w:u w:val="single"/>
        </w:rPr>
        <w:t xml:space="preserve"> 2</w:t>
      </w:r>
      <w:r>
        <w:rPr>
          <w:rFonts w:hint="eastAsia" w:ascii="宋体" w:hAnsi="宋体"/>
          <w:color w:val="auto"/>
          <w:sz w:val="24"/>
          <w:szCs w:val="24"/>
          <w:highlight w:val="none"/>
        </w:rPr>
        <w:t>种方式：</w:t>
      </w:r>
    </w:p>
    <w:p w14:paraId="2005943A">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（1）质量保证金保函，保证金额为：</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 xml:space="preserve">； </w:t>
      </w:r>
    </w:p>
    <w:p w14:paraId="75B18D4E">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w:t>
      </w:r>
      <w:r>
        <w:rPr>
          <w:rFonts w:hint="eastAsia" w:ascii="宋体" w:hAnsi="宋体"/>
          <w:color w:val="auto"/>
          <w:kern w:val="0"/>
          <w:sz w:val="24"/>
          <w:szCs w:val="24"/>
          <w:highlight w:val="none"/>
          <w:u w:val="single"/>
        </w:rPr>
        <w:t>3</w:t>
      </w:r>
      <w:r>
        <w:rPr>
          <w:rFonts w:hint="eastAsia" w:ascii="宋体" w:hAnsi="宋体"/>
          <w:color w:val="auto"/>
          <w:kern w:val="0"/>
          <w:sz w:val="24"/>
          <w:szCs w:val="24"/>
          <w:highlight w:val="none"/>
        </w:rPr>
        <w:t>%的工程款；</w:t>
      </w:r>
    </w:p>
    <w:p w14:paraId="65E2B35A">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（3）其他方式:</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1CE31DED">
      <w:pPr>
        <w:shd w:val="clear" w:color="auto" w:fill="auto"/>
        <w:spacing w:line="380" w:lineRule="exact"/>
        <w:ind w:firstLine="480" w:firstLineChars="200"/>
        <w:jc w:val="left"/>
        <w:outlineLvl w:val="0"/>
        <w:rPr>
          <w:rFonts w:hint="eastAsia" w:ascii="宋体" w:hAnsi="宋体"/>
          <w:color w:val="auto"/>
          <w:sz w:val="24"/>
          <w:szCs w:val="24"/>
          <w:highlight w:val="none"/>
        </w:rPr>
      </w:pPr>
      <w:bookmarkStart w:id="1263" w:name="_Toc13201"/>
      <w:bookmarkStart w:id="1264" w:name="_Toc25079"/>
      <w:bookmarkStart w:id="1265" w:name="_Toc1797"/>
      <w:bookmarkStart w:id="1266" w:name="_Toc29035"/>
      <w:bookmarkStart w:id="1267" w:name="_Toc18925"/>
      <w:bookmarkStart w:id="1268" w:name="_Toc12502"/>
      <w:bookmarkStart w:id="1269" w:name="_Toc28913"/>
      <w:bookmarkStart w:id="1270" w:name="_Toc16478"/>
      <w:r>
        <w:rPr>
          <w:rFonts w:hint="eastAsia" w:ascii="宋体" w:hAnsi="宋体"/>
          <w:color w:val="auto"/>
          <w:sz w:val="24"/>
          <w:szCs w:val="24"/>
          <w:highlight w:val="none"/>
        </w:rPr>
        <w:t>15.3.2 质量保证金的扣留</w:t>
      </w:r>
      <w:bookmarkEnd w:id="1263"/>
      <w:bookmarkEnd w:id="1264"/>
      <w:bookmarkEnd w:id="1265"/>
      <w:bookmarkEnd w:id="1266"/>
      <w:bookmarkEnd w:id="1267"/>
      <w:bookmarkEnd w:id="1268"/>
      <w:bookmarkEnd w:id="1269"/>
      <w:bookmarkEnd w:id="1270"/>
    </w:p>
    <w:p w14:paraId="178B256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质量保证金的扣留采取以下第</w:t>
      </w:r>
      <w:r>
        <w:rPr>
          <w:rFonts w:hint="eastAsia" w:ascii="宋体" w:hAnsi="宋体"/>
          <w:color w:val="auto"/>
          <w:sz w:val="24"/>
          <w:szCs w:val="24"/>
          <w:highlight w:val="none"/>
          <w:u w:val="single"/>
        </w:rPr>
        <w:t xml:space="preserve"> 2</w:t>
      </w:r>
      <w:r>
        <w:rPr>
          <w:rFonts w:hint="eastAsia" w:ascii="宋体" w:hAnsi="宋体"/>
          <w:color w:val="auto"/>
          <w:sz w:val="24"/>
          <w:szCs w:val="24"/>
          <w:highlight w:val="none"/>
        </w:rPr>
        <w:t>种方式：</w:t>
      </w:r>
    </w:p>
    <w:p w14:paraId="58D198D7">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（1）在支付工程进度款时逐次扣留，在此情形下，质量保证金的计算基数不包括预付款的支付、扣回以及价格调整的金额；</w:t>
      </w:r>
    </w:p>
    <w:p w14:paraId="167D3692">
      <w:pPr>
        <w:shd w:val="clear" w:color="auto" w:fill="auto"/>
        <w:autoSpaceDE w:val="0"/>
        <w:autoSpaceDN w:val="0"/>
        <w:adjustRightInd w:val="0"/>
        <w:spacing w:line="380" w:lineRule="exact"/>
        <w:ind w:firstLine="480" w:firstLineChars="200"/>
        <w:jc w:val="left"/>
        <w:outlineLvl w:val="0"/>
        <w:rPr>
          <w:rFonts w:hint="eastAsia" w:ascii="宋体" w:hAnsi="宋体"/>
          <w:color w:val="auto"/>
          <w:kern w:val="0"/>
          <w:sz w:val="24"/>
          <w:szCs w:val="24"/>
          <w:highlight w:val="none"/>
        </w:rPr>
      </w:pPr>
      <w:bookmarkStart w:id="1271" w:name="_Toc11904"/>
      <w:bookmarkStart w:id="1272" w:name="_Toc5068"/>
      <w:bookmarkStart w:id="1273" w:name="_Toc15791"/>
      <w:bookmarkStart w:id="1274" w:name="_Toc21198"/>
      <w:bookmarkStart w:id="1275" w:name="_Toc23803"/>
      <w:bookmarkStart w:id="1276" w:name="_Toc4414"/>
      <w:bookmarkStart w:id="1277" w:name="_Toc4854"/>
      <w:bookmarkStart w:id="1278" w:name="_Toc1627"/>
      <w:r>
        <w:rPr>
          <w:rFonts w:hint="eastAsia" w:ascii="宋体" w:hAnsi="宋体"/>
          <w:color w:val="auto"/>
          <w:kern w:val="0"/>
          <w:sz w:val="24"/>
          <w:szCs w:val="24"/>
          <w:highlight w:val="none"/>
        </w:rPr>
        <w:t>（2）工程竣工结算时一次性扣留质量保证金；</w:t>
      </w:r>
      <w:bookmarkEnd w:id="1271"/>
      <w:bookmarkEnd w:id="1272"/>
      <w:bookmarkEnd w:id="1273"/>
      <w:bookmarkEnd w:id="1274"/>
      <w:bookmarkEnd w:id="1275"/>
      <w:bookmarkEnd w:id="1276"/>
      <w:bookmarkEnd w:id="1277"/>
      <w:bookmarkEnd w:id="1278"/>
    </w:p>
    <w:p w14:paraId="164D2B8D">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（3）其他扣留方式:</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p w14:paraId="458294F4">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关于质量保证金的补充约定：</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bookmarkEnd w:id="1218"/>
    <w:bookmarkEnd w:id="1219"/>
    <w:p w14:paraId="035E4B8E">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15.4保修</w:t>
      </w:r>
    </w:p>
    <w:bookmarkEnd w:id="1220"/>
    <w:p w14:paraId="399355DB">
      <w:pPr>
        <w:shd w:val="clear" w:color="auto" w:fill="auto"/>
        <w:spacing w:line="380" w:lineRule="exact"/>
        <w:ind w:firstLine="468" w:firstLineChars="195"/>
        <w:jc w:val="left"/>
        <w:rPr>
          <w:rFonts w:hint="eastAsia" w:ascii="宋体" w:hAnsi="宋体"/>
          <w:color w:val="auto"/>
          <w:sz w:val="24"/>
          <w:szCs w:val="24"/>
          <w:highlight w:val="none"/>
        </w:rPr>
      </w:pPr>
      <w:r>
        <w:rPr>
          <w:rFonts w:hint="eastAsia" w:ascii="宋体" w:hAnsi="宋体"/>
          <w:color w:val="auto"/>
          <w:sz w:val="24"/>
          <w:szCs w:val="24"/>
          <w:highlight w:val="none"/>
        </w:rPr>
        <w:t>15.4.1 保修责任</w:t>
      </w:r>
    </w:p>
    <w:p w14:paraId="3D3FFD81">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工程保修期为：</w:t>
      </w:r>
      <w:r>
        <w:rPr>
          <w:rFonts w:hint="eastAsia" w:ascii="宋体" w:hAnsi="宋体" w:cs="宋体"/>
          <w:color w:val="auto"/>
          <w:kern w:val="0"/>
          <w:sz w:val="24"/>
          <w:szCs w:val="24"/>
          <w:highlight w:val="none"/>
          <w:u w:val="single"/>
          <w:lang w:bidi="ar"/>
        </w:rPr>
        <w:t>见《工程质量保修书》</w:t>
      </w:r>
      <w:r>
        <w:rPr>
          <w:rFonts w:hint="eastAsia" w:ascii="宋体" w:hAnsi="宋体"/>
          <w:color w:val="auto"/>
          <w:kern w:val="0"/>
          <w:sz w:val="24"/>
          <w:szCs w:val="24"/>
          <w:highlight w:val="none"/>
        </w:rPr>
        <w:t>。</w:t>
      </w:r>
    </w:p>
    <w:p w14:paraId="4E10BC44">
      <w:pPr>
        <w:shd w:val="clear" w:color="auto" w:fill="auto"/>
        <w:spacing w:line="380" w:lineRule="exact"/>
        <w:ind w:firstLine="468" w:firstLineChars="195"/>
        <w:jc w:val="left"/>
        <w:rPr>
          <w:rFonts w:hint="eastAsia" w:ascii="宋体" w:hAnsi="宋体"/>
          <w:color w:val="auto"/>
          <w:sz w:val="24"/>
          <w:szCs w:val="24"/>
          <w:highlight w:val="none"/>
        </w:rPr>
      </w:pPr>
      <w:r>
        <w:rPr>
          <w:rFonts w:hint="eastAsia" w:ascii="宋体" w:hAnsi="宋体"/>
          <w:color w:val="auto"/>
          <w:sz w:val="24"/>
          <w:szCs w:val="24"/>
          <w:highlight w:val="none"/>
        </w:rPr>
        <w:t>15.4.3 修复通知</w:t>
      </w:r>
    </w:p>
    <w:p w14:paraId="5694763A">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承包人收到保修通知并到达工程现场的合理时间：</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bookmarkEnd w:id="1221"/>
    <w:bookmarkEnd w:id="1222"/>
    <w:bookmarkEnd w:id="1223"/>
    <w:bookmarkEnd w:id="1224"/>
    <w:p w14:paraId="2984A161">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279" w:name="_Toc351203648"/>
      <w:bookmarkStart w:id="1280" w:name="_Toc280868717"/>
      <w:bookmarkStart w:id="1281" w:name="_Toc280868718"/>
      <w:r>
        <w:rPr>
          <w:rFonts w:hint="eastAsia" w:ascii="宋体" w:hAnsi="宋体"/>
          <w:bCs/>
          <w:color w:val="auto"/>
          <w:sz w:val="24"/>
          <w:szCs w:val="24"/>
          <w:highlight w:val="none"/>
        </w:rPr>
        <w:t>16. 违约</w:t>
      </w:r>
      <w:bookmarkEnd w:id="1279"/>
    </w:p>
    <w:p w14:paraId="4C9355BD">
      <w:pPr>
        <w:shd w:val="clear" w:color="auto" w:fill="auto"/>
        <w:spacing w:line="380" w:lineRule="exact"/>
        <w:ind w:firstLine="480" w:firstLineChars="200"/>
        <w:outlineLvl w:val="0"/>
        <w:rPr>
          <w:rFonts w:hint="eastAsia" w:ascii="宋体" w:hAnsi="宋体"/>
          <w:color w:val="auto"/>
          <w:sz w:val="24"/>
          <w:szCs w:val="24"/>
          <w:highlight w:val="none"/>
        </w:rPr>
      </w:pPr>
      <w:bookmarkStart w:id="1282" w:name="_Toc21104"/>
      <w:bookmarkStart w:id="1283" w:name="_Toc5760"/>
      <w:bookmarkStart w:id="1284" w:name="_Toc14899"/>
      <w:bookmarkStart w:id="1285" w:name="_Toc9051"/>
      <w:bookmarkStart w:id="1286" w:name="_Toc18879"/>
      <w:bookmarkStart w:id="1287" w:name="_Toc31188"/>
      <w:bookmarkStart w:id="1288" w:name="_Toc19168"/>
      <w:bookmarkStart w:id="1289" w:name="_Toc16401"/>
      <w:r>
        <w:rPr>
          <w:rFonts w:hint="eastAsia" w:ascii="宋体" w:hAnsi="宋体"/>
          <w:color w:val="auto"/>
          <w:sz w:val="24"/>
          <w:szCs w:val="24"/>
          <w:highlight w:val="none"/>
        </w:rPr>
        <w:t>16.1 发包人违约</w:t>
      </w:r>
      <w:bookmarkEnd w:id="1282"/>
      <w:bookmarkEnd w:id="1283"/>
      <w:bookmarkEnd w:id="1284"/>
      <w:bookmarkEnd w:id="1285"/>
      <w:bookmarkEnd w:id="1286"/>
      <w:bookmarkEnd w:id="1287"/>
      <w:bookmarkEnd w:id="1288"/>
      <w:bookmarkEnd w:id="1289"/>
    </w:p>
    <w:p w14:paraId="3CC7BDF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16.1.1发包人违约的情形</w:t>
      </w:r>
    </w:p>
    <w:p w14:paraId="62B68D7A">
      <w:pPr>
        <w:shd w:val="clear" w:color="auto" w:fill="auto"/>
        <w:spacing w:line="380" w:lineRule="exact"/>
        <w:ind w:left="1200" w:hanging="1200" w:hangingChars="5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发包人违约的其他情形：</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3FD9BF83">
      <w:pPr>
        <w:shd w:val="clear" w:color="auto" w:fill="auto"/>
        <w:spacing w:line="380" w:lineRule="exact"/>
        <w:ind w:left="1200" w:hanging="1200" w:hangingChars="5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 xml:space="preserve">    16.1.2 发包人违约的责任</w:t>
      </w:r>
    </w:p>
    <w:p w14:paraId="5239039F">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发包人违约责任的承担方式和计算方法：</w:t>
      </w:r>
    </w:p>
    <w:p w14:paraId="143518E8">
      <w:pPr>
        <w:shd w:val="clear" w:color="auto" w:fill="auto"/>
        <w:spacing w:line="380" w:lineRule="exact"/>
        <w:ind w:firstLine="480" w:firstLineChars="200"/>
        <w:jc w:val="left"/>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（1）因发包人原因未能在计划开工日期前7天内下达开工通知的违约责任：</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1842184D">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（2）因发包人原因未能按合同约定支付合同价款的违约责任：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311F9144">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（3）发包人违反第10.1款〔变更的范围〕第（2）项约定，自行实施被取消的工作或转由他人实施的违约责任：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20D238A0">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（4）发包人提供的材料、工程设备的规格、数量或质量不符合合同约定，或因发包人原因导致交货日期延误或交货地点变更等情况的违约责任：</w:t>
      </w:r>
      <w:r>
        <w:rPr>
          <w:rFonts w:hint="eastAsia" w:ascii="宋体" w:hAnsi="宋体"/>
          <w:color w:val="auto"/>
          <w:kern w:val="0"/>
          <w:sz w:val="24"/>
          <w:szCs w:val="24"/>
          <w:highlight w:val="none"/>
          <w:u w:val="single"/>
        </w:rPr>
        <w:t xml:space="preserve">/ </w:t>
      </w:r>
      <w:r>
        <w:rPr>
          <w:rFonts w:hint="eastAsia" w:ascii="宋体" w:hAnsi="宋体"/>
          <w:color w:val="auto"/>
          <w:kern w:val="0"/>
          <w:sz w:val="24"/>
          <w:szCs w:val="24"/>
          <w:highlight w:val="none"/>
        </w:rPr>
        <w:t>。</w:t>
      </w:r>
    </w:p>
    <w:p w14:paraId="77C15007">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（5）因发包人违反合同约定造成暂停施工的违约责任：</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487F91B3">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（6）发包人无正当理由没有在约定期限内发出复工指示，导致承包人无法复工的违约责任：</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2FD65C4A">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（7）其他：</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40BF9D34">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16.1.3 因发包人违约解除合同</w:t>
      </w:r>
    </w:p>
    <w:p w14:paraId="4C3EAAAB">
      <w:pPr>
        <w:shd w:val="clear" w:color="auto" w:fill="auto"/>
        <w:autoSpaceDE w:val="0"/>
        <w:autoSpaceDN w:val="0"/>
        <w:adjustRightInd w:val="0"/>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承包人按16.1.1项〔发包人违约的情形〕约定暂停施工满</w:t>
      </w:r>
      <w:r>
        <w:rPr>
          <w:rFonts w:hint="eastAsia" w:ascii="宋体" w:hAnsi="宋体"/>
          <w:color w:val="auto"/>
          <w:kern w:val="0"/>
          <w:sz w:val="24"/>
          <w:szCs w:val="24"/>
          <w:highlight w:val="none"/>
          <w:u w:val="single"/>
        </w:rPr>
        <w:t>28</w:t>
      </w:r>
      <w:r>
        <w:rPr>
          <w:rFonts w:hint="eastAsia" w:ascii="宋体" w:hAnsi="宋体"/>
          <w:color w:val="auto"/>
          <w:kern w:val="0"/>
          <w:sz w:val="24"/>
          <w:szCs w:val="24"/>
          <w:highlight w:val="none"/>
        </w:rPr>
        <w:t>天后发包人仍不纠正其违约行为并致使合同目的不能实现的，承包人有权解除合同。</w:t>
      </w:r>
    </w:p>
    <w:p w14:paraId="35DA2F08">
      <w:pPr>
        <w:shd w:val="clear" w:color="auto" w:fill="auto"/>
        <w:spacing w:line="380" w:lineRule="exact"/>
        <w:ind w:firstLine="480" w:firstLineChars="200"/>
        <w:outlineLvl w:val="0"/>
        <w:rPr>
          <w:rFonts w:hint="eastAsia" w:ascii="宋体" w:hAnsi="宋体"/>
          <w:color w:val="auto"/>
          <w:sz w:val="24"/>
          <w:szCs w:val="24"/>
          <w:highlight w:val="none"/>
        </w:rPr>
      </w:pPr>
      <w:bookmarkStart w:id="1290" w:name="_Toc5351"/>
      <w:bookmarkStart w:id="1291" w:name="_Toc27941"/>
      <w:bookmarkStart w:id="1292" w:name="_Toc2877"/>
      <w:bookmarkStart w:id="1293" w:name="_Toc28855"/>
      <w:bookmarkStart w:id="1294" w:name="_Toc7468"/>
      <w:bookmarkStart w:id="1295" w:name="_Toc8498"/>
      <w:bookmarkStart w:id="1296" w:name="_Toc7668"/>
      <w:bookmarkStart w:id="1297" w:name="_Toc29950"/>
      <w:r>
        <w:rPr>
          <w:rFonts w:hint="eastAsia" w:ascii="宋体" w:hAnsi="宋体"/>
          <w:color w:val="auto"/>
          <w:sz w:val="24"/>
          <w:szCs w:val="24"/>
          <w:highlight w:val="none"/>
        </w:rPr>
        <w:t>16.2 承包人违约</w:t>
      </w:r>
      <w:bookmarkEnd w:id="1290"/>
      <w:bookmarkEnd w:id="1291"/>
      <w:bookmarkEnd w:id="1292"/>
      <w:bookmarkEnd w:id="1293"/>
      <w:bookmarkEnd w:id="1294"/>
      <w:bookmarkEnd w:id="1295"/>
      <w:bookmarkEnd w:id="1296"/>
      <w:bookmarkEnd w:id="1297"/>
    </w:p>
    <w:p w14:paraId="5770CE0F">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16.2.1 承包人违约的情形</w:t>
      </w:r>
    </w:p>
    <w:p w14:paraId="27E721C3">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承包人违约的其他情形：</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045A7C22">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16.2.2承包人违约的责任</w:t>
      </w:r>
    </w:p>
    <w:p w14:paraId="729C5F2B">
      <w:pPr>
        <w:shd w:val="clear" w:color="auto" w:fill="auto"/>
        <w:spacing w:line="380" w:lineRule="exact"/>
        <w:ind w:left="1200" w:hanging="1200" w:hangingChars="500"/>
        <w:jc w:val="left"/>
        <w:rPr>
          <w:rFonts w:hint="eastAsia" w:ascii="宋体" w:hAnsi="宋体"/>
          <w:color w:val="auto"/>
          <w:kern w:val="0"/>
          <w:sz w:val="24"/>
          <w:szCs w:val="24"/>
          <w:highlight w:val="none"/>
          <w:u w:val="single"/>
        </w:rPr>
      </w:pPr>
      <w:r>
        <w:rPr>
          <w:rFonts w:hint="eastAsia" w:ascii="宋体" w:hAnsi="宋体"/>
          <w:color w:val="auto"/>
          <w:kern w:val="0"/>
          <w:sz w:val="24"/>
          <w:szCs w:val="24"/>
          <w:highlight w:val="none"/>
        </w:rPr>
        <w:t>承包人违约责任的承担方式和计算方法：</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5043343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16.2.3 因承包人违约解除合同</w:t>
      </w:r>
    </w:p>
    <w:p w14:paraId="0F7C26A6">
      <w:pPr>
        <w:shd w:val="clear" w:color="auto" w:fill="auto"/>
        <w:spacing w:line="380" w:lineRule="exact"/>
        <w:ind w:firstLine="482"/>
        <w:rPr>
          <w:rFonts w:hint="eastAsia" w:ascii="宋体" w:hAnsi="宋体"/>
          <w:color w:val="auto"/>
          <w:kern w:val="0"/>
          <w:sz w:val="24"/>
          <w:szCs w:val="24"/>
          <w:highlight w:val="none"/>
        </w:rPr>
      </w:pPr>
      <w:r>
        <w:rPr>
          <w:rFonts w:hint="eastAsia" w:ascii="宋体" w:hAnsi="宋体"/>
          <w:color w:val="auto"/>
          <w:kern w:val="0"/>
          <w:sz w:val="24"/>
          <w:szCs w:val="24"/>
          <w:highlight w:val="none"/>
        </w:rPr>
        <w:t>关于承包人违约解除合同的特别约定：</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4216642D">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kern w:val="0"/>
          <w:sz w:val="24"/>
          <w:szCs w:val="24"/>
          <w:highlight w:val="none"/>
        </w:rPr>
        <w:t>发包人继续使用承包人在施工现场的材料、设备、临时工程、承包人文件和由承包人或以其名义编制的其他文件的费用承担方式：</w:t>
      </w:r>
      <w:r>
        <w:rPr>
          <w:rFonts w:hint="eastAsia" w:ascii="宋体" w:hAnsi="宋体"/>
          <w:color w:val="auto"/>
          <w:kern w:val="0"/>
          <w:sz w:val="24"/>
          <w:szCs w:val="24"/>
          <w:highlight w:val="none"/>
          <w:u w:val="single"/>
        </w:rPr>
        <w:t xml:space="preserve">  /   </w:t>
      </w:r>
      <w:r>
        <w:rPr>
          <w:rFonts w:hint="eastAsia" w:ascii="宋体" w:hAnsi="宋体"/>
          <w:color w:val="auto"/>
          <w:kern w:val="0"/>
          <w:sz w:val="24"/>
          <w:szCs w:val="24"/>
          <w:highlight w:val="none"/>
        </w:rPr>
        <w:t>。</w:t>
      </w:r>
    </w:p>
    <w:p w14:paraId="532E3C5F">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298" w:name="_Toc351203649"/>
      <w:r>
        <w:rPr>
          <w:rFonts w:hint="eastAsia" w:ascii="宋体" w:hAnsi="宋体"/>
          <w:bCs/>
          <w:color w:val="auto"/>
          <w:sz w:val="24"/>
          <w:szCs w:val="24"/>
          <w:highlight w:val="none"/>
        </w:rPr>
        <w:t>17. 不可抗力</w:t>
      </w:r>
      <w:bookmarkEnd w:id="1280"/>
      <w:bookmarkEnd w:id="1298"/>
    </w:p>
    <w:p w14:paraId="15A8C886">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17.1 不可抗力的确认</w:t>
      </w:r>
    </w:p>
    <w:p w14:paraId="7CFBB0EE">
      <w:pPr>
        <w:shd w:val="clear" w:color="auto" w:fill="auto"/>
        <w:spacing w:line="380" w:lineRule="exact"/>
        <w:ind w:firstLine="480" w:firstLineChars="200"/>
        <w:jc w:val="left"/>
        <w:rPr>
          <w:rFonts w:hint="eastAsia" w:ascii="宋体" w:hAnsi="宋体"/>
          <w:color w:val="auto"/>
          <w:kern w:val="0"/>
          <w:sz w:val="24"/>
          <w:szCs w:val="24"/>
          <w:highlight w:val="none"/>
          <w:u w:val="single"/>
        </w:rPr>
      </w:pPr>
      <w:r>
        <w:rPr>
          <w:rFonts w:hint="eastAsia" w:ascii="宋体" w:hAnsi="宋体"/>
          <w:color w:val="auto"/>
          <w:sz w:val="24"/>
          <w:szCs w:val="24"/>
          <w:highlight w:val="none"/>
        </w:rPr>
        <w:t xml:space="preserve">除通用合同草案约定的不可抗力事件之外，视为不可抗力的其他情形： </w:t>
      </w:r>
      <w:r>
        <w:rPr>
          <w:rFonts w:hint="eastAsia" w:ascii="宋体" w:hAnsi="宋体"/>
          <w:color w:val="auto"/>
          <w:kern w:val="0"/>
          <w:sz w:val="24"/>
          <w:szCs w:val="24"/>
          <w:highlight w:val="none"/>
          <w:u w:val="single"/>
        </w:rPr>
        <w:t>/</w:t>
      </w:r>
      <w:r>
        <w:rPr>
          <w:rFonts w:hint="eastAsia" w:ascii="宋体" w:hAnsi="宋体"/>
          <w:color w:val="auto"/>
          <w:kern w:val="0"/>
          <w:sz w:val="24"/>
          <w:szCs w:val="24"/>
          <w:highlight w:val="none"/>
        </w:rPr>
        <w:t>。</w:t>
      </w:r>
    </w:p>
    <w:p w14:paraId="1AC147E7">
      <w:pPr>
        <w:shd w:val="clear" w:color="auto" w:fill="auto"/>
        <w:spacing w:line="380" w:lineRule="exact"/>
        <w:ind w:firstLine="480" w:firstLineChars="200"/>
        <w:outlineLvl w:val="0"/>
        <w:rPr>
          <w:rFonts w:hint="eastAsia" w:ascii="宋体" w:hAnsi="宋体"/>
          <w:color w:val="auto"/>
          <w:sz w:val="24"/>
          <w:szCs w:val="24"/>
          <w:highlight w:val="none"/>
        </w:rPr>
      </w:pPr>
      <w:bookmarkStart w:id="1299" w:name="_Toc5649"/>
      <w:bookmarkStart w:id="1300" w:name="_Toc17361"/>
      <w:bookmarkStart w:id="1301" w:name="_Toc12511"/>
      <w:bookmarkStart w:id="1302" w:name="_Toc6858"/>
      <w:bookmarkStart w:id="1303" w:name="_Toc23644"/>
      <w:bookmarkStart w:id="1304" w:name="_Toc29722"/>
      <w:bookmarkStart w:id="1305" w:name="_Toc288"/>
      <w:bookmarkStart w:id="1306" w:name="_Toc13103"/>
      <w:r>
        <w:rPr>
          <w:rFonts w:hint="eastAsia" w:ascii="宋体" w:hAnsi="宋体"/>
          <w:color w:val="auto"/>
          <w:sz w:val="24"/>
          <w:szCs w:val="24"/>
          <w:highlight w:val="none"/>
        </w:rPr>
        <w:t>17.4 因不可抗力解除合同</w:t>
      </w:r>
      <w:bookmarkEnd w:id="1299"/>
      <w:bookmarkEnd w:id="1300"/>
      <w:bookmarkEnd w:id="1301"/>
      <w:bookmarkEnd w:id="1302"/>
      <w:bookmarkEnd w:id="1303"/>
      <w:bookmarkEnd w:id="1304"/>
      <w:bookmarkEnd w:id="1305"/>
      <w:bookmarkEnd w:id="1306"/>
    </w:p>
    <w:p w14:paraId="75D9C8A2">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合同解除后，发包人应在商定或确定发包人应支付款项后</w:t>
      </w:r>
      <w:r>
        <w:rPr>
          <w:rFonts w:hint="eastAsia" w:ascii="宋体" w:hAnsi="宋体"/>
          <w:color w:val="auto"/>
          <w:sz w:val="24"/>
          <w:szCs w:val="24"/>
          <w:highlight w:val="none"/>
          <w:u w:val="single"/>
        </w:rPr>
        <w:t>28</w:t>
      </w:r>
      <w:r>
        <w:rPr>
          <w:rFonts w:hint="eastAsia" w:ascii="宋体" w:hAnsi="宋体"/>
          <w:color w:val="auto"/>
          <w:sz w:val="24"/>
          <w:szCs w:val="24"/>
          <w:highlight w:val="none"/>
        </w:rPr>
        <w:t>天内完成款项的支付。</w:t>
      </w:r>
    </w:p>
    <w:p w14:paraId="2F6CD7AA">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307" w:name="_Toc351203650"/>
      <w:r>
        <w:rPr>
          <w:rFonts w:hint="eastAsia" w:ascii="宋体" w:hAnsi="宋体"/>
          <w:bCs/>
          <w:color w:val="auto"/>
          <w:sz w:val="24"/>
          <w:szCs w:val="24"/>
          <w:highlight w:val="none"/>
        </w:rPr>
        <w:t>18. 保险</w:t>
      </w:r>
      <w:bookmarkEnd w:id="1307"/>
    </w:p>
    <w:bookmarkEnd w:id="1281"/>
    <w:p w14:paraId="3C21D0DA">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18.1 工程保险</w:t>
      </w:r>
    </w:p>
    <w:p w14:paraId="4A32C71B">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关于工程保险的特别约定：</w:t>
      </w:r>
      <w:r>
        <w:rPr>
          <w:rFonts w:hint="eastAsia" w:ascii="宋体" w:hAnsi="宋体"/>
          <w:color w:val="auto"/>
          <w:sz w:val="24"/>
          <w:szCs w:val="24"/>
          <w:highlight w:val="none"/>
          <w:u w:val="single"/>
          <w:lang w:val="zh-TW" w:eastAsia="zh-TW"/>
        </w:rPr>
        <w:t>承包人投保，保险费及其他费用已包含在投标报价中</w:t>
      </w:r>
      <w:r>
        <w:rPr>
          <w:rFonts w:hint="eastAsia" w:ascii="宋体" w:hAnsi="宋体"/>
          <w:color w:val="auto"/>
          <w:kern w:val="0"/>
          <w:sz w:val="24"/>
          <w:szCs w:val="24"/>
          <w:highlight w:val="none"/>
        </w:rPr>
        <w:t>。</w:t>
      </w:r>
    </w:p>
    <w:p w14:paraId="2DD8B491">
      <w:pPr>
        <w:shd w:val="clear" w:color="auto" w:fill="auto"/>
        <w:spacing w:line="380" w:lineRule="exact"/>
        <w:ind w:firstLine="480" w:firstLineChars="200"/>
        <w:outlineLvl w:val="0"/>
        <w:rPr>
          <w:rFonts w:hint="eastAsia" w:ascii="宋体" w:hAnsi="宋体"/>
          <w:color w:val="auto"/>
          <w:sz w:val="24"/>
          <w:szCs w:val="24"/>
          <w:highlight w:val="none"/>
        </w:rPr>
      </w:pPr>
      <w:bookmarkStart w:id="1308" w:name="_Toc17245"/>
      <w:bookmarkStart w:id="1309" w:name="_Toc2890"/>
      <w:bookmarkStart w:id="1310" w:name="_Toc18019"/>
      <w:bookmarkStart w:id="1311" w:name="_Toc2094"/>
      <w:bookmarkStart w:id="1312" w:name="_Toc15675"/>
      <w:bookmarkStart w:id="1313" w:name="_Toc22289"/>
      <w:bookmarkStart w:id="1314" w:name="_Toc15738"/>
      <w:bookmarkStart w:id="1315" w:name="_Toc12707"/>
      <w:r>
        <w:rPr>
          <w:rFonts w:hint="eastAsia" w:ascii="宋体" w:hAnsi="宋体"/>
          <w:color w:val="auto"/>
          <w:sz w:val="24"/>
          <w:szCs w:val="24"/>
          <w:highlight w:val="none"/>
        </w:rPr>
        <w:t>18.3 其他保险</w:t>
      </w:r>
      <w:bookmarkEnd w:id="1308"/>
      <w:bookmarkEnd w:id="1309"/>
      <w:bookmarkEnd w:id="1310"/>
      <w:bookmarkEnd w:id="1311"/>
      <w:bookmarkEnd w:id="1312"/>
      <w:bookmarkEnd w:id="1313"/>
      <w:bookmarkEnd w:id="1314"/>
      <w:bookmarkEnd w:id="1315"/>
    </w:p>
    <w:p w14:paraId="3EB700E4">
      <w:pPr>
        <w:shd w:val="clear" w:color="auto" w:fill="auto"/>
        <w:spacing w:line="380" w:lineRule="exact"/>
        <w:ind w:firstLine="480" w:firstLineChars="200"/>
        <w:jc w:val="left"/>
        <w:rPr>
          <w:rFonts w:hint="eastAsia" w:ascii="宋体" w:hAnsi="宋体"/>
          <w:color w:val="auto"/>
          <w:kern w:val="0"/>
          <w:sz w:val="24"/>
          <w:szCs w:val="24"/>
          <w:highlight w:val="none"/>
        </w:rPr>
      </w:pPr>
      <w:r>
        <w:rPr>
          <w:rFonts w:hint="eastAsia" w:ascii="宋体" w:hAnsi="宋体"/>
          <w:color w:val="auto"/>
          <w:sz w:val="24"/>
          <w:szCs w:val="24"/>
          <w:highlight w:val="none"/>
        </w:rPr>
        <w:t>关于其他保险的约定：</w:t>
      </w:r>
      <w:r>
        <w:rPr>
          <w:rFonts w:hint="eastAsia" w:ascii="宋体" w:hAnsi="宋体"/>
          <w:color w:val="auto"/>
          <w:sz w:val="24"/>
          <w:szCs w:val="24"/>
          <w:highlight w:val="none"/>
          <w:u w:val="single"/>
          <w:lang w:val="zh-TW" w:eastAsia="zh-TW"/>
        </w:rPr>
        <w:t>承包人负责其员工及为履行合同聘请的第三方的人员办理意外伤害保险并支付费用</w:t>
      </w:r>
      <w:r>
        <w:rPr>
          <w:rFonts w:hint="eastAsia" w:ascii="宋体" w:hAnsi="宋体"/>
          <w:color w:val="auto"/>
          <w:kern w:val="0"/>
          <w:sz w:val="24"/>
          <w:szCs w:val="24"/>
          <w:highlight w:val="none"/>
        </w:rPr>
        <w:t>。</w:t>
      </w:r>
    </w:p>
    <w:p w14:paraId="26894348">
      <w:pPr>
        <w:shd w:val="clear" w:color="auto" w:fill="auto"/>
        <w:spacing w:line="380" w:lineRule="exact"/>
        <w:ind w:firstLine="482"/>
        <w:jc w:val="left"/>
        <w:rPr>
          <w:rFonts w:hint="eastAsia" w:ascii="宋体" w:hAnsi="宋体"/>
          <w:color w:val="auto"/>
          <w:kern w:val="0"/>
          <w:sz w:val="24"/>
          <w:szCs w:val="24"/>
          <w:highlight w:val="none"/>
        </w:rPr>
      </w:pPr>
      <w:r>
        <w:rPr>
          <w:rFonts w:hint="eastAsia" w:ascii="宋体" w:hAnsi="宋体"/>
          <w:color w:val="auto"/>
          <w:sz w:val="24"/>
          <w:szCs w:val="24"/>
          <w:highlight w:val="none"/>
        </w:rPr>
        <w:t>承包人是否应为其施工设备等办理财产保险：</w:t>
      </w:r>
      <w:r>
        <w:rPr>
          <w:rFonts w:hint="eastAsia" w:ascii="宋体" w:hAnsi="宋体"/>
          <w:color w:val="auto"/>
          <w:sz w:val="24"/>
          <w:szCs w:val="24"/>
          <w:highlight w:val="none"/>
          <w:u w:val="single"/>
          <w:lang w:val="zh-TW" w:eastAsia="zh-TW"/>
        </w:rPr>
        <w:t>是</w:t>
      </w:r>
      <w:r>
        <w:rPr>
          <w:rFonts w:hint="eastAsia" w:ascii="宋体" w:hAnsi="宋体"/>
          <w:color w:val="auto"/>
          <w:sz w:val="24"/>
          <w:szCs w:val="24"/>
          <w:highlight w:val="none"/>
        </w:rPr>
        <w:t>。</w:t>
      </w:r>
    </w:p>
    <w:p w14:paraId="50B23A85">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18.7 通知义务</w:t>
      </w:r>
    </w:p>
    <w:p w14:paraId="34B639D4">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kern w:val="0"/>
          <w:sz w:val="24"/>
          <w:szCs w:val="24"/>
          <w:highlight w:val="none"/>
        </w:rPr>
        <w:t>关于变更保险合同时的通知义务的约定：</w:t>
      </w:r>
      <w:r>
        <w:rPr>
          <w:rFonts w:hint="eastAsia" w:ascii="宋体" w:hAnsi="宋体"/>
          <w:color w:val="auto"/>
          <w:sz w:val="24"/>
          <w:szCs w:val="24"/>
          <w:highlight w:val="none"/>
          <w:u w:val="single"/>
          <w:lang w:val="zh-TW" w:eastAsia="zh-TW"/>
        </w:rPr>
        <w:t>按通用条款执行</w:t>
      </w:r>
      <w:r>
        <w:rPr>
          <w:rFonts w:hint="eastAsia" w:ascii="宋体" w:hAnsi="宋体"/>
          <w:color w:val="auto"/>
          <w:sz w:val="24"/>
          <w:szCs w:val="24"/>
          <w:highlight w:val="none"/>
        </w:rPr>
        <w:t>。</w:t>
      </w:r>
    </w:p>
    <w:bookmarkEnd w:id="1225"/>
    <w:bookmarkEnd w:id="1226"/>
    <w:bookmarkEnd w:id="1227"/>
    <w:bookmarkEnd w:id="1228"/>
    <w:bookmarkEnd w:id="1229"/>
    <w:bookmarkEnd w:id="1230"/>
    <w:bookmarkEnd w:id="1231"/>
    <w:bookmarkEnd w:id="1232"/>
    <w:bookmarkEnd w:id="1233"/>
    <w:bookmarkEnd w:id="1234"/>
    <w:bookmarkEnd w:id="1235"/>
    <w:bookmarkEnd w:id="1236"/>
    <w:p w14:paraId="6C89E392">
      <w:pPr>
        <w:keepNext/>
        <w:keepLines/>
        <w:shd w:val="clear" w:color="auto" w:fill="auto"/>
        <w:spacing w:line="380" w:lineRule="exact"/>
        <w:ind w:firstLine="482"/>
        <w:outlineLvl w:val="3"/>
        <w:rPr>
          <w:rFonts w:hint="eastAsia" w:ascii="宋体" w:hAnsi="宋体"/>
          <w:bCs/>
          <w:color w:val="auto"/>
          <w:sz w:val="24"/>
          <w:szCs w:val="24"/>
          <w:highlight w:val="none"/>
        </w:rPr>
      </w:pPr>
      <w:bookmarkStart w:id="1316" w:name="_Toc351203651"/>
      <w:r>
        <w:rPr>
          <w:rFonts w:hint="eastAsia" w:ascii="宋体" w:hAnsi="宋体"/>
          <w:bCs/>
          <w:color w:val="auto"/>
          <w:sz w:val="24"/>
          <w:szCs w:val="24"/>
          <w:highlight w:val="none"/>
        </w:rPr>
        <w:t>20. 争议解决</w:t>
      </w:r>
      <w:bookmarkEnd w:id="1316"/>
    </w:p>
    <w:bookmarkEnd w:id="1237"/>
    <w:bookmarkEnd w:id="1238"/>
    <w:p w14:paraId="3945CBB6">
      <w:pPr>
        <w:shd w:val="clear" w:color="auto" w:fill="auto"/>
        <w:spacing w:line="380" w:lineRule="exact"/>
        <w:ind w:firstLine="480" w:firstLineChars="200"/>
        <w:outlineLvl w:val="0"/>
        <w:rPr>
          <w:rFonts w:hint="eastAsia" w:ascii="宋体" w:hAnsi="宋体"/>
          <w:color w:val="auto"/>
          <w:sz w:val="24"/>
          <w:szCs w:val="24"/>
          <w:highlight w:val="none"/>
        </w:rPr>
      </w:pPr>
      <w:bookmarkStart w:id="1317" w:name="_Toc10322"/>
      <w:bookmarkStart w:id="1318" w:name="_Toc734"/>
      <w:bookmarkStart w:id="1319" w:name="_Toc12806"/>
      <w:bookmarkStart w:id="1320" w:name="_Toc2528"/>
      <w:bookmarkStart w:id="1321" w:name="_Toc11284"/>
      <w:bookmarkStart w:id="1322" w:name="_Toc30132"/>
      <w:bookmarkStart w:id="1323" w:name="_Toc26064"/>
      <w:bookmarkStart w:id="1324" w:name="_Toc18955"/>
      <w:r>
        <w:rPr>
          <w:rFonts w:hint="eastAsia" w:ascii="宋体" w:hAnsi="宋体"/>
          <w:color w:val="auto"/>
          <w:sz w:val="24"/>
          <w:szCs w:val="24"/>
          <w:highlight w:val="none"/>
        </w:rPr>
        <w:t>20.3 争</w:t>
      </w:r>
      <w:bookmarkEnd w:id="1239"/>
      <w:r>
        <w:rPr>
          <w:rFonts w:hint="eastAsia" w:ascii="宋体" w:hAnsi="宋体"/>
          <w:color w:val="auto"/>
          <w:sz w:val="24"/>
          <w:szCs w:val="24"/>
          <w:highlight w:val="none"/>
        </w:rPr>
        <w:t>议评审</w:t>
      </w:r>
      <w:bookmarkEnd w:id="1317"/>
      <w:bookmarkEnd w:id="1318"/>
      <w:bookmarkEnd w:id="1319"/>
      <w:bookmarkEnd w:id="1320"/>
      <w:bookmarkEnd w:id="1321"/>
      <w:bookmarkEnd w:id="1322"/>
      <w:bookmarkEnd w:id="1323"/>
      <w:bookmarkEnd w:id="1324"/>
    </w:p>
    <w:p w14:paraId="5B076EAD">
      <w:pPr>
        <w:shd w:val="clear" w:color="auto" w:fill="auto"/>
        <w:spacing w:line="380" w:lineRule="exact"/>
        <w:ind w:firstLine="482"/>
        <w:jc w:val="left"/>
        <w:rPr>
          <w:rFonts w:hint="eastAsia" w:ascii="宋体" w:hAnsi="宋体"/>
          <w:color w:val="auto"/>
          <w:sz w:val="24"/>
          <w:szCs w:val="24"/>
          <w:highlight w:val="none"/>
        </w:rPr>
      </w:pPr>
      <w:r>
        <w:rPr>
          <w:rFonts w:hint="eastAsia" w:ascii="宋体" w:hAnsi="宋体"/>
          <w:color w:val="auto"/>
          <w:sz w:val="24"/>
          <w:szCs w:val="24"/>
          <w:highlight w:val="none"/>
        </w:rPr>
        <w:t>合同当事人是否同意将工程争议提交争议评审小组决定：</w:t>
      </w:r>
      <w:r>
        <w:rPr>
          <w:rFonts w:hint="eastAsia" w:ascii="宋体" w:hAnsi="宋体"/>
          <w:color w:val="auto"/>
          <w:sz w:val="24"/>
          <w:szCs w:val="24"/>
          <w:highlight w:val="none"/>
          <w:u w:val="single"/>
        </w:rPr>
        <w:t xml:space="preserve">     /         </w:t>
      </w:r>
      <w:r>
        <w:rPr>
          <w:rFonts w:hint="eastAsia" w:ascii="宋体" w:hAnsi="宋体"/>
          <w:color w:val="auto"/>
          <w:sz w:val="24"/>
          <w:szCs w:val="24"/>
          <w:highlight w:val="none"/>
        </w:rPr>
        <w:t xml:space="preserve">。  </w:t>
      </w:r>
    </w:p>
    <w:p w14:paraId="18D10DE0">
      <w:pPr>
        <w:shd w:val="clear" w:color="auto" w:fill="auto"/>
        <w:spacing w:line="380" w:lineRule="exact"/>
        <w:ind w:firstLine="480" w:firstLineChars="200"/>
        <w:jc w:val="left"/>
        <w:outlineLvl w:val="0"/>
        <w:rPr>
          <w:rFonts w:hint="eastAsia" w:ascii="宋体" w:hAnsi="宋体"/>
          <w:color w:val="auto"/>
          <w:sz w:val="24"/>
          <w:szCs w:val="24"/>
          <w:highlight w:val="none"/>
        </w:rPr>
      </w:pPr>
      <w:bookmarkStart w:id="1325" w:name="_Toc21197"/>
      <w:bookmarkStart w:id="1326" w:name="_Toc4797"/>
      <w:bookmarkStart w:id="1327" w:name="_Toc5873"/>
      <w:bookmarkStart w:id="1328" w:name="_Toc30551"/>
      <w:bookmarkStart w:id="1329" w:name="_Toc24250"/>
      <w:bookmarkStart w:id="1330" w:name="_Toc3412"/>
      <w:bookmarkStart w:id="1331" w:name="_Toc13149"/>
      <w:bookmarkStart w:id="1332" w:name="_Toc14604"/>
      <w:r>
        <w:rPr>
          <w:rFonts w:hint="eastAsia" w:ascii="宋体" w:hAnsi="宋体"/>
          <w:color w:val="auto"/>
          <w:sz w:val="24"/>
          <w:szCs w:val="24"/>
          <w:highlight w:val="none"/>
        </w:rPr>
        <w:t>20.3.1 争议评审小组的确定</w:t>
      </w:r>
      <w:bookmarkEnd w:id="1325"/>
      <w:bookmarkEnd w:id="1326"/>
      <w:bookmarkEnd w:id="1327"/>
      <w:bookmarkEnd w:id="1328"/>
      <w:bookmarkEnd w:id="1329"/>
      <w:bookmarkEnd w:id="1330"/>
      <w:bookmarkEnd w:id="1331"/>
      <w:bookmarkEnd w:id="1332"/>
    </w:p>
    <w:p w14:paraId="075CCACE">
      <w:pPr>
        <w:shd w:val="clear" w:color="auto" w:fill="auto"/>
        <w:spacing w:line="380" w:lineRule="exact"/>
        <w:ind w:firstLine="480" w:firstLineChars="200"/>
        <w:jc w:val="left"/>
        <w:rPr>
          <w:rFonts w:hint="eastAsia" w:ascii="宋体" w:hAnsi="宋体"/>
          <w:color w:val="auto"/>
          <w:sz w:val="24"/>
          <w:szCs w:val="24"/>
          <w:highlight w:val="none"/>
          <w:u w:val="single"/>
        </w:rPr>
      </w:pPr>
      <w:r>
        <w:rPr>
          <w:rFonts w:hint="eastAsia" w:ascii="宋体" w:hAnsi="宋体"/>
          <w:color w:val="auto"/>
          <w:sz w:val="24"/>
          <w:szCs w:val="24"/>
          <w:highlight w:val="none"/>
        </w:rPr>
        <w:t>争议评审小组成员的确定：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054DDB07">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选定争议评审员的期限：</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3DF958B9">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争议评审小组成员的报酬承担方式：</w:t>
      </w:r>
      <w:r>
        <w:rPr>
          <w:rFonts w:hint="eastAsia" w:ascii="宋体" w:hAnsi="宋体"/>
          <w:color w:val="auto"/>
          <w:sz w:val="24"/>
          <w:szCs w:val="24"/>
          <w:highlight w:val="none"/>
          <w:u w:val="single"/>
        </w:rPr>
        <w:t xml:space="preserve">/    </w:t>
      </w:r>
      <w:r>
        <w:rPr>
          <w:rFonts w:hint="eastAsia" w:ascii="宋体" w:hAnsi="宋体"/>
          <w:color w:val="auto"/>
          <w:sz w:val="24"/>
          <w:szCs w:val="24"/>
          <w:highlight w:val="none"/>
        </w:rPr>
        <w:t>。</w:t>
      </w:r>
    </w:p>
    <w:p w14:paraId="1F6D758E">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其他事项的约定：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73406E93">
      <w:pPr>
        <w:shd w:val="clear" w:color="auto" w:fill="auto"/>
        <w:autoSpaceDE w:val="0"/>
        <w:autoSpaceDN w:val="0"/>
        <w:adjustRightInd w:val="0"/>
        <w:spacing w:line="380" w:lineRule="exact"/>
        <w:ind w:firstLine="480" w:firstLineChars="200"/>
        <w:jc w:val="left"/>
        <w:outlineLvl w:val="0"/>
        <w:rPr>
          <w:rFonts w:hint="eastAsia" w:ascii="宋体" w:hAnsi="宋体"/>
          <w:color w:val="auto"/>
          <w:kern w:val="0"/>
          <w:sz w:val="24"/>
          <w:szCs w:val="24"/>
          <w:highlight w:val="none"/>
        </w:rPr>
      </w:pPr>
      <w:bookmarkStart w:id="1333" w:name="_Toc27411"/>
      <w:bookmarkStart w:id="1334" w:name="_Toc17117"/>
      <w:bookmarkStart w:id="1335" w:name="_Toc14038"/>
      <w:bookmarkStart w:id="1336" w:name="_Toc13982"/>
      <w:bookmarkStart w:id="1337" w:name="_Toc7152"/>
      <w:bookmarkStart w:id="1338" w:name="_Toc31498"/>
      <w:bookmarkStart w:id="1339" w:name="_Toc11779"/>
      <w:bookmarkStart w:id="1340" w:name="_Toc14020"/>
      <w:r>
        <w:rPr>
          <w:rFonts w:hint="eastAsia" w:ascii="宋体" w:hAnsi="宋体"/>
          <w:color w:val="auto"/>
          <w:kern w:val="0"/>
          <w:sz w:val="24"/>
          <w:szCs w:val="24"/>
          <w:highlight w:val="none"/>
        </w:rPr>
        <w:t>20.3.2 争议评审小组的决定</w:t>
      </w:r>
      <w:bookmarkEnd w:id="1333"/>
      <w:bookmarkEnd w:id="1334"/>
      <w:bookmarkEnd w:id="1335"/>
      <w:bookmarkEnd w:id="1336"/>
      <w:bookmarkEnd w:id="1337"/>
      <w:bookmarkEnd w:id="1338"/>
      <w:bookmarkEnd w:id="1339"/>
      <w:bookmarkEnd w:id="1340"/>
    </w:p>
    <w:p w14:paraId="077C7F0F">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合同当事人关于本项的约定：</w:t>
      </w:r>
      <w:r>
        <w:rPr>
          <w:rFonts w:hint="eastAsia" w:ascii="宋体" w:hAnsi="宋体"/>
          <w:color w:val="auto"/>
          <w:sz w:val="24"/>
          <w:szCs w:val="24"/>
          <w:highlight w:val="none"/>
          <w:u w:val="single"/>
        </w:rPr>
        <w:t>/</w:t>
      </w:r>
      <w:r>
        <w:rPr>
          <w:rFonts w:hint="eastAsia" w:ascii="宋体" w:hAnsi="宋体"/>
          <w:color w:val="auto"/>
          <w:sz w:val="24"/>
          <w:szCs w:val="24"/>
          <w:highlight w:val="none"/>
        </w:rPr>
        <w:t>。</w:t>
      </w:r>
    </w:p>
    <w:p w14:paraId="500E4190">
      <w:pPr>
        <w:shd w:val="clear" w:color="auto" w:fill="auto"/>
        <w:spacing w:line="380" w:lineRule="exact"/>
        <w:ind w:firstLine="480" w:firstLineChars="200"/>
        <w:outlineLvl w:val="0"/>
        <w:rPr>
          <w:rFonts w:hint="eastAsia" w:ascii="宋体" w:hAnsi="宋体"/>
          <w:color w:val="auto"/>
          <w:sz w:val="24"/>
          <w:szCs w:val="24"/>
          <w:highlight w:val="none"/>
        </w:rPr>
      </w:pPr>
      <w:bookmarkStart w:id="1341" w:name="_Toc20728"/>
      <w:bookmarkStart w:id="1342" w:name="_Toc13460"/>
      <w:bookmarkStart w:id="1343" w:name="_Toc16335"/>
      <w:bookmarkStart w:id="1344" w:name="_Toc11441"/>
      <w:bookmarkStart w:id="1345" w:name="_Toc15108"/>
      <w:bookmarkStart w:id="1346" w:name="_Toc5500"/>
      <w:bookmarkStart w:id="1347" w:name="_Toc20013"/>
      <w:bookmarkStart w:id="1348" w:name="_Toc19006"/>
      <w:r>
        <w:rPr>
          <w:rFonts w:hint="eastAsia" w:ascii="宋体" w:hAnsi="宋体"/>
          <w:color w:val="auto"/>
          <w:sz w:val="24"/>
          <w:szCs w:val="24"/>
          <w:highlight w:val="none"/>
        </w:rPr>
        <w:t>20.4仲裁或诉讼</w:t>
      </w:r>
      <w:bookmarkEnd w:id="1240"/>
      <w:bookmarkEnd w:id="1341"/>
      <w:bookmarkEnd w:id="1342"/>
      <w:bookmarkEnd w:id="1343"/>
      <w:bookmarkEnd w:id="1344"/>
      <w:bookmarkEnd w:id="1345"/>
      <w:bookmarkEnd w:id="1346"/>
      <w:bookmarkEnd w:id="1347"/>
      <w:bookmarkEnd w:id="1348"/>
    </w:p>
    <w:p w14:paraId="235C331D">
      <w:pPr>
        <w:shd w:val="clear" w:color="auto" w:fill="auto"/>
        <w:spacing w:line="380" w:lineRule="exact"/>
        <w:ind w:firstLine="480" w:firstLineChars="200"/>
        <w:rPr>
          <w:rFonts w:hint="eastAsia" w:ascii="宋体" w:hAnsi="宋体"/>
          <w:color w:val="auto"/>
          <w:sz w:val="24"/>
          <w:szCs w:val="24"/>
          <w:highlight w:val="none"/>
        </w:rPr>
      </w:pPr>
      <w:r>
        <w:rPr>
          <w:rFonts w:hint="eastAsia" w:ascii="宋体" w:hAnsi="宋体"/>
          <w:color w:val="auto"/>
          <w:sz w:val="24"/>
          <w:szCs w:val="24"/>
          <w:highlight w:val="none"/>
        </w:rPr>
        <w:t>因合同及合同有关事项发生的争议，按下列第</w:t>
      </w:r>
      <w:r>
        <w:rPr>
          <w:rFonts w:hint="eastAsia" w:ascii="宋体" w:hAnsi="宋体"/>
          <w:color w:val="auto"/>
          <w:sz w:val="24"/>
          <w:szCs w:val="24"/>
          <w:highlight w:val="none"/>
          <w:u w:val="single"/>
        </w:rPr>
        <w:t>2</w:t>
      </w:r>
      <w:r>
        <w:rPr>
          <w:rFonts w:hint="eastAsia" w:ascii="宋体" w:hAnsi="宋体"/>
          <w:color w:val="auto"/>
          <w:sz w:val="24"/>
          <w:szCs w:val="24"/>
          <w:highlight w:val="none"/>
        </w:rPr>
        <w:t>种方式解决：</w:t>
      </w:r>
    </w:p>
    <w:p w14:paraId="324B38A0">
      <w:pPr>
        <w:shd w:val="clear" w:color="auto" w:fill="auto"/>
        <w:spacing w:line="380" w:lineRule="exact"/>
        <w:ind w:firstLine="480" w:firstLineChars="200"/>
        <w:jc w:val="left"/>
        <w:rPr>
          <w:rFonts w:hint="eastAsia" w:ascii="宋体" w:hAnsi="宋体"/>
          <w:color w:val="auto"/>
          <w:sz w:val="24"/>
          <w:szCs w:val="24"/>
          <w:highlight w:val="none"/>
        </w:rPr>
      </w:pPr>
      <w:r>
        <w:rPr>
          <w:rFonts w:hint="eastAsia" w:ascii="宋体" w:hAnsi="宋体"/>
          <w:color w:val="auto"/>
          <w:sz w:val="24"/>
          <w:szCs w:val="24"/>
          <w:highlight w:val="none"/>
        </w:rPr>
        <w:t>（1）向</w:t>
      </w:r>
      <w:r>
        <w:rPr>
          <w:rFonts w:hint="eastAsia" w:ascii="宋体" w:hAnsi="宋体"/>
          <w:color w:val="auto"/>
          <w:sz w:val="24"/>
          <w:szCs w:val="24"/>
          <w:highlight w:val="none"/>
          <w:u w:val="single"/>
        </w:rPr>
        <w:t>三门峡</w:t>
      </w:r>
      <w:r>
        <w:rPr>
          <w:rFonts w:hint="eastAsia" w:ascii="宋体" w:hAnsi="宋体"/>
          <w:color w:val="auto"/>
          <w:sz w:val="24"/>
          <w:szCs w:val="24"/>
          <w:highlight w:val="none"/>
        </w:rPr>
        <w:t>仲裁委员会申请仲裁；</w:t>
      </w:r>
    </w:p>
    <w:p w14:paraId="40C2B6E1">
      <w:pPr>
        <w:shd w:val="clear" w:color="auto" w:fill="auto"/>
        <w:spacing w:line="380" w:lineRule="exact"/>
        <w:ind w:firstLine="480" w:firstLineChars="200"/>
        <w:rPr>
          <w:rFonts w:hint="eastAsia" w:ascii="宋体" w:hAnsi="宋体" w:cs="宋体"/>
          <w:bCs/>
          <w:color w:val="auto"/>
          <w:sz w:val="24"/>
          <w:szCs w:val="24"/>
          <w:highlight w:val="none"/>
        </w:rPr>
      </w:pPr>
      <w:r>
        <w:rPr>
          <w:rFonts w:hint="eastAsia" w:ascii="宋体" w:hAnsi="宋体"/>
          <w:color w:val="auto"/>
          <w:sz w:val="24"/>
          <w:szCs w:val="24"/>
          <w:highlight w:val="none"/>
        </w:rPr>
        <w:t>（2）向</w:t>
      </w:r>
      <w:r>
        <w:rPr>
          <w:rFonts w:hint="eastAsia" w:ascii="宋体" w:hAnsi="宋体"/>
          <w:color w:val="auto"/>
          <w:sz w:val="24"/>
          <w:szCs w:val="24"/>
          <w:highlight w:val="none"/>
          <w:u w:val="single"/>
        </w:rPr>
        <w:t xml:space="preserve">项目所在地       </w:t>
      </w:r>
      <w:r>
        <w:rPr>
          <w:rFonts w:hint="eastAsia" w:ascii="宋体" w:hAnsi="宋体"/>
          <w:color w:val="auto"/>
          <w:sz w:val="24"/>
          <w:szCs w:val="24"/>
          <w:highlight w:val="none"/>
        </w:rPr>
        <w:t>人民法院起诉。</w:t>
      </w:r>
      <w:bookmarkEnd w:id="1241"/>
      <w:bookmarkEnd w:id="1242"/>
      <w:bookmarkEnd w:id="1243"/>
      <w:bookmarkEnd w:id="1244"/>
      <w:bookmarkEnd w:id="1245"/>
      <w:bookmarkEnd w:id="1246"/>
    </w:p>
    <w:p w14:paraId="0F93A271">
      <w:pPr>
        <w:shd w:val="clear" w:color="auto" w:fill="auto"/>
        <w:spacing w:before="100" w:beforeAutospacing="1" w:after="100" w:afterAutospacing="1" w:line="500" w:lineRule="exact"/>
        <w:ind w:left="7913" w:leftChars="60" w:hanging="7787" w:hangingChars="2424"/>
        <w:jc w:val="center"/>
        <w:outlineLvl w:val="0"/>
        <w:rPr>
          <w:rFonts w:ascii="宋体" w:hAnsi="宋体" w:cs="宋体"/>
          <w:b/>
          <w:bCs/>
          <w:color w:val="auto"/>
          <w:kern w:val="0"/>
          <w:sz w:val="32"/>
          <w:szCs w:val="32"/>
          <w:highlight w:val="none"/>
        </w:rPr>
      </w:pPr>
      <w:r>
        <w:rPr>
          <w:rFonts w:hint="eastAsia" w:ascii="宋体" w:hAnsi="宋体" w:cs="宋体"/>
          <w:b/>
          <w:bCs/>
          <w:color w:val="auto"/>
          <w:kern w:val="0"/>
          <w:sz w:val="32"/>
          <w:szCs w:val="32"/>
          <w:highlight w:val="none"/>
        </w:rPr>
        <w:br w:type="page"/>
      </w:r>
      <w:bookmarkStart w:id="1349" w:name="_Toc24974"/>
      <w:r>
        <w:rPr>
          <w:rFonts w:hint="eastAsia" w:ascii="宋体" w:hAnsi="宋体" w:cs="宋体"/>
          <w:b/>
          <w:bCs/>
          <w:color w:val="auto"/>
          <w:kern w:val="0"/>
          <w:sz w:val="32"/>
          <w:szCs w:val="32"/>
          <w:highlight w:val="none"/>
        </w:rPr>
        <w:t>第五章  工程量清单及图纸（另附）</w:t>
      </w:r>
      <w:bookmarkEnd w:id="1349"/>
    </w:p>
    <w:p w14:paraId="16F1D04D">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宋体" w:hAnsi="宋体"/>
          <w:color w:val="auto"/>
          <w:sz w:val="28"/>
          <w:szCs w:val="24"/>
          <w:highlight w:val="none"/>
        </w:rPr>
      </w:pPr>
      <w:bookmarkStart w:id="1350" w:name="_Toc77586966"/>
      <w:bookmarkStart w:id="1351" w:name="_Toc246997096"/>
      <w:bookmarkStart w:id="1352" w:name="_Toc152042574"/>
      <w:bookmarkStart w:id="1353" w:name="_Toc296602599"/>
      <w:bookmarkStart w:id="1354" w:name="_Toc246996353"/>
      <w:bookmarkStart w:id="1355" w:name="_Toc152045785"/>
      <w:bookmarkStart w:id="1356" w:name="_Toc179632804"/>
      <w:bookmarkStart w:id="1357" w:name="_Toc6878"/>
      <w:bookmarkStart w:id="1358" w:name="_Toc247085870"/>
      <w:bookmarkStart w:id="1359" w:name="_Toc144974854"/>
      <w:r>
        <w:rPr>
          <w:rFonts w:hint="eastAsia" w:ascii="宋体" w:hAnsi="宋体"/>
          <w:color w:val="auto"/>
          <w:sz w:val="28"/>
          <w:szCs w:val="24"/>
          <w:highlight w:val="none"/>
          <w:lang w:val="en-US" w:eastAsia="zh-CN"/>
        </w:rPr>
        <w:t>1.</w:t>
      </w:r>
      <w:r>
        <w:rPr>
          <w:rFonts w:hint="eastAsia" w:ascii="宋体" w:hAnsi="宋体"/>
          <w:color w:val="auto"/>
          <w:sz w:val="28"/>
          <w:szCs w:val="24"/>
          <w:highlight w:val="none"/>
        </w:rPr>
        <w:t>本项目设计图纸</w:t>
      </w:r>
      <w:r>
        <w:rPr>
          <w:rFonts w:hint="eastAsia" w:ascii="宋体" w:hAnsi="宋体"/>
          <w:color w:val="auto"/>
          <w:sz w:val="28"/>
          <w:szCs w:val="24"/>
          <w:highlight w:val="none"/>
          <w:lang w:val="en-US" w:eastAsia="zh-CN"/>
        </w:rPr>
        <w:t>及疑问答疑</w:t>
      </w:r>
      <w:r>
        <w:rPr>
          <w:rFonts w:hint="eastAsia" w:ascii="宋体" w:hAnsi="宋体"/>
          <w:color w:val="auto"/>
          <w:sz w:val="28"/>
          <w:szCs w:val="24"/>
          <w:highlight w:val="none"/>
        </w:rPr>
        <w:t>。</w:t>
      </w:r>
    </w:p>
    <w:p w14:paraId="6334791F">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宋体" w:hAnsi="宋体"/>
          <w:color w:val="auto"/>
          <w:sz w:val="28"/>
          <w:szCs w:val="24"/>
          <w:highlight w:val="none"/>
        </w:rPr>
      </w:pPr>
      <w:r>
        <w:rPr>
          <w:rFonts w:hint="eastAsia" w:ascii="宋体" w:hAnsi="宋体"/>
          <w:color w:val="auto"/>
          <w:sz w:val="28"/>
          <w:szCs w:val="24"/>
          <w:highlight w:val="none"/>
          <w:lang w:val="en-US" w:eastAsia="zh-CN"/>
        </w:rPr>
        <w:t>2.</w:t>
      </w:r>
      <w:r>
        <w:rPr>
          <w:rFonts w:hint="eastAsia" w:ascii="宋体" w:hAnsi="宋体"/>
          <w:color w:val="auto"/>
          <w:sz w:val="28"/>
          <w:szCs w:val="24"/>
          <w:highlight w:val="none"/>
        </w:rPr>
        <w:t>《工程量清单计价</w:t>
      </w:r>
      <w:r>
        <w:rPr>
          <w:rFonts w:hint="eastAsia" w:ascii="宋体" w:hAnsi="宋体"/>
          <w:color w:val="auto"/>
          <w:sz w:val="28"/>
          <w:szCs w:val="24"/>
          <w:highlight w:val="none"/>
          <w:lang w:val="en-US" w:eastAsia="zh-CN"/>
        </w:rPr>
        <w:t>标准-2024</w:t>
      </w:r>
      <w:r>
        <w:rPr>
          <w:rFonts w:hint="eastAsia" w:ascii="宋体" w:hAnsi="宋体"/>
          <w:color w:val="auto"/>
          <w:sz w:val="28"/>
          <w:szCs w:val="24"/>
          <w:highlight w:val="none"/>
        </w:rPr>
        <w:t>》、《河南省市政工程预算定额2016》</w:t>
      </w:r>
      <w:r>
        <w:rPr>
          <w:rFonts w:hint="eastAsia" w:ascii="宋体" w:hAnsi="宋体"/>
          <w:color w:val="auto"/>
          <w:sz w:val="28"/>
          <w:szCs w:val="24"/>
          <w:highlight w:val="none"/>
          <w:lang w:eastAsia="zh-CN"/>
        </w:rPr>
        <w:t>、《</w:t>
      </w:r>
      <w:r>
        <w:rPr>
          <w:rFonts w:hint="eastAsia" w:ascii="宋体" w:hAnsi="宋体"/>
          <w:color w:val="auto"/>
          <w:sz w:val="28"/>
          <w:szCs w:val="24"/>
          <w:highlight w:val="none"/>
          <w:lang w:val="en-US" w:eastAsia="zh-CN"/>
        </w:rPr>
        <w:t>河南省房屋建筑与装饰工程预算定额2016</w:t>
      </w:r>
      <w:r>
        <w:rPr>
          <w:rFonts w:hint="eastAsia" w:ascii="宋体" w:hAnsi="宋体"/>
          <w:color w:val="auto"/>
          <w:sz w:val="28"/>
          <w:szCs w:val="24"/>
          <w:highlight w:val="none"/>
          <w:lang w:eastAsia="zh-CN"/>
        </w:rPr>
        <w:t>》、《</w:t>
      </w:r>
      <w:r>
        <w:rPr>
          <w:rFonts w:hint="eastAsia" w:ascii="宋体" w:hAnsi="宋体"/>
          <w:color w:val="auto"/>
          <w:sz w:val="28"/>
          <w:szCs w:val="24"/>
          <w:highlight w:val="none"/>
          <w:lang w:val="en-US" w:eastAsia="zh-CN"/>
        </w:rPr>
        <w:t>河南省通用安装工程预算定额2016</w:t>
      </w:r>
      <w:r>
        <w:rPr>
          <w:rFonts w:hint="eastAsia" w:ascii="宋体" w:hAnsi="宋体"/>
          <w:color w:val="auto"/>
          <w:sz w:val="28"/>
          <w:szCs w:val="24"/>
          <w:highlight w:val="none"/>
          <w:lang w:eastAsia="zh-CN"/>
        </w:rPr>
        <w:t>》</w:t>
      </w:r>
      <w:r>
        <w:rPr>
          <w:rFonts w:hint="eastAsia" w:ascii="宋体" w:hAnsi="宋体"/>
          <w:color w:val="auto"/>
          <w:sz w:val="28"/>
          <w:szCs w:val="24"/>
          <w:highlight w:val="none"/>
        </w:rPr>
        <w:t>及相关配套文件；</w:t>
      </w:r>
    </w:p>
    <w:p w14:paraId="50FD35FE">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ascii="宋体" w:hAnsi="宋体"/>
          <w:color w:val="auto"/>
          <w:sz w:val="28"/>
          <w:szCs w:val="24"/>
          <w:highlight w:val="none"/>
        </w:rPr>
      </w:pPr>
      <w:r>
        <w:rPr>
          <w:rFonts w:hint="eastAsia" w:ascii="宋体" w:hAnsi="宋体"/>
          <w:color w:val="auto"/>
          <w:sz w:val="28"/>
          <w:szCs w:val="24"/>
          <w:highlight w:val="none"/>
          <w:lang w:val="en-US" w:eastAsia="zh-CN"/>
        </w:rPr>
        <w:t>3.</w:t>
      </w:r>
      <w:r>
        <w:rPr>
          <w:rFonts w:hint="eastAsia" w:ascii="宋体" w:hAnsi="宋体"/>
          <w:color w:val="auto"/>
          <w:sz w:val="28"/>
          <w:szCs w:val="24"/>
          <w:highlight w:val="none"/>
        </w:rPr>
        <w:t>夜间施工增加费、二次搬运费、冬雨季施工增加费均足额计取，结算时据实调整。</w:t>
      </w:r>
    </w:p>
    <w:p w14:paraId="7A445E6B">
      <w:pPr>
        <w:keepNext w:val="0"/>
        <w:keepLines w:val="0"/>
        <w:pageBreakBefore w:val="0"/>
        <w:widowControl w:val="0"/>
        <w:kinsoku/>
        <w:wordWrap/>
        <w:overflowPunct/>
        <w:topLinePunct w:val="0"/>
        <w:autoSpaceDE w:val="0"/>
        <w:autoSpaceDN w:val="0"/>
        <w:bidi w:val="0"/>
        <w:adjustRightInd w:val="0"/>
        <w:spacing w:line="360" w:lineRule="auto"/>
        <w:ind w:firstLine="560" w:firstLineChars="200"/>
        <w:jc w:val="left"/>
        <w:textAlignment w:val="auto"/>
        <w:rPr>
          <w:rFonts w:hint="eastAsia" w:ascii="宋体" w:hAnsi="宋体"/>
          <w:color w:val="auto"/>
          <w:sz w:val="28"/>
          <w:szCs w:val="24"/>
          <w:highlight w:val="none"/>
        </w:rPr>
      </w:pPr>
      <w:r>
        <w:rPr>
          <w:rFonts w:hint="eastAsia" w:ascii="宋体" w:hAnsi="宋体"/>
          <w:color w:val="auto"/>
          <w:sz w:val="28"/>
          <w:szCs w:val="24"/>
          <w:highlight w:val="none"/>
          <w:lang w:val="en-US" w:eastAsia="zh-CN"/>
        </w:rPr>
        <w:t>4.材料价格参考三门峡市住房和城乡建设局2026年发布第2期《三门峡工程标准造价信息》中灵宝市价格；灵宝市信息价没有的三门峡地区信息价或市场询价</w:t>
      </w:r>
      <w:r>
        <w:rPr>
          <w:rFonts w:ascii="宋体" w:hAnsi="宋体"/>
          <w:color w:val="auto"/>
          <w:sz w:val="28"/>
          <w:szCs w:val="24"/>
          <w:highlight w:val="none"/>
        </w:rPr>
        <w:t>。</w:t>
      </w:r>
    </w:p>
    <w:p w14:paraId="2CFA4E0A">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color w:val="auto"/>
          <w:sz w:val="24"/>
          <w:szCs w:val="24"/>
          <w:highlight w:val="none"/>
        </w:rPr>
      </w:pPr>
      <w:r>
        <w:rPr>
          <w:rFonts w:hint="eastAsia" w:ascii="宋体" w:hAnsi="宋体"/>
          <w:color w:val="auto"/>
          <w:sz w:val="28"/>
          <w:szCs w:val="24"/>
          <w:highlight w:val="none"/>
          <w:lang w:val="en-US" w:eastAsia="zh-CN"/>
        </w:rPr>
        <w:t>5.</w:t>
      </w:r>
      <w:r>
        <w:rPr>
          <w:rFonts w:hint="eastAsia" w:ascii="宋体" w:hAnsi="宋体"/>
          <w:color w:val="auto"/>
          <w:sz w:val="28"/>
          <w:szCs w:val="24"/>
          <w:highlight w:val="none"/>
        </w:rPr>
        <w:t>根据建办标函【2019】193号文，税率按9%计取</w:t>
      </w:r>
      <w:r>
        <w:rPr>
          <w:rFonts w:hint="eastAsia" w:ascii="宋体" w:hAnsi="宋体" w:eastAsia="宋体" w:cs="宋体"/>
          <w:color w:val="auto"/>
          <w:kern w:val="0"/>
          <w:sz w:val="24"/>
          <w:szCs w:val="24"/>
          <w:highlight w:val="none"/>
          <w:lang w:val="en-US" w:eastAsia="zh-CN" w:bidi="ar"/>
        </w:rPr>
        <w:t xml:space="preserve">； </w:t>
      </w:r>
    </w:p>
    <w:p w14:paraId="168D5B59">
      <w:pPr>
        <w:keepNext w:val="0"/>
        <w:keepLines w:val="0"/>
        <w:pageBreakBefore w:val="0"/>
        <w:widowControl/>
        <w:suppressLineNumbers w:val="0"/>
        <w:kinsoku/>
        <w:wordWrap/>
        <w:overflowPunct/>
        <w:topLinePunct w:val="0"/>
        <w:autoSpaceDE/>
        <w:autoSpaceDN/>
        <w:bidi w:val="0"/>
        <w:adjustRightInd/>
        <w:snapToGrid/>
        <w:spacing w:line="360" w:lineRule="auto"/>
        <w:ind w:firstLine="560" w:firstLineChars="200"/>
        <w:jc w:val="left"/>
        <w:textAlignment w:val="auto"/>
        <w:rPr>
          <w:rFonts w:ascii="宋体" w:hAnsi="宋体" w:cs="宋体"/>
          <w:color w:val="auto"/>
          <w:sz w:val="24"/>
          <w:szCs w:val="24"/>
          <w:highlight w:val="none"/>
        </w:rPr>
      </w:pPr>
      <w:r>
        <w:rPr>
          <w:rFonts w:hint="eastAsia" w:ascii="宋体" w:hAnsi="宋体" w:eastAsia="宋体" w:cs="Times New Roman"/>
          <w:color w:val="auto"/>
          <w:sz w:val="28"/>
          <w:szCs w:val="24"/>
          <w:highlight w:val="none"/>
          <w:lang w:val="en-US" w:eastAsia="zh-CN"/>
        </w:rPr>
        <w:t>6 其它执行国家及省市的有关规定</w:t>
      </w:r>
      <w:r>
        <w:rPr>
          <w:rFonts w:hint="eastAsia" w:ascii="宋体" w:hAnsi="宋体" w:cs="宋体"/>
          <w:color w:val="auto"/>
          <w:kern w:val="0"/>
          <w:sz w:val="24"/>
          <w:szCs w:val="24"/>
          <w:highlight w:val="none"/>
          <w:lang w:val="en-US" w:eastAsia="zh-CN" w:bidi="ar"/>
        </w:rPr>
        <w:t>。</w:t>
      </w:r>
    </w:p>
    <w:p w14:paraId="139919C5">
      <w:pPr>
        <w:shd w:val="clear" w:color="auto" w:fill="auto"/>
        <w:spacing w:before="100" w:beforeAutospacing="1" w:after="100" w:afterAutospacing="1" w:line="600" w:lineRule="exact"/>
        <w:ind w:left="2500"/>
        <w:jc w:val="left"/>
        <w:outlineLvl w:val="0"/>
        <w:rPr>
          <w:rFonts w:hint="eastAsia" w:ascii="宋体" w:hAnsi="宋体" w:cs="宋体"/>
          <w:b/>
          <w:bCs/>
          <w:color w:val="auto"/>
          <w:kern w:val="0"/>
          <w:sz w:val="32"/>
          <w:szCs w:val="32"/>
          <w:highlight w:val="none"/>
        </w:rPr>
      </w:pPr>
    </w:p>
    <w:bookmarkEnd w:id="1350"/>
    <w:bookmarkEnd w:id="1351"/>
    <w:bookmarkEnd w:id="1352"/>
    <w:bookmarkEnd w:id="1353"/>
    <w:bookmarkEnd w:id="1354"/>
    <w:bookmarkEnd w:id="1355"/>
    <w:bookmarkEnd w:id="1356"/>
    <w:bookmarkEnd w:id="1357"/>
    <w:bookmarkEnd w:id="1358"/>
    <w:bookmarkEnd w:id="1359"/>
    <w:p w14:paraId="4D53F8D5">
      <w:pPr>
        <w:numPr>
          <w:ilvl w:val="0"/>
          <w:numId w:val="6"/>
        </w:numPr>
        <w:shd w:val="clear" w:color="auto" w:fill="auto"/>
        <w:jc w:val="center"/>
        <w:outlineLvl w:val="0"/>
        <w:rPr>
          <w:rFonts w:hint="eastAsia" w:ascii="宋体" w:hAnsi="宋体"/>
          <w:b/>
          <w:bCs/>
          <w:color w:val="auto"/>
          <w:sz w:val="32"/>
          <w:szCs w:val="32"/>
          <w:highlight w:val="none"/>
        </w:rPr>
      </w:pPr>
      <w:bookmarkStart w:id="1360" w:name="_Toc16520680"/>
      <w:bookmarkStart w:id="1361" w:name="_Toc508179891"/>
      <w:bookmarkStart w:id="1362" w:name="_Toc16520168"/>
      <w:r>
        <w:rPr>
          <w:rFonts w:hint="eastAsia" w:ascii="宋体" w:hAnsi="宋体"/>
          <w:b/>
          <w:bCs/>
          <w:color w:val="auto"/>
          <w:sz w:val="32"/>
          <w:szCs w:val="32"/>
          <w:highlight w:val="none"/>
        </w:rPr>
        <w:br w:type="page"/>
      </w:r>
      <w:bookmarkStart w:id="1363" w:name="_Toc17494"/>
      <w:r>
        <w:rPr>
          <w:rFonts w:hint="eastAsia" w:ascii="宋体" w:hAnsi="宋体"/>
          <w:b/>
          <w:bCs/>
          <w:color w:val="auto"/>
          <w:sz w:val="32"/>
          <w:szCs w:val="32"/>
          <w:highlight w:val="none"/>
        </w:rPr>
        <w:t>响应性文件部分格式</w:t>
      </w:r>
      <w:bookmarkEnd w:id="1363"/>
    </w:p>
    <w:p w14:paraId="1EADD177">
      <w:pPr>
        <w:numPr>
          <w:ilvl w:val="0"/>
          <w:numId w:val="0"/>
        </w:numPr>
        <w:shd w:val="clear" w:color="auto" w:fill="auto"/>
        <w:ind w:firstLine="643" w:firstLineChars="200"/>
        <w:jc w:val="both"/>
        <w:outlineLvl w:val="0"/>
        <w:rPr>
          <w:rFonts w:hint="eastAsia" w:ascii="宋体" w:hAnsi="宋体"/>
          <w:b/>
          <w:bCs/>
          <w:color w:val="auto"/>
          <w:sz w:val="32"/>
          <w:szCs w:val="32"/>
          <w:highlight w:val="none"/>
        </w:rPr>
      </w:pPr>
    </w:p>
    <w:bookmarkEnd w:id="1360"/>
    <w:bookmarkEnd w:id="1361"/>
    <w:bookmarkEnd w:id="1362"/>
    <w:p w14:paraId="7CC24371">
      <w:pPr>
        <w:numPr>
          <w:ilvl w:val="0"/>
          <w:numId w:val="0"/>
        </w:numPr>
        <w:shd w:val="clear" w:color="auto" w:fill="auto"/>
        <w:ind w:firstLine="643" w:firstLineChars="200"/>
        <w:jc w:val="both"/>
        <w:outlineLvl w:val="0"/>
        <w:rPr>
          <w:rFonts w:hint="eastAsia" w:ascii="宋体" w:hAnsi="宋体"/>
          <w:b/>
          <w:bCs/>
          <w:color w:val="auto"/>
          <w:sz w:val="32"/>
          <w:szCs w:val="32"/>
          <w:highlight w:val="none"/>
        </w:rPr>
      </w:pPr>
    </w:p>
    <w:p w14:paraId="665DB8FF">
      <w:pPr>
        <w:shd w:val="clear" w:color="auto" w:fill="auto"/>
        <w:ind w:firstLine="480"/>
        <w:jc w:val="center"/>
        <w:rPr>
          <w:rFonts w:hint="eastAsia" w:ascii="宋体" w:hAnsi="宋体" w:cs="宋体"/>
          <w:b/>
          <w:color w:val="auto"/>
          <w:sz w:val="24"/>
          <w:szCs w:val="24"/>
          <w:highlight w:val="none"/>
        </w:rPr>
      </w:pPr>
      <w:r>
        <w:rPr>
          <w:rFonts w:hint="eastAsia" w:ascii="宋体" w:hAnsi="宋体" w:cs="宋体"/>
          <w:b/>
          <w:color w:val="auto"/>
          <w:sz w:val="24"/>
          <w:szCs w:val="24"/>
          <w:highlight w:val="none"/>
        </w:rPr>
        <w:t>（此格式仅供参考）</w:t>
      </w:r>
    </w:p>
    <w:p w14:paraId="0FB02E1F">
      <w:pPr>
        <w:shd w:val="clear" w:color="auto" w:fill="auto"/>
        <w:spacing w:line="400" w:lineRule="exact"/>
        <w:ind w:firstLine="482"/>
        <w:rPr>
          <w:rFonts w:hint="eastAsia" w:ascii="宋体" w:hAnsi="宋体" w:cs="宋体"/>
          <w:color w:val="auto"/>
          <w:highlight w:val="none"/>
        </w:rPr>
      </w:pPr>
    </w:p>
    <w:p w14:paraId="077B3340">
      <w:pPr>
        <w:shd w:val="clear" w:color="auto" w:fill="auto"/>
        <w:ind w:firstLine="600"/>
        <w:jc w:val="center"/>
        <w:rPr>
          <w:rFonts w:hint="eastAsia" w:ascii="宋体" w:hAnsi="宋体" w:cs="宋体"/>
          <w:b/>
          <w:bCs/>
          <w:color w:val="auto"/>
          <w:sz w:val="44"/>
          <w:szCs w:val="36"/>
          <w:highlight w:val="none"/>
        </w:rPr>
      </w:pPr>
      <w:bookmarkStart w:id="1364" w:name="_Toc246997098"/>
      <w:bookmarkStart w:id="1365" w:name="_Toc179632807"/>
      <w:bookmarkStart w:id="1366" w:name="_Toc296602601"/>
      <w:bookmarkStart w:id="1367" w:name="_Toc246996355"/>
      <w:bookmarkStart w:id="1368" w:name="_Toc152045787"/>
      <w:bookmarkStart w:id="1369" w:name="_Toc247085873"/>
      <w:bookmarkStart w:id="1370" w:name="_Toc144974856"/>
      <w:bookmarkStart w:id="1371" w:name="_Toc152042576"/>
      <w:r>
        <w:rPr>
          <w:rFonts w:hint="eastAsia" w:ascii="宋体" w:hAnsi="宋体" w:cs="宋体"/>
          <w:b/>
          <w:color w:val="auto"/>
          <w:sz w:val="30"/>
          <w:szCs w:val="30"/>
          <w:highlight w:val="none"/>
        </w:rPr>
        <w:t>（项目名称）</w:t>
      </w:r>
    </w:p>
    <w:p w14:paraId="1EEA91F7">
      <w:pPr>
        <w:pStyle w:val="13"/>
        <w:shd w:val="clear" w:color="auto" w:fill="auto"/>
        <w:ind w:firstLine="562"/>
        <w:rPr>
          <w:rFonts w:hint="eastAsia" w:ascii="宋体" w:hAnsi="宋体" w:eastAsia="宋体" w:cs="宋体"/>
          <w:color w:val="auto"/>
          <w:highlight w:val="none"/>
        </w:rPr>
      </w:pPr>
    </w:p>
    <w:p w14:paraId="692924EE">
      <w:pPr>
        <w:shd w:val="clear" w:color="auto" w:fill="auto"/>
        <w:ind w:firstLine="1440"/>
        <w:jc w:val="center"/>
        <w:rPr>
          <w:rFonts w:hint="eastAsia" w:ascii="宋体" w:hAnsi="宋体" w:cs="宋体"/>
          <w:b/>
          <w:bCs/>
          <w:color w:val="auto"/>
          <w:sz w:val="72"/>
          <w:szCs w:val="72"/>
          <w:highlight w:val="none"/>
        </w:rPr>
      </w:pPr>
      <w:r>
        <w:rPr>
          <w:rFonts w:hint="eastAsia" w:ascii="宋体" w:hAnsi="宋体" w:cs="宋体"/>
          <w:b/>
          <w:bCs/>
          <w:color w:val="auto"/>
          <w:sz w:val="72"/>
          <w:szCs w:val="72"/>
          <w:highlight w:val="none"/>
        </w:rPr>
        <w:t>响 应 文 件</w:t>
      </w:r>
    </w:p>
    <w:p w14:paraId="7B484465">
      <w:pPr>
        <w:shd w:val="clear" w:color="auto" w:fill="auto"/>
        <w:ind w:firstLine="640"/>
        <w:jc w:val="center"/>
        <w:rPr>
          <w:rFonts w:hint="eastAsia" w:ascii="宋体" w:hAnsi="宋体" w:cs="宋体"/>
          <w:b/>
          <w:color w:val="auto"/>
          <w:sz w:val="32"/>
          <w:szCs w:val="32"/>
          <w:highlight w:val="none"/>
        </w:rPr>
      </w:pPr>
    </w:p>
    <w:p w14:paraId="5A0B13F9">
      <w:pPr>
        <w:shd w:val="clear" w:color="auto" w:fill="auto"/>
        <w:spacing w:line="700" w:lineRule="exact"/>
        <w:ind w:left="3534" w:hanging="3534" w:hangingChars="110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 xml:space="preserve">项目编号：     </w:t>
      </w:r>
    </w:p>
    <w:p w14:paraId="3EF2A93A">
      <w:pPr>
        <w:pStyle w:val="2"/>
        <w:shd w:val="clear" w:color="auto" w:fill="auto"/>
        <w:ind w:firstLine="600"/>
        <w:rPr>
          <w:rFonts w:hint="eastAsia"/>
          <w:color w:val="auto"/>
          <w:highlight w:val="none"/>
        </w:rPr>
      </w:pPr>
    </w:p>
    <w:p w14:paraId="1DAAFA5B">
      <w:pPr>
        <w:shd w:val="clear" w:color="auto" w:fill="auto"/>
        <w:spacing w:line="700" w:lineRule="exact"/>
        <w:ind w:left="3534" w:hanging="3534" w:hangingChars="1100"/>
        <w:rPr>
          <w:rFonts w:ascii="宋体" w:hAnsi="宋体" w:cs="宋体"/>
          <w:b/>
          <w:color w:val="auto"/>
          <w:sz w:val="32"/>
          <w:szCs w:val="32"/>
          <w:highlight w:val="none"/>
        </w:rPr>
      </w:pPr>
    </w:p>
    <w:p w14:paraId="444706CA">
      <w:pPr>
        <w:shd w:val="clear" w:color="auto" w:fill="auto"/>
        <w:spacing w:line="700" w:lineRule="exact"/>
        <w:ind w:firstLine="640"/>
        <w:jc w:val="left"/>
        <w:rPr>
          <w:rFonts w:hint="eastAsia" w:ascii="宋体" w:hAnsi="宋体" w:cs="宋体"/>
          <w:b/>
          <w:color w:val="auto"/>
          <w:sz w:val="32"/>
          <w:szCs w:val="32"/>
          <w:highlight w:val="none"/>
        </w:rPr>
      </w:pPr>
    </w:p>
    <w:p w14:paraId="39FAA04A">
      <w:pPr>
        <w:shd w:val="clear" w:color="auto" w:fill="auto"/>
        <w:spacing w:line="700" w:lineRule="exact"/>
        <w:ind w:firstLine="640"/>
        <w:jc w:val="left"/>
        <w:rPr>
          <w:rFonts w:hint="eastAsia" w:ascii="宋体" w:hAnsi="宋体" w:cs="宋体"/>
          <w:b/>
          <w:bCs/>
          <w:color w:val="auto"/>
          <w:sz w:val="32"/>
          <w:szCs w:val="32"/>
          <w:highlight w:val="none"/>
        </w:rPr>
      </w:pPr>
    </w:p>
    <w:p w14:paraId="173DD61D">
      <w:pPr>
        <w:shd w:val="clear" w:color="auto" w:fill="auto"/>
        <w:ind w:firstLine="640"/>
        <w:jc w:val="left"/>
        <w:rPr>
          <w:rFonts w:hint="eastAsia" w:ascii="宋体" w:hAnsi="宋体" w:cs="宋体"/>
          <w:b/>
          <w:color w:val="auto"/>
          <w:sz w:val="32"/>
          <w:szCs w:val="32"/>
          <w:highlight w:val="none"/>
        </w:rPr>
      </w:pPr>
    </w:p>
    <w:p w14:paraId="5ED5C570">
      <w:pPr>
        <w:widowControl/>
        <w:shd w:val="clear" w:color="auto" w:fill="auto"/>
        <w:adjustRightInd w:val="0"/>
        <w:spacing w:line="360" w:lineRule="auto"/>
        <w:ind w:firstLine="482"/>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供应商：（电子签章）</w:t>
      </w:r>
    </w:p>
    <w:p w14:paraId="298C3095">
      <w:pPr>
        <w:widowControl/>
        <w:shd w:val="clear" w:color="auto" w:fill="auto"/>
        <w:adjustRightInd w:val="0"/>
        <w:spacing w:line="360" w:lineRule="auto"/>
        <w:ind w:firstLine="482"/>
        <w:jc w:val="center"/>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法定代表人或其委托代理人：（电子签章）</w:t>
      </w:r>
    </w:p>
    <w:p w14:paraId="208A7091">
      <w:pPr>
        <w:widowControl/>
        <w:shd w:val="clear" w:color="auto" w:fill="auto"/>
        <w:adjustRightInd w:val="0"/>
        <w:spacing w:line="360" w:lineRule="auto"/>
        <w:ind w:firstLine="482"/>
        <w:jc w:val="center"/>
        <w:rPr>
          <w:rFonts w:hint="eastAsia" w:ascii="宋体" w:hAnsi="宋体" w:cs="宋体"/>
          <w:color w:val="auto"/>
          <w:kern w:val="0"/>
          <w:sz w:val="22"/>
          <w:szCs w:val="22"/>
          <w:highlight w:val="none"/>
        </w:rPr>
      </w:pPr>
      <w:r>
        <w:rPr>
          <w:rFonts w:hint="eastAsia" w:ascii="宋体" w:hAnsi="宋体" w:cs="宋体"/>
          <w:color w:val="auto"/>
          <w:kern w:val="0"/>
          <w:sz w:val="24"/>
          <w:szCs w:val="24"/>
          <w:highlight w:val="none"/>
        </w:rPr>
        <w:t>日期：  年  月  日</w:t>
      </w:r>
    </w:p>
    <w:p w14:paraId="7788F9BB">
      <w:pPr>
        <w:shd w:val="clear" w:color="auto" w:fill="auto"/>
        <w:ind w:firstLine="643"/>
        <w:jc w:val="left"/>
        <w:rPr>
          <w:rFonts w:hint="eastAsia" w:ascii="宋体" w:hAnsi="宋体" w:cs="宋体"/>
          <w:color w:val="auto"/>
          <w:sz w:val="32"/>
          <w:szCs w:val="32"/>
          <w:highlight w:val="none"/>
        </w:rPr>
      </w:pPr>
    </w:p>
    <w:p w14:paraId="48836C74">
      <w:pPr>
        <w:shd w:val="clear" w:color="auto" w:fill="auto"/>
        <w:ind w:firstLine="883"/>
        <w:jc w:val="center"/>
        <w:rPr>
          <w:rFonts w:hint="eastAsia" w:ascii="宋体" w:hAnsi="宋体" w:cs="宋体"/>
          <w:color w:val="auto"/>
          <w:sz w:val="44"/>
          <w:szCs w:val="44"/>
          <w:highlight w:val="none"/>
        </w:rPr>
      </w:pPr>
    </w:p>
    <w:p w14:paraId="6BD1E178">
      <w:pPr>
        <w:shd w:val="clear" w:color="auto" w:fill="auto"/>
        <w:ind w:firstLine="883"/>
        <w:jc w:val="center"/>
        <w:rPr>
          <w:rFonts w:hint="eastAsia" w:ascii="宋体" w:hAnsi="宋体" w:cs="宋体"/>
          <w:color w:val="auto"/>
          <w:sz w:val="44"/>
          <w:szCs w:val="44"/>
          <w:highlight w:val="none"/>
        </w:rPr>
      </w:pPr>
      <w:r>
        <w:rPr>
          <w:rFonts w:hint="eastAsia" w:ascii="宋体" w:hAnsi="宋体" w:cs="宋体"/>
          <w:color w:val="auto"/>
          <w:sz w:val="44"/>
          <w:szCs w:val="44"/>
          <w:highlight w:val="none"/>
        </w:rPr>
        <w:br w:type="page"/>
      </w:r>
      <w:r>
        <w:rPr>
          <w:rFonts w:hint="eastAsia" w:ascii="宋体" w:hAnsi="宋体" w:cs="宋体"/>
          <w:color w:val="auto"/>
          <w:sz w:val="44"/>
          <w:szCs w:val="44"/>
          <w:highlight w:val="none"/>
        </w:rPr>
        <w:t>目   录</w:t>
      </w:r>
      <w:bookmarkEnd w:id="1364"/>
      <w:bookmarkEnd w:id="1365"/>
      <w:bookmarkEnd w:id="1366"/>
      <w:bookmarkEnd w:id="1367"/>
      <w:bookmarkEnd w:id="1368"/>
      <w:bookmarkEnd w:id="1369"/>
      <w:bookmarkEnd w:id="1370"/>
      <w:bookmarkEnd w:id="1371"/>
    </w:p>
    <w:p w14:paraId="61C3BB47">
      <w:pPr>
        <w:shd w:val="clear" w:color="auto" w:fill="auto"/>
        <w:spacing w:line="540" w:lineRule="exact"/>
        <w:ind w:firstLine="482"/>
        <w:jc w:val="center"/>
        <w:rPr>
          <w:rFonts w:hint="eastAsia" w:ascii="宋体" w:hAnsi="宋体" w:cs="宋体"/>
          <w:color w:val="auto"/>
          <w:highlight w:val="none"/>
        </w:rPr>
      </w:pPr>
    </w:p>
    <w:p w14:paraId="6AE1D5A6">
      <w:pPr>
        <w:shd w:val="clear" w:color="auto" w:fill="auto"/>
        <w:spacing w:line="540" w:lineRule="exact"/>
        <w:ind w:firstLine="1134" w:firstLineChars="405"/>
        <w:jc w:val="center"/>
        <w:rPr>
          <w:rFonts w:hint="eastAsia" w:ascii="宋体" w:hAnsi="宋体" w:cs="宋体"/>
          <w:color w:val="auto"/>
          <w:sz w:val="28"/>
          <w:szCs w:val="28"/>
          <w:highlight w:val="none"/>
        </w:rPr>
      </w:pPr>
      <w:r>
        <w:rPr>
          <w:rFonts w:hint="eastAsia" w:ascii="宋体" w:hAnsi="宋体" w:cs="宋体"/>
          <w:color w:val="auto"/>
          <w:sz w:val="28"/>
          <w:szCs w:val="28"/>
          <w:highlight w:val="none"/>
        </w:rPr>
        <w:t>格式自拟</w:t>
      </w:r>
    </w:p>
    <w:p w14:paraId="4C343B8C">
      <w:pPr>
        <w:shd w:val="clear" w:color="auto" w:fill="auto"/>
        <w:spacing w:line="540" w:lineRule="exact"/>
        <w:ind w:firstLine="402"/>
        <w:rPr>
          <w:rFonts w:hint="eastAsia" w:ascii="宋体" w:hAnsi="宋体" w:cs="宋体"/>
          <w:color w:val="auto"/>
          <w:sz w:val="20"/>
          <w:szCs w:val="20"/>
          <w:highlight w:val="none"/>
        </w:rPr>
      </w:pPr>
    </w:p>
    <w:p w14:paraId="19E5918E">
      <w:pPr>
        <w:shd w:val="clear" w:color="auto" w:fill="auto"/>
        <w:spacing w:line="540" w:lineRule="exact"/>
        <w:ind w:firstLine="402"/>
        <w:rPr>
          <w:rFonts w:hint="eastAsia" w:ascii="宋体" w:hAnsi="宋体" w:cs="宋体"/>
          <w:color w:val="auto"/>
          <w:sz w:val="20"/>
          <w:szCs w:val="20"/>
          <w:highlight w:val="none"/>
        </w:rPr>
      </w:pPr>
    </w:p>
    <w:p w14:paraId="46415A17">
      <w:pPr>
        <w:shd w:val="clear" w:color="auto" w:fill="auto"/>
        <w:spacing w:line="540" w:lineRule="exact"/>
        <w:ind w:firstLine="402"/>
        <w:rPr>
          <w:rFonts w:hint="eastAsia" w:ascii="宋体" w:hAnsi="宋体" w:cs="宋体"/>
          <w:color w:val="auto"/>
          <w:sz w:val="20"/>
          <w:szCs w:val="20"/>
          <w:highlight w:val="none"/>
        </w:rPr>
      </w:pPr>
    </w:p>
    <w:p w14:paraId="3F54901C">
      <w:pPr>
        <w:pStyle w:val="3"/>
        <w:shd w:val="clear" w:color="auto" w:fill="auto"/>
        <w:ind w:firstLine="643"/>
        <w:jc w:val="center"/>
        <w:rPr>
          <w:rFonts w:hint="eastAsia" w:ascii="宋体" w:hAnsi="宋体" w:cs="宋体"/>
          <w:color w:val="auto"/>
          <w:highlight w:val="none"/>
        </w:rPr>
      </w:pPr>
      <w:r>
        <w:rPr>
          <w:rFonts w:hint="eastAsia" w:ascii="宋体" w:hAnsi="宋体" w:cs="宋体"/>
          <w:b w:val="0"/>
          <w:bCs w:val="0"/>
          <w:color w:val="auto"/>
          <w:highlight w:val="none"/>
        </w:rPr>
        <w:br w:type="page"/>
      </w:r>
      <w:bookmarkStart w:id="1372" w:name="_Toc77586968"/>
      <w:bookmarkStart w:id="1373" w:name="_Toc179632809"/>
      <w:bookmarkStart w:id="1374" w:name="_Toc247085875"/>
      <w:bookmarkStart w:id="1375" w:name="_Toc144974858"/>
      <w:bookmarkStart w:id="1376" w:name="_Toc152045789"/>
      <w:bookmarkStart w:id="1377" w:name="_Toc26756"/>
      <w:bookmarkStart w:id="1378" w:name="_Toc246996357"/>
      <w:bookmarkStart w:id="1379" w:name="_Toc152042578"/>
      <w:bookmarkStart w:id="1380" w:name="_Toc10619"/>
      <w:bookmarkStart w:id="1381" w:name="_Toc77586870"/>
      <w:bookmarkStart w:id="1382" w:name="_Toc246997100"/>
      <w:bookmarkStart w:id="1383" w:name="_Toc296602603"/>
      <w:r>
        <w:rPr>
          <w:rFonts w:hint="eastAsia" w:ascii="宋体" w:hAnsi="宋体" w:cs="宋体"/>
          <w:color w:val="auto"/>
          <w:highlight w:val="none"/>
        </w:rPr>
        <w:t>一、磋商响应函</w:t>
      </w:r>
      <w:bookmarkEnd w:id="1372"/>
      <w:bookmarkEnd w:id="1373"/>
      <w:bookmarkEnd w:id="1374"/>
      <w:bookmarkEnd w:id="1375"/>
      <w:bookmarkEnd w:id="1376"/>
      <w:bookmarkEnd w:id="1377"/>
      <w:bookmarkEnd w:id="1378"/>
      <w:bookmarkEnd w:id="1379"/>
      <w:bookmarkEnd w:id="1380"/>
      <w:bookmarkEnd w:id="1381"/>
      <w:bookmarkEnd w:id="1382"/>
      <w:bookmarkEnd w:id="1383"/>
    </w:p>
    <w:p w14:paraId="4711162A">
      <w:pPr>
        <w:widowControl/>
        <w:shd w:val="clear" w:color="auto" w:fill="auto"/>
        <w:adjustRightInd w:val="0"/>
        <w:spacing w:line="400" w:lineRule="exact"/>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致：</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采购人</w:t>
      </w:r>
      <w:r>
        <w:rPr>
          <w:rFonts w:hint="eastAsia" w:ascii="宋体" w:hAnsi="宋体" w:cs="宋体"/>
          <w:color w:val="auto"/>
          <w:kern w:val="0"/>
          <w:sz w:val="24"/>
          <w:szCs w:val="24"/>
          <w:highlight w:val="none"/>
          <w:u w:val="single"/>
        </w:rPr>
        <w:t>名称）</w:t>
      </w:r>
    </w:p>
    <w:p w14:paraId="49CB0C69">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1．根据你方招标工程项目编号为</w:t>
      </w:r>
      <w:r>
        <w:rPr>
          <w:rFonts w:hint="eastAsia" w:ascii="宋体" w:hAnsi="宋体" w:cs="宋体"/>
          <w:color w:val="auto"/>
          <w:kern w:val="0"/>
          <w:sz w:val="24"/>
          <w:szCs w:val="24"/>
          <w:highlight w:val="none"/>
          <w:u w:val="single"/>
        </w:rPr>
        <w:t xml:space="preserve">   （项目编号）</w:t>
      </w:r>
      <w:r>
        <w:rPr>
          <w:rFonts w:hint="eastAsia" w:ascii="宋体" w:hAnsi="宋体" w:cs="宋体"/>
          <w:color w:val="auto"/>
          <w:kern w:val="0"/>
          <w:sz w:val="24"/>
          <w:szCs w:val="24"/>
          <w:highlight w:val="none"/>
        </w:rPr>
        <w:t>的</w:t>
      </w:r>
      <w:r>
        <w:rPr>
          <w:rFonts w:hint="eastAsia" w:ascii="宋体" w:hAnsi="宋体" w:cs="宋体"/>
          <w:color w:val="auto"/>
          <w:kern w:val="0"/>
          <w:sz w:val="24"/>
          <w:szCs w:val="24"/>
          <w:highlight w:val="none"/>
          <w:u w:val="single"/>
        </w:rPr>
        <w:t xml:space="preserve">   （工程项目名称）</w:t>
      </w:r>
      <w:r>
        <w:rPr>
          <w:rFonts w:hint="eastAsia" w:ascii="宋体" w:hAnsi="宋体" w:cs="宋体"/>
          <w:color w:val="auto"/>
          <w:kern w:val="0"/>
          <w:sz w:val="24"/>
          <w:szCs w:val="24"/>
          <w:highlight w:val="none"/>
        </w:rPr>
        <w:t>竞争性磋商文件，遵照竞争性磋商文件的投标须知、合同条款、工程建设标准及其他有关文件后，我方愿以磋商总报价人民币（小写）：</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元、(大写)：</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的报价，工期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rPr>
        <w:t>日历天，并按上述竞争性磋商文件及相关资料的条件要求承包上述工程的实施，并承担任何质量缺陷保修责任，工程质量达到</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w:t>
      </w:r>
    </w:p>
    <w:p w14:paraId="46AE2425">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2．我方已详细审核全部竞争性磋商文件，包括修改文件（如有时）及有关附件，已充分理解并掌握了本工程磋商的全部有关情况，同意接受竞争性磋商文件的全部内容和条件。</w:t>
      </w:r>
    </w:p>
    <w:p w14:paraId="24F8F70E">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3．我方承诺在磋商有效期</w:t>
      </w:r>
      <w:r>
        <w:rPr>
          <w:rFonts w:hint="eastAsia" w:ascii="宋体" w:hAnsi="宋体" w:cs="宋体"/>
          <w:color w:val="auto"/>
          <w:kern w:val="0"/>
          <w:sz w:val="24"/>
          <w:szCs w:val="24"/>
          <w:highlight w:val="none"/>
          <w:u w:val="single"/>
        </w:rPr>
        <w:t xml:space="preserve"> </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日历天（从响应文件递交截止时间起）内不修改、撤销响应文件。</w:t>
      </w:r>
    </w:p>
    <w:p w14:paraId="72754FD6">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4．除非另达成协议并生效，你方的成交通知书和本磋商响应文件将成为约束双方的合同文件的组成部分。</w:t>
      </w:r>
    </w:p>
    <w:p w14:paraId="0616E1BA">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5．如我方成交确定为成交人：</w:t>
      </w:r>
    </w:p>
    <w:p w14:paraId="48C40980">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（1）我方承诺在收到成交通知书后，在成交通知书规定的期限内与你方签订合同。</w:t>
      </w:r>
    </w:p>
    <w:p w14:paraId="35D71975">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（2）随同本磋商响应函递交的磋商响应函附录属于合同文件的组成部分。</w:t>
      </w:r>
    </w:p>
    <w:p w14:paraId="654F4C3B">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（3）我方承诺按照磋商文件规定向你方递交履约担保，并按照磋商文件“合同条款及格式”规定的权利义务履行合同。</w:t>
      </w:r>
    </w:p>
    <w:p w14:paraId="57D82A12">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（4）我方承诺响应竞争性磋商文件要求，严格按照竞争性磋商文件中“技术标准和要求”的规定进行施工、满足招标人进度要求并按时移交全部合同工程。</w:t>
      </w:r>
    </w:p>
    <w:p w14:paraId="41817719">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6．我方在此声明，所递交的响应文件及有关资料内容完整、真实和准确。</w:t>
      </w:r>
    </w:p>
    <w:p w14:paraId="12B804C7">
      <w:pPr>
        <w:widowControl/>
        <w:shd w:val="clear" w:color="auto" w:fill="auto"/>
        <w:adjustRightInd w:val="0"/>
        <w:spacing w:line="400" w:lineRule="exact"/>
        <w:ind w:firstLine="628" w:firstLineChars="26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7．</w:t>
      </w:r>
      <w:r>
        <w:rPr>
          <w:rFonts w:hint="eastAsia" w:ascii="宋体" w:hAnsi="宋体" w:cs="宋体"/>
          <w:color w:val="auto"/>
          <w:kern w:val="0"/>
          <w:sz w:val="24"/>
          <w:szCs w:val="24"/>
          <w:highlight w:val="none"/>
          <w:u w:val="single"/>
          <w:lang w:val="en-US" w:eastAsia="zh-CN"/>
        </w:rPr>
        <w:t xml:space="preserve">                       </w:t>
      </w:r>
      <w:r>
        <w:rPr>
          <w:rFonts w:hint="eastAsia" w:ascii="宋体" w:hAnsi="宋体" w:cs="宋体"/>
          <w:color w:val="auto"/>
          <w:kern w:val="0"/>
          <w:sz w:val="24"/>
          <w:szCs w:val="24"/>
          <w:highlight w:val="none"/>
        </w:rPr>
        <w:t>（其他补充说明）。</w:t>
      </w:r>
    </w:p>
    <w:p w14:paraId="7138EC48">
      <w:pPr>
        <w:shd w:val="clear" w:color="auto" w:fill="auto"/>
        <w:spacing w:line="360" w:lineRule="auto"/>
        <w:ind w:firstLine="720" w:firstLineChars="300"/>
        <w:rPr>
          <w:rFonts w:hint="eastAsia" w:ascii="宋体" w:cs="宋体"/>
          <w:color w:val="auto"/>
          <w:sz w:val="24"/>
          <w:szCs w:val="24"/>
          <w:highlight w:val="none"/>
        </w:rPr>
      </w:pPr>
      <w:r>
        <w:rPr>
          <w:rFonts w:hint="eastAsia" w:ascii="宋体" w:hAnsi="宋体" w:cs="宋体"/>
          <w:color w:val="auto"/>
          <w:sz w:val="24"/>
          <w:szCs w:val="24"/>
          <w:highlight w:val="none"/>
          <w:lang w:bidi="en-US"/>
        </w:rPr>
        <w:t>供应商</w:t>
      </w:r>
      <w:r>
        <w:rPr>
          <w:rFonts w:hint="eastAsia" w:ascii="宋体" w:hAnsi="宋体" w:cs="宋体"/>
          <w:color w:val="auto"/>
          <w:sz w:val="24"/>
          <w:szCs w:val="24"/>
          <w:highlight w:val="none"/>
        </w:rPr>
        <w:t>：（电子签章）</w:t>
      </w:r>
    </w:p>
    <w:p w14:paraId="0DACEAEF">
      <w:pPr>
        <w:shd w:val="clear" w:color="auto" w:fill="auto"/>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法定代表人或其委托代理人：（电子签章）</w:t>
      </w:r>
    </w:p>
    <w:p w14:paraId="28FE24A1">
      <w:pPr>
        <w:shd w:val="clear" w:color="auto" w:fill="auto"/>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55895839">
      <w:pPr>
        <w:shd w:val="clear" w:color="auto" w:fill="auto"/>
        <w:spacing w:line="360" w:lineRule="auto"/>
        <w:ind w:firstLine="720" w:firstLineChars="300"/>
        <w:rPr>
          <w:rFonts w:hint="eastAsia" w:ascii="宋体" w:hAnsi="宋体" w:cs="宋体"/>
          <w:color w:val="auto"/>
          <w:sz w:val="24"/>
          <w:szCs w:val="24"/>
          <w:highlight w:val="none"/>
        </w:rPr>
      </w:pPr>
      <w:r>
        <w:rPr>
          <w:rFonts w:hint="eastAsia" w:ascii="宋体" w:hAnsi="宋体" w:cs="宋体"/>
          <w:color w:val="auto"/>
          <w:sz w:val="24"/>
          <w:szCs w:val="24"/>
          <w:highlight w:val="none"/>
        </w:rPr>
        <w:t>联系电话：</w:t>
      </w:r>
      <w:r>
        <w:rPr>
          <w:rFonts w:hint="eastAsia" w:ascii="宋体" w:hAnsi="宋体" w:cs="宋体"/>
          <w:i/>
          <w:iCs/>
          <w:color w:val="auto"/>
          <w:sz w:val="24"/>
          <w:szCs w:val="24"/>
          <w:highlight w:val="none"/>
        </w:rPr>
        <w:t>（填写能联系到的电话号码，方便通知二次报价</w:t>
      </w:r>
      <w:r>
        <w:rPr>
          <w:rFonts w:hint="eastAsia" w:ascii="宋体" w:hAnsi="宋体" w:cs="宋体"/>
          <w:i/>
          <w:iCs/>
          <w:color w:val="auto"/>
          <w:sz w:val="24"/>
          <w:szCs w:val="24"/>
          <w:highlight w:val="none"/>
          <w:lang w:eastAsia="zh-CN"/>
        </w:rPr>
        <w:t>，</w:t>
      </w:r>
      <w:r>
        <w:rPr>
          <w:rFonts w:hint="eastAsia" w:ascii="宋体" w:hAnsi="宋体" w:cs="宋体"/>
          <w:i/>
          <w:iCs/>
          <w:color w:val="auto"/>
          <w:sz w:val="24"/>
          <w:szCs w:val="24"/>
          <w:highlight w:val="none"/>
          <w:lang w:val="en-US" w:eastAsia="zh-CN"/>
        </w:rPr>
        <w:t>制作文件时可删除描述</w:t>
      </w:r>
      <w:r>
        <w:rPr>
          <w:rFonts w:hint="eastAsia" w:ascii="宋体" w:hAnsi="宋体" w:cs="宋体"/>
          <w:i/>
          <w:iCs/>
          <w:color w:val="auto"/>
          <w:sz w:val="24"/>
          <w:szCs w:val="24"/>
          <w:highlight w:val="none"/>
        </w:rPr>
        <w:t>）</w:t>
      </w:r>
    </w:p>
    <w:p w14:paraId="370CEC0D">
      <w:pPr>
        <w:shd w:val="clear" w:color="auto" w:fill="auto"/>
        <w:spacing w:line="360" w:lineRule="auto"/>
        <w:ind w:firstLine="720" w:firstLineChars="300"/>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邮箱：</w:t>
      </w:r>
      <w:r>
        <w:rPr>
          <w:rFonts w:hint="eastAsia" w:ascii="宋体" w:hAnsi="宋体" w:cs="宋体"/>
          <w:i/>
          <w:iCs/>
          <w:color w:val="auto"/>
          <w:sz w:val="24"/>
          <w:szCs w:val="24"/>
          <w:highlight w:val="none"/>
          <w:lang w:val="en-US" w:eastAsia="zh-CN"/>
        </w:rPr>
        <w:t>（必填项，制作文件时可删除描述）</w:t>
      </w:r>
    </w:p>
    <w:p w14:paraId="065EB482">
      <w:pPr>
        <w:widowControl/>
        <w:shd w:val="clear" w:color="auto" w:fill="auto"/>
        <w:adjustRightInd w:val="0"/>
        <w:spacing w:line="360" w:lineRule="auto"/>
        <w:ind w:firstLine="789" w:firstLineChars="329"/>
        <w:jc w:val="center"/>
        <w:rPr>
          <w:rFonts w:hint="eastAsia" w:ascii="宋体" w:hAnsi="宋体" w:cs="宋体"/>
          <w:color w:val="auto"/>
          <w:highlight w:val="none"/>
        </w:rPr>
      </w:pPr>
      <w:r>
        <w:rPr>
          <w:rFonts w:hint="eastAsia" w:ascii="宋体" w:hAnsi="宋体" w:cs="宋体"/>
          <w:color w:val="auto"/>
          <w:kern w:val="0"/>
          <w:sz w:val="24"/>
          <w:szCs w:val="24"/>
          <w:highlight w:val="none"/>
        </w:rPr>
        <w:t>日期：  年  月  日</w:t>
      </w:r>
      <w:r>
        <w:rPr>
          <w:rFonts w:hint="eastAsia" w:ascii="宋体" w:hAnsi="宋体" w:cs="宋体"/>
          <w:b/>
          <w:bCs/>
          <w:color w:val="auto"/>
          <w:sz w:val="22"/>
          <w:szCs w:val="22"/>
          <w:highlight w:val="none"/>
        </w:rPr>
        <w:br w:type="page"/>
      </w:r>
      <w:bookmarkStart w:id="1384" w:name="_Toc77586871"/>
      <w:bookmarkStart w:id="1385" w:name="_Toc77586969"/>
      <w:bookmarkStart w:id="1386" w:name="_Toc30373"/>
      <w:r>
        <w:rPr>
          <w:rFonts w:hint="eastAsia" w:ascii="宋体" w:hAnsi="宋体" w:eastAsia="宋体" w:cs="宋体"/>
          <w:b/>
          <w:bCs/>
          <w:color w:val="auto"/>
          <w:kern w:val="0"/>
          <w:sz w:val="32"/>
          <w:szCs w:val="32"/>
          <w:highlight w:val="none"/>
          <w:lang w:val="en-US" w:eastAsia="zh-CN" w:bidi="ar-SA"/>
        </w:rPr>
        <w:t>二、首次报价一览表</w:t>
      </w:r>
      <w:bookmarkEnd w:id="1384"/>
      <w:bookmarkEnd w:id="1385"/>
      <w:bookmarkEnd w:id="1386"/>
    </w:p>
    <w:tbl>
      <w:tblPr>
        <w:tblStyle w:val="15"/>
        <w:tblpPr w:leftFromText="181" w:rightFromText="181" w:vertAnchor="text" w:horzAnchor="margin" w:tblpXSpec="center" w:tblpY="128"/>
        <w:tblOverlap w:val="never"/>
        <w:tblW w:w="83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5"/>
        <w:gridCol w:w="1360"/>
        <w:gridCol w:w="1361"/>
        <w:gridCol w:w="1361"/>
        <w:gridCol w:w="2722"/>
      </w:tblGrid>
      <w:tr w14:paraId="1703D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5B28E87C">
            <w:pPr>
              <w:shd w:val="clear" w:color="auto" w:fill="auto"/>
              <w:spacing w:line="0" w:lineRule="atLeast"/>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rPr>
              <w:t>项目名称</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15206914">
            <w:pPr>
              <w:shd w:val="clear" w:color="auto" w:fill="auto"/>
              <w:spacing w:line="0" w:lineRule="atLeast"/>
              <w:rPr>
                <w:rFonts w:hint="eastAsia" w:ascii="宋体" w:hAnsi="宋体" w:cs="宋体"/>
                <w:color w:val="auto"/>
                <w:sz w:val="24"/>
                <w:szCs w:val="24"/>
                <w:highlight w:val="none"/>
              </w:rPr>
            </w:pPr>
          </w:p>
        </w:tc>
      </w:tr>
      <w:tr w14:paraId="63BD8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77A0A704">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投标人名称</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4C55B690">
            <w:pPr>
              <w:shd w:val="clear" w:color="auto" w:fill="auto"/>
              <w:spacing w:line="0" w:lineRule="atLeast"/>
              <w:rPr>
                <w:rFonts w:hint="eastAsia" w:ascii="宋体" w:hAnsi="宋体" w:cs="宋体"/>
                <w:color w:val="auto"/>
                <w:sz w:val="24"/>
                <w:szCs w:val="24"/>
                <w:highlight w:val="none"/>
              </w:rPr>
            </w:pPr>
          </w:p>
        </w:tc>
      </w:tr>
      <w:tr w14:paraId="5BCE9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80"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1A3BBB19">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统一社会信用代码</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1E32CD4D">
            <w:pPr>
              <w:shd w:val="clear" w:color="auto" w:fill="auto"/>
              <w:spacing w:line="0" w:lineRule="atLeast"/>
              <w:rPr>
                <w:rFonts w:hint="eastAsia" w:ascii="宋体" w:hAnsi="宋体" w:cs="宋体"/>
                <w:color w:val="auto"/>
                <w:sz w:val="24"/>
                <w:szCs w:val="24"/>
                <w:highlight w:val="none"/>
              </w:rPr>
            </w:pPr>
          </w:p>
        </w:tc>
      </w:tr>
      <w:tr w14:paraId="7516A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238626DC">
            <w:pPr>
              <w:shd w:val="clear" w:color="auto" w:fill="auto"/>
              <w:spacing w:line="0" w:lineRule="atLeas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地址</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11D6921B">
            <w:pPr>
              <w:shd w:val="clear" w:color="auto" w:fill="auto"/>
              <w:spacing w:line="0" w:lineRule="atLeast"/>
              <w:rPr>
                <w:rFonts w:hint="eastAsia" w:ascii="宋体" w:hAnsi="宋体" w:cs="宋体"/>
                <w:color w:val="auto"/>
                <w:sz w:val="24"/>
                <w:szCs w:val="24"/>
                <w:highlight w:val="none"/>
              </w:rPr>
            </w:pPr>
          </w:p>
        </w:tc>
      </w:tr>
      <w:tr w14:paraId="66A8C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vMerge w:val="restart"/>
            <w:tcBorders>
              <w:top w:val="single" w:color="auto" w:sz="4" w:space="0"/>
              <w:left w:val="single" w:color="auto" w:sz="4" w:space="0"/>
              <w:right w:val="single" w:color="auto" w:sz="4" w:space="0"/>
            </w:tcBorders>
            <w:noWrap w:val="0"/>
            <w:vAlign w:val="center"/>
          </w:tcPr>
          <w:p w14:paraId="655A2A44">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项目经理</w:t>
            </w:r>
          </w:p>
        </w:tc>
        <w:tc>
          <w:tcPr>
            <w:tcW w:w="1360" w:type="dxa"/>
            <w:tcBorders>
              <w:top w:val="single" w:color="auto" w:sz="4" w:space="0"/>
              <w:left w:val="single" w:color="auto" w:sz="4" w:space="0"/>
              <w:right w:val="single" w:color="auto" w:sz="4" w:space="0"/>
            </w:tcBorders>
            <w:noWrap w:val="0"/>
            <w:vAlign w:val="center"/>
          </w:tcPr>
          <w:p w14:paraId="21CF6A97">
            <w:pPr>
              <w:shd w:val="clear" w:color="auto" w:fill="auto"/>
              <w:spacing w:line="0" w:lineRule="atLeast"/>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姓名</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35BDB037">
            <w:pPr>
              <w:shd w:val="clear" w:color="auto" w:fill="auto"/>
              <w:spacing w:line="0" w:lineRule="atLeast"/>
              <w:rPr>
                <w:rFonts w:hint="eastAsia" w:ascii="宋体" w:hAnsi="宋体" w:cs="宋体"/>
                <w:color w:val="auto"/>
                <w:sz w:val="24"/>
                <w:szCs w:val="24"/>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209A080C">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身份证号</w:t>
            </w:r>
          </w:p>
        </w:tc>
        <w:tc>
          <w:tcPr>
            <w:tcW w:w="2722" w:type="dxa"/>
            <w:tcBorders>
              <w:top w:val="single" w:color="auto" w:sz="4" w:space="0"/>
              <w:left w:val="single" w:color="auto" w:sz="4" w:space="0"/>
              <w:bottom w:val="single" w:color="auto" w:sz="4" w:space="0"/>
              <w:right w:val="single" w:color="auto" w:sz="4" w:space="0"/>
            </w:tcBorders>
            <w:noWrap w:val="0"/>
            <w:vAlign w:val="center"/>
          </w:tcPr>
          <w:p w14:paraId="725744ED">
            <w:pPr>
              <w:shd w:val="clear" w:color="auto" w:fill="auto"/>
              <w:spacing w:line="0" w:lineRule="atLeast"/>
              <w:rPr>
                <w:rFonts w:hint="eastAsia" w:ascii="宋体" w:hAnsi="宋体" w:cs="宋体"/>
                <w:color w:val="auto"/>
                <w:sz w:val="24"/>
                <w:szCs w:val="24"/>
                <w:highlight w:val="none"/>
              </w:rPr>
            </w:pPr>
          </w:p>
        </w:tc>
      </w:tr>
      <w:tr w14:paraId="2BA1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vMerge w:val="continue"/>
            <w:tcBorders>
              <w:left w:val="single" w:color="auto" w:sz="4" w:space="0"/>
              <w:right w:val="single" w:color="auto" w:sz="4" w:space="0"/>
            </w:tcBorders>
            <w:noWrap w:val="0"/>
            <w:vAlign w:val="center"/>
          </w:tcPr>
          <w:p w14:paraId="7ADA6D05">
            <w:pPr>
              <w:shd w:val="clear" w:color="auto" w:fill="auto"/>
              <w:spacing w:line="0" w:lineRule="atLeast"/>
              <w:rPr>
                <w:rFonts w:hint="eastAsia" w:ascii="宋体" w:hAnsi="宋体" w:cs="宋体"/>
                <w:color w:val="auto"/>
                <w:sz w:val="24"/>
                <w:szCs w:val="24"/>
                <w:highlight w:val="none"/>
              </w:rPr>
            </w:pPr>
          </w:p>
        </w:tc>
        <w:tc>
          <w:tcPr>
            <w:tcW w:w="1360" w:type="dxa"/>
            <w:tcBorders>
              <w:left w:val="single" w:color="auto" w:sz="4" w:space="0"/>
              <w:right w:val="single" w:color="auto" w:sz="4" w:space="0"/>
            </w:tcBorders>
            <w:noWrap w:val="0"/>
            <w:vAlign w:val="center"/>
          </w:tcPr>
          <w:p w14:paraId="7C5436BD">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6EA494D8">
            <w:pPr>
              <w:shd w:val="clear" w:color="auto" w:fill="auto"/>
              <w:spacing w:line="0" w:lineRule="atLeast"/>
              <w:rPr>
                <w:rFonts w:hint="eastAsia" w:ascii="宋体" w:hAnsi="宋体" w:cs="宋体"/>
                <w:color w:val="auto"/>
                <w:sz w:val="24"/>
                <w:szCs w:val="24"/>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543D3FB9">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注册编号</w:t>
            </w:r>
          </w:p>
        </w:tc>
        <w:tc>
          <w:tcPr>
            <w:tcW w:w="2722" w:type="dxa"/>
            <w:tcBorders>
              <w:top w:val="single" w:color="auto" w:sz="4" w:space="0"/>
              <w:left w:val="single" w:color="auto" w:sz="4" w:space="0"/>
              <w:bottom w:val="single" w:color="auto" w:sz="4" w:space="0"/>
              <w:right w:val="single" w:color="auto" w:sz="4" w:space="0"/>
            </w:tcBorders>
            <w:noWrap w:val="0"/>
            <w:vAlign w:val="center"/>
          </w:tcPr>
          <w:p w14:paraId="1C3FC589">
            <w:pPr>
              <w:shd w:val="clear" w:color="auto" w:fill="auto"/>
              <w:spacing w:line="0" w:lineRule="atLeast"/>
              <w:rPr>
                <w:rFonts w:hint="eastAsia" w:ascii="宋体" w:hAnsi="宋体" w:cs="宋体"/>
                <w:color w:val="auto"/>
                <w:sz w:val="24"/>
                <w:szCs w:val="24"/>
                <w:highlight w:val="none"/>
              </w:rPr>
            </w:pPr>
          </w:p>
        </w:tc>
      </w:tr>
      <w:tr w14:paraId="38F00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vMerge w:val="restart"/>
            <w:tcBorders>
              <w:top w:val="single" w:color="auto" w:sz="4" w:space="0"/>
              <w:left w:val="single" w:color="auto" w:sz="4" w:space="0"/>
              <w:right w:val="single" w:color="auto" w:sz="4" w:space="0"/>
            </w:tcBorders>
            <w:noWrap w:val="0"/>
            <w:vAlign w:val="center"/>
          </w:tcPr>
          <w:p w14:paraId="0A218BCD">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技术负责人</w:t>
            </w:r>
          </w:p>
        </w:tc>
        <w:tc>
          <w:tcPr>
            <w:tcW w:w="1360" w:type="dxa"/>
            <w:tcBorders>
              <w:top w:val="single" w:color="auto" w:sz="4" w:space="0"/>
              <w:left w:val="single" w:color="auto" w:sz="4" w:space="0"/>
              <w:right w:val="single" w:color="auto" w:sz="4" w:space="0"/>
            </w:tcBorders>
            <w:noWrap w:val="0"/>
            <w:vAlign w:val="center"/>
          </w:tcPr>
          <w:p w14:paraId="2DDF109D">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姓名</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34FC6B64">
            <w:pPr>
              <w:shd w:val="clear" w:color="auto" w:fill="auto"/>
              <w:spacing w:line="0" w:lineRule="atLeast"/>
              <w:rPr>
                <w:rFonts w:hint="eastAsia" w:ascii="宋体" w:hAnsi="宋体" w:cs="宋体"/>
                <w:color w:val="auto"/>
                <w:sz w:val="24"/>
                <w:szCs w:val="24"/>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25FA59A2">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身份证号</w:t>
            </w:r>
          </w:p>
        </w:tc>
        <w:tc>
          <w:tcPr>
            <w:tcW w:w="2722" w:type="dxa"/>
            <w:tcBorders>
              <w:top w:val="single" w:color="auto" w:sz="4" w:space="0"/>
              <w:left w:val="single" w:color="auto" w:sz="4" w:space="0"/>
              <w:bottom w:val="single" w:color="auto" w:sz="4" w:space="0"/>
              <w:right w:val="single" w:color="auto" w:sz="4" w:space="0"/>
            </w:tcBorders>
            <w:noWrap w:val="0"/>
            <w:vAlign w:val="center"/>
          </w:tcPr>
          <w:p w14:paraId="7BB694B2">
            <w:pPr>
              <w:shd w:val="clear" w:color="auto" w:fill="auto"/>
              <w:spacing w:line="0" w:lineRule="atLeast"/>
              <w:rPr>
                <w:rFonts w:hint="eastAsia" w:ascii="宋体" w:hAnsi="宋体" w:cs="宋体"/>
                <w:color w:val="auto"/>
                <w:sz w:val="24"/>
                <w:szCs w:val="24"/>
                <w:highlight w:val="none"/>
              </w:rPr>
            </w:pPr>
          </w:p>
          <w:p w14:paraId="193EA008">
            <w:pPr>
              <w:shd w:val="clear" w:color="auto" w:fill="auto"/>
              <w:spacing w:line="0" w:lineRule="atLeast"/>
              <w:rPr>
                <w:rFonts w:hint="eastAsia" w:ascii="宋体" w:hAnsi="宋体" w:cs="宋体"/>
                <w:color w:val="auto"/>
                <w:sz w:val="24"/>
                <w:szCs w:val="24"/>
                <w:highlight w:val="none"/>
              </w:rPr>
            </w:pPr>
          </w:p>
        </w:tc>
      </w:tr>
      <w:tr w14:paraId="7F19C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vMerge w:val="continue"/>
            <w:tcBorders>
              <w:left w:val="single" w:color="auto" w:sz="4" w:space="0"/>
              <w:right w:val="single" w:color="auto" w:sz="4" w:space="0"/>
            </w:tcBorders>
            <w:noWrap w:val="0"/>
            <w:vAlign w:val="center"/>
          </w:tcPr>
          <w:p w14:paraId="41465449">
            <w:pPr>
              <w:shd w:val="clear" w:color="auto" w:fill="auto"/>
              <w:spacing w:line="0" w:lineRule="atLeast"/>
              <w:rPr>
                <w:rFonts w:hint="eastAsia" w:ascii="宋体" w:hAnsi="宋体" w:cs="宋体"/>
                <w:color w:val="auto"/>
                <w:sz w:val="24"/>
                <w:szCs w:val="24"/>
                <w:highlight w:val="none"/>
              </w:rPr>
            </w:pPr>
          </w:p>
        </w:tc>
        <w:tc>
          <w:tcPr>
            <w:tcW w:w="1360" w:type="dxa"/>
            <w:tcBorders>
              <w:left w:val="single" w:color="auto" w:sz="4" w:space="0"/>
              <w:right w:val="single" w:color="auto" w:sz="4" w:space="0"/>
            </w:tcBorders>
            <w:noWrap w:val="0"/>
            <w:vAlign w:val="center"/>
          </w:tcPr>
          <w:p w14:paraId="3459DDC9">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1361" w:type="dxa"/>
            <w:tcBorders>
              <w:top w:val="single" w:color="auto" w:sz="4" w:space="0"/>
              <w:left w:val="single" w:color="auto" w:sz="4" w:space="0"/>
              <w:bottom w:val="single" w:color="auto" w:sz="4" w:space="0"/>
              <w:right w:val="single" w:color="auto" w:sz="4" w:space="0"/>
            </w:tcBorders>
            <w:noWrap w:val="0"/>
            <w:vAlign w:val="center"/>
          </w:tcPr>
          <w:p w14:paraId="7942D9B7">
            <w:pPr>
              <w:shd w:val="clear" w:color="auto" w:fill="auto"/>
              <w:spacing w:line="0" w:lineRule="atLeast"/>
              <w:rPr>
                <w:rFonts w:hint="eastAsia" w:ascii="宋体" w:hAnsi="宋体" w:cs="宋体"/>
                <w:color w:val="auto"/>
                <w:sz w:val="24"/>
                <w:szCs w:val="24"/>
                <w:highlight w:val="none"/>
              </w:rPr>
            </w:pPr>
          </w:p>
        </w:tc>
        <w:tc>
          <w:tcPr>
            <w:tcW w:w="1361" w:type="dxa"/>
            <w:tcBorders>
              <w:top w:val="single" w:color="auto" w:sz="4" w:space="0"/>
              <w:left w:val="single" w:color="auto" w:sz="4" w:space="0"/>
              <w:bottom w:val="single" w:color="auto" w:sz="4" w:space="0"/>
              <w:right w:val="single" w:color="auto" w:sz="4" w:space="0"/>
            </w:tcBorders>
            <w:noWrap w:val="0"/>
            <w:vAlign w:val="center"/>
          </w:tcPr>
          <w:p w14:paraId="1254E2EF">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注册编号</w:t>
            </w:r>
          </w:p>
        </w:tc>
        <w:tc>
          <w:tcPr>
            <w:tcW w:w="2722" w:type="dxa"/>
            <w:tcBorders>
              <w:top w:val="single" w:color="auto" w:sz="4" w:space="0"/>
              <w:left w:val="single" w:color="auto" w:sz="4" w:space="0"/>
              <w:bottom w:val="single" w:color="auto" w:sz="4" w:space="0"/>
              <w:right w:val="single" w:color="auto" w:sz="4" w:space="0"/>
            </w:tcBorders>
            <w:noWrap w:val="0"/>
            <w:vAlign w:val="center"/>
          </w:tcPr>
          <w:p w14:paraId="6B78A8B5">
            <w:pPr>
              <w:shd w:val="clear" w:color="auto" w:fill="auto"/>
              <w:spacing w:line="0" w:lineRule="atLeast"/>
              <w:rPr>
                <w:rFonts w:hint="eastAsia" w:ascii="宋体" w:hAnsi="宋体" w:cs="宋体"/>
                <w:color w:val="auto"/>
                <w:sz w:val="24"/>
                <w:szCs w:val="24"/>
                <w:highlight w:val="none"/>
              </w:rPr>
            </w:pPr>
          </w:p>
        </w:tc>
      </w:tr>
      <w:tr w14:paraId="65CE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708AB3D0">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投标范围</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65BCBE07">
            <w:pPr>
              <w:shd w:val="clear" w:color="auto" w:fill="auto"/>
              <w:spacing w:line="0" w:lineRule="atLeast"/>
              <w:rPr>
                <w:rFonts w:hint="eastAsia" w:ascii="宋体" w:hAnsi="宋体" w:cs="宋体"/>
                <w:color w:val="auto"/>
                <w:sz w:val="24"/>
                <w:szCs w:val="24"/>
                <w:highlight w:val="none"/>
              </w:rPr>
            </w:pPr>
          </w:p>
        </w:tc>
      </w:tr>
      <w:tr w14:paraId="187EF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5" w:hRule="exact"/>
        </w:trPr>
        <w:tc>
          <w:tcPr>
            <w:tcW w:w="1595" w:type="dxa"/>
            <w:tcBorders>
              <w:top w:val="single" w:color="auto" w:sz="4" w:space="0"/>
              <w:left w:val="single" w:color="auto" w:sz="4" w:space="0"/>
              <w:bottom w:val="single" w:color="auto" w:sz="4" w:space="0"/>
              <w:right w:val="single" w:color="auto" w:sz="4" w:space="0"/>
            </w:tcBorders>
            <w:noWrap w:val="0"/>
            <w:vAlign w:val="center"/>
          </w:tcPr>
          <w:p w14:paraId="10CFC495">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磋商总报价（元）</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77EF7D61">
            <w:pPr>
              <w:shd w:val="clear" w:color="auto" w:fill="auto"/>
              <w:spacing w:line="0" w:lineRule="atLeast"/>
              <w:ind w:firstLine="482"/>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 xml:space="preserve">（大写）                   </w:t>
            </w:r>
          </w:p>
          <w:p w14:paraId="22D4A20D">
            <w:pPr>
              <w:shd w:val="clear" w:color="auto" w:fill="auto"/>
              <w:spacing w:line="0" w:lineRule="atLeast"/>
              <w:ind w:firstLine="482"/>
              <w:rPr>
                <w:rFonts w:hint="eastAsia" w:ascii="宋体" w:hAnsi="宋体" w:cs="宋体"/>
                <w:color w:val="auto"/>
                <w:sz w:val="24"/>
                <w:szCs w:val="24"/>
                <w:highlight w:val="none"/>
                <w:u w:val="single"/>
              </w:rPr>
            </w:pPr>
            <w:r>
              <w:rPr>
                <w:rFonts w:hint="eastAsia" w:ascii="宋体" w:hAnsi="宋体" w:cs="宋体"/>
                <w:color w:val="auto"/>
                <w:sz w:val="24"/>
                <w:szCs w:val="24"/>
                <w:highlight w:val="none"/>
                <w:u w:val="single"/>
              </w:rPr>
              <w:t xml:space="preserve">（小写）                    </w:t>
            </w:r>
          </w:p>
          <w:p w14:paraId="01A71784">
            <w:pPr>
              <w:shd w:val="clear" w:color="auto" w:fill="auto"/>
              <w:spacing w:line="0" w:lineRule="atLeast"/>
              <w:rPr>
                <w:rFonts w:hint="eastAsia" w:ascii="宋体" w:hAnsi="宋体" w:cs="宋体"/>
                <w:color w:val="auto"/>
                <w:sz w:val="24"/>
                <w:szCs w:val="24"/>
                <w:highlight w:val="none"/>
                <w:u w:val="single"/>
              </w:rPr>
            </w:pPr>
            <w:r>
              <w:rPr>
                <w:rFonts w:hint="eastAsia" w:ascii="宋体" w:hAnsi="宋体" w:cs="宋体"/>
                <w:b/>
                <w:bCs/>
                <w:snapToGrid w:val="0"/>
                <w:color w:val="auto"/>
                <w:sz w:val="24"/>
                <w:szCs w:val="22"/>
                <w:highlight w:val="none"/>
              </w:rPr>
              <w:t>（响应人应在此填列第一次报价，但以响应人最后一次的磋商报价为成交价）</w:t>
            </w:r>
          </w:p>
        </w:tc>
      </w:tr>
      <w:tr w14:paraId="58573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595" w:type="dxa"/>
            <w:tcBorders>
              <w:top w:val="single" w:color="auto" w:sz="4" w:space="0"/>
              <w:left w:val="single" w:color="auto" w:sz="4" w:space="0"/>
              <w:bottom w:val="single" w:color="auto" w:sz="4" w:space="0"/>
              <w:right w:val="single" w:color="auto" w:sz="4" w:space="0"/>
            </w:tcBorders>
            <w:noWrap w:val="0"/>
            <w:vAlign w:val="center"/>
          </w:tcPr>
          <w:p w14:paraId="64AF26E1">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质量要求</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71823019">
            <w:pPr>
              <w:shd w:val="clear" w:color="auto" w:fill="auto"/>
              <w:spacing w:line="0" w:lineRule="atLeast"/>
              <w:ind w:firstLine="482"/>
              <w:jc w:val="center"/>
              <w:rPr>
                <w:rFonts w:ascii="宋体" w:hAnsi="宋体" w:cs="宋体"/>
                <w:color w:val="auto"/>
                <w:sz w:val="24"/>
                <w:szCs w:val="24"/>
                <w:highlight w:val="none"/>
              </w:rPr>
            </w:pPr>
          </w:p>
        </w:tc>
      </w:tr>
      <w:tr w14:paraId="12E0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595" w:type="dxa"/>
            <w:tcBorders>
              <w:top w:val="single" w:color="auto" w:sz="4" w:space="0"/>
              <w:left w:val="single" w:color="auto" w:sz="4" w:space="0"/>
              <w:bottom w:val="single" w:color="auto" w:sz="4" w:space="0"/>
              <w:right w:val="single" w:color="auto" w:sz="4" w:space="0"/>
            </w:tcBorders>
            <w:noWrap w:val="0"/>
            <w:vAlign w:val="center"/>
          </w:tcPr>
          <w:p w14:paraId="3C254346">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工期</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3DEA505C">
            <w:pPr>
              <w:shd w:val="clear" w:color="auto" w:fill="auto"/>
              <w:spacing w:line="0" w:lineRule="atLeast"/>
              <w:ind w:firstLine="482"/>
              <w:jc w:val="center"/>
              <w:rPr>
                <w:rFonts w:ascii="宋体" w:hAnsi="宋体" w:cs="宋体"/>
                <w:color w:val="auto"/>
                <w:sz w:val="24"/>
                <w:szCs w:val="24"/>
                <w:highlight w:val="none"/>
              </w:rPr>
            </w:pPr>
          </w:p>
        </w:tc>
      </w:tr>
      <w:tr w14:paraId="2CFA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38" w:hRule="atLeast"/>
        </w:trPr>
        <w:tc>
          <w:tcPr>
            <w:tcW w:w="1595" w:type="dxa"/>
            <w:tcBorders>
              <w:top w:val="single" w:color="auto" w:sz="4" w:space="0"/>
              <w:left w:val="single" w:color="auto" w:sz="4" w:space="0"/>
              <w:bottom w:val="single" w:color="auto" w:sz="4" w:space="0"/>
              <w:right w:val="single" w:color="auto" w:sz="4" w:space="0"/>
            </w:tcBorders>
            <w:noWrap w:val="0"/>
            <w:vAlign w:val="center"/>
          </w:tcPr>
          <w:p w14:paraId="2A246DF7">
            <w:pPr>
              <w:shd w:val="clear" w:color="auto" w:fill="auto"/>
              <w:spacing w:line="0" w:lineRule="atLeast"/>
              <w:jc w:val="center"/>
              <w:rPr>
                <w:rFonts w:hint="default" w:ascii="宋体" w:hAnsi="宋体" w:eastAsia="宋体" w:cs="宋体"/>
                <w:color w:val="auto"/>
                <w:sz w:val="24"/>
                <w:szCs w:val="24"/>
                <w:highlight w:val="none"/>
                <w:lang w:val="en-US" w:eastAsia="zh-CN"/>
              </w:rPr>
            </w:pPr>
            <w:r>
              <w:rPr>
                <w:rFonts w:hint="eastAsia" w:ascii="宋体" w:hAnsi="宋体" w:eastAsia="宋体" w:cs="Times New Roman"/>
                <w:color w:val="auto"/>
                <w:sz w:val="24"/>
                <w:highlight w:val="none"/>
                <w:lang w:val="en-US" w:eastAsia="zh-CN"/>
              </w:rPr>
              <w:t>委托代理人姓名及联系方式</w:t>
            </w:r>
            <w:r>
              <w:rPr>
                <w:rFonts w:hint="eastAsia" w:ascii="宋体" w:hAnsi="宋体" w:cs="Times New Roman"/>
                <w:color w:val="auto"/>
                <w:sz w:val="24"/>
                <w:highlight w:val="none"/>
                <w:lang w:val="en-US" w:eastAsia="zh-CN"/>
              </w:rPr>
              <w:t>和邮箱</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7E6D2874">
            <w:pPr>
              <w:shd w:val="clear" w:color="auto" w:fill="auto"/>
              <w:spacing w:line="0" w:lineRule="atLeast"/>
              <w:ind w:firstLine="482"/>
              <w:jc w:val="center"/>
              <w:rPr>
                <w:rFonts w:ascii="宋体" w:hAnsi="宋体" w:cs="宋体"/>
                <w:color w:val="auto"/>
                <w:sz w:val="24"/>
                <w:szCs w:val="24"/>
                <w:highlight w:val="none"/>
              </w:rPr>
            </w:pPr>
          </w:p>
        </w:tc>
      </w:tr>
      <w:tr w14:paraId="6AB18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trPr>
        <w:tc>
          <w:tcPr>
            <w:tcW w:w="1595" w:type="dxa"/>
            <w:tcBorders>
              <w:top w:val="single" w:color="auto" w:sz="4" w:space="0"/>
              <w:left w:val="single" w:color="auto" w:sz="4" w:space="0"/>
              <w:bottom w:val="single" w:color="auto" w:sz="4" w:space="0"/>
              <w:right w:val="single" w:color="auto" w:sz="4" w:space="0"/>
            </w:tcBorders>
            <w:noWrap w:val="0"/>
            <w:vAlign w:val="center"/>
          </w:tcPr>
          <w:p w14:paraId="3DD21864">
            <w:pPr>
              <w:shd w:val="clear" w:color="auto" w:fill="auto"/>
              <w:spacing w:line="0" w:lineRule="atLeast"/>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c>
          <w:tcPr>
            <w:tcW w:w="6804" w:type="dxa"/>
            <w:gridSpan w:val="4"/>
            <w:tcBorders>
              <w:top w:val="single" w:color="auto" w:sz="4" w:space="0"/>
              <w:left w:val="single" w:color="auto" w:sz="4" w:space="0"/>
              <w:bottom w:val="single" w:color="auto" w:sz="4" w:space="0"/>
              <w:right w:val="single" w:color="auto" w:sz="4" w:space="0"/>
            </w:tcBorders>
            <w:noWrap w:val="0"/>
            <w:vAlign w:val="center"/>
          </w:tcPr>
          <w:p w14:paraId="4C1667BA">
            <w:pPr>
              <w:shd w:val="clear" w:color="auto" w:fill="auto"/>
              <w:spacing w:line="0" w:lineRule="atLeast"/>
              <w:ind w:firstLine="482"/>
              <w:rPr>
                <w:rFonts w:ascii="宋体" w:hAnsi="宋体" w:cs="宋体"/>
                <w:color w:val="auto"/>
                <w:sz w:val="24"/>
                <w:szCs w:val="24"/>
                <w:highlight w:val="none"/>
              </w:rPr>
            </w:pPr>
          </w:p>
        </w:tc>
      </w:tr>
    </w:tbl>
    <w:p w14:paraId="3D8AA8BF">
      <w:pPr>
        <w:widowControl/>
        <w:shd w:val="clear" w:color="auto" w:fill="auto"/>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供应商：（电子签章）</w:t>
      </w:r>
    </w:p>
    <w:p w14:paraId="33D29086">
      <w:pPr>
        <w:widowControl/>
        <w:shd w:val="clear" w:color="auto" w:fill="auto"/>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法定代表人或其委托代理人：（电子签章）</w:t>
      </w:r>
    </w:p>
    <w:p w14:paraId="61435087">
      <w:pPr>
        <w:widowControl/>
        <w:shd w:val="clear" w:color="auto" w:fill="auto"/>
        <w:adjustRightInd w:val="0"/>
        <w:spacing w:line="360" w:lineRule="auto"/>
        <w:ind w:firstLine="482"/>
        <w:jc w:val="left"/>
        <w:rPr>
          <w:rFonts w:hint="eastAsia" w:ascii="宋体" w:hAnsi="宋体" w:cs="宋体"/>
          <w:color w:val="auto"/>
          <w:kern w:val="0"/>
          <w:sz w:val="22"/>
          <w:szCs w:val="22"/>
          <w:highlight w:val="none"/>
        </w:rPr>
      </w:pPr>
      <w:r>
        <w:rPr>
          <w:rFonts w:hint="eastAsia" w:ascii="宋体" w:hAnsi="宋体" w:cs="宋体"/>
          <w:color w:val="auto"/>
          <w:kern w:val="0"/>
          <w:sz w:val="24"/>
          <w:szCs w:val="24"/>
          <w:highlight w:val="none"/>
        </w:rPr>
        <w:t>日期：  年  月  日</w:t>
      </w:r>
      <w:bookmarkStart w:id="1387" w:name="_Toc179632811"/>
      <w:bookmarkStart w:id="1388" w:name="_Toc247085877"/>
      <w:bookmarkStart w:id="1389" w:name="_Toc246996359"/>
      <w:bookmarkStart w:id="1390" w:name="_Toc152042580"/>
      <w:bookmarkStart w:id="1391" w:name="_Toc246997102"/>
      <w:bookmarkStart w:id="1392" w:name="_Toc296602605"/>
      <w:bookmarkStart w:id="1393" w:name="_Toc152045791"/>
      <w:bookmarkStart w:id="1394" w:name="_Toc144974860"/>
    </w:p>
    <w:p w14:paraId="0C570998">
      <w:pPr>
        <w:pStyle w:val="2"/>
        <w:shd w:val="clear" w:color="auto" w:fill="auto"/>
        <w:ind w:firstLine="602"/>
        <w:rPr>
          <w:rFonts w:hint="eastAsia" w:ascii="宋体" w:hAnsi="宋体" w:eastAsia="宋体" w:cs="宋体"/>
          <w:color w:val="auto"/>
          <w:highlight w:val="none"/>
        </w:rPr>
      </w:pPr>
      <w:r>
        <w:rPr>
          <w:rFonts w:hint="eastAsia" w:ascii="宋体" w:hAnsi="宋体" w:cs="宋体"/>
          <w:b w:val="0"/>
          <w:bCs w:val="0"/>
          <w:color w:val="auto"/>
          <w:highlight w:val="none"/>
        </w:rPr>
        <w:br w:type="page"/>
      </w:r>
      <w:bookmarkStart w:id="1395" w:name="_Toc77586970"/>
      <w:bookmarkStart w:id="1396" w:name="_Toc77586872"/>
      <w:bookmarkStart w:id="1397" w:name="_Toc1781"/>
      <w:bookmarkStart w:id="1398" w:name="_Toc28691"/>
      <w:r>
        <w:rPr>
          <w:rFonts w:hint="eastAsia" w:ascii="宋体" w:hAnsi="宋体" w:eastAsia="宋体" w:cs="宋体"/>
          <w:color w:val="auto"/>
          <w:highlight w:val="none"/>
        </w:rPr>
        <w:t>三、</w:t>
      </w:r>
      <w:bookmarkEnd w:id="1387"/>
      <w:bookmarkEnd w:id="1388"/>
      <w:bookmarkEnd w:id="1389"/>
      <w:bookmarkEnd w:id="1390"/>
      <w:bookmarkEnd w:id="1391"/>
      <w:bookmarkEnd w:id="1392"/>
      <w:bookmarkEnd w:id="1393"/>
      <w:bookmarkEnd w:id="1394"/>
      <w:bookmarkEnd w:id="1395"/>
      <w:bookmarkEnd w:id="1396"/>
      <w:r>
        <w:rPr>
          <w:rFonts w:hint="eastAsia" w:ascii="宋体" w:hAnsi="宋体" w:eastAsia="宋体" w:cs="宋体"/>
          <w:color w:val="auto"/>
          <w:highlight w:val="none"/>
        </w:rPr>
        <w:t>法定代表人身份证明及授权委托书</w:t>
      </w:r>
      <w:bookmarkEnd w:id="1397"/>
      <w:bookmarkEnd w:id="1398"/>
    </w:p>
    <w:p w14:paraId="204228A4">
      <w:pPr>
        <w:shd w:val="clear" w:color="auto" w:fill="auto"/>
        <w:spacing w:line="360" w:lineRule="auto"/>
        <w:ind w:firstLine="480"/>
        <w:rPr>
          <w:rFonts w:hint="eastAsia" w:ascii="宋体" w:cs="宋体"/>
          <w:b/>
          <w:color w:val="auto"/>
          <w:sz w:val="24"/>
          <w:szCs w:val="24"/>
          <w:highlight w:val="none"/>
        </w:rPr>
      </w:pPr>
      <w:r>
        <w:rPr>
          <w:rFonts w:hint="eastAsia" w:ascii="宋体" w:hAnsi="宋体" w:cs="宋体"/>
          <w:b/>
          <w:color w:val="auto"/>
          <w:sz w:val="24"/>
          <w:szCs w:val="24"/>
          <w:highlight w:val="none"/>
        </w:rPr>
        <w:t>（一）法定代表人身份证明</w:t>
      </w:r>
    </w:p>
    <w:p w14:paraId="0E4A1535">
      <w:pPr>
        <w:shd w:val="clear" w:color="auto" w:fill="auto"/>
        <w:spacing w:line="440" w:lineRule="exact"/>
        <w:ind w:firstLine="482"/>
        <w:rPr>
          <w:rFonts w:hint="eastAsia" w:ascii="宋体" w:hAnsi="宋体" w:cs="宋体"/>
          <w:color w:val="auto"/>
          <w:sz w:val="24"/>
          <w:szCs w:val="24"/>
          <w:highlight w:val="none"/>
        </w:rPr>
      </w:pPr>
    </w:p>
    <w:p w14:paraId="6A86C1E0">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投标人名称：</w:t>
      </w:r>
    </w:p>
    <w:p w14:paraId="35C77CE5">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单位性质：</w:t>
      </w:r>
    </w:p>
    <w:p w14:paraId="1CF61889">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地址：</w:t>
      </w:r>
    </w:p>
    <w:p w14:paraId="11215C37">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成立时间：   年   月  日</w:t>
      </w:r>
    </w:p>
    <w:p w14:paraId="70BBC3D5">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经营期限：</w:t>
      </w:r>
    </w:p>
    <w:p w14:paraId="49A0E186">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姓名： 性别：年龄：职务：</w:t>
      </w:r>
    </w:p>
    <w:p w14:paraId="131E046B">
      <w:pPr>
        <w:shd w:val="clear" w:color="auto" w:fill="auto"/>
        <w:spacing w:line="440" w:lineRule="exact"/>
        <w:ind w:left="424" w:leftChars="202"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系 （投标人名称）的法定代表人。</w:t>
      </w:r>
    </w:p>
    <w:p w14:paraId="2759415E">
      <w:pPr>
        <w:shd w:val="clear" w:color="auto" w:fill="auto"/>
        <w:spacing w:line="440" w:lineRule="exact"/>
        <w:ind w:left="424" w:leftChars="202" w:firstLine="480" w:firstLineChars="200"/>
        <w:rPr>
          <w:rFonts w:hint="eastAsia" w:ascii="宋体" w:hAnsi="宋体" w:cs="宋体"/>
          <w:color w:val="auto"/>
          <w:sz w:val="24"/>
          <w:szCs w:val="24"/>
          <w:highlight w:val="none"/>
        </w:rPr>
      </w:pPr>
    </w:p>
    <w:p w14:paraId="7D00BC10">
      <w:pPr>
        <w:shd w:val="clear" w:color="auto" w:fill="auto"/>
        <w:spacing w:line="440" w:lineRule="exact"/>
        <w:ind w:left="424" w:leftChars="202"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特此证明。</w:t>
      </w:r>
    </w:p>
    <w:p w14:paraId="28E7F8F5">
      <w:pPr>
        <w:shd w:val="clear" w:color="auto" w:fill="auto"/>
        <w:ind w:firstLine="482"/>
        <w:rPr>
          <w:rFonts w:hint="eastAsia"/>
          <w:color w:val="auto"/>
          <w:highlight w:val="none"/>
        </w:rPr>
      </w:pPr>
    </w:p>
    <w:p w14:paraId="3EF662E0">
      <w:pPr>
        <w:shd w:val="clear" w:color="auto" w:fill="auto"/>
        <w:snapToGrid w:val="0"/>
        <w:ind w:firstLine="480"/>
        <w:rPr>
          <w:rFonts w:ascii="宋体" w:hAnsi="宋体" w:cs="宋体"/>
          <w:b/>
          <w:color w:val="auto"/>
          <w:kern w:val="10"/>
          <w:sz w:val="24"/>
          <w:szCs w:val="24"/>
          <w:highlight w:val="none"/>
        </w:rPr>
      </w:pPr>
      <w:r>
        <w:rPr>
          <w:rFonts w:hint="eastAsia" w:ascii="宋体" w:hAnsi="宋体" w:cs="宋体"/>
          <w:b/>
          <w:color w:val="auto"/>
          <w:kern w:val="10"/>
          <w:sz w:val="24"/>
          <w:szCs w:val="24"/>
          <w:highlight w:val="none"/>
        </w:rPr>
        <w:t>附：（法定代表人身份证正反面原件扫描件）</w:t>
      </w:r>
    </w:p>
    <w:p w14:paraId="6D7313F0">
      <w:pPr>
        <w:shd w:val="clear" w:color="auto" w:fill="auto"/>
        <w:spacing w:line="440" w:lineRule="exact"/>
        <w:ind w:firstLine="482"/>
        <w:rPr>
          <w:rFonts w:hint="eastAsia" w:ascii="宋体" w:hAnsi="宋体" w:cs="宋体"/>
          <w:color w:val="auto"/>
          <w:sz w:val="24"/>
          <w:szCs w:val="24"/>
          <w:highlight w:val="none"/>
        </w:rPr>
      </w:pPr>
    </w:p>
    <w:p w14:paraId="5654825F">
      <w:pPr>
        <w:shd w:val="clear" w:color="auto" w:fill="auto"/>
        <w:spacing w:line="440" w:lineRule="exact"/>
        <w:ind w:firstLine="482"/>
        <w:rPr>
          <w:rFonts w:hint="eastAsia" w:ascii="宋体" w:hAnsi="宋体" w:cs="宋体"/>
          <w:color w:val="auto"/>
          <w:sz w:val="24"/>
          <w:szCs w:val="24"/>
          <w:highlight w:val="none"/>
        </w:rPr>
      </w:pPr>
    </w:p>
    <w:p w14:paraId="278E4C8E">
      <w:pPr>
        <w:shd w:val="clear" w:color="auto" w:fill="auto"/>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投标单位：（电子签章）</w:t>
      </w:r>
    </w:p>
    <w:p w14:paraId="533F4461">
      <w:pPr>
        <w:shd w:val="clear" w:color="auto" w:fill="auto"/>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法定代表人：（电子签章）</w:t>
      </w:r>
    </w:p>
    <w:p w14:paraId="7A777DCE">
      <w:pPr>
        <w:shd w:val="clear" w:color="auto" w:fill="auto"/>
        <w:spacing w:line="480" w:lineRule="auto"/>
        <w:ind w:firstLine="482"/>
        <w:rPr>
          <w:rFonts w:hint="eastAsia" w:ascii="宋体" w:hAnsi="宋体" w:cs="宋体"/>
          <w:color w:val="auto"/>
          <w:sz w:val="24"/>
          <w:szCs w:val="24"/>
          <w:highlight w:val="none"/>
        </w:rPr>
      </w:pPr>
      <w:r>
        <w:rPr>
          <w:rFonts w:hint="eastAsia" w:ascii="宋体" w:hAnsi="宋体" w:cs="宋体"/>
          <w:color w:val="auto"/>
          <w:sz w:val="24"/>
          <w:szCs w:val="24"/>
          <w:highlight w:val="none"/>
        </w:rPr>
        <w:t xml:space="preserve">日期：  年  月  日    </w:t>
      </w:r>
    </w:p>
    <w:p w14:paraId="3FE72A3A">
      <w:pPr>
        <w:shd w:val="clear" w:color="auto" w:fill="auto"/>
        <w:spacing w:line="440" w:lineRule="exact"/>
        <w:ind w:firstLine="482"/>
        <w:jc w:val="center"/>
        <w:rPr>
          <w:rFonts w:hint="eastAsia" w:ascii="宋体" w:hAnsi="宋体" w:cs="宋体"/>
          <w:color w:val="auto"/>
          <w:sz w:val="24"/>
          <w:szCs w:val="24"/>
          <w:highlight w:val="none"/>
        </w:rPr>
      </w:pPr>
    </w:p>
    <w:p w14:paraId="60BF1369">
      <w:pPr>
        <w:shd w:val="clear" w:color="auto" w:fill="auto"/>
        <w:spacing w:line="440" w:lineRule="exact"/>
        <w:ind w:firstLine="482"/>
        <w:jc w:val="center"/>
        <w:rPr>
          <w:rFonts w:hint="eastAsia" w:ascii="宋体" w:hAnsi="宋体" w:cs="宋体"/>
          <w:color w:val="auto"/>
          <w:sz w:val="24"/>
          <w:szCs w:val="24"/>
          <w:highlight w:val="none"/>
        </w:rPr>
      </w:pPr>
    </w:p>
    <w:p w14:paraId="7EC3252D">
      <w:pPr>
        <w:shd w:val="clear" w:color="auto" w:fill="auto"/>
        <w:spacing w:line="360" w:lineRule="auto"/>
        <w:ind w:firstLine="640"/>
        <w:jc w:val="center"/>
        <w:rPr>
          <w:rFonts w:hint="eastAsia" w:ascii="宋体" w:cs="宋体"/>
          <w:color w:val="auto"/>
          <w:highlight w:val="none"/>
        </w:rPr>
      </w:pPr>
      <w:r>
        <w:rPr>
          <w:rFonts w:hint="eastAsia" w:ascii="宋体" w:hAnsi="宋体" w:cs="宋体"/>
          <w:b/>
          <w:color w:val="auto"/>
          <w:sz w:val="32"/>
          <w:highlight w:val="none"/>
        </w:rPr>
        <w:br w:type="page"/>
      </w:r>
      <w:bookmarkStart w:id="1399" w:name="_Toc152045794"/>
      <w:bookmarkStart w:id="1400" w:name="_Toc179632814"/>
      <w:bookmarkStart w:id="1401" w:name="_Toc247085880"/>
      <w:bookmarkStart w:id="1402" w:name="_Toc246996362"/>
      <w:bookmarkStart w:id="1403" w:name="_Toc152042583"/>
      <w:bookmarkStart w:id="1404" w:name="_Toc296602607"/>
      <w:bookmarkStart w:id="1405" w:name="_Toc144974862"/>
      <w:bookmarkStart w:id="1406" w:name="_Toc246997105"/>
      <w:r>
        <w:rPr>
          <w:rFonts w:hint="eastAsia" w:ascii="宋体" w:hAnsi="宋体" w:cs="宋体"/>
          <w:b/>
          <w:bCs/>
          <w:color w:val="auto"/>
          <w:kern w:val="44"/>
          <w:sz w:val="24"/>
          <w:szCs w:val="24"/>
          <w:highlight w:val="none"/>
        </w:rPr>
        <w:t>（二）授权委托书</w:t>
      </w:r>
    </w:p>
    <w:p w14:paraId="008D9FDD">
      <w:pPr>
        <w:shd w:val="clear" w:color="auto" w:fill="auto"/>
        <w:spacing w:line="500" w:lineRule="exact"/>
        <w:ind w:firstLine="480" w:firstLineChars="200"/>
        <w:rPr>
          <w:rFonts w:hint="eastAsia"/>
          <w:color w:val="auto"/>
          <w:sz w:val="24"/>
          <w:szCs w:val="24"/>
          <w:highlight w:val="none"/>
        </w:rPr>
      </w:pPr>
      <w:r>
        <w:rPr>
          <w:rFonts w:hint="eastAsia"/>
          <w:color w:val="auto"/>
          <w:sz w:val="24"/>
          <w:szCs w:val="24"/>
          <w:highlight w:val="none"/>
        </w:rPr>
        <w:t>本人</w:t>
      </w:r>
      <w:r>
        <w:rPr>
          <w:color w:val="auto"/>
          <w:sz w:val="24"/>
          <w:szCs w:val="24"/>
          <w:highlight w:val="none"/>
          <w:u w:val="single"/>
        </w:rPr>
        <w:t xml:space="preserve">         </w:t>
      </w:r>
      <w:r>
        <w:rPr>
          <w:rFonts w:hint="eastAsia"/>
          <w:color w:val="auto"/>
          <w:sz w:val="24"/>
          <w:szCs w:val="24"/>
          <w:highlight w:val="none"/>
        </w:rPr>
        <w:t>（姓名）系</w:t>
      </w:r>
      <w:r>
        <w:rPr>
          <w:color w:val="auto"/>
          <w:sz w:val="24"/>
          <w:szCs w:val="24"/>
          <w:highlight w:val="none"/>
          <w:u w:val="single"/>
        </w:rPr>
        <w:t xml:space="preserve">         </w:t>
      </w:r>
      <w:r>
        <w:rPr>
          <w:rFonts w:hint="eastAsia"/>
          <w:color w:val="auto"/>
          <w:sz w:val="24"/>
          <w:szCs w:val="24"/>
          <w:highlight w:val="none"/>
        </w:rPr>
        <w:t>（投标人名称）的法定代表人，现委托</w:t>
      </w:r>
    </w:p>
    <w:p w14:paraId="1CFB9CD1">
      <w:pPr>
        <w:shd w:val="clear" w:color="auto" w:fill="auto"/>
        <w:spacing w:line="500" w:lineRule="exact"/>
        <w:rPr>
          <w:rFonts w:hint="eastAsia"/>
          <w:color w:val="auto"/>
          <w:sz w:val="24"/>
          <w:szCs w:val="24"/>
          <w:highlight w:val="none"/>
        </w:rPr>
      </w:pPr>
      <w:r>
        <w:rPr>
          <w:color w:val="auto"/>
          <w:sz w:val="24"/>
          <w:szCs w:val="24"/>
          <w:highlight w:val="none"/>
          <w:u w:val="single"/>
        </w:rPr>
        <w:t xml:space="preserve">         </w:t>
      </w:r>
      <w:r>
        <w:rPr>
          <w:rFonts w:hint="eastAsia"/>
          <w:color w:val="auto"/>
          <w:sz w:val="24"/>
          <w:szCs w:val="24"/>
          <w:highlight w:val="none"/>
        </w:rPr>
        <w:t>（姓名）为我方代理人。代理人根据授权，以我方名义签署、澄清、说明、补正、递交、撤回、修改</w:t>
      </w:r>
      <w:r>
        <w:rPr>
          <w:color w:val="auto"/>
          <w:sz w:val="24"/>
          <w:szCs w:val="24"/>
          <w:highlight w:val="none"/>
          <w:u w:val="single"/>
        </w:rPr>
        <w:t xml:space="preserve">         </w:t>
      </w:r>
      <w:r>
        <w:rPr>
          <w:rFonts w:hint="eastAsia"/>
          <w:color w:val="auto"/>
          <w:sz w:val="24"/>
          <w:szCs w:val="24"/>
          <w:highlight w:val="none"/>
        </w:rPr>
        <w:t>（项目名称）投标文件、签订合同和处理有关事宜，其法律后果由我方承担。</w:t>
      </w:r>
    </w:p>
    <w:p w14:paraId="6ACEAD24">
      <w:pPr>
        <w:pStyle w:val="13"/>
        <w:shd w:val="clear" w:color="auto" w:fill="auto"/>
        <w:ind w:firstLine="562"/>
        <w:rPr>
          <w:color w:val="auto"/>
          <w:highlight w:val="none"/>
        </w:rPr>
      </w:pPr>
    </w:p>
    <w:p w14:paraId="4927A650">
      <w:pPr>
        <w:pStyle w:val="13"/>
        <w:shd w:val="clear" w:color="auto" w:fill="auto"/>
        <w:ind w:firstLine="482"/>
        <w:rPr>
          <w:rFonts w:eastAsia="宋体"/>
          <w:color w:val="auto"/>
          <w:highlight w:val="none"/>
        </w:rPr>
      </w:pPr>
      <w:r>
        <w:rPr>
          <w:rFonts w:hint="eastAsia" w:eastAsia="宋体"/>
          <w:color w:val="auto"/>
          <w:sz w:val="24"/>
          <w:szCs w:val="24"/>
          <w:highlight w:val="none"/>
        </w:rPr>
        <w:t>委托期限：</w:t>
      </w:r>
      <w:r>
        <w:rPr>
          <w:rFonts w:hint="eastAsia" w:ascii="宋体" w:hAnsi="宋体" w:cs="宋体"/>
          <w:color w:val="auto"/>
          <w:sz w:val="24"/>
          <w:highlight w:val="none"/>
          <w:u w:val="single"/>
        </w:rPr>
        <w:t xml:space="preserve"> </w:t>
      </w:r>
      <w:r>
        <w:rPr>
          <w:rFonts w:hint="eastAsia" w:ascii="宋体" w:hAnsi="宋体" w:cs="宋体"/>
          <w:color w:val="auto"/>
          <w:sz w:val="24"/>
          <w:highlight w:val="none"/>
          <w:u w:val="single"/>
          <w:lang w:bidi="ar"/>
        </w:rPr>
        <w:t xml:space="preserve">自本委托书签署之日起至项目结束 </w:t>
      </w:r>
      <w:r>
        <w:rPr>
          <w:rFonts w:hint="eastAsia" w:ascii="宋体" w:hAnsi="宋体" w:cs="宋体"/>
          <w:color w:val="auto"/>
          <w:sz w:val="24"/>
          <w:highlight w:val="none"/>
          <w:lang w:bidi="ar"/>
        </w:rPr>
        <w:t xml:space="preserve">。 </w:t>
      </w:r>
    </w:p>
    <w:p w14:paraId="4FA89CA0">
      <w:pPr>
        <w:shd w:val="clear" w:color="auto" w:fill="auto"/>
        <w:spacing w:before="312" w:beforeLines="100" w:after="312" w:afterLines="100" w:line="360" w:lineRule="auto"/>
        <w:ind w:firstLine="480" w:firstLineChars="200"/>
        <w:rPr>
          <w:color w:val="auto"/>
          <w:sz w:val="24"/>
          <w:szCs w:val="24"/>
          <w:highlight w:val="none"/>
        </w:rPr>
      </w:pPr>
      <w:r>
        <w:rPr>
          <w:rFonts w:hint="eastAsia"/>
          <w:color w:val="auto"/>
          <w:sz w:val="24"/>
          <w:szCs w:val="24"/>
          <w:highlight w:val="none"/>
        </w:rPr>
        <w:t>代理人无转委托权。</w:t>
      </w:r>
    </w:p>
    <w:p w14:paraId="5D32AD43">
      <w:pPr>
        <w:shd w:val="clear" w:color="auto" w:fill="auto"/>
        <w:spacing w:after="312" w:afterLines="100" w:line="360" w:lineRule="auto"/>
        <w:ind w:firstLine="480" w:firstLineChars="200"/>
        <w:rPr>
          <w:color w:val="auto"/>
          <w:sz w:val="24"/>
          <w:szCs w:val="24"/>
          <w:highlight w:val="none"/>
        </w:rPr>
      </w:pPr>
      <w:r>
        <w:rPr>
          <w:rFonts w:hint="eastAsia"/>
          <w:color w:val="auto"/>
          <w:sz w:val="24"/>
          <w:szCs w:val="24"/>
          <w:highlight w:val="none"/>
        </w:rPr>
        <w:t>附：</w:t>
      </w:r>
      <w:r>
        <w:rPr>
          <w:rFonts w:hint="eastAsia" w:ascii="宋体" w:hAnsi="宋体" w:cs="宋体"/>
          <w:color w:val="auto"/>
          <w:sz w:val="24"/>
          <w:szCs w:val="24"/>
          <w:highlight w:val="none"/>
        </w:rPr>
        <w:t>法定代表人身份证及授权委托代理人身份证正反面原件扫描件</w:t>
      </w:r>
    </w:p>
    <w:p w14:paraId="73CD17DD">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p>
    <w:p w14:paraId="14265E9E">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响  应  人：（电子签章）</w:t>
      </w:r>
    </w:p>
    <w:p w14:paraId="7B128462">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p>
    <w:p w14:paraId="670AD212">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法定代表人：（电子签章）</w:t>
      </w:r>
    </w:p>
    <w:p w14:paraId="75752604">
      <w:pPr>
        <w:spacing w:line="360" w:lineRule="auto"/>
        <w:ind w:firstLine="3570" w:firstLineChars="1700"/>
        <w:rPr>
          <w:rFonts w:hint="default" w:ascii="Times New Roman" w:hAnsi="Times New Roman" w:cs="Times New Roman"/>
          <w:color w:val="auto"/>
          <w:szCs w:val="21"/>
          <w:highlight w:val="none"/>
        </w:rPr>
      </w:pPr>
    </w:p>
    <w:p w14:paraId="1068C530">
      <w:pPr>
        <w:spacing w:line="360" w:lineRule="auto"/>
        <w:ind w:firstLine="2640" w:firstLineChars="1100"/>
        <w:rPr>
          <w:rFonts w:hint="default" w:ascii="Times New Roman" w:hAnsi="Times New Roman" w:cs="Times New Roman"/>
          <w:color w:val="auto"/>
          <w:szCs w:val="21"/>
          <w:highlight w:val="none"/>
          <w:u w:val="single"/>
        </w:rPr>
      </w:pPr>
      <w:r>
        <w:rPr>
          <w:rFonts w:hint="default" w:ascii="Times New Roman" w:hAnsi="Times New Roman" w:eastAsia="宋体" w:cs="Times New Roman"/>
          <w:color w:val="auto"/>
          <w:sz w:val="24"/>
          <w:szCs w:val="24"/>
          <w:highlight w:val="none"/>
        </w:rPr>
        <w:t>身份证号码：</w:t>
      </w:r>
      <w:r>
        <w:rPr>
          <w:rFonts w:hint="default" w:ascii="Times New Roman" w:hAnsi="Times New Roman" w:cs="Times New Roman"/>
          <w:color w:val="auto"/>
          <w:szCs w:val="21"/>
          <w:highlight w:val="none"/>
          <w:u w:val="single"/>
        </w:rPr>
        <w:t xml:space="preserve">                                   </w:t>
      </w:r>
    </w:p>
    <w:p w14:paraId="43F21C1D">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p>
    <w:p w14:paraId="799225CE">
      <w:pPr>
        <w:shd w:val="clear" w:color="auto" w:fill="auto"/>
        <w:spacing w:line="440" w:lineRule="exact"/>
        <w:ind w:firstLine="2700" w:firstLineChars="1125"/>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委托代理人：（</w:t>
      </w:r>
      <w:r>
        <w:rPr>
          <w:rFonts w:hint="eastAsia" w:ascii="Times New Roman" w:hAnsi="Times New Roman" w:eastAsia="宋体" w:cs="Times New Roman"/>
          <w:color w:val="auto"/>
          <w:sz w:val="24"/>
          <w:szCs w:val="24"/>
          <w:highlight w:val="none"/>
          <w:lang w:val="en-US" w:eastAsia="zh-CN"/>
        </w:rPr>
        <w:t>签字或盖章</w:t>
      </w:r>
      <w:r>
        <w:rPr>
          <w:rFonts w:hint="eastAsia" w:ascii="Times New Roman" w:hAnsi="Times New Roman" w:eastAsia="宋体" w:cs="Times New Roman"/>
          <w:color w:val="auto"/>
          <w:sz w:val="24"/>
          <w:szCs w:val="24"/>
          <w:highlight w:val="none"/>
        </w:rPr>
        <w:t>）</w:t>
      </w:r>
    </w:p>
    <w:p w14:paraId="3E263C4E">
      <w:pPr>
        <w:spacing w:line="360" w:lineRule="auto"/>
        <w:ind w:firstLine="2640" w:firstLineChars="1100"/>
        <w:rPr>
          <w:rFonts w:hint="default" w:ascii="Times New Roman" w:hAnsi="Times New Roman" w:eastAsia="宋体" w:cs="Times New Roman"/>
          <w:color w:val="auto"/>
          <w:sz w:val="24"/>
          <w:szCs w:val="24"/>
          <w:highlight w:val="none"/>
        </w:rPr>
      </w:pPr>
    </w:p>
    <w:p w14:paraId="4DFE7F5E">
      <w:pPr>
        <w:spacing w:line="360" w:lineRule="auto"/>
        <w:ind w:firstLine="2640" w:firstLineChars="1100"/>
        <w:rPr>
          <w:rFonts w:hint="eastAsia" w:ascii="Times New Roman" w:hAnsi="Times New Roman" w:cs="Times New Roman"/>
          <w:color w:val="auto"/>
          <w:szCs w:val="21"/>
          <w:highlight w:val="none"/>
          <w:u w:val="single"/>
          <w:lang w:val="en-US" w:eastAsia="zh-CN"/>
        </w:rPr>
      </w:pPr>
      <w:r>
        <w:rPr>
          <w:rFonts w:hint="default" w:ascii="Times New Roman" w:hAnsi="Times New Roman" w:eastAsia="宋体" w:cs="Times New Roman"/>
          <w:color w:val="auto"/>
          <w:sz w:val="24"/>
          <w:szCs w:val="24"/>
          <w:highlight w:val="none"/>
        </w:rPr>
        <w:t>身份证号码：</w:t>
      </w:r>
      <w:r>
        <w:rPr>
          <w:rFonts w:hint="default" w:ascii="Times New Roman" w:hAnsi="Times New Roman" w:cs="Times New Roman"/>
          <w:color w:val="auto"/>
          <w:szCs w:val="21"/>
          <w:highlight w:val="none"/>
          <w:u w:val="single"/>
        </w:rPr>
        <w:t xml:space="preserve">                                   </w:t>
      </w:r>
      <w:r>
        <w:rPr>
          <w:rFonts w:hint="eastAsia" w:ascii="Times New Roman" w:hAnsi="Times New Roman" w:cs="Times New Roman"/>
          <w:color w:val="auto"/>
          <w:szCs w:val="21"/>
          <w:highlight w:val="none"/>
          <w:u w:val="single"/>
          <w:lang w:val="en-US" w:eastAsia="zh-CN"/>
        </w:rPr>
        <w:t>.</w:t>
      </w:r>
    </w:p>
    <w:p w14:paraId="4B005489">
      <w:pPr>
        <w:pStyle w:val="11"/>
        <w:rPr>
          <w:rFonts w:hint="eastAsia" w:ascii="Times New Roman" w:hAnsi="Times New Roman" w:cs="Times New Roman"/>
          <w:color w:val="auto"/>
          <w:szCs w:val="21"/>
          <w:highlight w:val="none"/>
          <w:u w:val="single"/>
          <w:lang w:val="en-US" w:eastAsia="zh-CN"/>
        </w:rPr>
      </w:pPr>
    </w:p>
    <w:p w14:paraId="0A7FE694">
      <w:pPr>
        <w:spacing w:line="360" w:lineRule="auto"/>
        <w:ind w:firstLine="2640" w:firstLineChars="1100"/>
        <w:rPr>
          <w:rFonts w:hint="eastAsia" w:ascii="Times New Roman" w:hAnsi="Times New Roman" w:cs="Times New Roman"/>
          <w:color w:val="auto"/>
          <w:szCs w:val="21"/>
          <w:highlight w:val="none"/>
          <w:u w:val="single"/>
          <w:lang w:val="en-US" w:eastAsia="zh-CN"/>
        </w:rPr>
      </w:pPr>
      <w:r>
        <w:rPr>
          <w:rFonts w:hint="eastAsia" w:ascii="Times New Roman" w:hAnsi="Times New Roman" w:eastAsia="宋体" w:cs="Times New Roman"/>
          <w:color w:val="auto"/>
          <w:sz w:val="24"/>
          <w:szCs w:val="24"/>
          <w:highlight w:val="none"/>
          <w:lang w:val="en-US" w:eastAsia="zh-CN"/>
        </w:rPr>
        <w:t>联系方式（手机号）</w:t>
      </w: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Cs w:val="21"/>
          <w:highlight w:val="none"/>
          <w:u w:val="single"/>
        </w:rPr>
        <w:t xml:space="preserve">                           </w:t>
      </w:r>
    </w:p>
    <w:p w14:paraId="41896F26">
      <w:pPr>
        <w:shd w:val="clear" w:color="auto" w:fill="auto"/>
        <w:spacing w:line="440" w:lineRule="exact"/>
        <w:rPr>
          <w:color w:val="auto"/>
          <w:sz w:val="24"/>
          <w:szCs w:val="24"/>
          <w:highlight w:val="none"/>
        </w:rPr>
      </w:pPr>
    </w:p>
    <w:p w14:paraId="56C462F3">
      <w:pPr>
        <w:shd w:val="clear" w:color="auto" w:fill="auto"/>
        <w:spacing w:line="440" w:lineRule="exact"/>
        <w:ind w:firstLine="2700" w:firstLineChars="1125"/>
        <w:rPr>
          <w:color w:val="auto"/>
          <w:sz w:val="24"/>
          <w:szCs w:val="24"/>
          <w:highlight w:val="none"/>
        </w:rPr>
      </w:pPr>
      <w:r>
        <w:rPr>
          <w:rFonts w:hint="eastAsia"/>
          <w:color w:val="auto"/>
          <w:sz w:val="24"/>
          <w:szCs w:val="24"/>
          <w:highlight w:val="none"/>
        </w:rPr>
        <w:t>日期：  年  月  日</w:t>
      </w:r>
    </w:p>
    <w:p w14:paraId="2CDCF5A5">
      <w:pPr>
        <w:shd w:val="clear" w:color="auto" w:fill="auto"/>
        <w:spacing w:line="480" w:lineRule="auto"/>
        <w:ind w:firstLine="480"/>
        <w:rPr>
          <w:b/>
          <w:bCs/>
          <w:color w:val="auto"/>
          <w:sz w:val="24"/>
          <w:szCs w:val="24"/>
          <w:highlight w:val="none"/>
        </w:rPr>
      </w:pPr>
      <w:r>
        <w:rPr>
          <w:rFonts w:hint="eastAsia"/>
          <w:b/>
          <w:bCs/>
          <w:color w:val="auto"/>
          <w:sz w:val="24"/>
          <w:szCs w:val="24"/>
          <w:highlight w:val="none"/>
        </w:rPr>
        <w:t>注：因投标文件中授权委托书授权代理人无法手写签字及盖章，可以以印刷体代替（印刷体为电脑打出的字体）。</w:t>
      </w:r>
    </w:p>
    <w:p w14:paraId="483DDC5C">
      <w:pPr>
        <w:shd w:val="clear" w:color="auto" w:fill="auto"/>
        <w:ind w:firstLine="482"/>
        <w:rPr>
          <w:color w:val="auto"/>
          <w:sz w:val="24"/>
          <w:szCs w:val="24"/>
          <w:highlight w:val="none"/>
        </w:rPr>
      </w:pPr>
    </w:p>
    <w:p w14:paraId="4E15DA1E">
      <w:pPr>
        <w:shd w:val="clear" w:color="auto" w:fill="auto"/>
        <w:spacing w:line="360" w:lineRule="auto"/>
        <w:ind w:firstLine="640"/>
        <w:jc w:val="center"/>
        <w:rPr>
          <w:rFonts w:hint="eastAsia" w:ascii="宋体" w:hAnsi="宋体" w:eastAsia="宋体" w:cs="宋体"/>
          <w:b/>
          <w:bCs/>
          <w:color w:val="auto"/>
          <w:sz w:val="32"/>
          <w:szCs w:val="32"/>
          <w:highlight w:val="none"/>
          <w:lang w:eastAsia="zh-CN"/>
        </w:rPr>
      </w:pPr>
      <w:r>
        <w:rPr>
          <w:rFonts w:hint="eastAsia" w:ascii="宋体" w:hAnsi="宋体" w:cs="宋体"/>
          <w:b/>
          <w:color w:val="auto"/>
          <w:sz w:val="32"/>
          <w:highlight w:val="none"/>
        </w:rPr>
        <w:br w:type="page"/>
      </w:r>
      <w:r>
        <w:rPr>
          <w:rFonts w:hint="eastAsia" w:ascii="宋体" w:hAnsi="宋体" w:cs="宋体"/>
          <w:b/>
          <w:color w:val="auto"/>
          <w:sz w:val="32"/>
          <w:highlight w:val="none"/>
        </w:rPr>
        <w:t>四、</w:t>
      </w:r>
      <w:bookmarkEnd w:id="1399"/>
      <w:bookmarkEnd w:id="1400"/>
      <w:bookmarkEnd w:id="1401"/>
      <w:bookmarkEnd w:id="1402"/>
      <w:bookmarkEnd w:id="1403"/>
      <w:bookmarkEnd w:id="1404"/>
      <w:bookmarkEnd w:id="1405"/>
      <w:bookmarkEnd w:id="1406"/>
      <w:r>
        <w:rPr>
          <w:rFonts w:hint="eastAsia" w:ascii="宋体" w:hAnsi="宋体" w:cs="宋体"/>
          <w:b/>
          <w:bCs/>
          <w:color w:val="auto"/>
          <w:sz w:val="32"/>
          <w:szCs w:val="32"/>
          <w:highlight w:val="none"/>
        </w:rPr>
        <w:t>投标承诺函</w:t>
      </w:r>
    </w:p>
    <w:p w14:paraId="776B6E60">
      <w:pPr>
        <w:shd w:val="clear" w:color="auto" w:fill="auto"/>
        <w:spacing w:line="480" w:lineRule="auto"/>
        <w:ind w:firstLine="643" w:firstLineChars="200"/>
        <w:jc w:val="center"/>
        <w:rPr>
          <w:rFonts w:hint="eastAsia" w:ascii="宋体" w:hAnsi="宋体" w:cs="宋体"/>
          <w:color w:val="auto"/>
          <w:sz w:val="24"/>
          <w:szCs w:val="24"/>
          <w:highlight w:val="none"/>
        </w:rPr>
      </w:pPr>
      <w:r>
        <w:rPr>
          <w:rFonts w:hint="eastAsia" w:ascii="宋体" w:hAnsi="宋体" w:cs="宋体"/>
          <w:b/>
          <w:bCs/>
          <w:color w:val="auto"/>
          <w:sz w:val="32"/>
          <w:szCs w:val="32"/>
          <w:highlight w:val="none"/>
          <w:lang w:val="en-US" w:eastAsia="zh-CN"/>
        </w:rPr>
        <w:t>4.1</w:t>
      </w:r>
      <w:r>
        <w:rPr>
          <w:rFonts w:hint="eastAsia" w:ascii="宋体" w:hAnsi="宋体" w:cs="宋体"/>
          <w:b/>
          <w:bCs/>
          <w:color w:val="auto"/>
          <w:sz w:val="32"/>
          <w:szCs w:val="32"/>
          <w:highlight w:val="none"/>
        </w:rPr>
        <w:t>投标承诺函</w:t>
      </w:r>
    </w:p>
    <w:p w14:paraId="4750267B">
      <w:pPr>
        <w:shd w:val="clear" w:color="auto" w:fill="auto"/>
        <w:spacing w:line="480" w:lineRule="auto"/>
        <w:ind w:firstLine="480" w:firstLineChars="200"/>
        <w:rPr>
          <w:rFonts w:hint="eastAsia" w:ascii="宋体" w:cs="宋体"/>
          <w:b/>
          <w:bCs/>
          <w:color w:val="auto"/>
          <w:sz w:val="32"/>
          <w:szCs w:val="32"/>
          <w:highlight w:val="none"/>
        </w:rPr>
      </w:pPr>
      <w:r>
        <w:rPr>
          <w:rFonts w:hint="eastAsia" w:ascii="宋体" w:hAnsi="宋体" w:cs="宋体"/>
          <w:color w:val="auto"/>
          <w:sz w:val="24"/>
          <w:szCs w:val="24"/>
          <w:highlight w:val="none"/>
        </w:rPr>
        <w:t>我公司在参加</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rPr>
        <w:t>项目的磋商活动中，郑重承诺如下：</w:t>
      </w:r>
    </w:p>
    <w:p w14:paraId="3598ED50">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1.我方同意承担磋商所发生的一切费用；</w:t>
      </w:r>
    </w:p>
    <w:p w14:paraId="4B682F40">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2.我方在此声明，本次采购活动中申报的所有资料都是真实、准确完整的，如发现虚假资料，或与事实不符而导致磋商无效，甚至造成任何法律和经济责任，完全由我方负责；</w:t>
      </w:r>
    </w:p>
    <w:p w14:paraId="1F7FE279">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3.我方在本次磋商活动中绝无资质挂靠、串标、围标情形，若经贵方查出，立即取消我方磋商资格并承担相应的法律责任；</w:t>
      </w:r>
    </w:p>
    <w:p w14:paraId="7A39AA76">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4.我方一旦成交，将按规定及时与采购单位签订合同，并严格按照投标文件中所承诺的报价、质量、工期、投标方案、项目经理等资料组织实施；</w:t>
      </w:r>
    </w:p>
    <w:p w14:paraId="75F0BA13">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5.我方保证对相关法律法规及上述磋商文件中规定需要保密的内容严格履行保密义务。</w:t>
      </w:r>
    </w:p>
    <w:p w14:paraId="4698B8C8">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我方有上述情形之一的，贵单位有权将上述情况上报财政部门，建议财政部门将我公司列入政府采购不良行为纪录名单，在一至三年内禁止参加政府采购活动，并予以通报；给贵单位造成经济损失的，依照有关民事法律规定向贵单位承担民事责任。</w:t>
      </w:r>
    </w:p>
    <w:p w14:paraId="0FC656DA">
      <w:pPr>
        <w:shd w:val="clear" w:color="auto" w:fill="auto"/>
        <w:tabs>
          <w:tab w:val="right" w:pos="6077"/>
        </w:tabs>
        <w:autoSpaceDE w:val="0"/>
        <w:autoSpaceDN w:val="0"/>
        <w:spacing w:line="480" w:lineRule="auto"/>
        <w:ind w:firstLine="480" w:firstLineChars="200"/>
        <w:rPr>
          <w:rFonts w:hint="eastAsia" w:ascii="宋体" w:cs="宋体"/>
          <w:color w:val="auto"/>
          <w:sz w:val="24"/>
          <w:szCs w:val="24"/>
          <w:highlight w:val="none"/>
        </w:rPr>
      </w:pPr>
      <w:r>
        <w:rPr>
          <w:rFonts w:hint="eastAsia" w:ascii="宋体" w:hAnsi="宋体" w:cs="宋体"/>
          <w:color w:val="auto"/>
          <w:sz w:val="24"/>
          <w:szCs w:val="24"/>
          <w:highlight w:val="none"/>
        </w:rPr>
        <w:t>我方已明确理解了上述条款的含义并确保履行。</w:t>
      </w:r>
    </w:p>
    <w:p w14:paraId="724B6C5B">
      <w:pPr>
        <w:shd w:val="clear" w:color="auto" w:fill="auto"/>
        <w:spacing w:line="460" w:lineRule="exact"/>
        <w:ind w:firstLine="482"/>
        <w:rPr>
          <w:rFonts w:hint="eastAsia" w:ascii="宋体" w:hAnsi="宋体"/>
          <w:color w:val="auto"/>
          <w:sz w:val="24"/>
          <w:szCs w:val="24"/>
          <w:highlight w:val="none"/>
        </w:rPr>
      </w:pPr>
    </w:p>
    <w:p w14:paraId="74C13497">
      <w:pPr>
        <w:widowControl/>
        <w:shd w:val="clear" w:color="auto" w:fill="auto"/>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供应商：（电子签章）</w:t>
      </w:r>
    </w:p>
    <w:p w14:paraId="5588347A">
      <w:pPr>
        <w:widowControl/>
        <w:shd w:val="clear" w:color="auto" w:fill="auto"/>
        <w:adjustRightInd w:val="0"/>
        <w:spacing w:line="360" w:lineRule="auto"/>
        <w:ind w:firstLine="482"/>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法定代表人或其委托代理人：（电子签章）</w:t>
      </w:r>
    </w:p>
    <w:p w14:paraId="231AC28F">
      <w:pPr>
        <w:widowControl/>
        <w:shd w:val="clear" w:color="auto" w:fill="auto"/>
        <w:adjustRightInd w:val="0"/>
        <w:spacing w:line="360" w:lineRule="auto"/>
        <w:ind w:firstLine="482"/>
        <w:jc w:val="left"/>
        <w:rPr>
          <w:rFonts w:hint="eastAsia" w:ascii="宋体" w:hAnsi="宋体" w:cs="宋体"/>
          <w:color w:val="auto"/>
          <w:kern w:val="0"/>
          <w:sz w:val="22"/>
          <w:szCs w:val="22"/>
          <w:highlight w:val="none"/>
        </w:rPr>
      </w:pPr>
      <w:r>
        <w:rPr>
          <w:rFonts w:hint="eastAsia" w:ascii="宋体" w:hAnsi="宋体" w:cs="宋体"/>
          <w:color w:val="auto"/>
          <w:kern w:val="0"/>
          <w:sz w:val="24"/>
          <w:szCs w:val="24"/>
          <w:highlight w:val="none"/>
        </w:rPr>
        <w:t>日期：  年  月  日</w:t>
      </w:r>
    </w:p>
    <w:p w14:paraId="6F3C5B19">
      <w:pPr>
        <w:shd w:val="clear" w:color="auto" w:fill="auto"/>
        <w:spacing w:line="480" w:lineRule="auto"/>
        <w:ind w:firstLine="480" w:firstLineChars="200"/>
        <w:jc w:val="center"/>
        <w:rPr>
          <w:rFonts w:hint="eastAsia" w:ascii="宋体" w:hAnsi="宋体" w:cs="宋体"/>
          <w:color w:val="auto"/>
          <w:sz w:val="24"/>
          <w:szCs w:val="24"/>
          <w:highlight w:val="none"/>
        </w:rPr>
      </w:pPr>
      <w:r>
        <w:rPr>
          <w:rFonts w:hint="eastAsia" w:ascii="宋体" w:hAnsi="宋体"/>
          <w:b w:val="0"/>
          <w:bCs w:val="0"/>
          <w:color w:val="auto"/>
          <w:sz w:val="24"/>
          <w:highlight w:val="none"/>
        </w:rPr>
        <w:br w:type="page"/>
      </w:r>
      <w:r>
        <w:rPr>
          <w:rFonts w:hint="eastAsia" w:ascii="宋体" w:hAnsi="宋体" w:cs="宋体"/>
          <w:b/>
          <w:bCs/>
          <w:color w:val="auto"/>
          <w:sz w:val="32"/>
          <w:szCs w:val="32"/>
          <w:highlight w:val="none"/>
          <w:lang w:val="en-US" w:eastAsia="zh-CN"/>
        </w:rPr>
        <w:t>4.2开户许可证或基本存款账户信息</w:t>
      </w:r>
    </w:p>
    <w:p w14:paraId="6241DEFA">
      <w:pPr>
        <w:pStyle w:val="2"/>
        <w:shd w:val="clear" w:color="auto" w:fill="auto"/>
        <w:ind w:firstLine="482"/>
        <w:jc w:val="center"/>
        <w:rPr>
          <w:rFonts w:hint="default" w:ascii="宋体" w:hAnsi="宋体" w:eastAsia="黑体"/>
          <w:b w:val="0"/>
          <w:bCs w:val="0"/>
          <w:color w:val="auto"/>
          <w:sz w:val="24"/>
          <w:highlight w:val="none"/>
          <w:lang w:val="en-US" w:eastAsia="zh-CN"/>
        </w:rPr>
      </w:pPr>
      <w:r>
        <w:rPr>
          <w:rFonts w:hint="eastAsia" w:ascii="宋体" w:hAnsi="宋体"/>
          <w:b w:val="0"/>
          <w:bCs w:val="0"/>
          <w:color w:val="auto"/>
          <w:sz w:val="24"/>
          <w:highlight w:val="none"/>
          <w:lang w:val="en-US" w:eastAsia="zh-CN"/>
        </w:rPr>
        <w:t>附扫描件或复印件</w:t>
      </w:r>
    </w:p>
    <w:p w14:paraId="0F01769F">
      <w:pPr>
        <w:pStyle w:val="2"/>
        <w:shd w:val="clear" w:color="auto" w:fill="auto"/>
        <w:ind w:firstLine="482"/>
        <w:jc w:val="center"/>
        <w:rPr>
          <w:rFonts w:hint="eastAsia" w:ascii="宋体" w:hAnsi="宋体" w:eastAsia="宋体" w:cs="宋体"/>
          <w:color w:val="auto"/>
          <w:highlight w:val="none"/>
        </w:rPr>
      </w:pPr>
      <w:r>
        <w:rPr>
          <w:rFonts w:hint="eastAsia" w:ascii="宋体" w:hAnsi="宋体"/>
          <w:b w:val="0"/>
          <w:bCs w:val="0"/>
          <w:color w:val="auto"/>
          <w:sz w:val="24"/>
          <w:highlight w:val="none"/>
        </w:rPr>
        <w:br w:type="page"/>
      </w:r>
      <w:bookmarkStart w:id="1407" w:name="_Toc77586971"/>
      <w:bookmarkStart w:id="1408" w:name="_Toc152042584"/>
      <w:bookmarkStart w:id="1409" w:name="_Toc246997106"/>
      <w:bookmarkStart w:id="1410" w:name="_Toc24154"/>
      <w:bookmarkStart w:id="1411" w:name="_Toc77586873"/>
      <w:bookmarkStart w:id="1412" w:name="_Toc247085881"/>
      <w:bookmarkStart w:id="1413" w:name="_Toc152045795"/>
      <w:bookmarkStart w:id="1414" w:name="_Toc144974863"/>
      <w:bookmarkStart w:id="1415" w:name="_Toc179632815"/>
      <w:bookmarkStart w:id="1416" w:name="_Toc246996363"/>
      <w:bookmarkStart w:id="1417" w:name="_Toc296602608"/>
      <w:bookmarkStart w:id="1418" w:name="_Toc8357"/>
      <w:bookmarkStart w:id="1419" w:name="_Toc179632816"/>
      <w:bookmarkStart w:id="1420" w:name="_Toc144974864"/>
      <w:bookmarkStart w:id="1421" w:name="_Toc152045796"/>
      <w:bookmarkStart w:id="1422" w:name="_Toc246997107"/>
      <w:bookmarkStart w:id="1423" w:name="_Toc296602609"/>
      <w:bookmarkStart w:id="1424" w:name="_Toc247085882"/>
      <w:bookmarkStart w:id="1425" w:name="_Toc246996364"/>
      <w:bookmarkStart w:id="1426" w:name="_Toc152042585"/>
      <w:r>
        <w:rPr>
          <w:rFonts w:hint="eastAsia" w:ascii="宋体" w:hAnsi="宋体" w:eastAsia="宋体" w:cs="宋体"/>
          <w:color w:val="auto"/>
          <w:highlight w:val="none"/>
        </w:rPr>
        <w:t>五、已标价工程量清单</w:t>
      </w:r>
      <w:bookmarkEnd w:id="1407"/>
      <w:bookmarkEnd w:id="1408"/>
      <w:bookmarkEnd w:id="1409"/>
      <w:bookmarkEnd w:id="1410"/>
      <w:bookmarkEnd w:id="1411"/>
      <w:bookmarkEnd w:id="1412"/>
      <w:bookmarkEnd w:id="1413"/>
      <w:bookmarkEnd w:id="1414"/>
      <w:bookmarkEnd w:id="1415"/>
      <w:bookmarkEnd w:id="1416"/>
      <w:bookmarkEnd w:id="1417"/>
      <w:bookmarkEnd w:id="1418"/>
    </w:p>
    <w:p w14:paraId="5F261887">
      <w:pPr>
        <w:shd w:val="clear" w:color="auto" w:fill="auto"/>
        <w:spacing w:line="440" w:lineRule="exact"/>
        <w:ind w:firstLine="640"/>
        <w:jc w:val="center"/>
        <w:rPr>
          <w:rFonts w:hint="eastAsia" w:ascii="宋体" w:hAnsi="宋体" w:cs="宋体"/>
          <w:b/>
          <w:color w:val="auto"/>
          <w:sz w:val="32"/>
          <w:szCs w:val="32"/>
          <w:highlight w:val="none"/>
        </w:rPr>
      </w:pPr>
    </w:p>
    <w:p w14:paraId="0CB9D8BB">
      <w:pPr>
        <w:shd w:val="clear" w:color="auto" w:fill="auto"/>
        <w:spacing w:line="440" w:lineRule="exact"/>
        <w:ind w:firstLine="640"/>
        <w:jc w:val="center"/>
        <w:rPr>
          <w:rFonts w:hint="eastAsia" w:ascii="宋体" w:hAnsi="宋体" w:cs="宋体"/>
          <w:b/>
          <w:color w:val="auto"/>
          <w:sz w:val="32"/>
          <w:szCs w:val="32"/>
          <w:highlight w:val="none"/>
        </w:rPr>
      </w:pPr>
    </w:p>
    <w:p w14:paraId="6AC12780">
      <w:pPr>
        <w:shd w:val="clear" w:color="auto" w:fill="auto"/>
        <w:spacing w:line="440" w:lineRule="exact"/>
        <w:ind w:firstLine="640"/>
        <w:jc w:val="center"/>
        <w:rPr>
          <w:rFonts w:hint="eastAsia" w:ascii="宋体" w:hAnsi="宋体" w:cs="宋体"/>
          <w:b/>
          <w:color w:val="auto"/>
          <w:sz w:val="32"/>
          <w:szCs w:val="32"/>
          <w:highlight w:val="none"/>
        </w:rPr>
      </w:pPr>
    </w:p>
    <w:p w14:paraId="4ED4FCE8">
      <w:pPr>
        <w:shd w:val="clear" w:color="auto" w:fill="auto"/>
        <w:spacing w:line="440" w:lineRule="exact"/>
        <w:ind w:firstLine="640"/>
        <w:jc w:val="center"/>
        <w:rPr>
          <w:rFonts w:hint="eastAsia" w:ascii="宋体" w:hAnsi="宋体" w:cs="宋体"/>
          <w:b/>
          <w:color w:val="auto"/>
          <w:sz w:val="32"/>
          <w:szCs w:val="32"/>
          <w:highlight w:val="none"/>
        </w:rPr>
      </w:pPr>
    </w:p>
    <w:p w14:paraId="4E82B7F7">
      <w:pPr>
        <w:shd w:val="clear" w:color="auto" w:fill="auto"/>
        <w:spacing w:line="440" w:lineRule="exact"/>
        <w:ind w:firstLine="640"/>
        <w:jc w:val="center"/>
        <w:rPr>
          <w:rFonts w:hint="eastAsia" w:ascii="宋体" w:hAnsi="宋体" w:cs="宋体"/>
          <w:b/>
          <w:color w:val="auto"/>
          <w:sz w:val="32"/>
          <w:szCs w:val="32"/>
          <w:highlight w:val="none"/>
        </w:rPr>
      </w:pPr>
    </w:p>
    <w:p w14:paraId="78D202AB">
      <w:pPr>
        <w:shd w:val="clear" w:color="auto" w:fill="auto"/>
        <w:spacing w:line="440" w:lineRule="exact"/>
        <w:ind w:firstLine="640"/>
        <w:jc w:val="center"/>
        <w:rPr>
          <w:rFonts w:hint="eastAsia" w:ascii="宋体" w:hAnsi="宋体" w:cs="宋体"/>
          <w:b/>
          <w:color w:val="auto"/>
          <w:sz w:val="32"/>
          <w:szCs w:val="32"/>
          <w:highlight w:val="none"/>
        </w:rPr>
      </w:pPr>
    </w:p>
    <w:p w14:paraId="40B205C6">
      <w:pPr>
        <w:shd w:val="clear" w:color="auto" w:fill="auto"/>
        <w:spacing w:line="440" w:lineRule="exact"/>
        <w:ind w:firstLine="640"/>
        <w:jc w:val="center"/>
        <w:rPr>
          <w:rFonts w:hint="eastAsia" w:ascii="宋体" w:hAnsi="宋体" w:cs="宋体"/>
          <w:b/>
          <w:color w:val="auto"/>
          <w:sz w:val="32"/>
          <w:szCs w:val="32"/>
          <w:highlight w:val="none"/>
        </w:rPr>
      </w:pPr>
    </w:p>
    <w:p w14:paraId="224FCB66">
      <w:pPr>
        <w:shd w:val="clear" w:color="auto" w:fill="auto"/>
        <w:spacing w:line="440" w:lineRule="exact"/>
        <w:ind w:firstLine="640"/>
        <w:jc w:val="center"/>
        <w:rPr>
          <w:rFonts w:hint="eastAsia" w:ascii="宋体" w:hAnsi="宋体" w:cs="宋体"/>
          <w:b/>
          <w:color w:val="auto"/>
          <w:sz w:val="32"/>
          <w:szCs w:val="32"/>
          <w:highlight w:val="none"/>
        </w:rPr>
      </w:pPr>
    </w:p>
    <w:p w14:paraId="0DD78C15">
      <w:pPr>
        <w:shd w:val="clear" w:color="auto" w:fill="auto"/>
        <w:spacing w:line="440" w:lineRule="exact"/>
        <w:ind w:firstLine="640"/>
        <w:jc w:val="center"/>
        <w:rPr>
          <w:rFonts w:hint="eastAsia" w:ascii="宋体" w:hAnsi="宋体" w:cs="宋体"/>
          <w:b/>
          <w:color w:val="auto"/>
          <w:sz w:val="32"/>
          <w:szCs w:val="32"/>
          <w:highlight w:val="none"/>
        </w:rPr>
      </w:pPr>
    </w:p>
    <w:p w14:paraId="6262B1A8">
      <w:pPr>
        <w:shd w:val="clear" w:color="auto" w:fill="auto"/>
        <w:spacing w:line="440" w:lineRule="exact"/>
        <w:ind w:firstLine="640"/>
        <w:jc w:val="center"/>
        <w:rPr>
          <w:rFonts w:hint="eastAsia" w:ascii="宋体" w:hAnsi="宋体" w:cs="宋体"/>
          <w:b/>
          <w:color w:val="auto"/>
          <w:sz w:val="32"/>
          <w:szCs w:val="32"/>
          <w:highlight w:val="none"/>
        </w:rPr>
      </w:pPr>
    </w:p>
    <w:p w14:paraId="7F949D51">
      <w:pPr>
        <w:shd w:val="clear" w:color="auto" w:fill="auto"/>
        <w:spacing w:line="440" w:lineRule="exact"/>
        <w:ind w:firstLine="640"/>
        <w:jc w:val="center"/>
        <w:rPr>
          <w:rFonts w:hint="eastAsia" w:ascii="宋体" w:hAnsi="宋体" w:cs="宋体"/>
          <w:b/>
          <w:color w:val="auto"/>
          <w:sz w:val="32"/>
          <w:szCs w:val="32"/>
          <w:highlight w:val="none"/>
        </w:rPr>
      </w:pPr>
    </w:p>
    <w:p w14:paraId="0627DB4B">
      <w:pPr>
        <w:shd w:val="clear" w:color="auto" w:fill="auto"/>
        <w:spacing w:line="440" w:lineRule="exact"/>
        <w:ind w:firstLine="640"/>
        <w:jc w:val="center"/>
        <w:rPr>
          <w:rFonts w:hint="eastAsia" w:ascii="宋体" w:hAnsi="宋体" w:cs="宋体"/>
          <w:b/>
          <w:color w:val="auto"/>
          <w:sz w:val="32"/>
          <w:szCs w:val="32"/>
          <w:highlight w:val="none"/>
        </w:rPr>
      </w:pPr>
    </w:p>
    <w:p w14:paraId="6102759D">
      <w:pPr>
        <w:shd w:val="clear" w:color="auto" w:fill="auto"/>
        <w:spacing w:line="440" w:lineRule="exact"/>
        <w:ind w:firstLine="64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六、施工组织设计</w:t>
      </w:r>
      <w:bookmarkEnd w:id="1419"/>
      <w:bookmarkEnd w:id="1420"/>
      <w:bookmarkEnd w:id="1421"/>
      <w:bookmarkEnd w:id="1422"/>
      <w:bookmarkEnd w:id="1423"/>
      <w:bookmarkEnd w:id="1424"/>
      <w:bookmarkEnd w:id="1425"/>
      <w:bookmarkEnd w:id="1426"/>
    </w:p>
    <w:p w14:paraId="7DBF837A">
      <w:pPr>
        <w:shd w:val="clear" w:color="auto" w:fill="auto"/>
        <w:spacing w:line="440" w:lineRule="exact"/>
        <w:ind w:firstLine="482"/>
        <w:rPr>
          <w:rFonts w:hint="eastAsia" w:ascii="宋体" w:hAnsi="宋体" w:cs="宋体"/>
          <w:color w:val="auto"/>
          <w:highlight w:val="none"/>
        </w:rPr>
      </w:pPr>
    </w:p>
    <w:p w14:paraId="6D92B899">
      <w:pPr>
        <w:shd w:val="clear" w:color="auto" w:fill="auto"/>
        <w:tabs>
          <w:tab w:val="left" w:pos="720"/>
        </w:tabs>
        <w:spacing w:line="440" w:lineRule="exact"/>
        <w:ind w:firstLine="480" w:firstLineChars="200"/>
        <w:rPr>
          <w:rFonts w:hint="eastAsia" w:ascii="宋体" w:hAnsi="宋体"/>
          <w:color w:val="auto"/>
          <w:sz w:val="24"/>
          <w:highlight w:val="none"/>
        </w:rPr>
      </w:pPr>
      <w:bookmarkStart w:id="1427" w:name="_Toc246996369"/>
      <w:bookmarkStart w:id="1428" w:name="_Toc246997112"/>
      <w:bookmarkStart w:id="1429" w:name="_Toc152042592"/>
      <w:bookmarkStart w:id="1430" w:name="_Toc152045803"/>
      <w:bookmarkStart w:id="1431" w:name="_Toc247085887"/>
      <w:bookmarkStart w:id="1432" w:name="_Toc179632823"/>
      <w:bookmarkStart w:id="1433" w:name="_Toc144974871"/>
      <w:bookmarkStart w:id="1434" w:name="_Toc296602614"/>
      <w:r>
        <w:rPr>
          <w:rFonts w:hint="eastAsia" w:ascii="宋体" w:hAnsi="宋体"/>
          <w:color w:val="auto"/>
          <w:sz w:val="24"/>
          <w:highlight w:val="none"/>
        </w:rPr>
        <w:t>1.投标人编制施工组织设计的要求：编制时应简明扼要地说明施工方法，工程质量、安全生产、文明施工、环境保护、工程进度、技术组织等主要措施。用图表形式阐明本项目的施工进度计划以及拟投入主要施工设备、劳动力、项目管理机构等。</w:t>
      </w:r>
    </w:p>
    <w:p w14:paraId="58AE6852">
      <w:pPr>
        <w:shd w:val="clear" w:color="auto" w:fill="auto"/>
        <w:tabs>
          <w:tab w:val="left" w:pos="720"/>
        </w:tabs>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2.图表及格式要求：</w:t>
      </w:r>
    </w:p>
    <w:p w14:paraId="368B4BBC">
      <w:pPr>
        <w:shd w:val="clear" w:color="auto" w:fill="auto"/>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附表一  拟投入的主要施工设备表</w:t>
      </w:r>
    </w:p>
    <w:p w14:paraId="56924D1B">
      <w:pPr>
        <w:shd w:val="clear" w:color="auto" w:fill="auto"/>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附表二  劳动力计划表</w:t>
      </w:r>
    </w:p>
    <w:p w14:paraId="00A9A1C5">
      <w:pPr>
        <w:shd w:val="clear" w:color="auto" w:fill="auto"/>
        <w:tabs>
          <w:tab w:val="left" w:pos="720"/>
        </w:tabs>
        <w:spacing w:line="440" w:lineRule="exact"/>
        <w:ind w:firstLine="864" w:firstLineChars="360"/>
        <w:rPr>
          <w:rFonts w:hint="eastAsia" w:ascii="宋体" w:hAnsi="宋体"/>
          <w:color w:val="auto"/>
          <w:sz w:val="24"/>
          <w:highlight w:val="none"/>
        </w:rPr>
      </w:pPr>
      <w:r>
        <w:rPr>
          <w:rFonts w:hint="eastAsia" w:ascii="宋体" w:hAnsi="宋体"/>
          <w:color w:val="auto"/>
          <w:sz w:val="24"/>
          <w:highlight w:val="none"/>
        </w:rPr>
        <w:t>附表三  进度计划</w:t>
      </w:r>
    </w:p>
    <w:p w14:paraId="56B3F23D">
      <w:pPr>
        <w:shd w:val="clear" w:color="auto" w:fill="auto"/>
        <w:spacing w:line="440" w:lineRule="exact"/>
        <w:ind w:firstLine="402"/>
        <w:rPr>
          <w:rFonts w:hint="eastAsia" w:ascii="宋体" w:hAnsi="宋体"/>
          <w:color w:val="auto"/>
          <w:sz w:val="20"/>
          <w:szCs w:val="20"/>
          <w:highlight w:val="none"/>
        </w:rPr>
      </w:pPr>
    </w:p>
    <w:p w14:paraId="3377E2CE">
      <w:pPr>
        <w:shd w:val="clear" w:color="auto" w:fill="auto"/>
        <w:spacing w:line="440" w:lineRule="exact"/>
        <w:ind w:firstLine="402"/>
        <w:rPr>
          <w:rFonts w:hint="eastAsia" w:ascii="宋体" w:hAnsi="宋体"/>
          <w:color w:val="auto"/>
          <w:sz w:val="20"/>
          <w:szCs w:val="20"/>
          <w:highlight w:val="none"/>
        </w:rPr>
      </w:pPr>
    </w:p>
    <w:p w14:paraId="5DB91695">
      <w:pPr>
        <w:shd w:val="clear" w:color="auto" w:fill="auto"/>
        <w:spacing w:line="440" w:lineRule="exact"/>
        <w:ind w:firstLine="402"/>
        <w:rPr>
          <w:rFonts w:hint="eastAsia" w:ascii="宋体" w:hAnsi="宋体"/>
          <w:color w:val="auto"/>
          <w:sz w:val="20"/>
          <w:szCs w:val="20"/>
          <w:highlight w:val="none"/>
        </w:rPr>
      </w:pPr>
    </w:p>
    <w:p w14:paraId="288E2BED">
      <w:pPr>
        <w:shd w:val="clear" w:color="auto" w:fill="auto"/>
        <w:spacing w:line="440" w:lineRule="exact"/>
        <w:ind w:firstLine="402"/>
        <w:rPr>
          <w:rFonts w:hint="eastAsia" w:ascii="宋体" w:hAnsi="宋体"/>
          <w:color w:val="auto"/>
          <w:sz w:val="20"/>
          <w:szCs w:val="20"/>
          <w:highlight w:val="none"/>
        </w:rPr>
      </w:pPr>
    </w:p>
    <w:p w14:paraId="42F9FAB7">
      <w:pPr>
        <w:shd w:val="clear" w:color="auto" w:fill="auto"/>
        <w:spacing w:line="440" w:lineRule="exact"/>
        <w:ind w:firstLine="402"/>
        <w:rPr>
          <w:rFonts w:hint="eastAsia" w:ascii="宋体" w:hAnsi="宋体"/>
          <w:color w:val="auto"/>
          <w:sz w:val="20"/>
          <w:szCs w:val="20"/>
          <w:highlight w:val="none"/>
        </w:rPr>
      </w:pPr>
    </w:p>
    <w:p w14:paraId="0F82C82F">
      <w:pPr>
        <w:shd w:val="clear" w:color="auto" w:fill="auto"/>
        <w:spacing w:line="440" w:lineRule="exact"/>
        <w:ind w:firstLine="402"/>
        <w:rPr>
          <w:rFonts w:hint="eastAsia" w:ascii="宋体" w:hAnsi="宋体"/>
          <w:color w:val="auto"/>
          <w:sz w:val="20"/>
          <w:szCs w:val="20"/>
          <w:highlight w:val="none"/>
        </w:rPr>
      </w:pPr>
    </w:p>
    <w:p w14:paraId="06348DCF">
      <w:pPr>
        <w:shd w:val="clear" w:color="auto" w:fill="auto"/>
        <w:spacing w:line="440" w:lineRule="exact"/>
        <w:ind w:firstLine="402"/>
        <w:rPr>
          <w:rFonts w:hint="eastAsia" w:ascii="宋体" w:hAnsi="宋体"/>
          <w:color w:val="auto"/>
          <w:sz w:val="20"/>
          <w:szCs w:val="20"/>
          <w:highlight w:val="none"/>
        </w:rPr>
      </w:pPr>
    </w:p>
    <w:p w14:paraId="5606AE3B">
      <w:pPr>
        <w:shd w:val="clear" w:color="auto" w:fill="auto"/>
        <w:spacing w:line="440" w:lineRule="exact"/>
        <w:ind w:firstLine="402"/>
        <w:rPr>
          <w:rFonts w:hint="eastAsia" w:ascii="宋体" w:hAnsi="宋体"/>
          <w:color w:val="auto"/>
          <w:sz w:val="20"/>
          <w:szCs w:val="20"/>
          <w:highlight w:val="none"/>
        </w:rPr>
      </w:pPr>
    </w:p>
    <w:p w14:paraId="7842330A">
      <w:pPr>
        <w:shd w:val="clear" w:color="auto" w:fill="auto"/>
        <w:spacing w:line="440" w:lineRule="exact"/>
        <w:ind w:firstLine="402"/>
        <w:rPr>
          <w:rFonts w:hint="eastAsia" w:ascii="宋体" w:hAnsi="宋体"/>
          <w:color w:val="auto"/>
          <w:sz w:val="20"/>
          <w:szCs w:val="20"/>
          <w:highlight w:val="none"/>
        </w:rPr>
      </w:pPr>
    </w:p>
    <w:p w14:paraId="42B96059">
      <w:pPr>
        <w:shd w:val="clear" w:color="auto" w:fill="auto"/>
        <w:spacing w:line="440" w:lineRule="exact"/>
        <w:ind w:firstLine="402"/>
        <w:rPr>
          <w:rFonts w:hint="eastAsia" w:ascii="宋体" w:hAnsi="宋体"/>
          <w:color w:val="auto"/>
          <w:sz w:val="20"/>
          <w:szCs w:val="20"/>
          <w:highlight w:val="none"/>
        </w:rPr>
      </w:pPr>
    </w:p>
    <w:p w14:paraId="5F33FA5F">
      <w:pPr>
        <w:shd w:val="clear" w:color="auto" w:fill="auto"/>
        <w:spacing w:line="440" w:lineRule="exact"/>
        <w:ind w:firstLine="402"/>
        <w:rPr>
          <w:rFonts w:hint="eastAsia" w:ascii="宋体" w:hAnsi="宋体"/>
          <w:color w:val="auto"/>
          <w:sz w:val="20"/>
          <w:szCs w:val="20"/>
          <w:highlight w:val="none"/>
        </w:rPr>
      </w:pPr>
    </w:p>
    <w:p w14:paraId="404BE511">
      <w:pPr>
        <w:pStyle w:val="3"/>
        <w:shd w:val="clear" w:color="auto" w:fill="auto"/>
        <w:ind w:firstLine="640"/>
        <w:rPr>
          <w:rFonts w:hint="eastAsia" w:ascii="宋体" w:hAnsi="宋体"/>
          <w:color w:val="auto"/>
          <w:highlight w:val="none"/>
        </w:rPr>
      </w:pPr>
      <w:bookmarkStart w:id="1435" w:name="_Toc77586875"/>
      <w:bookmarkStart w:id="1436" w:name="_Toc246997108"/>
      <w:bookmarkStart w:id="1437" w:name="_Toc296602610"/>
      <w:bookmarkStart w:id="1438" w:name="_Toc3726"/>
      <w:bookmarkStart w:id="1439" w:name="_Toc179632817"/>
      <w:bookmarkStart w:id="1440" w:name="_Toc247085883"/>
      <w:bookmarkStart w:id="1441" w:name="_Toc29247"/>
      <w:bookmarkStart w:id="1442" w:name="_Toc152045797"/>
      <w:bookmarkStart w:id="1443" w:name="_Toc246996365"/>
      <w:bookmarkStart w:id="1444" w:name="_Toc77586973"/>
      <w:bookmarkStart w:id="1445" w:name="_Toc144974865"/>
      <w:bookmarkStart w:id="1446" w:name="_Toc152042586"/>
      <w:r>
        <w:rPr>
          <w:rFonts w:hint="eastAsia" w:ascii="宋体" w:hAnsi="宋体"/>
          <w:color w:val="auto"/>
          <w:highlight w:val="none"/>
        </w:rPr>
        <w:br w:type="page"/>
      </w:r>
      <w:r>
        <w:rPr>
          <w:rFonts w:hint="eastAsia" w:ascii="宋体" w:hAnsi="宋体"/>
          <w:color w:val="auto"/>
          <w:highlight w:val="none"/>
        </w:rPr>
        <w:t>附表一：拟投入本项目的主要施工设备表</w:t>
      </w:r>
      <w:bookmarkEnd w:id="1435"/>
      <w:bookmarkEnd w:id="1436"/>
      <w:bookmarkEnd w:id="1437"/>
      <w:bookmarkEnd w:id="1438"/>
      <w:bookmarkEnd w:id="1439"/>
      <w:bookmarkEnd w:id="1440"/>
      <w:bookmarkEnd w:id="1441"/>
      <w:bookmarkEnd w:id="1442"/>
      <w:bookmarkEnd w:id="1443"/>
      <w:bookmarkEnd w:id="1444"/>
      <w:bookmarkEnd w:id="1445"/>
      <w:bookmarkEnd w:id="1446"/>
    </w:p>
    <w:tbl>
      <w:tblPr>
        <w:tblStyle w:val="15"/>
        <w:tblW w:w="8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780"/>
        <w:gridCol w:w="851"/>
        <w:gridCol w:w="850"/>
        <w:gridCol w:w="1028"/>
        <w:gridCol w:w="865"/>
        <w:gridCol w:w="1085"/>
        <w:gridCol w:w="874"/>
        <w:gridCol w:w="1055"/>
        <w:gridCol w:w="691"/>
      </w:tblGrid>
      <w:tr w14:paraId="118C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23ACED04">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序号</w:t>
            </w:r>
          </w:p>
        </w:tc>
        <w:tc>
          <w:tcPr>
            <w:tcW w:w="780" w:type="dxa"/>
            <w:tcBorders>
              <w:top w:val="single" w:color="auto" w:sz="4" w:space="0"/>
              <w:left w:val="single" w:color="auto" w:sz="4" w:space="0"/>
              <w:bottom w:val="single" w:color="auto" w:sz="4" w:space="0"/>
              <w:right w:val="single" w:color="auto" w:sz="4" w:space="0"/>
            </w:tcBorders>
            <w:noWrap w:val="0"/>
            <w:vAlign w:val="center"/>
          </w:tcPr>
          <w:p w14:paraId="2E834548">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设备名称</w:t>
            </w:r>
          </w:p>
        </w:tc>
        <w:tc>
          <w:tcPr>
            <w:tcW w:w="851" w:type="dxa"/>
            <w:tcBorders>
              <w:top w:val="single" w:color="auto" w:sz="4" w:space="0"/>
              <w:left w:val="single" w:color="auto" w:sz="4" w:space="0"/>
              <w:bottom w:val="single" w:color="auto" w:sz="4" w:space="0"/>
              <w:right w:val="single" w:color="auto" w:sz="4" w:space="0"/>
            </w:tcBorders>
            <w:noWrap w:val="0"/>
            <w:vAlign w:val="center"/>
          </w:tcPr>
          <w:p w14:paraId="17E1C798">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型号</w:t>
            </w:r>
          </w:p>
          <w:p w14:paraId="6BA42E54">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规格</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DF57A5F">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数量</w:t>
            </w:r>
          </w:p>
        </w:tc>
        <w:tc>
          <w:tcPr>
            <w:tcW w:w="1028" w:type="dxa"/>
            <w:tcBorders>
              <w:top w:val="single" w:color="auto" w:sz="4" w:space="0"/>
              <w:left w:val="single" w:color="auto" w:sz="4" w:space="0"/>
              <w:bottom w:val="single" w:color="auto" w:sz="4" w:space="0"/>
              <w:right w:val="single" w:color="auto" w:sz="4" w:space="0"/>
            </w:tcBorders>
            <w:noWrap w:val="0"/>
            <w:vAlign w:val="center"/>
          </w:tcPr>
          <w:p w14:paraId="3DD86CF8">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国别</w:t>
            </w:r>
          </w:p>
          <w:p w14:paraId="4AF95C91">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产地</w:t>
            </w:r>
          </w:p>
        </w:tc>
        <w:tc>
          <w:tcPr>
            <w:tcW w:w="865" w:type="dxa"/>
            <w:tcBorders>
              <w:top w:val="single" w:color="auto" w:sz="4" w:space="0"/>
              <w:left w:val="single" w:color="auto" w:sz="4" w:space="0"/>
              <w:bottom w:val="single" w:color="auto" w:sz="4" w:space="0"/>
              <w:right w:val="single" w:color="auto" w:sz="4" w:space="0"/>
            </w:tcBorders>
            <w:noWrap w:val="0"/>
            <w:vAlign w:val="center"/>
          </w:tcPr>
          <w:p w14:paraId="158CC189">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制造</w:t>
            </w:r>
          </w:p>
          <w:p w14:paraId="671BF6FC">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年份</w:t>
            </w:r>
          </w:p>
        </w:tc>
        <w:tc>
          <w:tcPr>
            <w:tcW w:w="1085" w:type="dxa"/>
            <w:tcBorders>
              <w:top w:val="single" w:color="auto" w:sz="4" w:space="0"/>
              <w:left w:val="single" w:color="auto" w:sz="4" w:space="0"/>
              <w:bottom w:val="single" w:color="auto" w:sz="4" w:space="0"/>
              <w:right w:val="single" w:color="auto" w:sz="4" w:space="0"/>
            </w:tcBorders>
            <w:noWrap w:val="0"/>
            <w:vAlign w:val="center"/>
          </w:tcPr>
          <w:p w14:paraId="796079C3">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额定功率（kW）</w:t>
            </w:r>
          </w:p>
        </w:tc>
        <w:tc>
          <w:tcPr>
            <w:tcW w:w="874" w:type="dxa"/>
            <w:tcBorders>
              <w:top w:val="single" w:color="auto" w:sz="4" w:space="0"/>
              <w:left w:val="single" w:color="auto" w:sz="4" w:space="0"/>
              <w:bottom w:val="single" w:color="auto" w:sz="4" w:space="0"/>
              <w:right w:val="single" w:color="auto" w:sz="4" w:space="0"/>
            </w:tcBorders>
            <w:noWrap w:val="0"/>
            <w:vAlign w:val="center"/>
          </w:tcPr>
          <w:p w14:paraId="27B63F9E">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生产</w:t>
            </w:r>
          </w:p>
          <w:p w14:paraId="58D1B6DD">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能力</w:t>
            </w:r>
          </w:p>
        </w:tc>
        <w:tc>
          <w:tcPr>
            <w:tcW w:w="1055" w:type="dxa"/>
            <w:tcBorders>
              <w:top w:val="single" w:color="auto" w:sz="4" w:space="0"/>
              <w:left w:val="single" w:color="auto" w:sz="4" w:space="0"/>
              <w:bottom w:val="single" w:color="auto" w:sz="4" w:space="0"/>
              <w:right w:val="single" w:color="auto" w:sz="4" w:space="0"/>
            </w:tcBorders>
            <w:noWrap w:val="0"/>
            <w:vAlign w:val="center"/>
          </w:tcPr>
          <w:p w14:paraId="4C4B0098">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用于施工部位</w:t>
            </w:r>
          </w:p>
        </w:tc>
        <w:tc>
          <w:tcPr>
            <w:tcW w:w="691" w:type="dxa"/>
            <w:tcBorders>
              <w:top w:val="single" w:color="auto" w:sz="4" w:space="0"/>
              <w:left w:val="single" w:color="auto" w:sz="4" w:space="0"/>
              <w:bottom w:val="single" w:color="auto" w:sz="4" w:space="0"/>
              <w:right w:val="single" w:color="auto" w:sz="4" w:space="0"/>
            </w:tcBorders>
            <w:noWrap w:val="0"/>
            <w:vAlign w:val="center"/>
          </w:tcPr>
          <w:p w14:paraId="71CFA8CB">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备注</w:t>
            </w:r>
          </w:p>
        </w:tc>
      </w:tr>
      <w:tr w14:paraId="30838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2A388183">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647646F9">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5A70AF9">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32589EB6">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33A3C779">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center"/>
          </w:tcPr>
          <w:p w14:paraId="4840968F">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center"/>
          </w:tcPr>
          <w:p w14:paraId="3789A33F">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center"/>
          </w:tcPr>
          <w:p w14:paraId="523C5891">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center"/>
          </w:tcPr>
          <w:p w14:paraId="56F7990B">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center"/>
          </w:tcPr>
          <w:p w14:paraId="745BC30F">
            <w:pPr>
              <w:shd w:val="clear" w:color="auto" w:fill="auto"/>
              <w:spacing w:line="440" w:lineRule="exact"/>
              <w:ind w:firstLine="482"/>
              <w:jc w:val="center"/>
              <w:rPr>
                <w:rFonts w:ascii="宋体" w:hAnsi="宋体"/>
                <w:color w:val="auto"/>
                <w:sz w:val="24"/>
                <w:szCs w:val="24"/>
                <w:highlight w:val="none"/>
              </w:rPr>
            </w:pPr>
          </w:p>
        </w:tc>
      </w:tr>
      <w:tr w14:paraId="0E98D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center"/>
          </w:tcPr>
          <w:p w14:paraId="693F50B7">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center"/>
          </w:tcPr>
          <w:p w14:paraId="633B8690">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center"/>
          </w:tcPr>
          <w:p w14:paraId="367CB082">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center"/>
          </w:tcPr>
          <w:p w14:paraId="22821040">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center"/>
          </w:tcPr>
          <w:p w14:paraId="6E7D61B7">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center"/>
          </w:tcPr>
          <w:p w14:paraId="3D6547E9">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center"/>
          </w:tcPr>
          <w:p w14:paraId="49F238BC">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center"/>
          </w:tcPr>
          <w:p w14:paraId="20FF7294">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center"/>
          </w:tcPr>
          <w:p w14:paraId="33CD277E">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center"/>
          </w:tcPr>
          <w:p w14:paraId="24743760">
            <w:pPr>
              <w:shd w:val="clear" w:color="auto" w:fill="auto"/>
              <w:spacing w:line="440" w:lineRule="exact"/>
              <w:ind w:firstLine="482"/>
              <w:jc w:val="center"/>
              <w:rPr>
                <w:rFonts w:ascii="宋体" w:hAnsi="宋体"/>
                <w:color w:val="auto"/>
                <w:sz w:val="24"/>
                <w:szCs w:val="24"/>
                <w:highlight w:val="none"/>
              </w:rPr>
            </w:pPr>
          </w:p>
        </w:tc>
      </w:tr>
      <w:tr w14:paraId="105EA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41D882E">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55F5A43">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39D64AB">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619654CE">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0B628FF">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F69E4DE">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7BC062C">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70F0A8B0">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3F4A37E">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4CCEE7EB">
            <w:pPr>
              <w:shd w:val="clear" w:color="auto" w:fill="auto"/>
              <w:spacing w:line="440" w:lineRule="exact"/>
              <w:ind w:firstLine="482"/>
              <w:jc w:val="center"/>
              <w:rPr>
                <w:rFonts w:ascii="宋体" w:hAnsi="宋体"/>
                <w:color w:val="auto"/>
                <w:sz w:val="24"/>
                <w:szCs w:val="24"/>
                <w:highlight w:val="none"/>
              </w:rPr>
            </w:pPr>
          </w:p>
        </w:tc>
      </w:tr>
      <w:tr w14:paraId="33E82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966B7A1">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0A67293D">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591064AF">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A281195">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0C7B5D6">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BA37A41">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97E08BA">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309D1148">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63B15890">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4681973D">
            <w:pPr>
              <w:shd w:val="clear" w:color="auto" w:fill="auto"/>
              <w:spacing w:line="440" w:lineRule="exact"/>
              <w:ind w:firstLine="482"/>
              <w:jc w:val="center"/>
              <w:rPr>
                <w:rFonts w:ascii="宋体" w:hAnsi="宋体"/>
                <w:color w:val="auto"/>
                <w:sz w:val="24"/>
                <w:szCs w:val="24"/>
                <w:highlight w:val="none"/>
              </w:rPr>
            </w:pPr>
          </w:p>
        </w:tc>
      </w:tr>
      <w:tr w14:paraId="08B61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31DAF75">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F403B9C">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5E215CF">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FD1BFA5">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8D0624A">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4C500315">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985335A">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767B5E55">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629448F">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9D61E27">
            <w:pPr>
              <w:shd w:val="clear" w:color="auto" w:fill="auto"/>
              <w:spacing w:line="440" w:lineRule="exact"/>
              <w:ind w:firstLine="482"/>
              <w:jc w:val="center"/>
              <w:rPr>
                <w:rFonts w:ascii="宋体" w:hAnsi="宋体"/>
                <w:color w:val="auto"/>
                <w:sz w:val="24"/>
                <w:szCs w:val="24"/>
                <w:highlight w:val="none"/>
              </w:rPr>
            </w:pPr>
          </w:p>
        </w:tc>
      </w:tr>
      <w:tr w14:paraId="5F050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7DF63B2">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35A4EF7">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17061D23">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A98AB3F">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53352CA">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E546BDA">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76EB99B">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1E9717C">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E42CFC0">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DD99240">
            <w:pPr>
              <w:shd w:val="clear" w:color="auto" w:fill="auto"/>
              <w:spacing w:line="440" w:lineRule="exact"/>
              <w:ind w:firstLine="482"/>
              <w:jc w:val="center"/>
              <w:rPr>
                <w:rFonts w:ascii="宋体" w:hAnsi="宋体"/>
                <w:color w:val="auto"/>
                <w:sz w:val="24"/>
                <w:szCs w:val="24"/>
                <w:highlight w:val="none"/>
              </w:rPr>
            </w:pPr>
          </w:p>
        </w:tc>
      </w:tr>
      <w:tr w14:paraId="5AFF3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744F2F7">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188CA46">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B458F60">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17C06F15">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3F05AE6C">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5C587871">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6631DEA">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2284E32">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2DFF67A2">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12DF8AC0">
            <w:pPr>
              <w:shd w:val="clear" w:color="auto" w:fill="auto"/>
              <w:spacing w:line="440" w:lineRule="exact"/>
              <w:ind w:firstLine="482"/>
              <w:jc w:val="center"/>
              <w:rPr>
                <w:rFonts w:ascii="宋体" w:hAnsi="宋体"/>
                <w:color w:val="auto"/>
                <w:sz w:val="24"/>
                <w:szCs w:val="24"/>
                <w:highlight w:val="none"/>
              </w:rPr>
            </w:pPr>
          </w:p>
        </w:tc>
      </w:tr>
      <w:tr w14:paraId="0886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77C5FA1">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CA8FA26">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1FFA4E4">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498BBC5">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274EDE7">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6DB30DA9">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2B767CE">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CC5979C">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72D3581F">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7D249452">
            <w:pPr>
              <w:shd w:val="clear" w:color="auto" w:fill="auto"/>
              <w:spacing w:line="440" w:lineRule="exact"/>
              <w:ind w:firstLine="482"/>
              <w:jc w:val="center"/>
              <w:rPr>
                <w:rFonts w:ascii="宋体" w:hAnsi="宋体"/>
                <w:color w:val="auto"/>
                <w:sz w:val="24"/>
                <w:szCs w:val="24"/>
                <w:highlight w:val="none"/>
              </w:rPr>
            </w:pPr>
          </w:p>
        </w:tc>
      </w:tr>
      <w:tr w14:paraId="6E20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75735127">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0CD05F7">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C238A6C">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6996DEA8">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97D6492">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A6DA118">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4649F69">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1EC2F390">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22B06640">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A8D50D4">
            <w:pPr>
              <w:shd w:val="clear" w:color="auto" w:fill="auto"/>
              <w:spacing w:line="440" w:lineRule="exact"/>
              <w:ind w:firstLine="482"/>
              <w:jc w:val="center"/>
              <w:rPr>
                <w:rFonts w:ascii="宋体" w:hAnsi="宋体"/>
                <w:color w:val="auto"/>
                <w:sz w:val="24"/>
                <w:szCs w:val="24"/>
                <w:highlight w:val="none"/>
              </w:rPr>
            </w:pPr>
          </w:p>
        </w:tc>
      </w:tr>
      <w:tr w14:paraId="4BAA6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5F032190">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0E4AD2BC">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597B634">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E69D928">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9BC0482">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0A0B09BE">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7744614">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309FCAF0">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EE17C73">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DC910C0">
            <w:pPr>
              <w:shd w:val="clear" w:color="auto" w:fill="auto"/>
              <w:spacing w:line="440" w:lineRule="exact"/>
              <w:ind w:firstLine="482"/>
              <w:jc w:val="center"/>
              <w:rPr>
                <w:rFonts w:ascii="宋体" w:hAnsi="宋体"/>
                <w:color w:val="auto"/>
                <w:sz w:val="24"/>
                <w:szCs w:val="24"/>
                <w:highlight w:val="none"/>
              </w:rPr>
            </w:pPr>
          </w:p>
        </w:tc>
      </w:tr>
      <w:tr w14:paraId="6FAC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713209B9">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EA1D7B4">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971BDE8">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15E79783">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6C47D43">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0525D828">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54822943">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E2BC3FD">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27FB3748">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1A2AD4E8">
            <w:pPr>
              <w:shd w:val="clear" w:color="auto" w:fill="auto"/>
              <w:spacing w:line="440" w:lineRule="exact"/>
              <w:ind w:firstLine="482"/>
              <w:jc w:val="center"/>
              <w:rPr>
                <w:rFonts w:ascii="宋体" w:hAnsi="宋体"/>
                <w:color w:val="auto"/>
                <w:sz w:val="24"/>
                <w:szCs w:val="24"/>
                <w:highlight w:val="none"/>
              </w:rPr>
            </w:pPr>
          </w:p>
        </w:tc>
      </w:tr>
      <w:tr w14:paraId="22990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132CC145">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3569AC1">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A36A221">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DF9E59A">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3B4F323C">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13F1779C">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5EEE9B2">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25CF82A0">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77B64AA">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CBF5C5A">
            <w:pPr>
              <w:shd w:val="clear" w:color="auto" w:fill="auto"/>
              <w:spacing w:line="440" w:lineRule="exact"/>
              <w:ind w:firstLine="482"/>
              <w:jc w:val="center"/>
              <w:rPr>
                <w:rFonts w:ascii="宋体" w:hAnsi="宋体"/>
                <w:color w:val="auto"/>
                <w:sz w:val="24"/>
                <w:szCs w:val="24"/>
                <w:highlight w:val="none"/>
              </w:rPr>
            </w:pPr>
          </w:p>
        </w:tc>
      </w:tr>
      <w:tr w14:paraId="4D72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3A4AE9C0">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4424C5C4">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4450588">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7C6150D1">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45EF4AD">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BE4C77C">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62E3CE5">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67187CC7">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508577AF">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E2023AB">
            <w:pPr>
              <w:shd w:val="clear" w:color="auto" w:fill="auto"/>
              <w:spacing w:line="440" w:lineRule="exact"/>
              <w:ind w:firstLine="482"/>
              <w:jc w:val="center"/>
              <w:rPr>
                <w:rFonts w:ascii="宋体" w:hAnsi="宋体"/>
                <w:color w:val="auto"/>
                <w:sz w:val="24"/>
                <w:szCs w:val="24"/>
                <w:highlight w:val="none"/>
              </w:rPr>
            </w:pPr>
          </w:p>
        </w:tc>
      </w:tr>
      <w:tr w14:paraId="16BE4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308BFB0">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2B7738A">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C17EAED">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015FBB96">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5E56383">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0351211A">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A46EADC">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3A674517">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33A9E382">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1791B920">
            <w:pPr>
              <w:shd w:val="clear" w:color="auto" w:fill="auto"/>
              <w:spacing w:line="440" w:lineRule="exact"/>
              <w:ind w:firstLine="482"/>
              <w:jc w:val="center"/>
              <w:rPr>
                <w:rFonts w:ascii="宋体" w:hAnsi="宋体"/>
                <w:color w:val="auto"/>
                <w:sz w:val="24"/>
                <w:szCs w:val="24"/>
                <w:highlight w:val="none"/>
              </w:rPr>
            </w:pPr>
          </w:p>
        </w:tc>
      </w:tr>
      <w:tr w14:paraId="79FB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587E8218">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C4D4B93">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45FC64E">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EE27ADD">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0766F58">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58098E7">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7539738">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77F878F4">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A879152">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0DAB5E8">
            <w:pPr>
              <w:shd w:val="clear" w:color="auto" w:fill="auto"/>
              <w:spacing w:line="440" w:lineRule="exact"/>
              <w:ind w:firstLine="482"/>
              <w:jc w:val="center"/>
              <w:rPr>
                <w:rFonts w:ascii="宋体" w:hAnsi="宋体"/>
                <w:color w:val="auto"/>
                <w:sz w:val="24"/>
                <w:szCs w:val="24"/>
                <w:highlight w:val="none"/>
              </w:rPr>
            </w:pPr>
          </w:p>
        </w:tc>
      </w:tr>
      <w:tr w14:paraId="7C26C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5675670C">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149FD78F">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3FE7C6C8">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7163509B">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4CB42EEA">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50D6D11E">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030CA252">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9081115">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7CC56E3C">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C8E5A3C">
            <w:pPr>
              <w:shd w:val="clear" w:color="auto" w:fill="auto"/>
              <w:spacing w:line="440" w:lineRule="exact"/>
              <w:ind w:firstLine="482"/>
              <w:jc w:val="center"/>
              <w:rPr>
                <w:rFonts w:ascii="宋体" w:hAnsi="宋体"/>
                <w:color w:val="auto"/>
                <w:sz w:val="24"/>
                <w:szCs w:val="24"/>
                <w:highlight w:val="none"/>
              </w:rPr>
            </w:pPr>
          </w:p>
        </w:tc>
      </w:tr>
      <w:tr w14:paraId="1F505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3B1701A4">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592D678">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28528403">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D01A1A4">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2BA3A4E">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0D579957">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16C4F21">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B234E47">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CCFF14E">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F19859A">
            <w:pPr>
              <w:shd w:val="clear" w:color="auto" w:fill="auto"/>
              <w:spacing w:line="440" w:lineRule="exact"/>
              <w:ind w:firstLine="482"/>
              <w:jc w:val="center"/>
              <w:rPr>
                <w:rFonts w:ascii="宋体" w:hAnsi="宋体"/>
                <w:color w:val="auto"/>
                <w:sz w:val="24"/>
                <w:szCs w:val="24"/>
                <w:highlight w:val="none"/>
              </w:rPr>
            </w:pPr>
          </w:p>
        </w:tc>
      </w:tr>
      <w:tr w14:paraId="7C951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CF88901">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65134B8A">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07E4C4AD">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2AEBD885">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7982275E">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63F23ED">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657514E1">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7F0ECACF">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B4C9919">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2B0B886">
            <w:pPr>
              <w:shd w:val="clear" w:color="auto" w:fill="auto"/>
              <w:spacing w:line="440" w:lineRule="exact"/>
              <w:ind w:firstLine="482"/>
              <w:jc w:val="center"/>
              <w:rPr>
                <w:rFonts w:ascii="宋体" w:hAnsi="宋体"/>
                <w:color w:val="auto"/>
                <w:sz w:val="24"/>
                <w:szCs w:val="24"/>
                <w:highlight w:val="none"/>
              </w:rPr>
            </w:pPr>
          </w:p>
        </w:tc>
      </w:tr>
      <w:tr w14:paraId="260C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0FF1F40B">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19193CE">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5861CE01">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784D2BAA">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1286C3FF">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5071171">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3E95B049">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5834885D">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0A57ED9C">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752860A">
            <w:pPr>
              <w:shd w:val="clear" w:color="auto" w:fill="auto"/>
              <w:spacing w:line="440" w:lineRule="exact"/>
              <w:ind w:firstLine="482"/>
              <w:jc w:val="center"/>
              <w:rPr>
                <w:rFonts w:ascii="宋体" w:hAnsi="宋体"/>
                <w:color w:val="auto"/>
                <w:sz w:val="24"/>
                <w:szCs w:val="24"/>
                <w:highlight w:val="none"/>
              </w:rPr>
            </w:pPr>
          </w:p>
        </w:tc>
      </w:tr>
      <w:tr w14:paraId="0BFA5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4B9CA6F4">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AAE1BFB">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7892A866">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43BF6118">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5F73739">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293EB575">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08EC333B">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491BBA86">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0782911">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05D00AFE">
            <w:pPr>
              <w:shd w:val="clear" w:color="auto" w:fill="auto"/>
              <w:spacing w:line="440" w:lineRule="exact"/>
              <w:ind w:firstLine="482"/>
              <w:jc w:val="center"/>
              <w:rPr>
                <w:rFonts w:ascii="宋体" w:hAnsi="宋体"/>
                <w:color w:val="auto"/>
                <w:sz w:val="24"/>
                <w:szCs w:val="24"/>
                <w:highlight w:val="none"/>
              </w:rPr>
            </w:pPr>
          </w:p>
        </w:tc>
      </w:tr>
      <w:tr w14:paraId="36238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63B337E8">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3A637B9E">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525CF721">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5F539A8">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66E7334A">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24B104D">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EF04C8E">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7D5A2153">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F0855BD">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A491685">
            <w:pPr>
              <w:shd w:val="clear" w:color="auto" w:fill="auto"/>
              <w:spacing w:line="440" w:lineRule="exact"/>
              <w:ind w:firstLine="482"/>
              <w:jc w:val="center"/>
              <w:rPr>
                <w:rFonts w:ascii="宋体" w:hAnsi="宋体"/>
                <w:color w:val="auto"/>
                <w:sz w:val="24"/>
                <w:szCs w:val="24"/>
                <w:highlight w:val="none"/>
              </w:rPr>
            </w:pPr>
          </w:p>
        </w:tc>
      </w:tr>
      <w:tr w14:paraId="2040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62F65B33">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728A0FD6">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36D348B6">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38C7106E">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28B553B5">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556B050C">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7734B953">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19B639CD">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11F1479B">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31B71BB6">
            <w:pPr>
              <w:shd w:val="clear" w:color="auto" w:fill="auto"/>
              <w:spacing w:line="440" w:lineRule="exact"/>
              <w:ind w:firstLine="482"/>
              <w:jc w:val="center"/>
              <w:rPr>
                <w:rFonts w:ascii="宋体" w:hAnsi="宋体"/>
                <w:color w:val="auto"/>
                <w:sz w:val="24"/>
                <w:szCs w:val="24"/>
                <w:highlight w:val="none"/>
              </w:rPr>
            </w:pPr>
          </w:p>
        </w:tc>
      </w:tr>
      <w:tr w14:paraId="0E651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2376FF29">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A743BD4">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3BCFA198">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67A1E5DC">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3A0DF91B">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36D265B4">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1DC6D247">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1E96A1E">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34C9D5AA">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5DD6CFE9">
            <w:pPr>
              <w:shd w:val="clear" w:color="auto" w:fill="auto"/>
              <w:spacing w:line="440" w:lineRule="exact"/>
              <w:ind w:firstLine="482"/>
              <w:jc w:val="center"/>
              <w:rPr>
                <w:rFonts w:ascii="宋体" w:hAnsi="宋体"/>
                <w:color w:val="auto"/>
                <w:sz w:val="24"/>
                <w:szCs w:val="24"/>
                <w:highlight w:val="none"/>
              </w:rPr>
            </w:pPr>
          </w:p>
        </w:tc>
      </w:tr>
      <w:tr w14:paraId="0231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5" w:type="dxa"/>
            <w:tcBorders>
              <w:top w:val="single" w:color="auto" w:sz="4" w:space="0"/>
              <w:left w:val="single" w:color="auto" w:sz="4" w:space="0"/>
              <w:bottom w:val="single" w:color="auto" w:sz="4" w:space="0"/>
              <w:right w:val="single" w:color="auto" w:sz="4" w:space="0"/>
            </w:tcBorders>
            <w:noWrap w:val="0"/>
            <w:vAlign w:val="top"/>
          </w:tcPr>
          <w:p w14:paraId="55C6EBB7">
            <w:pPr>
              <w:shd w:val="clear" w:color="auto" w:fill="auto"/>
              <w:spacing w:line="440" w:lineRule="exact"/>
              <w:ind w:firstLine="482"/>
              <w:jc w:val="center"/>
              <w:rPr>
                <w:rFonts w:ascii="宋体" w:hAnsi="宋体"/>
                <w:color w:val="auto"/>
                <w:sz w:val="24"/>
                <w:szCs w:val="24"/>
                <w:highlight w:val="none"/>
              </w:rPr>
            </w:pPr>
          </w:p>
        </w:tc>
        <w:tc>
          <w:tcPr>
            <w:tcW w:w="780" w:type="dxa"/>
            <w:tcBorders>
              <w:top w:val="single" w:color="auto" w:sz="4" w:space="0"/>
              <w:left w:val="single" w:color="auto" w:sz="4" w:space="0"/>
              <w:bottom w:val="single" w:color="auto" w:sz="4" w:space="0"/>
              <w:right w:val="single" w:color="auto" w:sz="4" w:space="0"/>
            </w:tcBorders>
            <w:noWrap w:val="0"/>
            <w:vAlign w:val="top"/>
          </w:tcPr>
          <w:p w14:paraId="557E7D14">
            <w:pPr>
              <w:shd w:val="clear" w:color="auto" w:fill="auto"/>
              <w:spacing w:line="440" w:lineRule="exact"/>
              <w:ind w:firstLine="482"/>
              <w:jc w:val="center"/>
              <w:rPr>
                <w:rFonts w:ascii="宋体" w:hAnsi="宋体"/>
                <w:color w:val="auto"/>
                <w:sz w:val="24"/>
                <w:szCs w:val="24"/>
                <w:highlight w:val="none"/>
              </w:rPr>
            </w:pPr>
          </w:p>
        </w:tc>
        <w:tc>
          <w:tcPr>
            <w:tcW w:w="851" w:type="dxa"/>
            <w:tcBorders>
              <w:top w:val="single" w:color="auto" w:sz="4" w:space="0"/>
              <w:left w:val="single" w:color="auto" w:sz="4" w:space="0"/>
              <w:bottom w:val="single" w:color="auto" w:sz="4" w:space="0"/>
              <w:right w:val="single" w:color="auto" w:sz="4" w:space="0"/>
            </w:tcBorders>
            <w:noWrap w:val="0"/>
            <w:vAlign w:val="top"/>
          </w:tcPr>
          <w:p w14:paraId="4BAC54FA">
            <w:pPr>
              <w:shd w:val="clear" w:color="auto" w:fill="auto"/>
              <w:spacing w:line="440" w:lineRule="exact"/>
              <w:ind w:firstLine="482"/>
              <w:jc w:val="center"/>
              <w:rPr>
                <w:rFonts w:ascii="宋体" w:hAnsi="宋体"/>
                <w:color w:val="auto"/>
                <w:sz w:val="24"/>
                <w:szCs w:val="24"/>
                <w:highlight w:val="none"/>
              </w:rPr>
            </w:pPr>
          </w:p>
        </w:tc>
        <w:tc>
          <w:tcPr>
            <w:tcW w:w="850" w:type="dxa"/>
            <w:tcBorders>
              <w:top w:val="single" w:color="auto" w:sz="4" w:space="0"/>
              <w:left w:val="single" w:color="auto" w:sz="4" w:space="0"/>
              <w:bottom w:val="single" w:color="auto" w:sz="4" w:space="0"/>
              <w:right w:val="single" w:color="auto" w:sz="4" w:space="0"/>
            </w:tcBorders>
            <w:noWrap w:val="0"/>
            <w:vAlign w:val="top"/>
          </w:tcPr>
          <w:p w14:paraId="5C7CC207">
            <w:pPr>
              <w:shd w:val="clear" w:color="auto" w:fill="auto"/>
              <w:spacing w:line="440" w:lineRule="exact"/>
              <w:ind w:firstLine="482"/>
              <w:jc w:val="center"/>
              <w:rPr>
                <w:rFonts w:ascii="宋体" w:hAnsi="宋体"/>
                <w:color w:val="auto"/>
                <w:sz w:val="24"/>
                <w:szCs w:val="24"/>
                <w:highlight w:val="none"/>
              </w:rPr>
            </w:pPr>
          </w:p>
        </w:tc>
        <w:tc>
          <w:tcPr>
            <w:tcW w:w="1028" w:type="dxa"/>
            <w:tcBorders>
              <w:top w:val="single" w:color="auto" w:sz="4" w:space="0"/>
              <w:left w:val="single" w:color="auto" w:sz="4" w:space="0"/>
              <w:bottom w:val="single" w:color="auto" w:sz="4" w:space="0"/>
              <w:right w:val="single" w:color="auto" w:sz="4" w:space="0"/>
            </w:tcBorders>
            <w:noWrap w:val="0"/>
            <w:vAlign w:val="top"/>
          </w:tcPr>
          <w:p w14:paraId="569957F7">
            <w:pPr>
              <w:shd w:val="clear" w:color="auto" w:fill="auto"/>
              <w:spacing w:line="440" w:lineRule="exact"/>
              <w:ind w:firstLine="482"/>
              <w:jc w:val="center"/>
              <w:rPr>
                <w:rFonts w:ascii="宋体" w:hAnsi="宋体"/>
                <w:color w:val="auto"/>
                <w:sz w:val="24"/>
                <w:szCs w:val="24"/>
                <w:highlight w:val="none"/>
              </w:rPr>
            </w:pPr>
          </w:p>
        </w:tc>
        <w:tc>
          <w:tcPr>
            <w:tcW w:w="865" w:type="dxa"/>
            <w:tcBorders>
              <w:top w:val="single" w:color="auto" w:sz="4" w:space="0"/>
              <w:left w:val="single" w:color="auto" w:sz="4" w:space="0"/>
              <w:bottom w:val="single" w:color="auto" w:sz="4" w:space="0"/>
              <w:right w:val="single" w:color="auto" w:sz="4" w:space="0"/>
            </w:tcBorders>
            <w:noWrap w:val="0"/>
            <w:vAlign w:val="top"/>
          </w:tcPr>
          <w:p w14:paraId="7AD79B0D">
            <w:pPr>
              <w:shd w:val="clear" w:color="auto" w:fill="auto"/>
              <w:spacing w:line="440" w:lineRule="exact"/>
              <w:ind w:firstLine="482"/>
              <w:jc w:val="center"/>
              <w:rPr>
                <w:rFonts w:ascii="宋体" w:hAnsi="宋体"/>
                <w:color w:val="auto"/>
                <w:sz w:val="24"/>
                <w:szCs w:val="24"/>
                <w:highlight w:val="none"/>
              </w:rPr>
            </w:pPr>
          </w:p>
        </w:tc>
        <w:tc>
          <w:tcPr>
            <w:tcW w:w="1085" w:type="dxa"/>
            <w:tcBorders>
              <w:top w:val="single" w:color="auto" w:sz="4" w:space="0"/>
              <w:left w:val="single" w:color="auto" w:sz="4" w:space="0"/>
              <w:bottom w:val="single" w:color="auto" w:sz="4" w:space="0"/>
              <w:right w:val="single" w:color="auto" w:sz="4" w:space="0"/>
            </w:tcBorders>
            <w:noWrap w:val="0"/>
            <w:vAlign w:val="top"/>
          </w:tcPr>
          <w:p w14:paraId="28242B57">
            <w:pPr>
              <w:shd w:val="clear" w:color="auto" w:fill="auto"/>
              <w:spacing w:line="440" w:lineRule="exact"/>
              <w:ind w:firstLine="482"/>
              <w:jc w:val="center"/>
              <w:rPr>
                <w:rFonts w:ascii="宋体" w:hAnsi="宋体"/>
                <w:color w:val="auto"/>
                <w:sz w:val="24"/>
                <w:szCs w:val="24"/>
                <w:highlight w:val="none"/>
              </w:rPr>
            </w:pPr>
          </w:p>
        </w:tc>
        <w:tc>
          <w:tcPr>
            <w:tcW w:w="874" w:type="dxa"/>
            <w:tcBorders>
              <w:top w:val="single" w:color="auto" w:sz="4" w:space="0"/>
              <w:left w:val="single" w:color="auto" w:sz="4" w:space="0"/>
              <w:bottom w:val="single" w:color="auto" w:sz="4" w:space="0"/>
              <w:right w:val="single" w:color="auto" w:sz="4" w:space="0"/>
            </w:tcBorders>
            <w:noWrap w:val="0"/>
            <w:vAlign w:val="top"/>
          </w:tcPr>
          <w:p w14:paraId="0523B14D">
            <w:pPr>
              <w:shd w:val="clear" w:color="auto" w:fill="auto"/>
              <w:spacing w:line="440" w:lineRule="exact"/>
              <w:ind w:firstLine="482"/>
              <w:jc w:val="center"/>
              <w:rPr>
                <w:rFonts w:ascii="宋体" w:hAnsi="宋体"/>
                <w:color w:val="auto"/>
                <w:sz w:val="24"/>
                <w:szCs w:val="24"/>
                <w:highlight w:val="none"/>
              </w:rPr>
            </w:pPr>
          </w:p>
        </w:tc>
        <w:tc>
          <w:tcPr>
            <w:tcW w:w="1055" w:type="dxa"/>
            <w:tcBorders>
              <w:top w:val="single" w:color="auto" w:sz="4" w:space="0"/>
              <w:left w:val="single" w:color="auto" w:sz="4" w:space="0"/>
              <w:bottom w:val="single" w:color="auto" w:sz="4" w:space="0"/>
              <w:right w:val="single" w:color="auto" w:sz="4" w:space="0"/>
            </w:tcBorders>
            <w:noWrap w:val="0"/>
            <w:vAlign w:val="top"/>
          </w:tcPr>
          <w:p w14:paraId="483709B8">
            <w:pPr>
              <w:shd w:val="clear" w:color="auto" w:fill="auto"/>
              <w:spacing w:line="440" w:lineRule="exact"/>
              <w:ind w:firstLine="482"/>
              <w:jc w:val="center"/>
              <w:rPr>
                <w:rFonts w:ascii="宋体" w:hAnsi="宋体"/>
                <w:color w:val="auto"/>
                <w:sz w:val="24"/>
                <w:szCs w:val="24"/>
                <w:highlight w:val="none"/>
              </w:rPr>
            </w:pPr>
          </w:p>
        </w:tc>
        <w:tc>
          <w:tcPr>
            <w:tcW w:w="691" w:type="dxa"/>
            <w:tcBorders>
              <w:top w:val="single" w:color="auto" w:sz="4" w:space="0"/>
              <w:left w:val="single" w:color="auto" w:sz="4" w:space="0"/>
              <w:bottom w:val="single" w:color="auto" w:sz="4" w:space="0"/>
              <w:right w:val="single" w:color="auto" w:sz="4" w:space="0"/>
            </w:tcBorders>
            <w:noWrap w:val="0"/>
            <w:vAlign w:val="top"/>
          </w:tcPr>
          <w:p w14:paraId="2925BCFF">
            <w:pPr>
              <w:shd w:val="clear" w:color="auto" w:fill="auto"/>
              <w:spacing w:line="440" w:lineRule="exact"/>
              <w:ind w:firstLine="482"/>
              <w:jc w:val="center"/>
              <w:rPr>
                <w:rFonts w:ascii="宋体" w:hAnsi="宋体"/>
                <w:color w:val="auto"/>
                <w:sz w:val="24"/>
                <w:szCs w:val="24"/>
                <w:highlight w:val="none"/>
              </w:rPr>
            </w:pPr>
          </w:p>
        </w:tc>
      </w:tr>
    </w:tbl>
    <w:p w14:paraId="2826BB17">
      <w:pPr>
        <w:shd w:val="clear" w:color="auto" w:fill="auto"/>
        <w:spacing w:line="440" w:lineRule="exact"/>
        <w:ind w:firstLine="402"/>
        <w:rPr>
          <w:rFonts w:hint="eastAsia" w:ascii="宋体" w:hAnsi="宋体"/>
          <w:color w:val="auto"/>
          <w:sz w:val="20"/>
          <w:szCs w:val="20"/>
          <w:highlight w:val="none"/>
        </w:rPr>
      </w:pPr>
    </w:p>
    <w:p w14:paraId="04F87A38">
      <w:pPr>
        <w:shd w:val="clear" w:color="auto" w:fill="auto"/>
        <w:spacing w:line="440" w:lineRule="exact"/>
        <w:ind w:firstLine="402"/>
        <w:rPr>
          <w:rFonts w:hint="eastAsia" w:ascii="宋体" w:hAnsi="宋体"/>
          <w:color w:val="auto"/>
          <w:sz w:val="20"/>
          <w:szCs w:val="20"/>
          <w:highlight w:val="none"/>
        </w:rPr>
      </w:pPr>
    </w:p>
    <w:p w14:paraId="1D873316">
      <w:pPr>
        <w:pStyle w:val="3"/>
        <w:shd w:val="clear" w:color="auto" w:fill="auto"/>
        <w:ind w:firstLine="640"/>
        <w:rPr>
          <w:rFonts w:hint="eastAsia" w:ascii="宋体" w:hAnsi="宋体"/>
          <w:color w:val="auto"/>
          <w:highlight w:val="none"/>
        </w:rPr>
      </w:pPr>
      <w:bookmarkStart w:id="1447" w:name="_Toc247085884"/>
      <w:bookmarkStart w:id="1448" w:name="_Toc246997109"/>
      <w:bookmarkStart w:id="1449" w:name="_Toc152042588"/>
      <w:bookmarkStart w:id="1450" w:name="_Toc296602611"/>
      <w:bookmarkStart w:id="1451" w:name="_Toc144974867"/>
      <w:bookmarkStart w:id="1452" w:name="_Toc77586974"/>
      <w:bookmarkStart w:id="1453" w:name="_Toc179632819"/>
      <w:bookmarkStart w:id="1454" w:name="_Toc246996366"/>
      <w:bookmarkStart w:id="1455" w:name="_Toc24553"/>
      <w:bookmarkStart w:id="1456" w:name="_Toc152045799"/>
      <w:bookmarkStart w:id="1457" w:name="_Toc24720"/>
      <w:bookmarkStart w:id="1458" w:name="_Toc77586876"/>
      <w:r>
        <w:rPr>
          <w:rFonts w:hint="eastAsia" w:ascii="宋体" w:hAnsi="宋体"/>
          <w:color w:val="auto"/>
          <w:highlight w:val="none"/>
        </w:rPr>
        <w:br w:type="page"/>
      </w:r>
      <w:r>
        <w:rPr>
          <w:rFonts w:hint="eastAsia" w:ascii="宋体" w:hAnsi="宋体"/>
          <w:color w:val="auto"/>
          <w:highlight w:val="none"/>
        </w:rPr>
        <w:t>附表二：劳动力计划表</w:t>
      </w:r>
      <w:bookmarkEnd w:id="1447"/>
      <w:bookmarkEnd w:id="1448"/>
      <w:bookmarkEnd w:id="1449"/>
      <w:bookmarkEnd w:id="1450"/>
      <w:bookmarkEnd w:id="1451"/>
      <w:bookmarkEnd w:id="1452"/>
      <w:bookmarkEnd w:id="1453"/>
      <w:bookmarkEnd w:id="1454"/>
      <w:bookmarkEnd w:id="1455"/>
      <w:bookmarkEnd w:id="1456"/>
      <w:bookmarkEnd w:id="1457"/>
      <w:bookmarkEnd w:id="1458"/>
    </w:p>
    <w:p w14:paraId="284B39BB">
      <w:pPr>
        <w:shd w:val="clear" w:color="auto" w:fill="auto"/>
        <w:spacing w:line="440" w:lineRule="exact"/>
        <w:ind w:right="200" w:firstLine="482"/>
        <w:jc w:val="right"/>
        <w:rPr>
          <w:rFonts w:hint="eastAsia" w:ascii="宋体" w:hAnsi="宋体"/>
          <w:color w:val="auto"/>
          <w:sz w:val="24"/>
          <w:highlight w:val="none"/>
        </w:rPr>
      </w:pPr>
      <w:r>
        <w:rPr>
          <w:rFonts w:hint="eastAsia" w:ascii="宋体" w:hAnsi="宋体"/>
          <w:color w:val="auto"/>
          <w:sz w:val="24"/>
          <w:highlight w:val="none"/>
        </w:rPr>
        <w:t>单位：人</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1304"/>
        <w:gridCol w:w="1065"/>
        <w:gridCol w:w="1065"/>
        <w:gridCol w:w="1065"/>
        <w:gridCol w:w="1065"/>
        <w:gridCol w:w="1065"/>
        <w:gridCol w:w="1064"/>
      </w:tblGrid>
      <w:tr w14:paraId="181895F9">
        <w:tblPrEx>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3FFD8B06">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工种</w:t>
            </w:r>
          </w:p>
        </w:tc>
        <w:tc>
          <w:tcPr>
            <w:tcW w:w="7693" w:type="dxa"/>
            <w:gridSpan w:val="7"/>
            <w:tcBorders>
              <w:top w:val="single" w:color="auto" w:sz="4" w:space="0"/>
              <w:left w:val="single" w:color="auto" w:sz="4" w:space="0"/>
              <w:bottom w:val="single" w:color="auto" w:sz="4" w:space="0"/>
              <w:right w:val="single" w:color="auto" w:sz="4" w:space="0"/>
            </w:tcBorders>
            <w:noWrap w:val="0"/>
            <w:vAlign w:val="center"/>
          </w:tcPr>
          <w:p w14:paraId="2D5A9B6A">
            <w:pPr>
              <w:shd w:val="clear" w:color="auto" w:fill="auto"/>
              <w:spacing w:line="440" w:lineRule="exact"/>
              <w:jc w:val="left"/>
              <w:rPr>
                <w:rFonts w:hint="eastAsia" w:ascii="宋体" w:hAnsi="宋体"/>
                <w:color w:val="auto"/>
                <w:sz w:val="24"/>
                <w:szCs w:val="24"/>
                <w:highlight w:val="none"/>
              </w:rPr>
            </w:pPr>
            <w:r>
              <w:rPr>
                <w:rFonts w:hint="eastAsia" w:ascii="宋体" w:hAnsi="宋体"/>
                <w:color w:val="auto"/>
                <w:sz w:val="24"/>
                <w:szCs w:val="24"/>
                <w:highlight w:val="none"/>
              </w:rPr>
              <w:t>按工程施工阶段投入劳动力情况</w:t>
            </w:r>
          </w:p>
        </w:tc>
      </w:tr>
      <w:tr w14:paraId="1B07B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70C69705">
            <w:pPr>
              <w:shd w:val="clear" w:color="auto" w:fill="auto"/>
              <w:spacing w:line="440" w:lineRule="exact"/>
              <w:ind w:firstLine="482"/>
              <w:jc w:val="center"/>
              <w:rPr>
                <w:rFonts w:ascii="宋体" w:hAnsi="宋体"/>
                <w:color w:val="auto"/>
                <w:sz w:val="24"/>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3F325DFC">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137C946">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24D66AA">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6DABE954">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087BB37">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F8F018F">
            <w:pPr>
              <w:shd w:val="clear" w:color="auto" w:fill="auto"/>
              <w:spacing w:line="440" w:lineRule="exact"/>
              <w:ind w:firstLine="482"/>
              <w:jc w:val="center"/>
              <w:rPr>
                <w:rFonts w:ascii="宋体" w:hAnsi="宋体"/>
                <w:color w:val="auto"/>
                <w:sz w:val="24"/>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3AADA3A2">
            <w:pPr>
              <w:shd w:val="clear" w:color="auto" w:fill="auto"/>
              <w:spacing w:line="440" w:lineRule="exact"/>
              <w:ind w:firstLine="482"/>
              <w:jc w:val="center"/>
              <w:rPr>
                <w:rFonts w:ascii="宋体" w:hAnsi="宋体"/>
                <w:color w:val="auto"/>
                <w:sz w:val="24"/>
                <w:highlight w:val="none"/>
              </w:rPr>
            </w:pPr>
          </w:p>
        </w:tc>
      </w:tr>
      <w:tr w14:paraId="6927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center"/>
          </w:tcPr>
          <w:p w14:paraId="1F77ED7F">
            <w:pPr>
              <w:shd w:val="clear" w:color="auto" w:fill="auto"/>
              <w:spacing w:line="440" w:lineRule="exact"/>
              <w:ind w:firstLine="482"/>
              <w:jc w:val="center"/>
              <w:rPr>
                <w:rFonts w:ascii="宋体" w:hAnsi="宋体"/>
                <w:color w:val="auto"/>
                <w:sz w:val="24"/>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center"/>
          </w:tcPr>
          <w:p w14:paraId="43A357E7">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329DDAC">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37EBE433">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50531957">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13B0C960">
            <w:pPr>
              <w:shd w:val="clear" w:color="auto" w:fill="auto"/>
              <w:spacing w:line="440" w:lineRule="exact"/>
              <w:ind w:firstLine="482"/>
              <w:jc w:val="center"/>
              <w:rPr>
                <w:rFonts w:ascii="宋体" w:hAnsi="宋体"/>
                <w:color w:val="auto"/>
                <w:sz w:val="24"/>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center"/>
          </w:tcPr>
          <w:p w14:paraId="7D845885">
            <w:pPr>
              <w:shd w:val="clear" w:color="auto" w:fill="auto"/>
              <w:spacing w:line="440" w:lineRule="exact"/>
              <w:ind w:firstLine="482"/>
              <w:jc w:val="center"/>
              <w:rPr>
                <w:rFonts w:ascii="宋体" w:hAnsi="宋体"/>
                <w:color w:val="auto"/>
                <w:sz w:val="24"/>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center"/>
          </w:tcPr>
          <w:p w14:paraId="6B85EE35">
            <w:pPr>
              <w:shd w:val="clear" w:color="auto" w:fill="auto"/>
              <w:spacing w:line="440" w:lineRule="exact"/>
              <w:ind w:firstLine="482"/>
              <w:jc w:val="center"/>
              <w:rPr>
                <w:rFonts w:ascii="宋体" w:hAnsi="宋体"/>
                <w:color w:val="auto"/>
                <w:sz w:val="24"/>
                <w:highlight w:val="none"/>
              </w:rPr>
            </w:pPr>
          </w:p>
        </w:tc>
      </w:tr>
      <w:tr w14:paraId="4B0CD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603A99E">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F208CA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CAEC3A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FDD014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032577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0534E4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965EC15">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F00BCA5">
            <w:pPr>
              <w:shd w:val="clear" w:color="auto" w:fill="auto"/>
              <w:spacing w:line="440" w:lineRule="exact"/>
              <w:ind w:firstLine="482"/>
              <w:jc w:val="center"/>
              <w:rPr>
                <w:rFonts w:ascii="宋体" w:hAnsi="宋体"/>
                <w:color w:val="auto"/>
                <w:highlight w:val="none"/>
              </w:rPr>
            </w:pPr>
          </w:p>
        </w:tc>
      </w:tr>
      <w:tr w14:paraId="757B0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3AC2323">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06282D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1EE7F1A">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F9179A0">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CBC692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0DDCA4A">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E420BE4">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26ABE7C">
            <w:pPr>
              <w:shd w:val="clear" w:color="auto" w:fill="auto"/>
              <w:spacing w:line="440" w:lineRule="exact"/>
              <w:ind w:firstLine="482"/>
              <w:jc w:val="center"/>
              <w:rPr>
                <w:rFonts w:ascii="宋体" w:hAnsi="宋体"/>
                <w:color w:val="auto"/>
                <w:highlight w:val="none"/>
              </w:rPr>
            </w:pPr>
          </w:p>
        </w:tc>
      </w:tr>
      <w:tr w14:paraId="58AF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3957AF9">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3DA3C96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92BFA8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60F81A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7DD2529">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C24199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5D0D8F5">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EDB8969">
            <w:pPr>
              <w:shd w:val="clear" w:color="auto" w:fill="auto"/>
              <w:spacing w:line="440" w:lineRule="exact"/>
              <w:ind w:firstLine="482"/>
              <w:jc w:val="center"/>
              <w:rPr>
                <w:rFonts w:ascii="宋体" w:hAnsi="宋体"/>
                <w:color w:val="auto"/>
                <w:highlight w:val="none"/>
              </w:rPr>
            </w:pPr>
          </w:p>
        </w:tc>
      </w:tr>
      <w:tr w14:paraId="5F663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48A686C">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ECD648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C7B404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2A31C3D">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2B5C3F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AB77A4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641625A">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CFB9E8E">
            <w:pPr>
              <w:shd w:val="clear" w:color="auto" w:fill="auto"/>
              <w:spacing w:line="440" w:lineRule="exact"/>
              <w:ind w:firstLine="482"/>
              <w:jc w:val="center"/>
              <w:rPr>
                <w:rFonts w:ascii="宋体" w:hAnsi="宋体"/>
                <w:color w:val="auto"/>
                <w:highlight w:val="none"/>
              </w:rPr>
            </w:pPr>
          </w:p>
        </w:tc>
      </w:tr>
      <w:tr w14:paraId="49F4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92B626C">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7300B80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F7429D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FD6611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9DF940A">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0F5E0F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4DA58D0">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E3D0124">
            <w:pPr>
              <w:shd w:val="clear" w:color="auto" w:fill="auto"/>
              <w:spacing w:line="440" w:lineRule="exact"/>
              <w:ind w:firstLine="482"/>
              <w:jc w:val="center"/>
              <w:rPr>
                <w:rFonts w:ascii="宋体" w:hAnsi="宋体"/>
                <w:color w:val="auto"/>
                <w:highlight w:val="none"/>
              </w:rPr>
            </w:pPr>
          </w:p>
        </w:tc>
      </w:tr>
      <w:tr w14:paraId="179C8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4348302">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08834E2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171A02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43443DA">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596B91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67C6C5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108A1A6">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373E4F4">
            <w:pPr>
              <w:shd w:val="clear" w:color="auto" w:fill="auto"/>
              <w:spacing w:line="440" w:lineRule="exact"/>
              <w:ind w:firstLine="482"/>
              <w:jc w:val="center"/>
              <w:rPr>
                <w:rFonts w:ascii="宋体" w:hAnsi="宋体"/>
                <w:color w:val="auto"/>
                <w:highlight w:val="none"/>
              </w:rPr>
            </w:pPr>
          </w:p>
        </w:tc>
      </w:tr>
      <w:tr w14:paraId="7CD3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4D7B9D5">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374E65CC">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AB8EF1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6228CF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1559239">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06D31A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F2C1970">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224BB982">
            <w:pPr>
              <w:shd w:val="clear" w:color="auto" w:fill="auto"/>
              <w:spacing w:line="440" w:lineRule="exact"/>
              <w:ind w:firstLine="482"/>
              <w:jc w:val="center"/>
              <w:rPr>
                <w:rFonts w:ascii="宋体" w:hAnsi="宋体"/>
                <w:color w:val="auto"/>
                <w:highlight w:val="none"/>
              </w:rPr>
            </w:pPr>
          </w:p>
        </w:tc>
      </w:tr>
      <w:tr w14:paraId="61591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6C422E4">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A9BFD6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ED2116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5E1CF8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C9E4EC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290D21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1F5064D">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A184654">
            <w:pPr>
              <w:shd w:val="clear" w:color="auto" w:fill="auto"/>
              <w:spacing w:line="440" w:lineRule="exact"/>
              <w:ind w:firstLine="482"/>
              <w:jc w:val="center"/>
              <w:rPr>
                <w:rFonts w:ascii="宋体" w:hAnsi="宋体"/>
                <w:color w:val="auto"/>
                <w:highlight w:val="none"/>
              </w:rPr>
            </w:pPr>
          </w:p>
        </w:tc>
      </w:tr>
      <w:tr w14:paraId="16E6A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32A2AE0">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AA5F72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A07D8E2">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DF1FB9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CB05F8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86853A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1FE142E">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D9B2AC6">
            <w:pPr>
              <w:shd w:val="clear" w:color="auto" w:fill="auto"/>
              <w:spacing w:line="440" w:lineRule="exact"/>
              <w:ind w:firstLine="482"/>
              <w:jc w:val="center"/>
              <w:rPr>
                <w:rFonts w:ascii="宋体" w:hAnsi="宋体"/>
                <w:color w:val="auto"/>
                <w:highlight w:val="none"/>
              </w:rPr>
            </w:pPr>
          </w:p>
        </w:tc>
      </w:tr>
      <w:tr w14:paraId="20FF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371A02DB">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4ABACD9">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023C7A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E08BD77">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DBF323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70FA75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27F59F3">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6C549E3">
            <w:pPr>
              <w:shd w:val="clear" w:color="auto" w:fill="auto"/>
              <w:spacing w:line="440" w:lineRule="exact"/>
              <w:ind w:firstLine="482"/>
              <w:jc w:val="center"/>
              <w:rPr>
                <w:rFonts w:ascii="宋体" w:hAnsi="宋体"/>
                <w:color w:val="auto"/>
                <w:highlight w:val="none"/>
              </w:rPr>
            </w:pPr>
          </w:p>
        </w:tc>
      </w:tr>
      <w:tr w14:paraId="26B85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5BEB045">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02F14EE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8101DA2">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CF15230">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172173D">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C5EF2C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A447408">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C0B3C85">
            <w:pPr>
              <w:shd w:val="clear" w:color="auto" w:fill="auto"/>
              <w:spacing w:line="440" w:lineRule="exact"/>
              <w:ind w:firstLine="482"/>
              <w:jc w:val="center"/>
              <w:rPr>
                <w:rFonts w:ascii="宋体" w:hAnsi="宋体"/>
                <w:color w:val="auto"/>
                <w:highlight w:val="none"/>
              </w:rPr>
            </w:pPr>
          </w:p>
        </w:tc>
      </w:tr>
      <w:tr w14:paraId="148B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DAE0692">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5479985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064405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F74C42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9F49B2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FDDBCB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2E39FAD">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083CB97F">
            <w:pPr>
              <w:shd w:val="clear" w:color="auto" w:fill="auto"/>
              <w:spacing w:line="440" w:lineRule="exact"/>
              <w:ind w:firstLine="482"/>
              <w:jc w:val="center"/>
              <w:rPr>
                <w:rFonts w:ascii="宋体" w:hAnsi="宋体"/>
                <w:color w:val="auto"/>
                <w:highlight w:val="none"/>
              </w:rPr>
            </w:pPr>
          </w:p>
        </w:tc>
      </w:tr>
      <w:tr w14:paraId="4312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43FA40D">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993D200">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70ABE9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A7D3E0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AC34ABA">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6A14F67">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EFBA679">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B2C337F">
            <w:pPr>
              <w:shd w:val="clear" w:color="auto" w:fill="auto"/>
              <w:spacing w:line="440" w:lineRule="exact"/>
              <w:ind w:firstLine="482"/>
              <w:jc w:val="center"/>
              <w:rPr>
                <w:rFonts w:ascii="宋体" w:hAnsi="宋体"/>
                <w:color w:val="auto"/>
                <w:highlight w:val="none"/>
              </w:rPr>
            </w:pPr>
          </w:p>
        </w:tc>
      </w:tr>
      <w:tr w14:paraId="0A6E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21F695CA">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6DFBA93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9DB1C3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FB1D53C">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1D72C1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CBB87A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4631C6B">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1624E0F">
            <w:pPr>
              <w:shd w:val="clear" w:color="auto" w:fill="auto"/>
              <w:spacing w:line="440" w:lineRule="exact"/>
              <w:ind w:firstLine="482"/>
              <w:jc w:val="center"/>
              <w:rPr>
                <w:rFonts w:ascii="宋体" w:hAnsi="宋体"/>
                <w:color w:val="auto"/>
                <w:highlight w:val="none"/>
              </w:rPr>
            </w:pPr>
          </w:p>
        </w:tc>
      </w:tr>
      <w:tr w14:paraId="17FD4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018821D3">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16337B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C57332D">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C5C28E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B145A2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0A1093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A36A54E">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CD57CCC">
            <w:pPr>
              <w:shd w:val="clear" w:color="auto" w:fill="auto"/>
              <w:spacing w:line="440" w:lineRule="exact"/>
              <w:ind w:firstLine="482"/>
              <w:jc w:val="center"/>
              <w:rPr>
                <w:rFonts w:ascii="宋体" w:hAnsi="宋体"/>
                <w:color w:val="auto"/>
                <w:highlight w:val="none"/>
              </w:rPr>
            </w:pPr>
          </w:p>
        </w:tc>
      </w:tr>
      <w:tr w14:paraId="1B602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F28F7A7">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4288E90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3F3910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797E877">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5E36BC0">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36A4CB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ADF6C28">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5C24AD2">
            <w:pPr>
              <w:shd w:val="clear" w:color="auto" w:fill="auto"/>
              <w:spacing w:line="440" w:lineRule="exact"/>
              <w:ind w:firstLine="482"/>
              <w:jc w:val="center"/>
              <w:rPr>
                <w:rFonts w:ascii="宋体" w:hAnsi="宋体"/>
                <w:color w:val="auto"/>
                <w:highlight w:val="none"/>
              </w:rPr>
            </w:pPr>
          </w:p>
        </w:tc>
      </w:tr>
      <w:tr w14:paraId="26A17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E664CF7">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360034AD">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41F3BE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EBD0949">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93CC63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4BF637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8218C6C">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540D6067">
            <w:pPr>
              <w:shd w:val="clear" w:color="auto" w:fill="auto"/>
              <w:spacing w:line="440" w:lineRule="exact"/>
              <w:ind w:firstLine="482"/>
              <w:jc w:val="center"/>
              <w:rPr>
                <w:rFonts w:ascii="宋体" w:hAnsi="宋体"/>
                <w:color w:val="auto"/>
                <w:highlight w:val="none"/>
              </w:rPr>
            </w:pPr>
          </w:p>
        </w:tc>
      </w:tr>
      <w:tr w14:paraId="3C59C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52F6765D">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2333207">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D668F6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6F222D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0D1A44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B61C5F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6BF3EC8">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683D09EB">
            <w:pPr>
              <w:shd w:val="clear" w:color="auto" w:fill="auto"/>
              <w:spacing w:line="440" w:lineRule="exact"/>
              <w:ind w:firstLine="482"/>
              <w:jc w:val="center"/>
              <w:rPr>
                <w:rFonts w:ascii="宋体" w:hAnsi="宋体"/>
                <w:color w:val="auto"/>
                <w:highlight w:val="none"/>
              </w:rPr>
            </w:pPr>
          </w:p>
        </w:tc>
      </w:tr>
      <w:tr w14:paraId="6752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64AC179">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19648170">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F927D64">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151AB39">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0C27878">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23A5EBD">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3699D15">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12884E9D">
            <w:pPr>
              <w:shd w:val="clear" w:color="auto" w:fill="auto"/>
              <w:spacing w:line="440" w:lineRule="exact"/>
              <w:ind w:firstLine="482"/>
              <w:jc w:val="center"/>
              <w:rPr>
                <w:rFonts w:ascii="宋体" w:hAnsi="宋体"/>
                <w:color w:val="auto"/>
                <w:highlight w:val="none"/>
              </w:rPr>
            </w:pPr>
          </w:p>
        </w:tc>
      </w:tr>
      <w:tr w14:paraId="4867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6ACC4D40">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261527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02189A3">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93C343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CB91631">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71BB60C">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0952AF9B">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8876943">
            <w:pPr>
              <w:shd w:val="clear" w:color="auto" w:fill="auto"/>
              <w:spacing w:line="440" w:lineRule="exact"/>
              <w:ind w:firstLine="482"/>
              <w:jc w:val="center"/>
              <w:rPr>
                <w:rFonts w:ascii="宋体" w:hAnsi="宋体"/>
                <w:color w:val="auto"/>
                <w:highlight w:val="none"/>
              </w:rPr>
            </w:pPr>
          </w:p>
        </w:tc>
      </w:tr>
      <w:tr w14:paraId="6074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1D39EE4B">
            <w:pPr>
              <w:shd w:val="clear" w:color="auto" w:fill="auto"/>
              <w:spacing w:line="440" w:lineRule="exact"/>
              <w:ind w:firstLine="482"/>
              <w:jc w:val="center"/>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2D255E2E">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8433E77">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6DA75F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7284591B">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F7A548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299E3B47">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43A0E040">
            <w:pPr>
              <w:shd w:val="clear" w:color="auto" w:fill="auto"/>
              <w:spacing w:line="440" w:lineRule="exact"/>
              <w:ind w:firstLine="482"/>
              <w:jc w:val="center"/>
              <w:rPr>
                <w:rFonts w:ascii="宋体" w:hAnsi="宋体"/>
                <w:color w:val="auto"/>
                <w:highlight w:val="none"/>
              </w:rPr>
            </w:pPr>
          </w:p>
        </w:tc>
      </w:tr>
      <w:tr w14:paraId="7C95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29" w:type="dxa"/>
            <w:tcBorders>
              <w:top w:val="single" w:color="auto" w:sz="4" w:space="0"/>
              <w:left w:val="single" w:color="auto" w:sz="4" w:space="0"/>
              <w:bottom w:val="single" w:color="auto" w:sz="4" w:space="0"/>
              <w:right w:val="single" w:color="auto" w:sz="4" w:space="0"/>
            </w:tcBorders>
            <w:noWrap w:val="0"/>
            <w:vAlign w:val="top"/>
          </w:tcPr>
          <w:p w14:paraId="472BAFEE">
            <w:pPr>
              <w:shd w:val="clear" w:color="auto" w:fill="auto"/>
              <w:spacing w:line="440" w:lineRule="exact"/>
              <w:ind w:firstLine="482"/>
              <w:rPr>
                <w:rFonts w:ascii="宋体" w:hAnsi="宋体"/>
                <w:color w:val="auto"/>
                <w:highlight w:val="none"/>
              </w:rPr>
            </w:pPr>
          </w:p>
        </w:tc>
        <w:tc>
          <w:tcPr>
            <w:tcW w:w="1304" w:type="dxa"/>
            <w:tcBorders>
              <w:top w:val="single" w:color="auto" w:sz="4" w:space="0"/>
              <w:left w:val="single" w:color="auto" w:sz="4" w:space="0"/>
              <w:bottom w:val="single" w:color="auto" w:sz="4" w:space="0"/>
              <w:right w:val="single" w:color="auto" w:sz="4" w:space="0"/>
            </w:tcBorders>
            <w:noWrap w:val="0"/>
            <w:vAlign w:val="top"/>
          </w:tcPr>
          <w:p w14:paraId="01F831A2">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3E5FCDF6">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47E3F26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14B492EF">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6ADF1965">
            <w:pPr>
              <w:shd w:val="clear" w:color="auto" w:fill="auto"/>
              <w:spacing w:line="440" w:lineRule="exact"/>
              <w:ind w:firstLine="482"/>
              <w:jc w:val="center"/>
              <w:rPr>
                <w:rFonts w:ascii="宋体" w:hAnsi="宋体"/>
                <w:color w:val="auto"/>
                <w:highlight w:val="none"/>
              </w:rPr>
            </w:pPr>
          </w:p>
        </w:tc>
        <w:tc>
          <w:tcPr>
            <w:tcW w:w="1065" w:type="dxa"/>
            <w:tcBorders>
              <w:top w:val="single" w:color="auto" w:sz="4" w:space="0"/>
              <w:left w:val="single" w:color="auto" w:sz="4" w:space="0"/>
              <w:bottom w:val="single" w:color="auto" w:sz="4" w:space="0"/>
              <w:right w:val="single" w:color="auto" w:sz="4" w:space="0"/>
            </w:tcBorders>
            <w:noWrap w:val="0"/>
            <w:vAlign w:val="top"/>
          </w:tcPr>
          <w:p w14:paraId="5A70541C">
            <w:pPr>
              <w:shd w:val="clear" w:color="auto" w:fill="auto"/>
              <w:spacing w:line="440" w:lineRule="exact"/>
              <w:ind w:firstLine="482"/>
              <w:jc w:val="center"/>
              <w:rPr>
                <w:rFonts w:ascii="宋体" w:hAnsi="宋体"/>
                <w:color w:val="auto"/>
                <w:highlight w:val="none"/>
              </w:rPr>
            </w:pPr>
          </w:p>
        </w:tc>
        <w:tc>
          <w:tcPr>
            <w:tcW w:w="1064" w:type="dxa"/>
            <w:tcBorders>
              <w:top w:val="single" w:color="auto" w:sz="4" w:space="0"/>
              <w:left w:val="single" w:color="auto" w:sz="4" w:space="0"/>
              <w:bottom w:val="single" w:color="auto" w:sz="4" w:space="0"/>
              <w:right w:val="single" w:color="auto" w:sz="4" w:space="0"/>
            </w:tcBorders>
            <w:noWrap w:val="0"/>
            <w:vAlign w:val="top"/>
          </w:tcPr>
          <w:p w14:paraId="70C957BB">
            <w:pPr>
              <w:shd w:val="clear" w:color="auto" w:fill="auto"/>
              <w:spacing w:line="440" w:lineRule="exact"/>
              <w:ind w:firstLine="482"/>
              <w:jc w:val="center"/>
              <w:rPr>
                <w:rFonts w:ascii="宋体" w:hAnsi="宋体"/>
                <w:color w:val="auto"/>
                <w:highlight w:val="none"/>
              </w:rPr>
            </w:pPr>
          </w:p>
        </w:tc>
      </w:tr>
    </w:tbl>
    <w:p w14:paraId="0E1E43C9">
      <w:pPr>
        <w:pStyle w:val="7"/>
        <w:shd w:val="clear" w:color="auto" w:fill="auto"/>
        <w:ind w:firstLine="402"/>
        <w:rPr>
          <w:rFonts w:hint="eastAsia" w:ascii="宋体" w:hAnsi="宋体"/>
          <w:b/>
          <w:color w:val="auto"/>
          <w:sz w:val="32"/>
          <w:szCs w:val="32"/>
          <w:highlight w:val="none"/>
        </w:rPr>
      </w:pPr>
      <w:bookmarkStart w:id="1459" w:name="_Toc179632820"/>
      <w:bookmarkStart w:id="1460" w:name="_Toc144974868"/>
      <w:bookmarkStart w:id="1461" w:name="_Toc247085885"/>
      <w:bookmarkStart w:id="1462" w:name="_Toc296602612"/>
      <w:bookmarkStart w:id="1463" w:name="_Toc246997110"/>
      <w:bookmarkStart w:id="1464" w:name="_Toc152042589"/>
      <w:bookmarkStart w:id="1465" w:name="_Toc152045800"/>
      <w:bookmarkStart w:id="1466" w:name="_Toc246996367"/>
      <w:r>
        <w:rPr>
          <w:rFonts w:hint="eastAsia" w:ascii="宋体" w:hAnsi="宋体"/>
          <w:b/>
          <w:color w:val="auto"/>
          <w:sz w:val="32"/>
          <w:szCs w:val="32"/>
          <w:highlight w:val="none"/>
        </w:rPr>
        <w:br w:type="page"/>
      </w:r>
      <w:r>
        <w:rPr>
          <w:rFonts w:hint="eastAsia" w:ascii="宋体" w:hAnsi="宋体"/>
          <w:b/>
          <w:color w:val="auto"/>
          <w:sz w:val="32"/>
          <w:szCs w:val="32"/>
          <w:highlight w:val="none"/>
        </w:rPr>
        <w:t>附表三：进度计划</w:t>
      </w:r>
      <w:bookmarkEnd w:id="1459"/>
      <w:bookmarkEnd w:id="1460"/>
      <w:bookmarkEnd w:id="1461"/>
      <w:bookmarkEnd w:id="1462"/>
      <w:bookmarkEnd w:id="1463"/>
      <w:bookmarkEnd w:id="1464"/>
      <w:bookmarkEnd w:id="1465"/>
      <w:bookmarkEnd w:id="1466"/>
    </w:p>
    <w:p w14:paraId="6CF79281">
      <w:pPr>
        <w:shd w:val="clear" w:color="auto" w:fill="auto"/>
        <w:spacing w:line="440" w:lineRule="exact"/>
        <w:ind w:firstLine="402"/>
        <w:rPr>
          <w:rFonts w:hint="eastAsia" w:ascii="宋体" w:hAnsi="宋体"/>
          <w:color w:val="auto"/>
          <w:sz w:val="20"/>
          <w:szCs w:val="20"/>
          <w:highlight w:val="none"/>
        </w:rPr>
      </w:pPr>
    </w:p>
    <w:p w14:paraId="282B0E1D">
      <w:pPr>
        <w:shd w:val="clear" w:color="auto" w:fill="auto"/>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1. 投标人应递交施工进度网络图或施工进度表，说明按竞争性磋商文件要求的计划工期进行施工的各个关键日期。</w:t>
      </w:r>
    </w:p>
    <w:p w14:paraId="04E8A0F8">
      <w:pPr>
        <w:shd w:val="clear" w:color="auto" w:fill="auto"/>
        <w:spacing w:line="440" w:lineRule="exact"/>
        <w:ind w:firstLine="480" w:firstLineChars="200"/>
        <w:rPr>
          <w:rFonts w:hint="eastAsia" w:ascii="宋体" w:hAnsi="宋体"/>
          <w:color w:val="auto"/>
          <w:sz w:val="24"/>
          <w:highlight w:val="none"/>
        </w:rPr>
      </w:pPr>
      <w:r>
        <w:rPr>
          <w:rFonts w:hint="eastAsia" w:ascii="宋体" w:hAnsi="宋体"/>
          <w:color w:val="auto"/>
          <w:sz w:val="24"/>
          <w:highlight w:val="none"/>
        </w:rPr>
        <w:t>2. 施工进度表可采用网络图或横道图表示。</w:t>
      </w:r>
    </w:p>
    <w:p w14:paraId="29A22CF1">
      <w:pPr>
        <w:shd w:val="clear" w:color="auto" w:fill="auto"/>
        <w:spacing w:line="440" w:lineRule="exact"/>
        <w:ind w:firstLine="402"/>
        <w:rPr>
          <w:rFonts w:hint="eastAsia" w:ascii="宋体" w:hAnsi="宋体"/>
          <w:color w:val="auto"/>
          <w:sz w:val="20"/>
          <w:szCs w:val="20"/>
          <w:highlight w:val="none"/>
        </w:rPr>
      </w:pPr>
    </w:p>
    <w:p w14:paraId="030ABF45">
      <w:pPr>
        <w:shd w:val="clear" w:color="auto" w:fill="auto"/>
        <w:spacing w:line="440" w:lineRule="exact"/>
        <w:ind w:firstLine="640"/>
        <w:jc w:val="center"/>
        <w:rPr>
          <w:rFonts w:hint="eastAsia" w:ascii="宋体" w:hAnsi="宋体" w:cs="宋体"/>
          <w:b/>
          <w:color w:val="auto"/>
          <w:sz w:val="32"/>
          <w:szCs w:val="32"/>
          <w:highlight w:val="none"/>
        </w:rPr>
      </w:pPr>
    </w:p>
    <w:p w14:paraId="4913B2E6">
      <w:pPr>
        <w:pStyle w:val="13"/>
        <w:shd w:val="clear" w:color="auto" w:fill="auto"/>
        <w:ind w:firstLine="562"/>
        <w:rPr>
          <w:rFonts w:hint="eastAsia" w:ascii="宋体" w:hAnsi="宋体" w:eastAsia="宋体"/>
          <w:color w:val="auto"/>
          <w:highlight w:val="none"/>
        </w:rPr>
      </w:pPr>
    </w:p>
    <w:p w14:paraId="73617754">
      <w:pPr>
        <w:pStyle w:val="14"/>
        <w:shd w:val="clear" w:color="auto" w:fill="auto"/>
        <w:ind w:firstLine="402"/>
        <w:rPr>
          <w:rFonts w:hint="eastAsia" w:ascii="宋体" w:hAnsi="宋体" w:eastAsia="宋体"/>
          <w:color w:val="auto"/>
          <w:highlight w:val="none"/>
        </w:rPr>
      </w:pPr>
    </w:p>
    <w:p w14:paraId="13C78126">
      <w:pPr>
        <w:pStyle w:val="14"/>
        <w:shd w:val="clear" w:color="auto" w:fill="auto"/>
        <w:ind w:firstLine="402"/>
        <w:rPr>
          <w:rFonts w:hint="eastAsia" w:ascii="宋体" w:hAnsi="宋体" w:eastAsia="宋体"/>
          <w:color w:val="auto"/>
          <w:highlight w:val="none"/>
        </w:rPr>
      </w:pPr>
    </w:p>
    <w:p w14:paraId="70F653CC">
      <w:pPr>
        <w:pStyle w:val="14"/>
        <w:shd w:val="clear" w:color="auto" w:fill="auto"/>
        <w:ind w:firstLine="402"/>
        <w:rPr>
          <w:rFonts w:hint="eastAsia" w:ascii="宋体" w:hAnsi="宋体" w:eastAsia="宋体"/>
          <w:color w:val="auto"/>
          <w:highlight w:val="none"/>
        </w:rPr>
      </w:pPr>
    </w:p>
    <w:p w14:paraId="714C3CAE">
      <w:pPr>
        <w:shd w:val="clear" w:color="auto" w:fill="auto"/>
        <w:spacing w:line="440" w:lineRule="exact"/>
        <w:ind w:firstLine="64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七、项目管理机构</w:t>
      </w:r>
      <w:bookmarkEnd w:id="1427"/>
      <w:bookmarkEnd w:id="1428"/>
      <w:bookmarkEnd w:id="1429"/>
      <w:bookmarkEnd w:id="1430"/>
      <w:bookmarkEnd w:id="1431"/>
      <w:bookmarkEnd w:id="1432"/>
      <w:bookmarkEnd w:id="1433"/>
      <w:bookmarkEnd w:id="1434"/>
    </w:p>
    <w:p w14:paraId="224ABEFF">
      <w:pPr>
        <w:pStyle w:val="3"/>
        <w:shd w:val="clear" w:color="auto" w:fill="auto"/>
        <w:ind w:firstLine="640"/>
        <w:jc w:val="center"/>
        <w:rPr>
          <w:rFonts w:hint="eastAsia" w:ascii="宋体" w:hAnsi="宋体" w:cs="宋体"/>
          <w:color w:val="auto"/>
          <w:highlight w:val="none"/>
        </w:rPr>
      </w:pPr>
      <w:bookmarkStart w:id="1467" w:name="_Toc144974872"/>
      <w:bookmarkStart w:id="1468" w:name="_Toc247085888"/>
      <w:bookmarkStart w:id="1469" w:name="_Toc152045804"/>
      <w:bookmarkStart w:id="1470" w:name="_Toc246996370"/>
      <w:bookmarkStart w:id="1471" w:name="_Toc179632824"/>
      <w:bookmarkStart w:id="1472" w:name="_Toc296602615"/>
      <w:bookmarkStart w:id="1473" w:name="_Toc77586877"/>
      <w:bookmarkStart w:id="1474" w:name="_Toc9871"/>
      <w:bookmarkStart w:id="1475" w:name="_Toc3268"/>
      <w:bookmarkStart w:id="1476" w:name="_Toc246997113"/>
      <w:bookmarkStart w:id="1477" w:name="_Toc152042593"/>
      <w:bookmarkStart w:id="1478" w:name="_Toc77586975"/>
      <w:r>
        <w:rPr>
          <w:rFonts w:hint="eastAsia" w:ascii="宋体" w:hAnsi="宋体" w:cs="宋体"/>
          <w:color w:val="auto"/>
          <w:highlight w:val="none"/>
        </w:rPr>
        <w:t>（一）项目管理机构组成表</w:t>
      </w:r>
      <w:bookmarkEnd w:id="1467"/>
      <w:bookmarkEnd w:id="1468"/>
      <w:bookmarkEnd w:id="1469"/>
      <w:bookmarkEnd w:id="1470"/>
      <w:bookmarkEnd w:id="1471"/>
      <w:bookmarkEnd w:id="1472"/>
      <w:bookmarkEnd w:id="1473"/>
      <w:bookmarkEnd w:id="1474"/>
      <w:bookmarkEnd w:id="1475"/>
      <w:bookmarkEnd w:id="1476"/>
      <w:bookmarkEnd w:id="1477"/>
      <w:bookmarkEnd w:id="1478"/>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3"/>
        <w:gridCol w:w="721"/>
        <w:gridCol w:w="719"/>
        <w:gridCol w:w="1232"/>
        <w:gridCol w:w="1042"/>
        <w:gridCol w:w="992"/>
        <w:gridCol w:w="1276"/>
        <w:gridCol w:w="1221"/>
        <w:gridCol w:w="672"/>
      </w:tblGrid>
      <w:tr w14:paraId="7EAAA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restart"/>
            <w:tcBorders>
              <w:top w:val="single" w:color="auto" w:sz="4" w:space="0"/>
              <w:left w:val="single" w:color="auto" w:sz="4" w:space="0"/>
              <w:bottom w:val="single" w:color="auto" w:sz="4" w:space="0"/>
              <w:right w:val="single" w:color="auto" w:sz="4" w:space="0"/>
            </w:tcBorders>
            <w:noWrap w:val="0"/>
            <w:vAlign w:val="center"/>
          </w:tcPr>
          <w:p w14:paraId="35CB4D12">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职务</w:t>
            </w:r>
          </w:p>
        </w:tc>
        <w:tc>
          <w:tcPr>
            <w:tcW w:w="721" w:type="dxa"/>
            <w:vMerge w:val="restart"/>
            <w:tcBorders>
              <w:top w:val="single" w:color="auto" w:sz="4" w:space="0"/>
              <w:left w:val="single" w:color="auto" w:sz="4" w:space="0"/>
              <w:bottom w:val="single" w:color="auto" w:sz="4" w:space="0"/>
              <w:right w:val="single" w:color="auto" w:sz="4" w:space="0"/>
            </w:tcBorders>
            <w:noWrap w:val="0"/>
            <w:vAlign w:val="center"/>
          </w:tcPr>
          <w:p w14:paraId="3CFDE85B">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719" w:type="dxa"/>
            <w:vMerge w:val="restart"/>
            <w:tcBorders>
              <w:top w:val="single" w:color="auto" w:sz="4" w:space="0"/>
              <w:left w:val="single" w:color="auto" w:sz="4" w:space="0"/>
              <w:bottom w:val="single" w:color="auto" w:sz="4" w:space="0"/>
              <w:right w:val="single" w:color="auto" w:sz="4" w:space="0"/>
            </w:tcBorders>
            <w:noWrap w:val="0"/>
            <w:vAlign w:val="center"/>
          </w:tcPr>
          <w:p w14:paraId="22D4B16C">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职称</w:t>
            </w:r>
          </w:p>
        </w:tc>
        <w:tc>
          <w:tcPr>
            <w:tcW w:w="5763" w:type="dxa"/>
            <w:gridSpan w:val="5"/>
            <w:tcBorders>
              <w:top w:val="single" w:color="auto" w:sz="4" w:space="0"/>
              <w:left w:val="single" w:color="auto" w:sz="4" w:space="0"/>
              <w:bottom w:val="single" w:color="auto" w:sz="4" w:space="0"/>
              <w:right w:val="single" w:color="auto" w:sz="4" w:space="0"/>
            </w:tcBorders>
            <w:noWrap w:val="0"/>
            <w:vAlign w:val="center"/>
          </w:tcPr>
          <w:p w14:paraId="38DC7CCC">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执业或职业资格证明</w:t>
            </w:r>
          </w:p>
        </w:tc>
        <w:tc>
          <w:tcPr>
            <w:tcW w:w="672" w:type="dxa"/>
            <w:vMerge w:val="restart"/>
            <w:tcBorders>
              <w:top w:val="single" w:color="auto" w:sz="4" w:space="0"/>
              <w:left w:val="single" w:color="auto" w:sz="4" w:space="0"/>
              <w:bottom w:val="single" w:color="auto" w:sz="4" w:space="0"/>
              <w:right w:val="single" w:color="auto" w:sz="4" w:space="0"/>
            </w:tcBorders>
            <w:noWrap w:val="0"/>
            <w:vAlign w:val="center"/>
          </w:tcPr>
          <w:p w14:paraId="6671EF8E">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备注</w:t>
            </w:r>
          </w:p>
        </w:tc>
      </w:tr>
      <w:tr w14:paraId="1D917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73" w:type="dxa"/>
            <w:vMerge w:val="continue"/>
            <w:tcBorders>
              <w:top w:val="single" w:color="auto" w:sz="4" w:space="0"/>
              <w:left w:val="single" w:color="auto" w:sz="4" w:space="0"/>
              <w:bottom w:val="single" w:color="auto" w:sz="4" w:space="0"/>
              <w:right w:val="single" w:color="auto" w:sz="4" w:space="0"/>
            </w:tcBorders>
            <w:noWrap w:val="0"/>
            <w:vAlign w:val="center"/>
          </w:tcPr>
          <w:p w14:paraId="406D3370">
            <w:pPr>
              <w:widowControl/>
              <w:shd w:val="clear" w:color="auto" w:fill="auto"/>
              <w:ind w:firstLine="482"/>
              <w:jc w:val="left"/>
              <w:rPr>
                <w:rFonts w:ascii="宋体" w:hAnsi="宋体" w:cs="宋体"/>
                <w:color w:val="auto"/>
                <w:sz w:val="24"/>
                <w:szCs w:val="24"/>
                <w:highlight w:val="none"/>
              </w:rPr>
            </w:pPr>
          </w:p>
        </w:tc>
        <w:tc>
          <w:tcPr>
            <w:tcW w:w="721" w:type="dxa"/>
            <w:vMerge w:val="continue"/>
            <w:tcBorders>
              <w:top w:val="single" w:color="auto" w:sz="4" w:space="0"/>
              <w:left w:val="single" w:color="auto" w:sz="4" w:space="0"/>
              <w:bottom w:val="single" w:color="auto" w:sz="4" w:space="0"/>
              <w:right w:val="single" w:color="auto" w:sz="4" w:space="0"/>
            </w:tcBorders>
            <w:noWrap w:val="0"/>
            <w:vAlign w:val="center"/>
          </w:tcPr>
          <w:p w14:paraId="4E926E09">
            <w:pPr>
              <w:widowControl/>
              <w:shd w:val="clear" w:color="auto" w:fill="auto"/>
              <w:ind w:firstLine="482"/>
              <w:jc w:val="left"/>
              <w:rPr>
                <w:rFonts w:ascii="宋体" w:hAnsi="宋体" w:cs="宋体"/>
                <w:color w:val="auto"/>
                <w:sz w:val="24"/>
                <w:szCs w:val="24"/>
                <w:highlight w:val="none"/>
              </w:rPr>
            </w:pPr>
          </w:p>
        </w:tc>
        <w:tc>
          <w:tcPr>
            <w:tcW w:w="719" w:type="dxa"/>
            <w:vMerge w:val="continue"/>
            <w:tcBorders>
              <w:top w:val="single" w:color="auto" w:sz="4" w:space="0"/>
              <w:left w:val="single" w:color="auto" w:sz="4" w:space="0"/>
              <w:bottom w:val="single" w:color="auto" w:sz="4" w:space="0"/>
              <w:right w:val="single" w:color="auto" w:sz="4" w:space="0"/>
            </w:tcBorders>
            <w:noWrap w:val="0"/>
            <w:vAlign w:val="center"/>
          </w:tcPr>
          <w:p w14:paraId="798CEF73">
            <w:pPr>
              <w:widowControl/>
              <w:shd w:val="clear" w:color="auto" w:fill="auto"/>
              <w:ind w:firstLine="482"/>
              <w:jc w:val="left"/>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172409CB">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证书名称</w:t>
            </w:r>
          </w:p>
        </w:tc>
        <w:tc>
          <w:tcPr>
            <w:tcW w:w="1042" w:type="dxa"/>
            <w:tcBorders>
              <w:top w:val="single" w:color="auto" w:sz="4" w:space="0"/>
              <w:left w:val="single" w:color="auto" w:sz="4" w:space="0"/>
              <w:bottom w:val="single" w:color="auto" w:sz="4" w:space="0"/>
              <w:right w:val="single" w:color="auto" w:sz="4" w:space="0"/>
            </w:tcBorders>
            <w:noWrap w:val="0"/>
            <w:vAlign w:val="center"/>
          </w:tcPr>
          <w:p w14:paraId="0BFD53C6">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级别</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D5D35FB">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证号</w:t>
            </w:r>
          </w:p>
        </w:tc>
        <w:tc>
          <w:tcPr>
            <w:tcW w:w="1276" w:type="dxa"/>
            <w:tcBorders>
              <w:top w:val="single" w:color="auto" w:sz="4" w:space="0"/>
              <w:left w:val="single" w:color="auto" w:sz="4" w:space="0"/>
              <w:bottom w:val="single" w:color="auto" w:sz="4" w:space="0"/>
              <w:right w:val="single" w:color="auto" w:sz="4" w:space="0"/>
            </w:tcBorders>
            <w:noWrap w:val="0"/>
            <w:vAlign w:val="center"/>
          </w:tcPr>
          <w:p w14:paraId="06310B4C">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专业</w:t>
            </w:r>
          </w:p>
        </w:tc>
        <w:tc>
          <w:tcPr>
            <w:tcW w:w="1221" w:type="dxa"/>
            <w:tcBorders>
              <w:top w:val="single" w:color="auto" w:sz="4" w:space="0"/>
              <w:left w:val="single" w:color="auto" w:sz="4" w:space="0"/>
              <w:bottom w:val="single" w:color="auto" w:sz="4" w:space="0"/>
              <w:right w:val="single" w:color="auto" w:sz="4" w:space="0"/>
            </w:tcBorders>
            <w:noWrap w:val="0"/>
            <w:vAlign w:val="center"/>
          </w:tcPr>
          <w:p w14:paraId="20352838">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养老保险</w:t>
            </w:r>
          </w:p>
        </w:tc>
        <w:tc>
          <w:tcPr>
            <w:tcW w:w="672" w:type="dxa"/>
            <w:vMerge w:val="continue"/>
            <w:tcBorders>
              <w:top w:val="single" w:color="auto" w:sz="4" w:space="0"/>
              <w:left w:val="single" w:color="auto" w:sz="4" w:space="0"/>
              <w:bottom w:val="single" w:color="auto" w:sz="4" w:space="0"/>
              <w:right w:val="single" w:color="auto" w:sz="4" w:space="0"/>
            </w:tcBorders>
            <w:noWrap w:val="0"/>
            <w:vAlign w:val="center"/>
          </w:tcPr>
          <w:p w14:paraId="19E5BDE3">
            <w:pPr>
              <w:widowControl/>
              <w:shd w:val="clear" w:color="auto" w:fill="auto"/>
              <w:ind w:firstLine="482"/>
              <w:jc w:val="left"/>
              <w:rPr>
                <w:rFonts w:ascii="宋体" w:hAnsi="宋体" w:cs="宋体"/>
                <w:color w:val="auto"/>
                <w:sz w:val="24"/>
                <w:szCs w:val="24"/>
                <w:highlight w:val="none"/>
              </w:rPr>
            </w:pPr>
          </w:p>
        </w:tc>
      </w:tr>
      <w:tr w14:paraId="38C73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center"/>
          </w:tcPr>
          <w:p w14:paraId="56285974">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center"/>
          </w:tcPr>
          <w:p w14:paraId="4E229803">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center"/>
          </w:tcPr>
          <w:p w14:paraId="16C5DC0B">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center"/>
          </w:tcPr>
          <w:p w14:paraId="34E9E450">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center"/>
          </w:tcPr>
          <w:p w14:paraId="0D33CC96">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1145F062">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center"/>
          </w:tcPr>
          <w:p w14:paraId="721879F9">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center"/>
          </w:tcPr>
          <w:p w14:paraId="73432703">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center"/>
          </w:tcPr>
          <w:p w14:paraId="48BBA124">
            <w:pPr>
              <w:shd w:val="clear" w:color="auto" w:fill="auto"/>
              <w:spacing w:line="440" w:lineRule="exact"/>
              <w:ind w:firstLine="482"/>
              <w:jc w:val="center"/>
              <w:rPr>
                <w:rFonts w:ascii="宋体" w:hAnsi="宋体" w:cs="宋体"/>
                <w:color w:val="auto"/>
                <w:sz w:val="24"/>
                <w:szCs w:val="24"/>
                <w:highlight w:val="none"/>
              </w:rPr>
            </w:pPr>
          </w:p>
        </w:tc>
      </w:tr>
      <w:tr w14:paraId="5ED19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D566867">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418543B">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3A2FCD1">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9E825A8">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7B0227A">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877B1F3">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446EEC4">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DA4EB6F">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4873496">
            <w:pPr>
              <w:shd w:val="clear" w:color="auto" w:fill="auto"/>
              <w:spacing w:line="440" w:lineRule="exact"/>
              <w:ind w:firstLine="482"/>
              <w:jc w:val="center"/>
              <w:rPr>
                <w:rFonts w:ascii="宋体" w:hAnsi="宋体" w:cs="宋体"/>
                <w:color w:val="auto"/>
                <w:sz w:val="24"/>
                <w:szCs w:val="24"/>
                <w:highlight w:val="none"/>
              </w:rPr>
            </w:pPr>
          </w:p>
        </w:tc>
      </w:tr>
      <w:tr w14:paraId="32AE8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2018423">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D937019">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0AA86C00">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163CEEA">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844452B">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6BD918A">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E4C2AE8">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AA438E1">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DAB97DC">
            <w:pPr>
              <w:shd w:val="clear" w:color="auto" w:fill="auto"/>
              <w:spacing w:line="440" w:lineRule="exact"/>
              <w:ind w:firstLine="482"/>
              <w:jc w:val="center"/>
              <w:rPr>
                <w:rFonts w:ascii="宋体" w:hAnsi="宋体" w:cs="宋体"/>
                <w:color w:val="auto"/>
                <w:sz w:val="24"/>
                <w:szCs w:val="24"/>
                <w:highlight w:val="none"/>
              </w:rPr>
            </w:pPr>
          </w:p>
        </w:tc>
      </w:tr>
      <w:tr w14:paraId="51CE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9D12F68">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1597E03">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9C6508D">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1106B1A9">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72B04F6">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145C089B">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DFA38E8">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6CC74416">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CB93DA1">
            <w:pPr>
              <w:shd w:val="clear" w:color="auto" w:fill="auto"/>
              <w:spacing w:line="440" w:lineRule="exact"/>
              <w:ind w:firstLine="482"/>
              <w:jc w:val="center"/>
              <w:rPr>
                <w:rFonts w:ascii="宋体" w:hAnsi="宋体" w:cs="宋体"/>
                <w:color w:val="auto"/>
                <w:sz w:val="24"/>
                <w:szCs w:val="24"/>
                <w:highlight w:val="none"/>
              </w:rPr>
            </w:pPr>
          </w:p>
        </w:tc>
      </w:tr>
      <w:tr w14:paraId="2D702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2601125">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A87C8F5">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B06CBE6">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7C5400E">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77DDE408">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70D5CFA">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E7EA288">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E41BD24">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32BD21F2">
            <w:pPr>
              <w:shd w:val="clear" w:color="auto" w:fill="auto"/>
              <w:spacing w:line="440" w:lineRule="exact"/>
              <w:ind w:firstLine="482"/>
              <w:jc w:val="center"/>
              <w:rPr>
                <w:rFonts w:ascii="宋体" w:hAnsi="宋体" w:cs="宋体"/>
                <w:color w:val="auto"/>
                <w:sz w:val="24"/>
                <w:szCs w:val="24"/>
                <w:highlight w:val="none"/>
              </w:rPr>
            </w:pPr>
          </w:p>
        </w:tc>
      </w:tr>
      <w:tr w14:paraId="73CE3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7F61061">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E3A1F20">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02B15FE">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40D946F">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3C0EE8B5">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C67726A">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9F4019C">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10343B7">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6443E05">
            <w:pPr>
              <w:shd w:val="clear" w:color="auto" w:fill="auto"/>
              <w:spacing w:line="440" w:lineRule="exact"/>
              <w:ind w:firstLine="482"/>
              <w:jc w:val="center"/>
              <w:rPr>
                <w:rFonts w:ascii="宋体" w:hAnsi="宋体" w:cs="宋体"/>
                <w:color w:val="auto"/>
                <w:sz w:val="24"/>
                <w:szCs w:val="24"/>
                <w:highlight w:val="none"/>
              </w:rPr>
            </w:pPr>
          </w:p>
        </w:tc>
      </w:tr>
      <w:tr w14:paraId="0B88F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D7D971A">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48E2E7D">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5AF49E1">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3F2F2A5">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6C6BBD6F">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E79EE59">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A94D87B">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23BF1B38">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4E72E0B">
            <w:pPr>
              <w:shd w:val="clear" w:color="auto" w:fill="auto"/>
              <w:spacing w:line="440" w:lineRule="exact"/>
              <w:ind w:firstLine="482"/>
              <w:jc w:val="center"/>
              <w:rPr>
                <w:rFonts w:ascii="宋体" w:hAnsi="宋体" w:cs="宋体"/>
                <w:color w:val="auto"/>
                <w:sz w:val="24"/>
                <w:szCs w:val="24"/>
                <w:highlight w:val="none"/>
              </w:rPr>
            </w:pPr>
          </w:p>
        </w:tc>
      </w:tr>
      <w:tr w14:paraId="6E8B9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CC0D908">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5695CCDC">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CB394F9">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198FE11">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29C0884C">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BE0C290">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1B1DBE8">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FC5452B">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F8CB29B">
            <w:pPr>
              <w:shd w:val="clear" w:color="auto" w:fill="auto"/>
              <w:spacing w:line="440" w:lineRule="exact"/>
              <w:ind w:firstLine="482"/>
              <w:jc w:val="center"/>
              <w:rPr>
                <w:rFonts w:ascii="宋体" w:hAnsi="宋体" w:cs="宋体"/>
                <w:color w:val="auto"/>
                <w:sz w:val="24"/>
                <w:szCs w:val="24"/>
                <w:highlight w:val="none"/>
              </w:rPr>
            </w:pPr>
          </w:p>
        </w:tc>
      </w:tr>
      <w:tr w14:paraId="3581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6A2E1129">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D533BFB">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BAD201F">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43521C9">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1B2A939">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6733EC13">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6C9F00EE">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3E9623E">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8B79E17">
            <w:pPr>
              <w:shd w:val="clear" w:color="auto" w:fill="auto"/>
              <w:spacing w:line="440" w:lineRule="exact"/>
              <w:ind w:firstLine="482"/>
              <w:jc w:val="center"/>
              <w:rPr>
                <w:rFonts w:ascii="宋体" w:hAnsi="宋体" w:cs="宋体"/>
                <w:color w:val="auto"/>
                <w:sz w:val="24"/>
                <w:szCs w:val="24"/>
                <w:highlight w:val="none"/>
              </w:rPr>
            </w:pPr>
          </w:p>
        </w:tc>
      </w:tr>
      <w:tr w14:paraId="26281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76B27DB">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4DBECB5">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16A4C773">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C8B51A8">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752BC863">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0B521286">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2D227BDA">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6BBA5C9">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929FA83">
            <w:pPr>
              <w:shd w:val="clear" w:color="auto" w:fill="auto"/>
              <w:spacing w:line="440" w:lineRule="exact"/>
              <w:ind w:firstLine="482"/>
              <w:jc w:val="center"/>
              <w:rPr>
                <w:rFonts w:ascii="宋体" w:hAnsi="宋体" w:cs="宋体"/>
                <w:color w:val="auto"/>
                <w:sz w:val="24"/>
                <w:szCs w:val="24"/>
                <w:highlight w:val="none"/>
              </w:rPr>
            </w:pPr>
          </w:p>
        </w:tc>
      </w:tr>
      <w:tr w14:paraId="64F3C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747DAE97">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328E592">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3E80C1E">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BD5ED4E">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570EEF90">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193C3B7">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119A7E0">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4E3A6849">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F6C4B59">
            <w:pPr>
              <w:shd w:val="clear" w:color="auto" w:fill="auto"/>
              <w:spacing w:line="440" w:lineRule="exact"/>
              <w:ind w:firstLine="482"/>
              <w:jc w:val="center"/>
              <w:rPr>
                <w:rFonts w:ascii="宋体" w:hAnsi="宋体" w:cs="宋体"/>
                <w:color w:val="auto"/>
                <w:sz w:val="24"/>
                <w:szCs w:val="24"/>
                <w:highlight w:val="none"/>
              </w:rPr>
            </w:pPr>
          </w:p>
        </w:tc>
      </w:tr>
      <w:tr w14:paraId="62DE7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935450E">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EF1B991">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6F56F82">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6C97024A">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A21373A">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02F2EFF">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A76C66A">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0AA0675">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71193910">
            <w:pPr>
              <w:shd w:val="clear" w:color="auto" w:fill="auto"/>
              <w:spacing w:line="440" w:lineRule="exact"/>
              <w:ind w:firstLine="482"/>
              <w:jc w:val="center"/>
              <w:rPr>
                <w:rFonts w:ascii="宋体" w:hAnsi="宋体" w:cs="宋体"/>
                <w:color w:val="auto"/>
                <w:sz w:val="24"/>
                <w:szCs w:val="24"/>
                <w:highlight w:val="none"/>
              </w:rPr>
            </w:pPr>
          </w:p>
        </w:tc>
      </w:tr>
      <w:tr w14:paraId="3C50A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5EB575A2">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6B3C00D">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44586D09">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50968137">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13E5B0C5">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76B23FB9">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1D9B9701">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FB96DF9">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020F2F6A">
            <w:pPr>
              <w:shd w:val="clear" w:color="auto" w:fill="auto"/>
              <w:spacing w:line="440" w:lineRule="exact"/>
              <w:ind w:firstLine="482"/>
              <w:jc w:val="center"/>
              <w:rPr>
                <w:rFonts w:ascii="宋体" w:hAnsi="宋体" w:cs="宋体"/>
                <w:color w:val="auto"/>
                <w:sz w:val="24"/>
                <w:szCs w:val="24"/>
                <w:highlight w:val="none"/>
              </w:rPr>
            </w:pPr>
          </w:p>
        </w:tc>
      </w:tr>
      <w:tr w14:paraId="1B51A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6BDE1FA">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1C3E856">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DA14FF8">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55C9DCD">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82F02CD">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7A2D911">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271F96B">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D58056E">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1C459072">
            <w:pPr>
              <w:shd w:val="clear" w:color="auto" w:fill="auto"/>
              <w:spacing w:line="440" w:lineRule="exact"/>
              <w:ind w:firstLine="482"/>
              <w:jc w:val="center"/>
              <w:rPr>
                <w:rFonts w:ascii="宋体" w:hAnsi="宋体" w:cs="宋体"/>
                <w:color w:val="auto"/>
                <w:sz w:val="24"/>
                <w:szCs w:val="24"/>
                <w:highlight w:val="none"/>
              </w:rPr>
            </w:pPr>
          </w:p>
        </w:tc>
      </w:tr>
      <w:tr w14:paraId="2BC3E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2B714AC2">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0A4C740">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CB8A7E9">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2DA88E1B">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8B0F055">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515BD88B">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7A759BE">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157C7BA4">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6CBA2F70">
            <w:pPr>
              <w:shd w:val="clear" w:color="auto" w:fill="auto"/>
              <w:spacing w:line="440" w:lineRule="exact"/>
              <w:ind w:firstLine="482"/>
              <w:jc w:val="center"/>
              <w:rPr>
                <w:rFonts w:ascii="宋体" w:hAnsi="宋体" w:cs="宋体"/>
                <w:color w:val="auto"/>
                <w:sz w:val="24"/>
                <w:szCs w:val="24"/>
                <w:highlight w:val="none"/>
              </w:rPr>
            </w:pPr>
          </w:p>
        </w:tc>
      </w:tr>
      <w:tr w14:paraId="26CAF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384C0029">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3A1ABF0">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2B15B3A2">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7186F88F">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E55DF96">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5146A7B">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0EDD35A2">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5CB14387">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47183F2">
            <w:pPr>
              <w:shd w:val="clear" w:color="auto" w:fill="auto"/>
              <w:spacing w:line="440" w:lineRule="exact"/>
              <w:ind w:firstLine="482"/>
              <w:jc w:val="center"/>
              <w:rPr>
                <w:rFonts w:ascii="宋体" w:hAnsi="宋体" w:cs="宋体"/>
                <w:color w:val="auto"/>
                <w:sz w:val="24"/>
                <w:szCs w:val="24"/>
                <w:highlight w:val="none"/>
              </w:rPr>
            </w:pPr>
          </w:p>
        </w:tc>
      </w:tr>
      <w:tr w14:paraId="6454B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471058BB">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76353264">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36A2601D">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7AC513A">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05B66DBE">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2DF4EF1F">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4372138D">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4E5D660">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ED58C38">
            <w:pPr>
              <w:shd w:val="clear" w:color="auto" w:fill="auto"/>
              <w:spacing w:line="440" w:lineRule="exact"/>
              <w:ind w:firstLine="482"/>
              <w:jc w:val="center"/>
              <w:rPr>
                <w:rFonts w:ascii="宋体" w:hAnsi="宋体" w:cs="宋体"/>
                <w:color w:val="auto"/>
                <w:sz w:val="24"/>
                <w:szCs w:val="24"/>
                <w:highlight w:val="none"/>
              </w:rPr>
            </w:pPr>
          </w:p>
        </w:tc>
      </w:tr>
      <w:tr w14:paraId="7CB4B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050177CE">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3777C6AC">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55F302B9">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4345EE20">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7D69477A">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43F9F10A">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762CD0C2">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394FD121">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2599907A">
            <w:pPr>
              <w:shd w:val="clear" w:color="auto" w:fill="auto"/>
              <w:spacing w:line="440" w:lineRule="exact"/>
              <w:ind w:firstLine="482"/>
              <w:jc w:val="center"/>
              <w:rPr>
                <w:rFonts w:ascii="宋体" w:hAnsi="宋体" w:cs="宋体"/>
                <w:color w:val="auto"/>
                <w:sz w:val="24"/>
                <w:szCs w:val="24"/>
                <w:highlight w:val="none"/>
              </w:rPr>
            </w:pPr>
          </w:p>
        </w:tc>
      </w:tr>
      <w:tr w14:paraId="79D20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3" w:type="dxa"/>
            <w:tcBorders>
              <w:top w:val="single" w:color="auto" w:sz="4" w:space="0"/>
              <w:left w:val="single" w:color="auto" w:sz="4" w:space="0"/>
              <w:bottom w:val="single" w:color="auto" w:sz="4" w:space="0"/>
              <w:right w:val="single" w:color="auto" w:sz="4" w:space="0"/>
            </w:tcBorders>
            <w:noWrap w:val="0"/>
            <w:vAlign w:val="top"/>
          </w:tcPr>
          <w:p w14:paraId="150A4AE9">
            <w:pPr>
              <w:shd w:val="clear" w:color="auto" w:fill="auto"/>
              <w:spacing w:line="440" w:lineRule="exact"/>
              <w:ind w:firstLine="482"/>
              <w:jc w:val="center"/>
              <w:rPr>
                <w:rFonts w:ascii="宋体" w:hAnsi="宋体" w:cs="宋体"/>
                <w:color w:val="auto"/>
                <w:sz w:val="24"/>
                <w:szCs w:val="24"/>
                <w:highlight w:val="none"/>
              </w:rPr>
            </w:pPr>
          </w:p>
        </w:tc>
        <w:tc>
          <w:tcPr>
            <w:tcW w:w="721" w:type="dxa"/>
            <w:tcBorders>
              <w:top w:val="single" w:color="auto" w:sz="4" w:space="0"/>
              <w:left w:val="single" w:color="auto" w:sz="4" w:space="0"/>
              <w:bottom w:val="single" w:color="auto" w:sz="4" w:space="0"/>
              <w:right w:val="single" w:color="auto" w:sz="4" w:space="0"/>
            </w:tcBorders>
            <w:noWrap w:val="0"/>
            <w:vAlign w:val="top"/>
          </w:tcPr>
          <w:p w14:paraId="05041834">
            <w:pPr>
              <w:shd w:val="clear" w:color="auto" w:fill="auto"/>
              <w:spacing w:line="440" w:lineRule="exact"/>
              <w:ind w:firstLine="482"/>
              <w:jc w:val="center"/>
              <w:rPr>
                <w:rFonts w:ascii="宋体" w:hAnsi="宋体" w:cs="宋体"/>
                <w:color w:val="auto"/>
                <w:sz w:val="24"/>
                <w:szCs w:val="24"/>
                <w:highlight w:val="none"/>
              </w:rPr>
            </w:pPr>
          </w:p>
        </w:tc>
        <w:tc>
          <w:tcPr>
            <w:tcW w:w="719" w:type="dxa"/>
            <w:tcBorders>
              <w:top w:val="single" w:color="auto" w:sz="4" w:space="0"/>
              <w:left w:val="single" w:color="auto" w:sz="4" w:space="0"/>
              <w:bottom w:val="single" w:color="auto" w:sz="4" w:space="0"/>
              <w:right w:val="single" w:color="auto" w:sz="4" w:space="0"/>
            </w:tcBorders>
            <w:noWrap w:val="0"/>
            <w:vAlign w:val="top"/>
          </w:tcPr>
          <w:p w14:paraId="7058DCCF">
            <w:pPr>
              <w:shd w:val="clear" w:color="auto" w:fill="auto"/>
              <w:spacing w:line="440" w:lineRule="exact"/>
              <w:ind w:firstLine="482"/>
              <w:jc w:val="center"/>
              <w:rPr>
                <w:rFonts w:ascii="宋体" w:hAnsi="宋体" w:cs="宋体"/>
                <w:color w:val="auto"/>
                <w:sz w:val="24"/>
                <w:szCs w:val="24"/>
                <w:highlight w:val="none"/>
              </w:rPr>
            </w:pPr>
          </w:p>
        </w:tc>
        <w:tc>
          <w:tcPr>
            <w:tcW w:w="1232" w:type="dxa"/>
            <w:tcBorders>
              <w:top w:val="single" w:color="auto" w:sz="4" w:space="0"/>
              <w:left w:val="single" w:color="auto" w:sz="4" w:space="0"/>
              <w:bottom w:val="single" w:color="auto" w:sz="4" w:space="0"/>
              <w:right w:val="single" w:color="auto" w:sz="4" w:space="0"/>
            </w:tcBorders>
            <w:noWrap w:val="0"/>
            <w:vAlign w:val="top"/>
          </w:tcPr>
          <w:p w14:paraId="090A3F99">
            <w:pPr>
              <w:shd w:val="clear" w:color="auto" w:fill="auto"/>
              <w:spacing w:line="440" w:lineRule="exact"/>
              <w:ind w:firstLine="482"/>
              <w:jc w:val="center"/>
              <w:rPr>
                <w:rFonts w:ascii="宋体" w:hAnsi="宋体" w:cs="宋体"/>
                <w:color w:val="auto"/>
                <w:sz w:val="24"/>
                <w:szCs w:val="24"/>
                <w:highlight w:val="none"/>
              </w:rPr>
            </w:pPr>
          </w:p>
        </w:tc>
        <w:tc>
          <w:tcPr>
            <w:tcW w:w="1042" w:type="dxa"/>
            <w:tcBorders>
              <w:top w:val="single" w:color="auto" w:sz="4" w:space="0"/>
              <w:left w:val="single" w:color="auto" w:sz="4" w:space="0"/>
              <w:bottom w:val="single" w:color="auto" w:sz="4" w:space="0"/>
              <w:right w:val="single" w:color="auto" w:sz="4" w:space="0"/>
            </w:tcBorders>
            <w:noWrap w:val="0"/>
            <w:vAlign w:val="top"/>
          </w:tcPr>
          <w:p w14:paraId="44D1A34E">
            <w:pPr>
              <w:shd w:val="clear" w:color="auto" w:fill="auto"/>
              <w:spacing w:line="440" w:lineRule="exact"/>
              <w:ind w:firstLine="482"/>
              <w:jc w:val="center"/>
              <w:rPr>
                <w:rFonts w:ascii="宋体" w:hAnsi="宋体" w:cs="宋体"/>
                <w:color w:val="auto"/>
                <w:sz w:val="24"/>
                <w:szCs w:val="24"/>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top"/>
          </w:tcPr>
          <w:p w14:paraId="32FE67C9">
            <w:pPr>
              <w:shd w:val="clear" w:color="auto" w:fill="auto"/>
              <w:spacing w:line="440" w:lineRule="exact"/>
              <w:ind w:firstLine="482"/>
              <w:jc w:val="center"/>
              <w:rPr>
                <w:rFonts w:ascii="宋体" w:hAnsi="宋体" w:cs="宋体"/>
                <w:color w:val="auto"/>
                <w:sz w:val="24"/>
                <w:szCs w:val="24"/>
                <w:highlight w:val="none"/>
              </w:rPr>
            </w:pPr>
          </w:p>
        </w:tc>
        <w:tc>
          <w:tcPr>
            <w:tcW w:w="1276" w:type="dxa"/>
            <w:tcBorders>
              <w:top w:val="single" w:color="auto" w:sz="4" w:space="0"/>
              <w:left w:val="single" w:color="auto" w:sz="4" w:space="0"/>
              <w:bottom w:val="single" w:color="auto" w:sz="4" w:space="0"/>
              <w:right w:val="single" w:color="auto" w:sz="4" w:space="0"/>
            </w:tcBorders>
            <w:noWrap w:val="0"/>
            <w:vAlign w:val="top"/>
          </w:tcPr>
          <w:p w14:paraId="38F8DA4B">
            <w:pPr>
              <w:shd w:val="clear" w:color="auto" w:fill="auto"/>
              <w:spacing w:line="440" w:lineRule="exact"/>
              <w:ind w:firstLine="482"/>
              <w:jc w:val="center"/>
              <w:rPr>
                <w:rFonts w:ascii="宋体" w:hAnsi="宋体" w:cs="宋体"/>
                <w:color w:val="auto"/>
                <w:sz w:val="24"/>
                <w:szCs w:val="24"/>
                <w:highlight w:val="none"/>
              </w:rPr>
            </w:pPr>
          </w:p>
        </w:tc>
        <w:tc>
          <w:tcPr>
            <w:tcW w:w="1221" w:type="dxa"/>
            <w:tcBorders>
              <w:top w:val="single" w:color="auto" w:sz="4" w:space="0"/>
              <w:left w:val="single" w:color="auto" w:sz="4" w:space="0"/>
              <w:bottom w:val="single" w:color="auto" w:sz="4" w:space="0"/>
              <w:right w:val="single" w:color="auto" w:sz="4" w:space="0"/>
            </w:tcBorders>
            <w:noWrap w:val="0"/>
            <w:vAlign w:val="top"/>
          </w:tcPr>
          <w:p w14:paraId="0433FC30">
            <w:pPr>
              <w:shd w:val="clear" w:color="auto" w:fill="auto"/>
              <w:spacing w:line="440" w:lineRule="exact"/>
              <w:ind w:firstLine="482"/>
              <w:jc w:val="center"/>
              <w:rPr>
                <w:rFonts w:ascii="宋体" w:hAnsi="宋体" w:cs="宋体"/>
                <w:color w:val="auto"/>
                <w:sz w:val="24"/>
                <w:szCs w:val="24"/>
                <w:highlight w:val="none"/>
              </w:rPr>
            </w:pPr>
          </w:p>
        </w:tc>
        <w:tc>
          <w:tcPr>
            <w:tcW w:w="672" w:type="dxa"/>
            <w:tcBorders>
              <w:top w:val="single" w:color="auto" w:sz="4" w:space="0"/>
              <w:left w:val="single" w:color="auto" w:sz="4" w:space="0"/>
              <w:bottom w:val="single" w:color="auto" w:sz="4" w:space="0"/>
              <w:right w:val="single" w:color="auto" w:sz="4" w:space="0"/>
            </w:tcBorders>
            <w:noWrap w:val="0"/>
            <w:vAlign w:val="top"/>
          </w:tcPr>
          <w:p w14:paraId="5E1003E3">
            <w:pPr>
              <w:shd w:val="clear" w:color="auto" w:fill="auto"/>
              <w:spacing w:line="440" w:lineRule="exact"/>
              <w:ind w:firstLine="482"/>
              <w:jc w:val="center"/>
              <w:rPr>
                <w:rFonts w:ascii="宋体" w:hAnsi="宋体" w:cs="宋体"/>
                <w:color w:val="auto"/>
                <w:sz w:val="24"/>
                <w:szCs w:val="24"/>
                <w:highlight w:val="none"/>
              </w:rPr>
            </w:pPr>
          </w:p>
        </w:tc>
      </w:tr>
    </w:tbl>
    <w:p w14:paraId="6B0293D7">
      <w:pPr>
        <w:pStyle w:val="3"/>
        <w:shd w:val="clear" w:color="auto" w:fill="auto"/>
        <w:ind w:firstLine="640"/>
        <w:jc w:val="center"/>
        <w:rPr>
          <w:rFonts w:hint="eastAsia" w:ascii="宋体" w:hAnsi="宋体" w:cs="宋体"/>
          <w:color w:val="auto"/>
          <w:highlight w:val="none"/>
        </w:rPr>
      </w:pPr>
      <w:bookmarkStart w:id="1479" w:name="_Toc152042594"/>
      <w:bookmarkStart w:id="1480" w:name="_Toc144974873"/>
      <w:bookmarkStart w:id="1481" w:name="_Toc296602616"/>
      <w:bookmarkStart w:id="1482" w:name="_Toc246996371"/>
      <w:bookmarkStart w:id="1483" w:name="_Toc179632825"/>
      <w:bookmarkStart w:id="1484" w:name="_Toc246997114"/>
      <w:bookmarkStart w:id="1485" w:name="_Toc247085889"/>
      <w:bookmarkStart w:id="1486" w:name="_Toc152045805"/>
    </w:p>
    <w:p w14:paraId="48FC711B">
      <w:pPr>
        <w:shd w:val="clear" w:color="auto" w:fill="auto"/>
        <w:ind w:firstLine="482"/>
        <w:rPr>
          <w:rFonts w:hint="eastAsia" w:ascii="宋体" w:hAnsi="宋体" w:cs="宋体"/>
          <w:color w:val="auto"/>
          <w:highlight w:val="none"/>
        </w:rPr>
      </w:pPr>
    </w:p>
    <w:p w14:paraId="281D481F">
      <w:pPr>
        <w:shd w:val="clear" w:color="auto" w:fill="auto"/>
        <w:ind w:firstLine="482"/>
        <w:rPr>
          <w:rFonts w:hint="eastAsia" w:ascii="宋体" w:hAnsi="宋体" w:cs="宋体"/>
          <w:color w:val="auto"/>
          <w:highlight w:val="none"/>
        </w:rPr>
      </w:pPr>
    </w:p>
    <w:p w14:paraId="31EC9B57">
      <w:pPr>
        <w:pStyle w:val="3"/>
        <w:shd w:val="clear" w:color="auto" w:fill="auto"/>
        <w:ind w:firstLine="640"/>
        <w:jc w:val="center"/>
        <w:rPr>
          <w:rFonts w:hint="eastAsia" w:ascii="宋体" w:hAnsi="宋体" w:cs="宋体"/>
          <w:color w:val="auto"/>
          <w:highlight w:val="none"/>
        </w:rPr>
      </w:pPr>
      <w:bookmarkStart w:id="1487" w:name="_Toc77586976"/>
      <w:bookmarkStart w:id="1488" w:name="_Toc77586878"/>
      <w:bookmarkStart w:id="1489" w:name="_Toc3295"/>
      <w:bookmarkStart w:id="1490" w:name="_Toc20339"/>
      <w:r>
        <w:rPr>
          <w:rFonts w:hint="eastAsia" w:ascii="宋体" w:hAnsi="宋体" w:cs="宋体"/>
          <w:color w:val="auto"/>
          <w:highlight w:val="none"/>
        </w:rPr>
        <w:br w:type="page"/>
      </w:r>
      <w:r>
        <w:rPr>
          <w:rFonts w:hint="eastAsia" w:ascii="宋体" w:hAnsi="宋体" w:cs="宋体"/>
          <w:color w:val="auto"/>
          <w:highlight w:val="none"/>
        </w:rPr>
        <w:t>（二）项目经理简历表</w:t>
      </w:r>
      <w:bookmarkEnd w:id="1479"/>
      <w:bookmarkEnd w:id="1480"/>
      <w:bookmarkEnd w:id="1481"/>
      <w:bookmarkEnd w:id="1482"/>
      <w:bookmarkEnd w:id="1483"/>
      <w:bookmarkEnd w:id="1484"/>
      <w:bookmarkEnd w:id="1485"/>
      <w:bookmarkEnd w:id="1486"/>
      <w:bookmarkEnd w:id="1487"/>
      <w:bookmarkEnd w:id="1488"/>
      <w:bookmarkEnd w:id="1489"/>
      <w:bookmarkEnd w:id="1490"/>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6"/>
        <w:gridCol w:w="359"/>
        <w:gridCol w:w="720"/>
        <w:gridCol w:w="927"/>
        <w:gridCol w:w="1065"/>
        <w:gridCol w:w="708"/>
        <w:gridCol w:w="1261"/>
        <w:gridCol w:w="161"/>
        <w:gridCol w:w="2135"/>
      </w:tblGrid>
      <w:tr w14:paraId="35921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68609494">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  名</w:t>
            </w:r>
          </w:p>
        </w:tc>
        <w:tc>
          <w:tcPr>
            <w:tcW w:w="1079" w:type="dxa"/>
            <w:gridSpan w:val="2"/>
            <w:tcBorders>
              <w:top w:val="single" w:color="auto" w:sz="4" w:space="0"/>
              <w:left w:val="single" w:color="auto" w:sz="4" w:space="0"/>
              <w:bottom w:val="single" w:color="auto" w:sz="4" w:space="0"/>
              <w:right w:val="single" w:color="auto" w:sz="4" w:space="0"/>
            </w:tcBorders>
            <w:noWrap w:val="0"/>
            <w:vAlign w:val="center"/>
          </w:tcPr>
          <w:p w14:paraId="6524F33D">
            <w:pPr>
              <w:shd w:val="clear" w:color="auto" w:fill="auto"/>
              <w:spacing w:line="440" w:lineRule="exact"/>
              <w:rPr>
                <w:rFonts w:hint="eastAsia" w:ascii="宋体" w:hAnsi="宋体" w:cs="宋体"/>
                <w:color w:val="auto"/>
                <w:sz w:val="24"/>
                <w:szCs w:val="24"/>
                <w:highlight w:val="none"/>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7D636F1E">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年 龄</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5A052AD5">
            <w:pPr>
              <w:shd w:val="clear" w:color="auto" w:fill="auto"/>
              <w:spacing w:line="440" w:lineRule="exact"/>
              <w:rPr>
                <w:rFonts w:hint="eastAsia" w:ascii="宋体" w:hAnsi="宋体" w:cs="宋体"/>
                <w:color w:val="auto"/>
                <w:sz w:val="24"/>
                <w:szCs w:val="24"/>
                <w:highlight w:val="none"/>
              </w:rPr>
            </w:pPr>
          </w:p>
        </w:tc>
        <w:tc>
          <w:tcPr>
            <w:tcW w:w="2130" w:type="dxa"/>
            <w:gridSpan w:val="3"/>
            <w:tcBorders>
              <w:top w:val="single" w:color="auto" w:sz="4" w:space="0"/>
              <w:left w:val="single" w:color="auto" w:sz="4" w:space="0"/>
              <w:bottom w:val="single" w:color="auto" w:sz="4" w:space="0"/>
              <w:right w:val="single" w:color="auto" w:sz="4" w:space="0"/>
            </w:tcBorders>
            <w:noWrap w:val="0"/>
            <w:vAlign w:val="center"/>
          </w:tcPr>
          <w:p w14:paraId="0382709C">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学历</w:t>
            </w:r>
          </w:p>
        </w:tc>
        <w:tc>
          <w:tcPr>
            <w:tcW w:w="2135" w:type="dxa"/>
            <w:tcBorders>
              <w:top w:val="single" w:color="auto" w:sz="4" w:space="0"/>
              <w:left w:val="single" w:color="auto" w:sz="4" w:space="0"/>
              <w:bottom w:val="single" w:color="auto" w:sz="4" w:space="0"/>
              <w:right w:val="single" w:color="auto" w:sz="4" w:space="0"/>
            </w:tcBorders>
            <w:noWrap w:val="0"/>
            <w:vAlign w:val="center"/>
          </w:tcPr>
          <w:p w14:paraId="31FB0B36">
            <w:pPr>
              <w:shd w:val="clear" w:color="auto" w:fill="auto"/>
              <w:spacing w:line="440" w:lineRule="exact"/>
              <w:rPr>
                <w:rFonts w:hint="eastAsia" w:ascii="宋体" w:hAnsi="宋体" w:cs="宋体"/>
                <w:color w:val="auto"/>
                <w:sz w:val="24"/>
                <w:szCs w:val="24"/>
                <w:highlight w:val="none"/>
              </w:rPr>
            </w:pPr>
          </w:p>
        </w:tc>
      </w:tr>
      <w:tr w14:paraId="2FB78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0308EF32">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  称</w:t>
            </w:r>
          </w:p>
        </w:tc>
        <w:tc>
          <w:tcPr>
            <w:tcW w:w="1079" w:type="dxa"/>
            <w:gridSpan w:val="2"/>
            <w:tcBorders>
              <w:top w:val="single" w:color="auto" w:sz="4" w:space="0"/>
              <w:left w:val="single" w:color="auto" w:sz="4" w:space="0"/>
              <w:bottom w:val="single" w:color="auto" w:sz="4" w:space="0"/>
              <w:right w:val="single" w:color="auto" w:sz="4" w:space="0"/>
            </w:tcBorders>
            <w:noWrap w:val="0"/>
            <w:vAlign w:val="center"/>
          </w:tcPr>
          <w:p w14:paraId="15B70515">
            <w:pPr>
              <w:shd w:val="clear" w:color="auto" w:fill="auto"/>
              <w:spacing w:line="440" w:lineRule="exact"/>
              <w:rPr>
                <w:rFonts w:hint="eastAsia" w:ascii="宋体" w:hAnsi="宋体" w:cs="宋体"/>
                <w:color w:val="auto"/>
                <w:sz w:val="24"/>
                <w:szCs w:val="24"/>
                <w:highlight w:val="none"/>
              </w:rPr>
            </w:pPr>
          </w:p>
        </w:tc>
        <w:tc>
          <w:tcPr>
            <w:tcW w:w="927" w:type="dxa"/>
            <w:tcBorders>
              <w:top w:val="single" w:color="auto" w:sz="4" w:space="0"/>
              <w:left w:val="single" w:color="auto" w:sz="4" w:space="0"/>
              <w:bottom w:val="single" w:color="auto" w:sz="4" w:space="0"/>
              <w:right w:val="single" w:color="auto" w:sz="4" w:space="0"/>
            </w:tcBorders>
            <w:noWrap w:val="0"/>
            <w:vAlign w:val="center"/>
          </w:tcPr>
          <w:p w14:paraId="4CCDFDA8">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职 务</w:t>
            </w:r>
          </w:p>
        </w:tc>
        <w:tc>
          <w:tcPr>
            <w:tcW w:w="1065" w:type="dxa"/>
            <w:tcBorders>
              <w:top w:val="single" w:color="auto" w:sz="4" w:space="0"/>
              <w:left w:val="single" w:color="auto" w:sz="4" w:space="0"/>
              <w:bottom w:val="single" w:color="auto" w:sz="4" w:space="0"/>
              <w:right w:val="single" w:color="auto" w:sz="4" w:space="0"/>
            </w:tcBorders>
            <w:noWrap w:val="0"/>
            <w:vAlign w:val="center"/>
          </w:tcPr>
          <w:p w14:paraId="6BFBD2C2">
            <w:pPr>
              <w:shd w:val="clear" w:color="auto" w:fill="auto"/>
              <w:spacing w:line="440" w:lineRule="exact"/>
              <w:rPr>
                <w:rFonts w:hint="eastAsia" w:ascii="宋体" w:hAnsi="宋体" w:cs="宋体"/>
                <w:color w:val="auto"/>
                <w:sz w:val="24"/>
                <w:szCs w:val="24"/>
                <w:highlight w:val="none"/>
              </w:rPr>
            </w:pPr>
          </w:p>
        </w:tc>
        <w:tc>
          <w:tcPr>
            <w:tcW w:w="2130" w:type="dxa"/>
            <w:gridSpan w:val="3"/>
            <w:tcBorders>
              <w:top w:val="single" w:color="auto" w:sz="4" w:space="0"/>
              <w:left w:val="single" w:color="auto" w:sz="4" w:space="0"/>
              <w:bottom w:val="single" w:color="auto" w:sz="4" w:space="0"/>
              <w:right w:val="single" w:color="auto" w:sz="4" w:space="0"/>
            </w:tcBorders>
            <w:noWrap w:val="0"/>
            <w:vAlign w:val="center"/>
          </w:tcPr>
          <w:p w14:paraId="4B1CAD64">
            <w:pPr>
              <w:shd w:val="clear" w:color="auto" w:fill="auto"/>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拟在本合同任职</w:t>
            </w:r>
          </w:p>
        </w:tc>
        <w:tc>
          <w:tcPr>
            <w:tcW w:w="2135" w:type="dxa"/>
            <w:tcBorders>
              <w:top w:val="single" w:color="auto" w:sz="4" w:space="0"/>
              <w:left w:val="single" w:color="auto" w:sz="4" w:space="0"/>
              <w:bottom w:val="single" w:color="auto" w:sz="4" w:space="0"/>
              <w:right w:val="single" w:color="auto" w:sz="4" w:space="0"/>
            </w:tcBorders>
            <w:noWrap w:val="0"/>
            <w:vAlign w:val="center"/>
          </w:tcPr>
          <w:p w14:paraId="07163C5C">
            <w:pPr>
              <w:shd w:val="clear" w:color="auto" w:fill="auto"/>
              <w:spacing w:line="440" w:lineRule="exact"/>
              <w:rPr>
                <w:rFonts w:hint="eastAsia" w:ascii="宋体" w:hAnsi="宋体" w:cs="宋体"/>
                <w:color w:val="auto"/>
                <w:sz w:val="24"/>
                <w:szCs w:val="24"/>
                <w:highlight w:val="none"/>
              </w:rPr>
            </w:pPr>
          </w:p>
        </w:tc>
      </w:tr>
      <w:tr w14:paraId="12785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86" w:type="dxa"/>
            <w:tcBorders>
              <w:top w:val="single" w:color="auto" w:sz="4" w:space="0"/>
              <w:left w:val="single" w:color="auto" w:sz="4" w:space="0"/>
              <w:bottom w:val="single" w:color="auto" w:sz="4" w:space="0"/>
              <w:right w:val="single" w:color="auto" w:sz="4" w:space="0"/>
            </w:tcBorders>
            <w:noWrap w:val="0"/>
            <w:vAlign w:val="center"/>
          </w:tcPr>
          <w:p w14:paraId="44FC2C7C">
            <w:pPr>
              <w:shd w:val="clear" w:color="auto" w:fill="auto"/>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毕业学校</w:t>
            </w:r>
          </w:p>
        </w:tc>
        <w:tc>
          <w:tcPr>
            <w:tcW w:w="7336" w:type="dxa"/>
            <w:gridSpan w:val="8"/>
            <w:tcBorders>
              <w:top w:val="single" w:color="auto" w:sz="4" w:space="0"/>
              <w:left w:val="single" w:color="auto" w:sz="4" w:space="0"/>
              <w:bottom w:val="single" w:color="auto" w:sz="4" w:space="0"/>
              <w:right w:val="single" w:color="auto" w:sz="4" w:space="0"/>
            </w:tcBorders>
            <w:noWrap w:val="0"/>
            <w:vAlign w:val="top"/>
          </w:tcPr>
          <w:p w14:paraId="5C48856D">
            <w:pPr>
              <w:shd w:val="clear" w:color="auto" w:fill="auto"/>
              <w:spacing w:line="440" w:lineRule="exact"/>
              <w:ind w:firstLine="482"/>
              <w:rPr>
                <w:rFonts w:ascii="宋体" w:hAnsi="宋体" w:cs="宋体"/>
                <w:color w:val="auto"/>
                <w:sz w:val="24"/>
                <w:szCs w:val="24"/>
                <w:highlight w:val="none"/>
              </w:rPr>
            </w:pPr>
            <w:r>
              <w:rPr>
                <w:rFonts w:hint="eastAsia" w:ascii="宋体" w:hAnsi="宋体" w:cs="宋体"/>
                <w:color w:val="auto"/>
                <w:sz w:val="24"/>
                <w:szCs w:val="24"/>
                <w:highlight w:val="none"/>
              </w:rPr>
              <w:t xml:space="preserve">      年毕业于            学校        专业</w:t>
            </w:r>
          </w:p>
        </w:tc>
      </w:tr>
      <w:tr w14:paraId="1F605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9"/>
            <w:tcBorders>
              <w:top w:val="single" w:color="auto" w:sz="4" w:space="0"/>
              <w:left w:val="single" w:color="auto" w:sz="4" w:space="0"/>
              <w:bottom w:val="single" w:color="auto" w:sz="4" w:space="0"/>
              <w:right w:val="single" w:color="auto" w:sz="4" w:space="0"/>
            </w:tcBorders>
            <w:noWrap w:val="0"/>
            <w:vAlign w:val="center"/>
          </w:tcPr>
          <w:p w14:paraId="50AD454D">
            <w:pPr>
              <w:shd w:val="clear" w:color="auto" w:fill="auto"/>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主要工作经历</w:t>
            </w:r>
          </w:p>
        </w:tc>
      </w:tr>
      <w:tr w14:paraId="5B48C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center"/>
          </w:tcPr>
          <w:p w14:paraId="7A75A78E">
            <w:pPr>
              <w:shd w:val="clear" w:color="auto" w:fill="auto"/>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时  间</w:t>
            </w:r>
          </w:p>
        </w:tc>
        <w:tc>
          <w:tcPr>
            <w:tcW w:w="3420" w:type="dxa"/>
            <w:gridSpan w:val="4"/>
            <w:tcBorders>
              <w:top w:val="single" w:color="auto" w:sz="4" w:space="0"/>
              <w:left w:val="single" w:color="auto" w:sz="4" w:space="0"/>
              <w:bottom w:val="single" w:color="auto" w:sz="4" w:space="0"/>
              <w:right w:val="single" w:color="auto" w:sz="4" w:space="0"/>
            </w:tcBorders>
            <w:noWrap w:val="0"/>
            <w:vAlign w:val="center"/>
          </w:tcPr>
          <w:p w14:paraId="7535F8B4">
            <w:pPr>
              <w:shd w:val="clear" w:color="auto" w:fill="auto"/>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参加过的类似项目</w:t>
            </w:r>
          </w:p>
        </w:tc>
        <w:tc>
          <w:tcPr>
            <w:tcW w:w="1261" w:type="dxa"/>
            <w:tcBorders>
              <w:top w:val="single" w:color="auto" w:sz="4" w:space="0"/>
              <w:left w:val="single" w:color="auto" w:sz="4" w:space="0"/>
              <w:bottom w:val="single" w:color="auto" w:sz="4" w:space="0"/>
              <w:right w:val="single" w:color="auto" w:sz="4" w:space="0"/>
            </w:tcBorders>
            <w:noWrap w:val="0"/>
            <w:vAlign w:val="center"/>
          </w:tcPr>
          <w:p w14:paraId="499F583A">
            <w:pPr>
              <w:shd w:val="clear" w:color="auto" w:fill="auto"/>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担任职务</w:t>
            </w:r>
          </w:p>
        </w:tc>
        <w:tc>
          <w:tcPr>
            <w:tcW w:w="2296" w:type="dxa"/>
            <w:gridSpan w:val="2"/>
            <w:tcBorders>
              <w:top w:val="single" w:color="auto" w:sz="4" w:space="0"/>
              <w:left w:val="single" w:color="auto" w:sz="4" w:space="0"/>
              <w:bottom w:val="single" w:color="auto" w:sz="4" w:space="0"/>
              <w:right w:val="single" w:color="auto" w:sz="4" w:space="0"/>
            </w:tcBorders>
            <w:noWrap w:val="0"/>
            <w:vAlign w:val="center"/>
          </w:tcPr>
          <w:p w14:paraId="618A7AB6">
            <w:pPr>
              <w:shd w:val="clear" w:color="auto" w:fill="auto"/>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发包人及联系电话</w:t>
            </w:r>
          </w:p>
        </w:tc>
      </w:tr>
      <w:tr w14:paraId="71460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7A0463CA">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2A68F611">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16784ADE">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25485120">
            <w:pPr>
              <w:shd w:val="clear" w:color="auto" w:fill="auto"/>
              <w:spacing w:line="440" w:lineRule="exact"/>
              <w:ind w:firstLine="482"/>
              <w:rPr>
                <w:rFonts w:ascii="宋体" w:hAnsi="宋体" w:cs="宋体"/>
                <w:color w:val="auto"/>
                <w:sz w:val="24"/>
                <w:szCs w:val="24"/>
                <w:highlight w:val="none"/>
              </w:rPr>
            </w:pPr>
          </w:p>
        </w:tc>
      </w:tr>
      <w:tr w14:paraId="7B454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271C495D">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6C1B9E09">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0EC84BBD">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2FEFA5F">
            <w:pPr>
              <w:shd w:val="clear" w:color="auto" w:fill="auto"/>
              <w:spacing w:line="440" w:lineRule="exact"/>
              <w:ind w:firstLine="482"/>
              <w:rPr>
                <w:rFonts w:ascii="宋体" w:hAnsi="宋体" w:cs="宋体"/>
                <w:color w:val="auto"/>
                <w:sz w:val="24"/>
                <w:szCs w:val="24"/>
                <w:highlight w:val="none"/>
              </w:rPr>
            </w:pPr>
          </w:p>
        </w:tc>
      </w:tr>
      <w:tr w14:paraId="751C3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21F0837A">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0D8C9368">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69C6E810">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00AEAB58">
            <w:pPr>
              <w:shd w:val="clear" w:color="auto" w:fill="auto"/>
              <w:spacing w:line="440" w:lineRule="exact"/>
              <w:ind w:firstLine="482"/>
              <w:rPr>
                <w:rFonts w:ascii="宋体" w:hAnsi="宋体" w:cs="宋体"/>
                <w:color w:val="auto"/>
                <w:sz w:val="24"/>
                <w:szCs w:val="24"/>
                <w:highlight w:val="none"/>
              </w:rPr>
            </w:pPr>
          </w:p>
        </w:tc>
      </w:tr>
      <w:tr w14:paraId="7FDBC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5EA2752F">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3E280015">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58DD6EB9">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4D76D2C">
            <w:pPr>
              <w:shd w:val="clear" w:color="auto" w:fill="auto"/>
              <w:spacing w:line="440" w:lineRule="exact"/>
              <w:ind w:firstLine="482"/>
              <w:rPr>
                <w:rFonts w:ascii="宋体" w:hAnsi="宋体" w:cs="宋体"/>
                <w:color w:val="auto"/>
                <w:sz w:val="24"/>
                <w:szCs w:val="24"/>
                <w:highlight w:val="none"/>
              </w:rPr>
            </w:pPr>
          </w:p>
        </w:tc>
      </w:tr>
      <w:tr w14:paraId="0FD2D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4133856C">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77D130B7">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35E3B753">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0B94D6CE">
            <w:pPr>
              <w:shd w:val="clear" w:color="auto" w:fill="auto"/>
              <w:spacing w:line="440" w:lineRule="exact"/>
              <w:ind w:firstLine="482"/>
              <w:rPr>
                <w:rFonts w:ascii="宋体" w:hAnsi="宋体" w:cs="宋体"/>
                <w:color w:val="auto"/>
                <w:sz w:val="24"/>
                <w:szCs w:val="24"/>
                <w:highlight w:val="none"/>
              </w:rPr>
            </w:pPr>
          </w:p>
        </w:tc>
      </w:tr>
      <w:tr w14:paraId="48EE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19F520BF">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46F1F9BE">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0B43AE69">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D812F70">
            <w:pPr>
              <w:shd w:val="clear" w:color="auto" w:fill="auto"/>
              <w:spacing w:line="440" w:lineRule="exact"/>
              <w:ind w:firstLine="482"/>
              <w:rPr>
                <w:rFonts w:ascii="宋体" w:hAnsi="宋体" w:cs="宋体"/>
                <w:color w:val="auto"/>
                <w:sz w:val="24"/>
                <w:szCs w:val="24"/>
                <w:highlight w:val="none"/>
              </w:rPr>
            </w:pPr>
          </w:p>
        </w:tc>
      </w:tr>
      <w:tr w14:paraId="77B88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5BDCB5FA">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1C70900F">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618D0D69">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43E13FBC">
            <w:pPr>
              <w:shd w:val="clear" w:color="auto" w:fill="auto"/>
              <w:spacing w:line="440" w:lineRule="exact"/>
              <w:ind w:firstLine="482"/>
              <w:rPr>
                <w:rFonts w:ascii="宋体" w:hAnsi="宋体" w:cs="宋体"/>
                <w:color w:val="auto"/>
                <w:sz w:val="24"/>
                <w:szCs w:val="24"/>
                <w:highlight w:val="none"/>
              </w:rPr>
            </w:pPr>
          </w:p>
        </w:tc>
      </w:tr>
      <w:tr w14:paraId="41FB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2C98F478">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3AA815C6">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00456EA8">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391B213C">
            <w:pPr>
              <w:shd w:val="clear" w:color="auto" w:fill="auto"/>
              <w:spacing w:line="440" w:lineRule="exact"/>
              <w:ind w:firstLine="482"/>
              <w:rPr>
                <w:rFonts w:ascii="宋体" w:hAnsi="宋体" w:cs="宋体"/>
                <w:color w:val="auto"/>
                <w:sz w:val="24"/>
                <w:szCs w:val="24"/>
                <w:highlight w:val="none"/>
              </w:rPr>
            </w:pPr>
          </w:p>
        </w:tc>
      </w:tr>
      <w:tr w14:paraId="37F87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1FC9FE85">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5E2301C7">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6F08BA6E">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47BEF5CC">
            <w:pPr>
              <w:shd w:val="clear" w:color="auto" w:fill="auto"/>
              <w:spacing w:line="440" w:lineRule="exact"/>
              <w:ind w:firstLine="482"/>
              <w:rPr>
                <w:rFonts w:ascii="宋体" w:hAnsi="宋体" w:cs="宋体"/>
                <w:color w:val="auto"/>
                <w:sz w:val="24"/>
                <w:szCs w:val="24"/>
                <w:highlight w:val="none"/>
              </w:rPr>
            </w:pPr>
          </w:p>
        </w:tc>
      </w:tr>
      <w:tr w14:paraId="3EE3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444D3B96">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490DF22D">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4C3F4793">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715C9034">
            <w:pPr>
              <w:shd w:val="clear" w:color="auto" w:fill="auto"/>
              <w:spacing w:line="440" w:lineRule="exact"/>
              <w:ind w:firstLine="482"/>
              <w:rPr>
                <w:rFonts w:ascii="宋体" w:hAnsi="宋体" w:cs="宋体"/>
                <w:color w:val="auto"/>
                <w:sz w:val="24"/>
                <w:szCs w:val="24"/>
                <w:highlight w:val="none"/>
              </w:rPr>
            </w:pPr>
          </w:p>
        </w:tc>
      </w:tr>
      <w:tr w14:paraId="2026B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225AF511">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687B8CBC">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6880D218">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1C0FEC1C">
            <w:pPr>
              <w:shd w:val="clear" w:color="auto" w:fill="auto"/>
              <w:spacing w:line="440" w:lineRule="exact"/>
              <w:ind w:firstLine="482"/>
              <w:rPr>
                <w:rFonts w:ascii="宋体" w:hAnsi="宋体" w:cs="宋体"/>
                <w:color w:val="auto"/>
                <w:sz w:val="24"/>
                <w:szCs w:val="24"/>
                <w:highlight w:val="none"/>
              </w:rPr>
            </w:pPr>
          </w:p>
        </w:tc>
      </w:tr>
      <w:tr w14:paraId="06EA9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5" w:type="dxa"/>
            <w:gridSpan w:val="2"/>
            <w:tcBorders>
              <w:top w:val="single" w:color="auto" w:sz="4" w:space="0"/>
              <w:left w:val="single" w:color="auto" w:sz="4" w:space="0"/>
              <w:bottom w:val="single" w:color="auto" w:sz="4" w:space="0"/>
              <w:right w:val="single" w:color="auto" w:sz="4" w:space="0"/>
            </w:tcBorders>
            <w:noWrap w:val="0"/>
            <w:vAlign w:val="top"/>
          </w:tcPr>
          <w:p w14:paraId="0F1662BD">
            <w:pPr>
              <w:shd w:val="clear" w:color="auto" w:fill="auto"/>
              <w:spacing w:line="440" w:lineRule="exact"/>
              <w:ind w:firstLine="482"/>
              <w:rPr>
                <w:rFonts w:ascii="宋体" w:hAnsi="宋体" w:cs="宋体"/>
                <w:color w:val="auto"/>
                <w:sz w:val="24"/>
                <w:szCs w:val="24"/>
                <w:highlight w:val="none"/>
              </w:rPr>
            </w:pPr>
          </w:p>
        </w:tc>
        <w:tc>
          <w:tcPr>
            <w:tcW w:w="3420" w:type="dxa"/>
            <w:gridSpan w:val="4"/>
            <w:tcBorders>
              <w:top w:val="single" w:color="auto" w:sz="4" w:space="0"/>
              <w:left w:val="single" w:color="auto" w:sz="4" w:space="0"/>
              <w:bottom w:val="single" w:color="auto" w:sz="4" w:space="0"/>
              <w:right w:val="single" w:color="auto" w:sz="4" w:space="0"/>
            </w:tcBorders>
            <w:noWrap w:val="0"/>
            <w:vAlign w:val="top"/>
          </w:tcPr>
          <w:p w14:paraId="0DC7A48A">
            <w:pPr>
              <w:shd w:val="clear" w:color="auto" w:fill="auto"/>
              <w:spacing w:line="440" w:lineRule="exact"/>
              <w:ind w:firstLine="482"/>
              <w:rPr>
                <w:rFonts w:ascii="宋体" w:hAnsi="宋体" w:cs="宋体"/>
                <w:color w:val="auto"/>
                <w:sz w:val="24"/>
                <w:szCs w:val="24"/>
                <w:highlight w:val="none"/>
              </w:rPr>
            </w:pPr>
          </w:p>
        </w:tc>
        <w:tc>
          <w:tcPr>
            <w:tcW w:w="1261" w:type="dxa"/>
            <w:tcBorders>
              <w:top w:val="single" w:color="auto" w:sz="4" w:space="0"/>
              <w:left w:val="single" w:color="auto" w:sz="4" w:space="0"/>
              <w:bottom w:val="single" w:color="auto" w:sz="4" w:space="0"/>
              <w:right w:val="single" w:color="auto" w:sz="4" w:space="0"/>
            </w:tcBorders>
            <w:noWrap w:val="0"/>
            <w:vAlign w:val="top"/>
          </w:tcPr>
          <w:p w14:paraId="5F093FEE">
            <w:pPr>
              <w:shd w:val="clear" w:color="auto" w:fill="auto"/>
              <w:spacing w:line="440" w:lineRule="exact"/>
              <w:ind w:firstLine="482"/>
              <w:rPr>
                <w:rFonts w:ascii="宋体" w:hAnsi="宋体" w:cs="宋体"/>
                <w:color w:val="auto"/>
                <w:sz w:val="24"/>
                <w:szCs w:val="24"/>
                <w:highlight w:val="none"/>
              </w:rPr>
            </w:pPr>
          </w:p>
        </w:tc>
        <w:tc>
          <w:tcPr>
            <w:tcW w:w="2296" w:type="dxa"/>
            <w:gridSpan w:val="2"/>
            <w:tcBorders>
              <w:top w:val="single" w:color="auto" w:sz="4" w:space="0"/>
              <w:left w:val="single" w:color="auto" w:sz="4" w:space="0"/>
              <w:bottom w:val="single" w:color="auto" w:sz="4" w:space="0"/>
              <w:right w:val="single" w:color="auto" w:sz="4" w:space="0"/>
            </w:tcBorders>
            <w:noWrap w:val="0"/>
            <w:vAlign w:val="top"/>
          </w:tcPr>
          <w:p w14:paraId="6D8EA069">
            <w:pPr>
              <w:shd w:val="clear" w:color="auto" w:fill="auto"/>
              <w:spacing w:line="440" w:lineRule="exact"/>
              <w:ind w:firstLine="482"/>
              <w:rPr>
                <w:rFonts w:ascii="宋体" w:hAnsi="宋体" w:cs="宋体"/>
                <w:color w:val="auto"/>
                <w:sz w:val="24"/>
                <w:szCs w:val="24"/>
                <w:highlight w:val="none"/>
              </w:rPr>
            </w:pPr>
          </w:p>
        </w:tc>
      </w:tr>
    </w:tbl>
    <w:p w14:paraId="0BC79B3F">
      <w:pPr>
        <w:shd w:val="clear" w:color="auto" w:fill="auto"/>
        <w:spacing w:line="360" w:lineRule="auto"/>
        <w:ind w:firstLine="542"/>
        <w:rPr>
          <w:rFonts w:hint="eastAsia" w:ascii="宋体" w:hAnsi="宋体" w:cs="宋体"/>
          <w:color w:val="auto"/>
          <w:sz w:val="27"/>
          <w:szCs w:val="27"/>
          <w:highlight w:val="none"/>
        </w:rPr>
      </w:pPr>
    </w:p>
    <w:p w14:paraId="4908428A">
      <w:pPr>
        <w:pStyle w:val="2"/>
        <w:shd w:val="clear" w:color="auto" w:fill="auto"/>
        <w:ind w:firstLine="602"/>
        <w:jc w:val="center"/>
        <w:rPr>
          <w:rFonts w:hint="eastAsia" w:ascii="宋体" w:hAnsi="宋体" w:eastAsia="宋体" w:cs="宋体"/>
          <w:color w:val="auto"/>
          <w:highlight w:val="none"/>
        </w:rPr>
      </w:pPr>
      <w:r>
        <w:rPr>
          <w:rFonts w:hint="eastAsia" w:ascii="宋体" w:hAnsi="宋体" w:cs="宋体"/>
          <w:b w:val="0"/>
          <w:bCs w:val="0"/>
          <w:color w:val="auto"/>
          <w:highlight w:val="none"/>
        </w:rPr>
        <w:br w:type="page"/>
      </w:r>
      <w:bookmarkStart w:id="1491" w:name="_Toc246997115"/>
      <w:bookmarkStart w:id="1492" w:name="_Toc179632827"/>
      <w:bookmarkStart w:id="1493" w:name="_Toc296602617"/>
      <w:bookmarkStart w:id="1494" w:name="_Toc247085890"/>
      <w:bookmarkStart w:id="1495" w:name="_Toc152042596"/>
      <w:bookmarkStart w:id="1496" w:name="_Toc246996372"/>
      <w:bookmarkStart w:id="1497" w:name="_Toc144974875"/>
      <w:bookmarkStart w:id="1498" w:name="_Toc152045807"/>
      <w:bookmarkStart w:id="1499" w:name="_Toc6931"/>
      <w:bookmarkStart w:id="1500" w:name="_Toc31800"/>
      <w:bookmarkStart w:id="1501" w:name="_Toc77586879"/>
      <w:bookmarkStart w:id="1502" w:name="_Toc77586977"/>
      <w:r>
        <w:rPr>
          <w:rFonts w:hint="eastAsia" w:ascii="宋体" w:hAnsi="宋体" w:eastAsia="宋体" w:cs="宋体"/>
          <w:color w:val="auto"/>
          <w:highlight w:val="none"/>
        </w:rPr>
        <w:t>八、</w:t>
      </w:r>
      <w:bookmarkEnd w:id="1491"/>
      <w:bookmarkEnd w:id="1492"/>
      <w:bookmarkEnd w:id="1493"/>
      <w:bookmarkEnd w:id="1494"/>
      <w:bookmarkEnd w:id="1495"/>
      <w:bookmarkEnd w:id="1496"/>
      <w:bookmarkEnd w:id="1497"/>
      <w:bookmarkEnd w:id="1498"/>
      <w:r>
        <w:rPr>
          <w:rFonts w:hint="eastAsia" w:ascii="宋体" w:hAnsi="宋体" w:eastAsia="宋体" w:cs="宋体"/>
          <w:color w:val="auto"/>
          <w:highlight w:val="none"/>
        </w:rPr>
        <w:t>投标人基本情况</w:t>
      </w:r>
      <w:bookmarkEnd w:id="1499"/>
      <w:bookmarkEnd w:id="1500"/>
      <w:bookmarkEnd w:id="1501"/>
      <w:bookmarkEnd w:id="1502"/>
    </w:p>
    <w:p w14:paraId="64788355">
      <w:pPr>
        <w:pStyle w:val="3"/>
        <w:shd w:val="clear" w:color="auto" w:fill="auto"/>
        <w:ind w:firstLine="640"/>
        <w:jc w:val="left"/>
        <w:rPr>
          <w:rFonts w:hint="eastAsia" w:ascii="宋体" w:hAnsi="宋体" w:cs="宋体"/>
          <w:color w:val="auto"/>
          <w:highlight w:val="none"/>
        </w:rPr>
      </w:pPr>
      <w:bookmarkStart w:id="1503" w:name="_Toc152042597"/>
      <w:bookmarkStart w:id="1504" w:name="_Toc296602618"/>
      <w:bookmarkStart w:id="1505" w:name="_Toc247085891"/>
      <w:bookmarkStart w:id="1506" w:name="_Toc179632828"/>
      <w:bookmarkStart w:id="1507" w:name="_Toc246997116"/>
      <w:bookmarkStart w:id="1508" w:name="_Toc123"/>
      <w:bookmarkStart w:id="1509" w:name="_Toc77586978"/>
      <w:bookmarkStart w:id="1510" w:name="_Toc144974876"/>
      <w:bookmarkStart w:id="1511" w:name="_Toc246996373"/>
      <w:bookmarkStart w:id="1512" w:name="_Toc5155"/>
      <w:bookmarkStart w:id="1513" w:name="_Toc77586880"/>
      <w:bookmarkStart w:id="1514" w:name="_Toc152045808"/>
      <w:r>
        <w:rPr>
          <w:rFonts w:hint="eastAsia" w:ascii="宋体" w:hAnsi="宋体" w:cs="宋体"/>
          <w:color w:val="auto"/>
          <w:highlight w:val="none"/>
        </w:rPr>
        <w:t>（一）供应商基本情况表</w:t>
      </w:r>
      <w:bookmarkEnd w:id="1503"/>
      <w:bookmarkEnd w:id="1504"/>
      <w:bookmarkEnd w:id="1505"/>
      <w:bookmarkEnd w:id="1506"/>
      <w:bookmarkEnd w:id="1507"/>
      <w:bookmarkEnd w:id="1508"/>
      <w:bookmarkEnd w:id="1509"/>
      <w:bookmarkEnd w:id="1510"/>
      <w:bookmarkEnd w:id="1511"/>
      <w:bookmarkEnd w:id="1512"/>
      <w:bookmarkEnd w:id="1513"/>
      <w:bookmarkEnd w:id="1514"/>
    </w:p>
    <w:tbl>
      <w:tblPr>
        <w:tblStyle w:val="15"/>
        <w:tblW w:w="8565"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26"/>
        <w:gridCol w:w="1187"/>
        <w:gridCol w:w="661"/>
        <w:gridCol w:w="840"/>
        <w:gridCol w:w="420"/>
        <w:gridCol w:w="311"/>
        <w:gridCol w:w="1179"/>
        <w:gridCol w:w="389"/>
        <w:gridCol w:w="860"/>
        <w:gridCol w:w="992"/>
      </w:tblGrid>
      <w:tr w14:paraId="63187B1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4DEC975">
            <w:pPr>
              <w:shd w:val="clear" w:color="auto" w:fill="auto"/>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投标人名称</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72C45D15">
            <w:pPr>
              <w:shd w:val="clear" w:color="auto" w:fill="auto"/>
              <w:topLinePunct/>
              <w:spacing w:line="440" w:lineRule="exact"/>
              <w:ind w:firstLine="482"/>
              <w:jc w:val="center"/>
              <w:rPr>
                <w:rFonts w:ascii="宋体" w:hAnsi="宋体" w:cs="宋体"/>
                <w:color w:val="auto"/>
                <w:sz w:val="24"/>
                <w:szCs w:val="24"/>
                <w:highlight w:val="none"/>
              </w:rPr>
            </w:pPr>
          </w:p>
        </w:tc>
      </w:tr>
      <w:tr w14:paraId="1513CE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20F6A35">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注册地址</w:t>
            </w:r>
          </w:p>
        </w:tc>
        <w:tc>
          <w:tcPr>
            <w:tcW w:w="3420" w:type="dxa"/>
            <w:gridSpan w:val="5"/>
            <w:tcBorders>
              <w:top w:val="single" w:color="auto" w:sz="4" w:space="0"/>
              <w:left w:val="single" w:color="auto" w:sz="4" w:space="0"/>
              <w:bottom w:val="single" w:color="auto" w:sz="4" w:space="0"/>
              <w:right w:val="single" w:color="auto" w:sz="4" w:space="0"/>
            </w:tcBorders>
            <w:noWrap w:val="0"/>
            <w:vAlign w:val="center"/>
          </w:tcPr>
          <w:p w14:paraId="7AF70DC1">
            <w:pPr>
              <w:shd w:val="clear" w:color="auto" w:fill="auto"/>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2C9401D7">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邮政编码</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3EBAF91C">
            <w:pPr>
              <w:shd w:val="clear" w:color="auto" w:fill="auto"/>
              <w:topLinePunct/>
              <w:spacing w:line="440" w:lineRule="exact"/>
              <w:rPr>
                <w:rFonts w:hint="eastAsia" w:ascii="宋体" w:hAnsi="宋体" w:cs="宋体"/>
                <w:color w:val="auto"/>
                <w:sz w:val="24"/>
                <w:szCs w:val="24"/>
                <w:highlight w:val="none"/>
              </w:rPr>
            </w:pPr>
          </w:p>
        </w:tc>
      </w:tr>
      <w:tr w14:paraId="0497EA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5" w:hRule="atLeast"/>
          <w:jc w:val="center"/>
        </w:trPr>
        <w:tc>
          <w:tcPr>
            <w:tcW w:w="1728" w:type="dxa"/>
            <w:vMerge w:val="restart"/>
            <w:tcBorders>
              <w:top w:val="single" w:color="auto" w:sz="4" w:space="0"/>
              <w:left w:val="single" w:color="auto" w:sz="4" w:space="0"/>
              <w:bottom w:val="single" w:color="auto" w:sz="4" w:space="0"/>
              <w:right w:val="single" w:color="auto" w:sz="4" w:space="0"/>
            </w:tcBorders>
            <w:noWrap w:val="0"/>
            <w:vAlign w:val="center"/>
          </w:tcPr>
          <w:p w14:paraId="5141F80A">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联系方式</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130E828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联系人</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58FD3B15">
            <w:pPr>
              <w:shd w:val="clear" w:color="auto" w:fill="auto"/>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0632A4A5">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 话</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11B51EBC">
            <w:pPr>
              <w:shd w:val="clear" w:color="auto" w:fill="auto"/>
              <w:topLinePunct/>
              <w:spacing w:line="440" w:lineRule="exact"/>
              <w:rPr>
                <w:rFonts w:hint="eastAsia" w:ascii="宋体" w:hAnsi="宋体" w:cs="宋体"/>
                <w:color w:val="auto"/>
                <w:sz w:val="24"/>
                <w:szCs w:val="24"/>
                <w:highlight w:val="none"/>
              </w:rPr>
            </w:pPr>
          </w:p>
        </w:tc>
      </w:tr>
      <w:tr w14:paraId="61DA30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3" w:hRule="atLeast"/>
          <w:jc w:val="center"/>
        </w:trPr>
        <w:tc>
          <w:tcPr>
            <w:tcW w:w="1728" w:type="dxa"/>
            <w:vMerge w:val="continue"/>
            <w:tcBorders>
              <w:top w:val="single" w:color="auto" w:sz="4" w:space="0"/>
              <w:left w:val="single" w:color="auto" w:sz="4" w:space="0"/>
              <w:bottom w:val="single" w:color="auto" w:sz="4" w:space="0"/>
              <w:right w:val="single" w:color="auto" w:sz="4" w:space="0"/>
            </w:tcBorders>
            <w:noWrap w:val="0"/>
            <w:vAlign w:val="center"/>
          </w:tcPr>
          <w:p w14:paraId="263FADFC">
            <w:pPr>
              <w:shd w:val="clear" w:color="auto" w:fill="auto"/>
              <w:topLinePunct/>
              <w:spacing w:line="440" w:lineRule="exact"/>
              <w:rPr>
                <w:rFonts w:hint="eastAsia" w:ascii="宋体" w:hAnsi="宋体" w:cs="宋体"/>
                <w:color w:val="auto"/>
                <w:sz w:val="24"/>
                <w:szCs w:val="24"/>
                <w:highlight w:val="none"/>
              </w:rPr>
            </w:pPr>
          </w:p>
        </w:tc>
        <w:tc>
          <w:tcPr>
            <w:tcW w:w="1188" w:type="dxa"/>
            <w:tcBorders>
              <w:top w:val="single" w:color="auto" w:sz="4" w:space="0"/>
              <w:left w:val="single" w:color="auto" w:sz="4" w:space="0"/>
              <w:bottom w:val="single" w:color="auto" w:sz="4" w:space="0"/>
              <w:right w:val="single" w:color="auto" w:sz="4" w:space="0"/>
            </w:tcBorders>
            <w:noWrap w:val="0"/>
            <w:vAlign w:val="center"/>
          </w:tcPr>
          <w:p w14:paraId="50B4E84B">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传  真</w:t>
            </w:r>
          </w:p>
        </w:tc>
        <w:tc>
          <w:tcPr>
            <w:tcW w:w="2232" w:type="dxa"/>
            <w:gridSpan w:val="4"/>
            <w:tcBorders>
              <w:top w:val="single" w:color="auto" w:sz="4" w:space="0"/>
              <w:left w:val="single" w:color="auto" w:sz="4" w:space="0"/>
              <w:bottom w:val="single" w:color="auto" w:sz="4" w:space="0"/>
              <w:right w:val="single" w:color="auto" w:sz="4" w:space="0"/>
            </w:tcBorders>
            <w:noWrap w:val="0"/>
            <w:vAlign w:val="center"/>
          </w:tcPr>
          <w:p w14:paraId="50FA6073">
            <w:pPr>
              <w:shd w:val="clear" w:color="auto" w:fill="auto"/>
              <w:topLinePunct/>
              <w:spacing w:line="440" w:lineRule="exact"/>
              <w:rPr>
                <w:rFonts w:hint="eastAsia" w:ascii="宋体" w:hAnsi="宋体" w:cs="宋体"/>
                <w:color w:val="auto"/>
                <w:sz w:val="24"/>
                <w:szCs w:val="24"/>
                <w:highlight w:val="none"/>
              </w:rPr>
            </w:pPr>
          </w:p>
        </w:tc>
        <w:tc>
          <w:tcPr>
            <w:tcW w:w="1179" w:type="dxa"/>
            <w:tcBorders>
              <w:top w:val="single" w:color="auto" w:sz="4" w:space="0"/>
              <w:left w:val="single" w:color="auto" w:sz="4" w:space="0"/>
              <w:bottom w:val="single" w:color="auto" w:sz="4" w:space="0"/>
              <w:right w:val="single" w:color="auto" w:sz="4" w:space="0"/>
            </w:tcBorders>
            <w:noWrap w:val="0"/>
            <w:vAlign w:val="center"/>
          </w:tcPr>
          <w:p w14:paraId="6E2859CC">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网 址</w:t>
            </w:r>
          </w:p>
        </w:tc>
        <w:tc>
          <w:tcPr>
            <w:tcW w:w="2241" w:type="dxa"/>
            <w:gridSpan w:val="3"/>
            <w:tcBorders>
              <w:top w:val="single" w:color="auto" w:sz="4" w:space="0"/>
              <w:left w:val="single" w:color="auto" w:sz="4" w:space="0"/>
              <w:bottom w:val="single" w:color="auto" w:sz="4" w:space="0"/>
              <w:right w:val="single" w:color="auto" w:sz="4" w:space="0"/>
            </w:tcBorders>
            <w:noWrap w:val="0"/>
            <w:vAlign w:val="center"/>
          </w:tcPr>
          <w:p w14:paraId="0F23DD4D">
            <w:pPr>
              <w:shd w:val="clear" w:color="auto" w:fill="auto"/>
              <w:topLinePunct/>
              <w:spacing w:line="440" w:lineRule="exact"/>
              <w:rPr>
                <w:rFonts w:hint="eastAsia" w:ascii="宋体" w:hAnsi="宋体" w:cs="宋体"/>
                <w:color w:val="auto"/>
                <w:sz w:val="24"/>
                <w:szCs w:val="24"/>
                <w:highlight w:val="none"/>
              </w:rPr>
            </w:pPr>
          </w:p>
        </w:tc>
      </w:tr>
      <w:tr w14:paraId="6D5AC92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28A6680">
            <w:pPr>
              <w:shd w:val="clear" w:color="auto" w:fill="auto"/>
              <w:topLinePunct/>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组织结构</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3E2DB61F">
            <w:pPr>
              <w:shd w:val="clear" w:color="auto" w:fill="auto"/>
              <w:topLinePunct/>
              <w:spacing w:line="440" w:lineRule="exact"/>
              <w:ind w:firstLine="482"/>
              <w:jc w:val="center"/>
              <w:rPr>
                <w:rFonts w:ascii="宋体" w:hAnsi="宋体" w:cs="宋体"/>
                <w:color w:val="auto"/>
                <w:sz w:val="24"/>
                <w:szCs w:val="24"/>
                <w:highlight w:val="none"/>
              </w:rPr>
            </w:pPr>
          </w:p>
        </w:tc>
      </w:tr>
      <w:tr w14:paraId="6201DA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8"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7E5C554B">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法定代表人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70EFFF4C">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67B58979">
            <w:pPr>
              <w:shd w:val="clear" w:color="auto" w:fill="auto"/>
              <w:topLinePunct/>
              <w:spacing w:line="440" w:lineRule="exact"/>
              <w:rPr>
                <w:rFonts w:hint="eastAsia" w:ascii="宋体" w:hAnsi="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5BB5332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30BA606B">
            <w:pPr>
              <w:shd w:val="clear" w:color="auto" w:fill="auto"/>
              <w:topLinePunct/>
              <w:spacing w:line="440" w:lineRule="exact"/>
              <w:rPr>
                <w:rFonts w:hint="eastAsia" w:ascii="宋体" w:hAnsi="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765DCCEC">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61500C0">
            <w:pPr>
              <w:shd w:val="clear" w:color="auto" w:fill="auto"/>
              <w:topLinePunct/>
              <w:spacing w:line="440" w:lineRule="exact"/>
              <w:rPr>
                <w:rFonts w:hint="eastAsia" w:ascii="宋体" w:hAnsi="宋体" w:cs="宋体"/>
                <w:color w:val="auto"/>
                <w:sz w:val="24"/>
                <w:szCs w:val="24"/>
                <w:highlight w:val="none"/>
              </w:rPr>
            </w:pPr>
          </w:p>
        </w:tc>
      </w:tr>
      <w:tr w14:paraId="3D673B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23B5A7D">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技术负责人</w:t>
            </w:r>
          </w:p>
        </w:tc>
        <w:tc>
          <w:tcPr>
            <w:tcW w:w="1188" w:type="dxa"/>
            <w:tcBorders>
              <w:top w:val="single" w:color="auto" w:sz="4" w:space="0"/>
              <w:left w:val="single" w:color="auto" w:sz="4" w:space="0"/>
              <w:bottom w:val="single" w:color="auto" w:sz="4" w:space="0"/>
              <w:right w:val="single" w:color="auto" w:sz="4" w:space="0"/>
            </w:tcBorders>
            <w:noWrap w:val="0"/>
            <w:vAlign w:val="center"/>
          </w:tcPr>
          <w:p w14:paraId="663482D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姓名</w:t>
            </w:r>
          </w:p>
        </w:tc>
        <w:tc>
          <w:tcPr>
            <w:tcW w:w="661" w:type="dxa"/>
            <w:tcBorders>
              <w:top w:val="single" w:color="auto" w:sz="4" w:space="0"/>
              <w:left w:val="single" w:color="auto" w:sz="4" w:space="0"/>
              <w:bottom w:val="single" w:color="auto" w:sz="4" w:space="0"/>
              <w:right w:val="single" w:color="auto" w:sz="4" w:space="0"/>
            </w:tcBorders>
            <w:noWrap w:val="0"/>
            <w:vAlign w:val="center"/>
          </w:tcPr>
          <w:p w14:paraId="32E2224D">
            <w:pPr>
              <w:shd w:val="clear" w:color="auto" w:fill="auto"/>
              <w:topLinePunct/>
              <w:spacing w:line="440" w:lineRule="exact"/>
              <w:rPr>
                <w:rFonts w:hint="eastAsia" w:ascii="宋体" w:hAnsi="宋体" w:cs="宋体"/>
                <w:color w:val="auto"/>
                <w:sz w:val="24"/>
                <w:szCs w:val="24"/>
                <w:highlight w:val="none"/>
              </w:rPr>
            </w:pPr>
          </w:p>
        </w:tc>
        <w:tc>
          <w:tcPr>
            <w:tcW w:w="1260" w:type="dxa"/>
            <w:gridSpan w:val="2"/>
            <w:tcBorders>
              <w:top w:val="single" w:color="auto" w:sz="4" w:space="0"/>
              <w:left w:val="single" w:color="auto" w:sz="4" w:space="0"/>
              <w:bottom w:val="single" w:color="auto" w:sz="4" w:space="0"/>
              <w:right w:val="single" w:color="auto" w:sz="4" w:space="0"/>
            </w:tcBorders>
            <w:noWrap w:val="0"/>
            <w:vAlign w:val="center"/>
          </w:tcPr>
          <w:p w14:paraId="35C8AA2C">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技术职称</w:t>
            </w:r>
          </w:p>
        </w:tc>
        <w:tc>
          <w:tcPr>
            <w:tcW w:w="1879" w:type="dxa"/>
            <w:gridSpan w:val="3"/>
            <w:tcBorders>
              <w:top w:val="single" w:color="auto" w:sz="4" w:space="0"/>
              <w:left w:val="single" w:color="auto" w:sz="4" w:space="0"/>
              <w:bottom w:val="single" w:color="auto" w:sz="4" w:space="0"/>
              <w:right w:val="single" w:color="auto" w:sz="4" w:space="0"/>
            </w:tcBorders>
            <w:noWrap w:val="0"/>
            <w:vAlign w:val="center"/>
          </w:tcPr>
          <w:p w14:paraId="434126E7">
            <w:pPr>
              <w:shd w:val="clear" w:color="auto" w:fill="auto"/>
              <w:topLinePunct/>
              <w:spacing w:line="440" w:lineRule="exact"/>
              <w:rPr>
                <w:rFonts w:hint="eastAsia" w:ascii="宋体" w:hAnsi="宋体" w:cs="宋体"/>
                <w:color w:val="auto"/>
                <w:sz w:val="24"/>
                <w:szCs w:val="24"/>
                <w:highlight w:val="none"/>
              </w:rPr>
            </w:pPr>
          </w:p>
        </w:tc>
        <w:tc>
          <w:tcPr>
            <w:tcW w:w="860" w:type="dxa"/>
            <w:tcBorders>
              <w:top w:val="single" w:color="auto" w:sz="4" w:space="0"/>
              <w:left w:val="single" w:color="auto" w:sz="4" w:space="0"/>
              <w:bottom w:val="single" w:color="auto" w:sz="4" w:space="0"/>
              <w:right w:val="single" w:color="auto" w:sz="4" w:space="0"/>
            </w:tcBorders>
            <w:noWrap w:val="0"/>
            <w:vAlign w:val="center"/>
          </w:tcPr>
          <w:p w14:paraId="15B432B0">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电话</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78D754">
            <w:pPr>
              <w:shd w:val="clear" w:color="auto" w:fill="auto"/>
              <w:topLinePunct/>
              <w:spacing w:line="440" w:lineRule="exact"/>
              <w:rPr>
                <w:rFonts w:hint="eastAsia" w:ascii="宋体" w:hAnsi="宋体" w:cs="宋体"/>
                <w:color w:val="auto"/>
                <w:sz w:val="24"/>
                <w:szCs w:val="24"/>
                <w:highlight w:val="none"/>
              </w:rPr>
            </w:pPr>
          </w:p>
        </w:tc>
      </w:tr>
      <w:tr w14:paraId="389723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4E368A82">
            <w:pPr>
              <w:shd w:val="clear" w:color="auto" w:fill="auto"/>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成立时间</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4A8E44D2">
            <w:pPr>
              <w:shd w:val="clear" w:color="auto" w:fill="auto"/>
              <w:topLinePunct/>
              <w:spacing w:line="440" w:lineRule="exact"/>
              <w:ind w:firstLine="482"/>
              <w:jc w:val="center"/>
              <w:rPr>
                <w:rFonts w:ascii="宋体" w:hAnsi="宋体" w:cs="宋体"/>
                <w:color w:val="auto"/>
                <w:sz w:val="24"/>
                <w:szCs w:val="24"/>
                <w:highlight w:val="none"/>
              </w:rPr>
            </w:pPr>
          </w:p>
        </w:tc>
        <w:tc>
          <w:tcPr>
            <w:tcW w:w="4991" w:type="dxa"/>
            <w:gridSpan w:val="7"/>
            <w:tcBorders>
              <w:top w:val="single" w:color="auto" w:sz="4" w:space="0"/>
              <w:left w:val="single" w:color="auto" w:sz="4" w:space="0"/>
              <w:bottom w:val="single" w:color="auto" w:sz="4" w:space="0"/>
              <w:right w:val="single" w:color="auto" w:sz="4" w:space="0"/>
            </w:tcBorders>
            <w:noWrap w:val="0"/>
            <w:vAlign w:val="center"/>
          </w:tcPr>
          <w:p w14:paraId="6AEE633A">
            <w:pPr>
              <w:shd w:val="clear" w:color="auto" w:fill="auto"/>
              <w:topLinePunct/>
              <w:spacing w:line="440" w:lineRule="exact"/>
              <w:ind w:firstLine="120" w:firstLineChars="50"/>
              <w:jc w:val="center"/>
              <w:rPr>
                <w:rFonts w:ascii="宋体" w:hAnsi="宋体" w:cs="宋体"/>
                <w:color w:val="auto"/>
                <w:sz w:val="24"/>
                <w:szCs w:val="24"/>
                <w:highlight w:val="none"/>
              </w:rPr>
            </w:pPr>
            <w:r>
              <w:rPr>
                <w:rFonts w:hint="eastAsia" w:ascii="宋体" w:hAnsi="宋体" w:cs="宋体"/>
                <w:color w:val="auto"/>
                <w:sz w:val="24"/>
                <w:szCs w:val="24"/>
                <w:highlight w:val="none"/>
              </w:rPr>
              <w:t>员工总人数：</w:t>
            </w:r>
          </w:p>
        </w:tc>
      </w:tr>
      <w:tr w14:paraId="38C10D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10"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A6A7804">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营业执照号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047ECFF1">
            <w:pPr>
              <w:shd w:val="clear" w:color="auto" w:fill="auto"/>
              <w:topLinePunct/>
              <w:spacing w:line="440" w:lineRule="exact"/>
              <w:ind w:firstLine="482"/>
              <w:jc w:val="center"/>
              <w:rPr>
                <w:rFonts w:ascii="宋体" w:hAnsi="宋体" w:cs="宋体"/>
                <w:color w:val="auto"/>
                <w:sz w:val="24"/>
                <w:szCs w:val="24"/>
                <w:highlight w:val="none"/>
              </w:rPr>
            </w:pPr>
          </w:p>
        </w:tc>
        <w:tc>
          <w:tcPr>
            <w:tcW w:w="840" w:type="dxa"/>
            <w:vMerge w:val="restart"/>
            <w:tcBorders>
              <w:top w:val="single" w:color="auto" w:sz="4" w:space="0"/>
              <w:left w:val="single" w:color="auto" w:sz="4" w:space="0"/>
              <w:bottom w:val="single" w:color="auto" w:sz="4" w:space="0"/>
              <w:right w:val="single" w:color="auto" w:sz="4" w:space="0"/>
            </w:tcBorders>
            <w:noWrap w:val="0"/>
            <w:vAlign w:val="center"/>
          </w:tcPr>
          <w:p w14:paraId="5CD5973C">
            <w:pPr>
              <w:shd w:val="clear" w:color="auto" w:fill="auto"/>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其中</w:t>
            </w: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FEDC24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高级职称人员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5B0A0A5E">
            <w:pPr>
              <w:shd w:val="clear" w:color="auto" w:fill="auto"/>
              <w:topLinePunct/>
              <w:spacing w:line="440" w:lineRule="exact"/>
              <w:ind w:firstLine="482"/>
              <w:jc w:val="center"/>
              <w:rPr>
                <w:rFonts w:ascii="宋体" w:hAnsi="宋体" w:cs="宋体"/>
                <w:color w:val="auto"/>
                <w:sz w:val="24"/>
                <w:szCs w:val="24"/>
                <w:highlight w:val="none"/>
              </w:rPr>
            </w:pPr>
          </w:p>
        </w:tc>
      </w:tr>
      <w:tr w14:paraId="602CA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4"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DD6247A">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注册资金</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729E60E2">
            <w:pPr>
              <w:shd w:val="clear" w:color="auto" w:fill="auto"/>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1B1CF0D8">
            <w:pPr>
              <w:widowControl/>
              <w:shd w:val="clear" w:color="auto" w:fill="auto"/>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1F85983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中级职称人员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6FCDBCB">
            <w:pPr>
              <w:shd w:val="clear" w:color="auto" w:fill="auto"/>
              <w:topLinePunct/>
              <w:spacing w:line="440" w:lineRule="exact"/>
              <w:ind w:firstLine="482"/>
              <w:jc w:val="center"/>
              <w:rPr>
                <w:rFonts w:ascii="宋体" w:hAnsi="宋体" w:cs="宋体"/>
                <w:color w:val="auto"/>
                <w:sz w:val="24"/>
                <w:szCs w:val="24"/>
                <w:highlight w:val="none"/>
              </w:rPr>
            </w:pPr>
          </w:p>
        </w:tc>
      </w:tr>
      <w:tr w14:paraId="65FE22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1E35E1E2">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开户银行</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1F4D6FB1">
            <w:pPr>
              <w:shd w:val="clear" w:color="auto" w:fill="auto"/>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7EB82EBE">
            <w:pPr>
              <w:widowControl/>
              <w:shd w:val="clear" w:color="auto" w:fill="auto"/>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28BB9268">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初级职称人员</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79D81B21">
            <w:pPr>
              <w:shd w:val="clear" w:color="auto" w:fill="auto"/>
              <w:topLinePunct/>
              <w:spacing w:line="440" w:lineRule="exact"/>
              <w:ind w:firstLine="482"/>
              <w:jc w:val="center"/>
              <w:rPr>
                <w:rFonts w:ascii="宋体" w:hAnsi="宋体" w:cs="宋体"/>
                <w:color w:val="auto"/>
                <w:sz w:val="24"/>
                <w:szCs w:val="24"/>
                <w:highlight w:val="none"/>
              </w:rPr>
            </w:pPr>
          </w:p>
        </w:tc>
      </w:tr>
      <w:tr w14:paraId="673404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06"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02C66BF1">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账号</w:t>
            </w:r>
          </w:p>
        </w:tc>
        <w:tc>
          <w:tcPr>
            <w:tcW w:w="1849" w:type="dxa"/>
            <w:gridSpan w:val="2"/>
            <w:tcBorders>
              <w:top w:val="single" w:color="auto" w:sz="4" w:space="0"/>
              <w:left w:val="single" w:color="auto" w:sz="4" w:space="0"/>
              <w:bottom w:val="single" w:color="auto" w:sz="4" w:space="0"/>
              <w:right w:val="single" w:color="auto" w:sz="4" w:space="0"/>
            </w:tcBorders>
            <w:noWrap w:val="0"/>
            <w:vAlign w:val="center"/>
          </w:tcPr>
          <w:p w14:paraId="6D2937C1">
            <w:pPr>
              <w:shd w:val="clear" w:color="auto" w:fill="auto"/>
              <w:topLinePunct/>
              <w:spacing w:line="440" w:lineRule="exact"/>
              <w:ind w:firstLine="482"/>
              <w:jc w:val="center"/>
              <w:rPr>
                <w:rFonts w:ascii="宋体" w:hAnsi="宋体" w:cs="宋体"/>
                <w:color w:val="auto"/>
                <w:sz w:val="24"/>
                <w:szCs w:val="24"/>
                <w:highlight w:val="none"/>
              </w:rPr>
            </w:pPr>
          </w:p>
        </w:tc>
        <w:tc>
          <w:tcPr>
            <w:tcW w:w="4991" w:type="dxa"/>
            <w:vMerge w:val="continue"/>
            <w:tcBorders>
              <w:top w:val="single" w:color="auto" w:sz="4" w:space="0"/>
              <w:left w:val="single" w:color="auto" w:sz="4" w:space="0"/>
              <w:bottom w:val="single" w:color="auto" w:sz="4" w:space="0"/>
              <w:right w:val="single" w:color="auto" w:sz="4" w:space="0"/>
            </w:tcBorders>
            <w:noWrap w:val="0"/>
            <w:vAlign w:val="center"/>
          </w:tcPr>
          <w:p w14:paraId="3C463AE5">
            <w:pPr>
              <w:widowControl/>
              <w:shd w:val="clear" w:color="auto" w:fill="auto"/>
              <w:ind w:firstLine="482"/>
              <w:jc w:val="left"/>
              <w:rPr>
                <w:rFonts w:ascii="宋体" w:hAnsi="宋体" w:cs="宋体"/>
                <w:color w:val="auto"/>
                <w:sz w:val="24"/>
                <w:szCs w:val="24"/>
                <w:highlight w:val="none"/>
              </w:rPr>
            </w:pPr>
          </w:p>
        </w:tc>
        <w:tc>
          <w:tcPr>
            <w:tcW w:w="2299" w:type="dxa"/>
            <w:gridSpan w:val="4"/>
            <w:tcBorders>
              <w:top w:val="single" w:color="auto" w:sz="4" w:space="0"/>
              <w:left w:val="single" w:color="auto" w:sz="4" w:space="0"/>
              <w:bottom w:val="single" w:color="auto" w:sz="4" w:space="0"/>
              <w:right w:val="single" w:color="auto" w:sz="4" w:space="0"/>
            </w:tcBorders>
            <w:noWrap w:val="0"/>
            <w:vAlign w:val="center"/>
          </w:tcPr>
          <w:p w14:paraId="375C110D">
            <w:pPr>
              <w:shd w:val="clear" w:color="auto" w:fill="auto"/>
              <w:topLinePunct/>
              <w:spacing w:line="440" w:lineRule="exact"/>
              <w:rPr>
                <w:rFonts w:hint="eastAsia" w:ascii="宋体" w:hAnsi="宋体" w:cs="宋体"/>
                <w:color w:val="auto"/>
                <w:sz w:val="24"/>
                <w:szCs w:val="24"/>
                <w:highlight w:val="none"/>
              </w:rPr>
            </w:pPr>
            <w:r>
              <w:rPr>
                <w:rFonts w:hint="eastAsia" w:ascii="宋体" w:hAnsi="宋体" w:cs="宋体"/>
                <w:color w:val="auto"/>
                <w:sz w:val="24"/>
                <w:szCs w:val="24"/>
                <w:highlight w:val="none"/>
              </w:rPr>
              <w:t>技  工</w:t>
            </w:r>
          </w:p>
        </w:tc>
        <w:tc>
          <w:tcPr>
            <w:tcW w:w="1852" w:type="dxa"/>
            <w:gridSpan w:val="2"/>
            <w:tcBorders>
              <w:top w:val="single" w:color="auto" w:sz="4" w:space="0"/>
              <w:left w:val="single" w:color="auto" w:sz="4" w:space="0"/>
              <w:bottom w:val="single" w:color="auto" w:sz="4" w:space="0"/>
              <w:right w:val="single" w:color="auto" w:sz="4" w:space="0"/>
            </w:tcBorders>
            <w:noWrap w:val="0"/>
            <w:vAlign w:val="center"/>
          </w:tcPr>
          <w:p w14:paraId="07819B10">
            <w:pPr>
              <w:shd w:val="clear" w:color="auto" w:fill="auto"/>
              <w:topLinePunct/>
              <w:spacing w:line="440" w:lineRule="exact"/>
              <w:ind w:firstLine="482"/>
              <w:jc w:val="center"/>
              <w:rPr>
                <w:rFonts w:ascii="宋体" w:hAnsi="宋体" w:cs="宋体"/>
                <w:color w:val="auto"/>
                <w:sz w:val="24"/>
                <w:szCs w:val="24"/>
                <w:highlight w:val="none"/>
              </w:rPr>
            </w:pPr>
          </w:p>
        </w:tc>
      </w:tr>
      <w:tr w14:paraId="48CF4C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80" w:hRule="atLeast"/>
          <w:jc w:val="center"/>
        </w:trPr>
        <w:tc>
          <w:tcPr>
            <w:tcW w:w="1728" w:type="dxa"/>
            <w:tcBorders>
              <w:top w:val="single" w:color="auto" w:sz="4" w:space="0"/>
              <w:left w:val="single" w:color="auto" w:sz="4" w:space="0"/>
              <w:bottom w:val="nil"/>
              <w:right w:val="single" w:color="auto" w:sz="4" w:space="0"/>
            </w:tcBorders>
            <w:noWrap w:val="0"/>
            <w:vAlign w:val="center"/>
          </w:tcPr>
          <w:p w14:paraId="4599DF4F">
            <w:pPr>
              <w:shd w:val="clear" w:color="auto" w:fill="auto"/>
              <w:topLinePunct/>
              <w:spacing w:line="440" w:lineRule="exact"/>
              <w:rPr>
                <w:rFonts w:ascii="宋体" w:hAnsi="宋体" w:cs="宋体"/>
                <w:color w:val="auto"/>
                <w:sz w:val="24"/>
                <w:szCs w:val="24"/>
                <w:highlight w:val="none"/>
              </w:rPr>
            </w:pPr>
            <w:r>
              <w:rPr>
                <w:rFonts w:hint="eastAsia" w:ascii="宋体" w:hAnsi="宋体" w:cs="宋体"/>
                <w:color w:val="auto"/>
                <w:sz w:val="24"/>
                <w:szCs w:val="24"/>
                <w:highlight w:val="none"/>
              </w:rPr>
              <w:t>经营范围</w:t>
            </w:r>
          </w:p>
        </w:tc>
        <w:tc>
          <w:tcPr>
            <w:tcW w:w="6840" w:type="dxa"/>
            <w:gridSpan w:val="9"/>
            <w:tcBorders>
              <w:top w:val="single" w:color="auto" w:sz="4" w:space="0"/>
              <w:left w:val="single" w:color="auto" w:sz="4" w:space="0"/>
              <w:bottom w:val="nil"/>
              <w:right w:val="single" w:color="auto" w:sz="4" w:space="0"/>
            </w:tcBorders>
            <w:noWrap w:val="0"/>
            <w:vAlign w:val="center"/>
          </w:tcPr>
          <w:p w14:paraId="1D5D147A">
            <w:pPr>
              <w:shd w:val="clear" w:color="auto" w:fill="auto"/>
              <w:topLinePunct/>
              <w:spacing w:line="440" w:lineRule="exact"/>
              <w:ind w:firstLine="482"/>
              <w:jc w:val="center"/>
              <w:rPr>
                <w:rFonts w:ascii="宋体" w:hAnsi="宋体" w:cs="宋体"/>
                <w:color w:val="auto"/>
                <w:sz w:val="24"/>
                <w:szCs w:val="24"/>
                <w:highlight w:val="none"/>
              </w:rPr>
            </w:pPr>
          </w:p>
        </w:tc>
      </w:tr>
      <w:tr w14:paraId="46AF14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5" w:hRule="atLeast"/>
          <w:jc w:val="center"/>
        </w:trPr>
        <w:tc>
          <w:tcPr>
            <w:tcW w:w="1728" w:type="dxa"/>
            <w:tcBorders>
              <w:top w:val="single" w:color="auto" w:sz="4" w:space="0"/>
              <w:left w:val="single" w:color="auto" w:sz="4" w:space="0"/>
              <w:bottom w:val="single" w:color="auto" w:sz="4" w:space="0"/>
              <w:right w:val="single" w:color="auto" w:sz="4" w:space="0"/>
            </w:tcBorders>
            <w:noWrap w:val="0"/>
            <w:vAlign w:val="center"/>
          </w:tcPr>
          <w:p w14:paraId="3AE1B924">
            <w:pPr>
              <w:shd w:val="clear" w:color="auto" w:fill="auto"/>
              <w:topLinePunct/>
              <w:spacing w:line="440" w:lineRule="exact"/>
              <w:ind w:firstLine="482"/>
              <w:jc w:val="center"/>
              <w:rPr>
                <w:rFonts w:ascii="宋体" w:hAnsi="宋体" w:cs="宋体"/>
                <w:color w:val="auto"/>
                <w:sz w:val="24"/>
                <w:szCs w:val="24"/>
                <w:highlight w:val="none"/>
              </w:rPr>
            </w:pPr>
            <w:r>
              <w:rPr>
                <w:rFonts w:hint="eastAsia" w:ascii="宋体" w:hAnsi="宋体" w:cs="宋体"/>
                <w:color w:val="auto"/>
                <w:sz w:val="24"/>
                <w:szCs w:val="24"/>
                <w:highlight w:val="none"/>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5AAB5FE6">
            <w:pPr>
              <w:shd w:val="clear" w:color="auto" w:fill="auto"/>
              <w:topLinePunct/>
              <w:spacing w:line="440" w:lineRule="exact"/>
              <w:ind w:firstLine="480"/>
              <w:rPr>
                <w:rFonts w:ascii="宋体" w:hAnsi="宋体" w:cs="宋体"/>
                <w:b/>
                <w:color w:val="auto"/>
                <w:sz w:val="24"/>
                <w:szCs w:val="24"/>
                <w:highlight w:val="none"/>
              </w:rPr>
            </w:pPr>
          </w:p>
        </w:tc>
      </w:tr>
    </w:tbl>
    <w:p w14:paraId="36F503D0">
      <w:pPr>
        <w:shd w:val="clear" w:color="auto" w:fill="auto"/>
        <w:spacing w:line="440" w:lineRule="exact"/>
        <w:ind w:firstLine="402"/>
        <w:jc w:val="center"/>
        <w:rPr>
          <w:rFonts w:hint="eastAsia" w:ascii="宋体" w:hAnsi="宋体" w:cs="宋体"/>
          <w:b/>
          <w:bCs/>
          <w:color w:val="auto"/>
          <w:sz w:val="32"/>
          <w:szCs w:val="32"/>
          <w:highlight w:val="none"/>
        </w:rPr>
      </w:pPr>
      <w:bookmarkStart w:id="1515" w:name="_Toc296602620"/>
      <w:bookmarkStart w:id="1516" w:name="_Toc152045810"/>
      <w:bookmarkStart w:id="1517" w:name="_Toc152042599"/>
      <w:bookmarkStart w:id="1518" w:name="_Toc247514302"/>
      <w:bookmarkStart w:id="1519" w:name="_Toc247527850"/>
      <w:bookmarkStart w:id="1520" w:name="_Toc144974878"/>
      <w:bookmarkStart w:id="1521" w:name="_Toc265953296"/>
      <w:bookmarkStart w:id="1522" w:name="_Toc152042602"/>
      <w:bookmarkStart w:id="1523" w:name="_Toc152045813"/>
      <w:bookmarkStart w:id="1524" w:name="_Toc179632833"/>
      <w:bookmarkStart w:id="1525" w:name="_Toc144974881"/>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（二）近年财务状况表</w:t>
      </w:r>
    </w:p>
    <w:p w14:paraId="3C3453D9">
      <w:pPr>
        <w:shd w:val="clear" w:color="auto" w:fill="auto"/>
        <w:spacing w:line="440" w:lineRule="exact"/>
        <w:ind w:firstLine="600" w:firstLineChars="250"/>
        <w:jc w:val="left"/>
        <w:rPr>
          <w:rFonts w:hint="eastAsia" w:ascii="宋体" w:hAnsi="宋体" w:cs="宋体"/>
          <w:bCs/>
          <w:color w:val="auto"/>
          <w:sz w:val="24"/>
          <w:szCs w:val="32"/>
          <w:highlight w:val="none"/>
        </w:rPr>
      </w:pPr>
    </w:p>
    <w:p w14:paraId="6BEA7137">
      <w:pPr>
        <w:shd w:val="clear" w:color="auto" w:fill="auto"/>
        <w:spacing w:line="440" w:lineRule="exact"/>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br w:type="page"/>
      </w:r>
      <w:r>
        <w:rPr>
          <w:rFonts w:hint="eastAsia" w:ascii="宋体" w:hAnsi="宋体" w:cs="宋体"/>
          <w:b/>
          <w:color w:val="auto"/>
          <w:sz w:val="32"/>
          <w:szCs w:val="32"/>
          <w:highlight w:val="none"/>
        </w:rPr>
        <w:t>（三）近年完成的类似项目情况表</w:t>
      </w:r>
      <w:bookmarkEnd w:id="1515"/>
      <w:bookmarkEnd w:id="1516"/>
      <w:bookmarkEnd w:id="1517"/>
      <w:bookmarkEnd w:id="1518"/>
      <w:bookmarkEnd w:id="1519"/>
      <w:bookmarkEnd w:id="1520"/>
      <w:bookmarkEnd w:id="1521"/>
    </w:p>
    <w:p w14:paraId="35134A9C">
      <w:pPr>
        <w:shd w:val="clear" w:color="auto" w:fill="auto"/>
        <w:jc w:val="center"/>
        <w:rPr>
          <w:rFonts w:hint="eastAsia" w:ascii="宋体" w:hAnsi="宋体" w:cs="宋体"/>
          <w:color w:val="auto"/>
          <w:sz w:val="24"/>
          <w:highlight w:val="none"/>
          <w:lang w:val="en-US" w:eastAsia="zh-CN"/>
        </w:rPr>
      </w:pPr>
      <w:r>
        <w:rPr>
          <w:rFonts w:hint="eastAsia" w:ascii="宋体" w:hAnsi="宋体" w:cs="宋体"/>
          <w:color w:val="auto"/>
          <w:sz w:val="24"/>
          <w:highlight w:val="none"/>
        </w:rPr>
        <w:t>近年来企业完成的项目</w:t>
      </w:r>
      <w:r>
        <w:rPr>
          <w:rFonts w:hint="eastAsia" w:ascii="宋体" w:hAnsi="宋体" w:cs="宋体"/>
          <w:color w:val="auto"/>
          <w:sz w:val="24"/>
          <w:highlight w:val="none"/>
          <w:lang w:val="en-US" w:eastAsia="zh-CN"/>
        </w:rPr>
        <w:t>一览表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8"/>
        <w:gridCol w:w="2256"/>
        <w:gridCol w:w="1547"/>
        <w:gridCol w:w="1548"/>
        <w:gridCol w:w="1724"/>
        <w:gridCol w:w="1372"/>
      </w:tblGrid>
      <w:tr w14:paraId="7816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838" w:type="dxa"/>
            <w:noWrap w:val="0"/>
            <w:vAlign w:val="top"/>
          </w:tcPr>
          <w:p w14:paraId="0FF06CF7">
            <w:pPr>
              <w:shd w:val="clear" w:color="auto" w:fill="auto"/>
              <w:jc w:val="center"/>
              <w:rPr>
                <w:rFonts w:hint="eastAsia"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序号</w:t>
            </w:r>
          </w:p>
        </w:tc>
        <w:tc>
          <w:tcPr>
            <w:tcW w:w="2256" w:type="dxa"/>
            <w:noWrap w:val="0"/>
            <w:vAlign w:val="top"/>
          </w:tcPr>
          <w:p w14:paraId="13394238">
            <w:pPr>
              <w:shd w:val="clear" w:color="auto" w:fill="auto"/>
              <w:jc w:val="center"/>
              <w:rPr>
                <w:rFonts w:hint="default"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项目名称</w:t>
            </w:r>
          </w:p>
        </w:tc>
        <w:tc>
          <w:tcPr>
            <w:tcW w:w="1547" w:type="dxa"/>
            <w:noWrap w:val="0"/>
            <w:vAlign w:val="top"/>
          </w:tcPr>
          <w:p w14:paraId="7DD14894">
            <w:pPr>
              <w:shd w:val="clear" w:color="auto" w:fill="auto"/>
              <w:jc w:val="center"/>
              <w:rPr>
                <w:rFonts w:hint="eastAsia" w:ascii="宋体" w:hAnsi="宋体" w:cs="宋体"/>
                <w:color w:val="auto"/>
                <w:sz w:val="24"/>
                <w:highlight w:val="none"/>
                <w:vertAlign w:val="baseline"/>
              </w:rPr>
            </w:pPr>
            <w:r>
              <w:rPr>
                <w:rFonts w:hint="eastAsia" w:ascii="宋体" w:hAnsi="宋体" w:cs="宋体"/>
                <w:color w:val="auto"/>
                <w:szCs w:val="21"/>
                <w:highlight w:val="none"/>
              </w:rPr>
              <w:t>发包人名称</w:t>
            </w:r>
          </w:p>
        </w:tc>
        <w:tc>
          <w:tcPr>
            <w:tcW w:w="1548" w:type="dxa"/>
            <w:noWrap w:val="0"/>
            <w:vAlign w:val="top"/>
          </w:tcPr>
          <w:p w14:paraId="348EDFB8">
            <w:pPr>
              <w:shd w:val="clear" w:color="auto" w:fill="auto"/>
              <w:jc w:val="center"/>
              <w:rPr>
                <w:rFonts w:hint="eastAsia"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金额（元）</w:t>
            </w:r>
          </w:p>
        </w:tc>
        <w:tc>
          <w:tcPr>
            <w:tcW w:w="1724" w:type="dxa"/>
            <w:noWrap w:val="0"/>
            <w:vAlign w:val="top"/>
          </w:tcPr>
          <w:p w14:paraId="3C328EA9">
            <w:pPr>
              <w:shd w:val="clear" w:color="auto" w:fill="auto"/>
              <w:rPr>
                <w:rFonts w:hint="default"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合同签订时间</w:t>
            </w:r>
          </w:p>
        </w:tc>
        <w:tc>
          <w:tcPr>
            <w:tcW w:w="1372" w:type="dxa"/>
            <w:noWrap w:val="0"/>
            <w:vAlign w:val="top"/>
          </w:tcPr>
          <w:p w14:paraId="076EA05C">
            <w:pPr>
              <w:shd w:val="clear" w:color="auto" w:fill="auto"/>
              <w:rPr>
                <w:rFonts w:hint="eastAsia"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备注</w:t>
            </w:r>
          </w:p>
        </w:tc>
      </w:tr>
      <w:tr w14:paraId="71B34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8" w:type="dxa"/>
            <w:noWrap w:val="0"/>
            <w:vAlign w:val="top"/>
          </w:tcPr>
          <w:p w14:paraId="72BF83E8">
            <w:pPr>
              <w:shd w:val="clear" w:color="auto" w:fill="auto"/>
              <w:rPr>
                <w:rFonts w:hint="eastAsia" w:ascii="宋体" w:hAnsi="宋体" w:cs="宋体"/>
                <w:color w:val="auto"/>
                <w:sz w:val="24"/>
                <w:highlight w:val="none"/>
                <w:vertAlign w:val="baseline"/>
              </w:rPr>
            </w:pPr>
          </w:p>
        </w:tc>
        <w:tc>
          <w:tcPr>
            <w:tcW w:w="2256" w:type="dxa"/>
            <w:noWrap w:val="0"/>
            <w:vAlign w:val="top"/>
          </w:tcPr>
          <w:p w14:paraId="44B71426">
            <w:pPr>
              <w:shd w:val="clear" w:color="auto" w:fill="auto"/>
              <w:rPr>
                <w:rFonts w:hint="eastAsia" w:ascii="宋体" w:hAnsi="宋体" w:cs="宋体"/>
                <w:color w:val="auto"/>
                <w:sz w:val="24"/>
                <w:highlight w:val="none"/>
                <w:vertAlign w:val="baseline"/>
              </w:rPr>
            </w:pPr>
          </w:p>
        </w:tc>
        <w:tc>
          <w:tcPr>
            <w:tcW w:w="1547" w:type="dxa"/>
            <w:noWrap w:val="0"/>
            <w:vAlign w:val="top"/>
          </w:tcPr>
          <w:p w14:paraId="186D2DD8">
            <w:pPr>
              <w:shd w:val="clear" w:color="auto" w:fill="auto"/>
              <w:rPr>
                <w:rFonts w:hint="eastAsia" w:ascii="宋体" w:hAnsi="宋体" w:cs="宋体"/>
                <w:color w:val="auto"/>
                <w:sz w:val="24"/>
                <w:highlight w:val="none"/>
                <w:vertAlign w:val="baseline"/>
              </w:rPr>
            </w:pPr>
          </w:p>
        </w:tc>
        <w:tc>
          <w:tcPr>
            <w:tcW w:w="1548" w:type="dxa"/>
            <w:noWrap w:val="0"/>
            <w:vAlign w:val="top"/>
          </w:tcPr>
          <w:p w14:paraId="2207468C">
            <w:pPr>
              <w:shd w:val="clear" w:color="auto" w:fill="auto"/>
              <w:rPr>
                <w:rFonts w:hint="eastAsia" w:ascii="宋体" w:hAnsi="宋体" w:cs="宋体"/>
                <w:color w:val="auto"/>
                <w:sz w:val="24"/>
                <w:highlight w:val="none"/>
                <w:vertAlign w:val="baseline"/>
              </w:rPr>
            </w:pPr>
          </w:p>
        </w:tc>
        <w:tc>
          <w:tcPr>
            <w:tcW w:w="1724" w:type="dxa"/>
            <w:noWrap w:val="0"/>
            <w:vAlign w:val="top"/>
          </w:tcPr>
          <w:p w14:paraId="358CF362">
            <w:pPr>
              <w:shd w:val="clear" w:color="auto" w:fill="auto"/>
              <w:jc w:val="right"/>
              <w:rPr>
                <w:rFonts w:hint="eastAsia" w:ascii="宋体" w:hAnsi="宋体" w:eastAsia="宋体" w:cs="宋体"/>
                <w:color w:val="auto"/>
                <w:sz w:val="24"/>
                <w:highlight w:val="none"/>
                <w:vertAlign w:val="baseline"/>
                <w:lang w:val="en-US" w:eastAsia="zh-CN"/>
              </w:rPr>
            </w:pPr>
            <w:r>
              <w:rPr>
                <w:rFonts w:hint="eastAsia" w:ascii="宋体" w:hAnsi="宋体" w:cs="宋体"/>
                <w:color w:val="auto"/>
                <w:sz w:val="24"/>
                <w:highlight w:val="none"/>
                <w:vertAlign w:val="baseline"/>
                <w:lang w:val="en-US" w:eastAsia="zh-CN"/>
              </w:rPr>
              <w:t>年  月  日</w:t>
            </w:r>
          </w:p>
        </w:tc>
        <w:tc>
          <w:tcPr>
            <w:tcW w:w="1372" w:type="dxa"/>
            <w:noWrap w:val="0"/>
            <w:vAlign w:val="top"/>
          </w:tcPr>
          <w:p w14:paraId="55FB0E64">
            <w:pPr>
              <w:shd w:val="clear" w:color="auto" w:fill="auto"/>
              <w:rPr>
                <w:rFonts w:hint="eastAsia" w:ascii="宋体" w:hAnsi="宋体" w:cs="宋体"/>
                <w:color w:val="auto"/>
                <w:sz w:val="24"/>
                <w:highlight w:val="none"/>
                <w:vertAlign w:val="baseline"/>
              </w:rPr>
            </w:pPr>
          </w:p>
        </w:tc>
      </w:tr>
      <w:tr w14:paraId="169E4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8" w:type="dxa"/>
            <w:noWrap w:val="0"/>
            <w:vAlign w:val="top"/>
          </w:tcPr>
          <w:p w14:paraId="62C47E99">
            <w:pPr>
              <w:shd w:val="clear" w:color="auto" w:fill="auto"/>
              <w:rPr>
                <w:rFonts w:hint="eastAsia" w:ascii="宋体" w:hAnsi="宋体" w:cs="宋体"/>
                <w:color w:val="auto"/>
                <w:sz w:val="24"/>
                <w:highlight w:val="none"/>
                <w:vertAlign w:val="baseline"/>
              </w:rPr>
            </w:pPr>
          </w:p>
        </w:tc>
        <w:tc>
          <w:tcPr>
            <w:tcW w:w="2256" w:type="dxa"/>
            <w:noWrap w:val="0"/>
            <w:vAlign w:val="top"/>
          </w:tcPr>
          <w:p w14:paraId="24FE0835">
            <w:pPr>
              <w:shd w:val="clear" w:color="auto" w:fill="auto"/>
              <w:rPr>
                <w:rFonts w:hint="eastAsia" w:ascii="宋体" w:hAnsi="宋体" w:cs="宋体"/>
                <w:color w:val="auto"/>
                <w:sz w:val="24"/>
                <w:highlight w:val="none"/>
                <w:vertAlign w:val="baseline"/>
              </w:rPr>
            </w:pPr>
          </w:p>
        </w:tc>
        <w:tc>
          <w:tcPr>
            <w:tcW w:w="1547" w:type="dxa"/>
            <w:noWrap w:val="0"/>
            <w:vAlign w:val="top"/>
          </w:tcPr>
          <w:p w14:paraId="47DCCAE9">
            <w:pPr>
              <w:shd w:val="clear" w:color="auto" w:fill="auto"/>
              <w:rPr>
                <w:rFonts w:hint="eastAsia" w:ascii="宋体" w:hAnsi="宋体" w:cs="宋体"/>
                <w:color w:val="auto"/>
                <w:sz w:val="24"/>
                <w:highlight w:val="none"/>
                <w:vertAlign w:val="baseline"/>
              </w:rPr>
            </w:pPr>
          </w:p>
        </w:tc>
        <w:tc>
          <w:tcPr>
            <w:tcW w:w="1548" w:type="dxa"/>
            <w:noWrap w:val="0"/>
            <w:vAlign w:val="top"/>
          </w:tcPr>
          <w:p w14:paraId="4E5007D9">
            <w:pPr>
              <w:shd w:val="clear" w:color="auto" w:fill="auto"/>
              <w:rPr>
                <w:rFonts w:hint="eastAsia" w:ascii="宋体" w:hAnsi="宋体" w:cs="宋体"/>
                <w:color w:val="auto"/>
                <w:sz w:val="24"/>
                <w:highlight w:val="none"/>
                <w:vertAlign w:val="baseline"/>
              </w:rPr>
            </w:pPr>
          </w:p>
        </w:tc>
        <w:tc>
          <w:tcPr>
            <w:tcW w:w="1724" w:type="dxa"/>
            <w:noWrap w:val="0"/>
            <w:vAlign w:val="top"/>
          </w:tcPr>
          <w:p w14:paraId="37D44E77">
            <w:pPr>
              <w:shd w:val="clear" w:color="auto" w:fill="auto"/>
              <w:jc w:val="right"/>
              <w:rPr>
                <w:rFonts w:hint="eastAsia" w:ascii="宋体" w:hAnsi="宋体" w:cs="宋体"/>
                <w:color w:val="auto"/>
                <w:sz w:val="24"/>
                <w:highlight w:val="none"/>
                <w:vertAlign w:val="baseline"/>
              </w:rPr>
            </w:pPr>
            <w:r>
              <w:rPr>
                <w:rFonts w:hint="eastAsia" w:ascii="宋体" w:hAnsi="宋体" w:cs="宋体"/>
                <w:color w:val="auto"/>
                <w:sz w:val="24"/>
                <w:highlight w:val="none"/>
                <w:vertAlign w:val="baseline"/>
                <w:lang w:val="en-US" w:eastAsia="zh-CN"/>
              </w:rPr>
              <w:t>年  月  日</w:t>
            </w:r>
          </w:p>
        </w:tc>
        <w:tc>
          <w:tcPr>
            <w:tcW w:w="1372" w:type="dxa"/>
            <w:noWrap w:val="0"/>
            <w:vAlign w:val="top"/>
          </w:tcPr>
          <w:p w14:paraId="74AB25BB">
            <w:pPr>
              <w:shd w:val="clear" w:color="auto" w:fill="auto"/>
              <w:rPr>
                <w:rFonts w:hint="eastAsia" w:ascii="宋体" w:hAnsi="宋体" w:cs="宋体"/>
                <w:color w:val="auto"/>
                <w:sz w:val="24"/>
                <w:highlight w:val="none"/>
                <w:vertAlign w:val="baseline"/>
              </w:rPr>
            </w:pPr>
          </w:p>
        </w:tc>
      </w:tr>
      <w:tr w14:paraId="1A72C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8" w:type="dxa"/>
            <w:noWrap w:val="0"/>
            <w:vAlign w:val="top"/>
          </w:tcPr>
          <w:p w14:paraId="5A6C35E9">
            <w:pPr>
              <w:shd w:val="clear" w:color="auto" w:fill="auto"/>
              <w:rPr>
                <w:rFonts w:hint="eastAsia" w:ascii="宋体" w:hAnsi="宋体" w:cs="宋体"/>
                <w:color w:val="auto"/>
                <w:sz w:val="24"/>
                <w:highlight w:val="none"/>
                <w:vertAlign w:val="baseline"/>
              </w:rPr>
            </w:pPr>
          </w:p>
        </w:tc>
        <w:tc>
          <w:tcPr>
            <w:tcW w:w="2256" w:type="dxa"/>
            <w:noWrap w:val="0"/>
            <w:vAlign w:val="top"/>
          </w:tcPr>
          <w:p w14:paraId="365092C4">
            <w:pPr>
              <w:shd w:val="clear" w:color="auto" w:fill="auto"/>
              <w:rPr>
                <w:rFonts w:hint="eastAsia" w:ascii="宋体" w:hAnsi="宋体" w:cs="宋体"/>
                <w:color w:val="auto"/>
                <w:sz w:val="24"/>
                <w:highlight w:val="none"/>
                <w:vertAlign w:val="baseline"/>
              </w:rPr>
            </w:pPr>
          </w:p>
        </w:tc>
        <w:tc>
          <w:tcPr>
            <w:tcW w:w="1547" w:type="dxa"/>
            <w:noWrap w:val="0"/>
            <w:vAlign w:val="top"/>
          </w:tcPr>
          <w:p w14:paraId="34E7D749">
            <w:pPr>
              <w:shd w:val="clear" w:color="auto" w:fill="auto"/>
              <w:rPr>
                <w:rFonts w:hint="eastAsia" w:ascii="宋体" w:hAnsi="宋体" w:cs="宋体"/>
                <w:color w:val="auto"/>
                <w:sz w:val="24"/>
                <w:highlight w:val="none"/>
                <w:vertAlign w:val="baseline"/>
              </w:rPr>
            </w:pPr>
          </w:p>
        </w:tc>
        <w:tc>
          <w:tcPr>
            <w:tcW w:w="1548" w:type="dxa"/>
            <w:noWrap w:val="0"/>
            <w:vAlign w:val="top"/>
          </w:tcPr>
          <w:p w14:paraId="27CF6920">
            <w:pPr>
              <w:shd w:val="clear" w:color="auto" w:fill="auto"/>
              <w:rPr>
                <w:rFonts w:hint="eastAsia" w:ascii="宋体" w:hAnsi="宋体" w:cs="宋体"/>
                <w:color w:val="auto"/>
                <w:sz w:val="24"/>
                <w:highlight w:val="none"/>
                <w:vertAlign w:val="baseline"/>
              </w:rPr>
            </w:pPr>
          </w:p>
        </w:tc>
        <w:tc>
          <w:tcPr>
            <w:tcW w:w="1724" w:type="dxa"/>
            <w:noWrap w:val="0"/>
            <w:vAlign w:val="top"/>
          </w:tcPr>
          <w:p w14:paraId="16C1D7A2">
            <w:pPr>
              <w:shd w:val="clear" w:color="auto" w:fill="auto"/>
              <w:jc w:val="right"/>
              <w:rPr>
                <w:rFonts w:hint="eastAsia" w:ascii="宋体" w:hAnsi="宋体" w:cs="宋体"/>
                <w:color w:val="auto"/>
                <w:sz w:val="24"/>
                <w:highlight w:val="none"/>
                <w:vertAlign w:val="baseline"/>
              </w:rPr>
            </w:pPr>
            <w:r>
              <w:rPr>
                <w:rFonts w:hint="eastAsia" w:ascii="宋体" w:hAnsi="宋体" w:cs="宋体"/>
                <w:color w:val="auto"/>
                <w:sz w:val="24"/>
                <w:highlight w:val="none"/>
                <w:vertAlign w:val="baseline"/>
                <w:lang w:val="en-US" w:eastAsia="zh-CN"/>
              </w:rPr>
              <w:t>年  月  日</w:t>
            </w:r>
          </w:p>
        </w:tc>
        <w:tc>
          <w:tcPr>
            <w:tcW w:w="1372" w:type="dxa"/>
            <w:noWrap w:val="0"/>
            <w:vAlign w:val="top"/>
          </w:tcPr>
          <w:p w14:paraId="096C1ED5">
            <w:pPr>
              <w:shd w:val="clear" w:color="auto" w:fill="auto"/>
              <w:rPr>
                <w:rFonts w:hint="eastAsia" w:ascii="宋体" w:hAnsi="宋体" w:cs="宋体"/>
                <w:color w:val="auto"/>
                <w:sz w:val="24"/>
                <w:highlight w:val="none"/>
                <w:vertAlign w:val="baseline"/>
              </w:rPr>
            </w:pPr>
          </w:p>
        </w:tc>
      </w:tr>
      <w:tr w14:paraId="31C9A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8" w:type="dxa"/>
            <w:noWrap w:val="0"/>
            <w:vAlign w:val="top"/>
          </w:tcPr>
          <w:p w14:paraId="14D18303">
            <w:pPr>
              <w:shd w:val="clear" w:color="auto" w:fill="auto"/>
              <w:rPr>
                <w:rFonts w:hint="eastAsia" w:ascii="宋体" w:hAnsi="宋体" w:cs="宋体"/>
                <w:color w:val="auto"/>
                <w:sz w:val="24"/>
                <w:highlight w:val="none"/>
                <w:vertAlign w:val="baseline"/>
              </w:rPr>
            </w:pPr>
          </w:p>
        </w:tc>
        <w:tc>
          <w:tcPr>
            <w:tcW w:w="2256" w:type="dxa"/>
            <w:noWrap w:val="0"/>
            <w:vAlign w:val="top"/>
          </w:tcPr>
          <w:p w14:paraId="6441C1EC">
            <w:pPr>
              <w:shd w:val="clear" w:color="auto" w:fill="auto"/>
              <w:rPr>
                <w:rFonts w:hint="eastAsia" w:ascii="宋体" w:hAnsi="宋体" w:cs="宋体"/>
                <w:color w:val="auto"/>
                <w:sz w:val="24"/>
                <w:highlight w:val="none"/>
                <w:vertAlign w:val="baseline"/>
              </w:rPr>
            </w:pPr>
          </w:p>
        </w:tc>
        <w:tc>
          <w:tcPr>
            <w:tcW w:w="1547" w:type="dxa"/>
            <w:noWrap w:val="0"/>
            <w:vAlign w:val="top"/>
          </w:tcPr>
          <w:p w14:paraId="7E2CFAD1">
            <w:pPr>
              <w:shd w:val="clear" w:color="auto" w:fill="auto"/>
              <w:rPr>
                <w:rFonts w:hint="eastAsia" w:ascii="宋体" w:hAnsi="宋体" w:cs="宋体"/>
                <w:color w:val="auto"/>
                <w:sz w:val="24"/>
                <w:highlight w:val="none"/>
                <w:vertAlign w:val="baseline"/>
              </w:rPr>
            </w:pPr>
          </w:p>
        </w:tc>
        <w:tc>
          <w:tcPr>
            <w:tcW w:w="1548" w:type="dxa"/>
            <w:noWrap w:val="0"/>
            <w:vAlign w:val="top"/>
          </w:tcPr>
          <w:p w14:paraId="1D00255F">
            <w:pPr>
              <w:shd w:val="clear" w:color="auto" w:fill="auto"/>
              <w:rPr>
                <w:rFonts w:hint="eastAsia" w:ascii="宋体" w:hAnsi="宋体" w:cs="宋体"/>
                <w:color w:val="auto"/>
                <w:sz w:val="24"/>
                <w:highlight w:val="none"/>
                <w:vertAlign w:val="baseline"/>
              </w:rPr>
            </w:pPr>
          </w:p>
        </w:tc>
        <w:tc>
          <w:tcPr>
            <w:tcW w:w="1724" w:type="dxa"/>
            <w:noWrap w:val="0"/>
            <w:vAlign w:val="top"/>
          </w:tcPr>
          <w:p w14:paraId="3DDE84B3">
            <w:pPr>
              <w:shd w:val="clear" w:color="auto" w:fill="auto"/>
              <w:jc w:val="right"/>
              <w:rPr>
                <w:rFonts w:hint="eastAsia" w:ascii="宋体" w:hAnsi="宋体" w:cs="宋体"/>
                <w:color w:val="auto"/>
                <w:sz w:val="24"/>
                <w:highlight w:val="none"/>
                <w:vertAlign w:val="baseline"/>
              </w:rPr>
            </w:pPr>
            <w:r>
              <w:rPr>
                <w:rFonts w:hint="eastAsia" w:ascii="宋体" w:hAnsi="宋体" w:cs="宋体"/>
                <w:color w:val="auto"/>
                <w:sz w:val="24"/>
                <w:highlight w:val="none"/>
                <w:vertAlign w:val="baseline"/>
                <w:lang w:val="en-US" w:eastAsia="zh-CN"/>
              </w:rPr>
              <w:t>年  月  日</w:t>
            </w:r>
          </w:p>
        </w:tc>
        <w:tc>
          <w:tcPr>
            <w:tcW w:w="1372" w:type="dxa"/>
            <w:noWrap w:val="0"/>
            <w:vAlign w:val="top"/>
          </w:tcPr>
          <w:p w14:paraId="632D4AC1">
            <w:pPr>
              <w:shd w:val="clear" w:color="auto" w:fill="auto"/>
              <w:rPr>
                <w:rFonts w:hint="eastAsia" w:ascii="宋体" w:hAnsi="宋体" w:cs="宋体"/>
                <w:color w:val="auto"/>
                <w:sz w:val="24"/>
                <w:highlight w:val="none"/>
                <w:vertAlign w:val="baseline"/>
              </w:rPr>
            </w:pPr>
          </w:p>
        </w:tc>
      </w:tr>
      <w:tr w14:paraId="11866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838" w:type="dxa"/>
            <w:noWrap w:val="0"/>
            <w:vAlign w:val="top"/>
          </w:tcPr>
          <w:p w14:paraId="69D8CB3A">
            <w:pPr>
              <w:shd w:val="clear" w:color="auto" w:fill="auto"/>
              <w:rPr>
                <w:rFonts w:hint="eastAsia" w:ascii="宋体" w:hAnsi="宋体" w:cs="宋体"/>
                <w:color w:val="auto"/>
                <w:sz w:val="24"/>
                <w:highlight w:val="none"/>
                <w:vertAlign w:val="baseline"/>
              </w:rPr>
            </w:pPr>
          </w:p>
        </w:tc>
        <w:tc>
          <w:tcPr>
            <w:tcW w:w="2256" w:type="dxa"/>
            <w:noWrap w:val="0"/>
            <w:vAlign w:val="top"/>
          </w:tcPr>
          <w:p w14:paraId="4126CF4F">
            <w:pPr>
              <w:shd w:val="clear" w:color="auto" w:fill="auto"/>
              <w:rPr>
                <w:rFonts w:hint="eastAsia" w:ascii="宋体" w:hAnsi="宋体" w:cs="宋体"/>
                <w:color w:val="auto"/>
                <w:sz w:val="24"/>
                <w:highlight w:val="none"/>
                <w:vertAlign w:val="baseline"/>
              </w:rPr>
            </w:pPr>
          </w:p>
        </w:tc>
        <w:tc>
          <w:tcPr>
            <w:tcW w:w="1547" w:type="dxa"/>
            <w:noWrap w:val="0"/>
            <w:vAlign w:val="top"/>
          </w:tcPr>
          <w:p w14:paraId="1DB4CFE5">
            <w:pPr>
              <w:shd w:val="clear" w:color="auto" w:fill="auto"/>
              <w:rPr>
                <w:rFonts w:hint="eastAsia" w:ascii="宋体" w:hAnsi="宋体" w:cs="宋体"/>
                <w:color w:val="auto"/>
                <w:sz w:val="24"/>
                <w:highlight w:val="none"/>
                <w:vertAlign w:val="baseline"/>
              </w:rPr>
            </w:pPr>
          </w:p>
        </w:tc>
        <w:tc>
          <w:tcPr>
            <w:tcW w:w="1548" w:type="dxa"/>
            <w:noWrap w:val="0"/>
            <w:vAlign w:val="top"/>
          </w:tcPr>
          <w:p w14:paraId="40E074D2">
            <w:pPr>
              <w:shd w:val="clear" w:color="auto" w:fill="auto"/>
              <w:rPr>
                <w:rFonts w:hint="eastAsia" w:ascii="宋体" w:hAnsi="宋体" w:cs="宋体"/>
                <w:color w:val="auto"/>
                <w:sz w:val="24"/>
                <w:highlight w:val="none"/>
                <w:vertAlign w:val="baseline"/>
              </w:rPr>
            </w:pPr>
          </w:p>
        </w:tc>
        <w:tc>
          <w:tcPr>
            <w:tcW w:w="1724" w:type="dxa"/>
            <w:noWrap w:val="0"/>
            <w:vAlign w:val="top"/>
          </w:tcPr>
          <w:p w14:paraId="34626710">
            <w:pPr>
              <w:shd w:val="clear" w:color="auto" w:fill="auto"/>
              <w:jc w:val="right"/>
              <w:rPr>
                <w:rFonts w:hint="eastAsia" w:ascii="宋体" w:hAnsi="宋体" w:cs="宋体"/>
                <w:color w:val="auto"/>
                <w:sz w:val="24"/>
                <w:highlight w:val="none"/>
                <w:vertAlign w:val="baseline"/>
              </w:rPr>
            </w:pPr>
            <w:r>
              <w:rPr>
                <w:rFonts w:hint="eastAsia" w:ascii="宋体" w:hAnsi="宋体" w:cs="宋体"/>
                <w:color w:val="auto"/>
                <w:sz w:val="24"/>
                <w:highlight w:val="none"/>
                <w:vertAlign w:val="baseline"/>
                <w:lang w:val="en-US" w:eastAsia="zh-CN"/>
              </w:rPr>
              <w:t>年  月  日</w:t>
            </w:r>
          </w:p>
        </w:tc>
        <w:tc>
          <w:tcPr>
            <w:tcW w:w="1372" w:type="dxa"/>
            <w:noWrap w:val="0"/>
            <w:vAlign w:val="top"/>
          </w:tcPr>
          <w:p w14:paraId="2FB38A39">
            <w:pPr>
              <w:shd w:val="clear" w:color="auto" w:fill="auto"/>
              <w:rPr>
                <w:rFonts w:hint="eastAsia" w:ascii="宋体" w:hAnsi="宋体" w:cs="宋体"/>
                <w:color w:val="auto"/>
                <w:sz w:val="24"/>
                <w:highlight w:val="none"/>
                <w:vertAlign w:val="baseline"/>
              </w:rPr>
            </w:pPr>
          </w:p>
        </w:tc>
      </w:tr>
    </w:tbl>
    <w:p w14:paraId="51A5BFE4">
      <w:pPr>
        <w:shd w:val="clear" w:color="auto" w:fill="auto"/>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注：本表只填写信息即可</w:t>
      </w:r>
    </w:p>
    <w:p w14:paraId="3B2F9070">
      <w:pPr>
        <w:shd w:val="clear" w:color="auto" w:fill="auto"/>
        <w:spacing w:line="440" w:lineRule="exact"/>
        <w:ind w:firstLine="462"/>
        <w:jc w:val="center"/>
        <w:rPr>
          <w:rFonts w:hint="eastAsia" w:ascii="宋体" w:hAnsi="宋体" w:cs="宋体"/>
          <w:color w:val="auto"/>
          <w:sz w:val="23"/>
          <w:szCs w:val="23"/>
          <w:highlight w:val="none"/>
        </w:rPr>
      </w:pPr>
      <w:r>
        <w:rPr>
          <w:rFonts w:hint="eastAsia" w:ascii="宋体" w:hAnsi="宋体" w:cs="宋体"/>
          <w:color w:val="auto"/>
          <w:sz w:val="23"/>
          <w:szCs w:val="23"/>
          <w:highlight w:val="none"/>
        </w:rPr>
        <w:br w:type="page"/>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7E616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5BEE0992">
            <w:pPr>
              <w:shd w:val="clear" w:color="auto" w:fill="auto"/>
              <w:topLinePunct/>
              <w:spacing w:line="440" w:lineRule="exact"/>
              <w:ind w:firstLine="482"/>
              <w:jc w:val="center"/>
              <w:rPr>
                <w:rFonts w:hint="eastAsia"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序号</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38CAAF0">
            <w:pPr>
              <w:shd w:val="clear" w:color="auto" w:fill="auto"/>
              <w:topLinePunct/>
              <w:spacing w:line="440" w:lineRule="exact"/>
              <w:ind w:firstLine="482"/>
              <w:jc w:val="center"/>
              <w:rPr>
                <w:rFonts w:ascii="宋体" w:hAnsi="宋体" w:cs="宋体"/>
                <w:color w:val="auto"/>
                <w:sz w:val="24"/>
                <w:highlight w:val="none"/>
              </w:rPr>
            </w:pPr>
          </w:p>
        </w:tc>
      </w:tr>
      <w:tr w14:paraId="0DFCE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18512A76">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9BF698E">
            <w:pPr>
              <w:shd w:val="clear" w:color="auto" w:fill="auto"/>
              <w:topLinePunct/>
              <w:spacing w:line="440" w:lineRule="exact"/>
              <w:ind w:firstLine="482"/>
              <w:rPr>
                <w:rFonts w:ascii="宋体" w:hAnsi="宋体" w:cs="宋体"/>
                <w:color w:val="auto"/>
                <w:sz w:val="24"/>
                <w:highlight w:val="none"/>
              </w:rPr>
            </w:pPr>
          </w:p>
        </w:tc>
      </w:tr>
      <w:tr w14:paraId="61D6A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01A5DFF8">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D57DC42">
            <w:pPr>
              <w:shd w:val="clear" w:color="auto" w:fill="auto"/>
              <w:topLinePunct/>
              <w:spacing w:line="440" w:lineRule="exact"/>
              <w:ind w:firstLine="482"/>
              <w:rPr>
                <w:rFonts w:ascii="宋体" w:hAnsi="宋体" w:cs="宋体"/>
                <w:color w:val="auto"/>
                <w:sz w:val="24"/>
                <w:highlight w:val="none"/>
              </w:rPr>
            </w:pPr>
          </w:p>
        </w:tc>
      </w:tr>
      <w:tr w14:paraId="6D46D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61CE9FB8">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D4CB387">
            <w:pPr>
              <w:shd w:val="clear" w:color="auto" w:fill="auto"/>
              <w:topLinePunct/>
              <w:spacing w:line="440" w:lineRule="exact"/>
              <w:ind w:firstLine="482"/>
              <w:rPr>
                <w:rFonts w:ascii="宋体" w:hAnsi="宋体" w:cs="宋体"/>
                <w:color w:val="auto"/>
                <w:sz w:val="24"/>
                <w:highlight w:val="none"/>
              </w:rPr>
            </w:pPr>
          </w:p>
        </w:tc>
      </w:tr>
      <w:tr w14:paraId="74F6B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3BCD169E">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5A00922">
            <w:pPr>
              <w:shd w:val="clear" w:color="auto" w:fill="auto"/>
              <w:topLinePunct/>
              <w:spacing w:line="440" w:lineRule="exact"/>
              <w:ind w:firstLine="482"/>
              <w:rPr>
                <w:rFonts w:ascii="宋体" w:hAnsi="宋体" w:cs="宋体"/>
                <w:color w:val="auto"/>
                <w:sz w:val="24"/>
                <w:highlight w:val="none"/>
              </w:rPr>
            </w:pPr>
          </w:p>
        </w:tc>
      </w:tr>
      <w:tr w14:paraId="0BDE8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528CDE0C">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发包人电话</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5899C0B">
            <w:pPr>
              <w:shd w:val="clear" w:color="auto" w:fill="auto"/>
              <w:topLinePunct/>
              <w:spacing w:line="440" w:lineRule="exact"/>
              <w:ind w:firstLine="482"/>
              <w:rPr>
                <w:rFonts w:ascii="宋体" w:hAnsi="宋体" w:cs="宋体"/>
                <w:color w:val="auto"/>
                <w:sz w:val="24"/>
                <w:highlight w:val="none"/>
              </w:rPr>
            </w:pPr>
          </w:p>
        </w:tc>
      </w:tr>
      <w:tr w14:paraId="4608F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4E5DB912">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合同价格</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60DD89C">
            <w:pPr>
              <w:shd w:val="clear" w:color="auto" w:fill="auto"/>
              <w:topLinePunct/>
              <w:spacing w:line="440" w:lineRule="exact"/>
              <w:ind w:firstLine="482"/>
              <w:rPr>
                <w:rFonts w:ascii="宋体" w:hAnsi="宋体" w:cs="宋体"/>
                <w:color w:val="auto"/>
                <w:sz w:val="24"/>
                <w:highlight w:val="none"/>
              </w:rPr>
            </w:pPr>
          </w:p>
        </w:tc>
      </w:tr>
      <w:tr w14:paraId="3199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619E0E1A">
            <w:pPr>
              <w:shd w:val="clear" w:color="auto" w:fill="auto"/>
              <w:topLinePunct/>
              <w:spacing w:line="440" w:lineRule="exact"/>
              <w:ind w:firstLine="482"/>
              <w:jc w:val="center"/>
              <w:rPr>
                <w:rFonts w:hint="default" w:ascii="宋体" w:hAnsi="宋体" w:eastAsia="宋体" w:cs="宋体"/>
                <w:color w:val="auto"/>
                <w:sz w:val="24"/>
                <w:highlight w:val="none"/>
                <w:lang w:val="en-US" w:eastAsia="zh-CN"/>
              </w:rPr>
            </w:pPr>
            <w:r>
              <w:rPr>
                <w:rFonts w:hint="eastAsia" w:ascii="宋体" w:hAnsi="宋体" w:cs="宋体"/>
                <w:color w:val="auto"/>
                <w:sz w:val="24"/>
                <w:highlight w:val="none"/>
                <w:lang w:val="en-US" w:eastAsia="zh-CN"/>
              </w:rPr>
              <w:t>合同签订时间</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230B5DE">
            <w:pPr>
              <w:shd w:val="clear" w:color="auto" w:fill="auto"/>
              <w:topLinePunct/>
              <w:spacing w:line="440" w:lineRule="exact"/>
              <w:ind w:firstLine="482"/>
              <w:rPr>
                <w:rFonts w:ascii="宋体" w:hAnsi="宋体" w:cs="宋体"/>
                <w:color w:val="auto"/>
                <w:sz w:val="24"/>
                <w:highlight w:val="none"/>
              </w:rPr>
            </w:pPr>
          </w:p>
        </w:tc>
      </w:tr>
      <w:tr w14:paraId="31E36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6249DDA8">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7B8DB58">
            <w:pPr>
              <w:shd w:val="clear" w:color="auto" w:fill="auto"/>
              <w:topLinePunct/>
              <w:spacing w:line="440" w:lineRule="exact"/>
              <w:ind w:firstLine="482"/>
              <w:rPr>
                <w:rFonts w:ascii="宋体" w:hAnsi="宋体" w:cs="宋体"/>
                <w:color w:val="auto"/>
                <w:sz w:val="24"/>
                <w:highlight w:val="none"/>
              </w:rPr>
            </w:pPr>
          </w:p>
        </w:tc>
      </w:tr>
      <w:tr w14:paraId="479B3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48C4CCE6">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竣工日期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D945EA8">
            <w:pPr>
              <w:shd w:val="clear" w:color="auto" w:fill="auto"/>
              <w:topLinePunct/>
              <w:spacing w:line="440" w:lineRule="exact"/>
              <w:ind w:firstLine="482"/>
              <w:rPr>
                <w:rFonts w:ascii="宋体" w:hAnsi="宋体" w:cs="宋体"/>
                <w:color w:val="auto"/>
                <w:sz w:val="24"/>
                <w:highlight w:val="none"/>
              </w:rPr>
            </w:pPr>
          </w:p>
        </w:tc>
      </w:tr>
      <w:tr w14:paraId="5866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0CBCAEDD">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75609E1">
            <w:pPr>
              <w:shd w:val="clear" w:color="auto" w:fill="auto"/>
              <w:topLinePunct/>
              <w:spacing w:line="440" w:lineRule="exact"/>
              <w:ind w:firstLine="482"/>
              <w:rPr>
                <w:rFonts w:ascii="宋体" w:hAnsi="宋体" w:cs="宋体"/>
                <w:color w:val="auto"/>
                <w:sz w:val="24"/>
                <w:highlight w:val="none"/>
              </w:rPr>
            </w:pPr>
          </w:p>
        </w:tc>
      </w:tr>
      <w:tr w14:paraId="2C0D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5A1B13E7">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13B5F4D">
            <w:pPr>
              <w:shd w:val="clear" w:color="auto" w:fill="auto"/>
              <w:topLinePunct/>
              <w:spacing w:line="440" w:lineRule="exact"/>
              <w:ind w:firstLine="482"/>
              <w:rPr>
                <w:rFonts w:ascii="宋体" w:hAnsi="宋体" w:cs="宋体"/>
                <w:color w:val="auto"/>
                <w:sz w:val="24"/>
                <w:highlight w:val="none"/>
              </w:rPr>
            </w:pPr>
          </w:p>
        </w:tc>
      </w:tr>
      <w:tr w14:paraId="6532E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06B3019C">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444657B">
            <w:pPr>
              <w:shd w:val="clear" w:color="auto" w:fill="auto"/>
              <w:topLinePunct/>
              <w:spacing w:line="440" w:lineRule="exact"/>
              <w:ind w:firstLine="482"/>
              <w:rPr>
                <w:rFonts w:ascii="宋体" w:hAnsi="宋体" w:cs="宋体"/>
                <w:color w:val="auto"/>
                <w:sz w:val="24"/>
                <w:highlight w:val="none"/>
              </w:rPr>
            </w:pPr>
          </w:p>
        </w:tc>
      </w:tr>
      <w:tr w14:paraId="20F96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3FE51627">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6F371F14">
            <w:pPr>
              <w:shd w:val="clear" w:color="auto" w:fill="auto"/>
              <w:topLinePunct/>
              <w:spacing w:line="440" w:lineRule="exact"/>
              <w:ind w:firstLine="482"/>
              <w:rPr>
                <w:rFonts w:ascii="宋体" w:hAnsi="宋体" w:cs="宋体"/>
                <w:color w:val="auto"/>
                <w:sz w:val="24"/>
                <w:highlight w:val="none"/>
              </w:rPr>
            </w:pPr>
          </w:p>
        </w:tc>
      </w:tr>
      <w:tr w14:paraId="4FBB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13BF3A84">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AD8BDD0">
            <w:pPr>
              <w:shd w:val="clear" w:color="auto" w:fill="auto"/>
              <w:topLinePunct/>
              <w:spacing w:line="440" w:lineRule="exact"/>
              <w:ind w:firstLine="482"/>
              <w:rPr>
                <w:rFonts w:ascii="宋体" w:hAnsi="宋体" w:cs="宋体"/>
                <w:color w:val="auto"/>
                <w:sz w:val="24"/>
                <w:highlight w:val="none"/>
              </w:rPr>
            </w:pPr>
          </w:p>
          <w:p w14:paraId="0F88E20B">
            <w:pPr>
              <w:shd w:val="clear" w:color="auto" w:fill="auto"/>
              <w:topLinePunct/>
              <w:spacing w:line="440" w:lineRule="exact"/>
              <w:ind w:firstLine="482"/>
              <w:rPr>
                <w:rFonts w:hint="eastAsia" w:ascii="宋体" w:hAnsi="宋体" w:cs="宋体"/>
                <w:color w:val="auto"/>
                <w:sz w:val="24"/>
                <w:highlight w:val="none"/>
              </w:rPr>
            </w:pPr>
          </w:p>
          <w:p w14:paraId="28755E4F">
            <w:pPr>
              <w:shd w:val="clear" w:color="auto" w:fill="auto"/>
              <w:topLinePunct/>
              <w:spacing w:line="440" w:lineRule="exact"/>
              <w:rPr>
                <w:rFonts w:ascii="宋体" w:hAnsi="宋体" w:cs="宋体"/>
                <w:color w:val="auto"/>
                <w:sz w:val="24"/>
                <w:highlight w:val="none"/>
              </w:rPr>
            </w:pPr>
          </w:p>
        </w:tc>
      </w:tr>
      <w:tr w14:paraId="6D77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2311" w:type="dxa"/>
            <w:tcBorders>
              <w:top w:val="single" w:color="auto" w:sz="4" w:space="0"/>
              <w:left w:val="single" w:color="auto" w:sz="4" w:space="0"/>
              <w:bottom w:val="single" w:color="auto" w:sz="4" w:space="0"/>
              <w:right w:val="single" w:color="auto" w:sz="4" w:space="0"/>
            </w:tcBorders>
            <w:noWrap w:val="0"/>
            <w:vAlign w:val="center"/>
          </w:tcPr>
          <w:p w14:paraId="22C32199">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备注</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D0903E9">
            <w:pPr>
              <w:shd w:val="clear" w:color="auto" w:fill="auto"/>
              <w:topLinePunct/>
              <w:spacing w:line="440" w:lineRule="exact"/>
              <w:ind w:firstLine="482"/>
              <w:rPr>
                <w:rFonts w:ascii="宋体" w:hAnsi="宋体" w:cs="宋体"/>
                <w:color w:val="auto"/>
                <w:sz w:val="24"/>
                <w:highlight w:val="none"/>
              </w:rPr>
            </w:pPr>
          </w:p>
        </w:tc>
      </w:tr>
    </w:tbl>
    <w:p w14:paraId="0643021D">
      <w:pPr>
        <w:pStyle w:val="3"/>
        <w:shd w:val="clear" w:color="auto" w:fill="auto"/>
        <w:ind w:firstLine="643"/>
        <w:rPr>
          <w:rFonts w:hint="eastAsia" w:ascii="宋体" w:hAnsi="宋体" w:cs="宋体"/>
          <w:color w:val="auto"/>
          <w:sz w:val="20"/>
          <w:szCs w:val="20"/>
          <w:highlight w:val="none"/>
        </w:rPr>
      </w:pPr>
      <w:r>
        <w:rPr>
          <w:rFonts w:hint="eastAsia" w:ascii="宋体" w:hAnsi="宋体" w:cs="宋体"/>
          <w:b w:val="0"/>
          <w:bCs w:val="0"/>
          <w:color w:val="auto"/>
          <w:highlight w:val="none"/>
          <w:lang w:val="en-US" w:eastAsia="zh-CN"/>
        </w:rPr>
        <w:t>注：后附业绩相关资料，每张表格只填写一个项目，并标明序号。</w:t>
      </w:r>
      <w:r>
        <w:rPr>
          <w:rFonts w:hint="eastAsia" w:ascii="宋体" w:hAnsi="宋体" w:cs="宋体"/>
          <w:b w:val="0"/>
          <w:bCs w:val="0"/>
          <w:color w:val="auto"/>
          <w:highlight w:val="none"/>
        </w:rPr>
        <w:br w:type="page"/>
      </w:r>
      <w:bookmarkStart w:id="1526" w:name="_Toc247514303"/>
      <w:bookmarkStart w:id="1527" w:name="_Toc77586881"/>
      <w:bookmarkStart w:id="1528" w:name="_Toc296602621"/>
      <w:bookmarkStart w:id="1529" w:name="_Toc265953297"/>
      <w:bookmarkStart w:id="1530" w:name="_Toc15278"/>
      <w:bookmarkStart w:id="1531" w:name="_Toc77586979"/>
      <w:bookmarkStart w:id="1532" w:name="_Toc247527851"/>
      <w:bookmarkStart w:id="1533" w:name="_Toc26073"/>
      <w:bookmarkStart w:id="1534" w:name="_Toc152042600"/>
      <w:bookmarkStart w:id="1535" w:name="_Toc152045811"/>
      <w:bookmarkStart w:id="1536" w:name="_Toc144974879"/>
      <w:r>
        <w:rPr>
          <w:rFonts w:hint="eastAsia" w:ascii="宋体" w:hAnsi="宋体" w:cs="宋体"/>
          <w:color w:val="auto"/>
          <w:highlight w:val="none"/>
        </w:rPr>
        <w:t>（四）正在实施的和新承接的项目情况表</w:t>
      </w:r>
      <w:bookmarkEnd w:id="1526"/>
      <w:bookmarkEnd w:id="1527"/>
      <w:bookmarkEnd w:id="1528"/>
      <w:bookmarkEnd w:id="1529"/>
      <w:bookmarkEnd w:id="1530"/>
      <w:bookmarkEnd w:id="1531"/>
      <w:bookmarkEnd w:id="1532"/>
      <w:bookmarkEnd w:id="1533"/>
      <w:bookmarkEnd w:id="1534"/>
      <w:bookmarkEnd w:id="1535"/>
      <w:bookmarkEnd w:id="1536"/>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1"/>
        <w:gridCol w:w="6211"/>
      </w:tblGrid>
      <w:tr w14:paraId="37AE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EFC39FB">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17108DA">
            <w:pPr>
              <w:shd w:val="clear" w:color="auto" w:fill="auto"/>
              <w:topLinePunct/>
              <w:spacing w:line="440" w:lineRule="exact"/>
              <w:ind w:firstLine="482"/>
              <w:rPr>
                <w:rFonts w:ascii="宋体" w:hAnsi="宋体" w:cs="宋体"/>
                <w:color w:val="auto"/>
                <w:sz w:val="24"/>
                <w:highlight w:val="none"/>
              </w:rPr>
            </w:pPr>
          </w:p>
        </w:tc>
      </w:tr>
      <w:tr w14:paraId="11AA5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48266B0">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项目所在地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3AAEB75">
            <w:pPr>
              <w:shd w:val="clear" w:color="auto" w:fill="auto"/>
              <w:topLinePunct/>
              <w:spacing w:line="440" w:lineRule="exact"/>
              <w:ind w:firstLine="482"/>
              <w:rPr>
                <w:rFonts w:ascii="宋体" w:hAnsi="宋体" w:cs="宋体"/>
                <w:color w:val="auto"/>
                <w:sz w:val="24"/>
                <w:highlight w:val="none"/>
              </w:rPr>
            </w:pPr>
          </w:p>
        </w:tc>
      </w:tr>
      <w:tr w14:paraId="61D2C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61E510D0">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发包人名称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441C0FCB">
            <w:pPr>
              <w:shd w:val="clear" w:color="auto" w:fill="auto"/>
              <w:topLinePunct/>
              <w:spacing w:line="440" w:lineRule="exact"/>
              <w:ind w:firstLine="482"/>
              <w:rPr>
                <w:rFonts w:ascii="宋体" w:hAnsi="宋体" w:cs="宋体"/>
                <w:color w:val="auto"/>
                <w:sz w:val="24"/>
                <w:highlight w:val="none"/>
              </w:rPr>
            </w:pPr>
          </w:p>
        </w:tc>
      </w:tr>
      <w:tr w14:paraId="4A5E7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1279129A">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发包人地址</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9CC08B6">
            <w:pPr>
              <w:shd w:val="clear" w:color="auto" w:fill="auto"/>
              <w:topLinePunct/>
              <w:spacing w:line="440" w:lineRule="exact"/>
              <w:ind w:firstLine="482"/>
              <w:rPr>
                <w:rFonts w:ascii="宋体" w:hAnsi="宋体" w:cs="宋体"/>
                <w:color w:val="auto"/>
                <w:sz w:val="24"/>
                <w:highlight w:val="none"/>
              </w:rPr>
            </w:pPr>
          </w:p>
        </w:tc>
      </w:tr>
      <w:tr w14:paraId="1055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151E956C">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发包人电话</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0EB4762">
            <w:pPr>
              <w:shd w:val="clear" w:color="auto" w:fill="auto"/>
              <w:topLinePunct/>
              <w:spacing w:line="440" w:lineRule="exact"/>
              <w:ind w:firstLine="482"/>
              <w:rPr>
                <w:rFonts w:ascii="宋体" w:hAnsi="宋体" w:cs="宋体"/>
                <w:color w:val="auto"/>
                <w:sz w:val="24"/>
                <w:highlight w:val="none"/>
              </w:rPr>
            </w:pPr>
          </w:p>
        </w:tc>
      </w:tr>
      <w:tr w14:paraId="0308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301C3456">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签约合同价</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A08D197">
            <w:pPr>
              <w:shd w:val="clear" w:color="auto" w:fill="auto"/>
              <w:topLinePunct/>
              <w:spacing w:line="440" w:lineRule="exact"/>
              <w:ind w:firstLine="482"/>
              <w:rPr>
                <w:rFonts w:ascii="宋体" w:hAnsi="宋体" w:cs="宋体"/>
                <w:color w:val="auto"/>
                <w:sz w:val="24"/>
                <w:highlight w:val="none"/>
              </w:rPr>
            </w:pPr>
          </w:p>
        </w:tc>
      </w:tr>
      <w:tr w14:paraId="796E6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0C6BF32D">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开工日期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575E3C27">
            <w:pPr>
              <w:shd w:val="clear" w:color="auto" w:fill="auto"/>
              <w:topLinePunct/>
              <w:spacing w:line="440" w:lineRule="exact"/>
              <w:ind w:firstLine="482"/>
              <w:rPr>
                <w:rFonts w:ascii="宋体" w:hAnsi="宋体" w:cs="宋体"/>
                <w:color w:val="auto"/>
                <w:sz w:val="24"/>
                <w:highlight w:val="none"/>
              </w:rPr>
            </w:pPr>
          </w:p>
        </w:tc>
      </w:tr>
      <w:tr w14:paraId="17EBB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322FEF96">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计划竣工日期</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C4CF6C0">
            <w:pPr>
              <w:shd w:val="clear" w:color="auto" w:fill="auto"/>
              <w:topLinePunct/>
              <w:spacing w:line="440" w:lineRule="exact"/>
              <w:ind w:firstLine="482"/>
              <w:rPr>
                <w:rFonts w:ascii="宋体" w:hAnsi="宋体" w:cs="宋体"/>
                <w:color w:val="auto"/>
                <w:sz w:val="24"/>
                <w:highlight w:val="none"/>
              </w:rPr>
            </w:pPr>
          </w:p>
        </w:tc>
      </w:tr>
      <w:tr w14:paraId="1C239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572C07BF">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承担的工作</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E4CC9CA">
            <w:pPr>
              <w:shd w:val="clear" w:color="auto" w:fill="auto"/>
              <w:topLinePunct/>
              <w:spacing w:line="440" w:lineRule="exact"/>
              <w:ind w:firstLine="482"/>
              <w:rPr>
                <w:rFonts w:ascii="宋体" w:hAnsi="宋体" w:cs="宋体"/>
                <w:color w:val="auto"/>
                <w:sz w:val="24"/>
                <w:highlight w:val="none"/>
              </w:rPr>
            </w:pPr>
          </w:p>
        </w:tc>
      </w:tr>
      <w:tr w14:paraId="7B442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4758D72E">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工程质量</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13701418">
            <w:pPr>
              <w:shd w:val="clear" w:color="auto" w:fill="auto"/>
              <w:topLinePunct/>
              <w:spacing w:line="440" w:lineRule="exact"/>
              <w:ind w:firstLine="482"/>
              <w:rPr>
                <w:rFonts w:ascii="宋体" w:hAnsi="宋体" w:cs="宋体"/>
                <w:color w:val="auto"/>
                <w:sz w:val="24"/>
                <w:highlight w:val="none"/>
              </w:rPr>
            </w:pPr>
          </w:p>
        </w:tc>
      </w:tr>
      <w:tr w14:paraId="39065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352B8A07">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项目经理</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39EF2B0A">
            <w:pPr>
              <w:shd w:val="clear" w:color="auto" w:fill="auto"/>
              <w:topLinePunct/>
              <w:spacing w:line="440" w:lineRule="exact"/>
              <w:ind w:firstLine="482"/>
              <w:rPr>
                <w:rFonts w:ascii="宋体" w:hAnsi="宋体" w:cs="宋体"/>
                <w:color w:val="auto"/>
                <w:sz w:val="24"/>
                <w:highlight w:val="none"/>
              </w:rPr>
            </w:pPr>
          </w:p>
        </w:tc>
      </w:tr>
      <w:tr w14:paraId="0B2F8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1C8598A3">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技术负责人</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0434F89A">
            <w:pPr>
              <w:shd w:val="clear" w:color="auto" w:fill="auto"/>
              <w:topLinePunct/>
              <w:spacing w:line="440" w:lineRule="exact"/>
              <w:ind w:firstLine="482"/>
              <w:rPr>
                <w:rFonts w:ascii="宋体" w:hAnsi="宋体" w:cs="宋体"/>
                <w:color w:val="auto"/>
                <w:sz w:val="24"/>
                <w:highlight w:val="none"/>
              </w:rPr>
            </w:pPr>
          </w:p>
        </w:tc>
      </w:tr>
      <w:tr w14:paraId="4931E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7428336B">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项目描述</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74AB79EA">
            <w:pPr>
              <w:shd w:val="clear" w:color="auto" w:fill="auto"/>
              <w:topLinePunct/>
              <w:spacing w:line="440" w:lineRule="exact"/>
              <w:ind w:firstLine="482"/>
              <w:rPr>
                <w:rFonts w:ascii="宋体" w:hAnsi="宋体" w:cs="宋体"/>
                <w:color w:val="auto"/>
                <w:sz w:val="24"/>
                <w:highlight w:val="none"/>
              </w:rPr>
            </w:pPr>
          </w:p>
          <w:p w14:paraId="2BF7014E">
            <w:pPr>
              <w:shd w:val="clear" w:color="auto" w:fill="auto"/>
              <w:topLinePunct/>
              <w:spacing w:line="440" w:lineRule="exact"/>
              <w:ind w:firstLine="482"/>
              <w:rPr>
                <w:rFonts w:hint="eastAsia" w:ascii="宋体" w:hAnsi="宋体" w:cs="宋体"/>
                <w:color w:val="auto"/>
                <w:sz w:val="24"/>
                <w:highlight w:val="none"/>
              </w:rPr>
            </w:pPr>
          </w:p>
          <w:p w14:paraId="341F6994">
            <w:pPr>
              <w:shd w:val="clear" w:color="auto" w:fill="auto"/>
              <w:topLinePunct/>
              <w:spacing w:line="440" w:lineRule="exact"/>
              <w:ind w:firstLine="482"/>
              <w:rPr>
                <w:rFonts w:hint="eastAsia" w:ascii="宋体" w:hAnsi="宋体" w:cs="宋体"/>
                <w:color w:val="auto"/>
                <w:sz w:val="24"/>
                <w:highlight w:val="none"/>
              </w:rPr>
            </w:pPr>
          </w:p>
          <w:p w14:paraId="3A9732D7">
            <w:pPr>
              <w:shd w:val="clear" w:color="auto" w:fill="auto"/>
              <w:topLinePunct/>
              <w:spacing w:line="440" w:lineRule="exact"/>
              <w:ind w:firstLine="482"/>
              <w:rPr>
                <w:rFonts w:hint="eastAsia" w:ascii="宋体" w:hAnsi="宋体" w:cs="宋体"/>
                <w:color w:val="auto"/>
                <w:sz w:val="24"/>
                <w:highlight w:val="none"/>
              </w:rPr>
            </w:pPr>
          </w:p>
          <w:p w14:paraId="4FF30B4D">
            <w:pPr>
              <w:shd w:val="clear" w:color="auto" w:fill="auto"/>
              <w:topLinePunct/>
              <w:spacing w:line="440" w:lineRule="exact"/>
              <w:ind w:firstLine="482"/>
              <w:rPr>
                <w:rFonts w:hint="eastAsia" w:ascii="宋体" w:hAnsi="宋体" w:cs="宋体"/>
                <w:color w:val="auto"/>
                <w:sz w:val="24"/>
                <w:highlight w:val="none"/>
              </w:rPr>
            </w:pPr>
          </w:p>
          <w:p w14:paraId="4BB530A3">
            <w:pPr>
              <w:shd w:val="clear" w:color="auto" w:fill="auto"/>
              <w:topLinePunct/>
              <w:spacing w:line="440" w:lineRule="exact"/>
              <w:ind w:firstLine="482"/>
              <w:rPr>
                <w:rFonts w:hint="eastAsia" w:ascii="宋体" w:hAnsi="宋体" w:cs="宋体"/>
                <w:color w:val="auto"/>
                <w:sz w:val="24"/>
                <w:highlight w:val="none"/>
              </w:rPr>
            </w:pPr>
          </w:p>
          <w:p w14:paraId="0D36D635">
            <w:pPr>
              <w:shd w:val="clear" w:color="auto" w:fill="auto"/>
              <w:topLinePunct/>
              <w:spacing w:line="440" w:lineRule="exact"/>
              <w:ind w:firstLine="482"/>
              <w:rPr>
                <w:rFonts w:ascii="宋体" w:hAnsi="宋体" w:cs="宋体"/>
                <w:color w:val="auto"/>
                <w:sz w:val="24"/>
                <w:highlight w:val="none"/>
              </w:rPr>
            </w:pPr>
          </w:p>
        </w:tc>
      </w:tr>
      <w:tr w14:paraId="4EE34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trPr>
        <w:tc>
          <w:tcPr>
            <w:tcW w:w="2311" w:type="dxa"/>
            <w:tcBorders>
              <w:top w:val="single" w:color="auto" w:sz="4" w:space="0"/>
              <w:left w:val="single" w:color="auto" w:sz="4" w:space="0"/>
              <w:bottom w:val="single" w:color="auto" w:sz="4" w:space="0"/>
              <w:right w:val="single" w:color="auto" w:sz="4" w:space="0"/>
            </w:tcBorders>
            <w:noWrap w:val="0"/>
            <w:vAlign w:val="center"/>
          </w:tcPr>
          <w:p w14:paraId="382B2BEF">
            <w:pPr>
              <w:shd w:val="clear" w:color="auto" w:fill="auto"/>
              <w:topLinePunct/>
              <w:spacing w:line="440" w:lineRule="exact"/>
              <w:ind w:firstLine="482"/>
              <w:jc w:val="center"/>
              <w:rPr>
                <w:rFonts w:ascii="宋体" w:hAnsi="宋体" w:cs="宋体"/>
                <w:color w:val="auto"/>
                <w:sz w:val="24"/>
                <w:highlight w:val="none"/>
              </w:rPr>
            </w:pPr>
            <w:r>
              <w:rPr>
                <w:rFonts w:hint="eastAsia" w:ascii="宋体" w:hAnsi="宋体" w:cs="宋体"/>
                <w:color w:val="auto"/>
                <w:sz w:val="24"/>
                <w:highlight w:val="none"/>
              </w:rPr>
              <w:t>备注</w:t>
            </w:r>
          </w:p>
        </w:tc>
        <w:tc>
          <w:tcPr>
            <w:tcW w:w="6211" w:type="dxa"/>
            <w:tcBorders>
              <w:top w:val="single" w:color="auto" w:sz="4" w:space="0"/>
              <w:left w:val="single" w:color="auto" w:sz="4" w:space="0"/>
              <w:bottom w:val="single" w:color="auto" w:sz="4" w:space="0"/>
              <w:right w:val="single" w:color="auto" w:sz="4" w:space="0"/>
            </w:tcBorders>
            <w:noWrap w:val="0"/>
            <w:vAlign w:val="top"/>
          </w:tcPr>
          <w:p w14:paraId="21CA85BF">
            <w:pPr>
              <w:shd w:val="clear" w:color="auto" w:fill="auto"/>
              <w:topLinePunct/>
              <w:spacing w:line="440" w:lineRule="exact"/>
              <w:ind w:firstLine="482"/>
              <w:rPr>
                <w:rFonts w:ascii="宋体" w:hAnsi="宋体" w:cs="宋体"/>
                <w:color w:val="auto"/>
                <w:sz w:val="24"/>
                <w:highlight w:val="none"/>
              </w:rPr>
            </w:pPr>
          </w:p>
        </w:tc>
      </w:tr>
    </w:tbl>
    <w:p w14:paraId="30E2CAAB">
      <w:pPr>
        <w:shd w:val="clear" w:color="auto" w:fill="auto"/>
        <w:spacing w:line="440" w:lineRule="exact"/>
        <w:ind w:firstLine="402"/>
        <w:rPr>
          <w:rFonts w:hint="eastAsia" w:ascii="宋体" w:hAnsi="宋体" w:cs="宋体"/>
          <w:color w:val="auto"/>
          <w:sz w:val="20"/>
          <w:szCs w:val="20"/>
          <w:highlight w:val="none"/>
        </w:rPr>
      </w:pPr>
    </w:p>
    <w:p w14:paraId="45D48766">
      <w:pPr>
        <w:shd w:val="clear" w:color="auto" w:fill="auto"/>
        <w:spacing w:line="440" w:lineRule="exact"/>
        <w:ind w:firstLine="640"/>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br w:type="page"/>
      </w:r>
    </w:p>
    <w:p w14:paraId="0C3FC5E1">
      <w:pPr>
        <w:shd w:val="clear" w:color="auto" w:fill="auto"/>
        <w:spacing w:line="440" w:lineRule="exact"/>
        <w:ind w:firstLine="640"/>
        <w:jc w:val="left"/>
        <w:rPr>
          <w:rFonts w:hint="eastAsia" w:ascii="宋体" w:hAnsi="宋体" w:cs="宋体"/>
          <w:b/>
          <w:bCs/>
          <w:color w:val="auto"/>
          <w:sz w:val="32"/>
          <w:szCs w:val="32"/>
          <w:highlight w:val="none"/>
        </w:rPr>
      </w:pPr>
      <w:r>
        <w:rPr>
          <w:rFonts w:hint="eastAsia" w:ascii="宋体" w:hAnsi="宋体" w:cs="宋体"/>
          <w:b/>
          <w:bCs/>
          <w:color w:val="auto"/>
          <w:sz w:val="32"/>
          <w:szCs w:val="32"/>
          <w:highlight w:val="none"/>
        </w:rPr>
        <w:t>（五）近年发生的诉讼和仲裁情况</w:t>
      </w:r>
    </w:p>
    <w:p w14:paraId="7CEBEF18">
      <w:pPr>
        <w:shd w:val="clear" w:color="auto" w:fill="auto"/>
        <w:spacing w:line="440" w:lineRule="exact"/>
        <w:ind w:firstLine="803" w:firstLineChars="250"/>
        <w:jc w:val="center"/>
        <w:rPr>
          <w:rFonts w:hint="eastAsia" w:ascii="宋体" w:hAnsi="宋体" w:cs="宋体"/>
          <w:b/>
          <w:bCs/>
          <w:color w:val="auto"/>
          <w:sz w:val="32"/>
          <w:szCs w:val="32"/>
          <w:highlight w:val="none"/>
        </w:rPr>
      </w:pPr>
    </w:p>
    <w:p w14:paraId="73C2E3B0">
      <w:pPr>
        <w:shd w:val="clear" w:color="auto" w:fill="auto"/>
        <w:spacing w:line="440" w:lineRule="exact"/>
        <w:ind w:firstLine="600" w:firstLineChars="250"/>
        <w:jc w:val="left"/>
        <w:rPr>
          <w:rFonts w:hint="eastAsia" w:ascii="宋体" w:hAnsi="宋体" w:cs="宋体"/>
          <w:bCs/>
          <w:color w:val="auto"/>
          <w:sz w:val="24"/>
          <w:szCs w:val="32"/>
          <w:highlight w:val="none"/>
        </w:rPr>
      </w:pPr>
      <w:r>
        <w:rPr>
          <w:rFonts w:hint="eastAsia" w:ascii="宋体" w:hAnsi="宋体" w:cs="宋体"/>
          <w:bCs/>
          <w:color w:val="auto"/>
          <w:sz w:val="24"/>
          <w:szCs w:val="32"/>
          <w:highlight w:val="none"/>
        </w:rPr>
        <w:t>说明：近年发生的诉讼和仲裁情况仅限于投标人败诉的，且与履行施工承包合同有关的案件，不包括调解结案以及未裁决的仲裁或未终审判决的诉讼。</w:t>
      </w:r>
    </w:p>
    <w:p w14:paraId="61B5139E">
      <w:pPr>
        <w:shd w:val="clear" w:color="auto" w:fill="auto"/>
        <w:spacing w:line="440" w:lineRule="exact"/>
        <w:ind w:firstLine="482"/>
        <w:jc w:val="left"/>
        <w:rPr>
          <w:rFonts w:hint="eastAsia" w:ascii="宋体" w:hAnsi="宋体" w:cs="宋体"/>
          <w:bCs/>
          <w:color w:val="auto"/>
          <w:sz w:val="24"/>
          <w:szCs w:val="32"/>
          <w:highlight w:val="none"/>
        </w:rPr>
      </w:pPr>
    </w:p>
    <w:p w14:paraId="398DFAD2">
      <w:pPr>
        <w:shd w:val="clear" w:color="auto" w:fill="auto"/>
        <w:spacing w:line="440" w:lineRule="exact"/>
        <w:ind w:firstLine="482"/>
        <w:jc w:val="left"/>
        <w:rPr>
          <w:rFonts w:hint="eastAsia" w:ascii="宋体" w:hAnsi="宋体" w:cs="宋体"/>
          <w:bCs/>
          <w:color w:val="auto"/>
          <w:sz w:val="24"/>
          <w:szCs w:val="32"/>
          <w:highlight w:val="none"/>
        </w:rPr>
      </w:pPr>
    </w:p>
    <w:p w14:paraId="794E6DB8">
      <w:pPr>
        <w:shd w:val="clear" w:color="auto" w:fill="auto"/>
        <w:spacing w:line="440" w:lineRule="exact"/>
        <w:ind w:firstLine="482"/>
        <w:jc w:val="left"/>
        <w:rPr>
          <w:rFonts w:hint="eastAsia" w:ascii="宋体" w:hAnsi="宋体" w:cs="宋体"/>
          <w:bCs/>
          <w:color w:val="auto"/>
          <w:sz w:val="24"/>
          <w:szCs w:val="32"/>
          <w:highlight w:val="none"/>
        </w:rPr>
      </w:pPr>
    </w:p>
    <w:p w14:paraId="322FDD6C">
      <w:pPr>
        <w:shd w:val="clear" w:color="auto" w:fill="auto"/>
        <w:spacing w:line="460" w:lineRule="exact"/>
        <w:ind w:firstLine="640"/>
        <w:rPr>
          <w:rFonts w:hint="eastAsia" w:ascii="宋体" w:hAnsi="宋体" w:cs="宋体"/>
          <w:b/>
          <w:bCs/>
          <w:color w:val="auto"/>
          <w:sz w:val="32"/>
          <w:szCs w:val="32"/>
          <w:highlight w:val="none"/>
        </w:rPr>
      </w:pPr>
      <w:bookmarkStart w:id="1537" w:name="_Toc246996374"/>
      <w:bookmarkStart w:id="1538" w:name="_Toc246997117"/>
      <w:bookmarkStart w:id="1539" w:name="_Toc296602622"/>
      <w:bookmarkStart w:id="1540" w:name="_Toc247085892"/>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（六）农民工工资支付承诺</w:t>
      </w:r>
    </w:p>
    <w:p w14:paraId="3DECD90C">
      <w:pPr>
        <w:shd w:val="clear" w:color="auto" w:fill="auto"/>
        <w:spacing w:line="460" w:lineRule="exact"/>
        <w:ind w:firstLine="561" w:firstLineChars="234"/>
        <w:rPr>
          <w:rFonts w:hint="eastAsia" w:ascii="宋体" w:hAnsi="宋体" w:cs="宋体"/>
          <w:color w:val="auto"/>
          <w:sz w:val="24"/>
          <w:szCs w:val="24"/>
          <w:highlight w:val="none"/>
        </w:rPr>
      </w:pPr>
      <w:r>
        <w:rPr>
          <w:rFonts w:hint="eastAsia" w:ascii="宋体" w:hAnsi="宋体" w:cs="宋体"/>
          <w:color w:val="auto"/>
          <w:sz w:val="24"/>
          <w:szCs w:val="24"/>
          <w:highlight w:val="none"/>
        </w:rPr>
        <w:t>格式见附件1</w:t>
      </w:r>
    </w:p>
    <w:p w14:paraId="60CB26ED">
      <w:pPr>
        <w:pStyle w:val="14"/>
        <w:shd w:val="clear" w:color="auto" w:fill="auto"/>
        <w:ind w:left="0" w:leftChars="0" w:firstLine="482"/>
        <w:rPr>
          <w:rFonts w:hint="eastAsia" w:ascii="宋体" w:hAnsi="宋体" w:eastAsia="宋体" w:cs="宋体"/>
          <w:color w:val="auto"/>
          <w:sz w:val="24"/>
          <w:szCs w:val="24"/>
          <w:highlight w:val="none"/>
        </w:rPr>
      </w:pPr>
    </w:p>
    <w:p w14:paraId="79A95FCA">
      <w:pPr>
        <w:pStyle w:val="3"/>
        <w:keepNext w:val="0"/>
        <w:keepLines w:val="0"/>
        <w:shd w:val="clear" w:color="auto" w:fill="auto"/>
        <w:ind w:firstLine="560"/>
        <w:rPr>
          <w:rFonts w:hint="eastAsia"/>
          <w:color w:val="auto"/>
          <w:sz w:val="28"/>
          <w:highlight w:val="none"/>
        </w:rPr>
      </w:pPr>
      <w:bookmarkStart w:id="1541" w:name="_Toc27054"/>
      <w:bookmarkStart w:id="1542" w:name="_Toc77586882"/>
      <w:bookmarkStart w:id="1543" w:name="_Toc77586980"/>
      <w:r>
        <w:rPr>
          <w:rFonts w:hint="eastAsia"/>
          <w:color w:val="auto"/>
          <w:sz w:val="28"/>
          <w:highlight w:val="none"/>
        </w:rPr>
        <w:br w:type="page"/>
      </w:r>
      <w:bookmarkStart w:id="1544" w:name="_Toc21401"/>
      <w:r>
        <w:rPr>
          <w:rFonts w:hint="eastAsia"/>
          <w:color w:val="auto"/>
          <w:sz w:val="28"/>
          <w:highlight w:val="none"/>
        </w:rPr>
        <w:t>附：承诺书</w:t>
      </w:r>
      <w:bookmarkEnd w:id="1541"/>
      <w:bookmarkEnd w:id="1544"/>
    </w:p>
    <w:p w14:paraId="4DCCD3D2">
      <w:pPr>
        <w:shd w:val="clear" w:color="auto" w:fill="auto"/>
        <w:tabs>
          <w:tab w:val="left" w:pos="2766"/>
        </w:tabs>
        <w:ind w:firstLine="562"/>
        <w:jc w:val="center"/>
        <w:rPr>
          <w:color w:val="auto"/>
          <w:sz w:val="28"/>
          <w:highlight w:val="none"/>
        </w:rPr>
      </w:pPr>
      <w:r>
        <w:rPr>
          <w:rFonts w:hint="eastAsia"/>
          <w:color w:val="auto"/>
          <w:sz w:val="28"/>
          <w:highlight w:val="none"/>
        </w:rPr>
        <w:t>承诺书</w:t>
      </w:r>
    </w:p>
    <w:p w14:paraId="2846AABA">
      <w:pPr>
        <w:shd w:val="clear" w:color="auto" w:fill="auto"/>
        <w:tabs>
          <w:tab w:val="left" w:pos="2766"/>
        </w:tabs>
        <w:ind w:firstLine="562"/>
        <w:rPr>
          <w:color w:val="auto"/>
          <w:sz w:val="28"/>
          <w:highlight w:val="none"/>
        </w:rPr>
      </w:pPr>
      <w:r>
        <w:rPr>
          <w:rFonts w:hint="eastAsia"/>
          <w:color w:val="auto"/>
          <w:sz w:val="28"/>
          <w:highlight w:val="none"/>
        </w:rPr>
        <w:t>（招标人名称）：</w:t>
      </w:r>
    </w:p>
    <w:p w14:paraId="0EEFD23C">
      <w:pPr>
        <w:shd w:val="clear" w:color="auto" w:fill="auto"/>
        <w:tabs>
          <w:tab w:val="left" w:pos="2766"/>
        </w:tabs>
        <w:ind w:firstLine="560" w:firstLineChars="200"/>
        <w:rPr>
          <w:color w:val="auto"/>
          <w:sz w:val="28"/>
          <w:highlight w:val="none"/>
        </w:rPr>
      </w:pPr>
      <w:r>
        <w:rPr>
          <w:rFonts w:hint="eastAsia"/>
          <w:color w:val="auto"/>
          <w:sz w:val="28"/>
          <w:highlight w:val="none"/>
        </w:rPr>
        <w:t>我方在此声明，我方拟派往（项目名称）（以下简称“本工程”）的项目经理（项目经理姓名）现阶段没有担任任何在施建设工程项目的项目经理。</w:t>
      </w:r>
    </w:p>
    <w:p w14:paraId="2A04345B">
      <w:pPr>
        <w:shd w:val="clear" w:color="auto" w:fill="auto"/>
        <w:tabs>
          <w:tab w:val="left" w:pos="2766"/>
        </w:tabs>
        <w:ind w:firstLine="560" w:firstLineChars="200"/>
        <w:rPr>
          <w:color w:val="auto"/>
          <w:sz w:val="28"/>
          <w:highlight w:val="none"/>
        </w:rPr>
      </w:pPr>
      <w:r>
        <w:rPr>
          <w:rFonts w:hint="eastAsia"/>
          <w:color w:val="auto"/>
          <w:sz w:val="28"/>
          <w:highlight w:val="none"/>
        </w:rPr>
        <w:t>我方保证上述信息的真实和准确，并愿意承担因我方就此弄虚作假所引起的一切法律后果。</w:t>
      </w:r>
    </w:p>
    <w:p w14:paraId="2CEF92E6">
      <w:pPr>
        <w:shd w:val="clear" w:color="auto" w:fill="auto"/>
        <w:tabs>
          <w:tab w:val="left" w:pos="2766"/>
        </w:tabs>
        <w:ind w:firstLine="560" w:firstLineChars="200"/>
        <w:rPr>
          <w:color w:val="auto"/>
          <w:sz w:val="28"/>
          <w:highlight w:val="none"/>
        </w:rPr>
      </w:pPr>
      <w:r>
        <w:rPr>
          <w:rFonts w:hint="eastAsia"/>
          <w:color w:val="auto"/>
          <w:sz w:val="28"/>
          <w:highlight w:val="none"/>
        </w:rPr>
        <w:t>特此承诺。</w:t>
      </w:r>
    </w:p>
    <w:p w14:paraId="18D097AF">
      <w:pPr>
        <w:shd w:val="clear" w:color="auto" w:fill="auto"/>
        <w:tabs>
          <w:tab w:val="left" w:pos="2766"/>
        </w:tabs>
        <w:ind w:firstLine="562"/>
        <w:rPr>
          <w:color w:val="auto"/>
          <w:sz w:val="28"/>
          <w:highlight w:val="none"/>
        </w:rPr>
      </w:pPr>
      <w:r>
        <w:rPr>
          <w:rFonts w:hint="eastAsia"/>
          <w:color w:val="auto"/>
          <w:sz w:val="28"/>
          <w:highlight w:val="none"/>
        </w:rPr>
        <w:t>投标单位：（公章签章）</w:t>
      </w:r>
    </w:p>
    <w:p w14:paraId="0CD5F061">
      <w:pPr>
        <w:shd w:val="clear" w:color="auto" w:fill="auto"/>
        <w:tabs>
          <w:tab w:val="left" w:pos="2766"/>
        </w:tabs>
        <w:ind w:firstLine="562"/>
        <w:rPr>
          <w:color w:val="auto"/>
          <w:sz w:val="28"/>
          <w:highlight w:val="none"/>
        </w:rPr>
      </w:pPr>
      <w:r>
        <w:rPr>
          <w:rFonts w:hint="eastAsia"/>
          <w:color w:val="auto"/>
          <w:sz w:val="28"/>
          <w:highlight w:val="none"/>
        </w:rPr>
        <w:t>法定代表人：（电子签章）</w:t>
      </w:r>
    </w:p>
    <w:p w14:paraId="1EB2FC3C">
      <w:pPr>
        <w:shd w:val="clear" w:color="auto" w:fill="auto"/>
        <w:tabs>
          <w:tab w:val="left" w:pos="2766"/>
        </w:tabs>
        <w:ind w:firstLine="562"/>
        <w:rPr>
          <w:rFonts w:hint="eastAsia" w:ascii="宋体" w:hAnsi="宋体" w:cs="宋体"/>
          <w:b/>
          <w:bCs/>
          <w:color w:val="auto"/>
          <w:sz w:val="32"/>
          <w:szCs w:val="32"/>
          <w:highlight w:val="none"/>
        </w:rPr>
      </w:pPr>
      <w:r>
        <w:rPr>
          <w:rFonts w:hint="eastAsia"/>
          <w:color w:val="auto"/>
          <w:sz w:val="28"/>
          <w:highlight w:val="none"/>
        </w:rPr>
        <w:t>年</w:t>
      </w:r>
      <w:r>
        <w:rPr>
          <w:color w:val="auto"/>
          <w:sz w:val="28"/>
          <w:highlight w:val="none"/>
        </w:rPr>
        <w:t xml:space="preserve">   </w:t>
      </w:r>
      <w:r>
        <w:rPr>
          <w:rFonts w:hint="eastAsia"/>
          <w:color w:val="auto"/>
          <w:sz w:val="28"/>
          <w:highlight w:val="none"/>
        </w:rPr>
        <w:t>月</w:t>
      </w:r>
      <w:r>
        <w:rPr>
          <w:color w:val="auto"/>
          <w:sz w:val="28"/>
          <w:highlight w:val="none"/>
        </w:rPr>
        <w:t xml:space="preserve">    </w:t>
      </w:r>
      <w:r>
        <w:rPr>
          <w:rFonts w:hint="eastAsia"/>
          <w:color w:val="auto"/>
          <w:sz w:val="28"/>
          <w:highlight w:val="none"/>
        </w:rPr>
        <w:t>日</w:t>
      </w:r>
      <w:r>
        <w:rPr>
          <w:color w:val="auto"/>
          <w:sz w:val="28"/>
          <w:highlight w:val="none"/>
        </w:rPr>
        <w:tab/>
      </w:r>
      <w:bookmarkEnd w:id="1522"/>
      <w:bookmarkEnd w:id="1523"/>
      <w:bookmarkEnd w:id="1524"/>
      <w:bookmarkEnd w:id="1525"/>
      <w:bookmarkEnd w:id="1537"/>
      <w:bookmarkEnd w:id="1538"/>
      <w:bookmarkEnd w:id="1539"/>
      <w:bookmarkEnd w:id="1540"/>
      <w:bookmarkEnd w:id="1542"/>
      <w:bookmarkEnd w:id="1543"/>
      <w:bookmarkStart w:id="1545" w:name="_Toc3728"/>
      <w:bookmarkStart w:id="1546" w:name="_Toc15413"/>
      <w:r>
        <w:rPr>
          <w:rFonts w:hint="eastAsia" w:ascii="宋体" w:hAnsi="宋体" w:cs="宋体"/>
          <w:b/>
          <w:bCs/>
          <w:color w:val="auto"/>
          <w:sz w:val="32"/>
          <w:szCs w:val="32"/>
          <w:highlight w:val="none"/>
        </w:rPr>
        <w:br w:type="page"/>
      </w:r>
    </w:p>
    <w:p w14:paraId="70F7D024">
      <w:pPr>
        <w:shd w:val="clear" w:color="auto" w:fill="auto"/>
        <w:spacing w:line="360" w:lineRule="auto"/>
        <w:ind w:firstLine="640"/>
        <w:jc w:val="center"/>
        <w:outlineLvl w:val="1"/>
        <w:rPr>
          <w:rFonts w:hint="eastAsia" w:ascii="宋体" w:cs="宋体"/>
          <w:b/>
          <w:bCs/>
          <w:color w:val="auto"/>
          <w:sz w:val="32"/>
          <w:szCs w:val="32"/>
          <w:highlight w:val="none"/>
        </w:rPr>
      </w:pPr>
      <w:bookmarkStart w:id="1547" w:name="_Toc2790"/>
      <w:r>
        <w:rPr>
          <w:rFonts w:hint="eastAsia" w:ascii="宋体" w:hAnsi="宋体" w:cs="宋体"/>
          <w:b/>
          <w:bCs/>
          <w:color w:val="auto"/>
          <w:sz w:val="32"/>
          <w:szCs w:val="32"/>
          <w:highlight w:val="none"/>
        </w:rPr>
        <w:t>九、</w:t>
      </w:r>
      <w:bookmarkEnd w:id="1545"/>
      <w:bookmarkEnd w:id="1546"/>
      <w:r>
        <w:rPr>
          <w:rFonts w:hint="eastAsia" w:ascii="宋体" w:hAnsi="宋体" w:cs="宋体"/>
          <w:b/>
          <w:bCs/>
          <w:color w:val="auto"/>
          <w:sz w:val="32"/>
          <w:szCs w:val="32"/>
          <w:highlight w:val="none"/>
        </w:rPr>
        <w:t>资格审查资料</w:t>
      </w:r>
      <w:bookmarkEnd w:id="1547"/>
    </w:p>
    <w:p w14:paraId="2912834B">
      <w:pPr>
        <w:shd w:val="clear" w:color="auto" w:fill="auto"/>
        <w:ind w:firstLine="640"/>
        <w:rPr>
          <w:rFonts w:hint="eastAsia" w:ascii="宋体" w:hAnsi="宋体" w:cs="宋体"/>
          <w:b/>
          <w:bCs/>
          <w:color w:val="auto"/>
          <w:sz w:val="32"/>
          <w:szCs w:val="32"/>
          <w:highlight w:val="none"/>
        </w:rPr>
      </w:pPr>
    </w:p>
    <w:p w14:paraId="0C1AFD1D">
      <w:pPr>
        <w:pStyle w:val="4"/>
        <w:shd w:val="clear" w:color="auto" w:fill="auto"/>
        <w:ind w:firstLine="482"/>
        <w:jc w:val="center"/>
        <w:rPr>
          <w:rFonts w:hint="eastAsia"/>
          <w:color w:val="auto"/>
          <w:sz w:val="24"/>
          <w:highlight w:val="none"/>
        </w:rPr>
      </w:pPr>
      <w:r>
        <w:rPr>
          <w:rFonts w:hint="eastAsia"/>
          <w:color w:val="auto"/>
          <w:sz w:val="24"/>
          <w:highlight w:val="none"/>
        </w:rPr>
        <w:t>附投标人资格要求中相关证明材料</w:t>
      </w:r>
    </w:p>
    <w:p w14:paraId="0EEDD35D">
      <w:pPr>
        <w:shd w:val="clear" w:color="auto" w:fill="auto"/>
        <w:ind w:firstLine="640"/>
        <w:jc w:val="center"/>
        <w:rPr>
          <w:rFonts w:ascii="宋体" w:hAnsi="宋体" w:cs="宋体"/>
          <w:b/>
          <w:bCs/>
          <w:color w:val="auto"/>
          <w:sz w:val="32"/>
          <w:szCs w:val="32"/>
          <w:highlight w:val="none"/>
        </w:rPr>
      </w:pPr>
    </w:p>
    <w:p w14:paraId="5E61D95C">
      <w:pPr>
        <w:shd w:val="clear" w:color="auto" w:fill="auto"/>
        <w:ind w:firstLine="640"/>
        <w:jc w:val="center"/>
        <w:rPr>
          <w:rFonts w:hint="eastAsia" w:ascii="宋体" w:hAnsi="宋体" w:cs="宋体"/>
          <w:b/>
          <w:bCs/>
          <w:color w:val="auto"/>
          <w:sz w:val="32"/>
          <w:szCs w:val="32"/>
          <w:highlight w:val="none"/>
        </w:rPr>
      </w:pPr>
    </w:p>
    <w:p w14:paraId="6728C944">
      <w:pPr>
        <w:shd w:val="clear" w:color="auto" w:fill="auto"/>
        <w:ind w:firstLine="640"/>
        <w:jc w:val="center"/>
        <w:rPr>
          <w:rFonts w:hint="eastAsia" w:ascii="宋体" w:hAnsi="宋体" w:cs="宋体"/>
          <w:b/>
          <w:bCs/>
          <w:color w:val="auto"/>
          <w:sz w:val="32"/>
          <w:szCs w:val="32"/>
          <w:highlight w:val="none"/>
        </w:rPr>
      </w:pPr>
    </w:p>
    <w:p w14:paraId="148AE1F8">
      <w:pPr>
        <w:shd w:val="clear" w:color="auto" w:fill="auto"/>
        <w:ind w:firstLine="640"/>
        <w:jc w:val="center"/>
        <w:rPr>
          <w:rFonts w:hint="eastAsia" w:ascii="宋体" w:hAnsi="宋体"/>
          <w:color w:val="auto"/>
          <w:highlight w:val="none"/>
        </w:rPr>
      </w:pPr>
      <w:r>
        <w:rPr>
          <w:rFonts w:hint="eastAsia" w:ascii="宋体" w:hAnsi="宋体" w:cs="宋体"/>
          <w:b/>
          <w:bCs/>
          <w:color w:val="auto"/>
          <w:sz w:val="32"/>
          <w:szCs w:val="32"/>
          <w:highlight w:val="none"/>
        </w:rPr>
        <w:br w:type="page"/>
      </w:r>
      <w:r>
        <w:rPr>
          <w:rFonts w:hint="eastAsia" w:ascii="宋体" w:hAnsi="宋体" w:cs="宋体"/>
          <w:b/>
          <w:bCs/>
          <w:color w:val="auto"/>
          <w:sz w:val="32"/>
          <w:szCs w:val="32"/>
          <w:highlight w:val="none"/>
        </w:rPr>
        <w:t>十、供应商认为应附的其他资料</w:t>
      </w:r>
    </w:p>
    <w:p w14:paraId="123273F5">
      <w:pPr>
        <w:shd w:val="clear" w:color="auto" w:fill="auto"/>
        <w:ind w:firstLine="482"/>
        <w:jc w:val="center"/>
        <w:rPr>
          <w:rFonts w:hint="eastAsia" w:ascii="宋体" w:hAnsi="宋体"/>
          <w:color w:val="auto"/>
          <w:highlight w:val="none"/>
        </w:rPr>
      </w:pPr>
    </w:p>
    <w:p w14:paraId="022CAB1B">
      <w:pPr>
        <w:pStyle w:val="2"/>
        <w:shd w:val="clear" w:color="auto" w:fill="auto"/>
        <w:ind w:firstLine="480"/>
        <w:rPr>
          <w:rFonts w:hint="eastAsia" w:ascii="宋体" w:hAnsi="宋体" w:eastAsia="宋体" w:cs="宋体"/>
          <w:color w:val="auto"/>
          <w:sz w:val="24"/>
          <w:szCs w:val="24"/>
          <w:highlight w:val="none"/>
        </w:rPr>
      </w:pPr>
      <w:bookmarkStart w:id="1548" w:name="_Toc10179"/>
      <w:r>
        <w:rPr>
          <w:rFonts w:hint="eastAsia" w:ascii="宋体" w:hAnsi="宋体" w:eastAsia="宋体" w:cs="宋体"/>
          <w:color w:val="auto"/>
          <w:sz w:val="24"/>
          <w:szCs w:val="24"/>
          <w:highlight w:val="none"/>
        </w:rPr>
        <w:t>自拟</w:t>
      </w:r>
      <w:bookmarkEnd w:id="1548"/>
    </w:p>
    <w:p w14:paraId="6B231AA3">
      <w:pPr>
        <w:shd w:val="clear" w:color="auto" w:fill="auto"/>
        <w:ind w:firstLine="482"/>
        <w:rPr>
          <w:rFonts w:hint="eastAsia" w:ascii="宋体" w:hAnsi="宋体"/>
          <w:color w:val="auto"/>
          <w:highlight w:val="none"/>
        </w:rPr>
      </w:pPr>
    </w:p>
    <w:p w14:paraId="26B9F9D1">
      <w:pPr>
        <w:pStyle w:val="2"/>
        <w:shd w:val="clear" w:color="auto" w:fill="auto"/>
        <w:ind w:firstLine="600"/>
        <w:rPr>
          <w:rFonts w:hint="eastAsia"/>
          <w:color w:val="auto"/>
          <w:highlight w:val="none"/>
        </w:rPr>
      </w:pPr>
    </w:p>
    <w:p w14:paraId="6F8185B2">
      <w:pPr>
        <w:shd w:val="clear" w:color="auto" w:fill="auto"/>
        <w:ind w:firstLine="482"/>
        <w:rPr>
          <w:color w:val="auto"/>
          <w:highlight w:val="none"/>
        </w:rPr>
      </w:pPr>
      <w:r>
        <w:rPr>
          <w:color w:val="auto"/>
          <w:highlight w:val="none"/>
        </w:rPr>
        <w:br w:type="page"/>
      </w:r>
    </w:p>
    <w:p w14:paraId="32C28DB9">
      <w:pPr>
        <w:shd w:val="clear" w:color="auto" w:fill="auto"/>
        <w:ind w:firstLine="482"/>
        <w:rPr>
          <w:rFonts w:ascii="宋体" w:hAnsi="宋体"/>
          <w:color w:val="auto"/>
          <w:sz w:val="24"/>
          <w:highlight w:val="none"/>
        </w:rPr>
      </w:pPr>
      <w:r>
        <w:rPr>
          <w:rFonts w:hint="eastAsia" w:ascii="宋体" w:hAnsi="宋体"/>
          <w:color w:val="auto"/>
          <w:sz w:val="24"/>
          <w:highlight w:val="none"/>
        </w:rPr>
        <w:t>附件1：</w:t>
      </w:r>
    </w:p>
    <w:p w14:paraId="6C188205">
      <w:pPr>
        <w:shd w:val="clear" w:color="auto" w:fill="auto"/>
        <w:ind w:firstLine="640"/>
        <w:jc w:val="center"/>
        <w:rPr>
          <w:rFonts w:hint="eastAsia" w:ascii="宋体" w:hAnsi="宋体"/>
          <w:b/>
          <w:color w:val="auto"/>
          <w:sz w:val="32"/>
          <w:highlight w:val="none"/>
        </w:rPr>
      </w:pPr>
      <w:r>
        <w:rPr>
          <w:rFonts w:hint="eastAsia" w:ascii="宋体" w:hAnsi="宋体"/>
          <w:b/>
          <w:color w:val="auto"/>
          <w:sz w:val="32"/>
          <w:highlight w:val="none"/>
        </w:rPr>
        <w:t>农民工工资支付承诺书</w:t>
      </w:r>
    </w:p>
    <w:p w14:paraId="34955A48">
      <w:pPr>
        <w:shd w:val="clear" w:color="auto" w:fill="auto"/>
        <w:ind w:firstLine="482"/>
        <w:rPr>
          <w:rFonts w:hint="eastAsia" w:ascii="宋体" w:hAnsi="宋体"/>
          <w:color w:val="auto"/>
          <w:sz w:val="24"/>
          <w:highlight w:val="none"/>
        </w:rPr>
      </w:pPr>
    </w:p>
    <w:p w14:paraId="052559D3">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为保护农民工的合法权益，不拖欠农民工工资，本公司郑重承诺：</w:t>
      </w:r>
    </w:p>
    <w:p w14:paraId="72AE66D4">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1、不转包或违法分包，并禁止分包单位再分包或层层转包。</w:t>
      </w:r>
    </w:p>
    <w:p w14:paraId="2BC611E5">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2、自己雇佣农民工，与农民工签订劳务合同，如果有分包的督促劳务公司与农民工签订劳务合同并到总包单位备案。农民工工资由本公司或劳务公司直接足额发放到农民工本人手里，严禁发放给“包工头”。如“包工头”携款逃逸，或因其他原因无法支付民工工资，由本公司负责支付。</w:t>
      </w:r>
    </w:p>
    <w:p w14:paraId="29EFCDD2">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3、按照“总包负总责”的原则，若发生集体上访事件，第一时间到场解决，若确认拖欠农民工工资的，不论何种原因将由我公司先行垫付。不能垫付的同意动用农民工工资保证金并及时按规定补齐。</w:t>
      </w:r>
    </w:p>
    <w:p w14:paraId="09F76167">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4、切实做好农民工记工考勤工作，按约定及时与农民工结算工资。如果发生违反规定拖欠和克扣农民工工资行为，或因劳资纠纷造成农民工上访，并引发群体性突发事件，本单位愿意无条件接受相关部门依照有关规定作出的任何处罚决定。</w:t>
      </w:r>
    </w:p>
    <w:p w14:paraId="434DF4FF">
      <w:pPr>
        <w:shd w:val="clear" w:color="auto" w:fill="auto"/>
        <w:spacing w:line="540" w:lineRule="exact"/>
        <w:ind w:firstLine="480" w:firstLineChars="200"/>
        <w:rPr>
          <w:rFonts w:hint="eastAsia" w:ascii="宋体" w:hAnsi="宋体"/>
          <w:color w:val="auto"/>
          <w:sz w:val="24"/>
          <w:highlight w:val="none"/>
        </w:rPr>
      </w:pPr>
      <w:r>
        <w:rPr>
          <w:rFonts w:hint="eastAsia" w:ascii="宋体" w:hAnsi="宋体"/>
          <w:color w:val="auto"/>
          <w:sz w:val="24"/>
          <w:highlight w:val="none"/>
        </w:rPr>
        <w:t>特此承诺!</w:t>
      </w:r>
    </w:p>
    <w:p w14:paraId="464741D1">
      <w:pPr>
        <w:shd w:val="clear" w:color="auto" w:fill="auto"/>
        <w:ind w:firstLine="482"/>
        <w:rPr>
          <w:rFonts w:hint="eastAsia" w:ascii="宋体" w:hAnsi="宋体"/>
          <w:color w:val="auto"/>
          <w:sz w:val="24"/>
          <w:highlight w:val="none"/>
        </w:rPr>
      </w:pPr>
    </w:p>
    <w:p w14:paraId="10F97C91">
      <w:pPr>
        <w:shd w:val="clear" w:color="auto" w:fill="auto"/>
        <w:ind w:firstLine="482"/>
        <w:rPr>
          <w:rFonts w:hint="eastAsia" w:ascii="宋体" w:hAnsi="宋体"/>
          <w:color w:val="auto"/>
          <w:highlight w:val="none"/>
        </w:rPr>
      </w:pPr>
    </w:p>
    <w:p w14:paraId="4269BEFC">
      <w:pPr>
        <w:shd w:val="clear" w:color="auto" w:fill="auto"/>
        <w:spacing w:line="480" w:lineRule="exact"/>
        <w:ind w:firstLine="2244" w:firstLineChars="935"/>
        <w:rPr>
          <w:rFonts w:hint="eastAsia" w:ascii="宋体" w:hAnsi="宋体"/>
          <w:color w:val="auto"/>
          <w:sz w:val="24"/>
          <w:highlight w:val="none"/>
          <w:u w:val="single"/>
        </w:rPr>
      </w:pPr>
      <w:r>
        <w:rPr>
          <w:rFonts w:hint="eastAsia" w:ascii="宋体" w:hAnsi="宋体"/>
          <w:color w:val="auto"/>
          <w:sz w:val="24"/>
          <w:highlight w:val="none"/>
        </w:rPr>
        <w:t xml:space="preserve">投标人：（盖章） </w:t>
      </w:r>
    </w:p>
    <w:p w14:paraId="7CB6C71D">
      <w:pPr>
        <w:shd w:val="clear" w:color="auto" w:fill="auto"/>
        <w:spacing w:line="480" w:lineRule="exact"/>
        <w:ind w:firstLine="2244" w:firstLineChars="935"/>
        <w:rPr>
          <w:rFonts w:hint="eastAsia" w:ascii="宋体" w:hAnsi="宋体"/>
          <w:color w:val="auto"/>
          <w:sz w:val="24"/>
          <w:highlight w:val="none"/>
          <w:u w:val="single"/>
        </w:rPr>
      </w:pPr>
      <w:r>
        <w:rPr>
          <w:rFonts w:hint="eastAsia" w:ascii="宋体" w:hAnsi="宋体"/>
          <w:color w:val="auto"/>
          <w:sz w:val="24"/>
          <w:highlight w:val="none"/>
        </w:rPr>
        <w:t>法定代表人或其委托代理人：（电子签章）</w:t>
      </w:r>
    </w:p>
    <w:p w14:paraId="55A9644C">
      <w:pPr>
        <w:shd w:val="clear" w:color="auto" w:fill="auto"/>
        <w:spacing w:line="480" w:lineRule="exact"/>
        <w:ind w:firstLine="2244" w:firstLineChars="935"/>
        <w:rPr>
          <w:rFonts w:hint="eastAsia" w:ascii="宋体" w:hAnsi="宋体"/>
          <w:color w:val="auto"/>
          <w:sz w:val="24"/>
          <w:highlight w:val="none"/>
        </w:rPr>
      </w:pPr>
      <w:r>
        <w:rPr>
          <w:rFonts w:hint="eastAsia" w:ascii="宋体" w:hAnsi="宋体"/>
          <w:color w:val="auto"/>
          <w:sz w:val="24"/>
          <w:highlight w:val="none"/>
        </w:rPr>
        <w:t>年月日</w:t>
      </w:r>
    </w:p>
    <w:p w14:paraId="702CF7DD">
      <w:pPr>
        <w:shd w:val="clear" w:color="auto" w:fill="auto"/>
        <w:ind w:firstLine="482"/>
        <w:rPr>
          <w:rFonts w:hint="eastAsia" w:ascii="宋体" w:hAnsi="宋体"/>
          <w:color w:val="auto"/>
          <w:highlight w:val="none"/>
        </w:rPr>
      </w:pPr>
    </w:p>
    <w:p w14:paraId="14329668">
      <w:pPr>
        <w:shd w:val="clear" w:color="auto" w:fill="auto"/>
        <w:ind w:firstLine="482"/>
        <w:rPr>
          <w:color w:val="auto"/>
          <w:highlight w:val="none"/>
        </w:rPr>
      </w:pPr>
      <w:r>
        <w:rPr>
          <w:rFonts w:hint="eastAsia" w:ascii="宋体" w:hAnsi="宋体"/>
          <w:color w:val="auto"/>
          <w:highlight w:val="none"/>
        </w:rPr>
        <w:br w:type="page"/>
      </w:r>
    </w:p>
    <w:p w14:paraId="2F97C9BC">
      <w:pPr>
        <w:shd w:val="clear" w:color="auto" w:fill="auto"/>
        <w:spacing w:line="360" w:lineRule="auto"/>
        <w:ind w:firstLine="640"/>
        <w:outlineLvl w:val="1"/>
        <w:rPr>
          <w:rFonts w:ascii="宋体" w:cs="宋体"/>
          <w:color w:val="auto"/>
          <w:sz w:val="24"/>
          <w:szCs w:val="24"/>
          <w:highlight w:val="none"/>
        </w:rPr>
      </w:pPr>
      <w:bookmarkStart w:id="1549" w:name="_Toc24864"/>
      <w:bookmarkStart w:id="1550" w:name="_Toc3727"/>
      <w:bookmarkStart w:id="1551" w:name="_Toc2324"/>
      <w:r>
        <w:rPr>
          <w:rFonts w:hint="eastAsia" w:ascii="宋体" w:hAnsi="宋体" w:cs="宋体"/>
          <w:b/>
          <w:bCs/>
          <w:color w:val="auto"/>
          <w:sz w:val="32"/>
          <w:szCs w:val="32"/>
          <w:highlight w:val="none"/>
        </w:rPr>
        <w:t>格式</w:t>
      </w:r>
      <w:bookmarkEnd w:id="1549"/>
      <w:bookmarkEnd w:id="1550"/>
      <w:bookmarkEnd w:id="1551"/>
    </w:p>
    <w:p w14:paraId="72E2DB84">
      <w:pPr>
        <w:shd w:val="clear" w:color="auto" w:fill="auto"/>
        <w:spacing w:line="312" w:lineRule="auto"/>
        <w:ind w:right="-334" w:rightChars="-159" w:firstLine="560"/>
        <w:jc w:val="center"/>
        <w:rPr>
          <w:rFonts w:hint="eastAsia" w:ascii="宋体" w:hAnsi="宋体" w:cs="宋体"/>
          <w:b/>
          <w:bCs/>
          <w:color w:val="auto"/>
          <w:kern w:val="10"/>
          <w:sz w:val="28"/>
          <w:szCs w:val="28"/>
          <w:highlight w:val="none"/>
        </w:rPr>
      </w:pPr>
      <w:bookmarkStart w:id="1552" w:name="_Toc6927090"/>
      <w:bookmarkStart w:id="1553" w:name="OLE_LINK13"/>
      <w:bookmarkStart w:id="1554" w:name="OLE_LINK14"/>
      <w:r>
        <w:rPr>
          <w:rFonts w:hint="eastAsia" w:ascii="宋体" w:hAnsi="宋体" w:cs="宋体"/>
          <w:b/>
          <w:bCs/>
          <w:color w:val="auto"/>
          <w:kern w:val="10"/>
          <w:sz w:val="28"/>
          <w:szCs w:val="28"/>
          <w:highlight w:val="none"/>
        </w:rPr>
        <w:t>1、中小企业声明函（工程）</w:t>
      </w:r>
    </w:p>
    <w:p w14:paraId="2F7DD5B0">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本公司（联合体）郑重声明，根据《政府采购促进中小企业发展管理办法》（财库﹝2020﹞46 号）的规定，本公司（联合体）参加</w:t>
      </w:r>
      <w:r>
        <w:rPr>
          <w:rFonts w:hint="eastAsia" w:ascii="宋体" w:hAnsi="宋体" w:cs="宋体"/>
          <w:color w:val="auto"/>
          <w:kern w:val="0"/>
          <w:sz w:val="24"/>
          <w:szCs w:val="24"/>
          <w:highlight w:val="none"/>
          <w:u w:val="single"/>
        </w:rPr>
        <w:t>（单位名称）</w:t>
      </w:r>
      <w:r>
        <w:rPr>
          <w:rFonts w:hint="eastAsia" w:ascii="宋体" w:hAnsi="宋体" w:cs="宋体"/>
          <w:color w:val="auto"/>
          <w:kern w:val="0"/>
          <w:sz w:val="24"/>
          <w:szCs w:val="24"/>
          <w:highlight w:val="none"/>
        </w:rPr>
        <w:t>的</w:t>
      </w:r>
      <w:r>
        <w:rPr>
          <w:rFonts w:hint="eastAsia" w:ascii="宋体" w:hAnsi="宋体" w:cs="宋体"/>
          <w:color w:val="auto"/>
          <w:kern w:val="0"/>
          <w:sz w:val="24"/>
          <w:szCs w:val="24"/>
          <w:highlight w:val="none"/>
          <w:u w:val="single"/>
        </w:rPr>
        <w:t>（项目名称）</w:t>
      </w:r>
      <w:r>
        <w:rPr>
          <w:rFonts w:hint="eastAsia" w:ascii="宋体" w:hAnsi="宋体" w:cs="宋体"/>
          <w:color w:val="auto"/>
          <w:kern w:val="0"/>
          <w:sz w:val="24"/>
          <w:szCs w:val="24"/>
          <w:highlight w:val="none"/>
        </w:rPr>
        <w:t>采购活动，工程的施工单位全部为符合政策要求的中小企业（或者：服务全部由符合政策要求的中小企业承接）。相关企业（含联合 体中的中小企业、签订分包意向协议的中小企业）的具体情况如下：</w:t>
      </w:r>
    </w:p>
    <w:p w14:paraId="10D85D74">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w:t>
      </w:r>
      <w:r>
        <w:rPr>
          <w:rFonts w:hint="eastAsia" w:ascii="宋体" w:hAnsi="宋体" w:cs="宋体"/>
          <w:color w:val="auto"/>
          <w:kern w:val="0"/>
          <w:sz w:val="24"/>
          <w:szCs w:val="24"/>
          <w:highlight w:val="none"/>
          <w:u w:val="single"/>
        </w:rPr>
        <w:t>（标的名称）</w:t>
      </w:r>
      <w:r>
        <w:rPr>
          <w:rFonts w:hint="eastAsia" w:ascii="宋体" w:hAnsi="宋体" w:cs="宋体"/>
          <w:color w:val="auto"/>
          <w:kern w:val="0"/>
          <w:sz w:val="24"/>
          <w:szCs w:val="24"/>
          <w:highlight w:val="none"/>
        </w:rPr>
        <w:t>，属于（</w:t>
      </w:r>
      <w:r>
        <w:rPr>
          <w:rFonts w:hint="eastAsia" w:ascii="宋体" w:hAnsi="宋体" w:cs="宋体"/>
          <w:color w:val="auto"/>
          <w:kern w:val="0"/>
          <w:sz w:val="24"/>
          <w:szCs w:val="24"/>
          <w:highlight w:val="none"/>
          <w:u w:val="single"/>
        </w:rPr>
        <w:t>采购文件中明确的所属行业）</w:t>
      </w:r>
      <w:r>
        <w:rPr>
          <w:rFonts w:hint="eastAsia" w:ascii="宋体" w:hAnsi="宋体" w:cs="宋体"/>
          <w:color w:val="auto"/>
          <w:kern w:val="0"/>
          <w:sz w:val="24"/>
          <w:szCs w:val="24"/>
          <w:highlight w:val="none"/>
        </w:rPr>
        <w:t>；承建（承接）企业为</w:t>
      </w:r>
      <w:r>
        <w:rPr>
          <w:rFonts w:hint="eastAsia" w:ascii="宋体" w:hAnsi="宋体" w:cs="宋体"/>
          <w:color w:val="auto"/>
          <w:kern w:val="0"/>
          <w:sz w:val="24"/>
          <w:szCs w:val="24"/>
          <w:highlight w:val="none"/>
          <w:u w:val="single"/>
        </w:rPr>
        <w:t>（企业名称）</w:t>
      </w:r>
      <w:r>
        <w:rPr>
          <w:rFonts w:hint="eastAsia" w:ascii="宋体" w:hAnsi="宋体" w:cs="宋体"/>
          <w:color w:val="auto"/>
          <w:kern w:val="0"/>
          <w:sz w:val="24"/>
          <w:szCs w:val="24"/>
          <w:highlight w:val="none"/>
        </w:rPr>
        <w:t>，从业人员</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人，营业收入为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万元，资产总额为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万元，属于（中型企业、 小型企业、微型企业）；</w:t>
      </w:r>
    </w:p>
    <w:p w14:paraId="28CBA87E">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w:t>
      </w:r>
      <w:r>
        <w:rPr>
          <w:rFonts w:hint="eastAsia" w:ascii="宋体" w:hAnsi="宋体" w:cs="宋体"/>
          <w:color w:val="auto"/>
          <w:kern w:val="0"/>
          <w:sz w:val="24"/>
          <w:szCs w:val="24"/>
          <w:highlight w:val="none"/>
          <w:u w:val="single"/>
        </w:rPr>
        <w:t>（标的名称</w:t>
      </w:r>
      <w:r>
        <w:rPr>
          <w:rFonts w:hint="eastAsia" w:ascii="宋体" w:hAnsi="宋体" w:cs="宋体"/>
          <w:color w:val="auto"/>
          <w:kern w:val="0"/>
          <w:sz w:val="24"/>
          <w:szCs w:val="24"/>
          <w:highlight w:val="none"/>
        </w:rPr>
        <w:t>），属于</w:t>
      </w:r>
      <w:r>
        <w:rPr>
          <w:rFonts w:hint="eastAsia" w:ascii="宋体" w:hAnsi="宋体" w:cs="宋体"/>
          <w:color w:val="auto"/>
          <w:kern w:val="0"/>
          <w:sz w:val="24"/>
          <w:szCs w:val="24"/>
          <w:highlight w:val="none"/>
          <w:u w:val="single"/>
        </w:rPr>
        <w:t>（采购文件中明确的所属行业）</w:t>
      </w:r>
      <w:r>
        <w:rPr>
          <w:rFonts w:hint="eastAsia" w:ascii="宋体" w:hAnsi="宋体" w:cs="宋体"/>
          <w:color w:val="auto"/>
          <w:kern w:val="0"/>
          <w:sz w:val="24"/>
          <w:szCs w:val="24"/>
          <w:highlight w:val="none"/>
        </w:rPr>
        <w:t>；承建（承接）企业为</w:t>
      </w:r>
      <w:r>
        <w:rPr>
          <w:rFonts w:hint="eastAsia" w:ascii="宋体" w:hAnsi="宋体" w:cs="宋体"/>
          <w:color w:val="auto"/>
          <w:kern w:val="0"/>
          <w:sz w:val="24"/>
          <w:szCs w:val="24"/>
          <w:highlight w:val="none"/>
          <w:u w:val="single"/>
        </w:rPr>
        <w:t>（企业名称）</w:t>
      </w:r>
      <w:r>
        <w:rPr>
          <w:rFonts w:hint="eastAsia" w:ascii="宋体" w:hAnsi="宋体" w:cs="宋体"/>
          <w:color w:val="auto"/>
          <w:kern w:val="0"/>
          <w:sz w:val="24"/>
          <w:szCs w:val="24"/>
          <w:highlight w:val="none"/>
        </w:rPr>
        <w:t>，从业人员</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人，营业收入为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ab/>
      </w:r>
      <w:r>
        <w:rPr>
          <w:rFonts w:hint="eastAsia" w:ascii="宋体" w:hAnsi="宋体" w:cs="宋体"/>
          <w:color w:val="auto"/>
          <w:kern w:val="0"/>
          <w:sz w:val="24"/>
          <w:szCs w:val="24"/>
          <w:highlight w:val="none"/>
        </w:rPr>
        <w:t>万元，资产总额为</w:t>
      </w:r>
      <w:r>
        <w:rPr>
          <w:rFonts w:hint="eastAsia" w:ascii="宋体" w:hAnsi="宋体" w:cs="宋体"/>
          <w:color w:val="auto"/>
          <w:kern w:val="0"/>
          <w:sz w:val="24"/>
          <w:szCs w:val="24"/>
          <w:highlight w:val="none"/>
          <w:u w:val="single"/>
        </w:rPr>
        <w:tab/>
      </w:r>
      <w:r>
        <w:rPr>
          <w:rFonts w:hint="eastAsia" w:ascii="宋体" w:hAnsi="宋体" w:cs="宋体"/>
          <w:color w:val="auto"/>
          <w:kern w:val="0"/>
          <w:sz w:val="24"/>
          <w:szCs w:val="24"/>
          <w:highlight w:val="none"/>
        </w:rPr>
        <w:t>万元，属于（中型企业、 小型企业、微型企业）；</w:t>
      </w:r>
    </w:p>
    <w:p w14:paraId="751F5CCF">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w:t>
      </w:r>
    </w:p>
    <w:p w14:paraId="0DFB0CAB">
      <w:pPr>
        <w:shd w:val="clear" w:color="auto" w:fill="auto"/>
        <w:spacing w:line="360" w:lineRule="auto"/>
        <w:ind w:firstLine="480" w:firstLineChars="200"/>
        <w:rPr>
          <w:rFonts w:hint="eastAsia" w:ascii="宋体" w:hAnsi="宋体" w:cs="宋体"/>
          <w:color w:val="auto"/>
          <w:kern w:val="0"/>
          <w:sz w:val="24"/>
          <w:szCs w:val="24"/>
          <w:highlight w:val="none"/>
        </w:rPr>
      </w:pPr>
    </w:p>
    <w:p w14:paraId="3BF38F1A">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以上企业，不属于大企业的分支机构，不存在控股股东为大企业的情形，也不存在与大企业的负责人为同一人的情形。</w:t>
      </w:r>
    </w:p>
    <w:p w14:paraId="512B9517">
      <w:pPr>
        <w:shd w:val="clear" w:color="auto" w:fill="auto"/>
        <w:spacing w:line="360" w:lineRule="auto"/>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本企业对上述声明内容的真实性负责。如有虚假，将依 法承担相应责任。</w:t>
      </w:r>
    </w:p>
    <w:p w14:paraId="20B6C40B">
      <w:pPr>
        <w:shd w:val="clear" w:color="auto" w:fill="auto"/>
        <w:spacing w:line="312" w:lineRule="auto"/>
        <w:ind w:firstLine="480" w:firstLineChars="200"/>
        <w:jc w:val="left"/>
        <w:rPr>
          <w:rFonts w:hint="eastAsia" w:ascii="宋体" w:hAnsi="宋体" w:cs="宋体"/>
          <w:color w:val="auto"/>
          <w:kern w:val="0"/>
          <w:sz w:val="24"/>
          <w:szCs w:val="24"/>
          <w:highlight w:val="none"/>
        </w:rPr>
      </w:pPr>
    </w:p>
    <w:p w14:paraId="700AB401">
      <w:pPr>
        <w:shd w:val="clear" w:color="auto" w:fill="auto"/>
        <w:spacing w:line="312" w:lineRule="auto"/>
        <w:ind w:firstLine="480" w:firstLineChars="200"/>
        <w:jc w:val="left"/>
        <w:rPr>
          <w:rFonts w:hint="eastAsia" w:ascii="宋体" w:hAnsi="宋体" w:cs="宋体"/>
          <w:color w:val="auto"/>
          <w:kern w:val="0"/>
          <w:sz w:val="24"/>
          <w:szCs w:val="24"/>
          <w:highlight w:val="none"/>
        </w:rPr>
      </w:pPr>
    </w:p>
    <w:p w14:paraId="18478C2E">
      <w:pPr>
        <w:shd w:val="clear" w:color="auto" w:fill="auto"/>
        <w:spacing w:line="312"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企业名称（盖章）：</w:t>
      </w:r>
    </w:p>
    <w:p w14:paraId="0E18A95B">
      <w:pPr>
        <w:shd w:val="clear" w:color="auto" w:fill="auto"/>
        <w:spacing w:line="312" w:lineRule="auto"/>
        <w:ind w:firstLine="480" w:firstLineChars="200"/>
        <w:jc w:val="left"/>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日期：</w:t>
      </w:r>
    </w:p>
    <w:p w14:paraId="25FA3598">
      <w:pPr>
        <w:shd w:val="clear" w:color="auto" w:fill="auto"/>
        <w:autoSpaceDE w:val="0"/>
        <w:autoSpaceDN w:val="0"/>
        <w:snapToGrid w:val="0"/>
        <w:spacing w:line="360" w:lineRule="auto"/>
        <w:ind w:firstLine="560"/>
        <w:jc w:val="center"/>
        <w:rPr>
          <w:rFonts w:hint="eastAsia" w:ascii="宋体" w:hAnsi="宋体" w:cs="宋体"/>
          <w:b/>
          <w:bCs/>
          <w:color w:val="auto"/>
          <w:kern w:val="10"/>
          <w:sz w:val="28"/>
          <w:szCs w:val="28"/>
          <w:highlight w:val="none"/>
        </w:rPr>
      </w:pPr>
    </w:p>
    <w:p w14:paraId="72CAA5EF">
      <w:pPr>
        <w:shd w:val="clear" w:color="auto" w:fill="auto"/>
        <w:ind w:firstLine="560"/>
        <w:jc w:val="center"/>
        <w:rPr>
          <w:rFonts w:hint="eastAsia" w:ascii="宋体" w:hAnsi="宋体" w:cs="宋体"/>
          <w:color w:val="auto"/>
          <w:kern w:val="0"/>
          <w:sz w:val="22"/>
          <w:highlight w:val="none"/>
        </w:rPr>
      </w:pPr>
      <w:r>
        <w:rPr>
          <w:rFonts w:hint="eastAsia" w:ascii="宋体" w:hAnsi="宋体" w:cs="宋体"/>
          <w:b/>
          <w:bCs/>
          <w:color w:val="auto"/>
          <w:kern w:val="10"/>
          <w:sz w:val="28"/>
          <w:szCs w:val="28"/>
          <w:highlight w:val="none"/>
        </w:rPr>
        <w:br w:type="page"/>
      </w:r>
      <w:r>
        <w:rPr>
          <w:rFonts w:hint="eastAsia" w:ascii="宋体" w:hAnsi="宋体" w:cs="宋体"/>
          <w:b/>
          <w:bCs/>
          <w:color w:val="auto"/>
          <w:kern w:val="10"/>
          <w:sz w:val="28"/>
          <w:szCs w:val="28"/>
          <w:highlight w:val="none"/>
        </w:rPr>
        <w:t>2、残疾人福利性单位声明函</w:t>
      </w:r>
      <w:bookmarkEnd w:id="1552"/>
    </w:p>
    <w:bookmarkEnd w:id="1553"/>
    <w:bookmarkEnd w:id="1554"/>
    <w:p w14:paraId="6FB956D6">
      <w:pPr>
        <w:shd w:val="clear" w:color="auto" w:fill="auto"/>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本单位郑重声明，根据《财政部 民政部 中国残疾人联合会关于促进残疾人就业政府采购政策的通知》（财库</w:t>
      </w:r>
      <w:r>
        <w:rPr>
          <w:rFonts w:hint="eastAsia" w:ascii="宋体" w:hAnsi="宋体" w:cs="宋体"/>
          <w:color w:val="auto"/>
          <w:kern w:val="0"/>
          <w:sz w:val="24"/>
          <w:szCs w:val="24"/>
          <w:highlight w:val="none"/>
        </w:rPr>
        <w:t>〔2017〕 141</w:t>
      </w:r>
      <w:r>
        <w:rPr>
          <w:rFonts w:hint="eastAsia" w:ascii="宋体" w:hAnsi="宋体" w:cs="宋体"/>
          <w:color w:val="auto"/>
          <w:spacing w:val="6"/>
          <w:kern w:val="0"/>
          <w:sz w:val="24"/>
          <w:szCs w:val="24"/>
          <w:highlight w:val="none"/>
        </w:rPr>
        <w:t>号）的规定，本单位为符合条件的残疾人福利性单位，且本单位参加单位的项目采购活动提供本单位制造的货物（由本单位承担工程/提供服务），或者提供其他残疾人福利性单位制造的货物（不包括使用非残疾人福利性单位注册商标的货物）。</w:t>
      </w:r>
    </w:p>
    <w:p w14:paraId="2F290416">
      <w:pPr>
        <w:shd w:val="clear" w:color="auto" w:fill="auto"/>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本单位对上述声明的真实性负责。如有虚假，将依法承担相应责任。</w:t>
      </w:r>
    </w:p>
    <w:p w14:paraId="0D0054CC">
      <w:pPr>
        <w:shd w:val="clear" w:color="auto" w:fill="auto"/>
        <w:autoSpaceDE w:val="0"/>
        <w:autoSpaceDN w:val="0"/>
        <w:spacing w:line="360" w:lineRule="auto"/>
        <w:ind w:firstLine="504" w:firstLineChars="200"/>
        <w:jc w:val="left"/>
        <w:rPr>
          <w:rFonts w:hint="eastAsia" w:ascii="宋体" w:hAnsi="宋体" w:cs="宋体"/>
          <w:color w:val="auto"/>
          <w:spacing w:val="6"/>
          <w:kern w:val="0"/>
          <w:sz w:val="24"/>
          <w:szCs w:val="24"/>
          <w:highlight w:val="none"/>
        </w:rPr>
      </w:pPr>
    </w:p>
    <w:p w14:paraId="3048B22E">
      <w:pPr>
        <w:shd w:val="clear" w:color="auto" w:fill="auto"/>
        <w:tabs>
          <w:tab w:val="left" w:pos="4860"/>
        </w:tabs>
        <w:autoSpaceDE w:val="0"/>
        <w:autoSpaceDN w:val="0"/>
        <w:spacing w:line="360" w:lineRule="auto"/>
        <w:ind w:right="1560" w:firstLine="504" w:firstLineChars="200"/>
        <w:jc w:val="center"/>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 xml:space="preserve">               单位名称（盖章）：</w:t>
      </w:r>
    </w:p>
    <w:p w14:paraId="2C2FBCE0">
      <w:pPr>
        <w:shd w:val="clear" w:color="auto" w:fill="auto"/>
        <w:tabs>
          <w:tab w:val="left" w:pos="4860"/>
        </w:tabs>
        <w:autoSpaceDE w:val="0"/>
        <w:autoSpaceDN w:val="0"/>
        <w:spacing w:line="360" w:lineRule="auto"/>
        <w:ind w:right="1560" w:firstLine="504" w:firstLineChars="200"/>
        <w:jc w:val="center"/>
        <w:rPr>
          <w:rFonts w:hint="eastAsia" w:ascii="宋体" w:hAnsi="宋体" w:cs="宋体"/>
          <w:color w:val="auto"/>
          <w:spacing w:val="6"/>
          <w:kern w:val="0"/>
          <w:sz w:val="24"/>
          <w:szCs w:val="24"/>
          <w:highlight w:val="none"/>
        </w:rPr>
      </w:pPr>
      <w:r>
        <w:rPr>
          <w:rFonts w:hint="eastAsia" w:ascii="宋体" w:hAnsi="宋体" w:cs="宋体"/>
          <w:color w:val="auto"/>
          <w:spacing w:val="6"/>
          <w:kern w:val="0"/>
          <w:sz w:val="24"/>
          <w:szCs w:val="24"/>
          <w:highlight w:val="none"/>
        </w:rPr>
        <w:t xml:space="preserve">       日  期：</w:t>
      </w:r>
    </w:p>
    <w:p w14:paraId="7177C5A8">
      <w:pPr>
        <w:widowControl/>
        <w:shd w:val="clear" w:color="auto" w:fill="auto"/>
        <w:autoSpaceDE w:val="0"/>
        <w:autoSpaceDN w:val="0"/>
        <w:ind w:firstLine="482" w:firstLineChars="200"/>
        <w:rPr>
          <w:rFonts w:hint="eastAsia" w:ascii="宋体" w:hAnsi="宋体" w:cs="宋体"/>
          <w:b/>
          <w:color w:val="auto"/>
          <w:kern w:val="0"/>
          <w:sz w:val="24"/>
          <w:szCs w:val="24"/>
          <w:highlight w:val="none"/>
        </w:rPr>
      </w:pPr>
      <w:r>
        <w:rPr>
          <w:rFonts w:hint="eastAsia" w:ascii="宋体" w:hAnsi="宋体" w:cs="宋体"/>
          <w:b/>
          <w:color w:val="auto"/>
          <w:kern w:val="0"/>
          <w:sz w:val="24"/>
          <w:szCs w:val="24"/>
          <w:highlight w:val="none"/>
        </w:rPr>
        <w:t>（提醒：如果供应商</w:t>
      </w:r>
      <w:r>
        <w:rPr>
          <w:rFonts w:hint="eastAsia" w:ascii="宋体" w:hAnsi="宋体" w:cs="宋体"/>
          <w:b/>
          <w:color w:val="auto"/>
          <w:spacing w:val="10"/>
          <w:kern w:val="0"/>
          <w:sz w:val="24"/>
          <w:szCs w:val="24"/>
          <w:highlight w:val="none"/>
        </w:rPr>
        <w:t>不是残疾人福利性单位</w:t>
      </w:r>
      <w:r>
        <w:rPr>
          <w:rFonts w:hint="eastAsia" w:ascii="宋体" w:hAnsi="宋体" w:cs="宋体"/>
          <w:b/>
          <w:color w:val="auto"/>
          <w:kern w:val="0"/>
          <w:sz w:val="24"/>
          <w:szCs w:val="24"/>
          <w:highlight w:val="none"/>
        </w:rPr>
        <w:t>，则不需要提供《残疾人福利性单位声明函》。否则，因此导致虚假投标的后果由供应商自行承担。）</w:t>
      </w:r>
    </w:p>
    <w:p w14:paraId="198B237F">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《财政部民政部中国残疾人联合会关于促进残疾人就业政府采购政策的通知》（财库（2017〔141〕号）的规定：</w:t>
      </w:r>
    </w:p>
    <w:p w14:paraId="5092409B">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一、享受政府采购支持政策的残疾人福利性单位应当同时满足以下条件：</w:t>
      </w:r>
    </w:p>
    <w:p w14:paraId="7082FD06">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（1）安置的残疾人占本单位在职职工人数的比例不低于25%（含25%），并且安置的残疾人人数不少于10人（含10人）；</w:t>
      </w:r>
    </w:p>
    <w:p w14:paraId="08287F35">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（2）依法与安置的每位残疾人签订了一年以上（含一年）的劳动合同或服务协议；</w:t>
      </w:r>
    </w:p>
    <w:p w14:paraId="35F55A6D">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（3）为安置的每位残疾人按月足额缴纳了基本养老保险、基本医疗保险、失业保险、工伤保险和生育保险等社会保险费；</w:t>
      </w:r>
    </w:p>
    <w:p w14:paraId="71B446A7">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（4）通过银行等金融机构向安置的每位残疾人，按月支付了不低于单位所在区县适用的经省级人民政府批准的月最低工资标准的工资；</w:t>
      </w:r>
    </w:p>
    <w:p w14:paraId="4FA7D44D">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（5）提供本单位制造的货物、承担的工程或者服务（以下简称产品），或者提供其他残疾人福利性单位制造的货物（不包括使用非残疾人福利性单位注册商标的货物）。</w:t>
      </w:r>
    </w:p>
    <w:p w14:paraId="60482D82">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二、中标、成交供应商为残疾人福利性单位的，招标人或者其委托的招标代理机构应当随中标、成交结果同时公告其《残疾人福利性单位声明函》，接受社会监督。</w:t>
      </w:r>
    </w:p>
    <w:p w14:paraId="295ADC0E">
      <w:pPr>
        <w:shd w:val="clear" w:color="auto" w:fill="auto"/>
        <w:autoSpaceDE w:val="0"/>
        <w:autoSpaceDN w:val="0"/>
        <w:ind w:firstLine="480" w:firstLineChars="200"/>
        <w:rPr>
          <w:rFonts w:hint="eastAsia" w:ascii="宋体" w:hAnsi="宋体" w:cs="宋体"/>
          <w:color w:val="auto"/>
          <w:kern w:val="0"/>
          <w:sz w:val="24"/>
          <w:szCs w:val="24"/>
          <w:highlight w:val="none"/>
        </w:rPr>
      </w:pPr>
      <w:r>
        <w:rPr>
          <w:rFonts w:hint="eastAsia" w:ascii="宋体" w:hAnsi="宋体" w:cs="宋体"/>
          <w:color w:val="auto"/>
          <w:kern w:val="0"/>
          <w:sz w:val="24"/>
          <w:szCs w:val="24"/>
          <w:highlight w:val="none"/>
        </w:rPr>
        <w:t>供应商提供的《残疾人福利性单位声明函》与事实不符的，依照《政府采购法》第七十七条第一款的规定追究法律责任。</w:t>
      </w:r>
    </w:p>
    <w:p w14:paraId="7FEEBFAC">
      <w:pPr>
        <w:numPr>
          <w:ilvl w:val="0"/>
          <w:numId w:val="7"/>
        </w:numPr>
        <w:shd w:val="clear" w:color="auto" w:fill="auto"/>
        <w:autoSpaceDE w:val="0"/>
        <w:autoSpaceDN w:val="0"/>
        <w:ind w:firstLine="480" w:firstLineChars="200"/>
        <w:rPr>
          <w:rFonts w:hint="eastAsia" w:ascii="宋体" w:hAnsi="宋体" w:cs="宋体"/>
          <w:b/>
          <w:bCs/>
          <w:color w:val="auto"/>
          <w:kern w:val="10"/>
          <w:sz w:val="28"/>
          <w:szCs w:val="28"/>
          <w:highlight w:val="none"/>
        </w:rPr>
      </w:pPr>
      <w:r>
        <w:rPr>
          <w:rFonts w:hint="eastAsia" w:ascii="宋体" w:hAnsi="宋体" w:cs="宋体"/>
          <w:color w:val="auto"/>
          <w:kern w:val="0"/>
          <w:sz w:val="24"/>
          <w:szCs w:val="24"/>
          <w:highlight w:val="none"/>
        </w:rPr>
        <w:t>在政府采购活动中，</w:t>
      </w:r>
      <w:r>
        <w:rPr>
          <w:rFonts w:hint="eastAsia" w:ascii="宋体" w:hAnsi="宋体" w:cs="宋体"/>
          <w:b/>
          <w:bCs/>
          <w:color w:val="auto"/>
          <w:kern w:val="0"/>
          <w:sz w:val="24"/>
          <w:szCs w:val="24"/>
          <w:highlight w:val="none"/>
        </w:rPr>
        <w:t>残疾人福利性单位视同小型、微型企业</w:t>
      </w:r>
      <w:r>
        <w:rPr>
          <w:rFonts w:hint="eastAsia" w:ascii="宋体" w:hAnsi="宋体" w:cs="宋体"/>
          <w:color w:val="auto"/>
          <w:kern w:val="0"/>
          <w:sz w:val="24"/>
          <w:szCs w:val="24"/>
          <w:highlight w:val="none"/>
        </w:rPr>
        <w:t>，享受预留份额、评审中价格扣除等促进中小企业发展的政府采购政策。向残疾人福利性单位采购的金额，计入面向中小企业采购的统计数据。残疾人福利性单位属于小型、微型企业的，不重复享受政策。</w:t>
      </w:r>
    </w:p>
    <w:p w14:paraId="1D3BEAC6">
      <w:pPr>
        <w:shd w:val="clear" w:color="auto" w:fill="auto"/>
        <w:ind w:firstLine="560"/>
        <w:jc w:val="center"/>
        <w:rPr>
          <w:rFonts w:hint="eastAsia" w:ascii="宋体" w:hAnsi="宋体" w:cs="宋体"/>
          <w:b/>
          <w:bCs/>
          <w:color w:val="auto"/>
          <w:kern w:val="10"/>
          <w:sz w:val="28"/>
          <w:szCs w:val="28"/>
          <w:highlight w:val="none"/>
        </w:rPr>
      </w:pPr>
      <w:r>
        <w:rPr>
          <w:rFonts w:hint="eastAsia" w:ascii="宋体" w:hAnsi="宋体" w:cs="宋体"/>
          <w:b/>
          <w:bCs/>
          <w:color w:val="auto"/>
          <w:kern w:val="10"/>
          <w:sz w:val="28"/>
          <w:szCs w:val="28"/>
          <w:highlight w:val="none"/>
        </w:rPr>
        <w:br w:type="page"/>
      </w:r>
      <w:r>
        <w:rPr>
          <w:rFonts w:hint="eastAsia" w:ascii="宋体" w:hAnsi="宋体" w:cs="宋体"/>
          <w:b/>
          <w:bCs/>
          <w:color w:val="auto"/>
          <w:kern w:val="10"/>
          <w:sz w:val="28"/>
          <w:szCs w:val="28"/>
          <w:highlight w:val="none"/>
        </w:rPr>
        <w:t>3、监狱企业证明文件</w:t>
      </w:r>
    </w:p>
    <w:p w14:paraId="353A84F7">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p>
    <w:p w14:paraId="6AC45197">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省级以上监狱管理局、戒毒管理局（含新疆生产建设兵团）出具的属于监狱企业的证明文件。</w:t>
      </w:r>
    </w:p>
    <w:p w14:paraId="2B57C75E">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p>
    <w:p w14:paraId="6DDE6F8B">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p>
    <w:p w14:paraId="46D0CD4E">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p>
    <w:p w14:paraId="2434F240">
      <w:pPr>
        <w:shd w:val="clear" w:color="auto" w:fill="auto"/>
        <w:autoSpaceDE w:val="0"/>
        <w:autoSpaceDN w:val="0"/>
        <w:spacing w:line="360" w:lineRule="auto"/>
        <w:ind w:firstLine="480" w:firstLineChars="200"/>
        <w:rPr>
          <w:rFonts w:hint="eastAsia" w:ascii="宋体" w:hAns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kern w:val="0"/>
          <w:sz w:val="24"/>
          <w:szCs w:val="24"/>
          <w:highlight w:val="none"/>
        </w:rPr>
        <w:t>在政府采购活动中，</w:t>
      </w:r>
      <w:r>
        <w:rPr>
          <w:rFonts w:hint="eastAsia" w:ascii="宋体" w:hAnsi="宋体" w:cs="宋体"/>
          <w:b/>
          <w:bCs/>
          <w:color w:val="auto"/>
          <w:kern w:val="0"/>
          <w:sz w:val="24"/>
          <w:szCs w:val="24"/>
          <w:highlight w:val="none"/>
        </w:rPr>
        <w:t>监狱企业视同小型、微型企业</w:t>
      </w:r>
      <w:r>
        <w:rPr>
          <w:rFonts w:hint="eastAsia" w:ascii="宋体" w:hAnsi="宋体" w:cs="宋体"/>
          <w:color w:val="auto"/>
          <w:kern w:val="0"/>
          <w:sz w:val="24"/>
          <w:szCs w:val="24"/>
          <w:highlight w:val="none"/>
        </w:rPr>
        <w:t>，享受预留份额、评审中价格扣除等政府采购促进中小企业发展的政府采购政策。但监狱企业参加政府采购活动时，</w:t>
      </w:r>
      <w:r>
        <w:rPr>
          <w:rFonts w:hint="eastAsia" w:ascii="宋体" w:hAnsi="宋体" w:cs="宋体"/>
          <w:b/>
          <w:bCs/>
          <w:color w:val="auto"/>
          <w:kern w:val="0"/>
          <w:sz w:val="24"/>
          <w:szCs w:val="24"/>
          <w:highlight w:val="none"/>
        </w:rPr>
        <w:t>应当提供由省级以上监狱管理局、戒毒管理局（含新疆生产建设兵团）出具的属于监狱企业的证明文件</w:t>
      </w:r>
      <w:r>
        <w:rPr>
          <w:rFonts w:hint="eastAsia" w:ascii="宋体" w:hAnsi="宋体" w:cs="宋体"/>
          <w:color w:val="auto"/>
          <w:kern w:val="0"/>
          <w:sz w:val="24"/>
          <w:szCs w:val="24"/>
          <w:highlight w:val="none"/>
        </w:rPr>
        <w:t>，否则不能认为其为监狱企业）</w:t>
      </w:r>
    </w:p>
    <w:p w14:paraId="4F12D6F6">
      <w:pPr>
        <w:shd w:val="clear" w:color="auto" w:fill="auto"/>
        <w:spacing w:after="120" w:line="440" w:lineRule="exact"/>
        <w:rPr>
          <w:rFonts w:hint="eastAsia" w:ascii="宋体" w:hAnsi="宋体" w:cs="宋体"/>
          <w:b/>
          <w:iCs/>
          <w:color w:val="auto"/>
          <w:sz w:val="24"/>
          <w:highlight w:val="none"/>
        </w:rPr>
      </w:pPr>
    </w:p>
    <w:p w14:paraId="1C801C8E">
      <w:bookmarkStart w:id="1555" w:name="_GoBack"/>
      <w:bookmarkEnd w:id="1555"/>
    </w:p>
    <w:sectPr>
      <w:headerReference r:id="rId3" w:type="default"/>
      <w:footerReference r:id="rId4" w:type="default"/>
      <w:pgSz w:w="11906" w:h="16838"/>
      <w:pgMar w:top="1531" w:right="1247" w:bottom="1247" w:left="1418" w:header="851" w:footer="850" w:gutter="0"/>
      <w:pgNumType w:fmt="decimal"/>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Courier New"/>
    <w:panose1 w:val="00000000000000000000"/>
    <w:charset w:val="00"/>
    <w:family w:val="auto"/>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Noto Serif CJK SC">
    <w:altName w:val="微软雅黑"/>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284F2">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AE7AA3A">
                          <w:pPr>
                            <w:pStyle w:val="9"/>
                          </w:pPr>
                          <w:r>
                            <w:t xml:space="preserve">第 </w:t>
                          </w:r>
                          <w:r>
                            <w:fldChar w:fldCharType="begin"/>
                          </w:r>
                          <w:r>
                            <w:instrText xml:space="preserve"> PAGE  \* MERGEFORMAT </w:instrText>
                          </w:r>
                          <w:r>
                            <w:fldChar w:fldCharType="separate"/>
                          </w:r>
                          <w:r>
                            <w:t>2</w:t>
                          </w:r>
                          <w:r>
                            <w:fldChar w:fldCharType="end"/>
                          </w:r>
                          <w: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1AE7AA3A">
                    <w:pPr>
                      <w:pStyle w:val="9"/>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p w14:paraId="3BE1E8B9">
    <w:pPr>
      <w:pStyle w:val="9"/>
      <w:ind w:right="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6D0087">
    <w:pPr>
      <w:pStyle w:val="10"/>
      <w:pBdr>
        <w:bottom w:val="none" w:color="auto" w:sz="0" w:space="0"/>
      </w:pBdr>
      <w:tabs>
        <w:tab w:val="left" w:pos="462"/>
        <w:tab w:val="clear" w:pos="4153"/>
        <w:tab w:val="clear" w:pos="8306"/>
      </w:tabs>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2D77BE"/>
    <w:multiLevelType w:val="singleLevel"/>
    <w:tmpl w:val="882D77BE"/>
    <w:lvl w:ilvl="0" w:tentative="0">
      <w:start w:val="6"/>
      <w:numFmt w:val="chineseCounting"/>
      <w:suff w:val="space"/>
      <w:lvlText w:val="第%1章"/>
      <w:lvlJc w:val="left"/>
      <w:rPr>
        <w:rFonts w:hint="eastAsia"/>
      </w:rPr>
    </w:lvl>
  </w:abstractNum>
  <w:abstractNum w:abstractNumId="1">
    <w:nsid w:val="A5E2B2AA"/>
    <w:multiLevelType w:val="singleLevel"/>
    <w:tmpl w:val="A5E2B2AA"/>
    <w:lvl w:ilvl="0" w:tentative="0">
      <w:start w:val="3"/>
      <w:numFmt w:val="chineseCounting"/>
      <w:suff w:val="nothing"/>
      <w:lvlText w:val="%1、"/>
      <w:lvlJc w:val="left"/>
      <w:pPr>
        <w:ind w:left="0" w:firstLine="0"/>
      </w:pPr>
    </w:lvl>
  </w:abstractNum>
  <w:abstractNum w:abstractNumId="2">
    <w:nsid w:val="D9FF827D"/>
    <w:multiLevelType w:val="singleLevel"/>
    <w:tmpl w:val="D9FF827D"/>
    <w:lvl w:ilvl="0" w:tentative="0">
      <w:start w:val="5"/>
      <w:numFmt w:val="decimal"/>
      <w:suff w:val="nothing"/>
      <w:lvlText w:val="%1、"/>
      <w:lvlJc w:val="left"/>
    </w:lvl>
  </w:abstractNum>
  <w:abstractNum w:abstractNumId="3">
    <w:nsid w:val="EF8F36A6"/>
    <w:multiLevelType w:val="singleLevel"/>
    <w:tmpl w:val="EF8F36A6"/>
    <w:lvl w:ilvl="0" w:tentative="0">
      <w:start w:val="1"/>
      <w:numFmt w:val="decimal"/>
      <w:suff w:val="nothing"/>
      <w:lvlText w:val="%1、"/>
      <w:lvlJc w:val="left"/>
    </w:lvl>
  </w:abstractNum>
  <w:abstractNum w:abstractNumId="4">
    <w:nsid w:val="15274AD4"/>
    <w:multiLevelType w:val="singleLevel"/>
    <w:tmpl w:val="15274AD4"/>
    <w:lvl w:ilvl="0" w:tentative="0">
      <w:start w:val="4"/>
      <w:numFmt w:val="decimal"/>
      <w:suff w:val="nothing"/>
      <w:lvlText w:val="%1、"/>
      <w:lvlJc w:val="left"/>
    </w:lvl>
  </w:abstractNum>
  <w:abstractNum w:abstractNumId="5">
    <w:nsid w:val="5D0561BB"/>
    <w:multiLevelType w:val="multilevel"/>
    <w:tmpl w:val="5D0561BB"/>
    <w:lvl w:ilvl="0" w:tentative="0">
      <w:start w:val="8"/>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6">
    <w:nsid w:val="669F2904"/>
    <w:multiLevelType w:val="singleLevel"/>
    <w:tmpl w:val="669F2904"/>
    <w:lvl w:ilvl="0" w:tentative="0">
      <w:start w:val="1"/>
      <w:numFmt w:val="decimal"/>
      <w:suff w:val="nothing"/>
      <w:lvlText w:val="（%1）"/>
      <w:lvlJc w:val="left"/>
      <w:pPr>
        <w:ind w:left="0" w:firstLine="0"/>
      </w:pPr>
    </w:lvl>
  </w:abstractNum>
  <w:num w:numId="1">
    <w:abstractNumId w:val="2"/>
  </w:num>
  <w:num w:numId="2">
    <w:abstractNumId w:val="4"/>
  </w:num>
  <w:num w:numId="3">
    <w:abstractNumId w:val="3"/>
  </w:num>
  <w:num w:numId="4">
    <w:abstractNumId w:val="6"/>
    <w:lvlOverride w:ilvl="0">
      <w:startOverride w:val="1"/>
    </w:lvlOverride>
  </w:num>
  <w:num w:numId="5">
    <w:abstractNumId w:val="5"/>
  </w:num>
  <w:num w:numId="6">
    <w:abstractNumId w:val="0"/>
  </w:num>
  <w:num w:numId="7">
    <w:abstractNumId w:val="1"/>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8121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qFormat="1" w:unhideWhenUsed="0" w:uiPriority="99" w:semiHidden="0" w:name="index 9"/>
    <w:lsdException w:unhideWhenUsed="0" w:uiPriority="39" w:semiHidden="0" w:name="toc 1"/>
    <w:lsdException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3">
    <w:name w:val="heading 3"/>
    <w:basedOn w:val="1"/>
    <w:next w:val="1"/>
    <w:qFormat/>
    <w:uiPriority w:val="0"/>
    <w:pPr>
      <w:spacing w:before="26"/>
      <w:ind w:left="94"/>
      <w:jc w:val="left"/>
      <w:outlineLvl w:val="2"/>
    </w:pPr>
    <w:rPr>
      <w:rFonts w:ascii="??" w:hAnsi="??"/>
      <w:b/>
      <w:bCs/>
      <w:kern w:val="0"/>
      <w:sz w:val="24"/>
      <w:lang w:eastAsia="en-US"/>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style>
  <w:style w:type="paragraph" w:styleId="5">
    <w:name w:val="Body Text 2"/>
    <w:basedOn w:val="1"/>
    <w:next w:val="4"/>
    <w:qFormat/>
    <w:uiPriority w:val="0"/>
    <w:rPr>
      <w:rFonts w:ascii="宋体" w:hAnsi="宋体"/>
      <w:kern w:val="0"/>
      <w:sz w:val="28"/>
    </w:rPr>
  </w:style>
  <w:style w:type="paragraph" w:styleId="6">
    <w:name w:val="Body Text Indent"/>
    <w:basedOn w:val="1"/>
    <w:unhideWhenUsed/>
    <w:qFormat/>
    <w:uiPriority w:val="99"/>
    <w:pPr>
      <w:spacing w:after="120"/>
      <w:ind w:left="420" w:leftChars="200"/>
    </w:pPr>
    <w:rPr>
      <w:kern w:val="0"/>
      <w:sz w:val="20"/>
      <w:szCs w:val="21"/>
    </w:rPr>
  </w:style>
  <w:style w:type="paragraph" w:styleId="7">
    <w:name w:val="Plain Text"/>
    <w:basedOn w:val="1"/>
    <w:next w:val="8"/>
    <w:qFormat/>
    <w:uiPriority w:val="99"/>
    <w:pPr>
      <w:spacing w:before="156" w:beforeLines="50" w:after="156" w:afterLines="50" w:line="400" w:lineRule="exact"/>
    </w:pPr>
    <w:rPr>
      <w:rFonts w:ascii="宋体" w:hAnsi="Courier New" w:eastAsia="宋体" w:cs="Times New Roman"/>
      <w:sz w:val="24"/>
    </w:rPr>
  </w:style>
  <w:style w:type="paragraph" w:styleId="8">
    <w:name w:val="index 9"/>
    <w:basedOn w:val="1"/>
    <w:next w:val="1"/>
    <w:qFormat/>
    <w:uiPriority w:val="99"/>
    <w:pPr>
      <w:ind w:left="3360"/>
    </w:pPr>
    <w:rPr>
      <w:rFonts w:cs="等线"/>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iPriority w:val="39"/>
    <w:pPr>
      <w:spacing w:before="120" w:after="120"/>
      <w:jc w:val="left"/>
    </w:pPr>
    <w:rPr>
      <w:rFonts w:ascii="Calibri" w:hAnsi="Calibri" w:cs="Calibri"/>
      <w:b/>
      <w:bCs/>
      <w:caps/>
      <w:sz w:val="20"/>
      <w:szCs w:val="20"/>
    </w:rPr>
  </w:style>
  <w:style w:type="paragraph" w:styleId="12">
    <w:name w:val="toc 2"/>
    <w:basedOn w:val="1"/>
    <w:next w:val="1"/>
    <w:uiPriority w:val="39"/>
    <w:pPr>
      <w:ind w:left="210"/>
      <w:jc w:val="left"/>
    </w:pPr>
    <w:rPr>
      <w:rFonts w:ascii="Calibri" w:hAnsi="Calibri" w:cs="Calibri"/>
      <w:smallCaps/>
      <w:sz w:val="20"/>
      <w:szCs w:val="20"/>
    </w:rPr>
  </w:style>
  <w:style w:type="paragraph" w:styleId="13">
    <w:name w:val="Body Text First Indent"/>
    <w:basedOn w:val="4"/>
    <w:next w:val="14"/>
    <w:qFormat/>
    <w:uiPriority w:val="0"/>
    <w:pPr>
      <w:spacing w:line="360" w:lineRule="auto"/>
      <w:ind w:firstLine="420"/>
    </w:pPr>
    <w:rPr>
      <w:rFonts w:eastAsia="Arial Unicode MS"/>
      <w:color w:val="000000"/>
      <w:sz w:val="28"/>
      <w:szCs w:val="28"/>
    </w:rPr>
  </w:style>
  <w:style w:type="paragraph" w:styleId="14">
    <w:name w:val="Body Text First Indent 2"/>
    <w:basedOn w:val="6"/>
    <w:next w:val="1"/>
    <w:qFormat/>
    <w:uiPriority w:val="0"/>
    <w:pPr>
      <w:spacing w:before="100" w:beforeAutospacing="1" w:line="360" w:lineRule="auto"/>
      <w:ind w:firstLine="420"/>
    </w:pPr>
    <w:rPr>
      <w:rFonts w:eastAsia="Arial Unicode MS"/>
      <w:color w:val="000000"/>
    </w:rPr>
  </w:style>
  <w:style w:type="table" w:styleId="16">
    <w:name w:val="Table Grid"/>
    <w:basedOn w:val="1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2026-09-14T10:05:07Z</dcterms:created>
  <dc:creator>Administrator</dc:creator>
  <cp:lastModifiedBy>三门峡</cp:lastModifiedBy>
  <dcterms:modified xsi:type="dcterms:W3CDTF">2026-09-14T10:05:13Z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eyJoZGlkIjoiODk5MjFkMWU2ZjRjNTA4NzM3ZDc4NzQwNTlkZDE5YjQiLCJ1c2VySWQiOiIxOTcyOTQ0NSJ9</vt:lpwstr>
  </property>
  <property fmtid="{D5CDD505-2E9C-101B-9397-08002B2CF9AE}" pid="4" name="ICV">
    <vt:lpwstr>4DE38BDA769B4ED290673AA14842A894_12</vt:lpwstr>
  </property>
</Properties>
</file>