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A493F">
      <w:pPr>
        <w:spacing w:line="720" w:lineRule="auto"/>
        <w:jc w:val="both"/>
        <w:rPr>
          <w:rFonts w:hint="eastAsia"/>
          <w:b/>
          <w:bCs/>
          <w:sz w:val="44"/>
          <w:szCs w:val="48"/>
          <w:highlight w:val="none"/>
          <w:lang w:eastAsia="zh-CN"/>
        </w:rPr>
      </w:pPr>
    </w:p>
    <w:p w14:paraId="44BA6CFF">
      <w:pPr>
        <w:spacing w:line="720" w:lineRule="auto"/>
        <w:jc w:val="center"/>
        <w:rPr>
          <w:rFonts w:hint="eastAsia"/>
          <w:b/>
          <w:bCs/>
          <w:sz w:val="44"/>
          <w:szCs w:val="48"/>
          <w:highlight w:val="none"/>
          <w:lang w:eastAsia="zh-CN"/>
        </w:rPr>
      </w:pPr>
      <w:r>
        <w:rPr>
          <w:rFonts w:hint="eastAsia"/>
          <w:b/>
          <w:bCs/>
          <w:sz w:val="52"/>
          <w:szCs w:val="56"/>
          <w:highlight w:val="none"/>
          <w:lang w:eastAsia="zh-CN"/>
        </w:rPr>
        <w:t>陕州区高标准农田建设项目管道维修采购项目</w:t>
      </w:r>
    </w:p>
    <w:p w14:paraId="57E355AB">
      <w:pPr>
        <w:spacing w:line="720" w:lineRule="auto"/>
        <w:jc w:val="both"/>
        <w:rPr>
          <w:rFonts w:hint="eastAsia"/>
          <w:b/>
          <w:bCs/>
          <w:sz w:val="44"/>
          <w:szCs w:val="48"/>
          <w:highlight w:val="none"/>
          <w:lang w:eastAsia="zh-CN"/>
        </w:rPr>
      </w:pPr>
    </w:p>
    <w:p w14:paraId="3EF45997">
      <w:pPr>
        <w:spacing w:line="720" w:lineRule="auto"/>
        <w:jc w:val="center"/>
        <w:rPr>
          <w:rFonts w:hint="eastAsia"/>
          <w:b/>
          <w:bCs/>
          <w:sz w:val="72"/>
          <w:szCs w:val="96"/>
          <w:highlight w:val="none"/>
        </w:rPr>
      </w:pPr>
      <w:r>
        <w:rPr>
          <w:rFonts w:hint="eastAsia"/>
          <w:b/>
          <w:bCs/>
          <w:sz w:val="72"/>
          <w:szCs w:val="96"/>
          <w:highlight w:val="none"/>
        </w:rPr>
        <w:t>竞争性磋商文件</w:t>
      </w:r>
    </w:p>
    <w:p w14:paraId="14BF0DF4">
      <w:pPr>
        <w:spacing w:line="360" w:lineRule="auto"/>
        <w:jc w:val="center"/>
        <w:rPr>
          <w:rFonts w:hint="eastAsia" w:ascii="宋体" w:hAnsi="宋体" w:eastAsia="宋体" w:cs="宋体"/>
          <w:b/>
          <w:bCs/>
          <w:sz w:val="28"/>
          <w:szCs w:val="32"/>
          <w:highlight w:val="none"/>
          <w:lang w:eastAsia="zh-CN"/>
        </w:rPr>
      </w:pPr>
      <w:r>
        <w:rPr>
          <w:rFonts w:hint="eastAsia" w:ascii="宋体" w:hAnsi="宋体" w:eastAsia="宋体" w:cs="宋体"/>
          <w:b/>
          <w:bCs/>
          <w:sz w:val="28"/>
          <w:szCs w:val="32"/>
          <w:highlight w:val="none"/>
          <w:lang w:eastAsia="zh-CN"/>
        </w:rPr>
        <w:t>项目编号：陕州竞磋采购-2026-93 、SZGZ[2026]155-ZC127</w:t>
      </w:r>
      <w:r>
        <w:rPr>
          <w:rFonts w:hint="eastAsia" w:ascii="宋体" w:hAnsi="宋体" w:eastAsia="宋体" w:cs="宋体"/>
          <w:b/>
          <w:bCs/>
          <w:sz w:val="28"/>
          <w:szCs w:val="32"/>
          <w:highlight w:val="none"/>
          <w:lang w:val="en-US" w:eastAsia="zh-CN"/>
        </w:rPr>
        <w:t xml:space="preserve"> </w:t>
      </w:r>
    </w:p>
    <w:p w14:paraId="51740CCE">
      <w:pPr>
        <w:spacing w:line="360" w:lineRule="auto"/>
        <w:jc w:val="center"/>
        <w:rPr>
          <w:rFonts w:hint="eastAsia" w:ascii="宋体" w:hAnsi="宋体" w:eastAsia="宋体" w:cs="宋体"/>
          <w:b/>
          <w:bCs/>
          <w:sz w:val="28"/>
          <w:szCs w:val="32"/>
          <w:highlight w:val="none"/>
        </w:rPr>
      </w:pPr>
    </w:p>
    <w:p w14:paraId="6307321D">
      <w:pPr>
        <w:spacing w:line="360" w:lineRule="auto"/>
        <w:jc w:val="center"/>
        <w:rPr>
          <w:rFonts w:hint="eastAsia" w:ascii="宋体" w:hAnsi="宋体" w:eastAsia="宋体" w:cs="宋体"/>
          <w:b/>
          <w:bCs/>
          <w:sz w:val="28"/>
          <w:szCs w:val="32"/>
          <w:highlight w:val="none"/>
        </w:rPr>
      </w:pPr>
    </w:p>
    <w:p w14:paraId="0086F687">
      <w:pPr>
        <w:spacing w:line="600" w:lineRule="auto"/>
        <w:ind w:firstLine="1200" w:firstLineChars="500"/>
        <w:rPr>
          <w:rFonts w:ascii="宋体" w:hAnsi="宋体" w:eastAsia="宋体" w:cs="宋体"/>
          <w:b/>
          <w:bCs/>
          <w:sz w:val="28"/>
          <w:szCs w:val="32"/>
          <w:highlight w:val="none"/>
        </w:rPr>
      </w:pPr>
      <w:r>
        <w:rPr>
          <w:rFonts w:ascii="宋体" w:hAnsi="宋体" w:cs="新宋体"/>
          <w:kern w:val="0"/>
          <w:sz w:val="24"/>
          <w:highlight w:val="none"/>
        </w:rPr>
        <w:drawing>
          <wp:anchor distT="0" distB="0" distL="0" distR="0" simplePos="0" relativeHeight="251659264" behindDoc="0" locked="0" layoutInCell="1" allowOverlap="1">
            <wp:simplePos x="0" y="0"/>
            <wp:positionH relativeFrom="column">
              <wp:posOffset>1542415</wp:posOffset>
            </wp:positionH>
            <wp:positionV relativeFrom="paragraph">
              <wp:posOffset>69215</wp:posOffset>
            </wp:positionV>
            <wp:extent cx="2400300" cy="2400300"/>
            <wp:effectExtent l="0" t="0" r="0" b="0"/>
            <wp:wrapNone/>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a:xfrm>
                      <a:off x="0" y="0"/>
                      <a:ext cx="2400300" cy="2400300"/>
                    </a:xfrm>
                    <a:prstGeom prst="rect">
                      <a:avLst/>
                    </a:prstGeom>
                    <a:noFill/>
                    <a:ln>
                      <a:noFill/>
                    </a:ln>
                  </pic:spPr>
                </pic:pic>
              </a:graphicData>
            </a:graphic>
          </wp:anchor>
        </w:drawing>
      </w:r>
    </w:p>
    <w:p w14:paraId="39CD3214">
      <w:pPr>
        <w:spacing w:line="600" w:lineRule="auto"/>
        <w:ind w:firstLine="1405" w:firstLineChars="500"/>
        <w:rPr>
          <w:rFonts w:ascii="宋体" w:hAnsi="宋体" w:eastAsia="宋体" w:cs="宋体"/>
          <w:b/>
          <w:bCs/>
          <w:sz w:val="28"/>
          <w:szCs w:val="32"/>
          <w:highlight w:val="none"/>
        </w:rPr>
      </w:pPr>
    </w:p>
    <w:p w14:paraId="22695339">
      <w:pPr>
        <w:spacing w:line="600" w:lineRule="auto"/>
        <w:ind w:firstLine="1405" w:firstLineChars="500"/>
        <w:rPr>
          <w:rFonts w:ascii="宋体" w:hAnsi="宋体" w:eastAsia="宋体" w:cs="宋体"/>
          <w:b/>
          <w:bCs/>
          <w:sz w:val="28"/>
          <w:szCs w:val="32"/>
          <w:highlight w:val="none"/>
        </w:rPr>
      </w:pPr>
    </w:p>
    <w:p w14:paraId="1670D8B3">
      <w:pPr>
        <w:spacing w:line="600" w:lineRule="auto"/>
        <w:ind w:firstLine="1405" w:firstLineChars="500"/>
        <w:rPr>
          <w:rFonts w:ascii="宋体" w:hAnsi="宋体" w:eastAsia="宋体" w:cs="宋体"/>
          <w:b/>
          <w:bCs/>
          <w:sz w:val="28"/>
          <w:szCs w:val="32"/>
          <w:highlight w:val="none"/>
        </w:rPr>
      </w:pPr>
    </w:p>
    <w:p w14:paraId="54AC44F3">
      <w:pPr>
        <w:spacing w:line="600" w:lineRule="auto"/>
        <w:ind w:firstLine="1606" w:firstLineChars="500"/>
        <w:rPr>
          <w:rFonts w:hint="eastAsia" w:cs="宋体"/>
          <w:b/>
          <w:sz w:val="32"/>
          <w:highlight w:val="none"/>
          <w:lang w:bidi="ar"/>
        </w:rPr>
      </w:pPr>
    </w:p>
    <w:p w14:paraId="6903025B">
      <w:pPr>
        <w:spacing w:line="600" w:lineRule="auto"/>
        <w:jc w:val="center"/>
        <w:rPr>
          <w:rFonts w:hint="eastAsia" w:cs="宋体"/>
          <w:b/>
          <w:sz w:val="22"/>
          <w:szCs w:val="18"/>
          <w:highlight w:val="none"/>
          <w:lang w:bidi="ar"/>
        </w:rPr>
      </w:pPr>
    </w:p>
    <w:p w14:paraId="25D06E1E">
      <w:pPr>
        <w:spacing w:line="600" w:lineRule="auto"/>
        <w:jc w:val="center"/>
        <w:rPr>
          <w:rFonts w:hint="eastAsia" w:cs="宋体"/>
          <w:b/>
          <w:sz w:val="28"/>
          <w:szCs w:val="21"/>
          <w:highlight w:val="none"/>
          <w:lang w:eastAsia="zh-CN" w:bidi="ar"/>
        </w:rPr>
      </w:pPr>
      <w:r>
        <w:rPr>
          <w:rFonts w:hint="eastAsia" w:cs="宋体"/>
          <w:b/>
          <w:sz w:val="28"/>
          <w:szCs w:val="21"/>
          <w:highlight w:val="none"/>
          <w:lang w:bidi="ar"/>
        </w:rPr>
        <w:t>采 购 人：</w:t>
      </w:r>
      <w:r>
        <w:rPr>
          <w:rFonts w:hint="eastAsia" w:cs="宋体"/>
          <w:b/>
          <w:sz w:val="28"/>
          <w:szCs w:val="21"/>
          <w:highlight w:val="none"/>
          <w:lang w:eastAsia="zh-CN" w:bidi="ar"/>
        </w:rPr>
        <w:t>三门峡市陕州区农业农村局</w:t>
      </w:r>
    </w:p>
    <w:p w14:paraId="7C5F11E8">
      <w:pPr>
        <w:spacing w:line="600" w:lineRule="auto"/>
        <w:jc w:val="center"/>
        <w:rPr>
          <w:rFonts w:hint="eastAsia" w:cs="宋体"/>
          <w:b/>
          <w:sz w:val="28"/>
          <w:szCs w:val="21"/>
          <w:highlight w:val="none"/>
          <w:lang w:val="en-US" w:eastAsia="zh-CN" w:bidi="ar"/>
        </w:rPr>
      </w:pPr>
      <w:r>
        <w:rPr>
          <w:rFonts w:hint="eastAsia" w:cs="宋体"/>
          <w:b/>
          <w:sz w:val="28"/>
          <w:szCs w:val="21"/>
          <w:highlight w:val="none"/>
          <w:lang w:bidi="ar"/>
        </w:rPr>
        <w:t>代理机构：</w:t>
      </w:r>
      <w:r>
        <w:rPr>
          <w:rFonts w:hint="eastAsia" w:cs="宋体"/>
          <w:b/>
          <w:sz w:val="28"/>
          <w:szCs w:val="21"/>
          <w:highlight w:val="none"/>
          <w:lang w:val="en-US" w:eastAsia="zh-CN" w:bidi="ar"/>
        </w:rPr>
        <w:t>国咨项目管理有限公司</w:t>
      </w:r>
    </w:p>
    <w:p w14:paraId="298B7B28">
      <w:pPr>
        <w:spacing w:line="600" w:lineRule="auto"/>
        <w:jc w:val="center"/>
        <w:rPr>
          <w:rFonts w:ascii="宋体" w:hAnsi="宋体" w:eastAsia="宋体" w:cs="宋体"/>
          <w:b/>
          <w:bCs/>
          <w:sz w:val="36"/>
          <w:szCs w:val="36"/>
          <w:highlight w:val="none"/>
        </w:rPr>
      </w:pPr>
      <w:r>
        <w:rPr>
          <w:rFonts w:hint="eastAsia" w:cs="宋体"/>
          <w:b/>
          <w:sz w:val="28"/>
          <w:szCs w:val="21"/>
          <w:highlight w:val="none"/>
          <w:lang w:bidi="ar"/>
        </w:rPr>
        <w:t>日    期：二〇二六年</w:t>
      </w:r>
      <w:r>
        <w:rPr>
          <w:rFonts w:hint="eastAsia" w:cs="宋体"/>
          <w:b/>
          <w:sz w:val="28"/>
          <w:szCs w:val="21"/>
          <w:highlight w:val="none"/>
          <w:lang w:eastAsia="zh-CN" w:bidi="ar"/>
        </w:rPr>
        <w:t>九</w:t>
      </w:r>
      <w:r>
        <w:rPr>
          <w:rFonts w:hint="eastAsia" w:cs="宋体"/>
          <w:b/>
          <w:sz w:val="28"/>
          <w:szCs w:val="21"/>
          <w:highlight w:val="none"/>
          <w:lang w:bidi="ar"/>
        </w:rPr>
        <w:t>月</w:t>
      </w:r>
      <w:bookmarkStart w:id="0" w:name="OLE_LINK2"/>
      <w:r>
        <w:rPr>
          <w:rFonts w:ascii="宋体" w:hAnsi="宋体" w:eastAsia="宋体" w:cs="宋体"/>
          <w:b/>
          <w:bCs/>
          <w:sz w:val="36"/>
          <w:szCs w:val="36"/>
          <w:highlight w:val="none"/>
        </w:rPr>
        <w:br w:type="page"/>
      </w:r>
    </w:p>
    <w:p w14:paraId="339DFD09">
      <w:pPr>
        <w:spacing w:line="360" w:lineRule="auto"/>
        <w:ind w:firstLine="73"/>
        <w:jc w:val="center"/>
        <w:rPr>
          <w:rFonts w:ascii="宋体" w:hAnsi="宋体" w:eastAsia="宋体" w:cs="宋体"/>
          <w:b/>
          <w:bCs/>
          <w:sz w:val="36"/>
          <w:szCs w:val="36"/>
          <w:highlight w:val="none"/>
        </w:rPr>
      </w:pPr>
    </w:p>
    <w:p w14:paraId="67006B7F">
      <w:pPr>
        <w:spacing w:line="360" w:lineRule="auto"/>
        <w:ind w:firstLine="73"/>
        <w:jc w:val="center"/>
        <w:rPr>
          <w:rFonts w:ascii="宋体" w:hAnsi="宋体" w:eastAsia="宋体" w:cs="宋体"/>
          <w:b/>
          <w:bCs/>
          <w:sz w:val="36"/>
          <w:szCs w:val="36"/>
          <w:highlight w:val="none"/>
        </w:rPr>
      </w:pPr>
      <w:r>
        <w:rPr>
          <w:rFonts w:hint="eastAsia" w:ascii="宋体" w:hAnsi="宋体" w:eastAsia="宋体" w:cs="宋体"/>
          <w:b/>
          <w:bCs/>
          <w:sz w:val="36"/>
          <w:szCs w:val="36"/>
          <w:highlight w:val="none"/>
        </w:rPr>
        <w:t>目  录</w:t>
      </w:r>
    </w:p>
    <w:p w14:paraId="1628C94C">
      <w:pPr>
        <w:jc w:val="center"/>
        <w:rPr>
          <w:rFonts w:ascii="Calibri" w:hAnsi="Calibri" w:eastAsia="宋体" w:cs="Times New Roman"/>
          <w:highlight w:val="none"/>
        </w:rPr>
      </w:pPr>
    </w:p>
    <w:p w14:paraId="35BF1A23">
      <w:pPr>
        <w:tabs>
          <w:tab w:val="right" w:leader="dot" w:pos="8306"/>
        </w:tabs>
        <w:spacing w:line="480" w:lineRule="auto"/>
        <w:rPr>
          <w:rFonts w:ascii="宋体" w:hAnsi="宋体" w:eastAsia="宋体" w:cs="宋体"/>
          <w:sz w:val="28"/>
          <w:szCs w:val="32"/>
          <w:highlight w:val="none"/>
        </w:rPr>
      </w:pPr>
      <w:r>
        <w:rPr>
          <w:rFonts w:ascii="Calibri" w:hAnsi="Calibri" w:eastAsia="宋体" w:cs="Times New Roman"/>
          <w:highlight w:val="none"/>
        </w:rPr>
        <w:fldChar w:fldCharType="begin"/>
      </w:r>
      <w:r>
        <w:rPr>
          <w:rFonts w:ascii="Calibri" w:hAnsi="Calibri" w:eastAsia="宋体" w:cs="Times New Roman"/>
          <w:highlight w:val="none"/>
        </w:rPr>
        <w:instrText xml:space="preserve">TOC \o "1-3" \h \u </w:instrText>
      </w:r>
      <w:r>
        <w:rPr>
          <w:rFonts w:ascii="Calibri" w:hAnsi="Calibri" w:eastAsia="宋体" w:cs="Times New Roman"/>
          <w:highlight w:val="none"/>
        </w:rPr>
        <w:fldChar w:fldCharType="separate"/>
      </w:r>
      <w:r>
        <w:rPr>
          <w:highlight w:val="none"/>
        </w:rPr>
        <w:fldChar w:fldCharType="begin"/>
      </w:r>
      <w:r>
        <w:rPr>
          <w:highlight w:val="none"/>
        </w:rPr>
        <w:instrText xml:space="preserve"> HYPERLINK \l "_Toc1060" </w:instrText>
      </w:r>
      <w:r>
        <w:rPr>
          <w:highlight w:val="none"/>
        </w:rPr>
        <w:fldChar w:fldCharType="separate"/>
      </w:r>
      <w:r>
        <w:rPr>
          <w:rFonts w:hint="eastAsia" w:ascii="宋体" w:hAnsi="宋体" w:eastAsia="宋体" w:cs="宋体"/>
          <w:sz w:val="28"/>
          <w:szCs w:val="32"/>
          <w:highlight w:val="none"/>
        </w:rPr>
        <w:t>第一章  竞争性磋商公告</w:t>
      </w:r>
      <w:r>
        <w:rPr>
          <w:rFonts w:hint="eastAsia" w:ascii="宋体" w:hAnsi="宋体" w:eastAsia="宋体" w:cs="宋体"/>
          <w:sz w:val="28"/>
          <w:szCs w:val="32"/>
          <w:highlight w:val="none"/>
        </w:rPr>
        <w:tab/>
      </w:r>
      <w:r>
        <w:rPr>
          <w:rFonts w:hint="eastAsia" w:ascii="宋体" w:hAnsi="宋体" w:eastAsia="宋体" w:cs="宋体"/>
          <w:sz w:val="28"/>
          <w:szCs w:val="32"/>
          <w:highlight w:val="none"/>
        </w:rPr>
        <w:fldChar w:fldCharType="begin"/>
      </w:r>
      <w:r>
        <w:rPr>
          <w:rFonts w:hint="eastAsia" w:ascii="宋体" w:hAnsi="宋体" w:eastAsia="宋体" w:cs="宋体"/>
          <w:sz w:val="28"/>
          <w:szCs w:val="32"/>
          <w:highlight w:val="none"/>
        </w:rPr>
        <w:instrText xml:space="preserve"> PAGEREF _Toc1060 \h </w:instrText>
      </w:r>
      <w:r>
        <w:rPr>
          <w:rFonts w:hint="eastAsia" w:ascii="宋体" w:hAnsi="宋体" w:eastAsia="宋体" w:cs="宋体"/>
          <w:sz w:val="28"/>
          <w:szCs w:val="32"/>
          <w:highlight w:val="none"/>
        </w:rPr>
        <w:fldChar w:fldCharType="separate"/>
      </w:r>
      <w:r>
        <w:rPr>
          <w:rFonts w:hint="eastAsia" w:ascii="宋体" w:hAnsi="宋体" w:eastAsia="宋体" w:cs="宋体"/>
          <w:sz w:val="28"/>
          <w:szCs w:val="32"/>
          <w:highlight w:val="none"/>
        </w:rPr>
        <w:t>1</w:t>
      </w:r>
      <w:r>
        <w:rPr>
          <w:rFonts w:hint="eastAsia" w:ascii="宋体" w:hAnsi="宋体" w:eastAsia="宋体" w:cs="宋体"/>
          <w:sz w:val="28"/>
          <w:szCs w:val="32"/>
          <w:highlight w:val="none"/>
        </w:rPr>
        <w:fldChar w:fldCharType="end"/>
      </w:r>
      <w:r>
        <w:rPr>
          <w:rFonts w:hint="eastAsia" w:ascii="宋体" w:hAnsi="宋体" w:eastAsia="宋体" w:cs="宋体"/>
          <w:sz w:val="28"/>
          <w:szCs w:val="32"/>
          <w:highlight w:val="none"/>
        </w:rPr>
        <w:fldChar w:fldCharType="end"/>
      </w:r>
    </w:p>
    <w:p w14:paraId="7F5A8D06">
      <w:pPr>
        <w:tabs>
          <w:tab w:val="right" w:leader="dot" w:pos="8306"/>
        </w:tabs>
        <w:spacing w:line="480" w:lineRule="auto"/>
        <w:rPr>
          <w:rFonts w:ascii="宋体" w:hAnsi="宋体" w:eastAsia="宋体" w:cs="宋体"/>
          <w:sz w:val="28"/>
          <w:szCs w:val="32"/>
          <w:highlight w:val="none"/>
        </w:rPr>
      </w:pPr>
      <w:r>
        <w:rPr>
          <w:highlight w:val="none"/>
        </w:rPr>
        <w:fldChar w:fldCharType="begin"/>
      </w:r>
      <w:r>
        <w:rPr>
          <w:highlight w:val="none"/>
        </w:rPr>
        <w:instrText xml:space="preserve"> HYPERLINK \l "_Toc20926" </w:instrText>
      </w:r>
      <w:r>
        <w:rPr>
          <w:highlight w:val="none"/>
        </w:rPr>
        <w:fldChar w:fldCharType="separate"/>
      </w:r>
      <w:r>
        <w:rPr>
          <w:rFonts w:hint="eastAsia" w:ascii="宋体" w:hAnsi="宋体" w:eastAsia="宋体" w:cs="宋体"/>
          <w:sz w:val="28"/>
          <w:szCs w:val="32"/>
          <w:highlight w:val="none"/>
        </w:rPr>
        <w:t>第二章  供应商须知</w:t>
      </w:r>
      <w:r>
        <w:rPr>
          <w:rFonts w:hint="eastAsia" w:ascii="宋体" w:hAnsi="宋体" w:eastAsia="宋体" w:cs="宋体"/>
          <w:sz w:val="28"/>
          <w:szCs w:val="32"/>
          <w:highlight w:val="none"/>
        </w:rPr>
        <w:tab/>
      </w:r>
      <w:r>
        <w:rPr>
          <w:rFonts w:hint="eastAsia" w:ascii="宋体" w:hAnsi="宋体" w:eastAsia="宋体" w:cs="宋体"/>
          <w:sz w:val="28"/>
          <w:szCs w:val="32"/>
          <w:highlight w:val="none"/>
        </w:rPr>
        <w:fldChar w:fldCharType="begin"/>
      </w:r>
      <w:r>
        <w:rPr>
          <w:rFonts w:hint="eastAsia" w:ascii="宋体" w:hAnsi="宋体" w:eastAsia="宋体" w:cs="宋体"/>
          <w:sz w:val="28"/>
          <w:szCs w:val="32"/>
          <w:highlight w:val="none"/>
        </w:rPr>
        <w:instrText xml:space="preserve"> PAGEREF _Toc20926 \h </w:instrText>
      </w:r>
      <w:r>
        <w:rPr>
          <w:rFonts w:hint="eastAsia" w:ascii="宋体" w:hAnsi="宋体" w:eastAsia="宋体" w:cs="宋体"/>
          <w:sz w:val="28"/>
          <w:szCs w:val="32"/>
          <w:highlight w:val="none"/>
        </w:rPr>
        <w:fldChar w:fldCharType="separate"/>
      </w:r>
      <w:r>
        <w:rPr>
          <w:rFonts w:hint="eastAsia" w:ascii="宋体" w:hAnsi="宋体" w:eastAsia="宋体" w:cs="宋体"/>
          <w:sz w:val="28"/>
          <w:szCs w:val="32"/>
          <w:highlight w:val="none"/>
        </w:rPr>
        <w:t>4</w:t>
      </w:r>
      <w:r>
        <w:rPr>
          <w:rFonts w:hint="eastAsia" w:ascii="宋体" w:hAnsi="宋体" w:eastAsia="宋体" w:cs="宋体"/>
          <w:sz w:val="28"/>
          <w:szCs w:val="32"/>
          <w:highlight w:val="none"/>
        </w:rPr>
        <w:fldChar w:fldCharType="end"/>
      </w:r>
      <w:r>
        <w:rPr>
          <w:rFonts w:hint="eastAsia" w:ascii="宋体" w:hAnsi="宋体" w:eastAsia="宋体" w:cs="宋体"/>
          <w:sz w:val="28"/>
          <w:szCs w:val="32"/>
          <w:highlight w:val="none"/>
        </w:rPr>
        <w:fldChar w:fldCharType="end"/>
      </w:r>
    </w:p>
    <w:p w14:paraId="4FE116FD">
      <w:pPr>
        <w:tabs>
          <w:tab w:val="right" w:leader="dot" w:pos="8306"/>
        </w:tabs>
        <w:spacing w:line="480" w:lineRule="auto"/>
        <w:rPr>
          <w:rFonts w:ascii="宋体" w:hAnsi="宋体" w:eastAsia="宋体" w:cs="宋体"/>
          <w:sz w:val="28"/>
          <w:szCs w:val="32"/>
          <w:highlight w:val="none"/>
        </w:rPr>
      </w:pPr>
      <w:r>
        <w:rPr>
          <w:highlight w:val="none"/>
        </w:rPr>
        <w:fldChar w:fldCharType="begin"/>
      </w:r>
      <w:r>
        <w:rPr>
          <w:highlight w:val="none"/>
        </w:rPr>
        <w:instrText xml:space="preserve"> HYPERLINK \l "_Toc21295" </w:instrText>
      </w:r>
      <w:r>
        <w:rPr>
          <w:highlight w:val="none"/>
        </w:rPr>
        <w:fldChar w:fldCharType="separate"/>
      </w:r>
      <w:r>
        <w:rPr>
          <w:rFonts w:hint="eastAsia" w:ascii="宋体" w:hAnsi="宋体" w:eastAsia="宋体" w:cs="宋体"/>
          <w:sz w:val="28"/>
          <w:szCs w:val="32"/>
          <w:highlight w:val="none"/>
        </w:rPr>
        <w:t>第三章  评标办法（综合评估法）</w:t>
      </w:r>
      <w:r>
        <w:rPr>
          <w:rFonts w:hint="eastAsia" w:ascii="宋体" w:hAnsi="宋体" w:eastAsia="宋体" w:cs="宋体"/>
          <w:sz w:val="28"/>
          <w:szCs w:val="32"/>
          <w:highlight w:val="none"/>
        </w:rPr>
        <w:tab/>
      </w:r>
      <w:r>
        <w:rPr>
          <w:rFonts w:hint="eastAsia" w:ascii="宋体" w:hAnsi="宋体" w:eastAsia="宋体" w:cs="宋体"/>
          <w:sz w:val="28"/>
          <w:szCs w:val="32"/>
          <w:highlight w:val="none"/>
        </w:rPr>
        <w:fldChar w:fldCharType="begin"/>
      </w:r>
      <w:r>
        <w:rPr>
          <w:rFonts w:hint="eastAsia" w:ascii="宋体" w:hAnsi="宋体" w:eastAsia="宋体" w:cs="宋体"/>
          <w:sz w:val="28"/>
          <w:szCs w:val="32"/>
          <w:highlight w:val="none"/>
        </w:rPr>
        <w:instrText xml:space="preserve"> PAGEREF _Toc21295 \h </w:instrText>
      </w:r>
      <w:r>
        <w:rPr>
          <w:rFonts w:hint="eastAsia" w:ascii="宋体" w:hAnsi="宋体" w:eastAsia="宋体" w:cs="宋体"/>
          <w:sz w:val="28"/>
          <w:szCs w:val="32"/>
          <w:highlight w:val="none"/>
        </w:rPr>
        <w:fldChar w:fldCharType="separate"/>
      </w:r>
      <w:r>
        <w:rPr>
          <w:rFonts w:hint="eastAsia" w:ascii="宋体" w:hAnsi="宋体" w:eastAsia="宋体" w:cs="宋体"/>
          <w:sz w:val="28"/>
          <w:szCs w:val="32"/>
          <w:highlight w:val="none"/>
        </w:rPr>
        <w:t>21</w:t>
      </w:r>
      <w:r>
        <w:rPr>
          <w:rFonts w:hint="eastAsia" w:ascii="宋体" w:hAnsi="宋体" w:eastAsia="宋体" w:cs="宋体"/>
          <w:sz w:val="28"/>
          <w:szCs w:val="32"/>
          <w:highlight w:val="none"/>
        </w:rPr>
        <w:fldChar w:fldCharType="end"/>
      </w:r>
      <w:r>
        <w:rPr>
          <w:rFonts w:hint="eastAsia" w:ascii="宋体" w:hAnsi="宋体" w:eastAsia="宋体" w:cs="宋体"/>
          <w:sz w:val="28"/>
          <w:szCs w:val="32"/>
          <w:highlight w:val="none"/>
        </w:rPr>
        <w:fldChar w:fldCharType="end"/>
      </w:r>
    </w:p>
    <w:p w14:paraId="093BD2D6">
      <w:pPr>
        <w:tabs>
          <w:tab w:val="right" w:leader="dot" w:pos="8306"/>
        </w:tabs>
        <w:spacing w:line="480" w:lineRule="auto"/>
        <w:rPr>
          <w:rFonts w:ascii="宋体" w:hAnsi="宋体" w:eastAsia="宋体" w:cs="宋体"/>
          <w:sz w:val="28"/>
          <w:szCs w:val="32"/>
          <w:highlight w:val="none"/>
        </w:rPr>
      </w:pPr>
      <w:r>
        <w:rPr>
          <w:highlight w:val="none"/>
        </w:rPr>
        <w:fldChar w:fldCharType="begin"/>
      </w:r>
      <w:r>
        <w:rPr>
          <w:highlight w:val="none"/>
        </w:rPr>
        <w:instrText xml:space="preserve"> HYPERLINK \l "_Toc9767" </w:instrText>
      </w:r>
      <w:r>
        <w:rPr>
          <w:highlight w:val="none"/>
        </w:rPr>
        <w:fldChar w:fldCharType="separate"/>
      </w:r>
      <w:r>
        <w:rPr>
          <w:rFonts w:hint="eastAsia" w:ascii="宋体" w:hAnsi="宋体" w:eastAsia="宋体" w:cs="宋体"/>
          <w:sz w:val="28"/>
          <w:szCs w:val="32"/>
          <w:highlight w:val="none"/>
        </w:rPr>
        <w:t>第四章  合同主要条款及格式</w:t>
      </w:r>
      <w:r>
        <w:rPr>
          <w:rFonts w:hint="eastAsia" w:ascii="宋体" w:hAnsi="宋体" w:eastAsia="宋体" w:cs="宋体"/>
          <w:sz w:val="28"/>
          <w:szCs w:val="32"/>
          <w:highlight w:val="none"/>
        </w:rPr>
        <w:tab/>
      </w:r>
      <w:r>
        <w:rPr>
          <w:rFonts w:hint="eastAsia" w:ascii="宋体" w:hAnsi="宋体" w:eastAsia="宋体" w:cs="宋体"/>
          <w:sz w:val="28"/>
          <w:szCs w:val="32"/>
          <w:highlight w:val="none"/>
        </w:rPr>
        <w:fldChar w:fldCharType="begin"/>
      </w:r>
      <w:r>
        <w:rPr>
          <w:rFonts w:hint="eastAsia" w:ascii="宋体" w:hAnsi="宋体" w:eastAsia="宋体" w:cs="宋体"/>
          <w:sz w:val="28"/>
          <w:szCs w:val="32"/>
          <w:highlight w:val="none"/>
        </w:rPr>
        <w:instrText xml:space="preserve"> PAGEREF _Toc9767 \h </w:instrText>
      </w:r>
      <w:r>
        <w:rPr>
          <w:rFonts w:hint="eastAsia" w:ascii="宋体" w:hAnsi="宋体" w:eastAsia="宋体" w:cs="宋体"/>
          <w:sz w:val="28"/>
          <w:szCs w:val="32"/>
          <w:highlight w:val="none"/>
        </w:rPr>
        <w:fldChar w:fldCharType="separate"/>
      </w:r>
      <w:r>
        <w:rPr>
          <w:rFonts w:hint="eastAsia" w:ascii="宋体" w:hAnsi="宋体" w:eastAsia="宋体" w:cs="宋体"/>
          <w:sz w:val="28"/>
          <w:szCs w:val="32"/>
          <w:highlight w:val="none"/>
        </w:rPr>
        <w:t>28</w:t>
      </w:r>
      <w:r>
        <w:rPr>
          <w:rFonts w:hint="eastAsia" w:ascii="宋体" w:hAnsi="宋体" w:eastAsia="宋体" w:cs="宋体"/>
          <w:sz w:val="28"/>
          <w:szCs w:val="32"/>
          <w:highlight w:val="none"/>
        </w:rPr>
        <w:fldChar w:fldCharType="end"/>
      </w:r>
      <w:r>
        <w:rPr>
          <w:rFonts w:hint="eastAsia" w:ascii="宋体" w:hAnsi="宋体" w:eastAsia="宋体" w:cs="宋体"/>
          <w:sz w:val="28"/>
          <w:szCs w:val="32"/>
          <w:highlight w:val="none"/>
        </w:rPr>
        <w:fldChar w:fldCharType="end"/>
      </w:r>
    </w:p>
    <w:p w14:paraId="571416EF">
      <w:pPr>
        <w:tabs>
          <w:tab w:val="right" w:leader="dot" w:pos="8306"/>
        </w:tabs>
        <w:spacing w:line="480" w:lineRule="auto"/>
        <w:rPr>
          <w:rFonts w:ascii="宋体" w:hAnsi="宋体" w:eastAsia="宋体" w:cs="宋体"/>
          <w:sz w:val="28"/>
          <w:szCs w:val="32"/>
          <w:highlight w:val="none"/>
        </w:rPr>
      </w:pPr>
      <w:r>
        <w:rPr>
          <w:highlight w:val="none"/>
        </w:rPr>
        <w:fldChar w:fldCharType="begin"/>
      </w:r>
      <w:r>
        <w:rPr>
          <w:highlight w:val="none"/>
        </w:rPr>
        <w:instrText xml:space="preserve"> HYPERLINK \l "_Toc28413" </w:instrText>
      </w:r>
      <w:r>
        <w:rPr>
          <w:highlight w:val="none"/>
        </w:rPr>
        <w:fldChar w:fldCharType="separate"/>
      </w:r>
      <w:r>
        <w:rPr>
          <w:rFonts w:hint="eastAsia" w:ascii="宋体" w:hAnsi="宋体" w:eastAsia="宋体" w:cs="宋体"/>
          <w:bCs/>
          <w:sz w:val="28"/>
          <w:szCs w:val="44"/>
          <w:highlight w:val="none"/>
        </w:rPr>
        <w:t xml:space="preserve">第五章  </w:t>
      </w:r>
      <w:r>
        <w:rPr>
          <w:rFonts w:hint="eastAsia" w:ascii="宋体" w:hAnsi="宋体" w:eastAsia="宋体" w:cs="宋体"/>
          <w:sz w:val="28"/>
          <w:szCs w:val="32"/>
          <w:highlight w:val="none"/>
        </w:rPr>
        <w:t>技术参数</w:t>
      </w:r>
      <w:r>
        <w:rPr>
          <w:rFonts w:hint="eastAsia" w:ascii="宋体" w:hAnsi="宋体" w:eastAsia="宋体" w:cs="宋体"/>
          <w:sz w:val="28"/>
          <w:szCs w:val="32"/>
          <w:highlight w:val="none"/>
        </w:rPr>
        <w:tab/>
      </w:r>
      <w:r>
        <w:rPr>
          <w:rFonts w:hint="eastAsia" w:ascii="宋体" w:hAnsi="宋体" w:eastAsia="宋体" w:cs="宋体"/>
          <w:sz w:val="28"/>
          <w:szCs w:val="32"/>
          <w:highlight w:val="none"/>
        </w:rPr>
        <w:fldChar w:fldCharType="begin"/>
      </w:r>
      <w:r>
        <w:rPr>
          <w:rFonts w:hint="eastAsia" w:ascii="宋体" w:hAnsi="宋体" w:eastAsia="宋体" w:cs="宋体"/>
          <w:sz w:val="28"/>
          <w:szCs w:val="32"/>
          <w:highlight w:val="none"/>
        </w:rPr>
        <w:instrText xml:space="preserve"> PAGEREF _Toc9767 \h </w:instrText>
      </w:r>
      <w:r>
        <w:rPr>
          <w:rFonts w:hint="eastAsia" w:ascii="宋体" w:hAnsi="宋体" w:eastAsia="宋体" w:cs="宋体"/>
          <w:sz w:val="28"/>
          <w:szCs w:val="32"/>
          <w:highlight w:val="none"/>
        </w:rPr>
        <w:fldChar w:fldCharType="separate"/>
      </w:r>
      <w:r>
        <w:rPr>
          <w:rFonts w:hint="eastAsia" w:ascii="宋体" w:hAnsi="宋体" w:eastAsia="宋体" w:cs="宋体"/>
          <w:sz w:val="28"/>
          <w:szCs w:val="32"/>
          <w:highlight w:val="none"/>
        </w:rPr>
        <w:t>28</w:t>
      </w:r>
      <w:r>
        <w:rPr>
          <w:rFonts w:hint="eastAsia" w:ascii="宋体" w:hAnsi="宋体" w:eastAsia="宋体" w:cs="宋体"/>
          <w:sz w:val="28"/>
          <w:szCs w:val="32"/>
          <w:highlight w:val="none"/>
        </w:rPr>
        <w:fldChar w:fldCharType="end"/>
      </w:r>
      <w:r>
        <w:rPr>
          <w:rFonts w:hint="eastAsia" w:ascii="宋体" w:hAnsi="宋体" w:eastAsia="宋体" w:cs="宋体"/>
          <w:sz w:val="28"/>
          <w:szCs w:val="32"/>
          <w:highlight w:val="none"/>
        </w:rPr>
        <w:fldChar w:fldCharType="end"/>
      </w:r>
    </w:p>
    <w:p w14:paraId="38C0BBB2">
      <w:pPr>
        <w:tabs>
          <w:tab w:val="right" w:leader="dot" w:pos="8306"/>
        </w:tabs>
        <w:spacing w:line="480" w:lineRule="auto"/>
        <w:rPr>
          <w:rFonts w:ascii="Calibri" w:hAnsi="Calibri" w:eastAsia="宋体" w:cs="Times New Roman"/>
          <w:highlight w:val="none"/>
        </w:rPr>
      </w:pPr>
      <w:r>
        <w:rPr>
          <w:highlight w:val="none"/>
        </w:rPr>
        <w:fldChar w:fldCharType="begin"/>
      </w:r>
      <w:r>
        <w:rPr>
          <w:highlight w:val="none"/>
        </w:rPr>
        <w:instrText xml:space="preserve"> HYPERLINK \l "_Toc9749" </w:instrText>
      </w:r>
      <w:r>
        <w:rPr>
          <w:highlight w:val="none"/>
        </w:rPr>
        <w:fldChar w:fldCharType="separate"/>
      </w:r>
      <w:r>
        <w:rPr>
          <w:rFonts w:hint="eastAsia" w:ascii="宋体" w:hAnsi="宋体" w:eastAsia="宋体" w:cs="宋体"/>
          <w:sz w:val="28"/>
          <w:szCs w:val="32"/>
          <w:highlight w:val="none"/>
        </w:rPr>
        <w:t>第六章  响应性文件格式</w:t>
      </w:r>
      <w:r>
        <w:rPr>
          <w:rFonts w:hint="eastAsia" w:ascii="宋体" w:hAnsi="宋体" w:eastAsia="宋体" w:cs="宋体"/>
          <w:sz w:val="28"/>
          <w:szCs w:val="32"/>
          <w:highlight w:val="none"/>
        </w:rPr>
        <w:tab/>
      </w:r>
      <w:r>
        <w:rPr>
          <w:rFonts w:hint="eastAsia" w:ascii="宋体" w:hAnsi="宋体" w:eastAsia="宋体" w:cs="宋体"/>
          <w:sz w:val="28"/>
          <w:szCs w:val="32"/>
          <w:highlight w:val="none"/>
        </w:rPr>
        <w:fldChar w:fldCharType="begin"/>
      </w:r>
      <w:r>
        <w:rPr>
          <w:rFonts w:hint="eastAsia" w:ascii="宋体" w:hAnsi="宋体" w:eastAsia="宋体" w:cs="宋体"/>
          <w:sz w:val="28"/>
          <w:szCs w:val="32"/>
          <w:highlight w:val="none"/>
        </w:rPr>
        <w:instrText xml:space="preserve"> PAGEREF _Toc9767 \h </w:instrText>
      </w:r>
      <w:r>
        <w:rPr>
          <w:rFonts w:hint="eastAsia" w:ascii="宋体" w:hAnsi="宋体" w:eastAsia="宋体" w:cs="宋体"/>
          <w:sz w:val="28"/>
          <w:szCs w:val="32"/>
          <w:highlight w:val="none"/>
        </w:rPr>
        <w:fldChar w:fldCharType="separate"/>
      </w:r>
      <w:r>
        <w:rPr>
          <w:rFonts w:hint="eastAsia" w:ascii="宋体" w:hAnsi="宋体" w:eastAsia="宋体" w:cs="宋体"/>
          <w:sz w:val="28"/>
          <w:szCs w:val="32"/>
          <w:highlight w:val="none"/>
        </w:rPr>
        <w:t>28</w:t>
      </w:r>
      <w:r>
        <w:rPr>
          <w:rFonts w:hint="eastAsia" w:ascii="宋体" w:hAnsi="宋体" w:eastAsia="宋体" w:cs="宋体"/>
          <w:sz w:val="28"/>
          <w:szCs w:val="32"/>
          <w:highlight w:val="none"/>
        </w:rPr>
        <w:fldChar w:fldCharType="end"/>
      </w:r>
      <w:r>
        <w:rPr>
          <w:rFonts w:hint="eastAsia" w:ascii="宋体" w:hAnsi="宋体" w:eastAsia="宋体" w:cs="宋体"/>
          <w:sz w:val="28"/>
          <w:szCs w:val="32"/>
          <w:highlight w:val="none"/>
        </w:rPr>
        <w:fldChar w:fldCharType="end"/>
      </w:r>
    </w:p>
    <w:p w14:paraId="22F36167">
      <w:pPr>
        <w:rPr>
          <w:rFonts w:ascii="Calibri" w:hAnsi="Calibri" w:eastAsia="宋体" w:cs="Times New Roman"/>
          <w:highlight w:val="none"/>
        </w:rPr>
        <w:sectPr>
          <w:footerReference r:id="rId4" w:type="first"/>
          <w:footerReference r:id="rId3" w:type="default"/>
          <w:pgSz w:w="11906" w:h="16838"/>
          <w:pgMar w:top="1440" w:right="1800" w:bottom="1440" w:left="1800" w:header="851" w:footer="992" w:gutter="0"/>
          <w:pgNumType w:fmt="numberInDash" w:start="1"/>
          <w:cols w:space="425" w:num="1"/>
          <w:docGrid w:type="lines" w:linePitch="312" w:charSpace="0"/>
        </w:sectPr>
      </w:pPr>
      <w:r>
        <w:rPr>
          <w:rFonts w:ascii="Calibri" w:hAnsi="Calibri" w:eastAsia="宋体" w:cs="Times New Roman"/>
          <w:highlight w:val="none"/>
        </w:rPr>
        <w:fldChar w:fldCharType="end"/>
      </w:r>
      <w:bookmarkEnd w:id="0"/>
    </w:p>
    <w:p w14:paraId="34518C94">
      <w:pPr>
        <w:keepNext/>
        <w:keepLines/>
        <w:spacing w:line="360" w:lineRule="auto"/>
        <w:jc w:val="center"/>
        <w:outlineLvl w:val="2"/>
        <w:rPr>
          <w:rFonts w:ascii="Calibri" w:hAnsi="Calibri" w:eastAsia="宋体" w:cs="Times New Roman"/>
          <w:b/>
          <w:bCs/>
          <w:sz w:val="28"/>
          <w:szCs w:val="32"/>
          <w:highlight w:val="none"/>
        </w:rPr>
      </w:pPr>
      <w:bookmarkStart w:id="1" w:name="_Toc1060"/>
      <w:bookmarkStart w:id="2" w:name="_Toc17395"/>
      <w:r>
        <w:rPr>
          <w:rFonts w:hint="eastAsia" w:ascii="Calibri" w:hAnsi="Calibri" w:eastAsia="宋体" w:cs="Times New Roman"/>
          <w:b/>
          <w:bCs/>
          <w:sz w:val="28"/>
          <w:szCs w:val="32"/>
          <w:highlight w:val="none"/>
        </w:rPr>
        <w:t xml:space="preserve">第一章  </w:t>
      </w:r>
      <w:bookmarkStart w:id="3" w:name="_Hlk136547488"/>
      <w:r>
        <w:rPr>
          <w:rFonts w:hint="eastAsia" w:ascii="Calibri" w:hAnsi="Calibri" w:eastAsia="宋体" w:cs="Times New Roman"/>
          <w:b/>
          <w:bCs/>
          <w:sz w:val="28"/>
          <w:szCs w:val="32"/>
          <w:highlight w:val="none"/>
        </w:rPr>
        <w:t>竞争性磋商公告</w:t>
      </w:r>
      <w:bookmarkEnd w:id="1"/>
      <w:bookmarkEnd w:id="2"/>
      <w:bookmarkEnd w:id="3"/>
    </w:p>
    <w:p w14:paraId="378AEA6D">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项目概况</w:t>
      </w:r>
    </w:p>
    <w:p w14:paraId="67501736">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lang w:eastAsia="zh-CN"/>
        </w:rPr>
        <w:t>陕州区高标准农田建设项目管道维修采购项目</w:t>
      </w:r>
      <w:r>
        <w:rPr>
          <w:rFonts w:hint="eastAsia" w:ascii="宋体" w:hAnsi="宋体" w:eastAsia="宋体" w:cs="宋体"/>
          <w:sz w:val="24"/>
          <w:szCs w:val="24"/>
          <w:highlight w:val="none"/>
        </w:rPr>
        <w:t>的潜在供应商应在三门峡市公共资源交易中心网上获取招标文件，并于</w:t>
      </w:r>
      <w:r>
        <w:rPr>
          <w:rFonts w:hint="eastAsia" w:ascii="宋体" w:hAnsi="宋体" w:eastAsia="宋体" w:cs="宋体"/>
          <w:color w:val="000000" w:themeColor="text1"/>
          <w:sz w:val="24"/>
          <w:szCs w:val="24"/>
          <w:highlight w:val="none"/>
          <w:lang w:eastAsia="zh-CN"/>
          <w14:textFill>
            <w14:solidFill>
              <w14:schemeClr w14:val="tx1"/>
            </w14:solidFill>
          </w14:textFill>
        </w:rPr>
        <w:t>2026年10月08日08时20分</w:t>
      </w:r>
      <w:r>
        <w:rPr>
          <w:rFonts w:hint="eastAsia" w:ascii="宋体" w:hAnsi="宋体" w:eastAsia="宋体" w:cs="宋体"/>
          <w:sz w:val="24"/>
          <w:szCs w:val="24"/>
          <w:highlight w:val="none"/>
        </w:rPr>
        <w:t>（北京时间）前递交投标文件。</w:t>
      </w:r>
    </w:p>
    <w:p w14:paraId="069754A1">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 xml:space="preserve">一、项目基本情况 </w:t>
      </w:r>
    </w:p>
    <w:p w14:paraId="76964814">
      <w:pPr>
        <w:spacing w:line="360" w:lineRule="auto"/>
        <w:ind w:firstLine="566" w:firstLineChars="236"/>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1.采购</w:t>
      </w:r>
      <w:r>
        <w:rPr>
          <w:rFonts w:hint="eastAsia" w:ascii="宋体" w:hAnsi="宋体" w:eastAsia="宋体" w:cs="宋体"/>
          <w:sz w:val="24"/>
          <w:szCs w:val="24"/>
          <w:highlight w:val="none"/>
          <w:lang w:eastAsia="zh-CN"/>
        </w:rPr>
        <w:t>项目编号：陕州竞磋采购-2026-93 、SZGZ[2026]155-ZC127</w:t>
      </w:r>
    </w:p>
    <w:p w14:paraId="46E4761E">
      <w:pPr>
        <w:spacing w:line="360" w:lineRule="auto"/>
        <w:ind w:firstLine="566" w:firstLineChars="236"/>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2.采购项目名称：</w:t>
      </w:r>
      <w:r>
        <w:rPr>
          <w:rFonts w:hint="eastAsia" w:ascii="宋体" w:hAnsi="宋体" w:eastAsia="宋体" w:cs="宋体"/>
          <w:sz w:val="24"/>
          <w:szCs w:val="24"/>
          <w:highlight w:val="none"/>
          <w:lang w:eastAsia="zh-CN"/>
        </w:rPr>
        <w:t>陕州区高标准农田建设项目管道维修采购项目</w:t>
      </w:r>
    </w:p>
    <w:p w14:paraId="12CA4824">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3.采购方式：竞争性磋商</w:t>
      </w:r>
    </w:p>
    <w:p w14:paraId="753E4040">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4.预算金额：</w:t>
      </w:r>
      <w:r>
        <w:rPr>
          <w:rFonts w:hint="eastAsia" w:ascii="宋体" w:hAnsi="宋体" w:eastAsia="宋体" w:cs="宋体"/>
          <w:sz w:val="24"/>
          <w:szCs w:val="24"/>
          <w:highlight w:val="none"/>
          <w:lang w:val="en-US" w:eastAsia="zh-CN"/>
        </w:rPr>
        <w:t>1199256.00</w:t>
      </w:r>
      <w:r>
        <w:rPr>
          <w:rFonts w:hint="eastAsia" w:ascii="宋体" w:hAnsi="宋体" w:eastAsia="宋体" w:cs="宋体"/>
          <w:sz w:val="24"/>
          <w:szCs w:val="24"/>
          <w:highlight w:val="none"/>
        </w:rPr>
        <w:t>元</w:t>
      </w:r>
    </w:p>
    <w:p w14:paraId="7033D9C6">
      <w:pPr>
        <w:spacing w:line="360" w:lineRule="auto"/>
        <w:ind w:firstLine="804" w:firstLineChars="335"/>
        <w:rPr>
          <w:rFonts w:ascii="宋体" w:hAnsi="宋体" w:eastAsia="宋体" w:cs="宋体"/>
          <w:sz w:val="24"/>
          <w:szCs w:val="24"/>
          <w:highlight w:val="none"/>
        </w:rPr>
      </w:pPr>
      <w:r>
        <w:rPr>
          <w:rFonts w:hint="eastAsia" w:ascii="宋体" w:hAnsi="宋体" w:eastAsia="宋体" w:cs="宋体"/>
          <w:sz w:val="24"/>
          <w:szCs w:val="24"/>
          <w:highlight w:val="none"/>
        </w:rPr>
        <w:t>最高限价：</w:t>
      </w:r>
      <w:r>
        <w:rPr>
          <w:rFonts w:hint="eastAsia" w:ascii="宋体" w:hAnsi="宋体" w:eastAsia="宋体" w:cs="宋体"/>
          <w:sz w:val="24"/>
          <w:szCs w:val="24"/>
          <w:highlight w:val="none"/>
          <w:lang w:val="en-US" w:eastAsia="zh-CN"/>
        </w:rPr>
        <w:t>1199256.00</w:t>
      </w:r>
      <w:r>
        <w:rPr>
          <w:rFonts w:hint="eastAsia" w:ascii="宋体" w:hAnsi="宋体" w:eastAsia="宋体" w:cs="宋体"/>
          <w:sz w:val="24"/>
          <w:szCs w:val="24"/>
          <w:highlight w:val="none"/>
        </w:rPr>
        <w:t>元</w:t>
      </w:r>
    </w:p>
    <w:tbl>
      <w:tblPr>
        <w:tblStyle w:val="15"/>
        <w:tblW w:w="9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2741"/>
        <w:gridCol w:w="2416"/>
        <w:gridCol w:w="1532"/>
        <w:gridCol w:w="2034"/>
      </w:tblGrid>
      <w:tr w14:paraId="1E25F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dxa"/>
            <w:vAlign w:val="center"/>
          </w:tcPr>
          <w:p w14:paraId="10366AF5">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序号</w:t>
            </w:r>
          </w:p>
        </w:tc>
        <w:tc>
          <w:tcPr>
            <w:tcW w:w="2741" w:type="dxa"/>
            <w:vAlign w:val="center"/>
          </w:tcPr>
          <w:p w14:paraId="12B1ED62">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包号</w:t>
            </w:r>
          </w:p>
        </w:tc>
        <w:tc>
          <w:tcPr>
            <w:tcW w:w="2416" w:type="dxa"/>
            <w:vAlign w:val="center"/>
          </w:tcPr>
          <w:p w14:paraId="4EEC7ACE">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包名称</w:t>
            </w:r>
          </w:p>
        </w:tc>
        <w:tc>
          <w:tcPr>
            <w:tcW w:w="1532" w:type="dxa"/>
            <w:vAlign w:val="center"/>
          </w:tcPr>
          <w:p w14:paraId="612FFF22">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包预算（元）</w:t>
            </w:r>
          </w:p>
        </w:tc>
        <w:tc>
          <w:tcPr>
            <w:tcW w:w="2034" w:type="dxa"/>
            <w:vAlign w:val="center"/>
          </w:tcPr>
          <w:p w14:paraId="095BB470">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包最高限价（元）</w:t>
            </w:r>
          </w:p>
        </w:tc>
      </w:tr>
      <w:tr w14:paraId="1786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dxa"/>
            <w:vAlign w:val="center"/>
          </w:tcPr>
          <w:p w14:paraId="312359C1">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1</w:t>
            </w:r>
          </w:p>
        </w:tc>
        <w:tc>
          <w:tcPr>
            <w:tcW w:w="2741" w:type="dxa"/>
            <w:vAlign w:val="center"/>
          </w:tcPr>
          <w:p w14:paraId="3437121D">
            <w:pPr>
              <w:spacing w:line="360" w:lineRule="auto"/>
              <w:rPr>
                <w:rFonts w:hint="default" w:ascii="宋体" w:hAnsi="宋体" w:eastAsia="宋体" w:cs="宋体"/>
                <w:sz w:val="24"/>
                <w:szCs w:val="24"/>
                <w:highlight w:val="none"/>
                <w:lang w:val="en-US"/>
              </w:rPr>
            </w:pPr>
            <w:r>
              <w:rPr>
                <w:rFonts w:hint="eastAsia" w:ascii="宋体" w:hAnsi="宋体" w:eastAsia="宋体" w:cs="宋体"/>
                <w:sz w:val="24"/>
                <w:szCs w:val="24"/>
                <w:highlight w:val="none"/>
                <w:lang w:eastAsia="zh-CN"/>
              </w:rPr>
              <w:t>SZGZ[2026]155-ZC127</w:t>
            </w:r>
            <w:r>
              <w:rPr>
                <w:rFonts w:hint="eastAsia" w:ascii="宋体" w:hAnsi="宋体" w:eastAsia="宋体" w:cs="宋体"/>
                <w:sz w:val="24"/>
                <w:szCs w:val="24"/>
                <w:highlight w:val="none"/>
                <w:lang w:val="en-US" w:eastAsia="zh-CN"/>
              </w:rPr>
              <w:t>-1</w:t>
            </w:r>
          </w:p>
        </w:tc>
        <w:tc>
          <w:tcPr>
            <w:tcW w:w="2416" w:type="dxa"/>
            <w:vAlign w:val="center"/>
          </w:tcPr>
          <w:p w14:paraId="3FBEA393">
            <w:pPr>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陕州区高标准农田建设项目管道维修采购项目</w:t>
            </w:r>
          </w:p>
        </w:tc>
        <w:tc>
          <w:tcPr>
            <w:tcW w:w="1532" w:type="dxa"/>
            <w:vAlign w:val="center"/>
          </w:tcPr>
          <w:p w14:paraId="0F960B5B">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1199256.00</w:t>
            </w:r>
          </w:p>
        </w:tc>
        <w:tc>
          <w:tcPr>
            <w:tcW w:w="2034" w:type="dxa"/>
            <w:vAlign w:val="center"/>
          </w:tcPr>
          <w:p w14:paraId="0A3E6A71">
            <w:pP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1199256.00</w:t>
            </w:r>
          </w:p>
        </w:tc>
      </w:tr>
    </w:tbl>
    <w:p w14:paraId="12E041F0">
      <w:pPr>
        <w:spacing w:line="360" w:lineRule="auto"/>
        <w:ind w:firstLine="566" w:firstLineChars="236"/>
        <w:rPr>
          <w:rFonts w:hint="eastAsia" w:ascii="宋体" w:hAnsi="宋体" w:eastAsia="宋体" w:cs="宋体"/>
          <w:sz w:val="24"/>
          <w:szCs w:val="24"/>
          <w:highlight w:val="none"/>
        </w:rPr>
      </w:pPr>
      <w:r>
        <w:rPr>
          <w:rFonts w:hint="eastAsia" w:ascii="宋体" w:hAnsi="宋体" w:eastAsia="宋体" w:cs="宋体"/>
          <w:sz w:val="24"/>
          <w:szCs w:val="24"/>
          <w:highlight w:val="none"/>
        </w:rPr>
        <w:t>5.采购需求（包括但不限于标的的名称、数量、简要技术需求或服务要等）：</w:t>
      </w:r>
    </w:p>
    <w:p w14:paraId="404E57D9">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5.1采购范围：</w:t>
      </w:r>
      <w:r>
        <w:rPr>
          <w:rFonts w:hint="eastAsia" w:ascii="宋体" w:hAnsi="宋体" w:eastAsia="宋体" w:cs="宋体"/>
          <w:sz w:val="24"/>
          <w:szCs w:val="24"/>
          <w:highlight w:val="none"/>
          <w:lang w:eastAsia="zh-CN"/>
        </w:rPr>
        <w:t>本项目为陕州区高标准农田建设项目管道维修采购项目，采购内容为PE100管、出水口保护装置、玻璃钢阀门井、出水口</w:t>
      </w:r>
      <w:r>
        <w:rPr>
          <w:rFonts w:hint="eastAsia" w:ascii="宋体" w:hAnsi="宋体" w:eastAsia="宋体" w:cs="宋体"/>
          <w:sz w:val="24"/>
          <w:szCs w:val="24"/>
          <w:highlight w:val="none"/>
        </w:rPr>
        <w:t>（详见</w:t>
      </w:r>
      <w:r>
        <w:rPr>
          <w:rFonts w:hint="eastAsia" w:ascii="宋体" w:hAnsi="宋体" w:eastAsia="宋体" w:cs="宋体"/>
          <w:sz w:val="24"/>
          <w:szCs w:val="24"/>
          <w:highlight w:val="none"/>
          <w:lang w:eastAsia="zh-CN"/>
        </w:rPr>
        <w:t>采购清单</w:t>
      </w:r>
      <w:r>
        <w:rPr>
          <w:rFonts w:hint="eastAsia" w:ascii="宋体" w:hAnsi="宋体" w:eastAsia="宋体" w:cs="宋体"/>
          <w:sz w:val="24"/>
          <w:szCs w:val="24"/>
          <w:highlight w:val="none"/>
        </w:rPr>
        <w:t>）。</w:t>
      </w:r>
    </w:p>
    <w:p w14:paraId="188CFA7F">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5.2预算金额：</w:t>
      </w:r>
      <w:r>
        <w:rPr>
          <w:rFonts w:hint="eastAsia" w:ascii="宋体" w:hAnsi="宋体" w:eastAsia="宋体" w:cs="宋体"/>
          <w:sz w:val="24"/>
          <w:szCs w:val="24"/>
          <w:highlight w:val="none"/>
          <w:lang w:val="en-US" w:eastAsia="zh-CN"/>
        </w:rPr>
        <w:t>1199256.00</w:t>
      </w:r>
      <w:r>
        <w:rPr>
          <w:rFonts w:hint="eastAsia" w:ascii="宋体" w:hAnsi="宋体" w:eastAsia="宋体" w:cs="宋体"/>
          <w:sz w:val="24"/>
          <w:szCs w:val="24"/>
          <w:highlight w:val="none"/>
        </w:rPr>
        <w:t>元</w:t>
      </w:r>
    </w:p>
    <w:p w14:paraId="7372ABBB">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5.3资金来源：财政资金，已落实。</w:t>
      </w:r>
    </w:p>
    <w:p w14:paraId="11331DB9">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5.4质量要求：</w:t>
      </w:r>
      <w:r>
        <w:rPr>
          <w:rFonts w:hint="eastAsia" w:ascii="宋体" w:hAnsi="宋体" w:eastAsia="宋体" w:cs="宋体"/>
          <w:bCs/>
          <w:color w:val="000000"/>
          <w:sz w:val="24"/>
          <w:szCs w:val="28"/>
          <w:highlight w:val="none"/>
        </w:rPr>
        <w:t>符合国家及行业相关规定要求且符合采购人需求</w:t>
      </w:r>
      <w:r>
        <w:rPr>
          <w:rFonts w:hint="eastAsia" w:ascii="宋体" w:hAnsi="宋体" w:eastAsia="宋体" w:cs="宋体"/>
          <w:sz w:val="24"/>
          <w:szCs w:val="24"/>
          <w:highlight w:val="none"/>
        </w:rPr>
        <w:t>。</w:t>
      </w:r>
    </w:p>
    <w:p w14:paraId="7107EE30">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5.5</w:t>
      </w:r>
      <w:r>
        <w:rPr>
          <w:rFonts w:hint="eastAsia" w:ascii="宋体" w:hAnsi="宋体" w:eastAsia="宋体" w:cs="宋体"/>
          <w:sz w:val="24"/>
          <w:szCs w:val="24"/>
          <w:highlight w:val="none"/>
          <w:lang w:eastAsia="zh-CN"/>
        </w:rPr>
        <w:t>交货</w:t>
      </w:r>
      <w:r>
        <w:rPr>
          <w:rFonts w:hint="eastAsia" w:ascii="宋体" w:hAnsi="宋体" w:eastAsia="宋体" w:cs="宋体"/>
          <w:sz w:val="24"/>
          <w:szCs w:val="24"/>
          <w:highlight w:val="none"/>
        </w:rPr>
        <w:t>期：</w:t>
      </w:r>
      <w:r>
        <w:rPr>
          <w:rFonts w:hint="eastAsia" w:ascii="宋体" w:hAnsi="宋体" w:eastAsia="宋体" w:cs="宋体"/>
          <w:color w:val="000000" w:themeColor="text1"/>
          <w:sz w:val="24"/>
          <w:szCs w:val="24"/>
          <w:highlight w:val="none"/>
          <w14:textFill>
            <w14:solidFill>
              <w14:schemeClr w14:val="tx1"/>
            </w14:solidFill>
          </w14:textFill>
        </w:rPr>
        <w:t>一年</w:t>
      </w:r>
      <w:r>
        <w:rPr>
          <w:rFonts w:hint="eastAsia" w:ascii="宋体" w:hAnsi="宋体" w:eastAsia="宋体" w:cs="宋体"/>
          <w:sz w:val="24"/>
          <w:szCs w:val="24"/>
          <w:highlight w:val="none"/>
        </w:rPr>
        <w:t>。</w:t>
      </w:r>
    </w:p>
    <w:p w14:paraId="5849992D">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5.6</w:t>
      </w:r>
      <w:r>
        <w:rPr>
          <w:rFonts w:hint="eastAsia" w:ascii="宋体" w:hAnsi="宋体" w:eastAsia="宋体" w:cs="宋体"/>
          <w:color w:val="000000" w:themeColor="text1"/>
          <w:sz w:val="24"/>
          <w:szCs w:val="24"/>
          <w:highlight w:val="none"/>
          <w14:textFill>
            <w14:solidFill>
              <w14:schemeClr w14:val="tx1"/>
            </w14:solidFill>
          </w14:textFill>
        </w:rPr>
        <w:t>质保期：一年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1A86495D">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5.7交货地点：采购人指定地点。</w:t>
      </w:r>
    </w:p>
    <w:p w14:paraId="620429F0">
      <w:pPr>
        <w:spacing w:line="360" w:lineRule="auto"/>
        <w:ind w:firstLine="566" w:firstLineChars="236"/>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sz w:val="24"/>
          <w:szCs w:val="24"/>
          <w:highlight w:val="none"/>
        </w:rPr>
        <w:t>6.合同履行期限：</w:t>
      </w:r>
      <w:r>
        <w:rPr>
          <w:rFonts w:hint="eastAsia" w:ascii="宋体" w:hAnsi="宋体" w:eastAsia="宋体" w:cs="宋体"/>
          <w:color w:val="000000" w:themeColor="text1"/>
          <w:sz w:val="24"/>
          <w:szCs w:val="24"/>
          <w:highlight w:val="none"/>
          <w14:textFill>
            <w14:solidFill>
              <w14:schemeClr w14:val="tx1"/>
            </w14:solidFill>
          </w14:textFill>
        </w:rPr>
        <w:t>一年</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56C5FE73">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7.本项目是否接受联合体投标：否</w:t>
      </w:r>
    </w:p>
    <w:p w14:paraId="04BF69C8">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8.是否接受进口产品：否</w:t>
      </w:r>
    </w:p>
    <w:p w14:paraId="3E49D5A1">
      <w:pPr>
        <w:spacing w:line="360" w:lineRule="auto"/>
        <w:ind w:firstLine="566" w:firstLineChars="236"/>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9.是否专门面向中小企业：</w:t>
      </w:r>
      <w:r>
        <w:rPr>
          <w:rFonts w:hint="eastAsia" w:ascii="宋体" w:hAnsi="宋体" w:eastAsia="宋体" w:cs="宋体"/>
          <w:sz w:val="24"/>
          <w:szCs w:val="24"/>
          <w:highlight w:val="none"/>
          <w:lang w:eastAsia="zh-CN"/>
        </w:rPr>
        <w:t>是</w:t>
      </w:r>
    </w:p>
    <w:p w14:paraId="31954F44">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二、供应商资格要求</w:t>
      </w:r>
    </w:p>
    <w:p w14:paraId="480EAC02">
      <w:pPr>
        <w:spacing w:line="360" w:lineRule="auto"/>
        <w:ind w:firstLine="566" w:firstLineChars="236"/>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1.满足《中华人民共和国政府采购法》第二十二条规定</w:t>
      </w:r>
      <w:r>
        <w:rPr>
          <w:rFonts w:hint="eastAsia" w:ascii="宋体" w:hAnsi="宋体" w:eastAsia="宋体" w:cs="宋体"/>
          <w:sz w:val="24"/>
          <w:szCs w:val="24"/>
          <w:highlight w:val="none"/>
          <w:lang w:eastAsia="zh-CN"/>
        </w:rPr>
        <w:t>；</w:t>
      </w:r>
    </w:p>
    <w:p w14:paraId="69A1B63D">
      <w:pPr>
        <w:spacing w:line="360" w:lineRule="auto"/>
        <w:ind w:firstLine="566" w:firstLineChars="236"/>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落实政府采购政策满足的资格：要求</w:t>
      </w:r>
      <w:r>
        <w:rPr>
          <w:rFonts w:hint="eastAsia" w:ascii="宋体" w:hAnsi="宋体"/>
          <w:sz w:val="24"/>
          <w:highlight w:val="none"/>
          <w:lang w:val="en-US" w:eastAsia="zh-CN"/>
        </w:rPr>
        <w:t>本项目专门面向中小企业采购（监狱企业、残疾人福利性企业视同小微企业）</w:t>
      </w:r>
      <w:r>
        <w:rPr>
          <w:rFonts w:hint="eastAsia" w:ascii="宋体" w:hAnsi="宋体" w:eastAsia="宋体" w:cs="宋体"/>
          <w:sz w:val="24"/>
          <w:szCs w:val="24"/>
          <w:highlight w:val="none"/>
          <w:lang w:eastAsia="zh-CN"/>
        </w:rPr>
        <w:t>；</w:t>
      </w:r>
    </w:p>
    <w:p w14:paraId="20AF3399">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3.本项目的特定资格要求：</w:t>
      </w:r>
    </w:p>
    <w:p w14:paraId="7C5B37F0">
      <w:pPr>
        <w:spacing w:line="360" w:lineRule="auto"/>
        <w:ind w:firstLine="566" w:firstLineChars="236"/>
        <w:rPr>
          <w:rFonts w:hint="eastAsia" w:ascii="宋体" w:hAnsi="宋体" w:eastAsia="宋体" w:cs="宋体"/>
          <w:sz w:val="24"/>
          <w:szCs w:val="24"/>
          <w:highlight w:val="none"/>
        </w:rPr>
      </w:pPr>
      <w:r>
        <w:rPr>
          <w:rFonts w:hint="eastAsia" w:ascii="宋体" w:hAnsi="宋体" w:eastAsia="宋体" w:cs="宋体"/>
          <w:sz w:val="24"/>
          <w:szCs w:val="24"/>
          <w:highlight w:val="none"/>
        </w:rPr>
        <w:t>3.1供应商具有有效的营业执照；</w:t>
      </w:r>
    </w:p>
    <w:p w14:paraId="4BB16D3A">
      <w:pPr>
        <w:spacing w:line="360" w:lineRule="auto"/>
        <w:ind w:firstLine="566" w:firstLineChars="236"/>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3.2</w:t>
      </w:r>
      <w:r>
        <w:rPr>
          <w:rFonts w:hint="eastAsia" w:ascii="宋体" w:hAnsi="宋体" w:eastAsia="宋体" w:cs="宋体"/>
          <w:sz w:val="24"/>
          <w:szCs w:val="24"/>
          <w:highlight w:val="none"/>
          <w:lang w:val="zh-CN"/>
        </w:rPr>
        <w:t>供应商须在人员、</w:t>
      </w:r>
      <w:r>
        <w:rPr>
          <w:rFonts w:hint="eastAsia" w:ascii="宋体" w:hAnsi="宋体" w:eastAsia="宋体" w:cs="宋体"/>
          <w:sz w:val="24"/>
          <w:szCs w:val="24"/>
          <w:highlight w:val="none"/>
          <w:lang w:val="zh-CN" w:eastAsia="zh-CN"/>
        </w:rPr>
        <w:t>设备及</w:t>
      </w:r>
      <w:r>
        <w:rPr>
          <w:rFonts w:hint="eastAsia" w:ascii="宋体" w:hAnsi="宋体" w:eastAsia="宋体" w:cs="宋体"/>
          <w:sz w:val="24"/>
          <w:szCs w:val="24"/>
          <w:highlight w:val="none"/>
          <w:lang w:val="zh-CN"/>
        </w:rPr>
        <w:t>资金等方面具有相应的施工能力</w:t>
      </w:r>
      <w:r>
        <w:rPr>
          <w:rFonts w:hint="eastAsia" w:ascii="宋体" w:hAnsi="宋体" w:eastAsia="宋体" w:cs="宋体"/>
          <w:sz w:val="24"/>
          <w:szCs w:val="24"/>
          <w:highlight w:val="none"/>
          <w:lang w:val="zh-CN" w:eastAsia="zh-CN"/>
        </w:rPr>
        <w:t>，并自行承诺</w:t>
      </w:r>
      <w:r>
        <w:rPr>
          <w:rFonts w:hint="eastAsia" w:ascii="宋体" w:hAnsi="宋体" w:eastAsia="宋体" w:cs="宋体"/>
          <w:sz w:val="24"/>
          <w:szCs w:val="24"/>
          <w:highlight w:val="none"/>
        </w:rPr>
        <w:t>；</w:t>
      </w:r>
    </w:p>
    <w:p w14:paraId="527DFDB4">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供应商出具无行贿犯罪记录，在中国裁判文书网自行查询或自行承诺（查询对象：企业、法定代表人）；</w:t>
      </w:r>
    </w:p>
    <w:p w14:paraId="467AC49F">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供应商需提供无商业贿赂及无不正当竞争行为的承诺书；</w:t>
      </w:r>
    </w:p>
    <w:p w14:paraId="6ED5E69E">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w:t>
      </w:r>
      <w:bookmarkStart w:id="4" w:name="_Hlk139301777"/>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截图需显示查询时间，查询时间：自公告发布之日起至投标截止时间前）；</w:t>
      </w:r>
      <w:bookmarkEnd w:id="4"/>
    </w:p>
    <w:p w14:paraId="1EFD39F4">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单位负责人为同一人或者存在直接控股、管理关系的不同投标人，不得参加同一合同项下的采购活动；（提供“国家企业信用信息公示系统”中查询打印的相关信息（查询信息需包含公司基本信息、股东信息及股权变更信息等相关信息，查询日期为本项目公告发布之后至开标截止时间止））；</w:t>
      </w:r>
    </w:p>
    <w:p w14:paraId="73A51789">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本项目不接受联合体投标，提供非联合体投标承诺，格式自拟。</w:t>
      </w:r>
    </w:p>
    <w:p w14:paraId="1F84D111">
      <w:pPr>
        <w:widowControl/>
        <w:spacing w:line="360" w:lineRule="auto"/>
        <w:ind w:firstLine="482" w:firstLineChars="200"/>
        <w:jc w:val="left"/>
        <w:rPr>
          <w:rFonts w:ascii="宋体" w:hAnsi="宋体" w:eastAsia="宋体" w:cs="宋体"/>
          <w:b/>
          <w:kern w:val="0"/>
          <w:sz w:val="24"/>
          <w:highlight w:val="none"/>
          <w:lang w:bidi="ar"/>
        </w:rPr>
      </w:pPr>
      <w:r>
        <w:rPr>
          <w:rFonts w:hint="eastAsia" w:ascii="宋体" w:hAnsi="宋体" w:eastAsia="宋体" w:cs="宋体"/>
          <w:b/>
          <w:kern w:val="0"/>
          <w:sz w:val="24"/>
          <w:highlight w:val="none"/>
          <w:lang w:bidi="ar"/>
        </w:rPr>
        <w:t>注：本次磋商实行资格后审，资格评审以投标文件为准，其上传资料真实性由供应商自行承担，同时供应商要完善主体库。</w:t>
      </w:r>
    </w:p>
    <w:p w14:paraId="45553B0A">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三、获取竞争性磋商文件</w:t>
      </w:r>
    </w:p>
    <w:p w14:paraId="71C6BB82">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1.时间：</w:t>
      </w:r>
      <w:r>
        <w:rPr>
          <w:rFonts w:ascii="宋体" w:hAnsi="宋体" w:eastAsia="宋体" w:cs="宋体"/>
          <w:color w:val="000000" w:themeColor="text1"/>
          <w:sz w:val="24"/>
          <w:szCs w:val="24"/>
          <w:highlight w:val="none"/>
          <w14:textFill>
            <w14:solidFill>
              <w14:schemeClr w14:val="tx1"/>
            </w14:solidFill>
          </w14:textFill>
        </w:rPr>
        <w:t>2026年</w:t>
      </w:r>
      <w:r>
        <w:rPr>
          <w:rFonts w:hint="eastAsia" w:ascii="宋体" w:hAnsi="宋体" w:eastAsia="宋体" w:cs="宋体"/>
          <w:color w:val="000000" w:themeColor="text1"/>
          <w:sz w:val="24"/>
          <w:szCs w:val="24"/>
          <w:highlight w:val="none"/>
          <w:lang w:val="en-US" w:eastAsia="zh-CN"/>
          <w14:textFill>
            <w14:solidFill>
              <w14:schemeClr w14:val="tx1"/>
            </w14:solidFill>
          </w14:textFill>
        </w:rPr>
        <w:t>09</w:t>
      </w:r>
      <w:r>
        <w:rPr>
          <w:rFonts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lang w:val="en-US" w:eastAsia="zh-CN"/>
          <w14:textFill>
            <w14:solidFill>
              <w14:schemeClr w14:val="tx1"/>
            </w14:solidFill>
          </w14:textFill>
        </w:rPr>
        <w:t>23</w:t>
      </w:r>
      <w:r>
        <w:rPr>
          <w:rFonts w:ascii="宋体" w:hAnsi="宋体" w:eastAsia="宋体" w:cs="宋体"/>
          <w:color w:val="000000" w:themeColor="text1"/>
          <w:sz w:val="24"/>
          <w:szCs w:val="24"/>
          <w:highlight w:val="none"/>
          <w14:textFill>
            <w14:solidFill>
              <w14:schemeClr w14:val="tx1"/>
            </w14:solidFill>
          </w14:textFill>
        </w:rPr>
        <w:t>日至2026年</w:t>
      </w: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r>
        <w:rPr>
          <w:rFonts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r>
        <w:rPr>
          <w:rFonts w:ascii="宋体" w:hAnsi="宋体" w:eastAsia="宋体" w:cs="宋体"/>
          <w:color w:val="000000" w:themeColor="text1"/>
          <w:sz w:val="24"/>
          <w:szCs w:val="24"/>
          <w:highlight w:val="none"/>
          <w14:textFill>
            <w14:solidFill>
              <w14:schemeClr w14:val="tx1"/>
            </w14:solidFill>
          </w14:textFill>
        </w:rPr>
        <w:t>日，每天上午00:00至12:00，下午12:00至23:59</w:t>
      </w:r>
      <w:r>
        <w:rPr>
          <w:rFonts w:hint="eastAsia" w:ascii="宋体" w:hAnsi="宋体" w:eastAsia="宋体" w:cs="宋体"/>
          <w:sz w:val="24"/>
          <w:szCs w:val="24"/>
          <w:highlight w:val="none"/>
        </w:rPr>
        <w:t>（北京时间，法定节假日除外。）</w:t>
      </w:r>
    </w:p>
    <w:p w14:paraId="70145200">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2.地点：三门峡市公共资源交易中心网</w:t>
      </w:r>
    </w:p>
    <w:p w14:paraId="569AB9DE">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方式：供应商凭CA数字证书通过三门峡市公共资源交易中心网（网址：http://gzjy.smx.gov.cn/），点击交易平台选择“市场主体登录”，登陆系统后，点击采购业务-业务管理-招标文件领取菜单-点击领取按钮-领取.smxzf格式的电子招标文件。</w:t>
      </w:r>
    </w:p>
    <w:p w14:paraId="08D95AD6">
      <w:pPr>
        <w:spacing w:line="360" w:lineRule="auto"/>
        <w:ind w:left="563" w:leftChars="268"/>
        <w:jc w:val="left"/>
        <w:rPr>
          <w:rFonts w:ascii="宋体" w:hAnsi="宋体" w:eastAsia="宋体" w:cs="宋体"/>
          <w:highlight w:val="none"/>
        </w:rPr>
      </w:pPr>
      <w:r>
        <w:rPr>
          <w:rFonts w:hint="eastAsia" w:ascii="宋体" w:hAnsi="宋体" w:eastAsia="宋体" w:cs="宋体"/>
          <w:sz w:val="24"/>
          <w:szCs w:val="24"/>
          <w:highlight w:val="none"/>
        </w:rPr>
        <w:t>办理CA证书：http://gzjy.smx.gov.cn/bzzx/008001/20231102/4defc9b5-408e-47f2-9e9f-1f376a06ee1f.html</w:t>
      </w:r>
    </w:p>
    <w:p w14:paraId="157E6769">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4.售价：0元</w:t>
      </w:r>
    </w:p>
    <w:p w14:paraId="2D51EC4E">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四、投标截止时间(投标文件递交截止时间)及地点</w:t>
      </w:r>
    </w:p>
    <w:p w14:paraId="3AE338EA">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1.时间：</w:t>
      </w:r>
      <w:r>
        <w:rPr>
          <w:rFonts w:hint="eastAsia" w:ascii="宋体" w:hAnsi="宋体" w:eastAsia="宋体" w:cs="宋体"/>
          <w:color w:val="000000" w:themeColor="text1"/>
          <w:sz w:val="24"/>
          <w:szCs w:val="24"/>
          <w:highlight w:val="none"/>
          <w:lang w:eastAsia="zh-CN"/>
          <w14:textFill>
            <w14:solidFill>
              <w14:schemeClr w14:val="tx1"/>
            </w14:solidFill>
          </w14:textFill>
        </w:rPr>
        <w:t>2026年10月08日08时20分</w:t>
      </w:r>
      <w:r>
        <w:rPr>
          <w:rFonts w:ascii="宋体" w:hAnsi="宋体" w:eastAsia="宋体" w:cs="宋体"/>
          <w:color w:val="000000" w:themeColor="text1"/>
          <w:sz w:val="24"/>
          <w:szCs w:val="24"/>
          <w:highlight w:val="none"/>
          <w14:textFill>
            <w14:solidFill>
              <w14:schemeClr w14:val="tx1"/>
            </w14:solidFill>
          </w14:textFill>
        </w:rPr>
        <w:t>。</w:t>
      </w:r>
    </w:p>
    <w:p w14:paraId="3A0B34E9">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2.地点：加密电子投标文件须在投标截止时间前通过三门峡市公共资源交易中心电子交易平台加密上传。</w:t>
      </w:r>
    </w:p>
    <w:p w14:paraId="5AF9A88F">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五、开标时间及地点</w:t>
      </w:r>
      <w:r>
        <w:rPr>
          <w:rFonts w:hint="eastAsia" w:ascii="宋体" w:hAnsi="宋体" w:eastAsia="宋体" w:cs="宋体"/>
          <w:sz w:val="24"/>
          <w:szCs w:val="24"/>
          <w:highlight w:val="none"/>
        </w:rPr>
        <w:tab/>
      </w:r>
    </w:p>
    <w:p w14:paraId="36C44E97">
      <w:pPr>
        <w:spacing w:line="360" w:lineRule="auto"/>
        <w:ind w:firstLine="566" w:firstLineChars="236"/>
        <w:rPr>
          <w:rFonts w:ascii="宋体" w:hAnsi="宋体" w:eastAsia="宋体" w:cs="宋体"/>
          <w:color w:val="0070C0"/>
          <w:sz w:val="24"/>
          <w:szCs w:val="24"/>
          <w:highlight w:val="none"/>
        </w:rPr>
      </w:pPr>
      <w:r>
        <w:rPr>
          <w:rFonts w:hint="eastAsia" w:ascii="宋体" w:hAnsi="宋体" w:eastAsia="宋体" w:cs="宋体"/>
          <w:sz w:val="24"/>
          <w:szCs w:val="24"/>
          <w:highlight w:val="none"/>
        </w:rPr>
        <w:t>1.时间：</w:t>
      </w:r>
      <w:r>
        <w:rPr>
          <w:rFonts w:hint="eastAsia" w:ascii="宋体" w:hAnsi="宋体" w:eastAsia="宋体" w:cs="宋体"/>
          <w:color w:val="000000" w:themeColor="text1"/>
          <w:sz w:val="24"/>
          <w:szCs w:val="24"/>
          <w:highlight w:val="none"/>
          <w:lang w:eastAsia="zh-CN"/>
          <w14:textFill>
            <w14:solidFill>
              <w14:schemeClr w14:val="tx1"/>
            </w14:solidFill>
          </w14:textFill>
        </w:rPr>
        <w:t>2026年10月08日08时20分</w:t>
      </w:r>
      <w:r>
        <w:rPr>
          <w:rFonts w:ascii="宋体" w:hAnsi="宋体" w:eastAsia="宋体" w:cs="宋体"/>
          <w:color w:val="000000" w:themeColor="text1"/>
          <w:sz w:val="24"/>
          <w:szCs w:val="24"/>
          <w:highlight w:val="none"/>
          <w14:textFill>
            <w14:solidFill>
              <w14:schemeClr w14:val="tx1"/>
            </w14:solidFill>
          </w14:textFill>
        </w:rPr>
        <w:t>。</w:t>
      </w:r>
    </w:p>
    <w:p w14:paraId="2407CC20">
      <w:pPr>
        <w:spacing w:line="360" w:lineRule="auto"/>
        <w:ind w:firstLine="566" w:firstLineChars="236"/>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2.地点：</w:t>
      </w:r>
      <w:r>
        <w:rPr>
          <w:rFonts w:hint="eastAsia" w:ascii="宋体" w:hAnsi="宋体" w:eastAsia="宋体" w:cs="宋体"/>
          <w:sz w:val="24"/>
          <w:szCs w:val="24"/>
          <w:highlight w:val="none"/>
          <w:lang w:eastAsia="zh-CN"/>
        </w:rPr>
        <w:t>三门峡市</w:t>
      </w:r>
      <w:r>
        <w:rPr>
          <w:rFonts w:hint="eastAsia" w:ascii="宋体" w:hAnsi="宋体" w:eastAsia="宋体" w:cs="宋体"/>
          <w:sz w:val="24"/>
          <w:szCs w:val="24"/>
          <w:highlight w:val="none"/>
          <w:lang w:val="en-US" w:eastAsia="zh-CN"/>
        </w:rPr>
        <w:t>陕州区</w:t>
      </w:r>
      <w:r>
        <w:rPr>
          <w:rFonts w:hint="eastAsia" w:ascii="宋体" w:hAnsi="宋体" w:eastAsia="宋体" w:cs="宋体"/>
          <w:sz w:val="24"/>
          <w:szCs w:val="24"/>
          <w:highlight w:val="none"/>
          <w:lang w:eastAsia="zh-CN"/>
        </w:rPr>
        <w:t>公共资源交易中心开标室。</w:t>
      </w:r>
    </w:p>
    <w:p w14:paraId="5A2EB639">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六、发布公告的媒介及公告期限</w:t>
      </w:r>
    </w:p>
    <w:p w14:paraId="4D11974D">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本次公告在《</w:t>
      </w:r>
      <w:r>
        <w:rPr>
          <w:rFonts w:hint="eastAsia" w:ascii="宋体" w:hAnsi="宋体" w:eastAsia="宋体" w:cs="Calibri"/>
          <w:kern w:val="0"/>
          <w:sz w:val="24"/>
          <w:highlight w:val="none"/>
        </w:rPr>
        <w:t>中国采购与招标网</w:t>
      </w:r>
      <w:r>
        <w:rPr>
          <w:rFonts w:hint="eastAsia" w:ascii="宋体" w:hAnsi="宋体" w:eastAsia="宋体" w:cs="宋体"/>
          <w:sz w:val="24"/>
          <w:szCs w:val="24"/>
          <w:highlight w:val="none"/>
        </w:rPr>
        <w:t>》、《河南省政府采购网》、《三门峡市公共资源交易中心》上发布，公告期限为三个工作日。</w:t>
      </w:r>
    </w:p>
    <w:p w14:paraId="36E642B5">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七、其他补充事宜</w:t>
      </w:r>
    </w:p>
    <w:p w14:paraId="3A99FC83">
      <w:pPr>
        <w:spacing w:line="360" w:lineRule="auto"/>
        <w:ind w:firstLine="484" w:firstLineChars="202"/>
        <w:rPr>
          <w:rFonts w:ascii="宋体" w:hAnsi="宋体" w:eastAsia="宋体" w:cs="宋体"/>
          <w:sz w:val="24"/>
          <w:szCs w:val="24"/>
          <w:highlight w:val="none"/>
        </w:rPr>
      </w:pPr>
      <w:r>
        <w:rPr>
          <w:rFonts w:hint="eastAsia" w:ascii="宋体" w:hAnsi="宋体" w:eastAsia="宋体" w:cs="宋体"/>
          <w:sz w:val="24"/>
          <w:szCs w:val="24"/>
          <w:highlight w:val="none"/>
        </w:rPr>
        <w:t>1.本项目为不见面开标项目，开标当日，供应商无需到开标现场参加开标会议，供应商应当在投标截止时间前，登陆不见面开标大厅选择登陆三门峡市公共资源电子招投标系统进行登陆（网址为</w:t>
      </w:r>
      <w:r>
        <w:rPr>
          <w:rFonts w:ascii="宋体" w:hAnsi="宋体" w:eastAsia="宋体" w:cs="宋体"/>
          <w:sz w:val="24"/>
          <w:szCs w:val="24"/>
          <w:highlight w:val="none"/>
        </w:rPr>
        <w:t>http://120.194.249.36:10094/BidOpening/bidopeninghallaction/hall/login</w:t>
      </w:r>
      <w:r>
        <w:rPr>
          <w:rFonts w:hint="eastAsia" w:ascii="宋体" w:hAnsi="宋体" w:eastAsia="宋体" w:cs="宋体"/>
          <w:sz w:val="24"/>
          <w:szCs w:val="24"/>
          <w:highlight w:val="none"/>
        </w:rPr>
        <w:t>）,在线准时参加开标活动并进行投标文件解密等。每位供应商的解密时间为开标时间起30分钟内完成。因供应商原因未能解密、解密失败或解密超时的将被拒绝。</w:t>
      </w:r>
    </w:p>
    <w:p w14:paraId="4078F080">
      <w:pPr>
        <w:spacing w:line="360" w:lineRule="auto"/>
        <w:ind w:firstLine="484" w:firstLineChars="202"/>
        <w:rPr>
          <w:rFonts w:ascii="宋体" w:hAnsi="宋体" w:eastAsia="宋体" w:cs="宋体"/>
          <w:sz w:val="24"/>
          <w:szCs w:val="24"/>
          <w:highlight w:val="none"/>
        </w:rPr>
      </w:pPr>
      <w:r>
        <w:rPr>
          <w:rFonts w:hint="eastAsia" w:ascii="宋体" w:hAnsi="宋体" w:eastAsia="宋体" w:cs="宋体"/>
          <w:sz w:val="24"/>
          <w:szCs w:val="24"/>
          <w:highlight w:val="none"/>
        </w:rPr>
        <w:t>2.本项目为电子化、无纸化交易项目，开标时不再</w:t>
      </w:r>
      <w:r>
        <w:rPr>
          <w:rFonts w:hint="eastAsia" w:ascii="宋体" w:hAnsi="宋体" w:eastAsia="宋体" w:cs="宋体"/>
          <w:sz w:val="24"/>
          <w:szCs w:val="24"/>
          <w:highlight w:val="none"/>
          <w:lang w:eastAsia="zh-CN"/>
        </w:rPr>
        <w:t>接收</w:t>
      </w:r>
      <w:r>
        <w:rPr>
          <w:rFonts w:hint="eastAsia" w:ascii="宋体" w:hAnsi="宋体" w:eastAsia="宋体" w:cs="宋体"/>
          <w:sz w:val="24"/>
          <w:szCs w:val="24"/>
          <w:highlight w:val="none"/>
        </w:rPr>
        <w:t>任何纸质资料，为保证您能投标成功，请需仔细阅读招标文件和三门峡市公共资源交易中心官网业务办理指南。</w:t>
      </w:r>
    </w:p>
    <w:p w14:paraId="7AAF4034">
      <w:pPr>
        <w:spacing w:line="360" w:lineRule="auto"/>
        <w:ind w:firstLine="484" w:firstLineChars="202"/>
        <w:rPr>
          <w:rFonts w:ascii="宋体" w:hAnsi="宋体" w:eastAsia="宋体" w:cs="宋体"/>
          <w:sz w:val="24"/>
          <w:szCs w:val="24"/>
          <w:highlight w:val="none"/>
        </w:rPr>
      </w:pPr>
      <w:r>
        <w:rPr>
          <w:rFonts w:hint="eastAsia" w:ascii="宋体" w:hAnsi="宋体" w:eastAsia="宋体" w:cs="宋体"/>
          <w:sz w:val="24"/>
          <w:szCs w:val="24"/>
          <w:highlight w:val="none"/>
        </w:rPr>
        <w:t>3.根据《河南省财政厅关于优化政府采购营商环境有关问题的通知》（豫财购【2019】4号）第6条的规定，投标保证金不再收取。</w:t>
      </w:r>
    </w:p>
    <w:p w14:paraId="303F05B3">
      <w:pPr>
        <w:spacing w:line="360" w:lineRule="auto"/>
        <w:ind w:firstLine="484" w:firstLineChars="202"/>
        <w:rPr>
          <w:rFonts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Calibri" w:hAnsi="Calibri" w:eastAsia="宋体" w:cs="Times New Roman"/>
          <w:sz w:val="24"/>
          <w:szCs w:val="24"/>
          <w:highlight w:val="none"/>
        </w:rPr>
        <w:t xml:space="preserve"> </w:t>
      </w:r>
      <w:r>
        <w:rPr>
          <w:rFonts w:hint="eastAsia" w:ascii="宋体" w:hAnsi="宋体" w:eastAsia="宋体" w:cs="宋体"/>
          <w:sz w:val="24"/>
          <w:szCs w:val="24"/>
          <w:highlight w:val="none"/>
        </w:rPr>
        <w:t>资格评（预）审部分：资格评（预）以投标文件为准，其上传资料真实性由供应商自行承担。同时，供应商应在开标前自行完善主体库信息。</w:t>
      </w:r>
    </w:p>
    <w:p w14:paraId="7CCA72C6">
      <w:pPr>
        <w:spacing w:line="360" w:lineRule="auto"/>
        <w:ind w:firstLine="484" w:firstLineChars="202"/>
        <w:rPr>
          <w:rFonts w:ascii="宋体" w:hAnsi="宋体" w:eastAsia="宋体" w:cs="宋体"/>
          <w:sz w:val="24"/>
          <w:szCs w:val="24"/>
          <w:highlight w:val="none"/>
        </w:rPr>
      </w:pPr>
      <w:r>
        <w:rPr>
          <w:rFonts w:hint="eastAsia" w:ascii="宋体" w:hAnsi="宋体" w:eastAsia="宋体" w:cs="宋体"/>
          <w:sz w:val="24"/>
          <w:szCs w:val="24"/>
          <w:highlight w:val="none"/>
        </w:rPr>
        <w:t>5.评标打分部分：评标打分部分仍按照100分制原则进行，</w:t>
      </w:r>
      <w:r>
        <w:rPr>
          <w:rFonts w:hint="eastAsia" w:ascii="宋体" w:hAnsi="宋体" w:eastAsia="宋体" w:cs="宋体"/>
          <w:sz w:val="24"/>
          <w:szCs w:val="24"/>
          <w:highlight w:val="none"/>
          <w:lang w:eastAsia="zh-CN"/>
        </w:rPr>
        <w:t>涉及</w:t>
      </w:r>
      <w:r>
        <w:rPr>
          <w:rFonts w:hint="eastAsia" w:ascii="宋体" w:hAnsi="宋体" w:eastAsia="宋体" w:cs="宋体"/>
          <w:sz w:val="24"/>
          <w:szCs w:val="24"/>
          <w:highlight w:val="none"/>
        </w:rPr>
        <w:t>资格审查、企业荣誉、企业业绩等计分部分时，以投标单位自行上传到投标文件中的相应内容为准。</w:t>
      </w:r>
    </w:p>
    <w:p w14:paraId="7DA21275">
      <w:pPr>
        <w:spacing w:line="360" w:lineRule="auto"/>
        <w:ind w:firstLine="484" w:firstLineChars="202"/>
        <w:rPr>
          <w:rFonts w:ascii="宋体" w:hAnsi="宋体" w:eastAsia="宋体" w:cs="宋体"/>
          <w:sz w:val="24"/>
          <w:szCs w:val="24"/>
          <w:highlight w:val="none"/>
        </w:rPr>
      </w:pPr>
      <w:r>
        <w:rPr>
          <w:rFonts w:hint="eastAsia" w:ascii="宋体" w:hAnsi="宋体" w:eastAsia="宋体" w:cs="宋体"/>
          <w:sz w:val="24"/>
          <w:szCs w:val="24"/>
          <w:highlight w:val="none"/>
        </w:rPr>
        <w:t>6.在招标文件中要求供应商按照投标文件格式进行投标文件编制，在投标文件编制时，应明确将供应商企业基本情况、人员情况、财务情况、业绩情况编入投标文件，便于进行资格审查及评标打分。</w:t>
      </w:r>
    </w:p>
    <w:p w14:paraId="4DAB0E82">
      <w:pPr>
        <w:spacing w:line="360" w:lineRule="auto"/>
        <w:ind w:firstLine="484" w:firstLineChars="202"/>
        <w:rPr>
          <w:rFonts w:ascii="宋体" w:hAnsi="宋体" w:eastAsia="宋体" w:cs="宋体"/>
          <w:sz w:val="24"/>
          <w:szCs w:val="24"/>
          <w:highlight w:val="none"/>
        </w:rPr>
      </w:pPr>
      <w:r>
        <w:rPr>
          <w:rFonts w:hint="eastAsia" w:ascii="宋体" w:hAnsi="宋体" w:eastAsia="宋体" w:cs="宋体"/>
          <w:sz w:val="24"/>
          <w:szCs w:val="24"/>
          <w:highlight w:val="none"/>
        </w:rPr>
        <w:t>7.我单位（采购人）严格按三财购【2021】9号文要求的时限发布中标结果公告，发出中标通知书，签订采购合同，上传采购合同。</w:t>
      </w:r>
    </w:p>
    <w:p w14:paraId="365882BE">
      <w:pPr>
        <w:spacing w:line="360" w:lineRule="auto"/>
        <w:ind w:firstLine="484" w:firstLineChars="202"/>
        <w:rPr>
          <w:rFonts w:ascii="宋体" w:hAnsi="宋体" w:eastAsia="宋体" w:cs="宋体"/>
          <w:sz w:val="24"/>
          <w:szCs w:val="24"/>
          <w:highlight w:val="none"/>
        </w:rPr>
      </w:pPr>
      <w:r>
        <w:rPr>
          <w:rFonts w:hint="eastAsia" w:ascii="宋体" w:hAnsi="宋体" w:eastAsia="宋体" w:cs="宋体"/>
          <w:sz w:val="24"/>
          <w:szCs w:val="24"/>
          <w:highlight w:val="none"/>
        </w:rPr>
        <w:t>八、凡对本次招标提出询问，请按照以下方式联系</w:t>
      </w:r>
    </w:p>
    <w:p w14:paraId="7C9C93FA">
      <w:pPr>
        <w:spacing w:line="360" w:lineRule="auto"/>
        <w:ind w:firstLine="484" w:firstLineChars="202"/>
        <w:rPr>
          <w:rFonts w:hint="eastAsia" w:ascii="宋体" w:hAnsi="宋体" w:eastAsia="宋体" w:cs="宋体"/>
          <w:sz w:val="24"/>
          <w:szCs w:val="24"/>
          <w:highlight w:val="none"/>
        </w:rPr>
      </w:pPr>
      <w:bookmarkStart w:id="5" w:name="_Toc8198"/>
      <w:bookmarkStart w:id="6" w:name="_Toc27640"/>
      <w:r>
        <w:rPr>
          <w:rFonts w:hint="eastAsia" w:ascii="宋体" w:hAnsi="宋体" w:eastAsia="宋体" w:cs="宋体"/>
          <w:sz w:val="24"/>
          <w:szCs w:val="24"/>
          <w:highlight w:val="none"/>
        </w:rPr>
        <w:t>1、采购人</w:t>
      </w:r>
      <w:bookmarkEnd w:id="5"/>
      <w:bookmarkEnd w:id="6"/>
      <w:r>
        <w:rPr>
          <w:rFonts w:hint="eastAsia" w:ascii="宋体" w:hAnsi="宋体" w:eastAsia="宋体" w:cs="宋体"/>
          <w:sz w:val="24"/>
          <w:szCs w:val="24"/>
          <w:highlight w:val="none"/>
          <w:lang w:eastAsia="zh-CN"/>
        </w:rPr>
        <w:t>：三门峡市陕州区农业农村局</w:t>
      </w:r>
    </w:p>
    <w:p w14:paraId="60AE235D">
      <w:pPr>
        <w:spacing w:line="360" w:lineRule="auto"/>
        <w:ind w:firstLine="484" w:firstLineChars="202"/>
        <w:rPr>
          <w:rFonts w:hint="eastAsia" w:ascii="宋体" w:hAnsi="宋体" w:eastAsia="宋体" w:cs="宋体"/>
          <w:sz w:val="24"/>
          <w:szCs w:val="24"/>
          <w:highlight w:val="none"/>
          <w:lang w:eastAsia="zh-CN"/>
        </w:rPr>
      </w:pPr>
      <w:bookmarkStart w:id="7" w:name="_Toc6612"/>
      <w:r>
        <w:rPr>
          <w:rFonts w:hint="eastAsia" w:ascii="宋体" w:hAnsi="宋体" w:eastAsia="宋体" w:cs="宋体"/>
          <w:sz w:val="24"/>
          <w:szCs w:val="24"/>
          <w:highlight w:val="none"/>
        </w:rPr>
        <w:t>地址：</w:t>
      </w:r>
      <w:r>
        <w:rPr>
          <w:rFonts w:hint="eastAsia" w:ascii="宋体" w:hAnsi="宋体" w:eastAsia="宋体" w:cs="宋体"/>
          <w:sz w:val="24"/>
          <w:szCs w:val="24"/>
          <w:highlight w:val="none"/>
          <w:lang w:eastAsia="zh-CN"/>
        </w:rPr>
        <w:t>三门峡市陕州区神泉路中段‌</w:t>
      </w:r>
    </w:p>
    <w:p w14:paraId="16C29B16">
      <w:pPr>
        <w:spacing w:line="360" w:lineRule="auto"/>
        <w:ind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eastAsia="zh-CN"/>
        </w:rPr>
        <w:t>张先生</w:t>
      </w:r>
      <w:r>
        <w:rPr>
          <w:rFonts w:hint="eastAsia" w:ascii="宋体" w:hAnsi="宋体" w:eastAsia="宋体" w:cs="宋体"/>
          <w:sz w:val="24"/>
          <w:szCs w:val="24"/>
          <w:highlight w:val="none"/>
        </w:rPr>
        <w:t xml:space="preserve">  </w:t>
      </w:r>
    </w:p>
    <w:p w14:paraId="42C4470D">
      <w:pPr>
        <w:spacing w:line="360" w:lineRule="auto"/>
        <w:ind w:firstLine="484" w:firstLineChars="202"/>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联系方式：</w:t>
      </w:r>
      <w:r>
        <w:rPr>
          <w:rFonts w:hint="eastAsia" w:ascii="宋体" w:hAnsi="宋体" w:eastAsia="宋体" w:cs="宋体"/>
          <w:sz w:val="24"/>
          <w:szCs w:val="24"/>
          <w:highlight w:val="none"/>
          <w:lang w:val="en-US" w:eastAsia="zh-CN"/>
        </w:rPr>
        <w:t>0398-3837907</w:t>
      </w:r>
    </w:p>
    <w:p w14:paraId="4EDAB7C2">
      <w:pPr>
        <w:spacing w:line="360" w:lineRule="auto"/>
        <w:ind w:firstLine="484" w:firstLineChars="202"/>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2、</w:t>
      </w:r>
      <w:bookmarkEnd w:id="7"/>
      <w:r>
        <w:rPr>
          <w:rFonts w:hint="eastAsia" w:ascii="宋体" w:hAnsi="宋体" w:eastAsia="宋体" w:cs="宋体"/>
          <w:sz w:val="24"/>
          <w:szCs w:val="24"/>
          <w:highlight w:val="none"/>
        </w:rPr>
        <w:t>采购代理机构：</w:t>
      </w:r>
      <w:r>
        <w:rPr>
          <w:rFonts w:hint="eastAsia" w:ascii="宋体" w:hAnsi="宋体" w:eastAsia="宋体" w:cs="宋体"/>
          <w:sz w:val="24"/>
          <w:szCs w:val="24"/>
          <w:highlight w:val="none"/>
          <w:lang w:val="en-US" w:eastAsia="zh-CN"/>
        </w:rPr>
        <w:t>国咨项目管理有限公司</w:t>
      </w:r>
    </w:p>
    <w:p w14:paraId="5BB663FC">
      <w:pPr>
        <w:spacing w:line="360" w:lineRule="auto"/>
        <w:ind w:firstLine="484" w:firstLineChars="202"/>
        <w:rPr>
          <w:rFonts w:hint="eastAsia" w:ascii="宋体" w:hAnsi="宋体" w:cs="宋体"/>
          <w:bCs/>
          <w:sz w:val="24"/>
          <w:szCs w:val="24"/>
          <w:highlight w:val="none"/>
          <w:lang w:eastAsia="zh-CN"/>
        </w:rPr>
      </w:pPr>
      <w:r>
        <w:rPr>
          <w:rFonts w:hint="eastAsia" w:ascii="宋体" w:hAnsi="宋体" w:eastAsia="宋体" w:cs="宋体"/>
          <w:sz w:val="24"/>
          <w:szCs w:val="24"/>
          <w:highlight w:val="none"/>
        </w:rPr>
        <w:t>地址：</w:t>
      </w:r>
      <w:r>
        <w:rPr>
          <w:rFonts w:hint="eastAsia" w:ascii="宋体" w:hAnsi="宋体" w:cs="宋体"/>
          <w:bCs/>
          <w:sz w:val="24"/>
          <w:szCs w:val="24"/>
          <w:highlight w:val="none"/>
          <w:lang w:eastAsia="zh-CN"/>
        </w:rPr>
        <w:t>河南省郑州市管城回族区正商花都港湾16#3单元2楼西户</w:t>
      </w:r>
    </w:p>
    <w:p w14:paraId="07B58006">
      <w:pPr>
        <w:spacing w:line="360" w:lineRule="auto"/>
        <w:ind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联系人：</w:t>
      </w:r>
      <w:r>
        <w:rPr>
          <w:rFonts w:hint="eastAsia" w:ascii="宋体" w:hAnsi="宋体" w:eastAsia="宋体" w:cs="宋体"/>
          <w:sz w:val="24"/>
          <w:szCs w:val="24"/>
          <w:highlight w:val="none"/>
          <w:lang w:eastAsia="zh-CN"/>
        </w:rPr>
        <w:t>许</w:t>
      </w:r>
      <w:r>
        <w:rPr>
          <w:rFonts w:hint="eastAsia" w:ascii="宋体" w:hAnsi="宋体" w:eastAsia="宋体" w:cs="宋体"/>
          <w:sz w:val="24"/>
          <w:szCs w:val="24"/>
          <w:highlight w:val="none"/>
        </w:rPr>
        <w:t>女士</w:t>
      </w:r>
    </w:p>
    <w:p w14:paraId="7438656C">
      <w:pPr>
        <w:keepNext w:val="0"/>
        <w:keepLines w:val="0"/>
        <w:pageBreakBefore w:val="0"/>
        <w:widowControl/>
        <w:kinsoku/>
        <w:wordWrap/>
        <w:overflowPunct/>
        <w:topLinePunct w:val="0"/>
        <w:autoSpaceDE/>
        <w:autoSpaceDN/>
        <w:bidi w:val="0"/>
        <w:adjustRightInd/>
        <w:snapToGrid/>
        <w:spacing w:line="460" w:lineRule="exact"/>
        <w:ind w:right="-58" w:firstLine="480" w:firstLineChars="200"/>
        <w:jc w:val="left"/>
        <w:textAlignment w:val="auto"/>
        <w:rPr>
          <w:rFonts w:hint="eastAsia" w:ascii="宋体" w:hAnsi="宋体" w:eastAsia="宋体" w:cs="宋体"/>
          <w:bCs/>
          <w:sz w:val="24"/>
          <w:szCs w:val="24"/>
          <w:highlight w:val="none"/>
          <w:lang w:val="en-US" w:eastAsia="zh-CN"/>
        </w:rPr>
      </w:pPr>
      <w:r>
        <w:rPr>
          <w:rFonts w:hint="eastAsia" w:ascii="宋体" w:hAnsi="宋体" w:eastAsia="宋体" w:cs="宋体"/>
          <w:sz w:val="24"/>
          <w:szCs w:val="24"/>
          <w:highlight w:val="none"/>
        </w:rPr>
        <w:t>联系电话：</w:t>
      </w:r>
      <w:r>
        <w:rPr>
          <w:rFonts w:hint="eastAsia" w:ascii="宋体" w:hAnsi="宋体" w:eastAsia="宋体" w:cs="宋体"/>
          <w:bCs/>
          <w:sz w:val="24"/>
          <w:szCs w:val="24"/>
          <w:highlight w:val="none"/>
          <w:lang w:val="en-US" w:eastAsia="zh-CN"/>
        </w:rPr>
        <w:t>17613053066</w:t>
      </w:r>
    </w:p>
    <w:p w14:paraId="014C8E04">
      <w:pPr>
        <w:spacing w:line="360" w:lineRule="auto"/>
        <w:ind w:firstLine="484" w:firstLineChars="202"/>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3、监督名称：</w:t>
      </w:r>
      <w:r>
        <w:rPr>
          <w:rFonts w:hint="eastAsia" w:ascii="宋体" w:hAnsi="宋体" w:eastAsia="宋体" w:cs="宋体"/>
          <w:sz w:val="24"/>
          <w:szCs w:val="24"/>
          <w:highlight w:val="none"/>
          <w:lang w:eastAsia="zh-CN"/>
        </w:rPr>
        <w:t>三门峡市陕州区财政局政府采购监督管理科</w:t>
      </w:r>
    </w:p>
    <w:p w14:paraId="65BFC4CD">
      <w:pPr>
        <w:spacing w:line="360" w:lineRule="auto"/>
        <w:ind w:firstLine="484" w:firstLineChars="202"/>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联系方式：</w:t>
      </w:r>
      <w:bookmarkStart w:id="8" w:name="_Toc18788"/>
      <w:bookmarkStart w:id="9" w:name="_Toc31308"/>
      <w:bookmarkStart w:id="10" w:name="_Toc43302780"/>
      <w:bookmarkStart w:id="11" w:name="_Toc20926"/>
      <w:bookmarkStart w:id="12" w:name="_Toc32032"/>
      <w:bookmarkStart w:id="13" w:name="_Toc10227"/>
      <w:r>
        <w:rPr>
          <w:rFonts w:hint="eastAsia" w:ascii="宋体" w:hAnsi="宋体" w:eastAsia="宋体" w:cs="宋体"/>
          <w:sz w:val="24"/>
          <w:szCs w:val="24"/>
          <w:highlight w:val="none"/>
          <w:lang w:eastAsia="zh-CN"/>
        </w:rPr>
        <w:t>0398-3839210</w:t>
      </w:r>
    </w:p>
    <w:p w14:paraId="08EDE8A2">
      <w:pPr>
        <w:spacing w:line="360" w:lineRule="auto"/>
        <w:ind w:firstLine="484" w:firstLineChars="202"/>
        <w:rPr>
          <w:rFonts w:ascii="宋体" w:hAnsi="宋体" w:eastAsia="宋体" w:cs="宋体"/>
          <w:sz w:val="24"/>
          <w:szCs w:val="24"/>
          <w:highlight w:val="none"/>
        </w:rPr>
      </w:pPr>
    </w:p>
    <w:p w14:paraId="2A024181">
      <w:pPr>
        <w:spacing w:line="360" w:lineRule="auto"/>
        <w:ind w:firstLine="484" w:firstLineChars="202"/>
        <w:rPr>
          <w:rFonts w:ascii="宋体" w:hAnsi="宋体" w:eastAsia="宋体" w:cs="宋体"/>
          <w:sz w:val="24"/>
          <w:szCs w:val="24"/>
          <w:highlight w:val="none"/>
        </w:rPr>
      </w:pPr>
    </w:p>
    <w:p w14:paraId="3397C39C">
      <w:pPr>
        <w:spacing w:line="360" w:lineRule="auto"/>
        <w:ind w:firstLine="484" w:firstLineChars="202"/>
        <w:rPr>
          <w:rFonts w:ascii="宋体" w:hAnsi="宋体" w:eastAsia="宋体" w:cs="宋体"/>
          <w:sz w:val="24"/>
          <w:szCs w:val="24"/>
          <w:highlight w:val="none"/>
        </w:rPr>
      </w:pPr>
    </w:p>
    <w:p w14:paraId="60381807">
      <w:pPr>
        <w:spacing w:line="360" w:lineRule="auto"/>
        <w:ind w:firstLine="484" w:firstLineChars="202"/>
        <w:rPr>
          <w:rFonts w:ascii="宋体" w:hAnsi="宋体" w:eastAsia="宋体" w:cs="宋体"/>
          <w:sz w:val="24"/>
          <w:szCs w:val="24"/>
          <w:highlight w:val="none"/>
        </w:rPr>
      </w:pPr>
    </w:p>
    <w:p w14:paraId="62FEB502">
      <w:pPr>
        <w:spacing w:line="360" w:lineRule="auto"/>
        <w:ind w:firstLine="484" w:firstLineChars="202"/>
        <w:rPr>
          <w:rFonts w:ascii="宋体" w:hAnsi="宋体" w:eastAsia="宋体" w:cs="宋体"/>
          <w:sz w:val="24"/>
          <w:szCs w:val="24"/>
          <w:highlight w:val="none"/>
        </w:rPr>
      </w:pPr>
    </w:p>
    <w:p w14:paraId="60730037">
      <w:pPr>
        <w:spacing w:line="360" w:lineRule="auto"/>
        <w:ind w:firstLine="484" w:firstLineChars="202"/>
        <w:rPr>
          <w:rFonts w:ascii="宋体" w:hAnsi="宋体" w:eastAsia="宋体" w:cs="宋体"/>
          <w:sz w:val="24"/>
          <w:szCs w:val="24"/>
          <w:highlight w:val="none"/>
        </w:rPr>
      </w:pPr>
    </w:p>
    <w:p w14:paraId="36DC2CCD">
      <w:pPr>
        <w:spacing w:line="360" w:lineRule="auto"/>
        <w:ind w:firstLine="484" w:firstLineChars="202"/>
        <w:rPr>
          <w:rFonts w:ascii="宋体" w:hAnsi="宋体" w:eastAsia="宋体" w:cs="宋体"/>
          <w:sz w:val="24"/>
          <w:szCs w:val="24"/>
          <w:highlight w:val="none"/>
        </w:rPr>
      </w:pPr>
    </w:p>
    <w:p w14:paraId="37AF80C0">
      <w:pPr>
        <w:spacing w:line="360" w:lineRule="auto"/>
        <w:ind w:firstLine="568" w:firstLineChars="202"/>
        <w:jc w:val="center"/>
        <w:rPr>
          <w:rFonts w:ascii="Calibri" w:hAnsi="Calibri" w:eastAsia="宋体" w:cs="Times New Roman"/>
          <w:b/>
          <w:bCs/>
          <w:sz w:val="28"/>
          <w:szCs w:val="32"/>
          <w:highlight w:val="none"/>
        </w:rPr>
      </w:pPr>
    </w:p>
    <w:p w14:paraId="62EB1C24">
      <w:pPr>
        <w:spacing w:line="360" w:lineRule="auto"/>
        <w:ind w:firstLine="568" w:firstLineChars="202"/>
        <w:jc w:val="center"/>
        <w:rPr>
          <w:rFonts w:ascii="Calibri" w:hAnsi="Calibri" w:eastAsia="宋体" w:cs="Times New Roman"/>
          <w:b/>
          <w:bCs/>
          <w:sz w:val="28"/>
          <w:szCs w:val="32"/>
          <w:highlight w:val="none"/>
        </w:rPr>
      </w:pPr>
    </w:p>
    <w:p w14:paraId="70A37B79">
      <w:pPr>
        <w:spacing w:line="360" w:lineRule="auto"/>
        <w:ind w:firstLine="568" w:firstLineChars="202"/>
        <w:jc w:val="center"/>
        <w:rPr>
          <w:rFonts w:ascii="Calibri" w:hAnsi="Calibri" w:eastAsia="宋体" w:cs="Times New Roman"/>
          <w:b/>
          <w:bCs/>
          <w:sz w:val="28"/>
          <w:szCs w:val="32"/>
          <w:highlight w:val="none"/>
        </w:rPr>
      </w:pPr>
    </w:p>
    <w:p w14:paraId="4AC4CE76">
      <w:pPr>
        <w:spacing w:line="360" w:lineRule="auto"/>
        <w:ind w:firstLine="568" w:firstLineChars="202"/>
        <w:jc w:val="center"/>
        <w:rPr>
          <w:rFonts w:ascii="Calibri" w:hAnsi="Calibri" w:eastAsia="宋体" w:cs="Times New Roman"/>
          <w:b/>
          <w:bCs/>
          <w:sz w:val="28"/>
          <w:szCs w:val="32"/>
          <w:highlight w:val="none"/>
        </w:rPr>
      </w:pPr>
    </w:p>
    <w:p w14:paraId="7B31684B">
      <w:pPr>
        <w:spacing w:line="360" w:lineRule="auto"/>
        <w:ind w:firstLine="568" w:firstLineChars="202"/>
        <w:jc w:val="center"/>
        <w:rPr>
          <w:rFonts w:ascii="Calibri" w:hAnsi="Calibri" w:eastAsia="宋体" w:cs="Times New Roman"/>
          <w:b/>
          <w:bCs/>
          <w:sz w:val="28"/>
          <w:szCs w:val="32"/>
          <w:highlight w:val="none"/>
        </w:rPr>
      </w:pPr>
    </w:p>
    <w:p w14:paraId="317B06E0">
      <w:pPr>
        <w:spacing w:line="360" w:lineRule="auto"/>
        <w:ind w:firstLine="568" w:firstLineChars="202"/>
        <w:jc w:val="center"/>
        <w:rPr>
          <w:rFonts w:ascii="Calibri" w:hAnsi="Calibri" w:eastAsia="宋体" w:cs="Times New Roman"/>
          <w:b/>
          <w:bCs/>
          <w:sz w:val="28"/>
          <w:szCs w:val="32"/>
          <w:highlight w:val="none"/>
        </w:rPr>
      </w:pPr>
    </w:p>
    <w:p w14:paraId="57C37C24">
      <w:pPr>
        <w:spacing w:line="360" w:lineRule="auto"/>
        <w:ind w:firstLine="568" w:firstLineChars="202"/>
        <w:jc w:val="center"/>
        <w:rPr>
          <w:rFonts w:ascii="Calibri" w:hAnsi="Calibri" w:eastAsia="宋体" w:cs="Times New Roman"/>
          <w:b/>
          <w:bCs/>
          <w:sz w:val="28"/>
          <w:szCs w:val="32"/>
          <w:highlight w:val="none"/>
        </w:rPr>
      </w:pPr>
    </w:p>
    <w:p w14:paraId="017E56D6">
      <w:pPr>
        <w:spacing w:line="360" w:lineRule="auto"/>
        <w:ind w:firstLine="568" w:firstLineChars="202"/>
        <w:jc w:val="center"/>
        <w:rPr>
          <w:rFonts w:ascii="Calibri" w:hAnsi="Calibri" w:eastAsia="宋体" w:cs="Times New Roman"/>
          <w:b/>
          <w:bCs/>
          <w:sz w:val="28"/>
          <w:szCs w:val="32"/>
          <w:highlight w:val="none"/>
        </w:rPr>
      </w:pPr>
      <w:r>
        <w:rPr>
          <w:rFonts w:hint="eastAsia" w:ascii="Calibri" w:hAnsi="Calibri" w:eastAsia="宋体" w:cs="Times New Roman"/>
          <w:b/>
          <w:bCs/>
          <w:sz w:val="28"/>
          <w:szCs w:val="32"/>
          <w:highlight w:val="none"/>
        </w:rPr>
        <w:t>第二章</w:t>
      </w:r>
      <w:bookmarkEnd w:id="8"/>
      <w:r>
        <w:rPr>
          <w:rFonts w:hint="eastAsia" w:ascii="Calibri" w:hAnsi="Calibri" w:eastAsia="宋体" w:cs="Times New Roman"/>
          <w:b/>
          <w:bCs/>
          <w:sz w:val="28"/>
          <w:szCs w:val="32"/>
          <w:highlight w:val="none"/>
        </w:rPr>
        <w:t xml:space="preserve">  供应商须知</w:t>
      </w:r>
      <w:bookmarkEnd w:id="9"/>
      <w:bookmarkEnd w:id="10"/>
      <w:bookmarkEnd w:id="11"/>
      <w:bookmarkEnd w:id="12"/>
      <w:bookmarkEnd w:id="13"/>
    </w:p>
    <w:p w14:paraId="66D5F67A">
      <w:pPr>
        <w:widowControl/>
        <w:jc w:val="center"/>
        <w:rPr>
          <w:rFonts w:ascii="Calibri" w:hAnsi="Calibri" w:eastAsia="宋体" w:cs="Times New Roman"/>
          <w:sz w:val="24"/>
          <w:highlight w:val="none"/>
        </w:rPr>
      </w:pPr>
      <w:bookmarkStart w:id="14" w:name="_Toc44996337"/>
      <w:bookmarkEnd w:id="14"/>
      <w:r>
        <w:rPr>
          <w:rFonts w:hint="eastAsia" w:ascii="Calibri" w:hAnsi="Calibri" w:eastAsia="宋体" w:cs="Times New Roman"/>
          <w:sz w:val="24"/>
          <w:highlight w:val="none"/>
        </w:rPr>
        <w:t>供应商须知前附表</w:t>
      </w:r>
    </w:p>
    <w:tbl>
      <w:tblPr>
        <w:tblStyle w:val="15"/>
        <w:tblW w:w="9120" w:type="dxa"/>
        <w:jc w:val="center"/>
        <w:tblLayout w:type="fixed"/>
        <w:tblCellMar>
          <w:top w:w="0" w:type="dxa"/>
          <w:left w:w="108" w:type="dxa"/>
          <w:bottom w:w="0" w:type="dxa"/>
          <w:right w:w="108" w:type="dxa"/>
        </w:tblCellMar>
      </w:tblPr>
      <w:tblGrid>
        <w:gridCol w:w="697"/>
        <w:gridCol w:w="2070"/>
        <w:gridCol w:w="6353"/>
      </w:tblGrid>
      <w:tr w14:paraId="749EBBF5">
        <w:tblPrEx>
          <w:tblCellMar>
            <w:top w:w="0" w:type="dxa"/>
            <w:left w:w="108" w:type="dxa"/>
            <w:bottom w:w="0" w:type="dxa"/>
            <w:right w:w="108" w:type="dxa"/>
          </w:tblCellMar>
        </w:tblPrEx>
        <w:trPr>
          <w:trHeight w:val="411"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95DA301">
            <w:pPr>
              <w:widowControl/>
              <w:jc w:val="center"/>
              <w:rPr>
                <w:rFonts w:ascii="宋体" w:hAnsi="宋体" w:eastAsia="宋体" w:cs="Calibri"/>
                <w:sz w:val="24"/>
                <w:highlight w:val="none"/>
              </w:rPr>
            </w:pPr>
            <w:r>
              <w:rPr>
                <w:rFonts w:hint="eastAsia" w:ascii="宋体" w:hAnsi="宋体" w:eastAsia="宋体" w:cs="Calibri"/>
                <w:kern w:val="0"/>
                <w:sz w:val="24"/>
                <w:highlight w:val="none"/>
              </w:rPr>
              <w:t>序号</w:t>
            </w:r>
          </w:p>
        </w:tc>
        <w:tc>
          <w:tcPr>
            <w:tcW w:w="2070" w:type="dxa"/>
            <w:tcBorders>
              <w:top w:val="single" w:color="auto" w:sz="4" w:space="0"/>
              <w:left w:val="nil"/>
              <w:bottom w:val="single" w:color="auto" w:sz="4" w:space="0"/>
              <w:right w:val="single" w:color="auto" w:sz="4" w:space="0"/>
            </w:tcBorders>
            <w:vAlign w:val="center"/>
          </w:tcPr>
          <w:p w14:paraId="584325E5">
            <w:pPr>
              <w:widowControl/>
              <w:ind w:firstLine="240" w:firstLineChars="100"/>
              <w:jc w:val="center"/>
              <w:rPr>
                <w:rFonts w:ascii="宋体" w:hAnsi="宋体" w:eastAsia="宋体" w:cs="Calibri"/>
                <w:sz w:val="24"/>
                <w:highlight w:val="none"/>
              </w:rPr>
            </w:pPr>
            <w:r>
              <w:rPr>
                <w:rFonts w:hint="eastAsia" w:ascii="宋体" w:hAnsi="宋体" w:eastAsia="宋体" w:cs="Calibri"/>
                <w:kern w:val="0"/>
                <w:sz w:val="24"/>
                <w:highlight w:val="none"/>
              </w:rPr>
              <w:t>条款名称</w:t>
            </w:r>
          </w:p>
        </w:tc>
        <w:tc>
          <w:tcPr>
            <w:tcW w:w="6353" w:type="dxa"/>
            <w:tcBorders>
              <w:top w:val="single" w:color="auto" w:sz="4" w:space="0"/>
              <w:left w:val="nil"/>
              <w:bottom w:val="single" w:color="auto" w:sz="4" w:space="0"/>
              <w:right w:val="single" w:color="auto" w:sz="4" w:space="0"/>
            </w:tcBorders>
            <w:vAlign w:val="center"/>
          </w:tcPr>
          <w:p w14:paraId="23119570">
            <w:pPr>
              <w:widowControl/>
              <w:ind w:left="-48" w:leftChars="-23"/>
              <w:jc w:val="center"/>
              <w:rPr>
                <w:rFonts w:ascii="宋体" w:hAnsi="宋体" w:eastAsia="宋体" w:cs="Calibri"/>
                <w:sz w:val="24"/>
                <w:highlight w:val="none"/>
              </w:rPr>
            </w:pPr>
            <w:r>
              <w:rPr>
                <w:rFonts w:hint="eastAsia" w:ascii="宋体" w:hAnsi="宋体" w:eastAsia="宋体" w:cs="Calibri"/>
                <w:kern w:val="0"/>
                <w:sz w:val="24"/>
                <w:highlight w:val="none"/>
              </w:rPr>
              <w:t>编列内容</w:t>
            </w:r>
          </w:p>
        </w:tc>
      </w:tr>
      <w:tr w14:paraId="7703EA26">
        <w:tblPrEx>
          <w:tblCellMar>
            <w:top w:w="0" w:type="dxa"/>
            <w:left w:w="108" w:type="dxa"/>
            <w:bottom w:w="0" w:type="dxa"/>
            <w:right w:w="108" w:type="dxa"/>
          </w:tblCellMar>
        </w:tblPrEx>
        <w:trPr>
          <w:trHeight w:val="2016"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89D90C8">
            <w:pPr>
              <w:widowControl/>
              <w:jc w:val="center"/>
              <w:rPr>
                <w:rFonts w:ascii="宋体" w:hAnsi="宋体" w:eastAsia="宋体" w:cs="Calibri"/>
                <w:sz w:val="24"/>
                <w:highlight w:val="none"/>
              </w:rPr>
            </w:pPr>
            <w:r>
              <w:rPr>
                <w:rFonts w:hint="eastAsia" w:ascii="宋体" w:hAnsi="宋体" w:eastAsia="宋体" w:cs="Calibri"/>
                <w:kern w:val="0"/>
                <w:sz w:val="24"/>
                <w:highlight w:val="none"/>
              </w:rPr>
              <w:t>1</w:t>
            </w:r>
          </w:p>
        </w:tc>
        <w:tc>
          <w:tcPr>
            <w:tcW w:w="2070" w:type="dxa"/>
            <w:tcBorders>
              <w:top w:val="single" w:color="auto" w:sz="4" w:space="0"/>
              <w:left w:val="nil"/>
              <w:bottom w:val="single" w:color="auto" w:sz="4" w:space="0"/>
              <w:right w:val="single" w:color="auto" w:sz="4" w:space="0"/>
            </w:tcBorders>
            <w:vAlign w:val="center"/>
          </w:tcPr>
          <w:p w14:paraId="1FC7F5FD">
            <w:pPr>
              <w:widowControl/>
              <w:jc w:val="center"/>
              <w:rPr>
                <w:rFonts w:ascii="宋体" w:hAnsi="宋体" w:eastAsia="宋体" w:cs="Calibri"/>
                <w:sz w:val="24"/>
                <w:highlight w:val="none"/>
              </w:rPr>
            </w:pPr>
            <w:r>
              <w:rPr>
                <w:rFonts w:hint="eastAsia" w:ascii="宋体" w:hAnsi="宋体" w:eastAsia="宋体" w:cs="Calibri"/>
                <w:sz w:val="24"/>
                <w:highlight w:val="none"/>
              </w:rPr>
              <w:t>采购人</w:t>
            </w:r>
          </w:p>
        </w:tc>
        <w:tc>
          <w:tcPr>
            <w:tcW w:w="6353" w:type="dxa"/>
            <w:tcBorders>
              <w:top w:val="single" w:color="auto" w:sz="4" w:space="0"/>
              <w:left w:val="nil"/>
              <w:bottom w:val="single" w:color="auto" w:sz="4" w:space="0"/>
              <w:right w:val="single" w:color="auto" w:sz="4" w:space="0"/>
            </w:tcBorders>
            <w:vAlign w:val="center"/>
          </w:tcPr>
          <w:p w14:paraId="5534C0A1">
            <w:pPr>
              <w:spacing w:line="480" w:lineRule="exact"/>
              <w:jc w:val="left"/>
              <w:outlineLvl w:val="0"/>
              <w:rPr>
                <w:rFonts w:hint="eastAsia" w:ascii="宋体" w:hAnsi="宋体" w:eastAsia="宋体" w:cs="宋体"/>
                <w:sz w:val="24"/>
                <w:highlight w:val="none"/>
                <w:lang w:eastAsia="zh-CN"/>
              </w:rPr>
            </w:pPr>
            <w:r>
              <w:rPr>
                <w:rFonts w:hint="eastAsia" w:ascii="宋体" w:hAnsi="宋体" w:eastAsia="宋体" w:cs="宋体"/>
                <w:sz w:val="24"/>
                <w:highlight w:val="none"/>
              </w:rPr>
              <w:t>采购人：</w:t>
            </w:r>
            <w:r>
              <w:rPr>
                <w:rFonts w:hint="eastAsia" w:ascii="宋体" w:hAnsi="宋体" w:eastAsia="宋体" w:cs="宋体"/>
                <w:sz w:val="24"/>
                <w:highlight w:val="none"/>
                <w:lang w:eastAsia="zh-CN"/>
              </w:rPr>
              <w:t>三门峡市陕州区农业农村局</w:t>
            </w:r>
          </w:p>
          <w:p w14:paraId="63CEB288">
            <w:pPr>
              <w:spacing w:line="480" w:lineRule="exact"/>
              <w:jc w:val="left"/>
              <w:outlineLvl w:val="0"/>
              <w:rPr>
                <w:rFonts w:ascii="宋体" w:hAnsi="宋体" w:eastAsia="宋体" w:cs="宋体"/>
                <w:sz w:val="24"/>
                <w:highlight w:val="none"/>
              </w:rPr>
            </w:pPr>
            <w:r>
              <w:rPr>
                <w:rFonts w:hint="eastAsia" w:ascii="宋体" w:hAnsi="宋体" w:eastAsia="宋体" w:cs="宋体"/>
                <w:sz w:val="24"/>
                <w:highlight w:val="none"/>
              </w:rPr>
              <w:t>地址：</w:t>
            </w:r>
            <w:r>
              <w:rPr>
                <w:rFonts w:hint="eastAsia" w:ascii="宋体" w:hAnsi="宋体" w:eastAsia="宋体" w:cs="宋体"/>
                <w:sz w:val="24"/>
                <w:szCs w:val="24"/>
                <w:highlight w:val="none"/>
                <w:lang w:eastAsia="zh-CN"/>
              </w:rPr>
              <w:t>三门峡市陕州区神泉路中段</w:t>
            </w:r>
          </w:p>
          <w:p w14:paraId="0BA407A4">
            <w:pPr>
              <w:spacing w:line="480" w:lineRule="exact"/>
              <w:jc w:val="left"/>
              <w:outlineLvl w:val="0"/>
              <w:rPr>
                <w:rFonts w:ascii="宋体" w:hAnsi="宋体" w:eastAsia="宋体" w:cs="宋体"/>
                <w:sz w:val="24"/>
                <w:highlight w:val="none"/>
              </w:rPr>
            </w:pPr>
            <w:r>
              <w:rPr>
                <w:rFonts w:hint="eastAsia" w:ascii="宋体" w:hAnsi="宋体" w:eastAsia="宋体" w:cs="宋体"/>
                <w:sz w:val="24"/>
                <w:highlight w:val="none"/>
              </w:rPr>
              <w:t>联系人：</w:t>
            </w:r>
            <w:r>
              <w:rPr>
                <w:rFonts w:hint="eastAsia" w:ascii="宋体" w:hAnsi="宋体" w:eastAsia="宋体" w:cs="宋体"/>
                <w:sz w:val="24"/>
                <w:szCs w:val="24"/>
                <w:highlight w:val="none"/>
                <w:lang w:eastAsia="zh-CN"/>
              </w:rPr>
              <w:t>张先生</w:t>
            </w:r>
            <w:r>
              <w:rPr>
                <w:rFonts w:hint="eastAsia" w:ascii="宋体" w:hAnsi="宋体" w:eastAsia="宋体" w:cs="宋体"/>
                <w:sz w:val="24"/>
                <w:szCs w:val="24"/>
                <w:highlight w:val="none"/>
              </w:rPr>
              <w:t xml:space="preserve"> </w:t>
            </w:r>
            <w:r>
              <w:rPr>
                <w:rFonts w:ascii="宋体" w:hAnsi="宋体" w:eastAsia="宋体" w:cs="宋体"/>
                <w:sz w:val="24"/>
                <w:highlight w:val="none"/>
              </w:rPr>
              <w:t xml:space="preserve"> </w:t>
            </w:r>
          </w:p>
          <w:p w14:paraId="2EC5D833">
            <w:pPr>
              <w:spacing w:line="480" w:lineRule="exact"/>
              <w:jc w:val="left"/>
              <w:outlineLvl w:val="0"/>
              <w:rPr>
                <w:rFonts w:ascii="宋体" w:hAnsi="宋体" w:eastAsia="宋体" w:cs="宋体"/>
                <w:sz w:val="24"/>
                <w:highlight w:val="none"/>
              </w:rPr>
            </w:pPr>
            <w:r>
              <w:rPr>
                <w:rFonts w:hint="eastAsia" w:ascii="宋体" w:hAnsi="宋体" w:eastAsia="宋体" w:cs="宋体"/>
                <w:sz w:val="24"/>
                <w:highlight w:val="none"/>
              </w:rPr>
              <w:t>联系方式：</w:t>
            </w:r>
            <w:r>
              <w:rPr>
                <w:rFonts w:hint="eastAsia" w:ascii="宋体" w:hAnsi="宋体" w:eastAsia="宋体" w:cs="宋体"/>
                <w:sz w:val="24"/>
                <w:highlight w:val="none"/>
                <w:lang w:eastAsia="zh-CN"/>
              </w:rPr>
              <w:t>0398-3837907</w:t>
            </w:r>
            <w:r>
              <w:rPr>
                <w:rFonts w:hint="eastAsia" w:ascii="宋体" w:hAnsi="宋体" w:eastAsia="宋体" w:cs="宋体"/>
                <w:sz w:val="24"/>
                <w:highlight w:val="none"/>
              </w:rPr>
              <w:t xml:space="preserve"> </w:t>
            </w:r>
          </w:p>
        </w:tc>
      </w:tr>
      <w:tr w14:paraId="175664EE">
        <w:tblPrEx>
          <w:tblCellMar>
            <w:top w:w="0" w:type="dxa"/>
            <w:left w:w="108" w:type="dxa"/>
            <w:bottom w:w="0" w:type="dxa"/>
            <w:right w:w="108" w:type="dxa"/>
          </w:tblCellMar>
        </w:tblPrEx>
        <w:trPr>
          <w:trHeight w:val="1996"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6C3ABAE6">
            <w:pPr>
              <w:widowControl/>
              <w:jc w:val="center"/>
              <w:rPr>
                <w:rFonts w:ascii="宋体" w:hAnsi="宋体" w:eastAsia="宋体" w:cs="Calibri"/>
                <w:sz w:val="24"/>
                <w:highlight w:val="none"/>
              </w:rPr>
            </w:pPr>
            <w:r>
              <w:rPr>
                <w:rFonts w:hint="eastAsia" w:ascii="宋体" w:hAnsi="宋体" w:eastAsia="宋体" w:cs="Calibri"/>
                <w:kern w:val="0"/>
                <w:sz w:val="24"/>
                <w:highlight w:val="none"/>
              </w:rPr>
              <w:t>2</w:t>
            </w:r>
          </w:p>
        </w:tc>
        <w:tc>
          <w:tcPr>
            <w:tcW w:w="2070" w:type="dxa"/>
            <w:tcBorders>
              <w:top w:val="single" w:color="auto" w:sz="4" w:space="0"/>
              <w:left w:val="nil"/>
              <w:bottom w:val="single" w:color="auto" w:sz="4" w:space="0"/>
              <w:right w:val="single" w:color="auto" w:sz="4" w:space="0"/>
            </w:tcBorders>
            <w:vAlign w:val="center"/>
          </w:tcPr>
          <w:p w14:paraId="2420F694">
            <w:pPr>
              <w:widowControl/>
              <w:jc w:val="center"/>
              <w:rPr>
                <w:rFonts w:ascii="宋体" w:hAnsi="宋体" w:eastAsia="宋体" w:cs="Calibri"/>
                <w:sz w:val="24"/>
                <w:highlight w:val="none"/>
              </w:rPr>
            </w:pPr>
            <w:r>
              <w:rPr>
                <w:rFonts w:hint="eastAsia" w:ascii="宋体" w:hAnsi="宋体" w:eastAsia="宋体" w:cs="Calibri"/>
                <w:kern w:val="0"/>
                <w:sz w:val="24"/>
                <w:highlight w:val="none"/>
              </w:rPr>
              <w:t>采购代理机构</w:t>
            </w:r>
          </w:p>
        </w:tc>
        <w:tc>
          <w:tcPr>
            <w:tcW w:w="6353" w:type="dxa"/>
            <w:tcBorders>
              <w:top w:val="single" w:color="auto" w:sz="4" w:space="0"/>
              <w:left w:val="nil"/>
              <w:bottom w:val="single" w:color="auto" w:sz="4" w:space="0"/>
              <w:right w:val="single" w:color="auto" w:sz="4" w:space="0"/>
            </w:tcBorders>
            <w:vAlign w:val="center"/>
          </w:tcPr>
          <w:p w14:paraId="1FA04A55">
            <w:pPr>
              <w:spacing w:line="480" w:lineRule="exact"/>
              <w:jc w:val="left"/>
              <w:outlineLvl w:val="0"/>
              <w:rPr>
                <w:rFonts w:hint="eastAsia" w:ascii="宋体" w:hAnsi="宋体" w:eastAsia="宋体" w:cs="宋体"/>
                <w:sz w:val="24"/>
                <w:highlight w:val="none"/>
                <w:lang w:eastAsia="zh-CN"/>
              </w:rPr>
            </w:pPr>
            <w:bookmarkStart w:id="15" w:name="_Toc19617"/>
            <w:bookmarkStart w:id="16" w:name="_Toc30248"/>
            <w:r>
              <w:rPr>
                <w:rFonts w:ascii="宋体" w:hAnsi="宋体" w:eastAsia="宋体" w:cs="宋体"/>
                <w:sz w:val="24"/>
                <w:highlight w:val="none"/>
              </w:rPr>
              <w:t>采购</w:t>
            </w:r>
            <w:r>
              <w:rPr>
                <w:rFonts w:hint="eastAsia" w:ascii="宋体" w:hAnsi="宋体" w:eastAsia="宋体" w:cs="宋体"/>
                <w:sz w:val="24"/>
                <w:highlight w:val="none"/>
              </w:rPr>
              <w:t>代理机构：</w:t>
            </w:r>
            <w:bookmarkEnd w:id="15"/>
            <w:bookmarkEnd w:id="16"/>
            <w:r>
              <w:rPr>
                <w:rFonts w:hint="eastAsia" w:ascii="宋体" w:hAnsi="宋体" w:eastAsia="宋体" w:cs="宋体"/>
                <w:sz w:val="24"/>
                <w:highlight w:val="none"/>
                <w:lang w:eastAsia="zh-CN"/>
              </w:rPr>
              <w:t>国咨项目管理有限公司</w:t>
            </w:r>
          </w:p>
          <w:p w14:paraId="63506C0E">
            <w:pPr>
              <w:spacing w:line="480" w:lineRule="exact"/>
              <w:jc w:val="left"/>
              <w:outlineLvl w:val="0"/>
              <w:rPr>
                <w:rFonts w:ascii="宋体" w:hAnsi="宋体" w:eastAsia="宋体" w:cs="宋体"/>
                <w:sz w:val="24"/>
                <w:highlight w:val="none"/>
              </w:rPr>
            </w:pPr>
            <w:bookmarkStart w:id="17" w:name="_Toc30127"/>
            <w:bookmarkStart w:id="18" w:name="_Toc10119"/>
            <w:r>
              <w:rPr>
                <w:rFonts w:hint="eastAsia" w:ascii="宋体" w:hAnsi="宋体" w:eastAsia="宋体" w:cs="宋体"/>
                <w:sz w:val="24"/>
                <w:highlight w:val="none"/>
              </w:rPr>
              <w:t>地址：</w:t>
            </w:r>
            <w:bookmarkEnd w:id="17"/>
            <w:bookmarkEnd w:id="18"/>
            <w:r>
              <w:rPr>
                <w:rFonts w:hint="eastAsia" w:ascii="宋体" w:hAnsi="宋体" w:cs="宋体"/>
                <w:bCs/>
                <w:sz w:val="24"/>
                <w:szCs w:val="24"/>
                <w:highlight w:val="none"/>
                <w:lang w:eastAsia="zh-CN"/>
              </w:rPr>
              <w:t>河南省郑州市管城回族区正商花都港湾16#3单元2楼西户</w:t>
            </w:r>
          </w:p>
          <w:p w14:paraId="1F4E3260">
            <w:pPr>
              <w:spacing w:line="480" w:lineRule="exact"/>
              <w:jc w:val="left"/>
              <w:outlineLvl w:val="0"/>
              <w:rPr>
                <w:rFonts w:ascii="宋体" w:hAnsi="宋体" w:eastAsia="宋体" w:cs="宋体"/>
                <w:sz w:val="24"/>
                <w:highlight w:val="none"/>
              </w:rPr>
            </w:pPr>
            <w:bookmarkStart w:id="19" w:name="_Toc28244"/>
            <w:bookmarkStart w:id="20" w:name="_Toc7076"/>
            <w:r>
              <w:rPr>
                <w:rFonts w:hint="eastAsia" w:ascii="宋体" w:hAnsi="宋体" w:eastAsia="宋体" w:cs="宋体"/>
                <w:sz w:val="24"/>
                <w:highlight w:val="none"/>
              </w:rPr>
              <w:t>联系人：</w:t>
            </w:r>
            <w:bookmarkEnd w:id="19"/>
            <w:bookmarkEnd w:id="20"/>
            <w:r>
              <w:rPr>
                <w:rFonts w:hint="eastAsia" w:ascii="宋体" w:hAnsi="宋体" w:eastAsia="宋体" w:cs="宋体"/>
                <w:sz w:val="24"/>
                <w:highlight w:val="none"/>
                <w:lang w:eastAsia="zh-CN"/>
              </w:rPr>
              <w:t>许</w:t>
            </w:r>
            <w:r>
              <w:rPr>
                <w:rFonts w:hint="eastAsia" w:ascii="宋体" w:hAnsi="宋体" w:eastAsia="宋体" w:cs="宋体"/>
                <w:sz w:val="24"/>
                <w:highlight w:val="none"/>
              </w:rPr>
              <w:t>女士</w:t>
            </w:r>
          </w:p>
          <w:p w14:paraId="15EF45D3">
            <w:pPr>
              <w:spacing w:line="480" w:lineRule="exact"/>
              <w:jc w:val="left"/>
              <w:outlineLvl w:val="0"/>
              <w:rPr>
                <w:rFonts w:ascii="宋体" w:hAnsi="宋体" w:eastAsia="宋体" w:cs="宋体"/>
                <w:sz w:val="24"/>
                <w:highlight w:val="none"/>
              </w:rPr>
            </w:pPr>
            <w:bookmarkStart w:id="21" w:name="_Toc17692"/>
            <w:bookmarkStart w:id="22" w:name="_Toc3545"/>
            <w:r>
              <w:rPr>
                <w:rFonts w:hint="eastAsia" w:ascii="宋体" w:hAnsi="宋体" w:eastAsia="宋体" w:cs="宋体"/>
                <w:sz w:val="24"/>
                <w:highlight w:val="none"/>
              </w:rPr>
              <w:t>联系电话：</w:t>
            </w:r>
            <w:bookmarkEnd w:id="21"/>
            <w:bookmarkEnd w:id="22"/>
            <w:r>
              <w:rPr>
                <w:rFonts w:hint="eastAsia" w:ascii="宋体" w:hAnsi="宋体" w:eastAsia="宋体" w:cs="宋体"/>
                <w:bCs/>
                <w:sz w:val="24"/>
                <w:szCs w:val="24"/>
                <w:highlight w:val="none"/>
                <w:lang w:val="en-US" w:eastAsia="zh-CN"/>
              </w:rPr>
              <w:t>17613053066</w:t>
            </w:r>
          </w:p>
        </w:tc>
      </w:tr>
      <w:tr w14:paraId="1B71B47F">
        <w:tblPrEx>
          <w:tblCellMar>
            <w:top w:w="0" w:type="dxa"/>
            <w:left w:w="108" w:type="dxa"/>
            <w:bottom w:w="0" w:type="dxa"/>
            <w:right w:w="108" w:type="dxa"/>
          </w:tblCellMar>
        </w:tblPrEx>
        <w:trPr>
          <w:trHeight w:val="52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686AB78E">
            <w:pPr>
              <w:widowControl/>
              <w:jc w:val="center"/>
              <w:rPr>
                <w:rFonts w:ascii="宋体" w:hAnsi="宋体" w:eastAsia="宋体" w:cs="Calibri"/>
                <w:sz w:val="24"/>
                <w:highlight w:val="none"/>
              </w:rPr>
            </w:pPr>
            <w:r>
              <w:rPr>
                <w:rFonts w:hint="eastAsia" w:ascii="宋体" w:hAnsi="宋体" w:eastAsia="宋体" w:cs="Calibri"/>
                <w:kern w:val="0"/>
                <w:sz w:val="24"/>
                <w:highlight w:val="none"/>
              </w:rPr>
              <w:t>3</w:t>
            </w:r>
          </w:p>
        </w:tc>
        <w:tc>
          <w:tcPr>
            <w:tcW w:w="2070" w:type="dxa"/>
            <w:tcBorders>
              <w:top w:val="single" w:color="auto" w:sz="4" w:space="0"/>
              <w:left w:val="nil"/>
              <w:bottom w:val="single" w:color="auto" w:sz="4" w:space="0"/>
              <w:right w:val="single" w:color="auto" w:sz="4" w:space="0"/>
            </w:tcBorders>
            <w:vAlign w:val="center"/>
          </w:tcPr>
          <w:p w14:paraId="6110AC29">
            <w:pPr>
              <w:widowControl/>
              <w:jc w:val="center"/>
              <w:rPr>
                <w:rFonts w:ascii="宋体" w:hAnsi="宋体" w:eastAsia="宋体" w:cs="Calibri"/>
                <w:sz w:val="24"/>
                <w:highlight w:val="none"/>
              </w:rPr>
            </w:pPr>
            <w:r>
              <w:rPr>
                <w:rFonts w:hint="eastAsia" w:ascii="宋体" w:hAnsi="宋体" w:eastAsia="宋体" w:cs="Calibri"/>
                <w:kern w:val="0"/>
                <w:sz w:val="24"/>
                <w:highlight w:val="none"/>
              </w:rPr>
              <w:t>项目名称</w:t>
            </w:r>
          </w:p>
        </w:tc>
        <w:tc>
          <w:tcPr>
            <w:tcW w:w="6353" w:type="dxa"/>
            <w:tcBorders>
              <w:top w:val="single" w:color="auto" w:sz="4" w:space="0"/>
              <w:left w:val="nil"/>
              <w:bottom w:val="single" w:color="auto" w:sz="4" w:space="0"/>
              <w:right w:val="single" w:color="auto" w:sz="4" w:space="0"/>
            </w:tcBorders>
            <w:vAlign w:val="center"/>
          </w:tcPr>
          <w:p w14:paraId="57A9781C">
            <w:pPr>
              <w:spacing w:line="360" w:lineRule="auto"/>
              <w:rPr>
                <w:rFonts w:hint="eastAsia" w:ascii="宋体" w:hAnsi="宋体" w:eastAsia="宋体" w:cs="Calibri"/>
                <w:sz w:val="24"/>
                <w:highlight w:val="none"/>
                <w:lang w:eastAsia="zh-CN"/>
              </w:rPr>
            </w:pPr>
            <w:r>
              <w:rPr>
                <w:rFonts w:hint="eastAsia" w:ascii="宋体" w:hAnsi="宋体" w:eastAsia="宋体" w:cs="宋体"/>
                <w:sz w:val="24"/>
                <w:szCs w:val="24"/>
                <w:highlight w:val="none"/>
                <w:lang w:eastAsia="zh-CN"/>
              </w:rPr>
              <w:t>陕州区高标准农田建设项目管道维修采购项目</w:t>
            </w:r>
          </w:p>
        </w:tc>
      </w:tr>
      <w:tr w14:paraId="3D345F46">
        <w:tblPrEx>
          <w:tblCellMar>
            <w:top w:w="0" w:type="dxa"/>
            <w:left w:w="108" w:type="dxa"/>
            <w:bottom w:w="0" w:type="dxa"/>
            <w:right w:w="108" w:type="dxa"/>
          </w:tblCellMar>
        </w:tblPrEx>
        <w:trPr>
          <w:trHeight w:val="57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74263C4F">
            <w:pPr>
              <w:widowControl/>
              <w:jc w:val="center"/>
              <w:rPr>
                <w:rFonts w:ascii="宋体" w:hAnsi="宋体" w:eastAsia="宋体" w:cs="Calibri"/>
                <w:sz w:val="24"/>
                <w:highlight w:val="none"/>
              </w:rPr>
            </w:pPr>
            <w:r>
              <w:rPr>
                <w:rFonts w:hint="eastAsia" w:ascii="宋体" w:hAnsi="宋体" w:eastAsia="宋体" w:cs="Calibri"/>
                <w:kern w:val="0"/>
                <w:sz w:val="24"/>
                <w:highlight w:val="none"/>
              </w:rPr>
              <w:t>4</w:t>
            </w:r>
          </w:p>
        </w:tc>
        <w:tc>
          <w:tcPr>
            <w:tcW w:w="2070" w:type="dxa"/>
            <w:tcBorders>
              <w:top w:val="single" w:color="auto" w:sz="4" w:space="0"/>
              <w:left w:val="nil"/>
              <w:bottom w:val="single" w:color="auto" w:sz="4" w:space="0"/>
              <w:right w:val="single" w:color="auto" w:sz="4" w:space="0"/>
            </w:tcBorders>
            <w:vAlign w:val="center"/>
          </w:tcPr>
          <w:p w14:paraId="79E48A2C">
            <w:pPr>
              <w:widowControl/>
              <w:jc w:val="center"/>
              <w:rPr>
                <w:rFonts w:ascii="宋体" w:hAnsi="宋体" w:eastAsia="宋体" w:cs="Calibri"/>
                <w:kern w:val="0"/>
                <w:sz w:val="24"/>
                <w:highlight w:val="none"/>
              </w:rPr>
            </w:pPr>
            <w:r>
              <w:rPr>
                <w:rFonts w:hint="eastAsia" w:ascii="宋体" w:hAnsi="宋体" w:eastAsia="宋体" w:cs="Calibri"/>
                <w:kern w:val="0"/>
                <w:sz w:val="24"/>
                <w:highlight w:val="none"/>
              </w:rPr>
              <w:t>资金来源</w:t>
            </w:r>
          </w:p>
        </w:tc>
        <w:tc>
          <w:tcPr>
            <w:tcW w:w="6353" w:type="dxa"/>
            <w:tcBorders>
              <w:top w:val="single" w:color="auto" w:sz="4" w:space="0"/>
              <w:left w:val="nil"/>
              <w:bottom w:val="single" w:color="auto" w:sz="4" w:space="0"/>
              <w:right w:val="single" w:color="auto" w:sz="4" w:space="0"/>
            </w:tcBorders>
            <w:vAlign w:val="center"/>
          </w:tcPr>
          <w:p w14:paraId="4F95B457">
            <w:pPr>
              <w:widowControl/>
              <w:rPr>
                <w:rFonts w:ascii="宋体" w:hAnsi="宋体" w:eastAsia="宋体" w:cs="Calibri"/>
                <w:kern w:val="0"/>
                <w:sz w:val="24"/>
                <w:highlight w:val="none"/>
              </w:rPr>
            </w:pPr>
            <w:r>
              <w:rPr>
                <w:rFonts w:hint="eastAsia" w:ascii="宋体" w:hAnsi="宋体" w:eastAsia="宋体" w:cs="Calibri"/>
                <w:kern w:val="0"/>
                <w:sz w:val="24"/>
                <w:highlight w:val="none"/>
                <w:shd w:val="clear" w:color="auto" w:fill="FFFFFF"/>
              </w:rPr>
              <w:t>财政资金</w:t>
            </w:r>
          </w:p>
        </w:tc>
      </w:tr>
      <w:tr w14:paraId="33CD081C">
        <w:tblPrEx>
          <w:tblCellMar>
            <w:top w:w="0" w:type="dxa"/>
            <w:left w:w="108" w:type="dxa"/>
            <w:bottom w:w="0" w:type="dxa"/>
            <w:right w:w="108" w:type="dxa"/>
          </w:tblCellMar>
        </w:tblPrEx>
        <w:trPr>
          <w:trHeight w:val="555"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D37C8F6">
            <w:pPr>
              <w:widowControl/>
              <w:jc w:val="center"/>
              <w:rPr>
                <w:rFonts w:ascii="宋体" w:hAnsi="宋体" w:eastAsia="宋体" w:cs="Calibri"/>
                <w:sz w:val="24"/>
                <w:highlight w:val="none"/>
              </w:rPr>
            </w:pPr>
            <w:r>
              <w:rPr>
                <w:rFonts w:hint="eastAsia" w:ascii="宋体" w:hAnsi="宋体" w:eastAsia="宋体" w:cs="Calibri"/>
                <w:kern w:val="0"/>
                <w:sz w:val="24"/>
                <w:highlight w:val="none"/>
              </w:rPr>
              <w:t>5</w:t>
            </w:r>
          </w:p>
        </w:tc>
        <w:tc>
          <w:tcPr>
            <w:tcW w:w="2070" w:type="dxa"/>
            <w:tcBorders>
              <w:top w:val="single" w:color="auto" w:sz="4" w:space="0"/>
              <w:left w:val="nil"/>
              <w:bottom w:val="single" w:color="auto" w:sz="4" w:space="0"/>
              <w:right w:val="single" w:color="auto" w:sz="4" w:space="0"/>
            </w:tcBorders>
            <w:vAlign w:val="center"/>
          </w:tcPr>
          <w:p w14:paraId="0025589E">
            <w:pPr>
              <w:widowControl/>
              <w:jc w:val="center"/>
              <w:rPr>
                <w:rFonts w:ascii="宋体" w:hAnsi="宋体" w:eastAsia="宋体" w:cs="Calibri"/>
                <w:sz w:val="24"/>
                <w:highlight w:val="none"/>
              </w:rPr>
            </w:pPr>
            <w:r>
              <w:rPr>
                <w:rFonts w:hint="eastAsia" w:ascii="宋体" w:hAnsi="宋体" w:eastAsia="宋体" w:cs="Calibri"/>
                <w:kern w:val="0"/>
                <w:sz w:val="24"/>
                <w:highlight w:val="none"/>
              </w:rPr>
              <w:t>项目编号</w:t>
            </w:r>
          </w:p>
        </w:tc>
        <w:tc>
          <w:tcPr>
            <w:tcW w:w="6353" w:type="dxa"/>
            <w:tcBorders>
              <w:top w:val="single" w:color="auto" w:sz="4" w:space="0"/>
              <w:left w:val="nil"/>
              <w:bottom w:val="single" w:color="auto" w:sz="4" w:space="0"/>
              <w:right w:val="single" w:color="auto" w:sz="4" w:space="0"/>
            </w:tcBorders>
            <w:vAlign w:val="center"/>
          </w:tcPr>
          <w:p w14:paraId="33C5514F">
            <w:pPr>
              <w:widowControl/>
              <w:rPr>
                <w:rFonts w:hint="default" w:ascii="宋体" w:hAnsi="宋体" w:eastAsia="宋体" w:cs="Calibri"/>
                <w:sz w:val="24"/>
                <w:highlight w:val="none"/>
                <w:shd w:val="clear" w:color="auto" w:fill="FFFFFF"/>
                <w:lang w:val="en-US"/>
              </w:rPr>
            </w:pPr>
            <w:r>
              <w:rPr>
                <w:rFonts w:hint="eastAsia" w:ascii="宋体" w:hAnsi="宋体" w:eastAsia="宋体" w:cs="宋体"/>
                <w:sz w:val="24"/>
                <w:szCs w:val="24"/>
                <w:highlight w:val="none"/>
                <w:lang w:eastAsia="zh-CN"/>
              </w:rPr>
              <w:t>陕州竞磋采购-2026-93 、SZGZ[2026]155-ZC127</w:t>
            </w:r>
          </w:p>
        </w:tc>
      </w:tr>
      <w:tr w14:paraId="69777DE8">
        <w:tblPrEx>
          <w:tblCellMar>
            <w:top w:w="0" w:type="dxa"/>
            <w:left w:w="108" w:type="dxa"/>
            <w:bottom w:w="0" w:type="dxa"/>
            <w:right w:w="108" w:type="dxa"/>
          </w:tblCellMar>
        </w:tblPrEx>
        <w:trPr>
          <w:trHeight w:val="585"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5BBCFC2D">
            <w:pPr>
              <w:widowControl/>
              <w:jc w:val="center"/>
              <w:rPr>
                <w:rFonts w:ascii="宋体" w:hAnsi="宋体" w:eastAsia="宋体" w:cs="Calibri"/>
                <w:sz w:val="24"/>
                <w:highlight w:val="none"/>
              </w:rPr>
            </w:pPr>
            <w:r>
              <w:rPr>
                <w:rFonts w:hint="eastAsia" w:ascii="宋体" w:hAnsi="宋体" w:eastAsia="宋体" w:cs="Calibri"/>
                <w:kern w:val="0"/>
                <w:sz w:val="24"/>
                <w:highlight w:val="none"/>
              </w:rPr>
              <w:t>6</w:t>
            </w:r>
          </w:p>
        </w:tc>
        <w:tc>
          <w:tcPr>
            <w:tcW w:w="2070" w:type="dxa"/>
            <w:tcBorders>
              <w:top w:val="single" w:color="auto" w:sz="4" w:space="0"/>
              <w:left w:val="nil"/>
              <w:bottom w:val="single" w:color="auto" w:sz="4" w:space="0"/>
              <w:right w:val="single" w:color="auto" w:sz="4" w:space="0"/>
            </w:tcBorders>
            <w:vAlign w:val="center"/>
          </w:tcPr>
          <w:p w14:paraId="7C233AA9">
            <w:pPr>
              <w:widowControl/>
              <w:jc w:val="center"/>
              <w:rPr>
                <w:rFonts w:ascii="宋体" w:hAnsi="宋体" w:eastAsia="宋体" w:cs="Calibri"/>
                <w:kern w:val="0"/>
                <w:sz w:val="24"/>
                <w:highlight w:val="none"/>
              </w:rPr>
            </w:pPr>
            <w:r>
              <w:rPr>
                <w:rFonts w:hint="eastAsia" w:ascii="宋体" w:hAnsi="宋体" w:eastAsia="宋体" w:cs="Calibri"/>
                <w:kern w:val="0"/>
                <w:sz w:val="24"/>
                <w:highlight w:val="none"/>
              </w:rPr>
              <w:t>质量要求</w:t>
            </w:r>
          </w:p>
        </w:tc>
        <w:tc>
          <w:tcPr>
            <w:tcW w:w="6353" w:type="dxa"/>
            <w:tcBorders>
              <w:top w:val="single" w:color="auto" w:sz="4" w:space="0"/>
              <w:left w:val="nil"/>
              <w:bottom w:val="single" w:color="auto" w:sz="4" w:space="0"/>
              <w:right w:val="single" w:color="auto" w:sz="4" w:space="0"/>
            </w:tcBorders>
            <w:vAlign w:val="center"/>
          </w:tcPr>
          <w:p w14:paraId="6E8E704F">
            <w:pPr>
              <w:widowControl/>
              <w:rPr>
                <w:rFonts w:ascii="宋体" w:hAnsi="宋体" w:eastAsia="宋体" w:cs="Calibri"/>
                <w:kern w:val="0"/>
                <w:sz w:val="24"/>
                <w:highlight w:val="none"/>
              </w:rPr>
            </w:pPr>
            <w:r>
              <w:rPr>
                <w:rFonts w:hint="eastAsia" w:ascii="宋体" w:hAnsi="宋体" w:eastAsia="宋体" w:cs="宋体"/>
                <w:bCs/>
                <w:color w:val="000000"/>
                <w:sz w:val="24"/>
                <w:szCs w:val="28"/>
                <w:highlight w:val="none"/>
              </w:rPr>
              <w:t>符合国家及行业相关规定要求且符合采购人需求</w:t>
            </w:r>
            <w:r>
              <w:rPr>
                <w:rFonts w:hint="eastAsia" w:ascii="宋体" w:hAnsi="宋体" w:eastAsia="宋体" w:cs="宋体"/>
                <w:sz w:val="24"/>
                <w:szCs w:val="24"/>
                <w:highlight w:val="none"/>
              </w:rPr>
              <w:t>。</w:t>
            </w:r>
          </w:p>
        </w:tc>
      </w:tr>
      <w:tr w14:paraId="3277BE36">
        <w:tblPrEx>
          <w:tblCellMar>
            <w:top w:w="0" w:type="dxa"/>
            <w:left w:w="108" w:type="dxa"/>
            <w:bottom w:w="0" w:type="dxa"/>
            <w:right w:w="108" w:type="dxa"/>
          </w:tblCellMar>
        </w:tblPrEx>
        <w:trPr>
          <w:trHeight w:val="62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28262D30">
            <w:pPr>
              <w:widowControl/>
              <w:jc w:val="center"/>
              <w:rPr>
                <w:rFonts w:ascii="宋体" w:hAnsi="宋体" w:eastAsia="宋体" w:cs="Calibri"/>
                <w:kern w:val="0"/>
                <w:sz w:val="24"/>
                <w:highlight w:val="none"/>
              </w:rPr>
            </w:pPr>
            <w:r>
              <w:rPr>
                <w:rFonts w:hint="eastAsia" w:ascii="宋体" w:hAnsi="宋体" w:eastAsia="宋体" w:cs="Calibri"/>
                <w:kern w:val="0"/>
                <w:sz w:val="24"/>
                <w:highlight w:val="none"/>
              </w:rPr>
              <w:t>7</w:t>
            </w:r>
          </w:p>
        </w:tc>
        <w:tc>
          <w:tcPr>
            <w:tcW w:w="2070" w:type="dxa"/>
            <w:tcBorders>
              <w:top w:val="single" w:color="auto" w:sz="4" w:space="0"/>
              <w:left w:val="nil"/>
              <w:bottom w:val="single" w:color="auto" w:sz="4" w:space="0"/>
              <w:right w:val="single" w:color="auto" w:sz="4" w:space="0"/>
            </w:tcBorders>
            <w:vAlign w:val="center"/>
          </w:tcPr>
          <w:p w14:paraId="5BA0403C">
            <w:pPr>
              <w:widowControl/>
              <w:jc w:val="center"/>
              <w:rPr>
                <w:rFonts w:ascii="宋体" w:hAnsi="宋体" w:eastAsia="宋体" w:cs="Calibri"/>
                <w:kern w:val="0"/>
                <w:sz w:val="24"/>
                <w:highlight w:val="none"/>
              </w:rPr>
            </w:pPr>
            <w:r>
              <w:rPr>
                <w:rFonts w:hint="eastAsia" w:ascii="宋体" w:hAnsi="宋体" w:eastAsia="宋体" w:cs="Calibri"/>
                <w:kern w:val="0"/>
                <w:sz w:val="24"/>
                <w:highlight w:val="none"/>
              </w:rPr>
              <w:t>质保期</w:t>
            </w:r>
          </w:p>
        </w:tc>
        <w:tc>
          <w:tcPr>
            <w:tcW w:w="6353" w:type="dxa"/>
            <w:tcBorders>
              <w:top w:val="single" w:color="auto" w:sz="4" w:space="0"/>
              <w:left w:val="nil"/>
              <w:bottom w:val="single" w:color="auto" w:sz="4" w:space="0"/>
              <w:right w:val="single" w:color="auto" w:sz="4" w:space="0"/>
            </w:tcBorders>
            <w:vAlign w:val="center"/>
          </w:tcPr>
          <w:p w14:paraId="2DCD27AC">
            <w:pPr>
              <w:widowControl/>
              <w:rPr>
                <w:rFonts w:ascii="宋体" w:hAnsi="宋体" w:eastAsia="宋体" w:cs="宋体"/>
                <w:bCs/>
                <w:color w:val="000000"/>
                <w:sz w:val="24"/>
                <w:szCs w:val="28"/>
                <w:highlight w:val="none"/>
              </w:rPr>
            </w:pPr>
            <w:r>
              <w:rPr>
                <w:rFonts w:hint="eastAsia" w:ascii="宋体" w:hAnsi="宋体" w:eastAsia="宋体" w:cs="宋体"/>
                <w:bCs/>
                <w:color w:val="000000" w:themeColor="text1"/>
                <w:sz w:val="24"/>
                <w:szCs w:val="28"/>
                <w:highlight w:val="none"/>
                <w14:textFill>
                  <w14:solidFill>
                    <w14:schemeClr w14:val="tx1"/>
                  </w14:solidFill>
                </w14:textFill>
              </w:rPr>
              <w:t>一年</w:t>
            </w:r>
          </w:p>
        </w:tc>
      </w:tr>
      <w:tr w14:paraId="5ADC78E2">
        <w:tblPrEx>
          <w:tblCellMar>
            <w:top w:w="0" w:type="dxa"/>
            <w:left w:w="108" w:type="dxa"/>
            <w:bottom w:w="0" w:type="dxa"/>
            <w:right w:w="108" w:type="dxa"/>
          </w:tblCellMar>
        </w:tblPrEx>
        <w:trPr>
          <w:trHeight w:val="49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6C8F775">
            <w:pPr>
              <w:widowControl/>
              <w:jc w:val="center"/>
              <w:rPr>
                <w:rFonts w:ascii="宋体" w:hAnsi="宋体" w:eastAsia="宋体" w:cs="Calibri"/>
                <w:kern w:val="0"/>
                <w:sz w:val="24"/>
                <w:highlight w:val="none"/>
              </w:rPr>
            </w:pPr>
            <w:r>
              <w:rPr>
                <w:rFonts w:hint="eastAsia" w:ascii="宋体" w:hAnsi="宋体" w:eastAsia="宋体" w:cs="Calibri"/>
                <w:kern w:val="0"/>
                <w:sz w:val="24"/>
                <w:highlight w:val="none"/>
              </w:rPr>
              <w:t>8</w:t>
            </w:r>
          </w:p>
        </w:tc>
        <w:tc>
          <w:tcPr>
            <w:tcW w:w="2070" w:type="dxa"/>
            <w:tcBorders>
              <w:top w:val="single" w:color="auto" w:sz="4" w:space="0"/>
              <w:left w:val="nil"/>
              <w:bottom w:val="single" w:color="auto" w:sz="4" w:space="0"/>
              <w:right w:val="single" w:color="auto" w:sz="4" w:space="0"/>
            </w:tcBorders>
            <w:vAlign w:val="center"/>
          </w:tcPr>
          <w:p w14:paraId="56CA152D">
            <w:pPr>
              <w:widowControl/>
              <w:jc w:val="center"/>
              <w:rPr>
                <w:rFonts w:hint="eastAsia" w:ascii="宋体" w:hAnsi="宋体" w:eastAsia="宋体" w:cs="Calibri"/>
                <w:kern w:val="0"/>
                <w:sz w:val="24"/>
                <w:highlight w:val="none"/>
                <w:lang w:eastAsia="zh-CN"/>
              </w:rPr>
            </w:pPr>
            <w:r>
              <w:rPr>
                <w:rFonts w:hint="eastAsia" w:ascii="宋体" w:hAnsi="宋体" w:eastAsia="宋体" w:cs="Calibri"/>
                <w:kern w:val="0"/>
                <w:sz w:val="24"/>
                <w:highlight w:val="none"/>
                <w:lang w:eastAsia="zh-CN"/>
              </w:rPr>
              <w:t>交货期</w:t>
            </w:r>
          </w:p>
        </w:tc>
        <w:tc>
          <w:tcPr>
            <w:tcW w:w="6353" w:type="dxa"/>
            <w:tcBorders>
              <w:top w:val="single" w:color="auto" w:sz="4" w:space="0"/>
              <w:left w:val="nil"/>
              <w:bottom w:val="single" w:color="auto" w:sz="4" w:space="0"/>
              <w:right w:val="single" w:color="auto" w:sz="4" w:space="0"/>
            </w:tcBorders>
            <w:vAlign w:val="center"/>
          </w:tcPr>
          <w:p w14:paraId="219B38BD">
            <w:pPr>
              <w:widowControl/>
              <w:rPr>
                <w:rFonts w:hint="eastAsia" w:ascii="宋体" w:hAnsi="宋体" w:eastAsia="宋体" w:cs="宋体"/>
                <w:bCs/>
                <w:color w:val="000000"/>
                <w:sz w:val="24"/>
                <w:szCs w:val="28"/>
                <w:highlight w:val="none"/>
                <w:lang w:eastAsia="zh-CN"/>
              </w:rPr>
            </w:pPr>
            <w:r>
              <w:rPr>
                <w:rFonts w:hint="eastAsia" w:ascii="宋体" w:hAnsi="宋体" w:eastAsia="宋体" w:cs="宋体"/>
                <w:bCs/>
                <w:color w:val="000000"/>
                <w:sz w:val="24"/>
                <w:szCs w:val="28"/>
                <w:highlight w:val="none"/>
                <w:lang w:eastAsia="zh-CN"/>
              </w:rPr>
              <w:t>一年</w:t>
            </w:r>
          </w:p>
        </w:tc>
      </w:tr>
      <w:tr w14:paraId="75D791A6">
        <w:tblPrEx>
          <w:tblCellMar>
            <w:top w:w="0" w:type="dxa"/>
            <w:left w:w="108" w:type="dxa"/>
            <w:bottom w:w="0" w:type="dxa"/>
            <w:right w:w="108" w:type="dxa"/>
          </w:tblCellMar>
        </w:tblPrEx>
        <w:trPr>
          <w:trHeight w:val="52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57166837">
            <w:pPr>
              <w:widowControl/>
              <w:jc w:val="center"/>
              <w:rPr>
                <w:rFonts w:ascii="宋体" w:hAnsi="宋体" w:eastAsia="宋体" w:cs="Calibri"/>
                <w:sz w:val="24"/>
                <w:highlight w:val="none"/>
              </w:rPr>
            </w:pPr>
            <w:r>
              <w:rPr>
                <w:rFonts w:hint="eastAsia" w:ascii="宋体" w:hAnsi="宋体" w:eastAsia="宋体" w:cs="Calibri"/>
                <w:kern w:val="0"/>
                <w:sz w:val="24"/>
                <w:highlight w:val="none"/>
              </w:rPr>
              <w:t>9</w:t>
            </w:r>
          </w:p>
        </w:tc>
        <w:tc>
          <w:tcPr>
            <w:tcW w:w="2070" w:type="dxa"/>
            <w:tcBorders>
              <w:top w:val="single" w:color="auto" w:sz="4" w:space="0"/>
              <w:left w:val="nil"/>
              <w:bottom w:val="single" w:color="auto" w:sz="4" w:space="0"/>
              <w:right w:val="single" w:color="auto" w:sz="4" w:space="0"/>
            </w:tcBorders>
            <w:vAlign w:val="center"/>
          </w:tcPr>
          <w:p w14:paraId="11A8F853">
            <w:pPr>
              <w:widowControl/>
              <w:jc w:val="center"/>
              <w:rPr>
                <w:rFonts w:ascii="宋体" w:hAnsi="宋体" w:eastAsia="宋体" w:cs="Calibri"/>
                <w:sz w:val="24"/>
                <w:highlight w:val="none"/>
              </w:rPr>
            </w:pPr>
            <w:r>
              <w:rPr>
                <w:rFonts w:hint="eastAsia" w:ascii="宋体" w:hAnsi="宋体" w:eastAsia="宋体" w:cs="Calibri"/>
                <w:kern w:val="0"/>
                <w:sz w:val="24"/>
                <w:highlight w:val="none"/>
              </w:rPr>
              <w:t>资格要求</w:t>
            </w:r>
          </w:p>
        </w:tc>
        <w:tc>
          <w:tcPr>
            <w:tcW w:w="6353" w:type="dxa"/>
            <w:tcBorders>
              <w:top w:val="single" w:color="auto" w:sz="4" w:space="0"/>
              <w:left w:val="nil"/>
              <w:bottom w:val="single" w:color="auto" w:sz="4" w:space="0"/>
              <w:right w:val="single" w:color="auto" w:sz="4" w:space="0"/>
            </w:tcBorders>
            <w:vAlign w:val="center"/>
          </w:tcPr>
          <w:p w14:paraId="420B84BC">
            <w:pPr>
              <w:spacing w:line="360" w:lineRule="auto"/>
              <w:ind w:firstLine="566" w:firstLineChars="236"/>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1.满足《中华人民共和国政府采购法》第二十二条规定</w:t>
            </w:r>
            <w:r>
              <w:rPr>
                <w:rFonts w:hint="eastAsia" w:ascii="宋体" w:hAnsi="宋体" w:eastAsia="宋体" w:cs="宋体"/>
                <w:sz w:val="24"/>
                <w:szCs w:val="24"/>
                <w:highlight w:val="none"/>
                <w:lang w:eastAsia="zh-CN"/>
              </w:rPr>
              <w:t>；</w:t>
            </w:r>
            <w:bookmarkStart w:id="311" w:name="_GoBack"/>
            <w:bookmarkEnd w:id="311"/>
          </w:p>
          <w:p w14:paraId="73893E33">
            <w:pPr>
              <w:spacing w:line="360" w:lineRule="auto"/>
              <w:ind w:firstLine="566" w:firstLineChars="236"/>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落实政府采购政策满足的资格：要求</w:t>
            </w:r>
            <w:r>
              <w:rPr>
                <w:rFonts w:hint="eastAsia" w:ascii="宋体" w:hAnsi="宋体"/>
                <w:sz w:val="24"/>
                <w:highlight w:val="none"/>
                <w:lang w:val="en-US" w:eastAsia="zh-CN"/>
              </w:rPr>
              <w:t>本项目专门面向中小企业采购（监狱企业、残疾人福利性企业视同小微企业）</w:t>
            </w:r>
            <w:r>
              <w:rPr>
                <w:rFonts w:hint="eastAsia" w:ascii="宋体" w:hAnsi="宋体" w:eastAsia="宋体" w:cs="宋体"/>
                <w:sz w:val="24"/>
                <w:szCs w:val="24"/>
                <w:highlight w:val="none"/>
                <w:lang w:eastAsia="zh-CN"/>
              </w:rPr>
              <w:t>；</w:t>
            </w:r>
          </w:p>
          <w:p w14:paraId="03D1C0B4">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3.本项目的特定资格要求：</w:t>
            </w:r>
          </w:p>
          <w:p w14:paraId="6BDB3552">
            <w:pPr>
              <w:spacing w:line="360" w:lineRule="auto"/>
              <w:ind w:firstLine="566" w:firstLineChars="236"/>
              <w:rPr>
                <w:rFonts w:hint="eastAsia" w:ascii="宋体" w:hAnsi="宋体" w:eastAsia="宋体" w:cs="宋体"/>
                <w:sz w:val="24"/>
                <w:szCs w:val="24"/>
                <w:highlight w:val="none"/>
              </w:rPr>
            </w:pPr>
            <w:r>
              <w:rPr>
                <w:rFonts w:hint="eastAsia" w:ascii="宋体" w:hAnsi="宋体" w:eastAsia="宋体" w:cs="宋体"/>
                <w:sz w:val="24"/>
                <w:szCs w:val="24"/>
                <w:highlight w:val="none"/>
              </w:rPr>
              <w:t>3.1供应商具有有效的营业执照；</w:t>
            </w:r>
          </w:p>
          <w:p w14:paraId="2921F7C3">
            <w:pPr>
              <w:spacing w:line="360" w:lineRule="auto"/>
              <w:ind w:firstLine="566" w:firstLineChars="236"/>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3.2</w:t>
            </w:r>
            <w:r>
              <w:rPr>
                <w:rFonts w:hint="eastAsia" w:ascii="宋体" w:hAnsi="宋体" w:eastAsia="宋体" w:cs="宋体"/>
                <w:sz w:val="24"/>
                <w:szCs w:val="24"/>
                <w:highlight w:val="none"/>
                <w:lang w:val="zh-CN"/>
              </w:rPr>
              <w:t>供应商须在人员、</w:t>
            </w:r>
            <w:r>
              <w:rPr>
                <w:rFonts w:hint="eastAsia" w:ascii="宋体" w:hAnsi="宋体" w:eastAsia="宋体" w:cs="宋体"/>
                <w:sz w:val="24"/>
                <w:szCs w:val="24"/>
                <w:highlight w:val="none"/>
                <w:lang w:val="zh-CN" w:eastAsia="zh-CN"/>
              </w:rPr>
              <w:t>设备及</w:t>
            </w:r>
            <w:r>
              <w:rPr>
                <w:rFonts w:hint="eastAsia" w:ascii="宋体" w:hAnsi="宋体" w:eastAsia="宋体" w:cs="宋体"/>
                <w:sz w:val="24"/>
                <w:szCs w:val="24"/>
                <w:highlight w:val="none"/>
                <w:lang w:val="zh-CN"/>
              </w:rPr>
              <w:t>资金等方面具有相应的施工能力</w:t>
            </w:r>
            <w:r>
              <w:rPr>
                <w:rFonts w:hint="eastAsia" w:ascii="宋体" w:hAnsi="宋体" w:eastAsia="宋体" w:cs="宋体"/>
                <w:sz w:val="24"/>
                <w:szCs w:val="24"/>
                <w:highlight w:val="none"/>
                <w:lang w:val="zh-CN" w:eastAsia="zh-CN"/>
              </w:rPr>
              <w:t>，并自行承诺</w:t>
            </w:r>
            <w:r>
              <w:rPr>
                <w:rFonts w:hint="eastAsia" w:ascii="宋体" w:hAnsi="宋体" w:eastAsia="宋体" w:cs="宋体"/>
                <w:sz w:val="24"/>
                <w:szCs w:val="24"/>
                <w:highlight w:val="none"/>
              </w:rPr>
              <w:t>；</w:t>
            </w:r>
          </w:p>
          <w:p w14:paraId="48B87648">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供应商出具无行贿犯罪记录，在中国裁判文书网自行查询或自行承诺（查询对象：企业、法定代表人）；</w:t>
            </w:r>
          </w:p>
          <w:p w14:paraId="2A098EE3">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供应商需提供无商业贿赂及无不正当竞争行为的承诺书；</w:t>
            </w:r>
          </w:p>
          <w:p w14:paraId="329B66C3">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截图需显示查询时间，查询时间：自公告发布之日起至投标截止时间前）；</w:t>
            </w:r>
          </w:p>
          <w:p w14:paraId="35382F53">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单位负责人为同一人或者存在直接控股、管理关系的不同投标人，不得参加同一合同项下的采购活动；（提供“国家企业信用信息公示系统”中查询打印的相关信息（查询信息需包含公司基本信息、股东信息及股权变更信息等相关信息，查询日期为本项目公告发布之后至开标截止时间止））；</w:t>
            </w:r>
          </w:p>
          <w:p w14:paraId="72CF2DF5">
            <w:pPr>
              <w:spacing w:line="360" w:lineRule="auto"/>
              <w:ind w:firstLine="566" w:firstLineChars="236"/>
              <w:rPr>
                <w:rFonts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本项目不接受联合体投标，提供非联合体投标承诺，格式自拟。</w:t>
            </w:r>
          </w:p>
          <w:p w14:paraId="6AE888DE">
            <w:pPr>
              <w:widowControl/>
              <w:spacing w:line="480" w:lineRule="exact"/>
              <w:rPr>
                <w:rFonts w:ascii="宋体" w:hAnsi="宋体" w:eastAsia="宋体" w:cs="宋体"/>
                <w:b/>
                <w:kern w:val="0"/>
                <w:sz w:val="24"/>
                <w:highlight w:val="none"/>
                <w:lang w:bidi="ar"/>
              </w:rPr>
            </w:pPr>
            <w:r>
              <w:rPr>
                <w:rFonts w:hint="eastAsia" w:ascii="宋体" w:hAnsi="宋体" w:eastAsia="宋体" w:cs="宋体"/>
                <w:b/>
                <w:kern w:val="0"/>
                <w:sz w:val="24"/>
                <w:highlight w:val="none"/>
                <w:lang w:bidi="ar"/>
              </w:rPr>
              <w:t>注：本次磋商实行资格后审，资格评审以投标文件为准，其上传资料真实性由供应商自行承担，同时供应商要完善主体库。</w:t>
            </w:r>
          </w:p>
        </w:tc>
      </w:tr>
      <w:tr w14:paraId="1C6929C6">
        <w:tblPrEx>
          <w:tblCellMar>
            <w:top w:w="0" w:type="dxa"/>
            <w:left w:w="108" w:type="dxa"/>
            <w:bottom w:w="0" w:type="dxa"/>
            <w:right w:w="108" w:type="dxa"/>
          </w:tblCellMar>
        </w:tblPrEx>
        <w:trPr>
          <w:trHeight w:val="57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69FB87CF">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10</w:t>
            </w:r>
          </w:p>
        </w:tc>
        <w:tc>
          <w:tcPr>
            <w:tcW w:w="2070" w:type="dxa"/>
            <w:tcBorders>
              <w:top w:val="single" w:color="auto" w:sz="4" w:space="0"/>
              <w:left w:val="nil"/>
              <w:bottom w:val="single" w:color="auto" w:sz="4" w:space="0"/>
              <w:right w:val="single" w:color="auto" w:sz="4" w:space="0"/>
            </w:tcBorders>
            <w:vAlign w:val="center"/>
          </w:tcPr>
          <w:p w14:paraId="71960FCD">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投标保证金</w:t>
            </w:r>
          </w:p>
        </w:tc>
        <w:tc>
          <w:tcPr>
            <w:tcW w:w="6353" w:type="dxa"/>
            <w:tcBorders>
              <w:top w:val="single" w:color="auto" w:sz="4" w:space="0"/>
              <w:left w:val="nil"/>
              <w:bottom w:val="single" w:color="auto" w:sz="4" w:space="0"/>
              <w:right w:val="single" w:color="auto" w:sz="4" w:space="0"/>
            </w:tcBorders>
            <w:vAlign w:val="center"/>
          </w:tcPr>
          <w:p w14:paraId="24E91220">
            <w:pPr>
              <w:widowControl/>
              <w:spacing w:line="360" w:lineRule="auto"/>
              <w:rPr>
                <w:rFonts w:ascii="宋体" w:hAnsi="宋体" w:eastAsia="宋体" w:cs="Calibri"/>
                <w:sz w:val="24"/>
                <w:highlight w:val="none"/>
              </w:rPr>
            </w:pPr>
            <w:r>
              <w:rPr>
                <w:rFonts w:hint="eastAsia" w:ascii="宋体" w:hAnsi="宋体" w:eastAsia="宋体" w:cs="Times New Roman"/>
                <w:sz w:val="24"/>
                <w:highlight w:val="none"/>
              </w:rPr>
              <w:t>根据《河南省财政厅关于优化政府采购营商环境有关问题的通知》（豫财购【2019】4号）第6条的规定，投标保证金不再收取。</w:t>
            </w:r>
          </w:p>
        </w:tc>
      </w:tr>
      <w:tr w14:paraId="651E6D48">
        <w:tblPrEx>
          <w:tblCellMar>
            <w:top w:w="0" w:type="dxa"/>
            <w:left w:w="108" w:type="dxa"/>
            <w:bottom w:w="0" w:type="dxa"/>
            <w:right w:w="108" w:type="dxa"/>
          </w:tblCellMar>
        </w:tblPrEx>
        <w:trPr>
          <w:trHeight w:val="954"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97443BC">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11</w:t>
            </w:r>
          </w:p>
        </w:tc>
        <w:tc>
          <w:tcPr>
            <w:tcW w:w="2070" w:type="dxa"/>
            <w:tcBorders>
              <w:top w:val="single" w:color="auto" w:sz="4" w:space="0"/>
              <w:left w:val="nil"/>
              <w:bottom w:val="single" w:color="auto" w:sz="4" w:space="0"/>
              <w:right w:val="single" w:color="auto" w:sz="4" w:space="0"/>
            </w:tcBorders>
            <w:vAlign w:val="center"/>
          </w:tcPr>
          <w:p w14:paraId="4C573C9E">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响应性文件递交截止时间及地点</w:t>
            </w:r>
          </w:p>
        </w:tc>
        <w:tc>
          <w:tcPr>
            <w:tcW w:w="6353" w:type="dxa"/>
            <w:tcBorders>
              <w:top w:val="single" w:color="auto" w:sz="4" w:space="0"/>
              <w:left w:val="nil"/>
              <w:bottom w:val="single" w:color="auto" w:sz="4" w:space="0"/>
              <w:right w:val="single" w:color="auto" w:sz="4" w:space="0"/>
            </w:tcBorders>
            <w:vAlign w:val="center"/>
          </w:tcPr>
          <w:p w14:paraId="49BD5184">
            <w:pPr>
              <w:widowControl/>
              <w:spacing w:line="360" w:lineRule="auto"/>
              <w:jc w:val="left"/>
              <w:rPr>
                <w:rFonts w:ascii="宋体" w:hAnsi="宋体" w:eastAsia="宋体" w:cs="Calibri"/>
                <w:b/>
                <w:bCs/>
                <w:color w:val="000000" w:themeColor="text1"/>
                <w:kern w:val="0"/>
                <w:sz w:val="24"/>
                <w:highlight w:val="none"/>
                <w14:textFill>
                  <w14:solidFill>
                    <w14:schemeClr w14:val="tx1"/>
                  </w14:solidFill>
                </w14:textFill>
              </w:rPr>
            </w:pPr>
            <w:r>
              <w:rPr>
                <w:rFonts w:ascii="宋体" w:hAnsi="宋体" w:eastAsia="宋体" w:cs="Calibri"/>
                <w:b/>
                <w:bCs/>
                <w:color w:val="000000" w:themeColor="text1"/>
                <w:kern w:val="0"/>
                <w:sz w:val="24"/>
                <w:highlight w:val="none"/>
                <w14:textFill>
                  <w14:solidFill>
                    <w14:schemeClr w14:val="tx1"/>
                  </w14:solidFill>
                </w14:textFill>
              </w:rPr>
              <w:t>2026年</w:t>
            </w:r>
            <w:r>
              <w:rPr>
                <w:rFonts w:hint="eastAsia" w:ascii="宋体" w:hAnsi="宋体" w:eastAsia="宋体" w:cs="Calibri"/>
                <w:b/>
                <w:bCs/>
                <w:color w:val="000000" w:themeColor="text1"/>
                <w:kern w:val="0"/>
                <w:sz w:val="24"/>
                <w:highlight w:val="none"/>
                <w:lang w:eastAsia="zh-CN"/>
                <w14:textFill>
                  <w14:solidFill>
                    <w14:schemeClr w14:val="tx1"/>
                  </w14:solidFill>
                </w14:textFill>
              </w:rPr>
              <w:t>10月08日</w:t>
            </w:r>
            <w:r>
              <w:rPr>
                <w:rFonts w:ascii="宋体" w:hAnsi="宋体" w:eastAsia="宋体" w:cs="Calibri"/>
                <w:b/>
                <w:bCs/>
                <w:color w:val="000000" w:themeColor="text1"/>
                <w:kern w:val="0"/>
                <w:sz w:val="24"/>
                <w:highlight w:val="none"/>
                <w14:textFill>
                  <w14:solidFill>
                    <w14:schemeClr w14:val="tx1"/>
                  </w14:solidFill>
                </w14:textFill>
              </w:rPr>
              <w:t>8时20分</w:t>
            </w:r>
            <w:r>
              <w:rPr>
                <w:rFonts w:hint="eastAsia" w:ascii="宋体" w:hAnsi="宋体" w:eastAsia="宋体" w:cs="Calibri"/>
                <w:b/>
                <w:bCs/>
                <w:color w:val="000000" w:themeColor="text1"/>
                <w:kern w:val="0"/>
                <w:sz w:val="24"/>
                <w:highlight w:val="none"/>
                <w14:textFill>
                  <w14:solidFill>
                    <w14:schemeClr w14:val="tx1"/>
                  </w14:solidFill>
                </w14:textFill>
              </w:rPr>
              <w:t>（北京时间）</w:t>
            </w:r>
          </w:p>
          <w:p w14:paraId="7EECFFCE">
            <w:pPr>
              <w:widowControl/>
              <w:spacing w:line="360" w:lineRule="auto"/>
              <w:jc w:val="left"/>
              <w:rPr>
                <w:rFonts w:ascii="宋体" w:hAnsi="宋体" w:eastAsia="宋体" w:cs="Calibri"/>
                <w:b/>
                <w:bCs/>
                <w:kern w:val="0"/>
                <w:sz w:val="24"/>
                <w:highlight w:val="none"/>
              </w:rPr>
            </w:pPr>
            <w:r>
              <w:rPr>
                <w:rFonts w:hint="eastAsia" w:ascii="宋体" w:hAnsi="宋体" w:eastAsia="宋体" w:cs="宋体"/>
                <w:sz w:val="24"/>
                <w:highlight w:val="none"/>
              </w:rPr>
              <w:t>上传至三门峡市公共资源交易中心系统</w:t>
            </w:r>
          </w:p>
        </w:tc>
      </w:tr>
      <w:tr w14:paraId="0580F9EC">
        <w:tblPrEx>
          <w:tblCellMar>
            <w:top w:w="0" w:type="dxa"/>
            <w:left w:w="108" w:type="dxa"/>
            <w:bottom w:w="0" w:type="dxa"/>
            <w:right w:w="108" w:type="dxa"/>
          </w:tblCellMar>
        </w:tblPrEx>
        <w:trPr>
          <w:trHeight w:val="46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5B534F47">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12</w:t>
            </w:r>
          </w:p>
        </w:tc>
        <w:tc>
          <w:tcPr>
            <w:tcW w:w="2070" w:type="dxa"/>
            <w:tcBorders>
              <w:top w:val="single" w:color="auto" w:sz="4" w:space="0"/>
              <w:left w:val="nil"/>
              <w:bottom w:val="single" w:color="auto" w:sz="4" w:space="0"/>
              <w:right w:val="single" w:color="auto" w:sz="4" w:space="0"/>
            </w:tcBorders>
            <w:vAlign w:val="center"/>
          </w:tcPr>
          <w:p w14:paraId="261534C1">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开标时间及地点</w:t>
            </w:r>
          </w:p>
        </w:tc>
        <w:tc>
          <w:tcPr>
            <w:tcW w:w="6353" w:type="dxa"/>
            <w:tcBorders>
              <w:top w:val="single" w:color="auto" w:sz="4" w:space="0"/>
              <w:left w:val="nil"/>
              <w:bottom w:val="single" w:color="auto" w:sz="4" w:space="0"/>
              <w:right w:val="single" w:color="auto" w:sz="4" w:space="0"/>
            </w:tcBorders>
            <w:vAlign w:val="center"/>
          </w:tcPr>
          <w:p w14:paraId="1695A16A">
            <w:pPr>
              <w:widowControl/>
              <w:spacing w:line="360" w:lineRule="auto"/>
              <w:jc w:val="left"/>
              <w:rPr>
                <w:rFonts w:ascii="宋体" w:hAnsi="宋体" w:eastAsia="宋体" w:cs="Calibri"/>
                <w:b/>
                <w:bCs/>
                <w:color w:val="000000" w:themeColor="text1"/>
                <w:kern w:val="0"/>
                <w:sz w:val="24"/>
                <w:highlight w:val="none"/>
                <w14:textFill>
                  <w14:solidFill>
                    <w14:schemeClr w14:val="tx1"/>
                  </w14:solidFill>
                </w14:textFill>
              </w:rPr>
            </w:pPr>
            <w:r>
              <w:rPr>
                <w:rFonts w:ascii="宋体" w:hAnsi="宋体" w:eastAsia="宋体" w:cs="Calibri"/>
                <w:b/>
                <w:bCs/>
                <w:color w:val="000000" w:themeColor="text1"/>
                <w:kern w:val="0"/>
                <w:sz w:val="24"/>
                <w:highlight w:val="none"/>
                <w14:textFill>
                  <w14:solidFill>
                    <w14:schemeClr w14:val="tx1"/>
                  </w14:solidFill>
                </w14:textFill>
              </w:rPr>
              <w:t>2026年</w:t>
            </w:r>
            <w:r>
              <w:rPr>
                <w:rFonts w:hint="eastAsia" w:ascii="宋体" w:hAnsi="宋体" w:eastAsia="宋体" w:cs="Calibri"/>
                <w:b/>
                <w:bCs/>
                <w:color w:val="000000" w:themeColor="text1"/>
                <w:kern w:val="0"/>
                <w:sz w:val="24"/>
                <w:highlight w:val="none"/>
                <w:lang w:eastAsia="zh-CN"/>
                <w14:textFill>
                  <w14:solidFill>
                    <w14:schemeClr w14:val="tx1"/>
                  </w14:solidFill>
                </w14:textFill>
              </w:rPr>
              <w:t>10月08日</w:t>
            </w:r>
            <w:r>
              <w:rPr>
                <w:rFonts w:ascii="宋体" w:hAnsi="宋体" w:eastAsia="宋体" w:cs="Calibri"/>
                <w:b/>
                <w:bCs/>
                <w:color w:val="000000" w:themeColor="text1"/>
                <w:kern w:val="0"/>
                <w:sz w:val="24"/>
                <w:highlight w:val="none"/>
                <w14:textFill>
                  <w14:solidFill>
                    <w14:schemeClr w14:val="tx1"/>
                  </w14:solidFill>
                </w14:textFill>
              </w:rPr>
              <w:t>8时20分</w:t>
            </w:r>
            <w:r>
              <w:rPr>
                <w:rFonts w:hint="eastAsia" w:ascii="宋体" w:hAnsi="宋体" w:eastAsia="宋体" w:cs="Calibri"/>
                <w:b/>
                <w:bCs/>
                <w:color w:val="000000" w:themeColor="text1"/>
                <w:kern w:val="0"/>
                <w:sz w:val="24"/>
                <w:highlight w:val="none"/>
                <w14:textFill>
                  <w14:solidFill>
                    <w14:schemeClr w14:val="tx1"/>
                  </w14:solidFill>
                </w14:textFill>
              </w:rPr>
              <w:t>（北京时间）</w:t>
            </w:r>
          </w:p>
          <w:p w14:paraId="055E160F">
            <w:pPr>
              <w:widowControl/>
              <w:spacing w:line="360" w:lineRule="auto"/>
              <w:jc w:val="left"/>
              <w:rPr>
                <w:rFonts w:ascii="宋体" w:hAnsi="宋体" w:eastAsia="宋体" w:cs="Calibri"/>
                <w:b/>
                <w:bCs/>
                <w:kern w:val="0"/>
                <w:sz w:val="24"/>
                <w:highlight w:val="none"/>
              </w:rPr>
            </w:pPr>
            <w:r>
              <w:rPr>
                <w:rFonts w:hint="eastAsia"/>
                <w:color w:val="auto"/>
                <w:sz w:val="24"/>
                <w:szCs w:val="28"/>
                <w:highlight w:val="none"/>
                <w:shd w:val="clear" w:color="auto" w:fill="FFFFFF"/>
                <w:lang w:eastAsia="zh-CN"/>
              </w:rPr>
              <w:t>三门峡市</w:t>
            </w:r>
            <w:r>
              <w:rPr>
                <w:rFonts w:hint="eastAsia"/>
                <w:color w:val="auto"/>
                <w:sz w:val="24"/>
                <w:szCs w:val="28"/>
                <w:highlight w:val="none"/>
                <w:shd w:val="clear" w:color="auto" w:fill="FFFFFF"/>
                <w:lang w:val="en-US" w:eastAsia="zh-CN"/>
              </w:rPr>
              <w:t>陕州区</w:t>
            </w:r>
            <w:r>
              <w:rPr>
                <w:rFonts w:hint="eastAsia"/>
                <w:color w:val="auto"/>
                <w:sz w:val="24"/>
                <w:szCs w:val="28"/>
                <w:highlight w:val="none"/>
                <w:shd w:val="clear" w:color="auto" w:fill="FFFFFF"/>
                <w:lang w:eastAsia="zh-CN"/>
              </w:rPr>
              <w:t>公共资源交易中心开标室</w:t>
            </w:r>
          </w:p>
        </w:tc>
      </w:tr>
      <w:tr w14:paraId="04AE6931">
        <w:tblPrEx>
          <w:tblCellMar>
            <w:top w:w="0" w:type="dxa"/>
            <w:left w:w="108" w:type="dxa"/>
            <w:bottom w:w="0" w:type="dxa"/>
            <w:right w:w="108" w:type="dxa"/>
          </w:tblCellMar>
        </w:tblPrEx>
        <w:trPr>
          <w:trHeight w:val="518"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0007640">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13</w:t>
            </w:r>
          </w:p>
        </w:tc>
        <w:tc>
          <w:tcPr>
            <w:tcW w:w="2070" w:type="dxa"/>
            <w:tcBorders>
              <w:top w:val="single" w:color="auto" w:sz="4" w:space="0"/>
              <w:left w:val="nil"/>
              <w:bottom w:val="single" w:color="auto" w:sz="4" w:space="0"/>
              <w:right w:val="single" w:color="auto" w:sz="4" w:space="0"/>
            </w:tcBorders>
            <w:vAlign w:val="center"/>
          </w:tcPr>
          <w:p w14:paraId="6CC552D5">
            <w:pPr>
              <w:widowControl/>
              <w:spacing w:line="360" w:lineRule="auto"/>
              <w:jc w:val="center"/>
              <w:rPr>
                <w:rFonts w:ascii="宋体" w:hAnsi="宋体" w:eastAsia="宋体" w:cs="Calibri"/>
                <w:b/>
                <w:bCs/>
                <w:sz w:val="24"/>
                <w:highlight w:val="none"/>
              </w:rPr>
            </w:pPr>
            <w:r>
              <w:rPr>
                <w:rFonts w:hint="eastAsia" w:ascii="宋体" w:hAnsi="宋体" w:eastAsia="宋体" w:cs="Calibri"/>
                <w:sz w:val="24"/>
                <w:highlight w:val="none"/>
              </w:rPr>
              <w:t>招标控制价</w:t>
            </w:r>
          </w:p>
        </w:tc>
        <w:tc>
          <w:tcPr>
            <w:tcW w:w="6353" w:type="dxa"/>
            <w:tcBorders>
              <w:top w:val="single" w:color="auto" w:sz="4" w:space="0"/>
              <w:left w:val="nil"/>
              <w:bottom w:val="single" w:color="auto" w:sz="4" w:space="0"/>
              <w:right w:val="single" w:color="auto" w:sz="4" w:space="0"/>
            </w:tcBorders>
            <w:vAlign w:val="center"/>
          </w:tcPr>
          <w:p w14:paraId="6907B08F">
            <w:pPr>
              <w:widowControl/>
              <w:spacing w:line="360" w:lineRule="auto"/>
              <w:jc w:val="left"/>
              <w:rPr>
                <w:rFonts w:ascii="宋体" w:hAnsi="宋体" w:eastAsia="宋体" w:cs="Calibri"/>
                <w:b/>
                <w:bCs/>
                <w:sz w:val="24"/>
                <w:highlight w:val="none"/>
              </w:rPr>
            </w:pPr>
            <w:r>
              <w:rPr>
                <w:rFonts w:hint="eastAsia" w:ascii="宋体" w:hAnsi="宋体" w:eastAsia="宋体" w:cs="Calibri"/>
                <w:b/>
                <w:bCs/>
                <w:sz w:val="24"/>
                <w:highlight w:val="none"/>
                <w:lang w:val="en-US" w:eastAsia="zh-CN"/>
              </w:rPr>
              <w:t>1199256.00</w:t>
            </w:r>
            <w:r>
              <w:rPr>
                <w:rFonts w:hint="eastAsia" w:ascii="宋体" w:hAnsi="宋体" w:eastAsia="宋体" w:cs="Calibri"/>
                <w:b/>
                <w:bCs/>
                <w:sz w:val="24"/>
                <w:highlight w:val="none"/>
              </w:rPr>
              <w:t>元</w:t>
            </w:r>
          </w:p>
          <w:p w14:paraId="670D4F77">
            <w:pPr>
              <w:widowControl/>
              <w:spacing w:line="360" w:lineRule="auto"/>
              <w:jc w:val="left"/>
              <w:rPr>
                <w:rFonts w:ascii="宋体" w:hAnsi="宋体" w:eastAsia="宋体" w:cs="Calibri"/>
                <w:b/>
                <w:bCs/>
                <w:sz w:val="24"/>
                <w:highlight w:val="none"/>
              </w:rPr>
            </w:pPr>
            <w:r>
              <w:rPr>
                <w:rFonts w:hint="eastAsia" w:ascii="宋体" w:hAnsi="宋体" w:eastAsia="宋体" w:cs="Calibri"/>
                <w:b/>
                <w:bCs/>
                <w:sz w:val="24"/>
                <w:highlight w:val="none"/>
              </w:rPr>
              <w:t>供应商的投标报价不得超过最高投标限价，否则视为无效报价。</w:t>
            </w:r>
          </w:p>
        </w:tc>
      </w:tr>
      <w:tr w14:paraId="5252F294">
        <w:tblPrEx>
          <w:tblCellMar>
            <w:top w:w="0" w:type="dxa"/>
            <w:left w:w="108" w:type="dxa"/>
            <w:bottom w:w="0" w:type="dxa"/>
            <w:right w:w="108" w:type="dxa"/>
          </w:tblCellMar>
        </w:tblPrEx>
        <w:trPr>
          <w:trHeight w:val="2022"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20631ED">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14</w:t>
            </w:r>
          </w:p>
        </w:tc>
        <w:tc>
          <w:tcPr>
            <w:tcW w:w="2070" w:type="dxa"/>
            <w:tcBorders>
              <w:top w:val="single" w:color="auto" w:sz="4" w:space="0"/>
              <w:left w:val="nil"/>
              <w:bottom w:val="single" w:color="auto" w:sz="4" w:space="0"/>
              <w:right w:val="single" w:color="auto" w:sz="4" w:space="0"/>
            </w:tcBorders>
            <w:vAlign w:val="center"/>
          </w:tcPr>
          <w:p w14:paraId="32B6229F">
            <w:pPr>
              <w:widowControl/>
              <w:spacing w:line="360" w:lineRule="auto"/>
              <w:jc w:val="center"/>
              <w:rPr>
                <w:rFonts w:ascii="宋体" w:hAnsi="宋体" w:eastAsia="宋体" w:cs="Calibri"/>
                <w:kern w:val="0"/>
                <w:sz w:val="24"/>
                <w:highlight w:val="none"/>
              </w:rPr>
            </w:pPr>
            <w:r>
              <w:rPr>
                <w:rFonts w:hint="eastAsia" w:ascii="宋体" w:hAnsi="宋体" w:eastAsia="宋体" w:cs="Calibri"/>
                <w:kern w:val="0"/>
                <w:sz w:val="24"/>
                <w:highlight w:val="none"/>
              </w:rPr>
              <w:t>磋商小组的</w:t>
            </w:r>
          </w:p>
          <w:p w14:paraId="105AF938">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组建</w:t>
            </w:r>
          </w:p>
        </w:tc>
        <w:tc>
          <w:tcPr>
            <w:tcW w:w="6353" w:type="dxa"/>
            <w:tcBorders>
              <w:top w:val="single" w:color="auto" w:sz="4" w:space="0"/>
              <w:left w:val="nil"/>
              <w:bottom w:val="single" w:color="auto" w:sz="4" w:space="0"/>
              <w:right w:val="single" w:color="auto" w:sz="4" w:space="0"/>
            </w:tcBorders>
            <w:vAlign w:val="center"/>
          </w:tcPr>
          <w:p w14:paraId="0D178973">
            <w:pPr>
              <w:widowControl/>
              <w:spacing w:line="360" w:lineRule="auto"/>
              <w:jc w:val="left"/>
              <w:rPr>
                <w:rFonts w:ascii="宋体" w:hAnsi="宋体" w:eastAsia="宋体" w:cs="Calibri"/>
                <w:sz w:val="24"/>
                <w:highlight w:val="none"/>
              </w:rPr>
            </w:pPr>
            <w:r>
              <w:rPr>
                <w:rFonts w:hint="eastAsia" w:ascii="宋体" w:hAnsi="宋体" w:eastAsia="宋体" w:cs="Calibri"/>
                <w:sz w:val="24"/>
                <w:highlight w:val="none"/>
              </w:rPr>
              <w:t>磋商小组构成：3人；</w:t>
            </w:r>
          </w:p>
          <w:p w14:paraId="5B00CBC7">
            <w:pPr>
              <w:widowControl/>
              <w:spacing w:line="360" w:lineRule="auto"/>
              <w:jc w:val="left"/>
              <w:rPr>
                <w:rFonts w:ascii="宋体" w:hAnsi="宋体" w:eastAsia="宋体" w:cs="Calibri"/>
                <w:sz w:val="24"/>
                <w:highlight w:val="none"/>
              </w:rPr>
            </w:pPr>
            <w:r>
              <w:rPr>
                <w:rFonts w:hint="eastAsia" w:ascii="宋体" w:hAnsi="宋体" w:eastAsia="宋体" w:cs="Calibri"/>
                <w:sz w:val="24"/>
                <w:highlight w:val="none"/>
              </w:rPr>
              <w:t>其中招标人代表1人，经济、技术类专家2人；</w:t>
            </w:r>
          </w:p>
          <w:p w14:paraId="48968AAD">
            <w:pPr>
              <w:widowControl/>
              <w:spacing w:line="360" w:lineRule="auto"/>
              <w:jc w:val="left"/>
              <w:rPr>
                <w:rFonts w:ascii="宋体" w:hAnsi="宋体" w:eastAsia="宋体" w:cs="Calibri"/>
                <w:sz w:val="24"/>
                <w:highlight w:val="none"/>
              </w:rPr>
            </w:pPr>
            <w:r>
              <w:rPr>
                <w:rFonts w:hint="eastAsia" w:ascii="宋体" w:hAnsi="宋体" w:eastAsia="宋体" w:cs="Calibri"/>
                <w:sz w:val="24"/>
                <w:highlight w:val="none"/>
              </w:rPr>
              <w:t>评标专家确定方式：</w:t>
            </w:r>
            <w:r>
              <w:rPr>
                <w:rFonts w:hint="eastAsia" w:ascii="宋体" w:hAnsi="宋体" w:eastAsia="宋体" w:cs="宋体"/>
                <w:kern w:val="0"/>
                <w:sz w:val="24"/>
                <w:szCs w:val="24"/>
                <w:highlight w:val="none"/>
              </w:rPr>
              <w:t>开标当天从河南省政府采购网专家库随机抽取。</w:t>
            </w:r>
          </w:p>
        </w:tc>
      </w:tr>
      <w:tr w14:paraId="0A922319">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5330E88A">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15</w:t>
            </w:r>
          </w:p>
        </w:tc>
        <w:tc>
          <w:tcPr>
            <w:tcW w:w="2070" w:type="dxa"/>
            <w:tcBorders>
              <w:top w:val="single" w:color="auto" w:sz="4" w:space="0"/>
              <w:left w:val="nil"/>
              <w:bottom w:val="single" w:color="auto" w:sz="4" w:space="0"/>
              <w:right w:val="single" w:color="auto" w:sz="4" w:space="0"/>
            </w:tcBorders>
            <w:vAlign w:val="center"/>
          </w:tcPr>
          <w:p w14:paraId="1655C8A2">
            <w:pPr>
              <w:widowControl/>
              <w:spacing w:line="360" w:lineRule="auto"/>
              <w:jc w:val="center"/>
              <w:rPr>
                <w:rFonts w:ascii="宋体" w:hAnsi="宋体" w:eastAsia="宋体" w:cs="Calibri"/>
                <w:kern w:val="0"/>
                <w:sz w:val="24"/>
                <w:highlight w:val="none"/>
              </w:rPr>
            </w:pPr>
            <w:r>
              <w:rPr>
                <w:rFonts w:hint="eastAsia" w:ascii="宋体" w:hAnsi="宋体" w:eastAsia="宋体" w:cs="Calibri"/>
                <w:kern w:val="0"/>
                <w:sz w:val="24"/>
                <w:highlight w:val="none"/>
              </w:rPr>
              <w:t>授权评委小组推荐中标候选人</w:t>
            </w:r>
          </w:p>
        </w:tc>
        <w:tc>
          <w:tcPr>
            <w:tcW w:w="6353" w:type="dxa"/>
            <w:tcBorders>
              <w:top w:val="single" w:color="auto" w:sz="4" w:space="0"/>
              <w:left w:val="nil"/>
              <w:bottom w:val="single" w:color="auto" w:sz="4" w:space="0"/>
              <w:right w:val="single" w:color="auto" w:sz="4" w:space="0"/>
            </w:tcBorders>
            <w:vAlign w:val="center"/>
          </w:tcPr>
          <w:p w14:paraId="73FEA1CD">
            <w:pPr>
              <w:widowControl/>
              <w:spacing w:line="360" w:lineRule="auto"/>
              <w:jc w:val="left"/>
              <w:rPr>
                <w:rFonts w:ascii="宋体" w:hAnsi="宋体" w:eastAsia="宋体" w:cs="Calibri"/>
                <w:kern w:val="0"/>
                <w:sz w:val="24"/>
                <w:highlight w:val="none"/>
              </w:rPr>
            </w:pPr>
            <w:r>
              <w:rPr>
                <w:rFonts w:hint="eastAsia" w:ascii="宋体" w:hAnsi="宋体" w:eastAsia="宋体" w:cs="Calibri"/>
                <w:kern w:val="0"/>
                <w:sz w:val="24"/>
                <w:highlight w:val="none"/>
              </w:rPr>
              <w:t>是，推荐的中标候选人数：3个</w:t>
            </w:r>
          </w:p>
        </w:tc>
      </w:tr>
      <w:tr w14:paraId="5248B8BC">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23591FAB">
            <w:pPr>
              <w:widowControl/>
              <w:spacing w:line="360" w:lineRule="auto"/>
              <w:jc w:val="center"/>
              <w:rPr>
                <w:rFonts w:ascii="宋体" w:hAnsi="宋体" w:eastAsia="宋体" w:cs="Calibri"/>
                <w:kern w:val="0"/>
                <w:sz w:val="24"/>
                <w:highlight w:val="none"/>
              </w:rPr>
            </w:pPr>
            <w:r>
              <w:rPr>
                <w:rFonts w:hint="eastAsia" w:ascii="宋体" w:hAnsi="宋体" w:eastAsia="宋体" w:cs="Calibri"/>
                <w:kern w:val="0"/>
                <w:sz w:val="24"/>
                <w:highlight w:val="none"/>
              </w:rPr>
              <w:t>16</w:t>
            </w:r>
          </w:p>
        </w:tc>
        <w:tc>
          <w:tcPr>
            <w:tcW w:w="2070" w:type="dxa"/>
            <w:tcBorders>
              <w:top w:val="single" w:color="auto" w:sz="4" w:space="0"/>
              <w:left w:val="nil"/>
              <w:bottom w:val="single" w:color="auto" w:sz="4" w:space="0"/>
              <w:right w:val="single" w:color="auto" w:sz="4" w:space="0"/>
            </w:tcBorders>
            <w:vAlign w:val="center"/>
          </w:tcPr>
          <w:p w14:paraId="2D20B5B2">
            <w:pPr>
              <w:widowControl/>
              <w:spacing w:line="360" w:lineRule="auto"/>
              <w:jc w:val="center"/>
              <w:rPr>
                <w:rFonts w:ascii="宋体" w:hAnsi="宋体" w:eastAsia="宋体" w:cs="Calibri"/>
                <w:kern w:val="0"/>
                <w:sz w:val="24"/>
                <w:highlight w:val="none"/>
              </w:rPr>
            </w:pPr>
            <w:r>
              <w:rPr>
                <w:rFonts w:hint="eastAsia" w:ascii="宋体" w:hAnsi="宋体" w:eastAsia="宋体" w:cs="Calibri"/>
                <w:kern w:val="0"/>
                <w:sz w:val="24"/>
                <w:highlight w:val="none"/>
              </w:rPr>
              <w:t>结果公示</w:t>
            </w:r>
          </w:p>
        </w:tc>
        <w:tc>
          <w:tcPr>
            <w:tcW w:w="6353" w:type="dxa"/>
            <w:tcBorders>
              <w:top w:val="single" w:color="auto" w:sz="4" w:space="0"/>
              <w:left w:val="nil"/>
              <w:bottom w:val="single" w:color="auto" w:sz="4" w:space="0"/>
              <w:right w:val="single" w:color="auto" w:sz="4" w:space="0"/>
            </w:tcBorders>
            <w:vAlign w:val="center"/>
          </w:tcPr>
          <w:p w14:paraId="5AE72795">
            <w:pPr>
              <w:widowControl/>
              <w:spacing w:line="360" w:lineRule="auto"/>
              <w:jc w:val="left"/>
              <w:rPr>
                <w:rFonts w:ascii="宋体" w:hAnsi="宋体" w:eastAsia="宋体" w:cs="Calibri"/>
                <w:kern w:val="0"/>
                <w:sz w:val="24"/>
                <w:highlight w:val="none"/>
              </w:rPr>
            </w:pPr>
            <w:r>
              <w:rPr>
                <w:rFonts w:hint="eastAsia" w:ascii="宋体" w:hAnsi="宋体" w:eastAsia="宋体" w:cs="Calibri"/>
                <w:kern w:val="0"/>
                <w:sz w:val="24"/>
                <w:highlight w:val="none"/>
              </w:rPr>
              <w:t>在《中国采购与招标网》、《河南省政府采购网》和《三门峡市公共资源交易中心网》三个网站同步中标结果公告。</w:t>
            </w:r>
          </w:p>
          <w:p w14:paraId="70E668A0">
            <w:pPr>
              <w:widowControl/>
              <w:spacing w:line="360" w:lineRule="auto"/>
              <w:jc w:val="left"/>
              <w:rPr>
                <w:rFonts w:hint="eastAsia" w:ascii="宋体" w:hAnsi="宋体" w:eastAsia="宋体" w:cs="Calibri"/>
                <w:kern w:val="0"/>
                <w:sz w:val="24"/>
                <w:highlight w:val="none"/>
                <w:lang w:eastAsia="zh-CN"/>
              </w:rPr>
            </w:pPr>
            <w:r>
              <w:rPr>
                <w:rFonts w:hint="eastAsia" w:ascii="宋体" w:hAnsi="宋体" w:eastAsia="宋体" w:cs="Calibri"/>
                <w:kern w:val="0"/>
                <w:sz w:val="24"/>
                <w:highlight w:val="none"/>
              </w:rPr>
              <w:t>招标人以书面形式向中标人发出中标通知书</w:t>
            </w:r>
            <w:r>
              <w:rPr>
                <w:rFonts w:hint="eastAsia" w:ascii="宋体" w:hAnsi="宋体" w:eastAsia="宋体" w:cs="Calibri"/>
                <w:kern w:val="0"/>
                <w:sz w:val="24"/>
                <w:highlight w:val="none"/>
                <w:lang w:eastAsia="zh-CN"/>
              </w:rPr>
              <w:t>。</w:t>
            </w:r>
          </w:p>
        </w:tc>
      </w:tr>
      <w:tr w14:paraId="1B4B6240">
        <w:tblPrEx>
          <w:tblCellMar>
            <w:top w:w="0" w:type="dxa"/>
            <w:left w:w="108" w:type="dxa"/>
            <w:bottom w:w="0" w:type="dxa"/>
            <w:right w:w="108" w:type="dxa"/>
          </w:tblCellMar>
        </w:tblPrEx>
        <w:trPr>
          <w:trHeight w:val="514"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4AE3F2D1">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17</w:t>
            </w:r>
          </w:p>
        </w:tc>
        <w:tc>
          <w:tcPr>
            <w:tcW w:w="2070" w:type="dxa"/>
            <w:tcBorders>
              <w:top w:val="single" w:color="auto" w:sz="4" w:space="0"/>
              <w:left w:val="nil"/>
              <w:bottom w:val="single" w:color="auto" w:sz="4" w:space="0"/>
              <w:right w:val="single" w:color="auto" w:sz="4" w:space="0"/>
            </w:tcBorders>
            <w:vAlign w:val="center"/>
          </w:tcPr>
          <w:p w14:paraId="25E712B2">
            <w:pPr>
              <w:widowControl/>
              <w:spacing w:line="360" w:lineRule="auto"/>
              <w:jc w:val="center"/>
              <w:rPr>
                <w:rFonts w:ascii="宋体" w:hAnsi="宋体" w:eastAsia="宋体" w:cs="Calibri"/>
                <w:kern w:val="0"/>
                <w:sz w:val="24"/>
                <w:highlight w:val="none"/>
              </w:rPr>
            </w:pPr>
            <w:r>
              <w:rPr>
                <w:rFonts w:hint="eastAsia" w:ascii="宋体" w:hAnsi="宋体" w:eastAsia="宋体" w:cs="Calibri"/>
                <w:kern w:val="0"/>
                <w:sz w:val="24"/>
                <w:highlight w:val="none"/>
              </w:rPr>
              <w:t>签订合同时间</w:t>
            </w:r>
          </w:p>
        </w:tc>
        <w:tc>
          <w:tcPr>
            <w:tcW w:w="6353" w:type="dxa"/>
            <w:tcBorders>
              <w:top w:val="single" w:color="auto" w:sz="4" w:space="0"/>
              <w:left w:val="nil"/>
              <w:bottom w:val="single" w:color="auto" w:sz="4" w:space="0"/>
              <w:right w:val="single" w:color="auto" w:sz="4" w:space="0"/>
            </w:tcBorders>
            <w:vAlign w:val="center"/>
          </w:tcPr>
          <w:p w14:paraId="2CC4F72E">
            <w:pPr>
              <w:widowControl/>
              <w:spacing w:line="360" w:lineRule="auto"/>
              <w:jc w:val="left"/>
              <w:rPr>
                <w:rFonts w:ascii="宋体" w:hAnsi="宋体" w:eastAsia="宋体" w:cs="Calibri"/>
                <w:kern w:val="0"/>
                <w:sz w:val="24"/>
                <w:highlight w:val="none"/>
              </w:rPr>
            </w:pPr>
            <w:r>
              <w:rPr>
                <w:rFonts w:hint="eastAsia" w:ascii="宋体" w:hAnsi="宋体" w:eastAsia="宋体" w:cs="Calibri"/>
                <w:kern w:val="0"/>
                <w:sz w:val="24"/>
                <w:highlight w:val="none"/>
              </w:rPr>
              <w:t>中标通知书发出后30日内</w:t>
            </w:r>
          </w:p>
        </w:tc>
      </w:tr>
      <w:tr w14:paraId="6994A220">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604F01E">
            <w:pPr>
              <w:widowControl/>
              <w:spacing w:line="360" w:lineRule="auto"/>
              <w:jc w:val="center"/>
              <w:rPr>
                <w:rFonts w:ascii="宋体" w:hAnsi="宋体" w:eastAsia="宋体" w:cs="Calibri"/>
                <w:sz w:val="24"/>
                <w:highlight w:val="none"/>
              </w:rPr>
            </w:pPr>
            <w:r>
              <w:rPr>
                <w:rFonts w:hint="eastAsia" w:ascii="宋体" w:hAnsi="宋体" w:eastAsia="宋体" w:cs="Calibri"/>
                <w:kern w:val="0"/>
                <w:sz w:val="24"/>
                <w:highlight w:val="none"/>
              </w:rPr>
              <w:t>18</w:t>
            </w:r>
          </w:p>
        </w:tc>
        <w:tc>
          <w:tcPr>
            <w:tcW w:w="2070" w:type="dxa"/>
            <w:tcBorders>
              <w:top w:val="single" w:color="auto" w:sz="4" w:space="0"/>
              <w:left w:val="nil"/>
              <w:bottom w:val="single" w:color="auto" w:sz="4" w:space="0"/>
              <w:right w:val="single" w:color="auto" w:sz="4" w:space="0"/>
            </w:tcBorders>
            <w:vAlign w:val="center"/>
          </w:tcPr>
          <w:p w14:paraId="767C7195">
            <w:pPr>
              <w:widowControl/>
              <w:spacing w:line="360" w:lineRule="auto"/>
              <w:jc w:val="center"/>
              <w:rPr>
                <w:rFonts w:ascii="宋体" w:hAnsi="宋体" w:eastAsia="宋体" w:cs="Calibri"/>
                <w:kern w:val="0"/>
                <w:sz w:val="24"/>
                <w:highlight w:val="none"/>
              </w:rPr>
            </w:pPr>
            <w:r>
              <w:rPr>
                <w:rFonts w:hint="eastAsia" w:ascii="宋体" w:hAnsi="宋体" w:eastAsia="宋体" w:cs="Calibri"/>
                <w:kern w:val="0"/>
                <w:sz w:val="24"/>
                <w:highlight w:val="none"/>
              </w:rPr>
              <w:t>投标有效期</w:t>
            </w:r>
          </w:p>
        </w:tc>
        <w:tc>
          <w:tcPr>
            <w:tcW w:w="6353" w:type="dxa"/>
            <w:tcBorders>
              <w:top w:val="single" w:color="auto" w:sz="4" w:space="0"/>
              <w:left w:val="nil"/>
              <w:bottom w:val="single" w:color="auto" w:sz="4" w:space="0"/>
              <w:right w:val="single" w:color="auto" w:sz="4" w:space="0"/>
            </w:tcBorders>
            <w:vAlign w:val="center"/>
          </w:tcPr>
          <w:p w14:paraId="1F1E544C">
            <w:pPr>
              <w:widowControl/>
              <w:spacing w:line="360" w:lineRule="auto"/>
              <w:jc w:val="left"/>
              <w:rPr>
                <w:rFonts w:ascii="宋体" w:hAnsi="宋体" w:eastAsia="宋体" w:cs="Calibri"/>
                <w:kern w:val="0"/>
                <w:sz w:val="24"/>
                <w:highlight w:val="none"/>
              </w:rPr>
            </w:pPr>
            <w:r>
              <w:rPr>
                <w:rFonts w:hint="eastAsia" w:ascii="宋体" w:hAnsi="宋体" w:eastAsia="宋体" w:cs="Calibri"/>
                <w:kern w:val="0"/>
                <w:sz w:val="24"/>
                <w:highlight w:val="none"/>
              </w:rPr>
              <w:t>投标截止之日起60日历天</w:t>
            </w:r>
          </w:p>
        </w:tc>
      </w:tr>
      <w:tr w14:paraId="09DBDA59">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61CA083">
            <w:pPr>
              <w:widowControl/>
              <w:spacing w:line="360" w:lineRule="auto"/>
              <w:jc w:val="center"/>
              <w:rPr>
                <w:rFonts w:ascii="宋体" w:hAnsi="宋体" w:eastAsia="宋体" w:cs="Calibri"/>
                <w:kern w:val="0"/>
                <w:sz w:val="24"/>
                <w:highlight w:val="none"/>
              </w:rPr>
            </w:pPr>
            <w:r>
              <w:rPr>
                <w:rFonts w:hint="eastAsia" w:ascii="宋体" w:hAnsi="宋体" w:eastAsia="宋体" w:cs="Calibri"/>
                <w:kern w:val="0"/>
                <w:sz w:val="24"/>
                <w:highlight w:val="none"/>
              </w:rPr>
              <w:t>19</w:t>
            </w:r>
          </w:p>
        </w:tc>
        <w:tc>
          <w:tcPr>
            <w:tcW w:w="2070" w:type="dxa"/>
            <w:tcBorders>
              <w:top w:val="single" w:color="auto" w:sz="4" w:space="0"/>
              <w:left w:val="nil"/>
              <w:bottom w:val="single" w:color="auto" w:sz="4" w:space="0"/>
              <w:right w:val="single" w:color="auto" w:sz="4" w:space="0"/>
            </w:tcBorders>
            <w:vAlign w:val="center"/>
          </w:tcPr>
          <w:p w14:paraId="134670DF">
            <w:pPr>
              <w:widowControl/>
              <w:spacing w:line="360" w:lineRule="auto"/>
              <w:jc w:val="center"/>
              <w:rPr>
                <w:rFonts w:ascii="宋体" w:hAnsi="宋体" w:eastAsia="宋体" w:cs="Calibri"/>
                <w:kern w:val="0"/>
                <w:sz w:val="24"/>
                <w:highlight w:val="none"/>
              </w:rPr>
            </w:pPr>
            <w:r>
              <w:rPr>
                <w:rFonts w:hint="eastAsia" w:ascii="宋体" w:hAnsi="宋体" w:eastAsia="宋体" w:cs="Calibri"/>
                <w:kern w:val="0"/>
                <w:sz w:val="24"/>
                <w:highlight w:val="none"/>
              </w:rPr>
              <w:t>履约保证金</w:t>
            </w:r>
          </w:p>
        </w:tc>
        <w:tc>
          <w:tcPr>
            <w:tcW w:w="6353" w:type="dxa"/>
            <w:tcBorders>
              <w:top w:val="single" w:color="auto" w:sz="4" w:space="0"/>
              <w:left w:val="nil"/>
              <w:bottom w:val="single" w:color="auto" w:sz="4" w:space="0"/>
              <w:right w:val="single" w:color="auto" w:sz="4" w:space="0"/>
            </w:tcBorders>
            <w:vAlign w:val="center"/>
          </w:tcPr>
          <w:p w14:paraId="1064E618">
            <w:pPr>
              <w:widowControl/>
              <w:spacing w:line="360" w:lineRule="auto"/>
              <w:jc w:val="left"/>
              <w:rPr>
                <w:rFonts w:ascii="宋体" w:hAnsi="宋体" w:eastAsia="宋体" w:cs="Calibri"/>
                <w:kern w:val="0"/>
                <w:sz w:val="24"/>
                <w:highlight w:val="none"/>
              </w:rPr>
            </w:pPr>
            <w:r>
              <w:rPr>
                <w:rFonts w:hint="eastAsia" w:ascii="宋体" w:hAnsi="宋体" w:eastAsia="宋体" w:cs="Calibri"/>
                <w:kern w:val="0"/>
                <w:sz w:val="24"/>
                <w:highlight w:val="none"/>
              </w:rPr>
              <w:t>本项目不收取履约保证金</w:t>
            </w:r>
          </w:p>
        </w:tc>
      </w:tr>
      <w:tr w14:paraId="02EA3330">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52544194">
            <w:pPr>
              <w:widowControl/>
              <w:spacing w:line="360" w:lineRule="auto"/>
              <w:jc w:val="center"/>
              <w:rPr>
                <w:rFonts w:ascii="宋体" w:hAnsi="宋体" w:eastAsia="宋体" w:cs="Calibri"/>
                <w:kern w:val="0"/>
                <w:sz w:val="24"/>
                <w:highlight w:val="none"/>
              </w:rPr>
            </w:pPr>
            <w:r>
              <w:rPr>
                <w:rFonts w:hint="eastAsia" w:ascii="宋体" w:hAnsi="宋体" w:eastAsia="宋体" w:cs="Calibri"/>
                <w:kern w:val="0"/>
                <w:sz w:val="24"/>
                <w:highlight w:val="none"/>
              </w:rPr>
              <w:t>20</w:t>
            </w:r>
          </w:p>
        </w:tc>
        <w:tc>
          <w:tcPr>
            <w:tcW w:w="2070" w:type="dxa"/>
            <w:tcBorders>
              <w:top w:val="single" w:color="auto" w:sz="4" w:space="0"/>
              <w:left w:val="nil"/>
              <w:bottom w:val="single" w:color="auto" w:sz="4" w:space="0"/>
              <w:right w:val="single" w:color="auto" w:sz="4" w:space="0"/>
            </w:tcBorders>
            <w:vAlign w:val="center"/>
          </w:tcPr>
          <w:p w14:paraId="05649BEB">
            <w:pPr>
              <w:spacing w:line="560" w:lineRule="exact"/>
              <w:jc w:val="center"/>
              <w:rPr>
                <w:rFonts w:ascii="宋体" w:hAnsi="宋体" w:eastAsia="宋体" w:cs="宋体"/>
                <w:sz w:val="24"/>
                <w:szCs w:val="28"/>
                <w:highlight w:val="none"/>
              </w:rPr>
            </w:pPr>
            <w:r>
              <w:rPr>
                <w:rFonts w:hint="eastAsia" w:ascii="宋体" w:hAnsi="宋体" w:eastAsia="宋体" w:cs="Calibri"/>
                <w:sz w:val="24"/>
                <w:highlight w:val="none"/>
              </w:rPr>
              <w:t>报价及费用</w:t>
            </w:r>
          </w:p>
        </w:tc>
        <w:tc>
          <w:tcPr>
            <w:tcW w:w="6353" w:type="dxa"/>
            <w:tcBorders>
              <w:top w:val="single" w:color="auto" w:sz="4" w:space="0"/>
              <w:left w:val="nil"/>
              <w:bottom w:val="single" w:color="auto" w:sz="4" w:space="0"/>
              <w:right w:val="single" w:color="auto" w:sz="4" w:space="0"/>
            </w:tcBorders>
            <w:vAlign w:val="center"/>
          </w:tcPr>
          <w:p w14:paraId="7FBE2EFB">
            <w:pPr>
              <w:spacing w:line="420" w:lineRule="exact"/>
              <w:rPr>
                <w:rFonts w:ascii="宋体" w:hAnsi="宋体" w:eastAsia="宋体" w:cs="Calibri"/>
                <w:sz w:val="24"/>
                <w:highlight w:val="none"/>
              </w:rPr>
            </w:pPr>
            <w:r>
              <w:rPr>
                <w:rFonts w:hint="eastAsia" w:ascii="宋体" w:hAnsi="宋体" w:eastAsia="宋体" w:cs="Calibri"/>
                <w:sz w:val="24"/>
                <w:highlight w:val="none"/>
              </w:rPr>
              <w:t>1．本项目应以人民币报价，供应商应就该项目完整投标（报价、服务、税费、售后服务等综合费用），招标人不另外支付其他任何费用；</w:t>
            </w:r>
          </w:p>
          <w:p w14:paraId="3E1D3E42">
            <w:pPr>
              <w:spacing w:line="420" w:lineRule="exact"/>
              <w:rPr>
                <w:rFonts w:ascii="宋体" w:hAnsi="宋体" w:eastAsia="宋体" w:cs="Calibri"/>
                <w:sz w:val="24"/>
                <w:highlight w:val="none"/>
              </w:rPr>
            </w:pPr>
            <w:r>
              <w:rPr>
                <w:rFonts w:hint="eastAsia" w:ascii="宋体" w:hAnsi="宋体" w:eastAsia="宋体" w:cs="Calibri"/>
                <w:sz w:val="24"/>
                <w:highlight w:val="none"/>
              </w:rPr>
              <w:t>2. 招标代理服务费按《河南省招标代理服务收费指导意见》豫招标（2023）002号向中标人收取。供应商的投标报价应当包含该代理费用。</w:t>
            </w:r>
          </w:p>
        </w:tc>
      </w:tr>
      <w:tr w14:paraId="017677B6">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6DBA574E">
            <w:pPr>
              <w:widowControl/>
              <w:spacing w:line="360" w:lineRule="auto"/>
              <w:jc w:val="center"/>
              <w:rPr>
                <w:rFonts w:ascii="宋体" w:hAnsi="宋体" w:eastAsia="宋体" w:cs="Calibri"/>
                <w:kern w:val="0"/>
                <w:sz w:val="24"/>
                <w:highlight w:val="none"/>
              </w:rPr>
            </w:pPr>
            <w:r>
              <w:rPr>
                <w:rFonts w:hint="eastAsia" w:ascii="宋体" w:hAnsi="宋体" w:eastAsia="宋体" w:cs="Calibri"/>
                <w:kern w:val="0"/>
                <w:sz w:val="24"/>
                <w:highlight w:val="none"/>
              </w:rPr>
              <w:t>2</w:t>
            </w:r>
            <w:r>
              <w:rPr>
                <w:rFonts w:ascii="宋体" w:hAnsi="宋体" w:eastAsia="宋体" w:cs="Calibri"/>
                <w:kern w:val="0"/>
                <w:sz w:val="24"/>
                <w:highlight w:val="none"/>
              </w:rPr>
              <w:t>1</w:t>
            </w:r>
          </w:p>
        </w:tc>
        <w:tc>
          <w:tcPr>
            <w:tcW w:w="2070" w:type="dxa"/>
            <w:tcBorders>
              <w:top w:val="single" w:color="auto" w:sz="4" w:space="0"/>
              <w:left w:val="nil"/>
              <w:bottom w:val="single" w:color="auto" w:sz="4" w:space="0"/>
              <w:right w:val="single" w:color="auto" w:sz="4" w:space="0"/>
            </w:tcBorders>
            <w:vAlign w:val="center"/>
          </w:tcPr>
          <w:p w14:paraId="20B44540">
            <w:pPr>
              <w:spacing w:line="360" w:lineRule="auto"/>
              <w:jc w:val="center"/>
              <w:rPr>
                <w:rFonts w:ascii="宋体" w:hAnsi="宋体" w:eastAsia="宋体" w:cs="Calibri"/>
                <w:sz w:val="24"/>
                <w:highlight w:val="none"/>
              </w:rPr>
            </w:pPr>
            <w:r>
              <w:rPr>
                <w:rFonts w:hint="eastAsia" w:ascii="宋体" w:hAnsi="宋体" w:eastAsia="宋体" w:cs="Calibri"/>
                <w:sz w:val="24"/>
                <w:highlight w:val="none"/>
              </w:rPr>
              <w:t>偏离</w:t>
            </w:r>
          </w:p>
        </w:tc>
        <w:tc>
          <w:tcPr>
            <w:tcW w:w="6353" w:type="dxa"/>
            <w:tcBorders>
              <w:top w:val="single" w:color="auto" w:sz="4" w:space="0"/>
              <w:left w:val="nil"/>
              <w:bottom w:val="single" w:color="auto" w:sz="4" w:space="0"/>
              <w:right w:val="single" w:color="auto" w:sz="4" w:space="0"/>
            </w:tcBorders>
            <w:vAlign w:val="center"/>
          </w:tcPr>
          <w:p w14:paraId="3ED160AC">
            <w:pPr>
              <w:spacing w:line="360" w:lineRule="auto"/>
              <w:jc w:val="left"/>
              <w:rPr>
                <w:rFonts w:ascii="宋体" w:hAnsi="宋体" w:eastAsia="宋体" w:cs="Calibri"/>
                <w:sz w:val="24"/>
                <w:highlight w:val="none"/>
              </w:rPr>
            </w:pPr>
            <w:r>
              <w:rPr>
                <w:rFonts w:hint="eastAsia" w:ascii="宋体" w:hAnsi="宋体" w:eastAsia="宋体" w:cs="Calibri"/>
                <w:color w:val="000000" w:themeColor="text1"/>
                <w:sz w:val="24"/>
                <w:highlight w:val="none"/>
                <w14:textFill>
                  <w14:solidFill>
                    <w14:schemeClr w14:val="tx1"/>
                  </w14:solidFill>
                </w14:textFill>
              </w:rPr>
              <w:t>允许正偏离</w:t>
            </w:r>
            <w:r>
              <w:rPr>
                <w:rFonts w:hint="eastAsia" w:ascii="宋体" w:hAnsi="宋体" w:eastAsia="宋体" w:cs="Calibri"/>
                <w:color w:val="000000" w:themeColor="text1"/>
                <w:sz w:val="24"/>
                <w:highlight w:val="none"/>
                <w:lang w:eastAsia="zh-CN"/>
                <w14:textFill>
                  <w14:solidFill>
                    <w14:schemeClr w14:val="tx1"/>
                  </w14:solidFill>
                </w14:textFill>
              </w:rPr>
              <w:t>、</w:t>
            </w:r>
            <w:r>
              <w:rPr>
                <w:rFonts w:hint="eastAsia" w:ascii="宋体" w:hAnsi="宋体" w:eastAsia="宋体" w:cs="Calibri"/>
                <w:color w:val="000000" w:themeColor="text1"/>
                <w:sz w:val="24"/>
                <w:highlight w:val="none"/>
                <w14:textFill>
                  <w14:solidFill>
                    <w14:schemeClr w14:val="tx1"/>
                  </w14:solidFill>
                </w14:textFill>
              </w:rPr>
              <w:t>负偏离</w:t>
            </w:r>
            <w:r>
              <w:rPr>
                <w:rFonts w:hint="eastAsia" w:ascii="宋体" w:hAnsi="宋体" w:eastAsia="宋体" w:cs="Calibri"/>
                <w:color w:val="000000" w:themeColor="text1"/>
                <w:sz w:val="24"/>
                <w:highlight w:val="none"/>
                <w:lang w:eastAsia="zh-CN"/>
                <w14:textFill>
                  <w14:solidFill>
                    <w14:schemeClr w14:val="tx1"/>
                  </w14:solidFill>
                </w14:textFill>
              </w:rPr>
              <w:t>及无偏离</w:t>
            </w:r>
            <w:r>
              <w:rPr>
                <w:rFonts w:hint="eastAsia" w:ascii="宋体" w:hAnsi="宋体" w:eastAsia="宋体" w:cs="Calibri"/>
                <w:color w:val="000000" w:themeColor="text1"/>
                <w:sz w:val="24"/>
                <w:highlight w:val="none"/>
                <w14:textFill>
                  <w14:solidFill>
                    <w14:schemeClr w14:val="tx1"/>
                  </w14:solidFill>
                </w14:textFill>
              </w:rPr>
              <w:t>，投标人应对所有偏离内容在偏离表中逐条列明，并充分说明。</w:t>
            </w:r>
          </w:p>
        </w:tc>
      </w:tr>
      <w:tr w14:paraId="043797F7">
        <w:tblPrEx>
          <w:tblCellMar>
            <w:top w:w="0" w:type="dxa"/>
            <w:left w:w="108" w:type="dxa"/>
            <w:bottom w:w="0" w:type="dxa"/>
            <w:right w:w="108" w:type="dxa"/>
          </w:tblCellMar>
        </w:tblPrEx>
        <w:trPr>
          <w:trHeight w:val="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E470435">
            <w:pPr>
              <w:widowControl/>
              <w:spacing w:line="360" w:lineRule="auto"/>
              <w:jc w:val="center"/>
              <w:rPr>
                <w:rFonts w:hint="default" w:ascii="宋体" w:hAnsi="宋体" w:eastAsia="宋体" w:cs="Calibri"/>
                <w:kern w:val="0"/>
                <w:sz w:val="24"/>
                <w:highlight w:val="none"/>
                <w:lang w:val="en-US" w:eastAsia="zh-CN"/>
              </w:rPr>
            </w:pPr>
            <w:r>
              <w:rPr>
                <w:rFonts w:hint="eastAsia" w:ascii="宋体" w:hAnsi="宋体" w:eastAsia="宋体" w:cs="Calibri"/>
                <w:kern w:val="0"/>
                <w:sz w:val="24"/>
                <w:highlight w:val="none"/>
                <w:lang w:val="en-US" w:eastAsia="zh-CN"/>
              </w:rPr>
              <w:t>22</w:t>
            </w:r>
          </w:p>
        </w:tc>
        <w:tc>
          <w:tcPr>
            <w:tcW w:w="2070" w:type="dxa"/>
            <w:tcBorders>
              <w:top w:val="single" w:color="auto" w:sz="4" w:space="0"/>
              <w:left w:val="nil"/>
              <w:bottom w:val="single" w:color="auto" w:sz="4" w:space="0"/>
              <w:right w:val="single" w:color="auto" w:sz="4" w:space="0"/>
            </w:tcBorders>
            <w:vAlign w:val="center"/>
          </w:tcPr>
          <w:p w14:paraId="5D9A7869">
            <w:pPr>
              <w:wordWrap w:val="0"/>
              <w:rPr>
                <w:rFonts w:hint="eastAsia" w:ascii="宋体" w:hAnsi="宋体" w:eastAsia="宋体" w:cs="宋体"/>
                <w:sz w:val="24"/>
                <w:highlight w:val="none"/>
              </w:rPr>
            </w:pPr>
            <w:r>
              <w:rPr>
                <w:rFonts w:hint="eastAsia" w:ascii="宋体" w:hAnsi="宋体" w:eastAsia="宋体" w:cs="宋体"/>
                <w:sz w:val="24"/>
                <w:highlight w:val="none"/>
              </w:rPr>
              <w:t>供应商确认收到竞争性磋商文件澄清的时间</w:t>
            </w:r>
          </w:p>
        </w:tc>
        <w:tc>
          <w:tcPr>
            <w:tcW w:w="6353" w:type="dxa"/>
            <w:tcBorders>
              <w:top w:val="single" w:color="auto" w:sz="4" w:space="0"/>
              <w:left w:val="nil"/>
              <w:bottom w:val="single" w:color="auto" w:sz="4" w:space="0"/>
              <w:right w:val="single" w:color="auto" w:sz="4" w:space="0"/>
            </w:tcBorders>
            <w:vAlign w:val="center"/>
          </w:tcPr>
          <w:p w14:paraId="68BFF8EE">
            <w:pPr>
              <w:spacing w:line="420" w:lineRule="exact"/>
              <w:rPr>
                <w:rFonts w:hint="eastAsia" w:ascii="宋体" w:hAnsi="宋体" w:eastAsia="宋体" w:cs="宋体"/>
                <w:sz w:val="24"/>
                <w:highlight w:val="none"/>
              </w:rPr>
            </w:pPr>
            <w:r>
              <w:rPr>
                <w:rFonts w:hint="eastAsia" w:ascii="宋体" w:hAnsi="宋体" w:eastAsia="宋体" w:cs="宋体"/>
                <w:sz w:val="24"/>
                <w:highlight w:val="none"/>
              </w:rPr>
              <w:t>在收到相应澄清文件后24小时内。</w:t>
            </w:r>
          </w:p>
        </w:tc>
      </w:tr>
      <w:tr w14:paraId="73D43DB0">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63F05DE8">
            <w:pPr>
              <w:widowControl/>
              <w:spacing w:line="360" w:lineRule="auto"/>
              <w:jc w:val="center"/>
              <w:rPr>
                <w:rFonts w:hint="default" w:ascii="宋体" w:hAnsi="宋体" w:eastAsia="宋体" w:cs="Calibri"/>
                <w:kern w:val="0"/>
                <w:sz w:val="24"/>
                <w:highlight w:val="none"/>
                <w:lang w:val="en-US" w:eastAsia="zh-CN"/>
              </w:rPr>
            </w:pPr>
            <w:r>
              <w:rPr>
                <w:rFonts w:hint="eastAsia" w:ascii="宋体" w:hAnsi="宋体" w:eastAsia="宋体" w:cs="Calibri"/>
                <w:kern w:val="0"/>
                <w:sz w:val="24"/>
                <w:highlight w:val="none"/>
                <w:lang w:val="en-US" w:eastAsia="zh-CN"/>
              </w:rPr>
              <w:t>23</w:t>
            </w:r>
          </w:p>
        </w:tc>
        <w:tc>
          <w:tcPr>
            <w:tcW w:w="2070" w:type="dxa"/>
            <w:tcBorders>
              <w:top w:val="single" w:color="auto" w:sz="4" w:space="0"/>
              <w:left w:val="nil"/>
              <w:bottom w:val="single" w:color="auto" w:sz="4" w:space="0"/>
              <w:right w:val="single" w:color="auto" w:sz="4" w:space="0"/>
            </w:tcBorders>
            <w:vAlign w:val="center"/>
          </w:tcPr>
          <w:p w14:paraId="51EF8382">
            <w:pPr>
              <w:wordWrap w:val="0"/>
              <w:rPr>
                <w:rFonts w:hint="eastAsia" w:ascii="宋体" w:hAnsi="宋体" w:eastAsia="宋体" w:cs="宋体"/>
                <w:sz w:val="24"/>
                <w:highlight w:val="none"/>
              </w:rPr>
            </w:pPr>
            <w:r>
              <w:rPr>
                <w:rFonts w:hint="eastAsia" w:ascii="宋体" w:hAnsi="宋体" w:eastAsia="宋体" w:cs="宋体"/>
                <w:sz w:val="24"/>
                <w:highlight w:val="none"/>
              </w:rPr>
              <w:t>供应商确认收到竞争性磋商文件修改的时间</w:t>
            </w:r>
          </w:p>
        </w:tc>
        <w:tc>
          <w:tcPr>
            <w:tcW w:w="6353" w:type="dxa"/>
            <w:tcBorders>
              <w:top w:val="single" w:color="auto" w:sz="4" w:space="0"/>
              <w:left w:val="nil"/>
              <w:bottom w:val="single" w:color="auto" w:sz="4" w:space="0"/>
              <w:right w:val="single" w:color="auto" w:sz="4" w:space="0"/>
            </w:tcBorders>
            <w:vAlign w:val="center"/>
          </w:tcPr>
          <w:p w14:paraId="7258F35A">
            <w:pPr>
              <w:spacing w:line="420" w:lineRule="exact"/>
              <w:rPr>
                <w:rFonts w:hint="eastAsia" w:ascii="宋体" w:hAnsi="宋体" w:eastAsia="宋体" w:cs="宋体"/>
                <w:sz w:val="24"/>
                <w:highlight w:val="none"/>
                <w:lang w:eastAsia="zh-CN"/>
              </w:rPr>
            </w:pPr>
            <w:r>
              <w:rPr>
                <w:rFonts w:hint="eastAsia" w:ascii="宋体" w:hAnsi="宋体" w:eastAsia="宋体" w:cs="宋体"/>
                <w:sz w:val="24"/>
                <w:highlight w:val="none"/>
              </w:rPr>
              <w:t>在收到相应修改文件后24小时内</w:t>
            </w:r>
            <w:r>
              <w:rPr>
                <w:rFonts w:hint="eastAsia" w:ascii="宋体" w:hAnsi="宋体" w:eastAsia="宋体" w:cs="宋体"/>
                <w:sz w:val="24"/>
                <w:highlight w:val="none"/>
                <w:lang w:eastAsia="zh-CN"/>
              </w:rPr>
              <w:t>。</w:t>
            </w:r>
          </w:p>
        </w:tc>
      </w:tr>
      <w:tr w14:paraId="59747819">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0862ADF3">
            <w:pPr>
              <w:widowControl/>
              <w:spacing w:line="360" w:lineRule="auto"/>
              <w:jc w:val="center"/>
              <w:rPr>
                <w:rFonts w:hint="default" w:ascii="宋体" w:hAnsi="宋体" w:eastAsia="宋体" w:cs="Calibri"/>
                <w:kern w:val="0"/>
                <w:sz w:val="24"/>
                <w:highlight w:val="none"/>
                <w:lang w:val="en-US" w:eastAsia="zh-CN"/>
              </w:rPr>
            </w:pPr>
            <w:r>
              <w:rPr>
                <w:rFonts w:hint="eastAsia" w:ascii="宋体" w:hAnsi="宋体" w:eastAsia="宋体" w:cs="Calibri"/>
                <w:kern w:val="0"/>
                <w:sz w:val="24"/>
                <w:highlight w:val="none"/>
                <w:lang w:val="en-US" w:eastAsia="zh-CN"/>
              </w:rPr>
              <w:t>24</w:t>
            </w:r>
          </w:p>
        </w:tc>
        <w:tc>
          <w:tcPr>
            <w:tcW w:w="2070" w:type="dxa"/>
            <w:tcBorders>
              <w:top w:val="single" w:color="auto" w:sz="4" w:space="0"/>
              <w:left w:val="nil"/>
              <w:bottom w:val="single" w:color="auto" w:sz="4" w:space="0"/>
              <w:right w:val="single" w:color="auto" w:sz="4" w:space="0"/>
            </w:tcBorders>
            <w:vAlign w:val="center"/>
          </w:tcPr>
          <w:p w14:paraId="50DC9449">
            <w:pPr>
              <w:wordWrap w:val="0"/>
              <w:rPr>
                <w:rFonts w:hint="eastAsia" w:ascii="宋体" w:hAnsi="宋体" w:eastAsia="宋体" w:cs="宋体"/>
                <w:sz w:val="24"/>
                <w:highlight w:val="none"/>
              </w:rPr>
            </w:pPr>
            <w:r>
              <w:rPr>
                <w:rFonts w:hint="eastAsia" w:ascii="宋体" w:hAnsi="宋体" w:eastAsia="宋体" w:cs="宋体"/>
                <w:sz w:val="24"/>
                <w:highlight w:val="none"/>
                <w:lang w:eastAsia="zh-CN"/>
              </w:rPr>
              <w:t>供</w:t>
            </w:r>
            <w:r>
              <w:rPr>
                <w:rFonts w:hint="eastAsia" w:ascii="宋体" w:hAnsi="宋体" w:eastAsia="宋体" w:cs="宋体"/>
                <w:sz w:val="24"/>
                <w:highlight w:val="none"/>
              </w:rPr>
              <w:t>应商对磋商文件提出问题的截止时间及方式</w:t>
            </w:r>
          </w:p>
        </w:tc>
        <w:tc>
          <w:tcPr>
            <w:tcW w:w="6353" w:type="dxa"/>
            <w:tcBorders>
              <w:top w:val="single" w:color="auto" w:sz="4" w:space="0"/>
              <w:left w:val="nil"/>
              <w:bottom w:val="single" w:color="auto" w:sz="4" w:space="0"/>
              <w:right w:val="single" w:color="auto" w:sz="4" w:space="0"/>
            </w:tcBorders>
            <w:vAlign w:val="center"/>
          </w:tcPr>
          <w:p w14:paraId="2EA7E51A">
            <w:pPr>
              <w:spacing w:line="420" w:lineRule="exact"/>
              <w:rPr>
                <w:rFonts w:hint="eastAsia" w:ascii="宋体" w:hAnsi="宋体" w:eastAsia="宋体" w:cs="宋体"/>
                <w:sz w:val="24"/>
                <w:highlight w:val="none"/>
              </w:rPr>
            </w:pPr>
            <w:r>
              <w:rPr>
                <w:rFonts w:hint="eastAsia" w:ascii="宋体" w:hAnsi="宋体" w:eastAsia="宋体" w:cs="宋体"/>
                <w:sz w:val="24"/>
                <w:highlight w:val="none"/>
              </w:rPr>
              <w:t>供应商如对竞争性磋商文件有异议的，应在获取竞争性磋商文件之日起或者竞争性磋商公告期限届满之日起7个工作日内在三门峡市公共资源交易平台上一次性提出，否则，将被视为完全理解并接受竞争性磋商文件的全部内容。</w:t>
            </w:r>
          </w:p>
        </w:tc>
      </w:tr>
      <w:tr w14:paraId="6BDCF0DF">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38DB30B3">
            <w:pPr>
              <w:widowControl/>
              <w:spacing w:line="360" w:lineRule="auto"/>
              <w:jc w:val="center"/>
              <w:rPr>
                <w:rFonts w:hint="eastAsia" w:ascii="宋体" w:hAnsi="宋体" w:eastAsia="宋体" w:cs="Calibri"/>
                <w:kern w:val="0"/>
                <w:sz w:val="24"/>
                <w:highlight w:val="none"/>
                <w:lang w:eastAsia="zh-CN"/>
              </w:rPr>
            </w:pPr>
            <w:r>
              <w:rPr>
                <w:rFonts w:hint="eastAsia" w:ascii="宋体" w:hAnsi="宋体" w:eastAsia="宋体" w:cs="Calibri"/>
                <w:kern w:val="0"/>
                <w:sz w:val="24"/>
                <w:highlight w:val="none"/>
              </w:rPr>
              <w:t>2</w:t>
            </w:r>
            <w:r>
              <w:rPr>
                <w:rFonts w:hint="eastAsia" w:ascii="宋体" w:hAnsi="宋体" w:eastAsia="宋体" w:cs="Calibri"/>
                <w:kern w:val="0"/>
                <w:sz w:val="24"/>
                <w:highlight w:val="none"/>
                <w:lang w:val="en-US" w:eastAsia="zh-CN"/>
              </w:rPr>
              <w:t>5</w:t>
            </w:r>
          </w:p>
        </w:tc>
        <w:tc>
          <w:tcPr>
            <w:tcW w:w="2070" w:type="dxa"/>
            <w:tcBorders>
              <w:top w:val="single" w:color="auto" w:sz="4" w:space="0"/>
              <w:left w:val="nil"/>
              <w:bottom w:val="single" w:color="auto" w:sz="4" w:space="0"/>
              <w:right w:val="single" w:color="auto" w:sz="4" w:space="0"/>
            </w:tcBorders>
            <w:vAlign w:val="center"/>
          </w:tcPr>
          <w:p w14:paraId="4BE8039E">
            <w:pPr>
              <w:wordWrap w:val="0"/>
              <w:rPr>
                <w:rFonts w:ascii="宋体" w:hAnsi="宋体" w:eastAsia="宋体" w:cs="Calibri"/>
                <w:sz w:val="24"/>
                <w:highlight w:val="none"/>
              </w:rPr>
            </w:pPr>
            <w:r>
              <w:rPr>
                <w:rFonts w:hint="eastAsia" w:ascii="宋体" w:hAnsi="宋体" w:eastAsia="宋体" w:cs="宋体"/>
                <w:sz w:val="24"/>
                <w:highlight w:val="none"/>
              </w:rPr>
              <w:t>采购标的对应的中小企业划分标准所属行业</w:t>
            </w:r>
          </w:p>
        </w:tc>
        <w:tc>
          <w:tcPr>
            <w:tcW w:w="6353" w:type="dxa"/>
            <w:tcBorders>
              <w:top w:val="single" w:color="auto" w:sz="4" w:space="0"/>
              <w:left w:val="nil"/>
              <w:bottom w:val="single" w:color="auto" w:sz="4" w:space="0"/>
              <w:right w:val="single" w:color="auto" w:sz="4" w:space="0"/>
            </w:tcBorders>
            <w:vAlign w:val="center"/>
          </w:tcPr>
          <w:p w14:paraId="1EDF995F">
            <w:pPr>
              <w:spacing w:line="420" w:lineRule="exact"/>
              <w:rPr>
                <w:rFonts w:ascii="宋体" w:hAnsi="宋体" w:eastAsia="宋体" w:cs="宋体"/>
                <w:sz w:val="24"/>
                <w:highlight w:val="none"/>
              </w:rPr>
            </w:pPr>
            <w:r>
              <w:rPr>
                <w:rFonts w:hint="eastAsia" w:ascii="宋体" w:hAnsi="宋体" w:eastAsia="宋体" w:cs="宋体"/>
                <w:sz w:val="24"/>
                <w:highlight w:val="none"/>
              </w:rPr>
              <w:t>根据工业和信息化部、国家统计局、国家发展改革委、财政部《关于印发中小企业划型标准规定的通知》（工信部联企业〔2011〕300号），本次采购标的对应的中小企业划分标准属于</w:t>
            </w:r>
            <w:r>
              <w:rPr>
                <w:rStyle w:val="18"/>
                <w:rFonts w:ascii="宋体" w:hAnsi="宋体" w:eastAsia="宋体" w:cs="宋体"/>
                <w:sz w:val="24"/>
                <w:szCs w:val="24"/>
                <w:highlight w:val="none"/>
              </w:rPr>
              <w:t>其他未列明行业</w:t>
            </w:r>
            <w:r>
              <w:rPr>
                <w:rFonts w:hint="eastAsia" w:ascii="宋体" w:hAnsi="宋体" w:eastAsia="宋体" w:cs="宋体"/>
                <w:sz w:val="24"/>
                <w:highlight w:val="none"/>
              </w:rPr>
              <w:t>。</w:t>
            </w:r>
          </w:p>
          <w:p w14:paraId="030B843E">
            <w:pPr>
              <w:spacing w:line="420" w:lineRule="exact"/>
              <w:rPr>
                <w:rFonts w:ascii="宋体" w:hAnsi="宋体" w:eastAsia="宋体" w:cs="Calibri"/>
                <w:sz w:val="24"/>
                <w:highlight w:val="none"/>
              </w:rPr>
            </w:pPr>
            <w:r>
              <w:rPr>
                <w:rFonts w:hint="eastAsia" w:ascii="宋体" w:hAnsi="宋体" w:eastAsia="宋体" w:cs="宋体"/>
                <w:sz w:val="24"/>
                <w:highlight w:val="none"/>
              </w:rPr>
              <w:t>从业人员300人以下的为中小微型企业。其中，从业人员100人及以上的为中型企业；从业人员10人及以上的为小型企业；从业人员10人以下的为微型企业。</w:t>
            </w:r>
          </w:p>
        </w:tc>
      </w:tr>
      <w:tr w14:paraId="0A592895">
        <w:tblPrEx>
          <w:tblCellMar>
            <w:top w:w="0" w:type="dxa"/>
            <w:left w:w="108" w:type="dxa"/>
            <w:bottom w:w="0" w:type="dxa"/>
            <w:right w:w="108" w:type="dxa"/>
          </w:tblCellMar>
        </w:tblPrEx>
        <w:trPr>
          <w:trHeight w:val="35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6119D9E">
            <w:pPr>
              <w:widowControl/>
              <w:spacing w:line="360" w:lineRule="auto"/>
              <w:jc w:val="center"/>
              <w:rPr>
                <w:rFonts w:hint="eastAsia" w:ascii="宋体" w:hAnsi="宋体" w:eastAsia="宋体" w:cs="Calibri"/>
                <w:kern w:val="0"/>
                <w:sz w:val="24"/>
                <w:highlight w:val="none"/>
                <w:lang w:eastAsia="zh-CN"/>
              </w:rPr>
            </w:pPr>
            <w:r>
              <w:rPr>
                <w:rFonts w:hint="eastAsia" w:ascii="宋体" w:hAnsi="宋体" w:eastAsia="宋体" w:cs="Calibri"/>
                <w:kern w:val="0"/>
                <w:sz w:val="24"/>
                <w:highlight w:val="none"/>
              </w:rPr>
              <w:t>2</w:t>
            </w:r>
            <w:r>
              <w:rPr>
                <w:rFonts w:hint="eastAsia" w:ascii="宋体" w:hAnsi="宋体" w:eastAsia="宋体" w:cs="Calibri"/>
                <w:kern w:val="0"/>
                <w:sz w:val="24"/>
                <w:highlight w:val="none"/>
                <w:lang w:val="en-US" w:eastAsia="zh-CN"/>
              </w:rPr>
              <w:t>6</w:t>
            </w:r>
          </w:p>
        </w:tc>
        <w:tc>
          <w:tcPr>
            <w:tcW w:w="2070" w:type="dxa"/>
            <w:tcBorders>
              <w:top w:val="single" w:color="auto" w:sz="4" w:space="0"/>
              <w:left w:val="nil"/>
              <w:bottom w:val="single" w:color="auto" w:sz="4" w:space="0"/>
              <w:right w:val="single" w:color="auto" w:sz="4" w:space="0"/>
            </w:tcBorders>
            <w:vAlign w:val="center"/>
          </w:tcPr>
          <w:p w14:paraId="3CD87184">
            <w:pPr>
              <w:spacing w:line="360" w:lineRule="auto"/>
              <w:jc w:val="center"/>
              <w:rPr>
                <w:rFonts w:ascii="宋体" w:hAnsi="宋体" w:eastAsia="宋体" w:cs="宋体"/>
                <w:sz w:val="24"/>
                <w:highlight w:val="none"/>
              </w:rPr>
            </w:pPr>
            <w:r>
              <w:rPr>
                <w:rFonts w:hint="eastAsia"/>
                <w:color w:val="auto"/>
                <w:sz w:val="24"/>
                <w:szCs w:val="24"/>
                <w:highlight w:val="none"/>
                <w:lang w:val="en-US" w:eastAsia="zh-CN"/>
              </w:rPr>
              <w:t>落实的政府采购政策</w:t>
            </w:r>
          </w:p>
        </w:tc>
        <w:tc>
          <w:tcPr>
            <w:tcW w:w="6353" w:type="dxa"/>
            <w:tcBorders>
              <w:top w:val="single" w:color="auto" w:sz="4" w:space="0"/>
              <w:left w:val="nil"/>
              <w:bottom w:val="single" w:color="auto" w:sz="4" w:space="0"/>
              <w:right w:val="single" w:color="auto" w:sz="4" w:space="0"/>
            </w:tcBorders>
            <w:vAlign w:val="center"/>
          </w:tcPr>
          <w:p w14:paraId="0BDCC35D">
            <w:pPr>
              <w:pageBreakBefore w:val="0"/>
              <w:kinsoku/>
              <w:wordWrap/>
              <w:overflowPunct/>
              <w:topLinePunct w:val="0"/>
              <w:autoSpaceDE/>
              <w:autoSpaceDN/>
              <w:bidi w:val="0"/>
              <w:adjustRightInd/>
              <w:snapToGrid/>
              <w:spacing w:line="500" w:lineRule="exact"/>
              <w:textAlignment w:val="auto"/>
              <w:rPr>
                <w:rFonts w:ascii="宋体" w:hAnsi="宋体" w:cs="宋体"/>
                <w:bCs/>
                <w:sz w:val="24"/>
                <w:szCs w:val="20"/>
                <w:highlight w:val="none"/>
              </w:rPr>
            </w:pPr>
            <w:r>
              <w:rPr>
                <w:rFonts w:hint="eastAsia" w:ascii="宋体" w:hAnsi="宋体" w:cs="宋体"/>
                <w:bCs/>
                <w:sz w:val="24"/>
                <w:szCs w:val="20"/>
                <w:highlight w:val="none"/>
              </w:rPr>
              <w:t>（1）未明确允许进口产品参加</w:t>
            </w:r>
            <w:r>
              <w:rPr>
                <w:rFonts w:hint="eastAsia" w:ascii="宋体" w:hAnsi="宋体" w:cs="宋体"/>
                <w:bCs/>
                <w:sz w:val="24"/>
                <w:szCs w:val="20"/>
                <w:highlight w:val="none"/>
                <w:lang w:eastAsia="zh-CN"/>
              </w:rPr>
              <w:t>磋商</w:t>
            </w:r>
            <w:r>
              <w:rPr>
                <w:rFonts w:hint="eastAsia" w:ascii="宋体" w:hAnsi="宋体" w:cs="宋体"/>
                <w:bCs/>
                <w:sz w:val="24"/>
                <w:szCs w:val="20"/>
                <w:highlight w:val="none"/>
              </w:rPr>
              <w:t>的，拒绝进口产品参加。</w:t>
            </w:r>
          </w:p>
          <w:p w14:paraId="48DC7D5F">
            <w:pPr>
              <w:pageBreakBefore w:val="0"/>
              <w:kinsoku/>
              <w:wordWrap/>
              <w:overflowPunct/>
              <w:topLinePunct w:val="0"/>
              <w:autoSpaceDE/>
              <w:autoSpaceDN/>
              <w:bidi w:val="0"/>
              <w:adjustRightInd/>
              <w:snapToGrid/>
              <w:spacing w:line="500" w:lineRule="exact"/>
              <w:textAlignment w:val="auto"/>
              <w:rPr>
                <w:rFonts w:hint="eastAsia" w:ascii="宋体" w:hAnsi="宋体" w:cs="宋体"/>
                <w:bCs/>
                <w:sz w:val="24"/>
                <w:szCs w:val="20"/>
                <w:highlight w:val="none"/>
                <w:lang w:val="en-US" w:eastAsia="zh-CN"/>
              </w:rPr>
            </w:pPr>
            <w:r>
              <w:rPr>
                <w:rFonts w:hint="eastAsia" w:ascii="宋体" w:hAnsi="宋体" w:cs="宋体"/>
                <w:bCs/>
                <w:sz w:val="24"/>
                <w:szCs w:val="20"/>
                <w:highlight w:val="none"/>
              </w:rPr>
              <w:t>（2）</w:t>
            </w:r>
            <w:r>
              <w:rPr>
                <w:rFonts w:hint="eastAsia" w:ascii="宋体" w:hAnsi="宋体" w:cs="宋体"/>
                <w:bCs/>
                <w:sz w:val="24"/>
                <w:szCs w:val="20"/>
                <w:highlight w:val="none"/>
                <w:lang w:val="en-US" w:eastAsia="zh-CN"/>
              </w:rPr>
              <w:t>本项目专门面向中小企业采购，不再进行价格扣除.</w:t>
            </w:r>
            <w:r>
              <w:rPr>
                <w:rFonts w:hint="eastAsia" w:ascii="宋体" w:hAnsi="宋体" w:cs="宋体"/>
                <w:bCs/>
                <w:sz w:val="24"/>
                <w:szCs w:val="20"/>
                <w:highlight w:val="none"/>
              </w:rPr>
              <w:t>参加政府采购活动的中小企业应当提供《中小企业声明函》</w:t>
            </w:r>
          </w:p>
          <w:p w14:paraId="6F34966F">
            <w:pPr>
              <w:pageBreakBefore w:val="0"/>
              <w:kinsoku/>
              <w:wordWrap/>
              <w:overflowPunct/>
              <w:topLinePunct w:val="0"/>
              <w:autoSpaceDE/>
              <w:autoSpaceDN/>
              <w:bidi w:val="0"/>
              <w:adjustRightInd/>
              <w:snapToGrid/>
              <w:spacing w:line="500" w:lineRule="exact"/>
              <w:textAlignment w:val="auto"/>
              <w:rPr>
                <w:rFonts w:hint="eastAsia" w:ascii="宋体" w:hAnsi="宋体" w:cs="宋体"/>
                <w:bCs/>
                <w:sz w:val="24"/>
                <w:szCs w:val="20"/>
                <w:highlight w:val="none"/>
                <w:lang w:val="en-US" w:eastAsia="zh-CN"/>
              </w:rPr>
            </w:pPr>
            <w:r>
              <w:rPr>
                <w:rFonts w:hint="eastAsia" w:ascii="宋体" w:hAnsi="宋体" w:cs="宋体"/>
                <w:bCs/>
                <w:sz w:val="24"/>
                <w:szCs w:val="20"/>
                <w:highlight w:val="none"/>
                <w:lang w:val="en-US" w:eastAsia="zh-CN"/>
              </w:rPr>
              <w:t>（3）关于监狱企业：视同小微企业。须提供由省级以上监狱管理局、戒毒管理局（含新疆生产建设兵团）出具的属于监狱企业的证明文件。</w:t>
            </w:r>
          </w:p>
          <w:p w14:paraId="66FA9151">
            <w:pPr>
              <w:pageBreakBefore w:val="0"/>
              <w:kinsoku/>
              <w:wordWrap/>
              <w:overflowPunct/>
              <w:topLinePunct w:val="0"/>
              <w:autoSpaceDE/>
              <w:autoSpaceDN/>
              <w:bidi w:val="0"/>
              <w:adjustRightInd/>
              <w:snapToGrid/>
              <w:spacing w:line="500" w:lineRule="exact"/>
              <w:textAlignment w:val="auto"/>
              <w:rPr>
                <w:rFonts w:ascii="宋体" w:hAnsi="宋体" w:eastAsia="宋体" w:cs="宋体"/>
                <w:sz w:val="24"/>
                <w:highlight w:val="none"/>
              </w:rPr>
            </w:pPr>
            <w:r>
              <w:rPr>
                <w:rFonts w:hint="eastAsia" w:ascii="宋体" w:hAnsi="宋体" w:cs="宋体"/>
                <w:bCs/>
                <w:sz w:val="24"/>
                <w:szCs w:val="20"/>
                <w:highlight w:val="none"/>
                <w:lang w:val="en-US" w:eastAsia="zh-CN"/>
              </w:rPr>
              <w:t>（4）关于残疾人福利性单位：视同小微企业。须提供完整的“残疾人福利性单位声明函”。</w:t>
            </w:r>
          </w:p>
        </w:tc>
      </w:tr>
      <w:tr w14:paraId="5EFF0629">
        <w:tblPrEx>
          <w:tblCellMar>
            <w:top w:w="0" w:type="dxa"/>
            <w:left w:w="108" w:type="dxa"/>
            <w:bottom w:w="0" w:type="dxa"/>
            <w:right w:w="108" w:type="dxa"/>
          </w:tblCellMar>
        </w:tblPrEx>
        <w:trPr>
          <w:trHeight w:val="442"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19769141">
            <w:pPr>
              <w:widowControl/>
              <w:spacing w:line="360" w:lineRule="auto"/>
              <w:jc w:val="center"/>
              <w:rPr>
                <w:rFonts w:hint="eastAsia" w:ascii="宋体" w:hAnsi="宋体" w:eastAsia="宋体" w:cs="Calibri"/>
                <w:sz w:val="24"/>
                <w:highlight w:val="none"/>
                <w:lang w:eastAsia="zh-CN"/>
              </w:rPr>
            </w:pPr>
            <w:r>
              <w:rPr>
                <w:rFonts w:hint="eastAsia" w:ascii="宋体" w:hAnsi="宋体" w:eastAsia="宋体" w:cs="Calibri"/>
                <w:kern w:val="0"/>
                <w:sz w:val="24"/>
                <w:highlight w:val="none"/>
              </w:rPr>
              <w:t>2</w:t>
            </w:r>
            <w:r>
              <w:rPr>
                <w:rFonts w:hint="eastAsia" w:ascii="宋体" w:hAnsi="宋体" w:eastAsia="宋体" w:cs="Calibri"/>
                <w:kern w:val="0"/>
                <w:sz w:val="24"/>
                <w:highlight w:val="none"/>
                <w:lang w:val="en-US" w:eastAsia="zh-CN"/>
              </w:rPr>
              <w:t>7</w:t>
            </w:r>
          </w:p>
        </w:tc>
        <w:tc>
          <w:tcPr>
            <w:tcW w:w="2070" w:type="dxa"/>
            <w:tcBorders>
              <w:top w:val="single" w:color="auto" w:sz="4" w:space="0"/>
              <w:left w:val="nil"/>
              <w:bottom w:val="single" w:color="auto" w:sz="4" w:space="0"/>
              <w:right w:val="single" w:color="auto" w:sz="4" w:space="0"/>
            </w:tcBorders>
            <w:vAlign w:val="center"/>
          </w:tcPr>
          <w:p w14:paraId="74AF3C22">
            <w:pPr>
              <w:widowControl/>
              <w:spacing w:line="360" w:lineRule="auto"/>
              <w:jc w:val="center"/>
              <w:rPr>
                <w:rFonts w:ascii="宋体" w:hAnsi="宋体" w:eastAsia="宋体" w:cs="Calibri"/>
                <w:kern w:val="0"/>
                <w:sz w:val="24"/>
                <w:highlight w:val="none"/>
              </w:rPr>
            </w:pPr>
            <w:r>
              <w:rPr>
                <w:rFonts w:hint="eastAsia" w:ascii="宋体" w:hAnsi="宋体" w:eastAsia="宋体" w:cs="Calibri"/>
                <w:kern w:val="0"/>
                <w:sz w:val="24"/>
                <w:highlight w:val="none"/>
              </w:rPr>
              <w:t>解释</w:t>
            </w:r>
          </w:p>
        </w:tc>
        <w:tc>
          <w:tcPr>
            <w:tcW w:w="6353" w:type="dxa"/>
            <w:tcBorders>
              <w:top w:val="single" w:color="auto" w:sz="4" w:space="0"/>
              <w:left w:val="nil"/>
              <w:bottom w:val="single" w:color="auto" w:sz="4" w:space="0"/>
              <w:right w:val="single" w:color="auto" w:sz="4" w:space="0"/>
            </w:tcBorders>
            <w:vAlign w:val="center"/>
          </w:tcPr>
          <w:p w14:paraId="01A2D62C">
            <w:pPr>
              <w:widowControl/>
              <w:spacing w:line="360" w:lineRule="auto"/>
              <w:jc w:val="left"/>
              <w:rPr>
                <w:rFonts w:ascii="宋体" w:hAnsi="宋体" w:eastAsia="宋体" w:cs="Calibri"/>
                <w:kern w:val="0"/>
                <w:sz w:val="24"/>
                <w:highlight w:val="none"/>
              </w:rPr>
            </w:pPr>
            <w:r>
              <w:rPr>
                <w:rFonts w:hint="eastAsia" w:ascii="宋体" w:hAnsi="宋体" w:eastAsia="宋体" w:cs="Calibri"/>
                <w:kern w:val="0"/>
                <w:sz w:val="24"/>
                <w:highlight w:val="none"/>
              </w:rPr>
              <w:t>本竞争性磋商文件的解释权属于采购人。</w:t>
            </w:r>
          </w:p>
        </w:tc>
      </w:tr>
      <w:tr w14:paraId="0C2431F2">
        <w:tblPrEx>
          <w:tblCellMar>
            <w:top w:w="0" w:type="dxa"/>
            <w:left w:w="108" w:type="dxa"/>
            <w:bottom w:w="0" w:type="dxa"/>
            <w:right w:w="108" w:type="dxa"/>
          </w:tblCellMar>
        </w:tblPrEx>
        <w:trPr>
          <w:trHeight w:val="683"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14:paraId="789C4B3A">
            <w:pPr>
              <w:widowControl/>
              <w:spacing w:line="360" w:lineRule="auto"/>
              <w:jc w:val="center"/>
              <w:rPr>
                <w:rFonts w:hint="eastAsia" w:ascii="宋体" w:hAnsi="宋体" w:eastAsia="宋体" w:cs="Calibri"/>
                <w:sz w:val="24"/>
                <w:highlight w:val="none"/>
                <w:lang w:eastAsia="zh-CN"/>
              </w:rPr>
            </w:pPr>
            <w:r>
              <w:rPr>
                <w:rFonts w:hint="eastAsia" w:ascii="宋体" w:hAnsi="宋体" w:eastAsia="宋体" w:cs="Calibri"/>
                <w:kern w:val="0"/>
                <w:sz w:val="24"/>
                <w:highlight w:val="none"/>
              </w:rPr>
              <w:t>2</w:t>
            </w:r>
            <w:r>
              <w:rPr>
                <w:rFonts w:hint="eastAsia" w:ascii="宋体" w:hAnsi="宋体" w:eastAsia="宋体" w:cs="Calibri"/>
                <w:kern w:val="0"/>
                <w:sz w:val="24"/>
                <w:highlight w:val="none"/>
                <w:lang w:val="en-US" w:eastAsia="zh-CN"/>
              </w:rPr>
              <w:t>8</w:t>
            </w:r>
          </w:p>
        </w:tc>
        <w:tc>
          <w:tcPr>
            <w:tcW w:w="2070" w:type="dxa"/>
            <w:tcBorders>
              <w:top w:val="single" w:color="auto" w:sz="4" w:space="0"/>
              <w:left w:val="nil"/>
              <w:bottom w:val="single" w:color="auto" w:sz="4" w:space="0"/>
              <w:right w:val="single" w:color="auto" w:sz="4" w:space="0"/>
            </w:tcBorders>
            <w:vAlign w:val="center"/>
          </w:tcPr>
          <w:p w14:paraId="1EFEF0CD">
            <w:pPr>
              <w:widowControl/>
              <w:spacing w:line="360" w:lineRule="auto"/>
              <w:jc w:val="center"/>
              <w:rPr>
                <w:rFonts w:ascii="宋体" w:hAnsi="宋体" w:eastAsia="宋体" w:cs="Calibri"/>
                <w:sz w:val="24"/>
                <w:highlight w:val="none"/>
              </w:rPr>
            </w:pPr>
            <w:r>
              <w:rPr>
                <w:rFonts w:hint="eastAsia" w:ascii="宋体" w:hAnsi="宋体" w:eastAsia="宋体" w:cs="Calibri"/>
                <w:b/>
                <w:bCs/>
                <w:kern w:val="0"/>
                <w:sz w:val="24"/>
                <w:highlight w:val="none"/>
              </w:rPr>
              <w:t>电子化交易注意事项</w:t>
            </w:r>
          </w:p>
        </w:tc>
        <w:tc>
          <w:tcPr>
            <w:tcW w:w="6353" w:type="dxa"/>
            <w:tcBorders>
              <w:top w:val="single" w:color="auto" w:sz="4" w:space="0"/>
              <w:left w:val="nil"/>
              <w:bottom w:val="single" w:color="auto" w:sz="4" w:space="0"/>
              <w:right w:val="single" w:color="auto" w:sz="4" w:space="0"/>
            </w:tcBorders>
            <w:vAlign w:val="center"/>
          </w:tcPr>
          <w:p w14:paraId="35689E59">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本项目为电子化交易项目，投标文件是供应商、投标人（以下简称“供应商”）通过中心投标文件制作系统制作，并经过电子签章和加密后生成的电子版投标文件。供应商投标时，不须提交纸质文件资料。</w:t>
            </w:r>
          </w:p>
          <w:p w14:paraId="098F86D0">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电子化投标文件具体制作教材请供应商通过CA证书登录三门峡市公共资源电子化交易系统在 “交易智库”中下载操作流程</w:t>
            </w:r>
          </w:p>
          <w:p w14:paraId="6233A22B">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温馨提示：本项目为电子化、无纸化交易项目，供应商时不接受任何纸质资料，为保证您能投标成功，请需仔细阅读以下条款。</w:t>
            </w:r>
          </w:p>
          <w:p w14:paraId="71E125D5">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一、电子化投标</w:t>
            </w:r>
          </w:p>
          <w:p w14:paraId="657550E4">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（一）电子化投标文件的签章</w:t>
            </w:r>
          </w:p>
          <w:p w14:paraId="60AD260D">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1、供应商在生成电子化投标文件后，应对电子化投标文件进行签章，未进行签章的视为无效投标。</w:t>
            </w:r>
          </w:p>
          <w:p w14:paraId="6D9997C9">
            <w:pPr>
              <w:spacing w:line="400" w:lineRule="exact"/>
              <w:jc w:val="left"/>
              <w:rPr>
                <w:rFonts w:ascii="宋体" w:hAnsi="宋体" w:eastAsia="宋体" w:cs="Times New Roman"/>
                <w:sz w:val="24"/>
                <w:highlight w:val="none"/>
              </w:rPr>
            </w:pPr>
            <w:r>
              <w:rPr>
                <w:rFonts w:hint="eastAsia" w:ascii="宋体" w:hAnsi="宋体" w:eastAsia="宋体" w:cs="Times New Roman"/>
                <w:sz w:val="24"/>
                <w:highlight w:val="none"/>
              </w:rPr>
              <w:t>2、投标文件中要求法定代表人或授权委托人签字或盖章的，供应商在进行电子化投标文件签章时，以签盖法定代表人签章为准。电子化投标文件具体制作教材请供应商通过CA证书登录三门峡市公共资源电子化交易系统在右上角“交易智库”中查看。电子化投标文件工具请点击</w:t>
            </w:r>
            <w:r>
              <w:rPr>
                <w:rFonts w:ascii="宋体" w:hAnsi="宋体" w:eastAsia="宋体" w:cs="Times New Roman"/>
                <w:sz w:val="24"/>
                <w:highlight w:val="none"/>
              </w:rPr>
              <w:t>https://download.bqpoint.com/download/downloadlist.html?SoftTypeCode=03</w:t>
            </w:r>
            <w:r>
              <w:rPr>
                <w:rFonts w:hint="eastAsia" w:ascii="宋体" w:hAnsi="宋体" w:eastAsia="宋体" w:cs="Times New Roman"/>
                <w:sz w:val="24"/>
                <w:highlight w:val="none"/>
              </w:rPr>
              <w:t>进行下载。</w:t>
            </w:r>
          </w:p>
          <w:p w14:paraId="3860FCC5">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（二）电子化投标文件的格式及上传投标</w:t>
            </w:r>
          </w:p>
          <w:p w14:paraId="7BCDEA0E">
            <w:pPr>
              <w:spacing w:line="400" w:lineRule="exact"/>
              <w:jc w:val="left"/>
              <w:rPr>
                <w:rFonts w:ascii="宋体" w:hAnsi="宋体" w:eastAsia="宋体" w:cs="Times New Roman"/>
                <w:sz w:val="24"/>
                <w:highlight w:val="none"/>
              </w:rPr>
            </w:pPr>
            <w:r>
              <w:rPr>
                <w:rFonts w:hint="eastAsia" w:ascii="宋体" w:hAnsi="宋体" w:eastAsia="宋体" w:cs="Times New Roman"/>
                <w:sz w:val="24"/>
                <w:highlight w:val="none"/>
              </w:rPr>
              <w:t>1、供应商所上传的电子化投标文件，应是通过中心投标文件制作系统制作的（投标文件制作工具下载地址：</w:t>
            </w:r>
            <w:r>
              <w:rPr>
                <w:rFonts w:ascii="宋体" w:hAnsi="宋体" w:eastAsia="宋体" w:cs="Times New Roman"/>
                <w:sz w:val="24"/>
                <w:highlight w:val="none"/>
              </w:rPr>
              <w:t>https://download.bqpoint.com/download/downloadlist.html?SoftTypeCode=03</w:t>
            </w:r>
            <w:r>
              <w:rPr>
                <w:rFonts w:hint="eastAsia" w:ascii="宋体" w:hAnsi="宋体" w:eastAsia="宋体" w:cs="Times New Roman"/>
                <w:sz w:val="24"/>
                <w:highlight w:val="none"/>
              </w:rPr>
              <w:t>），经过签章和加密后生成的电子版投标文件。其中包含用于投标文件上传的主文件（后缀为.smxtf）和用于应急补救的投标文件备份文件（后缀为.nsmxtf）。备份文件主要用于电子化开标出现技术问题后的补救，请供应商随身携带。</w:t>
            </w:r>
          </w:p>
          <w:p w14:paraId="259908C8">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注：供应商投报多个标段的，需要每个标段单独制作电子投标文件。</w:t>
            </w:r>
          </w:p>
          <w:p w14:paraId="7AF2B77F">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2、电子化投标文件应在投标截止时间前成功上传至三门峡市公共资源电子化交易系统。至投标截止时间止，仍未上传成功的电子化投标文件将不予接收。</w:t>
            </w:r>
          </w:p>
          <w:p w14:paraId="4C7670FB">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76D9321C">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技术联系电话：400-998-0000</w:t>
            </w:r>
          </w:p>
          <w:p w14:paraId="05644FB7">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主体库咨询电话:0398-3117815</w:t>
            </w:r>
          </w:p>
          <w:p w14:paraId="7452D68D">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CA证书制发:0398-2181635</w:t>
            </w:r>
          </w:p>
          <w:p w14:paraId="28FDCC78">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科技信息科:0398-3117095</w:t>
            </w:r>
          </w:p>
          <w:p w14:paraId="2B99EB24">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（三）电子化项目开标、解密、唱标、评标</w:t>
            </w:r>
          </w:p>
          <w:p w14:paraId="4ADE8BDC">
            <w:pPr>
              <w:wordWrap w:val="0"/>
              <w:spacing w:line="400" w:lineRule="exact"/>
              <w:ind w:firstLine="357"/>
              <w:rPr>
                <w:rFonts w:ascii="宋体" w:hAnsi="宋体" w:eastAsia="宋体" w:cs="Times New Roman"/>
                <w:sz w:val="24"/>
                <w:highlight w:val="none"/>
              </w:rPr>
            </w:pPr>
            <w:r>
              <w:rPr>
                <w:rFonts w:hint="eastAsia" w:ascii="宋体" w:hAnsi="宋体" w:eastAsia="宋体" w:cs="Times New Roman"/>
                <w:sz w:val="24"/>
                <w:highlight w:val="none"/>
              </w:rPr>
              <w:t>1、本项目采用电子化、无纸化进行招标，开标当日，供应商无需到开标现场参加开标会议，供应商应当在投标截止时间前，登陆不见面开标大厅选择登陆三门峡市公共资源电子招投标系统进行登陆（</w:t>
            </w:r>
            <w:r>
              <w:rPr>
                <w:rFonts w:hint="eastAsia" w:ascii="宋体" w:hAnsi="宋体" w:eastAsia="宋体" w:cs="宋体"/>
                <w:sz w:val="24"/>
                <w:szCs w:val="24"/>
                <w:highlight w:val="none"/>
              </w:rPr>
              <w:t>网址为</w:t>
            </w:r>
            <w:r>
              <w:rPr>
                <w:rFonts w:ascii="宋体" w:hAnsi="宋体" w:eastAsia="宋体" w:cs="宋体"/>
                <w:sz w:val="24"/>
                <w:szCs w:val="24"/>
                <w:highlight w:val="none"/>
              </w:rPr>
              <w:t>http://120.194.249.36:10094/BidOpening/bidopeninghallaction/hall/login</w:t>
            </w:r>
            <w:r>
              <w:rPr>
                <w:rFonts w:hint="eastAsia" w:ascii="宋体" w:hAnsi="宋体" w:eastAsia="宋体" w:cs="Times New Roman"/>
                <w:sz w:val="24"/>
                <w:highlight w:val="none"/>
              </w:rPr>
              <w:t>）,在线准时参加开标活动并进行投标文件解密等。</w:t>
            </w:r>
          </w:p>
          <w:p w14:paraId="56A85136">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2、电子化投标文件采用一次加密方式。开标时，由供应商使用CA 证书，在规定时间内对其电子化投标文件进行解密。每位供应商的解密时间为开标时间起30分钟内，如在规定时间内未完成解密的，其投标文件不予开标、唱标。</w:t>
            </w:r>
          </w:p>
          <w:p w14:paraId="124059BD">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3、电子化投标文件解密异常的处理</w:t>
            </w:r>
          </w:p>
          <w:p w14:paraId="49BF6853">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如出现供应商的电子投标文件无法解密等异常情况，供应商应及时致电中介服务机构说明。投标文件异常，按以下步骤进行处理：</w:t>
            </w:r>
          </w:p>
          <w:p w14:paraId="4F1208A0">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（1）首先由技术人员进行问题排查。</w:t>
            </w:r>
          </w:p>
          <w:p w14:paraId="01E1BF1D">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（2）经技术人员排查后，是供应商文件自身问题导致投标文件无法解密的，该投标文件将不予接收、解密和唱标。开标会议继续进行。</w:t>
            </w:r>
          </w:p>
          <w:p w14:paraId="4C6D7EF8">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1FACDC38">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4、待所有供应商投标文件解密完成后，由中介服务机构操作，对所有已解密投标文件进行唱标。</w:t>
            </w:r>
          </w:p>
          <w:p w14:paraId="45891EF2">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供应商应保证在开标期间电话、电脑、网络能够正常工作，供应商因停电、电脑病毒、网络堵塞等原因，未在规定的解密时间内对投标文件进行解密的，其投标文件不予接收、唱标。</w:t>
            </w:r>
          </w:p>
          <w:p w14:paraId="3874F225">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5、开标时供应商可登录到交易系统中在开标解密栏中点击报价一览表查看自己的投标报价。如对自己的唱标内容有异议的，应在供应商解密成功后10分钟内向中介服务机构电话质疑。中介服务机构应在监督人员的监督下进行免提通话接受供应商的质疑并做好书面记录。供应商未在规定时间内提出质疑的，视为认可唱标内容。</w:t>
            </w:r>
          </w:p>
          <w:p w14:paraId="797A532C">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6、评标时，磋商小组对电子化投标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64D5C81A">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7、如磋商小组对需要回复的供应商连续三次致电未接通的，视为供应商放弃回复，磋商小组将自行对需要回复的内容进行认定。</w:t>
            </w:r>
          </w:p>
          <w:p w14:paraId="786A76DE">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二、相关证书原件的提交</w:t>
            </w:r>
          </w:p>
          <w:p w14:paraId="275F124B">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本项目实行资格后审，资格评审以投标文件为准，其上传资料真实性由供应商自行承担，同时，供应商要完善主体库。</w:t>
            </w:r>
          </w:p>
          <w:p w14:paraId="054D939A">
            <w:pPr>
              <w:spacing w:line="400" w:lineRule="exact"/>
              <w:rPr>
                <w:rFonts w:ascii="宋体" w:hAnsi="宋体" w:eastAsia="宋体" w:cs="Times New Roman"/>
                <w:sz w:val="24"/>
                <w:highlight w:val="none"/>
              </w:rPr>
            </w:pPr>
            <w:r>
              <w:rPr>
                <w:rFonts w:hint="eastAsia" w:ascii="宋体" w:hAnsi="宋体" w:eastAsia="宋体" w:cs="Times New Roman"/>
                <w:sz w:val="24"/>
                <w:highlight w:val="none"/>
              </w:rPr>
              <w:t>提示：本项目为电子化、无纸化交易项目，开标时不再接受任何纸质资料，为保证您能投标成功，请需仔细阅读以上条款。</w:t>
            </w:r>
          </w:p>
        </w:tc>
      </w:tr>
    </w:tbl>
    <w:p w14:paraId="639CD0D3">
      <w:pPr>
        <w:spacing w:line="460" w:lineRule="exact"/>
        <w:jc w:val="center"/>
        <w:outlineLvl w:val="1"/>
        <w:rPr>
          <w:rFonts w:ascii="宋体" w:hAnsi="宋体" w:eastAsia="宋体" w:cs="宋体"/>
          <w:b/>
          <w:kern w:val="0"/>
          <w:sz w:val="24"/>
          <w:szCs w:val="24"/>
          <w:highlight w:val="none"/>
        </w:rPr>
      </w:pPr>
      <w:r>
        <w:rPr>
          <w:rFonts w:hint="eastAsia" w:ascii="宋体" w:hAnsi="宋体" w:eastAsia="宋体" w:cs="Times New Roman"/>
          <w:b/>
          <w:bCs/>
          <w:kern w:val="0"/>
          <w:sz w:val="24"/>
          <w:szCs w:val="24"/>
          <w:highlight w:val="none"/>
        </w:rPr>
        <w:br w:type="page"/>
      </w:r>
      <w:bookmarkStart w:id="23" w:name="_Toc513029203"/>
      <w:bookmarkEnd w:id="23"/>
      <w:bookmarkStart w:id="24" w:name="_Toc517178993"/>
      <w:bookmarkEnd w:id="24"/>
      <w:bookmarkStart w:id="25" w:name="_Toc20823275"/>
      <w:bookmarkEnd w:id="25"/>
      <w:bookmarkStart w:id="26" w:name="_Toc120614214"/>
      <w:bookmarkEnd w:id="26"/>
      <w:bookmarkStart w:id="27" w:name="_Toc16770549"/>
      <w:bookmarkEnd w:id="27"/>
      <w:bookmarkStart w:id="28" w:name="_Toc16938519"/>
      <w:bookmarkEnd w:id="28"/>
      <w:bookmarkStart w:id="29" w:name="_Toc27178"/>
      <w:r>
        <w:rPr>
          <w:rFonts w:hint="eastAsia" w:ascii="宋体" w:hAnsi="宋体" w:eastAsia="宋体" w:cs="宋体"/>
          <w:b/>
          <w:sz w:val="24"/>
          <w:szCs w:val="24"/>
          <w:highlight w:val="none"/>
        </w:rPr>
        <w:t>1.总则</w:t>
      </w:r>
      <w:bookmarkEnd w:id="29"/>
    </w:p>
    <w:p w14:paraId="12042C89">
      <w:pPr>
        <w:wordWrap w:val="0"/>
        <w:spacing w:line="460" w:lineRule="exact"/>
        <w:ind w:firstLine="480" w:firstLineChars="200"/>
        <w:jc w:val="left"/>
        <w:outlineLvl w:val="2"/>
        <w:rPr>
          <w:rFonts w:ascii="宋体" w:hAnsi="宋体" w:eastAsia="宋体" w:cs="宋体"/>
          <w:sz w:val="24"/>
          <w:szCs w:val="24"/>
          <w:highlight w:val="none"/>
        </w:rPr>
      </w:pPr>
      <w:bookmarkStart w:id="30" w:name="_Toc16938520"/>
      <w:bookmarkEnd w:id="30"/>
      <w:bookmarkStart w:id="31" w:name="_Toc513029204"/>
      <w:bookmarkEnd w:id="31"/>
      <w:bookmarkStart w:id="32" w:name="_Toc20823276"/>
      <w:bookmarkEnd w:id="32"/>
      <w:bookmarkStart w:id="33" w:name="_Toc528078009"/>
      <w:bookmarkStart w:id="34" w:name="_Toc15871"/>
      <w:r>
        <w:rPr>
          <w:rFonts w:hint="eastAsia" w:ascii="宋体" w:hAnsi="宋体" w:eastAsia="宋体" w:cs="宋体"/>
          <w:sz w:val="24"/>
          <w:szCs w:val="24"/>
          <w:highlight w:val="none"/>
        </w:rPr>
        <w:t>1.1.1</w:t>
      </w:r>
      <w:bookmarkEnd w:id="33"/>
      <w:r>
        <w:rPr>
          <w:rFonts w:hint="eastAsia" w:ascii="宋体" w:hAnsi="宋体" w:eastAsia="宋体" w:cs="宋体"/>
          <w:sz w:val="24"/>
          <w:szCs w:val="24"/>
          <w:highlight w:val="none"/>
        </w:rPr>
        <w:t>采购方式及定义</w:t>
      </w:r>
      <w:bookmarkEnd w:id="34"/>
    </w:p>
    <w:p w14:paraId="452D3D3D">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本次采购采用竞争性磋商方式（以下简称磋商），本竞争性磋商文件仅适用于竞争性磋商公告中所述项目。</w:t>
      </w:r>
    </w:p>
    <w:p w14:paraId="73933336">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合格的供应商</w:t>
      </w:r>
    </w:p>
    <w:p w14:paraId="71208797">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1.满足竞争性磋商公告中供应商的资格条件的规定。</w:t>
      </w:r>
    </w:p>
    <w:p w14:paraId="07FE9821">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2.满足本文件实质性条款的规定。</w:t>
      </w:r>
    </w:p>
    <w:p w14:paraId="4D1EEF99">
      <w:pPr>
        <w:wordWrap w:val="0"/>
        <w:spacing w:line="460" w:lineRule="exact"/>
        <w:ind w:firstLine="480" w:firstLineChars="200"/>
        <w:jc w:val="left"/>
        <w:outlineLvl w:val="2"/>
        <w:rPr>
          <w:rFonts w:ascii="宋体" w:hAnsi="宋体" w:eastAsia="宋体" w:cs="宋体"/>
          <w:sz w:val="24"/>
          <w:szCs w:val="24"/>
          <w:highlight w:val="none"/>
        </w:rPr>
      </w:pPr>
      <w:bookmarkStart w:id="35" w:name="_Toc20823278"/>
      <w:bookmarkEnd w:id="35"/>
      <w:bookmarkStart w:id="36" w:name="_Toc16938522"/>
      <w:bookmarkEnd w:id="36"/>
      <w:bookmarkStart w:id="37" w:name="_Toc513029206"/>
      <w:bookmarkEnd w:id="37"/>
      <w:bookmarkStart w:id="38" w:name="_Toc528078010"/>
      <w:bookmarkStart w:id="39" w:name="_Toc31734"/>
      <w:r>
        <w:rPr>
          <w:rFonts w:hint="eastAsia" w:ascii="宋体" w:hAnsi="宋体" w:eastAsia="宋体" w:cs="宋体"/>
          <w:sz w:val="24"/>
          <w:szCs w:val="24"/>
          <w:highlight w:val="none"/>
        </w:rPr>
        <w:t>1.1.2</w:t>
      </w:r>
      <w:bookmarkEnd w:id="38"/>
      <w:r>
        <w:rPr>
          <w:rFonts w:hint="eastAsia" w:ascii="宋体" w:hAnsi="宋体" w:eastAsia="宋体" w:cs="宋体"/>
          <w:sz w:val="24"/>
          <w:szCs w:val="24"/>
          <w:highlight w:val="none"/>
        </w:rPr>
        <w:t>适用法律</w:t>
      </w:r>
      <w:bookmarkEnd w:id="39"/>
    </w:p>
    <w:p w14:paraId="36DA909B">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本次竞争性磋商及由此产生的合同受中华人民共和国有关的法律法规制约和保护。</w:t>
      </w:r>
    </w:p>
    <w:p w14:paraId="79EA63D8">
      <w:pPr>
        <w:wordWrap w:val="0"/>
        <w:spacing w:line="460" w:lineRule="exact"/>
        <w:ind w:firstLine="480" w:firstLineChars="200"/>
        <w:jc w:val="left"/>
        <w:outlineLvl w:val="2"/>
        <w:rPr>
          <w:rFonts w:ascii="宋体" w:hAnsi="宋体" w:eastAsia="宋体" w:cs="宋体"/>
          <w:sz w:val="24"/>
          <w:szCs w:val="24"/>
          <w:highlight w:val="none"/>
        </w:rPr>
      </w:pPr>
      <w:bookmarkStart w:id="40" w:name="_Toc16938523"/>
      <w:bookmarkEnd w:id="40"/>
      <w:bookmarkStart w:id="41" w:name="_Toc513029207"/>
      <w:bookmarkEnd w:id="41"/>
      <w:bookmarkStart w:id="42" w:name="_Toc462564067"/>
      <w:bookmarkEnd w:id="42"/>
      <w:bookmarkStart w:id="43" w:name="_Toc20823279"/>
      <w:bookmarkEnd w:id="43"/>
      <w:bookmarkStart w:id="44" w:name="_Toc528078011"/>
      <w:bookmarkStart w:id="45" w:name="_Toc20062"/>
      <w:r>
        <w:rPr>
          <w:rFonts w:hint="eastAsia" w:ascii="宋体" w:hAnsi="宋体" w:eastAsia="宋体" w:cs="宋体"/>
          <w:sz w:val="24"/>
          <w:szCs w:val="24"/>
          <w:highlight w:val="none"/>
        </w:rPr>
        <w:t>1.1.3</w:t>
      </w:r>
      <w:bookmarkEnd w:id="44"/>
      <w:r>
        <w:rPr>
          <w:rFonts w:hint="eastAsia" w:ascii="宋体" w:hAnsi="宋体" w:eastAsia="宋体" w:cs="宋体"/>
          <w:sz w:val="24"/>
          <w:szCs w:val="24"/>
          <w:highlight w:val="none"/>
        </w:rPr>
        <w:t>磋商费用</w:t>
      </w:r>
      <w:bookmarkEnd w:id="45"/>
    </w:p>
    <w:p w14:paraId="300557FF">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本次竞争性磋商磋商服务费：招标代理服务费参照《河南省招标代理服务收费指导意见》豫招协（2023）002号文件中，河南省招标代理服务收费计算标准计取。领取中标通知书前由中标人支付。供应商的投标报价应当包含该代理费用。</w:t>
      </w:r>
    </w:p>
    <w:p w14:paraId="580D954C">
      <w:pPr>
        <w:wordWrap w:val="0"/>
        <w:spacing w:line="460" w:lineRule="exact"/>
        <w:ind w:left="566" w:leftChars="218" w:hanging="108" w:hangingChars="45"/>
        <w:jc w:val="left"/>
        <w:outlineLvl w:val="1"/>
        <w:rPr>
          <w:rFonts w:ascii="宋体" w:hAnsi="宋体" w:eastAsia="宋体" w:cs="宋体"/>
          <w:kern w:val="0"/>
          <w:sz w:val="24"/>
          <w:szCs w:val="24"/>
          <w:highlight w:val="none"/>
        </w:rPr>
      </w:pPr>
      <w:bookmarkStart w:id="46" w:name="_Toc513029209"/>
      <w:bookmarkEnd w:id="46"/>
      <w:bookmarkStart w:id="47" w:name="_Toc403987206"/>
      <w:bookmarkEnd w:id="47"/>
      <w:bookmarkStart w:id="48" w:name="_Toc16938525"/>
      <w:bookmarkEnd w:id="48"/>
      <w:bookmarkStart w:id="49" w:name="_Toc517178994"/>
      <w:bookmarkEnd w:id="49"/>
      <w:bookmarkStart w:id="50" w:name="_Toc505350554"/>
      <w:bookmarkEnd w:id="50"/>
      <w:bookmarkStart w:id="51" w:name="_Toc20823281"/>
      <w:bookmarkEnd w:id="51"/>
      <w:bookmarkStart w:id="52" w:name="_Toc504491968"/>
      <w:bookmarkEnd w:id="52"/>
      <w:bookmarkStart w:id="53" w:name="_Toc120614215"/>
      <w:bookmarkEnd w:id="53"/>
      <w:bookmarkStart w:id="54" w:name="_Toc528078012"/>
      <w:bookmarkStart w:id="55" w:name="_Toc18479"/>
      <w:r>
        <w:rPr>
          <w:rFonts w:hint="eastAsia" w:ascii="宋体" w:hAnsi="宋体" w:eastAsia="宋体" w:cs="宋体"/>
          <w:sz w:val="24"/>
          <w:szCs w:val="24"/>
          <w:highlight w:val="none"/>
        </w:rPr>
        <w:t>2.</w:t>
      </w:r>
      <w:bookmarkEnd w:id="54"/>
      <w:r>
        <w:rPr>
          <w:rFonts w:hint="eastAsia" w:ascii="宋体" w:hAnsi="宋体" w:eastAsia="宋体" w:cs="宋体"/>
          <w:sz w:val="24"/>
          <w:szCs w:val="24"/>
          <w:highlight w:val="none"/>
        </w:rPr>
        <w:t>竞争性磋商文件</w:t>
      </w:r>
      <w:bookmarkEnd w:id="55"/>
    </w:p>
    <w:p w14:paraId="1C255F46">
      <w:pPr>
        <w:wordWrap w:val="0"/>
        <w:spacing w:line="460" w:lineRule="exact"/>
        <w:ind w:firstLine="480" w:firstLineChars="200"/>
        <w:jc w:val="left"/>
        <w:outlineLvl w:val="2"/>
        <w:rPr>
          <w:rFonts w:ascii="宋体" w:hAnsi="宋体" w:eastAsia="宋体" w:cs="宋体"/>
          <w:sz w:val="24"/>
          <w:szCs w:val="24"/>
          <w:highlight w:val="none"/>
        </w:rPr>
      </w:pPr>
      <w:bookmarkStart w:id="56" w:name="_Toc513029210"/>
      <w:bookmarkEnd w:id="56"/>
      <w:bookmarkStart w:id="57" w:name="_Toc16938526"/>
      <w:bookmarkEnd w:id="57"/>
      <w:bookmarkStart w:id="58" w:name="_Toc20823282"/>
      <w:bookmarkEnd w:id="58"/>
      <w:bookmarkStart w:id="59" w:name="_Toc528078013"/>
      <w:bookmarkStart w:id="60" w:name="_Toc1487"/>
      <w:r>
        <w:rPr>
          <w:rFonts w:hint="eastAsia" w:ascii="宋体" w:hAnsi="宋体" w:eastAsia="宋体" w:cs="宋体"/>
          <w:sz w:val="24"/>
          <w:szCs w:val="24"/>
          <w:highlight w:val="none"/>
        </w:rPr>
        <w:t>2.1</w:t>
      </w:r>
      <w:bookmarkEnd w:id="59"/>
      <w:r>
        <w:rPr>
          <w:rFonts w:hint="eastAsia" w:ascii="宋体" w:hAnsi="宋体" w:eastAsia="宋体" w:cs="宋体"/>
          <w:sz w:val="24"/>
          <w:szCs w:val="24"/>
          <w:highlight w:val="none"/>
        </w:rPr>
        <w:t>竞争性磋商文件构成</w:t>
      </w:r>
      <w:bookmarkEnd w:id="60"/>
    </w:p>
    <w:p w14:paraId="60C4D206">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2.1.1竞争性磋商公告</w:t>
      </w:r>
    </w:p>
    <w:p w14:paraId="79BA28F6">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2.1.2供应商须知</w:t>
      </w:r>
    </w:p>
    <w:p w14:paraId="75C25E13">
      <w:pPr>
        <w:wordWrap w:val="0"/>
        <w:spacing w:line="460" w:lineRule="exact"/>
        <w:ind w:firstLine="480" w:firstLineChars="200"/>
        <w:jc w:val="left"/>
        <w:outlineLvl w:val="3"/>
        <w:rPr>
          <w:rFonts w:ascii="宋体" w:hAnsi="宋体" w:eastAsia="宋体" w:cs="宋体"/>
          <w:sz w:val="24"/>
          <w:szCs w:val="24"/>
          <w:highlight w:val="none"/>
        </w:rPr>
      </w:pPr>
      <w:r>
        <w:rPr>
          <w:rFonts w:hint="eastAsia" w:ascii="宋体" w:hAnsi="宋体" w:eastAsia="宋体" w:cs="宋体"/>
          <w:sz w:val="24"/>
          <w:szCs w:val="24"/>
          <w:highlight w:val="none"/>
        </w:rPr>
        <w:t>2.1.3评标办法（综合评估法）</w:t>
      </w:r>
    </w:p>
    <w:p w14:paraId="3C9FF0B8">
      <w:pPr>
        <w:wordWrap w:val="0"/>
        <w:spacing w:line="460" w:lineRule="exact"/>
        <w:ind w:firstLine="480" w:firstLineChars="200"/>
        <w:jc w:val="left"/>
        <w:outlineLvl w:val="3"/>
        <w:rPr>
          <w:rFonts w:ascii="宋体" w:hAnsi="宋体" w:eastAsia="宋体" w:cs="宋体"/>
          <w:sz w:val="24"/>
          <w:szCs w:val="24"/>
          <w:highlight w:val="none"/>
        </w:rPr>
      </w:pPr>
      <w:r>
        <w:rPr>
          <w:rFonts w:hint="eastAsia" w:ascii="宋体" w:hAnsi="宋体" w:eastAsia="宋体" w:cs="宋体"/>
          <w:sz w:val="24"/>
          <w:szCs w:val="24"/>
          <w:highlight w:val="none"/>
        </w:rPr>
        <w:t>2.1.4合同主要条款及格式</w:t>
      </w:r>
    </w:p>
    <w:p w14:paraId="5EE29962">
      <w:pPr>
        <w:wordWrap w:val="0"/>
        <w:spacing w:line="460" w:lineRule="exact"/>
        <w:ind w:firstLine="480" w:firstLineChars="200"/>
        <w:jc w:val="left"/>
        <w:outlineLvl w:val="3"/>
        <w:rPr>
          <w:rFonts w:ascii="宋体" w:hAnsi="宋体" w:eastAsia="宋体" w:cs="宋体"/>
          <w:sz w:val="24"/>
          <w:szCs w:val="24"/>
          <w:highlight w:val="none"/>
        </w:rPr>
      </w:pPr>
      <w:r>
        <w:rPr>
          <w:rFonts w:hint="eastAsia" w:ascii="宋体" w:hAnsi="宋体" w:eastAsia="宋体" w:cs="宋体"/>
          <w:sz w:val="24"/>
          <w:szCs w:val="24"/>
          <w:highlight w:val="none"/>
        </w:rPr>
        <w:t>2.1.5采购清单及技术参数</w:t>
      </w:r>
    </w:p>
    <w:p w14:paraId="36233CF0">
      <w:pPr>
        <w:wordWrap w:val="0"/>
        <w:spacing w:line="460" w:lineRule="exact"/>
        <w:ind w:firstLine="480" w:firstLineChars="200"/>
        <w:jc w:val="left"/>
        <w:outlineLvl w:val="3"/>
        <w:rPr>
          <w:rFonts w:ascii="宋体" w:hAnsi="宋体" w:eastAsia="宋体" w:cs="宋体"/>
          <w:sz w:val="24"/>
          <w:szCs w:val="24"/>
          <w:highlight w:val="none"/>
        </w:rPr>
      </w:pPr>
      <w:r>
        <w:rPr>
          <w:rFonts w:hint="eastAsia" w:ascii="宋体" w:hAnsi="宋体" w:eastAsia="宋体" w:cs="宋体"/>
          <w:sz w:val="24"/>
          <w:szCs w:val="24"/>
          <w:highlight w:val="none"/>
        </w:rPr>
        <w:t>2.1.6投标文件格式</w:t>
      </w:r>
    </w:p>
    <w:p w14:paraId="00E59217">
      <w:pPr>
        <w:wordWrap w:val="0"/>
        <w:spacing w:line="460" w:lineRule="exact"/>
        <w:ind w:firstLine="480" w:firstLineChars="200"/>
        <w:jc w:val="left"/>
        <w:outlineLvl w:val="2"/>
        <w:rPr>
          <w:rFonts w:ascii="宋体" w:hAnsi="宋体" w:eastAsia="宋体" w:cs="宋体"/>
          <w:sz w:val="24"/>
          <w:szCs w:val="24"/>
          <w:highlight w:val="none"/>
        </w:rPr>
      </w:pPr>
      <w:bookmarkStart w:id="61" w:name="_Toc513029211"/>
      <w:bookmarkEnd w:id="61"/>
      <w:bookmarkStart w:id="62" w:name="_Toc16938527"/>
      <w:bookmarkEnd w:id="62"/>
      <w:bookmarkStart w:id="63" w:name="_Toc462564070"/>
      <w:bookmarkEnd w:id="63"/>
      <w:bookmarkStart w:id="64" w:name="_Toc20823283"/>
      <w:bookmarkEnd w:id="64"/>
      <w:bookmarkStart w:id="65" w:name="_Toc528078014"/>
      <w:bookmarkStart w:id="66" w:name="_Toc4392"/>
      <w:r>
        <w:rPr>
          <w:rFonts w:hint="eastAsia" w:ascii="宋体" w:hAnsi="宋体" w:eastAsia="宋体" w:cs="宋体"/>
          <w:sz w:val="24"/>
          <w:szCs w:val="24"/>
          <w:highlight w:val="none"/>
        </w:rPr>
        <w:t>2.2</w:t>
      </w:r>
      <w:bookmarkEnd w:id="65"/>
      <w:r>
        <w:rPr>
          <w:rFonts w:hint="eastAsia" w:ascii="宋体" w:hAnsi="宋体" w:eastAsia="宋体" w:cs="宋体"/>
          <w:sz w:val="24"/>
          <w:szCs w:val="24"/>
          <w:highlight w:val="none"/>
        </w:rPr>
        <w:t>竞争性磋商文件的澄清及修改</w:t>
      </w:r>
      <w:bookmarkEnd w:id="66"/>
    </w:p>
    <w:p w14:paraId="02223A1A">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2.2.1供应商应仔细阅读和检查磋商文件的全部内容。如发现电子文件缺页或附件不全，应及时向采购人提出，以便补齐。如有疑问，应在投标截止日期5日前在三门峡市公共资源交易系统中提出咨询并打电话至采购代理机构，要求采购人对磋商文件予以澄清。</w:t>
      </w:r>
    </w:p>
    <w:p w14:paraId="761B9E55">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2.2.2磋商文件的澄清以澄清回复的方式在三门峡市公共资源交易系统中回复所有报名完成供应商或发布澄清公告，但不指明澄清问题的来源。澄清磋商文件实质性内容且影响响应文件编制的，应当顺延提交首次响应文件截止时间。</w:t>
      </w:r>
      <w:r>
        <w:rPr>
          <w:rFonts w:ascii="宋体" w:hAnsi="宋体" w:eastAsia="宋体" w:cs="宋体"/>
          <w:sz w:val="24"/>
          <w:szCs w:val="24"/>
          <w:highlight w:val="none"/>
        </w:rPr>
        <w:t xml:space="preserve">    </w:t>
      </w:r>
    </w:p>
    <w:p w14:paraId="1C9612A2">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2.2.3提交首次响应文件截止之日前，采购人、采购代理公司可以对已发出的磋商文件进行必要的澄清或者修改，澄清或者修改的内容作为磋商文件的组成部分。澄清或者修改的内容可能影响响应文件编制的，采购人、采购代理公司将在提交首次响应文件截止时间至少5日前，在相关网上发布变更公告形式通知所有获取磋商文件的供应商。不足5日的，应当顺延提交首次响应文件截止时间。</w:t>
      </w:r>
    </w:p>
    <w:p w14:paraId="4455A3CC">
      <w:pPr>
        <w:wordWrap w:val="0"/>
        <w:spacing w:line="460" w:lineRule="exact"/>
        <w:ind w:firstLine="480" w:firstLineChars="200"/>
        <w:jc w:val="left"/>
        <w:outlineLvl w:val="3"/>
        <w:rPr>
          <w:rFonts w:ascii="宋体" w:hAnsi="宋体" w:eastAsia="宋体" w:cs="宋体"/>
          <w:sz w:val="24"/>
          <w:szCs w:val="24"/>
          <w:highlight w:val="none"/>
        </w:rPr>
      </w:pPr>
      <w:r>
        <w:rPr>
          <w:rFonts w:hint="eastAsia" w:ascii="宋体" w:hAnsi="宋体" w:eastAsia="宋体" w:cs="宋体"/>
          <w:sz w:val="24"/>
          <w:szCs w:val="24"/>
          <w:highlight w:val="none"/>
        </w:rPr>
        <w:t>2.2.4供应商应自行查看澄清或变更信息。</w:t>
      </w:r>
    </w:p>
    <w:p w14:paraId="2479A5DF">
      <w:pPr>
        <w:wordWrap w:val="0"/>
        <w:spacing w:line="460" w:lineRule="exact"/>
        <w:ind w:firstLine="480" w:firstLineChars="200"/>
        <w:jc w:val="left"/>
        <w:outlineLvl w:val="1"/>
        <w:rPr>
          <w:rFonts w:ascii="宋体" w:hAnsi="宋体" w:eastAsia="宋体" w:cs="宋体"/>
          <w:kern w:val="0"/>
          <w:sz w:val="24"/>
          <w:szCs w:val="24"/>
          <w:highlight w:val="none"/>
        </w:rPr>
      </w:pPr>
      <w:bookmarkStart w:id="67" w:name="_Toc20823285"/>
      <w:bookmarkEnd w:id="67"/>
      <w:bookmarkStart w:id="68" w:name="_Toc462564072"/>
      <w:bookmarkEnd w:id="68"/>
      <w:bookmarkStart w:id="69" w:name="_Toc120614216"/>
      <w:bookmarkEnd w:id="69"/>
      <w:bookmarkStart w:id="70" w:name="_Toc403987207"/>
      <w:bookmarkEnd w:id="70"/>
      <w:bookmarkStart w:id="71" w:name="_Toc16938529"/>
      <w:bookmarkEnd w:id="71"/>
      <w:bookmarkStart w:id="72" w:name="_Toc513029213"/>
      <w:r>
        <w:rPr>
          <w:rFonts w:hint="eastAsia" w:ascii="宋体" w:hAnsi="宋体" w:eastAsia="宋体" w:cs="宋体"/>
          <w:sz w:val="24"/>
          <w:szCs w:val="24"/>
          <w:highlight w:val="none"/>
        </w:rPr>
        <w:t xml:space="preserve"> </w:t>
      </w:r>
      <w:bookmarkEnd w:id="72"/>
      <w:bookmarkStart w:id="73" w:name="_Toc528078015"/>
      <w:bookmarkEnd w:id="73"/>
      <w:bookmarkStart w:id="74" w:name="_Toc517178995"/>
      <w:bookmarkEnd w:id="74"/>
      <w:bookmarkStart w:id="75" w:name="_Toc504491969"/>
      <w:bookmarkEnd w:id="75"/>
      <w:bookmarkStart w:id="76" w:name="_Toc505350555"/>
      <w:bookmarkEnd w:id="76"/>
      <w:bookmarkStart w:id="77" w:name="_Toc4643"/>
      <w:r>
        <w:rPr>
          <w:rFonts w:hint="eastAsia" w:ascii="宋体" w:hAnsi="宋体" w:eastAsia="宋体" w:cs="宋体"/>
          <w:sz w:val="24"/>
          <w:szCs w:val="24"/>
          <w:highlight w:val="none"/>
        </w:rPr>
        <w:t>3.磋商响应文件的编制及递交</w:t>
      </w:r>
      <w:bookmarkEnd w:id="77"/>
    </w:p>
    <w:p w14:paraId="69DD30E7">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电子化交易项目竞争性磋商响应文件（以下简称“响应文件”）是投标人、供应商（以下简称“供应商”）通过中心响应文件制作系统制作，并经过签章和加密后生成的电子版响应文件。供应商投标时，将不再接受任何纸质文件资料。</w:t>
      </w:r>
    </w:p>
    <w:p w14:paraId="65AA0667">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电子化响应文件具体制作教材请供应商通过CA证书登录三门峡市公共资源电子化交易系统在“组建下载”中查看。</w:t>
      </w:r>
    </w:p>
    <w:p w14:paraId="46C47A41">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温馨提示：本项目为电子化、无纸化交易项目，开标时不接受任何纸质资料，为保证您能投标成功，请需仔细阅读以下条款。</w:t>
      </w:r>
    </w:p>
    <w:p w14:paraId="7A92EB79">
      <w:pPr>
        <w:wordWrap w:val="0"/>
        <w:spacing w:line="460" w:lineRule="exact"/>
        <w:ind w:firstLine="480" w:firstLineChars="200"/>
        <w:jc w:val="left"/>
        <w:outlineLvl w:val="2"/>
        <w:rPr>
          <w:rFonts w:ascii="宋体" w:hAnsi="宋体" w:eastAsia="宋体" w:cs="宋体"/>
          <w:sz w:val="24"/>
          <w:szCs w:val="24"/>
          <w:highlight w:val="none"/>
        </w:rPr>
      </w:pPr>
      <w:bookmarkStart w:id="78" w:name="_Toc5901"/>
      <w:r>
        <w:rPr>
          <w:rFonts w:hint="eastAsia" w:ascii="宋体" w:hAnsi="宋体" w:eastAsia="宋体" w:cs="宋体"/>
          <w:sz w:val="24"/>
          <w:szCs w:val="24"/>
          <w:highlight w:val="none"/>
        </w:rPr>
        <w:t>一、电子化投标</w:t>
      </w:r>
      <w:bookmarkEnd w:id="78"/>
    </w:p>
    <w:p w14:paraId="71607551">
      <w:pPr>
        <w:wordWrap w:val="0"/>
        <w:spacing w:line="460" w:lineRule="exact"/>
        <w:ind w:firstLine="480" w:firstLineChars="200"/>
        <w:jc w:val="left"/>
        <w:outlineLvl w:val="3"/>
        <w:rPr>
          <w:rFonts w:ascii="宋体" w:hAnsi="宋体" w:eastAsia="宋体" w:cs="宋体"/>
          <w:kern w:val="0"/>
          <w:sz w:val="24"/>
          <w:szCs w:val="24"/>
          <w:highlight w:val="none"/>
        </w:rPr>
      </w:pPr>
      <w:r>
        <w:rPr>
          <w:rFonts w:hint="eastAsia" w:ascii="宋体" w:hAnsi="宋体" w:eastAsia="宋体" w:cs="宋体"/>
          <w:sz w:val="24"/>
          <w:szCs w:val="24"/>
          <w:highlight w:val="none"/>
        </w:rPr>
        <w:t>（一）电子化响应文件的签章</w:t>
      </w:r>
    </w:p>
    <w:p w14:paraId="1C81A814">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1、供应商在生成电子化响应文件后，应对电子化响应文件进行签章，未进行签章的视为无效投标。</w:t>
      </w:r>
    </w:p>
    <w:p w14:paraId="3519C049">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磋商文件中要求法定代表人或授权委托人签字或盖章的，供应商在进行电子化响应文件签章时，以签盖法定代表人签章为准。电子化响应文件具体制作教材请供应商通过CA证书登录三门峡市公共资源电子化交易系统在右上角“组建下载”中查看。</w:t>
      </w:r>
    </w:p>
    <w:p w14:paraId="37F29320">
      <w:pPr>
        <w:wordWrap w:val="0"/>
        <w:spacing w:line="460" w:lineRule="exact"/>
        <w:ind w:firstLine="480" w:firstLineChars="200"/>
        <w:jc w:val="left"/>
        <w:outlineLvl w:val="3"/>
        <w:rPr>
          <w:rFonts w:ascii="宋体" w:hAnsi="宋体" w:eastAsia="宋体" w:cs="宋体"/>
          <w:sz w:val="24"/>
          <w:szCs w:val="24"/>
          <w:highlight w:val="none"/>
        </w:rPr>
      </w:pPr>
      <w:r>
        <w:rPr>
          <w:rFonts w:hint="eastAsia" w:ascii="宋体" w:hAnsi="宋体" w:eastAsia="宋体" w:cs="宋体"/>
          <w:sz w:val="24"/>
          <w:szCs w:val="24"/>
          <w:highlight w:val="none"/>
        </w:rPr>
        <w:t>（二）电子化响应文件的格式及上传投标</w:t>
      </w:r>
    </w:p>
    <w:p w14:paraId="70030DF6">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1、供应商所上传的电子化响应文件，应是通过中心响应文件制作系统制作的，经过签章和加密后生成的电子版响应文件。</w:t>
      </w:r>
    </w:p>
    <w:p w14:paraId="403B8051">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2、电子化响应文件应在投标截止时间前成功上传至三门峡市公共资源电子化交易系统。至投标截止时间止，仍未上传成功的电子化响应文件将不予接收。</w:t>
      </w:r>
    </w:p>
    <w:p w14:paraId="45B67745">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p w14:paraId="040A75BA">
      <w:pPr>
        <w:wordWrap w:val="0"/>
        <w:spacing w:line="460" w:lineRule="exact"/>
        <w:ind w:firstLine="480" w:firstLineChars="200"/>
        <w:jc w:val="left"/>
        <w:outlineLvl w:val="3"/>
        <w:rPr>
          <w:rFonts w:ascii="宋体" w:hAnsi="宋体" w:eastAsia="宋体" w:cs="宋体"/>
          <w:sz w:val="24"/>
          <w:szCs w:val="24"/>
          <w:highlight w:val="none"/>
        </w:rPr>
      </w:pPr>
      <w:r>
        <w:rPr>
          <w:rFonts w:hint="eastAsia" w:ascii="宋体" w:hAnsi="宋体" w:eastAsia="宋体" w:cs="宋体"/>
          <w:sz w:val="24"/>
          <w:szCs w:val="24"/>
          <w:highlight w:val="none"/>
        </w:rPr>
        <w:t>（三）电子化项目开标、解密、唱标、磋商</w:t>
      </w:r>
    </w:p>
    <w:p w14:paraId="20530403">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1、本项目采用电子化、无纸化进行招标，供应商可以通过网络登录交易平台进入项目开标大厅远程在线参加开标会议。</w:t>
      </w:r>
    </w:p>
    <w:p w14:paraId="2BCDBDB5">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电子化响应文件采用双重加密方式。开标时，请供应商使用CA证书登录交易平台，进入本项目开标大厅点击解密来完成响应文件的解密工作。每位供应商的解密时间为开标时间起30分钟内完成。待所有供应商全部解密完成后，再由中介服务机构使用CA证书对响应文件进行再次解密。</w:t>
      </w:r>
    </w:p>
    <w:p w14:paraId="0EF3A1B2">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3、电子化响应文件解密异常的处理</w:t>
      </w:r>
    </w:p>
    <w:p w14:paraId="338EF472">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如出现供应商的电子响应文件无法解密等异常情况，供应商应及时致电中介服务机构说明。响应文件异常，按以下步骤进行处理：</w:t>
      </w:r>
    </w:p>
    <w:p w14:paraId="0E447788">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（1）首先由技术人员进行问题排查。</w:t>
      </w:r>
    </w:p>
    <w:p w14:paraId="73AA6622">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（2）经技术人员排查后，是供应商文件自身问题导致响应文件无法解密的，该响应文件将不予接收、解密和唱标。开标会议继续进行。</w:t>
      </w:r>
    </w:p>
    <w:p w14:paraId="6B1D1C5C">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56D5F8EC">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4、供应商应保证在开标期间电话、电脑、网络能够正常工作，供应商因停电、电脑病毒、网络堵塞等原因，未在规定的解密时间内对响应文件进行解密的，其响应文件不予接收、唱标。</w:t>
      </w:r>
    </w:p>
    <w:p w14:paraId="69BB472E">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5、磋商小组对电子化响应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磋商小组。</w:t>
      </w:r>
    </w:p>
    <w:p w14:paraId="50A69A8F">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6、如磋商小组对需要回复的供应商连续三次致电未接通的，视为供应商放弃回复，磋商小组将自行对需要回复的内容进行认定。</w:t>
      </w:r>
    </w:p>
    <w:p w14:paraId="22843A8A">
      <w:pPr>
        <w:wordWrap w:val="0"/>
        <w:spacing w:line="460" w:lineRule="exact"/>
        <w:ind w:firstLine="480" w:firstLineChars="200"/>
        <w:jc w:val="left"/>
        <w:outlineLvl w:val="2"/>
        <w:rPr>
          <w:rFonts w:ascii="宋体" w:hAnsi="宋体" w:eastAsia="宋体" w:cs="宋体"/>
          <w:sz w:val="24"/>
          <w:szCs w:val="24"/>
          <w:highlight w:val="none"/>
        </w:rPr>
      </w:pPr>
      <w:bookmarkStart w:id="79" w:name="_Toc24048"/>
      <w:r>
        <w:rPr>
          <w:rFonts w:hint="eastAsia" w:ascii="宋体" w:hAnsi="宋体" w:eastAsia="宋体" w:cs="宋体"/>
          <w:sz w:val="24"/>
          <w:szCs w:val="24"/>
          <w:highlight w:val="none"/>
        </w:rPr>
        <w:t>二、相关证书原件的提交</w:t>
      </w:r>
      <w:bookmarkEnd w:id="79"/>
    </w:p>
    <w:p w14:paraId="45C68AC3">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本项目实行资格后审，竞争性磋商文件中要求供应商提交营业执照、业绩、荣誉及单位人员等相关资料，供应商需将原件扫描件制作到电子响应文件中</w:t>
      </w:r>
    </w:p>
    <w:p w14:paraId="6CC63161">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供应商需应仔细阅读操作手册，保证上传内容齐全，真实有效，原件扫描件清晰可辨。因供应商上传原因导致应得分项而未得分或资格审查不合格等情况的，由供应商自行承担责任。</w:t>
      </w:r>
    </w:p>
    <w:p w14:paraId="0A614E94">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提示：本项目为电子化、无纸化交易项目，开标时不再接受任何纸质资料，为保证您能投标成功，请需仔细阅读以上条款。</w:t>
      </w:r>
    </w:p>
    <w:p w14:paraId="52102C73">
      <w:pPr>
        <w:wordWrap w:val="0"/>
        <w:spacing w:line="460" w:lineRule="exact"/>
        <w:ind w:firstLine="480" w:firstLineChars="200"/>
        <w:jc w:val="left"/>
        <w:outlineLvl w:val="1"/>
        <w:rPr>
          <w:rFonts w:ascii="宋体" w:hAnsi="宋体" w:eastAsia="宋体" w:cs="宋体"/>
          <w:sz w:val="24"/>
          <w:szCs w:val="24"/>
          <w:highlight w:val="none"/>
        </w:rPr>
      </w:pPr>
      <w:bookmarkStart w:id="80" w:name="_Toc528078016"/>
      <w:bookmarkEnd w:id="80"/>
      <w:bookmarkStart w:id="81" w:name="_Toc207"/>
      <w:r>
        <w:rPr>
          <w:rFonts w:hint="eastAsia" w:ascii="宋体" w:hAnsi="宋体" w:eastAsia="宋体" w:cs="宋体"/>
          <w:sz w:val="24"/>
          <w:szCs w:val="24"/>
          <w:highlight w:val="none"/>
        </w:rPr>
        <w:t>3.初次报价表</w:t>
      </w:r>
      <w:bookmarkEnd w:id="81"/>
    </w:p>
    <w:p w14:paraId="518629D1">
      <w:pPr>
        <w:wordWrap w:val="0"/>
        <w:spacing w:line="460" w:lineRule="exact"/>
        <w:ind w:firstLine="480" w:firstLineChars="200"/>
        <w:jc w:val="left"/>
        <w:outlineLvl w:val="2"/>
        <w:rPr>
          <w:rFonts w:ascii="宋体" w:hAnsi="宋体" w:eastAsia="宋体" w:cs="宋体"/>
          <w:sz w:val="24"/>
          <w:szCs w:val="24"/>
          <w:highlight w:val="none"/>
        </w:rPr>
      </w:pPr>
      <w:bookmarkStart w:id="82" w:name="_Toc528078017"/>
      <w:bookmarkEnd w:id="82"/>
      <w:bookmarkStart w:id="83" w:name="_Toc2129"/>
      <w:r>
        <w:rPr>
          <w:rFonts w:hint="eastAsia" w:ascii="宋体" w:hAnsi="宋体" w:eastAsia="宋体" w:cs="宋体"/>
          <w:sz w:val="24"/>
          <w:szCs w:val="24"/>
          <w:highlight w:val="none"/>
        </w:rPr>
        <w:t>3.1供应商应按照竞争性磋商文件规定格式填报</w:t>
      </w:r>
      <w:bookmarkStart w:id="84" w:name="_Hlt26670399"/>
      <w:bookmarkEnd w:id="84"/>
      <w:r>
        <w:rPr>
          <w:rFonts w:hint="eastAsia" w:ascii="宋体" w:hAnsi="宋体" w:eastAsia="宋体" w:cs="宋体"/>
          <w:sz w:val="24"/>
          <w:szCs w:val="24"/>
          <w:highlight w:val="none"/>
        </w:rPr>
        <w:t>初次报价表。每项费用允许有一个报价，任何有选择的报价将不予接受。</w:t>
      </w:r>
      <w:bookmarkEnd w:id="83"/>
    </w:p>
    <w:p w14:paraId="22FF224D">
      <w:pPr>
        <w:wordWrap w:val="0"/>
        <w:spacing w:line="460" w:lineRule="exact"/>
        <w:ind w:firstLine="480" w:firstLineChars="200"/>
        <w:jc w:val="left"/>
        <w:outlineLvl w:val="2"/>
        <w:rPr>
          <w:rFonts w:ascii="宋体" w:hAnsi="宋体" w:eastAsia="宋体" w:cs="宋体"/>
          <w:sz w:val="24"/>
          <w:szCs w:val="24"/>
          <w:highlight w:val="none"/>
        </w:rPr>
      </w:pPr>
      <w:bookmarkStart w:id="85" w:name="_Toc23903"/>
      <w:r>
        <w:rPr>
          <w:rFonts w:hint="eastAsia" w:ascii="宋体" w:hAnsi="宋体" w:eastAsia="宋体" w:cs="宋体"/>
          <w:sz w:val="24"/>
          <w:szCs w:val="24"/>
          <w:highlight w:val="none"/>
        </w:rPr>
        <w:t>3.2有关费用处理</w:t>
      </w:r>
      <w:bookmarkEnd w:id="85"/>
    </w:p>
    <w:p w14:paraId="30D3A29D">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本项目应以人民币报价，供应商应就该项目完整投标（报价、服务、税费、售后服务等综合费用），采购人不另外支付其他任何费用；</w:t>
      </w:r>
    </w:p>
    <w:p w14:paraId="4212352E">
      <w:pPr>
        <w:wordWrap w:val="0"/>
        <w:spacing w:line="460" w:lineRule="exact"/>
        <w:ind w:firstLine="480" w:firstLineChars="200"/>
        <w:jc w:val="left"/>
        <w:outlineLvl w:val="2"/>
        <w:rPr>
          <w:rFonts w:ascii="宋体" w:hAnsi="宋体" w:eastAsia="宋体" w:cs="宋体"/>
          <w:sz w:val="24"/>
          <w:szCs w:val="24"/>
          <w:highlight w:val="none"/>
        </w:rPr>
      </w:pPr>
      <w:bookmarkStart w:id="86" w:name="_Toc528078018"/>
      <w:bookmarkEnd w:id="86"/>
      <w:bookmarkStart w:id="87" w:name="_Toc10149"/>
      <w:r>
        <w:rPr>
          <w:rFonts w:hint="eastAsia" w:ascii="宋体" w:hAnsi="宋体" w:eastAsia="宋体" w:cs="宋体"/>
          <w:sz w:val="24"/>
          <w:szCs w:val="24"/>
          <w:highlight w:val="none"/>
        </w:rPr>
        <w:t>3.3其它费用处理</w:t>
      </w:r>
      <w:bookmarkEnd w:id="87"/>
    </w:p>
    <w:p w14:paraId="4F8EFEE0">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竞争性磋商文件未列明，而供应商认为必需的费用也需列入报价。</w:t>
      </w:r>
    </w:p>
    <w:p w14:paraId="3BD4B70F">
      <w:pPr>
        <w:wordWrap w:val="0"/>
        <w:spacing w:line="460" w:lineRule="exact"/>
        <w:ind w:firstLine="480" w:firstLineChars="200"/>
        <w:jc w:val="left"/>
        <w:outlineLvl w:val="2"/>
        <w:rPr>
          <w:rFonts w:ascii="宋体" w:hAnsi="宋体" w:eastAsia="宋体" w:cs="宋体"/>
          <w:sz w:val="24"/>
          <w:szCs w:val="24"/>
          <w:highlight w:val="none"/>
        </w:rPr>
      </w:pPr>
      <w:bookmarkStart w:id="88" w:name="_Toc528078019"/>
      <w:bookmarkEnd w:id="88"/>
      <w:bookmarkStart w:id="89" w:name="_Toc2035"/>
      <w:r>
        <w:rPr>
          <w:rFonts w:hint="eastAsia" w:ascii="宋体" w:hAnsi="宋体" w:eastAsia="宋体" w:cs="宋体"/>
          <w:sz w:val="24"/>
          <w:szCs w:val="24"/>
          <w:highlight w:val="none"/>
        </w:rPr>
        <w:t>3.4响应文件货币</w:t>
      </w:r>
      <w:bookmarkEnd w:id="89"/>
    </w:p>
    <w:p w14:paraId="6A7F9290">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响应文件中的货物单价和总价无特殊规定的采用人民币报价，以元为单位标注。竞争性磋商文件中另有规定的按规定执行。</w:t>
      </w:r>
    </w:p>
    <w:p w14:paraId="3B268F88">
      <w:pPr>
        <w:wordWrap w:val="0"/>
        <w:spacing w:line="460" w:lineRule="exact"/>
        <w:ind w:firstLine="480" w:firstLineChars="200"/>
        <w:jc w:val="left"/>
        <w:outlineLvl w:val="2"/>
        <w:rPr>
          <w:rFonts w:ascii="宋体" w:hAnsi="宋体" w:eastAsia="宋体" w:cs="宋体"/>
          <w:sz w:val="24"/>
          <w:szCs w:val="24"/>
          <w:highlight w:val="none"/>
        </w:rPr>
      </w:pPr>
      <w:bookmarkStart w:id="90" w:name="_Toc528078020"/>
      <w:bookmarkEnd w:id="90"/>
      <w:bookmarkStart w:id="91" w:name="_Toc5979"/>
      <w:r>
        <w:rPr>
          <w:rFonts w:hint="eastAsia" w:ascii="宋体" w:hAnsi="宋体" w:eastAsia="宋体" w:cs="宋体"/>
          <w:sz w:val="24"/>
          <w:szCs w:val="24"/>
          <w:highlight w:val="none"/>
        </w:rPr>
        <w:t>3.5初次报价表上的价格应按下列方式填写：</w:t>
      </w:r>
      <w:bookmarkEnd w:id="91"/>
    </w:p>
    <w:p w14:paraId="515D197D">
      <w:pPr>
        <w:wordWrap w:val="0"/>
        <w:spacing w:line="460" w:lineRule="exact"/>
        <w:ind w:firstLine="480" w:firstLineChars="200"/>
        <w:jc w:val="left"/>
        <w:rPr>
          <w:rFonts w:ascii="宋体" w:hAnsi="宋体" w:eastAsia="宋体" w:cs="宋体"/>
          <w:sz w:val="24"/>
          <w:szCs w:val="24"/>
          <w:highlight w:val="none"/>
        </w:rPr>
      </w:pPr>
      <w:bookmarkStart w:id="92" w:name="_Hlt26954844"/>
      <w:bookmarkEnd w:id="92"/>
      <w:bookmarkStart w:id="93" w:name="_Hlt26668983"/>
      <w:bookmarkEnd w:id="93"/>
      <w:bookmarkStart w:id="94" w:name="_Hlt26954842"/>
      <w:bookmarkEnd w:id="94"/>
      <w:bookmarkStart w:id="95" w:name="_Hlt26670425"/>
      <w:bookmarkEnd w:id="95"/>
      <w:bookmarkStart w:id="96" w:name="_Hlt26670403"/>
      <w:bookmarkEnd w:id="96"/>
      <w:r>
        <w:rPr>
          <w:rFonts w:hint="eastAsia" w:ascii="宋体" w:hAnsi="宋体" w:eastAsia="宋体" w:cs="宋体"/>
          <w:sz w:val="24"/>
          <w:szCs w:val="24"/>
          <w:highlight w:val="none"/>
        </w:rPr>
        <w:t>3.5.1项目总价：包括买方服务需求所涉及的所有费用。</w:t>
      </w:r>
    </w:p>
    <w:p w14:paraId="7BA7BC61">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3.5.2各项报价的总和等于总价</w:t>
      </w:r>
    </w:p>
    <w:p w14:paraId="6CF2CB9F">
      <w:pPr>
        <w:wordWrap w:val="0"/>
        <w:spacing w:line="460" w:lineRule="exact"/>
        <w:ind w:firstLine="480" w:firstLineChars="200"/>
        <w:jc w:val="left"/>
        <w:outlineLvl w:val="1"/>
        <w:rPr>
          <w:rFonts w:ascii="宋体" w:hAnsi="宋体" w:eastAsia="宋体" w:cs="宋体"/>
          <w:kern w:val="0"/>
          <w:sz w:val="24"/>
          <w:szCs w:val="24"/>
          <w:highlight w:val="none"/>
        </w:rPr>
      </w:pPr>
      <w:bookmarkStart w:id="97" w:name="_Hlt26670486"/>
      <w:bookmarkEnd w:id="97"/>
      <w:bookmarkStart w:id="98" w:name="_Hlt26954848"/>
      <w:bookmarkEnd w:id="98"/>
      <w:bookmarkStart w:id="99" w:name="_Toc505350556"/>
      <w:bookmarkEnd w:id="99"/>
      <w:bookmarkStart w:id="100" w:name="_Hlt26954731"/>
      <w:bookmarkEnd w:id="100"/>
      <w:bookmarkStart w:id="101" w:name="_Toc517178996"/>
      <w:bookmarkEnd w:id="101"/>
      <w:bookmarkStart w:id="102" w:name="_Hlt26670482"/>
      <w:bookmarkEnd w:id="102"/>
      <w:bookmarkStart w:id="103" w:name="_Hlt26954846"/>
      <w:bookmarkEnd w:id="103"/>
      <w:bookmarkStart w:id="104" w:name="_Toc528078025"/>
      <w:bookmarkStart w:id="105" w:name="_Toc20255"/>
      <w:r>
        <w:rPr>
          <w:rFonts w:hint="eastAsia" w:ascii="宋体" w:hAnsi="宋体" w:eastAsia="宋体" w:cs="宋体"/>
          <w:sz w:val="24"/>
          <w:szCs w:val="24"/>
          <w:highlight w:val="none"/>
        </w:rPr>
        <w:t>4.磋商与评审</w:t>
      </w:r>
      <w:bookmarkEnd w:id="104"/>
      <w:bookmarkEnd w:id="105"/>
      <w:bookmarkStart w:id="106" w:name="_Toc528078026"/>
      <w:bookmarkEnd w:id="106"/>
    </w:p>
    <w:p w14:paraId="397A92AA">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采购代理机构根据采购项目的特点依法组建磋商小组。磋商小组由采购人代表和有关技术、经济等方面的专家组成，成员为3人。其中：技术、经济等方面的专家不能少于磋商小组成员的2/3。采购人代表不得担任磋商小组组长。2名磋商小组成员确定方式：</w:t>
      </w:r>
      <w:r>
        <w:rPr>
          <w:rFonts w:hint="eastAsia" w:ascii="宋体" w:hAnsi="宋体" w:eastAsia="宋体" w:cs="宋体"/>
          <w:kern w:val="0"/>
          <w:sz w:val="24"/>
          <w:szCs w:val="24"/>
          <w:highlight w:val="none"/>
        </w:rPr>
        <w:t>开标当天从河南省政府采购网专家库随机抽取。</w:t>
      </w:r>
      <w:bookmarkStart w:id="107" w:name="_Toc528078027"/>
      <w:bookmarkEnd w:id="107"/>
    </w:p>
    <w:p w14:paraId="2E595FFF">
      <w:pPr>
        <w:wordWrap w:val="0"/>
        <w:spacing w:line="460" w:lineRule="exact"/>
        <w:ind w:firstLine="480" w:firstLineChars="200"/>
        <w:jc w:val="left"/>
        <w:outlineLvl w:val="1"/>
        <w:rPr>
          <w:rFonts w:ascii="宋体" w:hAnsi="宋体" w:eastAsia="宋体" w:cs="宋体"/>
          <w:sz w:val="24"/>
          <w:szCs w:val="24"/>
          <w:highlight w:val="none"/>
        </w:rPr>
      </w:pPr>
      <w:bookmarkStart w:id="108" w:name="_Toc20748"/>
      <w:r>
        <w:rPr>
          <w:rFonts w:hint="eastAsia" w:ascii="宋体" w:hAnsi="宋体" w:eastAsia="宋体" w:cs="宋体"/>
          <w:sz w:val="24"/>
          <w:szCs w:val="24"/>
          <w:highlight w:val="none"/>
        </w:rPr>
        <w:t>5、磋商小组工作原则</w:t>
      </w:r>
      <w:bookmarkEnd w:id="108"/>
    </w:p>
    <w:p w14:paraId="35C4841E">
      <w:pPr>
        <w:wordWrap w:val="0"/>
        <w:spacing w:line="460" w:lineRule="exact"/>
        <w:ind w:firstLine="480" w:firstLineChars="200"/>
        <w:jc w:val="left"/>
        <w:outlineLvl w:val="2"/>
        <w:rPr>
          <w:rFonts w:ascii="宋体" w:hAnsi="宋体" w:eastAsia="宋体" w:cs="宋体"/>
          <w:sz w:val="24"/>
          <w:szCs w:val="24"/>
          <w:highlight w:val="none"/>
        </w:rPr>
      </w:pPr>
      <w:bookmarkStart w:id="109" w:name="_Toc528078029"/>
      <w:bookmarkEnd w:id="109"/>
      <w:bookmarkStart w:id="110" w:name="_Toc32266"/>
      <w:r>
        <w:rPr>
          <w:rFonts w:hint="eastAsia" w:ascii="宋体" w:hAnsi="宋体" w:eastAsia="宋体" w:cs="宋体"/>
          <w:sz w:val="24"/>
          <w:szCs w:val="24"/>
          <w:highlight w:val="none"/>
        </w:rPr>
        <w:t>磋商小组成员应当按照客观、公正、审慎的原则，根据磋商文件规定的评审程序、评审方法和评审标准进行独立评审。未实质性响应磋商文件的响应文件按无效响应处理，磋商小组应当告知提交响应文件的供应商。磋商文件内容违反国家有关强制性规定的，磋商小组应当停止评审并向采购人或者采购代理机构说明情况。</w:t>
      </w:r>
      <w:bookmarkEnd w:id="110"/>
    </w:p>
    <w:p w14:paraId="4F0D3B81">
      <w:pPr>
        <w:wordWrap w:val="0"/>
        <w:spacing w:line="460" w:lineRule="exact"/>
        <w:ind w:firstLine="480" w:firstLineChars="200"/>
        <w:jc w:val="left"/>
        <w:outlineLvl w:val="1"/>
        <w:rPr>
          <w:rFonts w:ascii="宋体" w:hAnsi="宋体" w:eastAsia="宋体" w:cs="宋体"/>
          <w:sz w:val="24"/>
          <w:szCs w:val="24"/>
          <w:highlight w:val="none"/>
        </w:rPr>
      </w:pPr>
      <w:bookmarkStart w:id="111" w:name="_Toc528078030"/>
      <w:bookmarkEnd w:id="111"/>
      <w:bookmarkStart w:id="112" w:name="_Toc4976"/>
      <w:r>
        <w:rPr>
          <w:rFonts w:hint="eastAsia" w:ascii="宋体" w:hAnsi="宋体" w:eastAsia="宋体" w:cs="宋体"/>
          <w:sz w:val="24"/>
          <w:szCs w:val="24"/>
          <w:highlight w:val="none"/>
        </w:rPr>
        <w:t>6、响应文件审查</w:t>
      </w:r>
      <w:bookmarkEnd w:id="112"/>
    </w:p>
    <w:p w14:paraId="49B09E14">
      <w:pPr>
        <w:wordWrap w:val="0"/>
        <w:spacing w:line="460" w:lineRule="exact"/>
        <w:ind w:firstLine="480" w:firstLineChars="200"/>
        <w:jc w:val="left"/>
        <w:outlineLvl w:val="2"/>
        <w:rPr>
          <w:rFonts w:ascii="宋体" w:hAnsi="宋体" w:eastAsia="宋体" w:cs="宋体"/>
          <w:sz w:val="24"/>
          <w:szCs w:val="24"/>
          <w:highlight w:val="none"/>
        </w:rPr>
      </w:pPr>
      <w:bookmarkStart w:id="113" w:name="_Toc528078031"/>
      <w:bookmarkEnd w:id="113"/>
      <w:bookmarkStart w:id="114" w:name="_Toc8206"/>
      <w:r>
        <w:rPr>
          <w:rFonts w:hint="eastAsia" w:ascii="宋体" w:hAnsi="宋体" w:eastAsia="宋体" w:cs="宋体"/>
          <w:sz w:val="24"/>
          <w:szCs w:val="24"/>
          <w:highlight w:val="none"/>
        </w:rPr>
        <w:t>磋商小组在对响应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bookmarkEnd w:id="114"/>
    </w:p>
    <w:p w14:paraId="17AD336B">
      <w:pPr>
        <w:wordWrap w:val="0"/>
        <w:spacing w:line="460" w:lineRule="exact"/>
        <w:ind w:firstLine="480" w:firstLineChars="200"/>
        <w:jc w:val="left"/>
        <w:outlineLvl w:val="1"/>
        <w:rPr>
          <w:rFonts w:ascii="宋体" w:hAnsi="宋体" w:eastAsia="宋体" w:cs="宋体"/>
          <w:sz w:val="24"/>
          <w:szCs w:val="24"/>
          <w:highlight w:val="none"/>
        </w:rPr>
      </w:pPr>
      <w:bookmarkStart w:id="115" w:name="_Toc513029232"/>
      <w:bookmarkEnd w:id="115"/>
      <w:bookmarkStart w:id="116" w:name="_Toc16938548"/>
      <w:bookmarkEnd w:id="116"/>
      <w:bookmarkStart w:id="117" w:name="_Toc20823304"/>
      <w:bookmarkEnd w:id="117"/>
      <w:bookmarkStart w:id="118" w:name="_Toc28147"/>
      <w:r>
        <w:rPr>
          <w:rFonts w:hint="eastAsia" w:ascii="宋体" w:hAnsi="宋体" w:eastAsia="宋体" w:cs="宋体"/>
          <w:sz w:val="24"/>
          <w:szCs w:val="24"/>
          <w:highlight w:val="none"/>
        </w:rPr>
        <w:t>7、磋商程序、最后报价、综合评分</w:t>
      </w:r>
      <w:bookmarkEnd w:id="118"/>
    </w:p>
    <w:p w14:paraId="6A9A54A7">
      <w:pPr>
        <w:wordWrap w:val="0"/>
        <w:spacing w:line="460" w:lineRule="exact"/>
        <w:ind w:firstLine="480" w:firstLineChars="200"/>
        <w:jc w:val="left"/>
        <w:outlineLvl w:val="2"/>
        <w:rPr>
          <w:rFonts w:ascii="宋体" w:hAnsi="宋体" w:eastAsia="宋体" w:cs="宋体"/>
          <w:sz w:val="24"/>
          <w:szCs w:val="24"/>
          <w:highlight w:val="none"/>
        </w:rPr>
      </w:pPr>
      <w:bookmarkStart w:id="119" w:name="_Toc528078034"/>
      <w:bookmarkEnd w:id="119"/>
      <w:bookmarkStart w:id="120" w:name="_Toc23161"/>
      <w:r>
        <w:rPr>
          <w:rFonts w:hint="eastAsia" w:ascii="宋体" w:hAnsi="宋体" w:eastAsia="宋体" w:cs="宋体"/>
          <w:sz w:val="24"/>
          <w:szCs w:val="24"/>
          <w:highlight w:val="none"/>
        </w:rPr>
        <w:t>7.1磋商小组所有成员应当集中与供应商分别进行磋商，并给予所有参加磋商的供应商平等的磋商机会。</w:t>
      </w:r>
      <w:bookmarkEnd w:id="120"/>
    </w:p>
    <w:p w14:paraId="3DAE8121">
      <w:pPr>
        <w:wordWrap w:val="0"/>
        <w:spacing w:line="460" w:lineRule="exact"/>
        <w:ind w:firstLine="480" w:firstLineChars="200"/>
        <w:jc w:val="left"/>
        <w:outlineLvl w:val="2"/>
        <w:rPr>
          <w:rFonts w:ascii="宋体" w:hAnsi="宋体" w:eastAsia="宋体" w:cs="宋体"/>
          <w:sz w:val="24"/>
          <w:szCs w:val="24"/>
          <w:highlight w:val="none"/>
        </w:rPr>
      </w:pPr>
      <w:bookmarkStart w:id="121" w:name="_Toc528078035"/>
      <w:bookmarkEnd w:id="121"/>
      <w:bookmarkStart w:id="122" w:name="_Toc15859"/>
      <w:r>
        <w:rPr>
          <w:rFonts w:hint="eastAsia" w:ascii="宋体" w:hAnsi="宋体" w:eastAsia="宋体" w:cs="宋体"/>
          <w:sz w:val="24"/>
          <w:szCs w:val="24"/>
          <w:highlight w:val="none"/>
        </w:rPr>
        <w:t>7.2在磋商过程中，磋商小组可以根据磋商文件和磋商情况实质性变动采购需求中的技术、服务要求以及合同草案条款，但不得变动磋商文件中的其他内容。对磋商文件做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w:t>
      </w:r>
      <w:bookmarkEnd w:id="122"/>
    </w:p>
    <w:p w14:paraId="6A9CAF7E">
      <w:pPr>
        <w:wordWrap w:val="0"/>
        <w:spacing w:line="460" w:lineRule="exact"/>
        <w:ind w:firstLine="480" w:firstLineChars="200"/>
        <w:jc w:val="left"/>
        <w:outlineLvl w:val="2"/>
        <w:rPr>
          <w:rFonts w:ascii="宋体" w:hAnsi="宋体" w:eastAsia="宋体" w:cs="宋体"/>
          <w:sz w:val="24"/>
          <w:szCs w:val="24"/>
          <w:highlight w:val="none"/>
        </w:rPr>
      </w:pPr>
      <w:bookmarkStart w:id="123" w:name="_Toc528078036"/>
      <w:bookmarkEnd w:id="123"/>
      <w:bookmarkStart w:id="124" w:name="_Toc21845"/>
      <w:r>
        <w:rPr>
          <w:rFonts w:hint="eastAsia" w:ascii="宋体" w:hAnsi="宋体" w:eastAsia="宋体" w:cs="宋体"/>
          <w:sz w:val="24"/>
          <w:szCs w:val="24"/>
          <w:highlight w:val="none"/>
        </w:rPr>
        <w:t>7.3磋商文件能够详细列明采购标的的技术、服务要求的，磋商结束后，磋商小组将要求所有实质性响应的供应商在规定时间内提交最后报价。最后报价是供应商响应文件的有效组成部分。</w:t>
      </w:r>
      <w:bookmarkEnd w:id="124"/>
    </w:p>
    <w:p w14:paraId="1805732E">
      <w:pPr>
        <w:wordWrap w:val="0"/>
        <w:spacing w:line="460" w:lineRule="exact"/>
        <w:ind w:firstLine="480" w:firstLineChars="200"/>
        <w:jc w:val="left"/>
        <w:outlineLvl w:val="2"/>
        <w:rPr>
          <w:rFonts w:ascii="宋体" w:hAnsi="宋体" w:eastAsia="宋体" w:cs="宋体"/>
          <w:sz w:val="24"/>
          <w:szCs w:val="24"/>
          <w:highlight w:val="none"/>
        </w:rPr>
      </w:pPr>
      <w:bookmarkStart w:id="125" w:name="_Toc528078037"/>
      <w:bookmarkEnd w:id="125"/>
      <w:bookmarkStart w:id="126" w:name="_Toc21230"/>
      <w:r>
        <w:rPr>
          <w:rFonts w:hint="eastAsia" w:ascii="宋体" w:hAnsi="宋体" w:eastAsia="宋体" w:cs="宋体"/>
          <w:sz w:val="24"/>
          <w:szCs w:val="24"/>
          <w:highlight w:val="none"/>
        </w:rPr>
        <w:t>7.4已提交响应文件的供应商，在提交最后报价之前，可以根据磋商情况退出磋商。</w:t>
      </w:r>
      <w:bookmarkEnd w:id="126"/>
    </w:p>
    <w:p w14:paraId="24206F99">
      <w:pPr>
        <w:wordWrap w:val="0"/>
        <w:spacing w:line="460" w:lineRule="exact"/>
        <w:ind w:firstLine="480" w:firstLineChars="200"/>
        <w:jc w:val="left"/>
        <w:outlineLvl w:val="2"/>
        <w:rPr>
          <w:rFonts w:ascii="宋体" w:hAnsi="宋体" w:eastAsia="宋体" w:cs="宋体"/>
          <w:sz w:val="24"/>
          <w:szCs w:val="24"/>
          <w:highlight w:val="none"/>
        </w:rPr>
      </w:pPr>
      <w:bookmarkStart w:id="127" w:name="_Toc528078038"/>
      <w:bookmarkEnd w:id="127"/>
      <w:bookmarkStart w:id="128" w:name="_Toc13144"/>
      <w:r>
        <w:rPr>
          <w:rFonts w:hint="eastAsia" w:ascii="宋体" w:hAnsi="宋体" w:eastAsia="宋体" w:cs="宋体"/>
          <w:sz w:val="24"/>
          <w:szCs w:val="24"/>
          <w:highlight w:val="none"/>
        </w:rPr>
        <w:t>7.5经磋商确定最终采购需求和提交最后报价的供应商后，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bookmarkEnd w:id="128"/>
    </w:p>
    <w:p w14:paraId="0B6609CA">
      <w:pPr>
        <w:wordWrap w:val="0"/>
        <w:spacing w:line="460" w:lineRule="exact"/>
        <w:ind w:firstLine="480" w:firstLineChars="200"/>
        <w:jc w:val="left"/>
        <w:outlineLvl w:val="2"/>
        <w:rPr>
          <w:rFonts w:ascii="宋体" w:hAnsi="宋体" w:eastAsia="宋体" w:cs="宋体"/>
          <w:sz w:val="24"/>
          <w:szCs w:val="24"/>
          <w:highlight w:val="none"/>
        </w:rPr>
      </w:pPr>
      <w:bookmarkStart w:id="129" w:name="_Toc528078039"/>
      <w:bookmarkEnd w:id="129"/>
      <w:bookmarkStart w:id="130" w:name="_Toc22828"/>
      <w:r>
        <w:rPr>
          <w:rFonts w:hint="eastAsia" w:ascii="宋体" w:hAnsi="宋体" w:eastAsia="宋体" w:cs="宋体"/>
          <w:sz w:val="24"/>
          <w:szCs w:val="24"/>
          <w:highlight w:val="none"/>
        </w:rPr>
        <w:t>7.6评审时，磋商小组各成员独立对每个有效响应的文件进行评价、打分，然后汇总每个供应商每项评分因素的得分。</w:t>
      </w:r>
      <w:bookmarkEnd w:id="130"/>
    </w:p>
    <w:p w14:paraId="64924F9D">
      <w:pPr>
        <w:wordWrap w:val="0"/>
        <w:spacing w:line="460" w:lineRule="exact"/>
        <w:ind w:firstLine="480" w:firstLineChars="200"/>
        <w:jc w:val="left"/>
        <w:outlineLvl w:val="2"/>
        <w:rPr>
          <w:rFonts w:ascii="宋体" w:hAnsi="宋体" w:eastAsia="宋体" w:cs="宋体"/>
          <w:sz w:val="24"/>
          <w:szCs w:val="24"/>
          <w:highlight w:val="none"/>
        </w:rPr>
      </w:pPr>
      <w:bookmarkStart w:id="131" w:name="_Toc528078040"/>
      <w:bookmarkEnd w:id="131"/>
      <w:bookmarkStart w:id="132" w:name="_Toc23148"/>
      <w:r>
        <w:rPr>
          <w:rFonts w:hint="eastAsia" w:ascii="宋体" w:hAnsi="宋体" w:eastAsia="宋体" w:cs="宋体"/>
          <w:sz w:val="24"/>
          <w:szCs w:val="24"/>
          <w:highlight w:val="none"/>
        </w:rPr>
        <w:t>磋商小组应当根据综合评分情况，按照评审得分由高到低顺序推荐1-3名成交候选供应商，并编写评审报告。评审得</w:t>
      </w:r>
      <w:r>
        <w:rPr>
          <w:rFonts w:hint="eastAsia" w:ascii="Times New Roman" w:hAnsi="Times New Roman" w:eastAsia="宋体" w:cs="Times New Roman"/>
          <w:sz w:val="24"/>
          <w:szCs w:val="24"/>
          <w:highlight w:val="none"/>
        </w:rPr>
        <w:t>分相同的，按照最后报价由低到高的顺序推荐。评审得分且最后报价相同的，按照技术指标优劣顺序推荐。</w:t>
      </w:r>
      <w:bookmarkEnd w:id="132"/>
    </w:p>
    <w:p w14:paraId="5C0533F1">
      <w:pPr>
        <w:wordWrap w:val="0"/>
        <w:spacing w:line="460" w:lineRule="exact"/>
        <w:ind w:firstLine="480" w:firstLineChars="200"/>
        <w:jc w:val="left"/>
        <w:outlineLvl w:val="2"/>
        <w:rPr>
          <w:rFonts w:ascii="宋体" w:hAnsi="宋体" w:eastAsia="宋体" w:cs="宋体"/>
          <w:sz w:val="24"/>
          <w:szCs w:val="24"/>
          <w:highlight w:val="none"/>
        </w:rPr>
      </w:pPr>
      <w:bookmarkStart w:id="133" w:name="_Toc528078041"/>
      <w:bookmarkEnd w:id="133"/>
      <w:bookmarkStart w:id="134" w:name="_Toc26278"/>
      <w:r>
        <w:rPr>
          <w:rFonts w:hint="eastAsia" w:ascii="宋体" w:hAnsi="宋体" w:eastAsia="宋体" w:cs="宋体"/>
          <w:sz w:val="24"/>
          <w:szCs w:val="24"/>
          <w:highlight w:val="none"/>
        </w:rPr>
        <w:t>7.7响应无效和终止磋商活动条款</w:t>
      </w:r>
      <w:bookmarkEnd w:id="134"/>
    </w:p>
    <w:p w14:paraId="4EA692B2">
      <w:pPr>
        <w:wordWrap w:val="0"/>
        <w:spacing w:line="460" w:lineRule="exact"/>
        <w:ind w:firstLine="480" w:firstLineChars="200"/>
        <w:jc w:val="left"/>
        <w:rPr>
          <w:rFonts w:ascii="宋体" w:hAnsi="宋体" w:eastAsia="宋体" w:cs="宋体"/>
          <w:sz w:val="24"/>
          <w:szCs w:val="24"/>
          <w:highlight w:val="none"/>
        </w:rPr>
      </w:pPr>
      <w:bookmarkStart w:id="135" w:name="_Toc16938551"/>
      <w:bookmarkEnd w:id="135"/>
      <w:bookmarkStart w:id="136" w:name="_Toc513029235"/>
      <w:bookmarkEnd w:id="136"/>
      <w:r>
        <w:rPr>
          <w:rFonts w:hint="eastAsia" w:ascii="宋体" w:hAnsi="宋体" w:eastAsia="宋体" w:cs="宋体"/>
          <w:sz w:val="24"/>
          <w:szCs w:val="24"/>
          <w:highlight w:val="none"/>
        </w:rPr>
        <w:t>1）未按照竞争性磋商文件规定要求签署、盖章的；</w:t>
      </w:r>
    </w:p>
    <w:p w14:paraId="675690F3">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2）供应商不具备竞争性磋商文件中规定资格条件的；</w:t>
      </w:r>
    </w:p>
    <w:p w14:paraId="7F03B5C1">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3）不符合法律、法规和竞争性磋商文件中规定的其他实质性要求的；</w:t>
      </w:r>
    </w:p>
    <w:p w14:paraId="4C60BA81">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4）其他法律、法规及本竞争性磋商文件规定的属响应无效的情形。</w:t>
      </w:r>
    </w:p>
    <w:p w14:paraId="35DFB76A">
      <w:pPr>
        <w:wordWrap w:val="0"/>
        <w:spacing w:line="460" w:lineRule="exact"/>
        <w:ind w:firstLine="480" w:firstLineChars="200"/>
        <w:jc w:val="left"/>
        <w:outlineLvl w:val="2"/>
        <w:rPr>
          <w:rFonts w:ascii="宋体" w:hAnsi="宋体" w:eastAsia="宋体" w:cs="宋体"/>
          <w:sz w:val="24"/>
          <w:szCs w:val="24"/>
          <w:highlight w:val="none"/>
        </w:rPr>
      </w:pPr>
      <w:bookmarkStart w:id="137" w:name="_Toc6517"/>
      <w:r>
        <w:rPr>
          <w:rFonts w:hint="eastAsia" w:ascii="宋体" w:hAnsi="宋体" w:eastAsia="宋体" w:cs="宋体"/>
          <w:sz w:val="24"/>
          <w:szCs w:val="24"/>
          <w:highlight w:val="none"/>
        </w:rPr>
        <w:t>7.8终止竞争性磋商采购活动的条款</w:t>
      </w:r>
      <w:bookmarkEnd w:id="137"/>
    </w:p>
    <w:p w14:paraId="628C1B19">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出现下列情形之一的，采购人将终止竞争性磋商采购活动，发布项目终止公告并说明原因，重新开展采购活动：</w:t>
      </w:r>
    </w:p>
    <w:p w14:paraId="33F873C3">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1）因情况变化，不再符合规定的竞争性磋商采购方式适用情形的；</w:t>
      </w:r>
    </w:p>
    <w:p w14:paraId="5D7DC5F9">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3D20BBE5">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3)在采购过程中符合要求的供应商的供应商不足2家的。</w:t>
      </w:r>
    </w:p>
    <w:p w14:paraId="2BD52340">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7.9根据财库（2015）124号文，竞争性磋商只有2家响应人仍可继续进行。</w:t>
      </w:r>
    </w:p>
    <w:p w14:paraId="2AB606AC">
      <w:pPr>
        <w:wordWrap w:val="0"/>
        <w:spacing w:line="460" w:lineRule="exact"/>
        <w:ind w:firstLine="480" w:firstLineChars="200"/>
        <w:jc w:val="left"/>
        <w:outlineLvl w:val="1"/>
        <w:rPr>
          <w:rFonts w:ascii="宋体" w:hAnsi="宋体" w:eastAsia="宋体" w:cs="宋体"/>
          <w:kern w:val="0"/>
          <w:sz w:val="24"/>
          <w:szCs w:val="24"/>
          <w:highlight w:val="none"/>
        </w:rPr>
      </w:pPr>
      <w:bookmarkStart w:id="138" w:name="_Toc517178997"/>
      <w:bookmarkEnd w:id="138"/>
      <w:bookmarkStart w:id="139" w:name="_Toc505350557"/>
      <w:bookmarkEnd w:id="139"/>
      <w:bookmarkStart w:id="140" w:name="_Toc504491971"/>
      <w:bookmarkEnd w:id="140"/>
      <w:bookmarkStart w:id="141" w:name="_Toc9277"/>
      <w:bookmarkStart w:id="142" w:name="_Toc528078042"/>
      <w:r>
        <w:rPr>
          <w:rFonts w:hint="eastAsia" w:ascii="宋体" w:hAnsi="宋体" w:eastAsia="宋体" w:cs="宋体"/>
          <w:sz w:val="24"/>
          <w:szCs w:val="24"/>
          <w:highlight w:val="none"/>
        </w:rPr>
        <w:t>8.确定成交、询问及质疑</w:t>
      </w:r>
      <w:bookmarkEnd w:id="141"/>
      <w:bookmarkEnd w:id="142"/>
    </w:p>
    <w:p w14:paraId="242AC5B5">
      <w:pPr>
        <w:wordWrap w:val="0"/>
        <w:spacing w:line="460" w:lineRule="exact"/>
        <w:ind w:firstLine="480" w:firstLineChars="200"/>
        <w:jc w:val="left"/>
        <w:outlineLvl w:val="2"/>
        <w:rPr>
          <w:rFonts w:ascii="宋体" w:hAnsi="宋体" w:eastAsia="宋体" w:cs="宋体"/>
          <w:sz w:val="24"/>
          <w:szCs w:val="24"/>
          <w:highlight w:val="none"/>
        </w:rPr>
      </w:pPr>
      <w:bookmarkStart w:id="143" w:name="_Toc20823310"/>
      <w:bookmarkEnd w:id="143"/>
      <w:bookmarkStart w:id="144" w:name="_Toc16938554"/>
      <w:bookmarkEnd w:id="144"/>
      <w:bookmarkStart w:id="145" w:name="_Toc528078043"/>
      <w:bookmarkStart w:id="146" w:name="_Toc23867"/>
      <w:r>
        <w:rPr>
          <w:rFonts w:hint="eastAsia" w:ascii="宋体" w:hAnsi="宋体" w:eastAsia="宋体" w:cs="宋体"/>
          <w:sz w:val="24"/>
          <w:szCs w:val="24"/>
          <w:highlight w:val="none"/>
        </w:rPr>
        <w:t>8.1</w:t>
      </w:r>
      <w:bookmarkEnd w:id="145"/>
      <w:r>
        <w:rPr>
          <w:rFonts w:hint="eastAsia" w:ascii="宋体" w:hAnsi="宋体" w:eastAsia="宋体" w:cs="宋体"/>
          <w:sz w:val="24"/>
          <w:szCs w:val="24"/>
          <w:highlight w:val="none"/>
        </w:rPr>
        <w:t>确定成交供应商</w:t>
      </w:r>
      <w:bookmarkEnd w:id="146"/>
    </w:p>
    <w:p w14:paraId="17EF86B3">
      <w:pPr>
        <w:wordWrap w:val="0"/>
        <w:spacing w:line="46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8.1.1采购代理机构应当在评标结束后2个工作日内将评标报告送采购人。</w:t>
      </w:r>
    </w:p>
    <w:p w14:paraId="5B0F419D">
      <w:pPr>
        <w:wordWrap w:val="0"/>
        <w:spacing w:line="460" w:lineRule="exact"/>
        <w:rPr>
          <w:rFonts w:ascii="宋体" w:hAnsi="宋体" w:eastAsia="宋体" w:cs="宋体"/>
          <w:sz w:val="24"/>
          <w:szCs w:val="24"/>
          <w:highlight w:val="none"/>
        </w:rPr>
      </w:pPr>
      <w:r>
        <w:rPr>
          <w:rFonts w:hint="eastAsia" w:ascii="宋体" w:hAnsi="宋体" w:eastAsia="宋体" w:cs="宋体"/>
          <w:sz w:val="24"/>
          <w:szCs w:val="24"/>
          <w:highlight w:val="none"/>
        </w:rPr>
        <w:t>采购人应当自收到评标报告之日起5个工作日内，在评标报告确定的中标候选人名单中按顺序确定中标人。中标候选人并列的，由采购人或者采购人委托磋商小组按照竞争性磋商文件规定的方式确定中标人；竞争性磋商文件未规定的，采取随机抽取的方式确定。</w:t>
      </w:r>
    </w:p>
    <w:p w14:paraId="735513E6">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8.1.2成交供应商确定后2个工作日内在“《中国采购与招标网》、《河南省政府采购网》和《三门峡市公共资源交易中心网》”公告成交结果。</w:t>
      </w:r>
    </w:p>
    <w:p w14:paraId="21E96607">
      <w:pPr>
        <w:wordWrap w:val="0"/>
        <w:spacing w:line="460" w:lineRule="exact"/>
        <w:ind w:firstLine="480" w:firstLineChars="200"/>
        <w:jc w:val="left"/>
        <w:outlineLvl w:val="2"/>
        <w:rPr>
          <w:rFonts w:ascii="宋体" w:hAnsi="宋体" w:eastAsia="宋体" w:cs="宋体"/>
          <w:sz w:val="24"/>
          <w:szCs w:val="24"/>
          <w:highlight w:val="none"/>
        </w:rPr>
      </w:pPr>
      <w:bookmarkStart w:id="147" w:name="_Toc200451960"/>
      <w:bookmarkEnd w:id="147"/>
      <w:bookmarkStart w:id="148" w:name="_Toc7540"/>
      <w:bookmarkStart w:id="149" w:name="_Toc528078044"/>
      <w:r>
        <w:rPr>
          <w:rFonts w:hint="eastAsia" w:ascii="宋体" w:hAnsi="宋体" w:eastAsia="宋体" w:cs="宋体"/>
          <w:sz w:val="24"/>
          <w:szCs w:val="24"/>
          <w:highlight w:val="none"/>
        </w:rPr>
        <w:t>8.2询问及质疑</w:t>
      </w:r>
      <w:bookmarkEnd w:id="148"/>
      <w:bookmarkEnd w:id="149"/>
    </w:p>
    <w:p w14:paraId="11FBDD9B">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8.2.1询问及质疑依据《中华人民共和国政府采购法》、《中华人民共和国政府采购法实施条例》及相关法律法规处理。</w:t>
      </w:r>
    </w:p>
    <w:p w14:paraId="06714C98">
      <w:pPr>
        <w:wordWrap w:val="0"/>
        <w:spacing w:line="460" w:lineRule="exact"/>
        <w:ind w:firstLine="480" w:firstLineChars="200"/>
        <w:jc w:val="left"/>
        <w:outlineLvl w:val="1"/>
        <w:rPr>
          <w:rFonts w:ascii="宋体" w:hAnsi="宋体" w:eastAsia="宋体" w:cs="宋体"/>
          <w:kern w:val="0"/>
          <w:sz w:val="24"/>
          <w:szCs w:val="24"/>
          <w:highlight w:val="none"/>
        </w:rPr>
      </w:pPr>
      <w:bookmarkStart w:id="150" w:name="_Toc505350558"/>
      <w:bookmarkEnd w:id="150"/>
      <w:bookmarkStart w:id="151" w:name="_Toc504491972"/>
      <w:bookmarkEnd w:id="151"/>
      <w:bookmarkStart w:id="152" w:name="_Toc517178998"/>
      <w:bookmarkEnd w:id="152"/>
      <w:bookmarkStart w:id="153" w:name="_Toc513029236"/>
      <w:bookmarkEnd w:id="153"/>
      <w:bookmarkStart w:id="154" w:name="_Toc20823308"/>
      <w:bookmarkEnd w:id="154"/>
      <w:bookmarkStart w:id="155" w:name="_Toc120614220"/>
      <w:bookmarkEnd w:id="155"/>
      <w:bookmarkStart w:id="156" w:name="_Toc403987211"/>
      <w:bookmarkEnd w:id="156"/>
      <w:bookmarkStart w:id="157" w:name="_Toc16938552"/>
      <w:bookmarkEnd w:id="157"/>
      <w:bookmarkStart w:id="158" w:name="_Toc528078045"/>
      <w:bookmarkStart w:id="159" w:name="_Toc30108"/>
      <w:r>
        <w:rPr>
          <w:rFonts w:hint="eastAsia" w:ascii="宋体" w:hAnsi="宋体" w:eastAsia="宋体" w:cs="宋体"/>
          <w:sz w:val="24"/>
          <w:szCs w:val="24"/>
          <w:highlight w:val="none"/>
        </w:rPr>
        <w:t>9.</w:t>
      </w:r>
      <w:bookmarkEnd w:id="158"/>
      <w:r>
        <w:rPr>
          <w:rFonts w:hint="eastAsia" w:ascii="宋体" w:hAnsi="宋体" w:eastAsia="宋体" w:cs="宋体"/>
          <w:sz w:val="24"/>
          <w:szCs w:val="24"/>
          <w:highlight w:val="none"/>
        </w:rPr>
        <w:t>授予合同</w:t>
      </w:r>
      <w:bookmarkEnd w:id="159"/>
    </w:p>
    <w:p w14:paraId="4394090F">
      <w:pPr>
        <w:wordWrap w:val="0"/>
        <w:spacing w:line="460" w:lineRule="exact"/>
        <w:ind w:firstLine="480" w:firstLineChars="200"/>
        <w:jc w:val="left"/>
        <w:outlineLvl w:val="2"/>
        <w:rPr>
          <w:rFonts w:ascii="宋体" w:hAnsi="宋体" w:eastAsia="宋体" w:cs="宋体"/>
          <w:sz w:val="24"/>
          <w:szCs w:val="24"/>
          <w:highlight w:val="none"/>
        </w:rPr>
      </w:pPr>
      <w:bookmarkStart w:id="160" w:name="_Toc16938553"/>
      <w:bookmarkEnd w:id="160"/>
      <w:bookmarkStart w:id="161" w:name="_Toc513029237"/>
      <w:bookmarkEnd w:id="161"/>
      <w:bookmarkStart w:id="162" w:name="_Toc20823309"/>
      <w:bookmarkEnd w:id="162"/>
      <w:bookmarkStart w:id="163" w:name="_Toc21335"/>
      <w:bookmarkStart w:id="164" w:name="_Toc528078046"/>
      <w:r>
        <w:rPr>
          <w:rFonts w:hint="eastAsia" w:ascii="宋体" w:hAnsi="宋体" w:eastAsia="宋体" w:cs="宋体"/>
          <w:sz w:val="24"/>
          <w:szCs w:val="24"/>
          <w:highlight w:val="none"/>
        </w:rPr>
        <w:t>9.1签订合同</w:t>
      </w:r>
      <w:bookmarkEnd w:id="163"/>
      <w:bookmarkEnd w:id="164"/>
    </w:p>
    <w:p w14:paraId="212C53E0">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9.1.1采购人、成交供应商在成交通知书发出之日起30日内（不超过30日），根据竞争性磋商文件确定的事项和成交供应商响应性文件签订合同。双方所签订的合同不得对竞争性磋商文件和成交供应商响应性文件作实质性修改。成交供应商逾期未签订合同，视为成交后无正当理由不与采购人签订合同，按照有关法律规定承担相应的法律责任。采购人逾期不与成交供应商签订合同的，按政府采购的有关规定处理。</w:t>
      </w:r>
    </w:p>
    <w:p w14:paraId="3C9A8088">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9.1.2竞争性磋商文件、竞争性磋商文件的修改文件、成交供应商的响应性文件、补充或修改的文件及澄清或承诺文件等，均为双方签订合同的组成部分，并与合同一并作为本竞争性磋商文件所列采购项目的互补性法律文件，与合同具有同等法律效力。</w:t>
      </w:r>
    </w:p>
    <w:p w14:paraId="0E41B82D">
      <w:pPr>
        <w:wordWrap w:val="0"/>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9.1.3成交供应商放弃成交、因不可抗力不能履行合同、或者被查实存在影响成交结果的违法行为等情形，不符合成交条件的，采购人可以按照磋商小组提出的成交候选供应商名单排序依次确定其他成交候选供应商为成交供应商，也可以重新组织采购</w:t>
      </w:r>
      <w:bookmarkStart w:id="165" w:name="_Toc120614221"/>
      <w:bookmarkEnd w:id="165"/>
      <w:bookmarkStart w:id="166" w:name="_Toc528078047"/>
      <w:bookmarkEnd w:id="166"/>
      <w:bookmarkStart w:id="167" w:name="_Toc513029242"/>
      <w:bookmarkEnd w:id="167"/>
      <w:bookmarkStart w:id="168" w:name="_Toc20823314"/>
      <w:bookmarkEnd w:id="168"/>
      <w:bookmarkStart w:id="169" w:name="_Toc479757207"/>
      <w:bookmarkEnd w:id="169"/>
      <w:bookmarkStart w:id="170" w:name="_Hlt16619475"/>
      <w:bookmarkEnd w:id="170"/>
      <w:bookmarkStart w:id="171" w:name="_Toc517178999"/>
      <w:bookmarkEnd w:id="171"/>
      <w:bookmarkStart w:id="172" w:name="_Toc16938558"/>
      <w:bookmarkEnd w:id="172"/>
      <w:bookmarkStart w:id="173" w:name="_Toc479757211"/>
      <w:bookmarkEnd w:id="173"/>
      <w:bookmarkStart w:id="174" w:name="_Toc528078062"/>
      <w:r>
        <w:rPr>
          <w:rFonts w:hint="eastAsia" w:ascii="宋体" w:hAnsi="宋体" w:eastAsia="宋体" w:cs="宋体"/>
          <w:sz w:val="24"/>
          <w:szCs w:val="24"/>
          <w:highlight w:val="none"/>
        </w:rPr>
        <w:t>。</w:t>
      </w:r>
      <w:bookmarkEnd w:id="174"/>
    </w:p>
    <w:p w14:paraId="0A4356DD">
      <w:pPr>
        <w:widowControl/>
        <w:spacing w:line="480" w:lineRule="exact"/>
        <w:ind w:firstLine="482" w:firstLineChars="200"/>
        <w:outlineLvl w:val="2"/>
        <w:rPr>
          <w:rFonts w:ascii="宋体" w:hAnsi="宋体" w:eastAsia="宋体" w:cs="宋体"/>
          <w:b/>
          <w:bCs/>
          <w:sz w:val="24"/>
          <w:szCs w:val="24"/>
          <w:highlight w:val="none"/>
        </w:rPr>
      </w:pPr>
      <w:bookmarkStart w:id="175" w:name="_Toc13695"/>
      <w:r>
        <w:rPr>
          <w:rFonts w:hint="eastAsia" w:ascii="宋体" w:hAnsi="宋体" w:eastAsia="宋体" w:cs="宋体"/>
          <w:b/>
          <w:bCs/>
          <w:sz w:val="24"/>
          <w:szCs w:val="24"/>
          <w:highlight w:val="none"/>
        </w:rPr>
        <w:t>9.</w:t>
      </w:r>
      <w:r>
        <w:rPr>
          <w:rFonts w:ascii="宋体" w:hAnsi="宋体" w:eastAsia="宋体" w:cs="宋体"/>
          <w:b/>
          <w:bCs/>
          <w:sz w:val="24"/>
          <w:szCs w:val="24"/>
          <w:highlight w:val="none"/>
        </w:rPr>
        <w:t>2</w:t>
      </w:r>
      <w:r>
        <w:rPr>
          <w:rFonts w:hint="eastAsia" w:ascii="宋体" w:hAnsi="宋体" w:eastAsia="宋体" w:cs="宋体"/>
          <w:b/>
          <w:bCs/>
          <w:sz w:val="24"/>
          <w:szCs w:val="24"/>
          <w:highlight w:val="none"/>
        </w:rPr>
        <w:t>投诉</w:t>
      </w:r>
      <w:bookmarkEnd w:id="175"/>
    </w:p>
    <w:p w14:paraId="54681ED2">
      <w:pPr>
        <w:spacing w:line="500" w:lineRule="exact"/>
        <w:ind w:firstLine="480" w:firstLineChars="200"/>
        <w:rPr>
          <w:rFonts w:ascii="宋体" w:hAnsi="宋体" w:eastAsia="宋体" w:cs="Times New Roman"/>
          <w:sz w:val="24"/>
          <w:szCs w:val="24"/>
          <w:highlight w:val="none"/>
        </w:rPr>
      </w:pPr>
      <w:bookmarkStart w:id="176" w:name="_Toc466566702"/>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.1 供应商或有关当事人对磋商过程、成交结果有异议的，可以向采购人或者采购代理机构提出询问。</w:t>
      </w:r>
    </w:p>
    <w:p w14:paraId="39734385">
      <w:pPr>
        <w:spacing w:line="500" w:lineRule="exact"/>
        <w:ind w:firstLine="480" w:firstLineChars="200"/>
        <w:rPr>
          <w:rFonts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.2 采购人或者采购代理机构应当在三个工作日内对供应商依法提出的询问作出答复。</w:t>
      </w:r>
    </w:p>
    <w:p w14:paraId="15F20801">
      <w:pPr>
        <w:spacing w:line="500" w:lineRule="exact"/>
        <w:ind w:firstLine="480" w:firstLineChars="200"/>
        <w:rPr>
          <w:rFonts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.3 供应商认为竞争性磋商文件、采购过程使自己的权益受到损害的，可以在知道或者应知其权益受到损害之日起七个工作日内，以书面形式向采购人提出质疑。</w:t>
      </w:r>
    </w:p>
    <w:p w14:paraId="0129DB2B">
      <w:pPr>
        <w:spacing w:line="500" w:lineRule="exact"/>
        <w:ind w:firstLine="480" w:firstLineChars="200"/>
        <w:rPr>
          <w:rFonts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.4 供应商认为成交结果使自己的权益受到损害的，可以在成交结果公告期限届满之日起七个工作日内，以书面形式向采购人提出质疑，接收质疑函联系部门、电话及地址详见竞争性磋商公告。在法定质疑期内供应商针对同一采购程序环节的质疑应当一次性提出。</w:t>
      </w:r>
    </w:p>
    <w:p w14:paraId="3DC9BB11">
      <w:pPr>
        <w:spacing w:line="500" w:lineRule="exact"/>
        <w:ind w:firstLine="480" w:firstLineChars="200"/>
        <w:rPr>
          <w:rFonts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.5 采购人或者采购代理机构应当在收到供应商的书面质疑后七个工作日内作出答复，并以书面形式通知质疑供应商和其他有关供应商，但答复的内容不得涉及商业秘密。</w:t>
      </w:r>
    </w:p>
    <w:p w14:paraId="7F1A48B9">
      <w:pPr>
        <w:spacing w:line="500" w:lineRule="exact"/>
        <w:ind w:firstLine="480" w:firstLineChars="200"/>
        <w:rPr>
          <w:rFonts w:ascii="宋体" w:hAnsi="宋体" w:eastAsia="宋体" w:cs="Times New Roman"/>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.6 质疑单位对采购人、采购代理机构的答复不满意或者采购人、采购代理机构未在规定的时间内作出答复的，可以在答复期满后十五个工作日内向同级政府采购监督管理部门投诉。</w:t>
      </w:r>
    </w:p>
    <w:p w14:paraId="2E64ECCD">
      <w:pPr>
        <w:spacing w:line="500" w:lineRule="exact"/>
        <w:ind w:firstLine="480" w:firstLineChars="200"/>
        <w:rPr>
          <w:rFonts w:ascii="Calibri" w:hAnsi="Calibri" w:eastAsia="宋体" w:cs="Times New Roman"/>
          <w:kern w:val="0"/>
          <w:sz w:val="24"/>
          <w:szCs w:val="24"/>
          <w:highlight w:val="none"/>
        </w:rPr>
      </w:pPr>
      <w:r>
        <w:rPr>
          <w:rFonts w:ascii="宋体" w:hAnsi="宋体" w:eastAsia="宋体" w:cs="Times New Roman"/>
          <w:sz w:val="24"/>
          <w:szCs w:val="24"/>
          <w:highlight w:val="none"/>
        </w:rPr>
        <w:t>9</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2</w:t>
      </w:r>
      <w:r>
        <w:rPr>
          <w:rFonts w:hint="eastAsia" w:ascii="宋体" w:hAnsi="宋体" w:eastAsia="宋体" w:cs="Times New Roman"/>
          <w:sz w:val="24"/>
          <w:szCs w:val="24"/>
          <w:highlight w:val="none"/>
        </w:rPr>
        <w:t>.7 供应商质疑、投诉应当有明确的请求和必要的证明材料。供应商投诉的事项不得超出已质疑事项的范围。</w:t>
      </w:r>
      <w:r>
        <w:rPr>
          <w:rFonts w:hint="eastAsia" w:ascii="Calibri" w:hAnsi="Calibri" w:eastAsia="宋体" w:cs="Times New Roman"/>
          <w:kern w:val="0"/>
          <w:sz w:val="24"/>
          <w:szCs w:val="24"/>
          <w:highlight w:val="none"/>
        </w:rPr>
        <w:t>质疑函应当包括下列内容：</w:t>
      </w:r>
    </w:p>
    <w:p w14:paraId="70DD373B">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1、供应商的姓名或者名称、地址、邮编、联系人及联系电话；</w:t>
      </w:r>
    </w:p>
    <w:p w14:paraId="719CCC90">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2、质疑项目的名称、编号；</w:t>
      </w:r>
    </w:p>
    <w:p w14:paraId="2760B384">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3、具体、明确的质疑事项和与质疑事项相关的请求；</w:t>
      </w:r>
    </w:p>
    <w:p w14:paraId="43D38487">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4、事实依据；</w:t>
      </w:r>
    </w:p>
    <w:p w14:paraId="24900403">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5、必要的法律依据；</w:t>
      </w:r>
    </w:p>
    <w:p w14:paraId="43F6C02E">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6、提出质疑的日期。</w:t>
      </w:r>
    </w:p>
    <w:p w14:paraId="6C377D6C">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质疑事项按照有关法律、法规和规章规定及招标文件要求属于保密或者处于保密阶段的事项，供应商必须提供正常的信息来源或有效证据，供应商不能提供或者拒绝提供合法的信息来源或有效证据的，其质疑将被拒绝；</w:t>
      </w:r>
    </w:p>
    <w:p w14:paraId="27D39AD6">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质疑函应提供充足有效的相关证明材料；如果涉及到产品功能或技术指标的，应出具相关制造商的证明文件；</w:t>
      </w:r>
    </w:p>
    <w:p w14:paraId="7BE7CE4B">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质疑材料中有外文资料的，应一并附上中文译本，并以中文译本为准。</w:t>
      </w:r>
    </w:p>
    <w:p w14:paraId="06E20930">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供应商质疑实行实名制并须在质疑书上署名。供应商不得进行虚假、恶意质疑，不得以质疑为手段获取不当得利、实现非法目的。</w:t>
      </w:r>
    </w:p>
    <w:p w14:paraId="28872652">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供应商可以委托代理人进行质疑和投诉。其授权委托书应当载明代理人的姓名或者名称、代理事项、具体权限、期限和相关事项。供应商为自然人的，应当由本人签</w:t>
      </w:r>
      <w:bookmarkStart w:id="177" w:name="第四部分_合同条款"/>
      <w:bookmarkEnd w:id="177"/>
      <w:r>
        <w:rPr>
          <w:rFonts w:hint="eastAsia" w:ascii="宋体" w:hAnsi="宋体" w:eastAsia="宋体" w:cs="宋体"/>
          <w:sz w:val="24"/>
          <w:szCs w:val="24"/>
          <w:highlight w:val="none"/>
        </w:rPr>
        <w:t>字；供应商为法人或者其他组织的，应当由法定代表人、主要负责人签字或者盖章，并加盖公章。代理人提出质疑和投诉，应当提交供应商签署的授权委托书。授权委托书应载明委托代理的具体权限和事项。授权委托书应当由委托人签字并加盖单位公章。</w:t>
      </w:r>
    </w:p>
    <w:p w14:paraId="63D5CDE3">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质疑书提交方式。供应商或者其委托代理人应当当面提交质疑书及相关证明材料。提交质疑书时，供应商应同时提交本人身份证，委托他人代理质疑事宜的，还应提交被委托人的身份证。</w:t>
      </w:r>
    </w:p>
    <w:p w14:paraId="1C485CDA">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供应商不得虚假质疑和恶意质疑，并对质疑内容的真实性承担责任。供应商或者其他利害关系人通过捏造事实、伪造证明材料等方式提出异议或投诉，阻碍招投标活动正常进行的，属于严重不良行为，监督部门将其列入不良行为记录名单，并依法予以处罚。</w:t>
      </w:r>
    </w:p>
    <w:p w14:paraId="1F1ED371">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采购人或招标代理机构将在收到符合上述条件的书面质疑后7个工作日内审查质疑事项，采购人做出答复或相关处理决定，并以书面形式通知质疑供应商和其他有关供应商。</w:t>
      </w:r>
    </w:p>
    <w:p w14:paraId="7CA24B06">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依法提出质疑的供应商对采购人或招标代理机构的答复不满意、以及采购人或招标代理机构未在规定的时间内做出答复的，可以在答复期满后15个工作日内向监督部门投诉。</w:t>
      </w:r>
    </w:p>
    <w:p w14:paraId="79250F20">
      <w:pPr>
        <w:spacing w:line="500" w:lineRule="exact"/>
        <w:ind w:firstLine="480" w:firstLineChars="200"/>
        <w:outlineLvl w:val="3"/>
        <w:rPr>
          <w:rFonts w:ascii="宋体" w:hAnsi="宋体" w:eastAsia="宋体" w:cs="宋体"/>
          <w:kern w:val="0"/>
          <w:sz w:val="24"/>
          <w:szCs w:val="24"/>
          <w:highlight w:val="none"/>
        </w:rPr>
      </w:pPr>
      <w:r>
        <w:rPr>
          <w:rFonts w:hint="eastAsia" w:ascii="宋体" w:hAnsi="宋体" w:eastAsia="宋体" w:cs="宋体"/>
          <w:kern w:val="0"/>
          <w:sz w:val="24"/>
          <w:szCs w:val="24"/>
          <w:highlight w:val="none"/>
        </w:rPr>
        <w:t>质疑函格式详见附件1</w:t>
      </w:r>
    </w:p>
    <w:p w14:paraId="1DC238D6">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9</w:t>
      </w:r>
      <w:r>
        <w:rPr>
          <w:rFonts w:ascii="宋体" w:hAnsi="宋体" w:eastAsia="宋体" w:cs="宋体"/>
          <w:sz w:val="24"/>
          <w:szCs w:val="24"/>
          <w:highlight w:val="none"/>
        </w:rPr>
        <w:t>.2.8</w:t>
      </w:r>
      <w:r>
        <w:rPr>
          <w:rFonts w:hint="eastAsia" w:ascii="宋体" w:hAnsi="宋体" w:eastAsia="宋体" w:cs="宋体"/>
          <w:sz w:val="24"/>
          <w:szCs w:val="24"/>
          <w:highlight w:val="none"/>
        </w:rPr>
        <w:t>投诉人在全国范围12个月内三次以上投诉查无实据的，由财政部门列入不良行为记录名单，投诉人有下列行为之一的，属于虚假、恶意投诉，由财政部门列入不良行为记录名单，禁止其1至3年内参加政府采购活动：</w:t>
      </w:r>
    </w:p>
    <w:p w14:paraId="3F0B271C">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1、捏造事实；</w:t>
      </w:r>
    </w:p>
    <w:p w14:paraId="29E82DF2">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2、提供虚假材料；</w:t>
      </w:r>
    </w:p>
    <w:p w14:paraId="4B376F69">
      <w:pPr>
        <w:spacing w:line="48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3、以非法手段取得证明材料。证据来源的合法性存在明显疑问，投诉人无法证明其取得方式合法的，视为以非法手段取得证明材料。</w:t>
      </w:r>
    </w:p>
    <w:bookmarkEnd w:id="176"/>
    <w:p w14:paraId="28B9E876">
      <w:pPr>
        <w:widowControl/>
        <w:jc w:val="left"/>
        <w:rPr>
          <w:rFonts w:ascii="宋体" w:hAnsi="宋体" w:eastAsia="宋体" w:cs="宋体"/>
          <w:b/>
          <w:sz w:val="24"/>
          <w:szCs w:val="24"/>
          <w:highlight w:val="none"/>
        </w:rPr>
      </w:pPr>
      <w:r>
        <w:rPr>
          <w:rFonts w:ascii="宋体" w:hAnsi="宋体" w:eastAsia="宋体" w:cs="宋体"/>
          <w:b/>
          <w:sz w:val="24"/>
          <w:szCs w:val="24"/>
          <w:highlight w:val="none"/>
        </w:rPr>
        <w:br w:type="page"/>
      </w:r>
    </w:p>
    <w:p w14:paraId="7F17BE1F">
      <w:pPr>
        <w:spacing w:line="480" w:lineRule="exact"/>
        <w:ind w:firstLine="405" w:firstLineChars="168"/>
        <w:rPr>
          <w:rFonts w:ascii="宋体" w:hAnsi="宋体" w:eastAsia="宋体" w:cs="宋体"/>
          <w:b/>
          <w:sz w:val="24"/>
          <w:szCs w:val="24"/>
          <w:highlight w:val="none"/>
        </w:rPr>
      </w:pPr>
      <w:r>
        <w:rPr>
          <w:rFonts w:hint="eastAsia" w:ascii="宋体" w:hAnsi="宋体" w:eastAsia="宋体" w:cs="宋体"/>
          <w:b/>
          <w:sz w:val="24"/>
          <w:szCs w:val="24"/>
          <w:highlight w:val="none"/>
        </w:rPr>
        <w:t>附件1：质疑函范本</w:t>
      </w:r>
    </w:p>
    <w:p w14:paraId="4CE5A180">
      <w:pPr>
        <w:spacing w:line="480" w:lineRule="exact"/>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质疑函范本</w:t>
      </w:r>
    </w:p>
    <w:p w14:paraId="20717741">
      <w:pPr>
        <w:spacing w:line="480" w:lineRule="exact"/>
        <w:ind w:firstLine="480" w:firstLineChars="200"/>
        <w:outlineLvl w:val="3"/>
        <w:rPr>
          <w:rFonts w:ascii="宋体" w:hAnsi="宋体" w:eastAsia="宋体" w:cs="宋体"/>
          <w:kern w:val="0"/>
          <w:sz w:val="24"/>
          <w:szCs w:val="24"/>
          <w:highlight w:val="none"/>
        </w:rPr>
      </w:pPr>
      <w:r>
        <w:rPr>
          <w:rFonts w:hint="eastAsia" w:ascii="宋体" w:hAnsi="宋体" w:eastAsia="宋体" w:cs="宋体"/>
          <w:kern w:val="0"/>
          <w:sz w:val="24"/>
          <w:szCs w:val="24"/>
          <w:highlight w:val="none"/>
        </w:rPr>
        <w:t>一、质疑供应商基本信息</w:t>
      </w:r>
    </w:p>
    <w:p w14:paraId="3BF8C497">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质疑供应商：                                        </w:t>
      </w:r>
    </w:p>
    <w:p w14:paraId="519AB5BD">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地址：                          邮编：                                 </w:t>
      </w:r>
    </w:p>
    <w:p w14:paraId="373AE82E">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联系人：                      联系电话：                              </w:t>
      </w:r>
    </w:p>
    <w:p w14:paraId="69EA025A">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授权代表：                                          </w:t>
      </w:r>
    </w:p>
    <w:p w14:paraId="51692823">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联系电话：                                            </w:t>
      </w:r>
    </w:p>
    <w:p w14:paraId="4A35A0B4">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地址：                         邮编：                                       </w:t>
      </w:r>
    </w:p>
    <w:p w14:paraId="0662F901">
      <w:pPr>
        <w:spacing w:line="480" w:lineRule="exact"/>
        <w:ind w:firstLine="480" w:firstLineChars="200"/>
        <w:outlineLvl w:val="3"/>
        <w:rPr>
          <w:rFonts w:ascii="宋体" w:hAnsi="宋体" w:eastAsia="宋体" w:cs="宋体"/>
          <w:bCs/>
          <w:kern w:val="0"/>
          <w:sz w:val="24"/>
          <w:szCs w:val="24"/>
          <w:highlight w:val="none"/>
        </w:rPr>
      </w:pPr>
      <w:r>
        <w:rPr>
          <w:rFonts w:hint="eastAsia" w:ascii="宋体" w:hAnsi="宋体" w:eastAsia="宋体" w:cs="宋体"/>
          <w:bCs/>
          <w:kern w:val="0"/>
          <w:sz w:val="24"/>
          <w:szCs w:val="24"/>
          <w:highlight w:val="none"/>
        </w:rPr>
        <w:t>二、质疑项目基本情况</w:t>
      </w:r>
    </w:p>
    <w:p w14:paraId="1DF74626">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质疑项目的名称：                                      </w:t>
      </w:r>
    </w:p>
    <w:p w14:paraId="324AEEC8">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质疑项目的编号：               包号：                 </w:t>
      </w:r>
    </w:p>
    <w:p w14:paraId="7FB7335D">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招标人名称：                                         </w:t>
      </w:r>
    </w:p>
    <w:p w14:paraId="323A6648">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招标文件获取日期：                                           </w:t>
      </w:r>
    </w:p>
    <w:p w14:paraId="0572966D">
      <w:pPr>
        <w:spacing w:line="480" w:lineRule="exact"/>
        <w:ind w:firstLine="480" w:firstLineChars="200"/>
        <w:outlineLvl w:val="3"/>
        <w:rPr>
          <w:rFonts w:ascii="宋体" w:hAnsi="宋体" w:eastAsia="宋体" w:cs="宋体"/>
          <w:kern w:val="0"/>
          <w:sz w:val="24"/>
          <w:szCs w:val="24"/>
          <w:highlight w:val="none"/>
        </w:rPr>
      </w:pPr>
      <w:r>
        <w:rPr>
          <w:rFonts w:hint="eastAsia" w:ascii="宋体" w:hAnsi="宋体" w:eastAsia="宋体" w:cs="宋体"/>
          <w:kern w:val="0"/>
          <w:sz w:val="24"/>
          <w:szCs w:val="24"/>
          <w:highlight w:val="none"/>
        </w:rPr>
        <w:t>三、质疑事项具体内容</w:t>
      </w:r>
    </w:p>
    <w:p w14:paraId="180184E7">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质疑事项1：                                         </w:t>
      </w:r>
    </w:p>
    <w:p w14:paraId="0D545954">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事实依据：                                          </w:t>
      </w:r>
    </w:p>
    <w:p w14:paraId="77F3A2F6">
      <w:pPr>
        <w:spacing w:line="480" w:lineRule="exact"/>
        <w:ind w:firstLine="480" w:firstLineChars="200"/>
        <w:rPr>
          <w:rFonts w:ascii="宋体" w:hAnsi="宋体" w:eastAsia="宋体" w:cs="宋体"/>
          <w:kern w:val="0"/>
          <w:sz w:val="24"/>
          <w:szCs w:val="24"/>
          <w:highlight w:val="none"/>
        </w:rPr>
      </w:pPr>
    </w:p>
    <w:p w14:paraId="58BFA117">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法律依据：                                          </w:t>
      </w:r>
    </w:p>
    <w:p w14:paraId="4A93D495">
      <w:pPr>
        <w:spacing w:line="480" w:lineRule="exact"/>
        <w:ind w:firstLine="480" w:firstLineChars="200"/>
        <w:rPr>
          <w:rFonts w:ascii="宋体" w:hAnsi="宋体" w:eastAsia="宋体" w:cs="宋体"/>
          <w:kern w:val="0"/>
          <w:sz w:val="24"/>
          <w:szCs w:val="24"/>
          <w:highlight w:val="none"/>
        </w:rPr>
      </w:pPr>
    </w:p>
    <w:p w14:paraId="244F412E">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质疑事项2</w:t>
      </w:r>
    </w:p>
    <w:p w14:paraId="0F844E84">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w:t>
      </w:r>
    </w:p>
    <w:p w14:paraId="61C4D865">
      <w:pPr>
        <w:spacing w:line="480" w:lineRule="exact"/>
        <w:ind w:firstLine="480" w:firstLineChars="200"/>
        <w:outlineLvl w:val="3"/>
        <w:rPr>
          <w:rFonts w:ascii="宋体" w:hAnsi="宋体" w:eastAsia="宋体" w:cs="宋体"/>
          <w:bCs/>
          <w:kern w:val="0"/>
          <w:sz w:val="24"/>
          <w:szCs w:val="24"/>
          <w:highlight w:val="none"/>
        </w:rPr>
      </w:pPr>
      <w:r>
        <w:rPr>
          <w:rFonts w:hint="eastAsia" w:ascii="宋体" w:hAnsi="宋体" w:eastAsia="宋体" w:cs="宋体"/>
          <w:bCs/>
          <w:kern w:val="0"/>
          <w:sz w:val="24"/>
          <w:szCs w:val="24"/>
          <w:highlight w:val="none"/>
        </w:rPr>
        <w:t>四、与质疑事项相关的质疑请求</w:t>
      </w:r>
    </w:p>
    <w:p w14:paraId="57AE8E9B">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请求：                                               </w:t>
      </w:r>
    </w:p>
    <w:p w14:paraId="5EA1AA12">
      <w:pPr>
        <w:spacing w:line="48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签字(签章)：                   公章：                      </w:t>
      </w:r>
    </w:p>
    <w:p w14:paraId="7B06659A">
      <w:pPr>
        <w:autoSpaceDE w:val="0"/>
        <w:autoSpaceDN w:val="0"/>
        <w:spacing w:before="90" w:line="312" w:lineRule="auto"/>
        <w:ind w:right="95" w:firstLine="480" w:firstLineChars="200"/>
        <w:rPr>
          <w:rFonts w:ascii="宋体" w:hAnsi="宋体" w:eastAsia="宋体" w:cs="宋体"/>
          <w:kern w:val="0"/>
          <w:sz w:val="24"/>
          <w:szCs w:val="24"/>
          <w:highlight w:val="none"/>
        </w:rPr>
      </w:pPr>
      <w:r>
        <w:rPr>
          <w:rFonts w:hint="eastAsia" w:ascii="宋体" w:hAnsi="宋体" w:eastAsia="宋体" w:cs="宋体"/>
          <w:sz w:val="24"/>
          <w:szCs w:val="24"/>
          <w:highlight w:val="none"/>
        </w:rPr>
        <w:t>日期：</w:t>
      </w:r>
      <w:r>
        <w:rPr>
          <w:rFonts w:hint="eastAsia" w:ascii="宋体" w:hAnsi="宋体" w:eastAsia="宋体" w:cs="Times New Roman"/>
          <w:sz w:val="24"/>
          <w:szCs w:val="24"/>
          <w:highlight w:val="none"/>
        </w:rPr>
        <w:br w:type="page"/>
      </w:r>
    </w:p>
    <w:p w14:paraId="3F74C8D2">
      <w:pPr>
        <w:keepNext/>
        <w:keepLines/>
        <w:spacing w:line="360" w:lineRule="auto"/>
        <w:jc w:val="center"/>
        <w:outlineLvl w:val="2"/>
        <w:rPr>
          <w:rFonts w:ascii="Calibri" w:hAnsi="Calibri" w:eastAsia="宋体" w:cs="Times New Roman"/>
          <w:b/>
          <w:bCs/>
          <w:sz w:val="28"/>
          <w:szCs w:val="32"/>
          <w:highlight w:val="none"/>
        </w:rPr>
      </w:pPr>
      <w:bookmarkStart w:id="178" w:name="_Toc14135"/>
      <w:bookmarkStart w:id="179" w:name="_Toc6120"/>
      <w:bookmarkStart w:id="180" w:name="_Toc21295"/>
      <w:r>
        <w:rPr>
          <w:rFonts w:hint="eastAsia" w:ascii="Calibri" w:hAnsi="Calibri" w:eastAsia="宋体" w:cs="Times New Roman"/>
          <w:b/>
          <w:bCs/>
          <w:sz w:val="28"/>
          <w:szCs w:val="32"/>
          <w:highlight w:val="none"/>
        </w:rPr>
        <w:t>第三章  评标办法（综合评估法）</w:t>
      </w:r>
      <w:bookmarkEnd w:id="178"/>
      <w:bookmarkEnd w:id="179"/>
      <w:bookmarkEnd w:id="180"/>
    </w:p>
    <w:p w14:paraId="7E48EE23">
      <w:pPr>
        <w:widowControl/>
        <w:spacing w:line="400" w:lineRule="exact"/>
        <w:ind w:firstLine="420"/>
        <w:rPr>
          <w:rFonts w:ascii="宋体" w:hAnsi="宋体" w:eastAsia="宋体" w:cs="Calibri"/>
          <w:sz w:val="24"/>
          <w:highlight w:val="none"/>
        </w:rPr>
      </w:pPr>
      <w:bookmarkStart w:id="181" w:name="_Toc152045600"/>
      <w:bookmarkEnd w:id="181"/>
      <w:bookmarkStart w:id="182" w:name="_Toc144974567"/>
      <w:bookmarkEnd w:id="182"/>
      <w:bookmarkStart w:id="183" w:name="_Toc466566705"/>
      <w:bookmarkEnd w:id="183"/>
      <w:bookmarkStart w:id="184" w:name="_Toc179632618"/>
      <w:bookmarkEnd w:id="184"/>
      <w:bookmarkStart w:id="185" w:name="_Toc466566794"/>
      <w:bookmarkEnd w:id="185"/>
      <w:bookmarkStart w:id="186" w:name="_Toc375053347"/>
      <w:bookmarkEnd w:id="186"/>
      <w:bookmarkStart w:id="187" w:name="OLE_LINK1"/>
      <w:r>
        <w:rPr>
          <w:rFonts w:hint="eastAsia" w:ascii="宋体" w:hAnsi="宋体" w:eastAsia="宋体" w:cs="Calibri"/>
          <w:kern w:val="0"/>
          <w:sz w:val="24"/>
          <w:highlight w:val="none"/>
        </w:rPr>
        <w:t>本次项目的评审分为初步审查和详细审查。详细审查采用综合评分法，总分为100分。</w:t>
      </w:r>
      <w:bookmarkEnd w:id="187"/>
      <w:r>
        <w:rPr>
          <w:rFonts w:hint="eastAsia" w:ascii="宋体" w:hAnsi="宋体" w:eastAsia="宋体" w:cs="Calibri"/>
          <w:kern w:val="0"/>
          <w:sz w:val="24"/>
          <w:highlight w:val="none"/>
        </w:rPr>
        <w:t>评审因素如下：</w:t>
      </w:r>
    </w:p>
    <w:p w14:paraId="4EE4AA5A">
      <w:pPr>
        <w:widowControl/>
        <w:spacing w:line="400" w:lineRule="exact"/>
        <w:rPr>
          <w:rFonts w:ascii="宋体" w:hAnsi="宋体" w:eastAsia="宋体" w:cs="Calibri"/>
          <w:b/>
          <w:bCs/>
          <w:sz w:val="24"/>
          <w:highlight w:val="none"/>
        </w:rPr>
      </w:pPr>
      <w:r>
        <w:rPr>
          <w:rFonts w:hint="eastAsia" w:ascii="宋体" w:hAnsi="宋体" w:eastAsia="宋体" w:cs="Calibri"/>
          <w:b/>
          <w:bCs/>
          <w:kern w:val="0"/>
          <w:sz w:val="24"/>
          <w:highlight w:val="none"/>
        </w:rPr>
        <w:t>一、初步审查</w:t>
      </w:r>
    </w:p>
    <w:tbl>
      <w:tblPr>
        <w:tblStyle w:val="15"/>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978"/>
        <w:gridCol w:w="2528"/>
        <w:gridCol w:w="5351"/>
      </w:tblGrid>
      <w:tr w14:paraId="08B8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499" w:type="dxa"/>
            <w:gridSpan w:val="2"/>
            <w:tcBorders>
              <w:top w:val="single" w:color="auto" w:sz="4" w:space="0"/>
              <w:left w:val="single" w:color="auto" w:sz="4" w:space="0"/>
              <w:bottom w:val="single" w:color="auto" w:sz="4" w:space="0"/>
              <w:right w:val="single" w:color="auto" w:sz="4" w:space="0"/>
            </w:tcBorders>
            <w:vAlign w:val="center"/>
          </w:tcPr>
          <w:p w14:paraId="35681F6E">
            <w:pPr>
              <w:spacing w:line="360" w:lineRule="auto"/>
              <w:jc w:val="center"/>
              <w:rPr>
                <w:rFonts w:ascii="宋体" w:hAnsi="宋体" w:eastAsia="宋体" w:cs="Courier New"/>
                <w:sz w:val="24"/>
                <w:szCs w:val="21"/>
                <w:highlight w:val="none"/>
              </w:rPr>
            </w:pPr>
            <w:r>
              <w:rPr>
                <w:rFonts w:hint="eastAsia" w:ascii="宋体" w:hAnsi="宋体" w:eastAsia="宋体" w:cs="Courier New"/>
                <w:sz w:val="24"/>
                <w:szCs w:val="21"/>
                <w:highlight w:val="none"/>
              </w:rPr>
              <w:t>条款号</w:t>
            </w:r>
          </w:p>
        </w:tc>
        <w:tc>
          <w:tcPr>
            <w:tcW w:w="2528" w:type="dxa"/>
            <w:tcBorders>
              <w:top w:val="single" w:color="auto" w:sz="4" w:space="0"/>
              <w:left w:val="nil"/>
              <w:bottom w:val="single" w:color="auto" w:sz="4" w:space="0"/>
              <w:right w:val="single" w:color="auto" w:sz="4" w:space="0"/>
            </w:tcBorders>
            <w:vAlign w:val="center"/>
          </w:tcPr>
          <w:p w14:paraId="768A858A">
            <w:pPr>
              <w:spacing w:line="360" w:lineRule="auto"/>
              <w:ind w:firstLine="60" w:firstLineChars="25"/>
              <w:jc w:val="center"/>
              <w:rPr>
                <w:rFonts w:ascii="宋体" w:hAnsi="宋体" w:eastAsia="宋体" w:cs="Courier New"/>
                <w:sz w:val="24"/>
                <w:szCs w:val="21"/>
                <w:highlight w:val="none"/>
              </w:rPr>
            </w:pPr>
            <w:r>
              <w:rPr>
                <w:rFonts w:hint="eastAsia" w:ascii="宋体" w:hAnsi="宋体" w:eastAsia="宋体" w:cs="Courier New"/>
                <w:sz w:val="24"/>
                <w:szCs w:val="21"/>
                <w:highlight w:val="none"/>
              </w:rPr>
              <w:t>评审因素</w:t>
            </w:r>
          </w:p>
        </w:tc>
        <w:tc>
          <w:tcPr>
            <w:tcW w:w="5351" w:type="dxa"/>
            <w:tcBorders>
              <w:top w:val="single" w:color="auto" w:sz="4" w:space="0"/>
              <w:left w:val="nil"/>
              <w:bottom w:val="single" w:color="auto" w:sz="4" w:space="0"/>
              <w:right w:val="single" w:color="auto" w:sz="4" w:space="0"/>
            </w:tcBorders>
            <w:vAlign w:val="center"/>
          </w:tcPr>
          <w:p w14:paraId="3B320362">
            <w:pPr>
              <w:spacing w:line="360" w:lineRule="auto"/>
              <w:ind w:firstLine="1920" w:firstLineChars="800"/>
              <w:rPr>
                <w:rFonts w:ascii="宋体" w:hAnsi="宋体" w:eastAsia="宋体" w:cs="Courier New"/>
                <w:sz w:val="24"/>
                <w:szCs w:val="21"/>
                <w:highlight w:val="none"/>
              </w:rPr>
            </w:pPr>
            <w:r>
              <w:rPr>
                <w:rFonts w:hint="eastAsia" w:ascii="宋体" w:hAnsi="宋体" w:eastAsia="宋体" w:cs="Courier New"/>
                <w:sz w:val="24"/>
                <w:szCs w:val="21"/>
                <w:highlight w:val="none"/>
              </w:rPr>
              <w:t>评审标准</w:t>
            </w:r>
          </w:p>
        </w:tc>
      </w:tr>
      <w:tr w14:paraId="1789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521" w:type="dxa"/>
            <w:vMerge w:val="restart"/>
            <w:tcBorders>
              <w:top w:val="nil"/>
              <w:left w:val="single" w:color="auto" w:sz="4" w:space="0"/>
              <w:right w:val="single" w:color="auto" w:sz="4" w:space="0"/>
            </w:tcBorders>
            <w:vAlign w:val="center"/>
          </w:tcPr>
          <w:p w14:paraId="2B9FBB5E">
            <w:pPr>
              <w:spacing w:line="360" w:lineRule="auto"/>
              <w:jc w:val="center"/>
              <w:rPr>
                <w:rFonts w:ascii="宋体" w:hAnsi="宋体" w:eastAsia="宋体" w:cs="Courier New"/>
                <w:sz w:val="24"/>
                <w:szCs w:val="21"/>
                <w:highlight w:val="none"/>
              </w:rPr>
            </w:pPr>
            <w:r>
              <w:rPr>
                <w:rFonts w:hint="eastAsia" w:ascii="宋体" w:hAnsi="宋体" w:eastAsia="宋体" w:cs="Courier New"/>
                <w:sz w:val="24"/>
                <w:szCs w:val="21"/>
                <w:highlight w:val="none"/>
              </w:rPr>
              <w:t>初</w:t>
            </w:r>
          </w:p>
          <w:p w14:paraId="29E3BD1F">
            <w:pPr>
              <w:spacing w:line="360" w:lineRule="auto"/>
              <w:jc w:val="center"/>
              <w:rPr>
                <w:rFonts w:ascii="宋体" w:hAnsi="宋体" w:eastAsia="宋体" w:cs="Courier New"/>
                <w:sz w:val="24"/>
                <w:szCs w:val="21"/>
                <w:highlight w:val="none"/>
              </w:rPr>
            </w:pPr>
            <w:r>
              <w:rPr>
                <w:rFonts w:hint="eastAsia" w:ascii="宋体" w:hAnsi="宋体" w:eastAsia="宋体" w:cs="Courier New"/>
                <w:sz w:val="24"/>
                <w:szCs w:val="21"/>
                <w:highlight w:val="none"/>
              </w:rPr>
              <w:t>步</w:t>
            </w:r>
          </w:p>
          <w:p w14:paraId="20DB1C0A">
            <w:pPr>
              <w:spacing w:line="360" w:lineRule="auto"/>
              <w:jc w:val="center"/>
              <w:rPr>
                <w:rFonts w:ascii="宋体" w:hAnsi="宋体" w:eastAsia="宋体" w:cs="Courier New"/>
                <w:sz w:val="24"/>
                <w:szCs w:val="21"/>
                <w:highlight w:val="none"/>
              </w:rPr>
            </w:pPr>
            <w:r>
              <w:rPr>
                <w:rFonts w:hint="eastAsia" w:ascii="宋体" w:hAnsi="宋体" w:eastAsia="宋体" w:cs="Courier New"/>
                <w:sz w:val="24"/>
                <w:szCs w:val="21"/>
                <w:highlight w:val="none"/>
              </w:rPr>
              <w:t>评</w:t>
            </w:r>
          </w:p>
          <w:p w14:paraId="10CF73F1">
            <w:pPr>
              <w:spacing w:line="360" w:lineRule="auto"/>
              <w:jc w:val="center"/>
              <w:rPr>
                <w:rFonts w:ascii="宋体" w:hAnsi="宋体" w:eastAsia="宋体" w:cs="Courier New"/>
                <w:sz w:val="24"/>
                <w:szCs w:val="21"/>
                <w:highlight w:val="none"/>
              </w:rPr>
            </w:pPr>
            <w:r>
              <w:rPr>
                <w:rFonts w:hint="eastAsia" w:ascii="宋体" w:hAnsi="宋体" w:eastAsia="宋体" w:cs="Courier New"/>
                <w:sz w:val="24"/>
                <w:szCs w:val="21"/>
                <w:highlight w:val="none"/>
              </w:rPr>
              <w:t>审</w:t>
            </w:r>
          </w:p>
        </w:tc>
        <w:tc>
          <w:tcPr>
            <w:tcW w:w="978" w:type="dxa"/>
            <w:vMerge w:val="restart"/>
            <w:tcBorders>
              <w:top w:val="nil"/>
              <w:left w:val="nil"/>
              <w:bottom w:val="single" w:color="auto" w:sz="4" w:space="0"/>
              <w:right w:val="single" w:color="auto" w:sz="4" w:space="0"/>
            </w:tcBorders>
            <w:vAlign w:val="center"/>
          </w:tcPr>
          <w:p w14:paraId="019FA2E5">
            <w:pPr>
              <w:spacing w:line="360" w:lineRule="auto"/>
              <w:rPr>
                <w:rFonts w:ascii="宋体" w:hAnsi="宋体" w:eastAsia="宋体" w:cs="Courier New"/>
                <w:sz w:val="24"/>
                <w:szCs w:val="21"/>
                <w:highlight w:val="none"/>
              </w:rPr>
            </w:pPr>
            <w:r>
              <w:rPr>
                <w:rFonts w:hint="eastAsia" w:ascii="宋体" w:hAnsi="宋体" w:eastAsia="宋体" w:cs="Courier New"/>
                <w:sz w:val="24"/>
                <w:szCs w:val="21"/>
                <w:highlight w:val="none"/>
              </w:rPr>
              <w:t>符合性</w:t>
            </w:r>
          </w:p>
          <w:p w14:paraId="6438E376">
            <w:pPr>
              <w:spacing w:line="360" w:lineRule="auto"/>
              <w:rPr>
                <w:rFonts w:ascii="宋体" w:hAnsi="宋体" w:eastAsia="宋体" w:cs="Courier New"/>
                <w:sz w:val="24"/>
                <w:szCs w:val="21"/>
                <w:highlight w:val="none"/>
              </w:rPr>
            </w:pPr>
            <w:r>
              <w:rPr>
                <w:rFonts w:hint="eastAsia" w:ascii="宋体" w:hAnsi="宋体" w:eastAsia="宋体" w:cs="Courier New"/>
                <w:sz w:val="24"/>
                <w:szCs w:val="21"/>
                <w:highlight w:val="none"/>
              </w:rPr>
              <w:t>评审</w:t>
            </w:r>
          </w:p>
          <w:p w14:paraId="757B0F84">
            <w:pPr>
              <w:spacing w:line="360" w:lineRule="auto"/>
              <w:rPr>
                <w:rFonts w:ascii="宋体" w:hAnsi="宋体" w:eastAsia="宋体" w:cs="Times New Roman"/>
                <w:sz w:val="24"/>
                <w:szCs w:val="21"/>
                <w:highlight w:val="none"/>
              </w:rPr>
            </w:pPr>
            <w:r>
              <w:rPr>
                <w:rFonts w:hint="eastAsia" w:ascii="宋体" w:hAnsi="宋体" w:eastAsia="宋体" w:cs="Times New Roman"/>
                <w:sz w:val="24"/>
                <w:szCs w:val="21"/>
                <w:highlight w:val="none"/>
              </w:rPr>
              <w:t>标准</w:t>
            </w:r>
          </w:p>
        </w:tc>
        <w:tc>
          <w:tcPr>
            <w:tcW w:w="2528" w:type="dxa"/>
            <w:tcBorders>
              <w:top w:val="single" w:color="auto" w:sz="4" w:space="0"/>
              <w:left w:val="nil"/>
              <w:bottom w:val="single" w:color="auto" w:sz="4" w:space="0"/>
              <w:right w:val="single" w:color="auto" w:sz="4" w:space="0"/>
            </w:tcBorders>
            <w:vAlign w:val="center"/>
          </w:tcPr>
          <w:p w14:paraId="0D0F249B">
            <w:pPr>
              <w:spacing w:line="266" w:lineRule="auto"/>
              <w:rPr>
                <w:rFonts w:ascii="宋体" w:hAnsi="宋体" w:eastAsia="宋体" w:cs="Courier New"/>
                <w:sz w:val="24"/>
                <w:szCs w:val="21"/>
                <w:highlight w:val="none"/>
              </w:rPr>
            </w:pPr>
            <w:r>
              <w:rPr>
                <w:rFonts w:hint="eastAsia" w:ascii="宋体" w:hAnsi="宋体" w:eastAsia="宋体" w:cs="Courier New"/>
                <w:sz w:val="24"/>
                <w:szCs w:val="21"/>
                <w:highlight w:val="none"/>
              </w:rPr>
              <w:t>供应商名称</w:t>
            </w:r>
          </w:p>
        </w:tc>
        <w:tc>
          <w:tcPr>
            <w:tcW w:w="5351" w:type="dxa"/>
            <w:tcBorders>
              <w:top w:val="single" w:color="auto" w:sz="4" w:space="0"/>
              <w:left w:val="nil"/>
              <w:bottom w:val="single" w:color="auto" w:sz="4" w:space="0"/>
              <w:right w:val="single" w:color="auto" w:sz="4" w:space="0"/>
            </w:tcBorders>
            <w:vAlign w:val="center"/>
          </w:tcPr>
          <w:p w14:paraId="18FC0648">
            <w:pPr>
              <w:spacing w:line="266" w:lineRule="auto"/>
              <w:rPr>
                <w:rFonts w:ascii="宋体" w:hAnsi="宋体" w:eastAsia="宋体" w:cs="Courier New"/>
                <w:sz w:val="24"/>
                <w:szCs w:val="21"/>
                <w:highlight w:val="none"/>
              </w:rPr>
            </w:pPr>
            <w:r>
              <w:rPr>
                <w:rFonts w:hint="eastAsia" w:ascii="宋体" w:hAnsi="宋体" w:eastAsia="宋体" w:cs="Courier New"/>
                <w:sz w:val="24"/>
                <w:szCs w:val="21"/>
                <w:highlight w:val="none"/>
              </w:rPr>
              <w:t>与营业执照一致</w:t>
            </w:r>
          </w:p>
        </w:tc>
      </w:tr>
      <w:tr w14:paraId="502C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521" w:type="dxa"/>
            <w:vMerge w:val="continue"/>
            <w:tcBorders>
              <w:left w:val="single" w:color="auto" w:sz="4" w:space="0"/>
              <w:right w:val="single" w:color="auto" w:sz="4" w:space="0"/>
            </w:tcBorders>
            <w:vAlign w:val="center"/>
          </w:tcPr>
          <w:p w14:paraId="1B7B2A22">
            <w:pPr>
              <w:spacing w:line="360" w:lineRule="auto"/>
              <w:jc w:val="center"/>
              <w:rPr>
                <w:rFonts w:ascii="宋体" w:hAnsi="宋体" w:eastAsia="宋体" w:cs="Courier New"/>
                <w:sz w:val="24"/>
                <w:szCs w:val="21"/>
                <w:highlight w:val="none"/>
              </w:rPr>
            </w:pPr>
          </w:p>
        </w:tc>
        <w:tc>
          <w:tcPr>
            <w:tcW w:w="978" w:type="dxa"/>
            <w:vMerge w:val="continue"/>
            <w:tcBorders>
              <w:top w:val="nil"/>
              <w:left w:val="nil"/>
              <w:bottom w:val="single" w:color="auto" w:sz="4" w:space="0"/>
              <w:right w:val="single" w:color="auto" w:sz="4" w:space="0"/>
            </w:tcBorders>
            <w:vAlign w:val="center"/>
          </w:tcPr>
          <w:p w14:paraId="5F0C18B1">
            <w:pPr>
              <w:widowControl/>
              <w:jc w:val="left"/>
              <w:rPr>
                <w:rFonts w:ascii="宋体" w:hAnsi="宋体" w:eastAsia="宋体" w:cs="Times New Roman"/>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6E1C1CEF">
            <w:pPr>
              <w:spacing w:line="266" w:lineRule="auto"/>
              <w:rPr>
                <w:rFonts w:ascii="宋体" w:hAnsi="宋体" w:eastAsia="宋体" w:cs="Courier New"/>
                <w:sz w:val="24"/>
                <w:szCs w:val="21"/>
                <w:highlight w:val="none"/>
              </w:rPr>
            </w:pPr>
            <w:r>
              <w:rPr>
                <w:rFonts w:hint="eastAsia" w:ascii="宋体" w:hAnsi="宋体" w:eastAsia="宋体" w:cs="Courier New"/>
                <w:sz w:val="24"/>
                <w:szCs w:val="21"/>
                <w:highlight w:val="none"/>
              </w:rPr>
              <w:t>签字盖章</w:t>
            </w:r>
          </w:p>
        </w:tc>
        <w:tc>
          <w:tcPr>
            <w:tcW w:w="5351" w:type="dxa"/>
            <w:tcBorders>
              <w:top w:val="single" w:color="auto" w:sz="4" w:space="0"/>
              <w:left w:val="nil"/>
              <w:bottom w:val="single" w:color="auto" w:sz="4" w:space="0"/>
              <w:right w:val="single" w:color="auto" w:sz="4" w:space="0"/>
            </w:tcBorders>
            <w:vAlign w:val="center"/>
          </w:tcPr>
          <w:p w14:paraId="478EE679">
            <w:pPr>
              <w:spacing w:line="266" w:lineRule="auto"/>
              <w:rPr>
                <w:rFonts w:ascii="宋体" w:hAnsi="宋体" w:eastAsia="宋体" w:cs="Courier New"/>
                <w:sz w:val="24"/>
                <w:szCs w:val="21"/>
                <w:highlight w:val="none"/>
              </w:rPr>
            </w:pPr>
            <w:r>
              <w:rPr>
                <w:rFonts w:hint="eastAsia" w:ascii="宋体" w:hAnsi="宋体" w:eastAsia="宋体" w:cs="宋体"/>
                <w:sz w:val="24"/>
                <w:szCs w:val="21"/>
                <w:highlight w:val="none"/>
              </w:rPr>
              <w:t>磋商文件中要求法定代表人或授权委托人签字或盖章的，投标人在进行电子化响应文件签章时，以签盖法定代表人签章为准</w:t>
            </w:r>
          </w:p>
        </w:tc>
      </w:tr>
      <w:tr w14:paraId="3869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521" w:type="dxa"/>
            <w:vMerge w:val="continue"/>
            <w:tcBorders>
              <w:left w:val="single" w:color="auto" w:sz="4" w:space="0"/>
              <w:right w:val="single" w:color="auto" w:sz="4" w:space="0"/>
            </w:tcBorders>
            <w:vAlign w:val="center"/>
          </w:tcPr>
          <w:p w14:paraId="585BA105">
            <w:pPr>
              <w:spacing w:line="360" w:lineRule="auto"/>
              <w:jc w:val="center"/>
              <w:rPr>
                <w:rFonts w:ascii="宋体" w:hAnsi="宋体" w:eastAsia="宋体" w:cs="Courier New"/>
                <w:sz w:val="24"/>
                <w:szCs w:val="21"/>
                <w:highlight w:val="none"/>
              </w:rPr>
            </w:pPr>
          </w:p>
        </w:tc>
        <w:tc>
          <w:tcPr>
            <w:tcW w:w="978" w:type="dxa"/>
            <w:vMerge w:val="continue"/>
            <w:tcBorders>
              <w:top w:val="nil"/>
              <w:left w:val="nil"/>
              <w:bottom w:val="single" w:color="auto" w:sz="4" w:space="0"/>
              <w:right w:val="single" w:color="auto" w:sz="4" w:space="0"/>
            </w:tcBorders>
            <w:vAlign w:val="center"/>
          </w:tcPr>
          <w:p w14:paraId="4E3D2B7C">
            <w:pPr>
              <w:widowControl/>
              <w:jc w:val="left"/>
              <w:rPr>
                <w:rFonts w:ascii="宋体" w:hAnsi="宋体" w:eastAsia="宋体" w:cs="Times New Roman"/>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1BBA18C1">
            <w:pPr>
              <w:spacing w:line="266" w:lineRule="auto"/>
              <w:rPr>
                <w:rFonts w:ascii="宋体" w:hAnsi="宋体" w:eastAsia="宋体" w:cs="Courier New"/>
                <w:sz w:val="24"/>
                <w:szCs w:val="21"/>
                <w:highlight w:val="none"/>
              </w:rPr>
            </w:pPr>
            <w:r>
              <w:rPr>
                <w:rFonts w:hint="eastAsia" w:ascii="宋体" w:hAnsi="宋体" w:eastAsia="宋体" w:cs="Courier New"/>
                <w:sz w:val="24"/>
                <w:szCs w:val="21"/>
                <w:highlight w:val="none"/>
              </w:rPr>
              <w:t>报价唯一</w:t>
            </w:r>
          </w:p>
        </w:tc>
        <w:tc>
          <w:tcPr>
            <w:tcW w:w="5351" w:type="dxa"/>
            <w:tcBorders>
              <w:top w:val="single" w:color="auto" w:sz="4" w:space="0"/>
              <w:left w:val="nil"/>
              <w:bottom w:val="single" w:color="auto" w:sz="4" w:space="0"/>
              <w:right w:val="single" w:color="auto" w:sz="4" w:space="0"/>
            </w:tcBorders>
            <w:vAlign w:val="center"/>
          </w:tcPr>
          <w:p w14:paraId="4D545C62">
            <w:pPr>
              <w:spacing w:line="266" w:lineRule="auto"/>
              <w:rPr>
                <w:rFonts w:ascii="宋体" w:hAnsi="宋体" w:eastAsia="宋体" w:cs="Courier New"/>
                <w:sz w:val="24"/>
                <w:szCs w:val="21"/>
                <w:highlight w:val="none"/>
              </w:rPr>
            </w:pPr>
            <w:r>
              <w:rPr>
                <w:rFonts w:hint="eastAsia" w:ascii="宋体" w:hAnsi="宋体" w:eastAsia="宋体" w:cs="Courier New"/>
                <w:sz w:val="24"/>
                <w:szCs w:val="21"/>
                <w:highlight w:val="none"/>
              </w:rPr>
              <w:t>只能有一个有效报价，且不超过控制价</w:t>
            </w:r>
          </w:p>
        </w:tc>
      </w:tr>
      <w:tr w14:paraId="5048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521" w:type="dxa"/>
            <w:vMerge w:val="continue"/>
            <w:tcBorders>
              <w:left w:val="single" w:color="auto" w:sz="4" w:space="0"/>
              <w:right w:val="single" w:color="auto" w:sz="4" w:space="0"/>
            </w:tcBorders>
            <w:vAlign w:val="center"/>
          </w:tcPr>
          <w:p w14:paraId="2FFB4670">
            <w:pPr>
              <w:spacing w:line="360" w:lineRule="auto"/>
              <w:jc w:val="center"/>
              <w:rPr>
                <w:rFonts w:ascii="宋体" w:hAnsi="宋体" w:eastAsia="宋体" w:cs="Courier New"/>
                <w:sz w:val="24"/>
                <w:szCs w:val="21"/>
                <w:highlight w:val="none"/>
              </w:rPr>
            </w:pPr>
          </w:p>
        </w:tc>
        <w:tc>
          <w:tcPr>
            <w:tcW w:w="978" w:type="dxa"/>
            <w:vMerge w:val="restart"/>
            <w:tcBorders>
              <w:top w:val="nil"/>
              <w:left w:val="nil"/>
              <w:right w:val="single" w:color="auto" w:sz="4" w:space="0"/>
            </w:tcBorders>
            <w:vAlign w:val="center"/>
          </w:tcPr>
          <w:p w14:paraId="1E7408F2">
            <w:pPr>
              <w:spacing w:line="360" w:lineRule="auto"/>
              <w:rPr>
                <w:rFonts w:ascii="宋体" w:hAnsi="宋体" w:eastAsia="宋体" w:cs="Courier New"/>
                <w:sz w:val="24"/>
                <w:szCs w:val="21"/>
                <w:highlight w:val="none"/>
              </w:rPr>
            </w:pPr>
            <w:r>
              <w:rPr>
                <w:rFonts w:hint="eastAsia" w:ascii="宋体" w:hAnsi="宋体" w:eastAsia="宋体" w:cs="Courier New"/>
                <w:sz w:val="24"/>
                <w:szCs w:val="21"/>
                <w:highlight w:val="none"/>
              </w:rPr>
              <w:t>资格</w:t>
            </w:r>
          </w:p>
          <w:p w14:paraId="20C3A70A">
            <w:pPr>
              <w:spacing w:line="360" w:lineRule="auto"/>
              <w:rPr>
                <w:rFonts w:ascii="宋体" w:hAnsi="宋体" w:eastAsia="宋体" w:cs="Courier New"/>
                <w:sz w:val="24"/>
                <w:szCs w:val="21"/>
                <w:highlight w:val="none"/>
              </w:rPr>
            </w:pPr>
            <w:r>
              <w:rPr>
                <w:rFonts w:hint="eastAsia" w:ascii="宋体" w:hAnsi="宋体" w:eastAsia="宋体" w:cs="Courier New"/>
                <w:sz w:val="24"/>
                <w:szCs w:val="21"/>
                <w:highlight w:val="none"/>
              </w:rPr>
              <w:t>评审</w:t>
            </w:r>
          </w:p>
          <w:p w14:paraId="0D5DD40B">
            <w:pPr>
              <w:spacing w:line="360" w:lineRule="auto"/>
              <w:rPr>
                <w:rFonts w:ascii="宋体" w:hAnsi="宋体" w:eastAsia="宋体" w:cs="Times New Roman"/>
                <w:sz w:val="24"/>
                <w:szCs w:val="21"/>
                <w:highlight w:val="none"/>
              </w:rPr>
            </w:pPr>
            <w:r>
              <w:rPr>
                <w:rFonts w:hint="eastAsia" w:ascii="宋体" w:hAnsi="宋体" w:eastAsia="宋体" w:cs="Times New Roman"/>
                <w:sz w:val="24"/>
                <w:szCs w:val="21"/>
                <w:highlight w:val="none"/>
              </w:rPr>
              <w:t>标准</w:t>
            </w:r>
          </w:p>
        </w:tc>
        <w:tc>
          <w:tcPr>
            <w:tcW w:w="2528" w:type="dxa"/>
            <w:tcBorders>
              <w:top w:val="single" w:color="auto" w:sz="4" w:space="0"/>
              <w:left w:val="nil"/>
              <w:bottom w:val="single" w:color="auto" w:sz="4" w:space="0"/>
              <w:right w:val="single" w:color="auto" w:sz="4" w:space="0"/>
            </w:tcBorders>
            <w:vAlign w:val="center"/>
          </w:tcPr>
          <w:p w14:paraId="1BA1C3B3">
            <w:pPr>
              <w:spacing w:line="380" w:lineRule="exact"/>
              <w:jc w:val="left"/>
              <w:rPr>
                <w:rFonts w:hint="eastAsia" w:ascii="宋体" w:hAnsi="宋体" w:eastAsia="宋体" w:cs="Times New Roman"/>
                <w:sz w:val="24"/>
                <w:szCs w:val="21"/>
                <w:highlight w:val="none"/>
                <w:lang w:eastAsia="zh-CN"/>
              </w:rPr>
            </w:pPr>
            <w:r>
              <w:rPr>
                <w:rFonts w:hint="eastAsia" w:ascii="宋体" w:hAnsi="宋体" w:eastAsia="宋体" w:cs="宋体"/>
                <w:sz w:val="24"/>
                <w:szCs w:val="24"/>
                <w:highlight w:val="none"/>
              </w:rPr>
              <w:t>第二十二条</w:t>
            </w:r>
            <w:r>
              <w:rPr>
                <w:rFonts w:hint="eastAsia" w:ascii="宋体" w:hAnsi="宋体" w:eastAsia="宋体" w:cs="宋体"/>
                <w:sz w:val="24"/>
                <w:szCs w:val="24"/>
                <w:highlight w:val="none"/>
                <w:lang w:eastAsia="zh-CN"/>
              </w:rPr>
              <w:t>承诺</w:t>
            </w:r>
          </w:p>
        </w:tc>
        <w:tc>
          <w:tcPr>
            <w:tcW w:w="5351" w:type="dxa"/>
            <w:tcBorders>
              <w:top w:val="single" w:color="auto" w:sz="4" w:space="0"/>
              <w:left w:val="nil"/>
              <w:bottom w:val="single" w:color="auto" w:sz="4" w:space="0"/>
              <w:right w:val="single" w:color="auto" w:sz="4" w:space="0"/>
            </w:tcBorders>
            <w:vAlign w:val="center"/>
          </w:tcPr>
          <w:p w14:paraId="04411D14">
            <w:pPr>
              <w:adjustRightInd w:val="0"/>
              <w:spacing w:line="360" w:lineRule="auto"/>
              <w:jc w:val="left"/>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满足《中华人民共和国政府采购法》第二十二条规定</w:t>
            </w:r>
          </w:p>
        </w:tc>
      </w:tr>
      <w:tr w14:paraId="0DB5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521" w:type="dxa"/>
            <w:vMerge w:val="continue"/>
            <w:tcBorders>
              <w:left w:val="single" w:color="auto" w:sz="4" w:space="0"/>
              <w:right w:val="single" w:color="auto" w:sz="4" w:space="0"/>
            </w:tcBorders>
            <w:vAlign w:val="center"/>
          </w:tcPr>
          <w:p w14:paraId="3C93FD97">
            <w:pPr>
              <w:spacing w:line="360" w:lineRule="auto"/>
              <w:jc w:val="center"/>
              <w:rPr>
                <w:rFonts w:ascii="宋体" w:hAnsi="宋体" w:eastAsia="宋体" w:cs="Courier New"/>
                <w:sz w:val="24"/>
                <w:szCs w:val="21"/>
                <w:highlight w:val="none"/>
              </w:rPr>
            </w:pPr>
          </w:p>
        </w:tc>
        <w:tc>
          <w:tcPr>
            <w:tcW w:w="978" w:type="dxa"/>
            <w:vMerge w:val="continue"/>
            <w:tcBorders>
              <w:left w:val="nil"/>
              <w:right w:val="single" w:color="auto" w:sz="4" w:space="0"/>
            </w:tcBorders>
            <w:vAlign w:val="center"/>
          </w:tcPr>
          <w:p w14:paraId="5DF6A9CF">
            <w:pPr>
              <w:spacing w:line="360" w:lineRule="auto"/>
              <w:rPr>
                <w:rFonts w:ascii="宋体" w:hAnsi="宋体" w:eastAsia="宋体" w:cs="Times New Roman"/>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5ADD4FE0">
            <w:pPr>
              <w:spacing w:line="380" w:lineRule="exact"/>
              <w:jc w:val="left"/>
              <w:rPr>
                <w:rFonts w:ascii="宋体" w:hAnsi="宋体" w:eastAsia="宋体" w:cs="Times New Roman"/>
                <w:sz w:val="24"/>
                <w:szCs w:val="21"/>
                <w:highlight w:val="none"/>
              </w:rPr>
            </w:pPr>
            <w:r>
              <w:rPr>
                <w:rFonts w:hint="eastAsia" w:ascii="宋体" w:hAnsi="宋体" w:eastAsia="宋体" w:cs="Times New Roman"/>
                <w:sz w:val="24"/>
                <w:szCs w:val="21"/>
                <w:highlight w:val="none"/>
              </w:rPr>
              <w:t>营业执照</w:t>
            </w:r>
          </w:p>
        </w:tc>
        <w:tc>
          <w:tcPr>
            <w:tcW w:w="5351" w:type="dxa"/>
            <w:tcBorders>
              <w:top w:val="single" w:color="auto" w:sz="4" w:space="0"/>
              <w:left w:val="nil"/>
              <w:bottom w:val="single" w:color="auto" w:sz="4" w:space="0"/>
              <w:right w:val="single" w:color="auto" w:sz="4" w:space="0"/>
            </w:tcBorders>
            <w:vAlign w:val="center"/>
          </w:tcPr>
          <w:p w14:paraId="774E30DE">
            <w:pPr>
              <w:adjustRightInd w:val="0"/>
              <w:spacing w:line="360" w:lineRule="auto"/>
              <w:jc w:val="left"/>
              <w:textAlignment w:val="baseline"/>
              <w:rPr>
                <w:rFonts w:ascii="宋体" w:hAnsi="宋体" w:eastAsia="宋体" w:cs="宋体"/>
                <w:sz w:val="24"/>
                <w:szCs w:val="21"/>
                <w:highlight w:val="none"/>
              </w:rPr>
            </w:pPr>
            <w:r>
              <w:rPr>
                <w:rFonts w:hint="eastAsia" w:ascii="宋体" w:hAnsi="宋体" w:eastAsia="宋体" w:cs="宋体"/>
                <w:sz w:val="24"/>
                <w:szCs w:val="24"/>
                <w:highlight w:val="none"/>
              </w:rPr>
              <w:t>供应商具有有效的营业执照</w:t>
            </w:r>
          </w:p>
        </w:tc>
      </w:tr>
      <w:tr w14:paraId="0E5F4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521" w:type="dxa"/>
            <w:vMerge w:val="continue"/>
            <w:tcBorders>
              <w:left w:val="single" w:color="auto" w:sz="4" w:space="0"/>
              <w:right w:val="single" w:color="auto" w:sz="4" w:space="0"/>
            </w:tcBorders>
            <w:vAlign w:val="center"/>
          </w:tcPr>
          <w:p w14:paraId="6BCACA0C">
            <w:pPr>
              <w:spacing w:line="360" w:lineRule="auto"/>
              <w:jc w:val="center"/>
              <w:rPr>
                <w:rFonts w:ascii="宋体" w:hAnsi="宋体" w:eastAsia="宋体" w:cs="Courier New"/>
                <w:sz w:val="24"/>
                <w:szCs w:val="21"/>
                <w:highlight w:val="none"/>
              </w:rPr>
            </w:pPr>
          </w:p>
        </w:tc>
        <w:tc>
          <w:tcPr>
            <w:tcW w:w="978" w:type="dxa"/>
            <w:vMerge w:val="continue"/>
            <w:tcBorders>
              <w:left w:val="nil"/>
              <w:right w:val="single" w:color="auto" w:sz="4" w:space="0"/>
            </w:tcBorders>
            <w:vAlign w:val="center"/>
          </w:tcPr>
          <w:p w14:paraId="793ED5BC">
            <w:pPr>
              <w:spacing w:line="360" w:lineRule="auto"/>
              <w:rPr>
                <w:rFonts w:hint="eastAsia" w:ascii="宋体" w:hAnsi="宋体" w:eastAsia="宋体" w:cs="Times New Roman"/>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0C7212DF">
            <w:pPr>
              <w:spacing w:line="380" w:lineRule="exact"/>
              <w:jc w:val="left"/>
              <w:rPr>
                <w:rFonts w:hint="eastAsia" w:ascii="宋体" w:hAnsi="宋体" w:eastAsia="宋体" w:cs="Times New Roman"/>
                <w:sz w:val="24"/>
                <w:szCs w:val="21"/>
                <w:highlight w:val="none"/>
                <w:lang w:eastAsia="zh-CN"/>
              </w:rPr>
            </w:pPr>
            <w:r>
              <w:rPr>
                <w:rFonts w:hint="eastAsia" w:ascii="宋体" w:hAnsi="宋体" w:eastAsia="宋体" w:cs="Times New Roman"/>
                <w:sz w:val="24"/>
                <w:szCs w:val="21"/>
                <w:highlight w:val="none"/>
                <w:lang w:eastAsia="zh-CN"/>
              </w:rPr>
              <w:t>能力承诺书</w:t>
            </w:r>
          </w:p>
        </w:tc>
        <w:tc>
          <w:tcPr>
            <w:tcW w:w="5351" w:type="dxa"/>
            <w:tcBorders>
              <w:top w:val="single" w:color="auto" w:sz="4" w:space="0"/>
              <w:left w:val="nil"/>
              <w:bottom w:val="single" w:color="auto" w:sz="4" w:space="0"/>
              <w:right w:val="single" w:color="auto" w:sz="4" w:space="0"/>
            </w:tcBorders>
            <w:vAlign w:val="center"/>
          </w:tcPr>
          <w:p w14:paraId="5C3CB50D">
            <w:pPr>
              <w:adjustRightInd w:val="0"/>
              <w:spacing w:line="360" w:lineRule="auto"/>
              <w:jc w:val="left"/>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lang w:val="zh-CN"/>
              </w:rPr>
              <w:t>供应商须在人员、</w:t>
            </w:r>
            <w:r>
              <w:rPr>
                <w:rFonts w:hint="eastAsia" w:ascii="宋体" w:hAnsi="宋体" w:eastAsia="宋体" w:cs="宋体"/>
                <w:sz w:val="24"/>
                <w:szCs w:val="24"/>
                <w:highlight w:val="none"/>
                <w:lang w:val="zh-CN" w:eastAsia="zh-CN"/>
              </w:rPr>
              <w:t>设备及</w:t>
            </w:r>
            <w:r>
              <w:rPr>
                <w:rFonts w:hint="eastAsia" w:ascii="宋体" w:hAnsi="宋体" w:eastAsia="宋体" w:cs="宋体"/>
                <w:sz w:val="24"/>
                <w:szCs w:val="24"/>
                <w:highlight w:val="none"/>
                <w:lang w:val="zh-CN"/>
              </w:rPr>
              <w:t>资金等方面具有相应的施工能力</w:t>
            </w:r>
            <w:r>
              <w:rPr>
                <w:rFonts w:hint="eastAsia" w:ascii="宋体" w:hAnsi="宋体" w:eastAsia="宋体" w:cs="宋体"/>
                <w:sz w:val="24"/>
                <w:szCs w:val="24"/>
                <w:highlight w:val="none"/>
                <w:lang w:val="zh-CN" w:eastAsia="zh-CN"/>
              </w:rPr>
              <w:t>，并自行承诺</w:t>
            </w:r>
          </w:p>
        </w:tc>
      </w:tr>
      <w:tr w14:paraId="0F636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jc w:val="center"/>
        </w:trPr>
        <w:tc>
          <w:tcPr>
            <w:tcW w:w="521" w:type="dxa"/>
            <w:vMerge w:val="continue"/>
            <w:tcBorders>
              <w:left w:val="single" w:color="auto" w:sz="4" w:space="0"/>
              <w:right w:val="single" w:color="auto" w:sz="4" w:space="0"/>
            </w:tcBorders>
            <w:vAlign w:val="center"/>
          </w:tcPr>
          <w:p w14:paraId="779B21CC">
            <w:pPr>
              <w:spacing w:line="360" w:lineRule="auto"/>
              <w:jc w:val="center"/>
              <w:rPr>
                <w:rFonts w:ascii="宋体" w:hAnsi="宋体" w:eastAsia="宋体" w:cs="Courier New"/>
                <w:sz w:val="24"/>
                <w:szCs w:val="21"/>
                <w:highlight w:val="none"/>
              </w:rPr>
            </w:pPr>
          </w:p>
        </w:tc>
        <w:tc>
          <w:tcPr>
            <w:tcW w:w="978" w:type="dxa"/>
            <w:vMerge w:val="continue"/>
            <w:tcBorders>
              <w:left w:val="nil"/>
              <w:right w:val="single" w:color="auto" w:sz="4" w:space="0"/>
            </w:tcBorders>
            <w:vAlign w:val="center"/>
          </w:tcPr>
          <w:p w14:paraId="62E0AD08">
            <w:pPr>
              <w:widowControl/>
              <w:jc w:val="left"/>
              <w:rPr>
                <w:rFonts w:ascii="宋体" w:hAnsi="宋体" w:eastAsia="宋体" w:cs="Times New Roman"/>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605AFF5E">
            <w:pPr>
              <w:spacing w:line="266" w:lineRule="auto"/>
              <w:rPr>
                <w:rFonts w:ascii="宋体" w:hAnsi="宋体" w:eastAsia="宋体" w:cs="Courier New"/>
                <w:sz w:val="24"/>
                <w:szCs w:val="21"/>
                <w:highlight w:val="none"/>
              </w:rPr>
            </w:pPr>
            <w:r>
              <w:rPr>
                <w:rFonts w:ascii="宋体" w:hAnsi="宋体" w:eastAsia="宋体" w:cs="Courier New"/>
                <w:sz w:val="24"/>
                <w:szCs w:val="21"/>
                <w:highlight w:val="none"/>
              </w:rPr>
              <w:t>无行贿查询结果或承诺</w:t>
            </w:r>
          </w:p>
        </w:tc>
        <w:tc>
          <w:tcPr>
            <w:tcW w:w="5351" w:type="dxa"/>
            <w:tcBorders>
              <w:top w:val="single" w:color="auto" w:sz="4" w:space="0"/>
              <w:left w:val="nil"/>
              <w:bottom w:val="single" w:color="auto" w:sz="4" w:space="0"/>
              <w:right w:val="single" w:color="auto" w:sz="4" w:space="0"/>
            </w:tcBorders>
            <w:vAlign w:val="center"/>
          </w:tcPr>
          <w:p w14:paraId="1E03B5D5">
            <w:pPr>
              <w:adjustRightInd w:val="0"/>
              <w:spacing w:line="360" w:lineRule="auto"/>
              <w:jc w:val="left"/>
              <w:textAlignment w:val="baseline"/>
              <w:rPr>
                <w:rFonts w:ascii="宋体" w:hAnsi="宋体" w:eastAsia="宋体" w:cs="宋体"/>
                <w:sz w:val="24"/>
                <w:szCs w:val="21"/>
                <w:highlight w:val="none"/>
              </w:rPr>
            </w:pPr>
            <w:r>
              <w:rPr>
                <w:rFonts w:hint="eastAsia" w:ascii="宋体" w:hAnsi="宋体" w:eastAsia="宋体" w:cs="宋体"/>
                <w:sz w:val="24"/>
                <w:szCs w:val="24"/>
                <w:highlight w:val="none"/>
              </w:rPr>
              <w:t>供应商出具无行贿犯罪记录，在中国裁判文书网自行查询或自行承诺（查询对象：企业、法定代表人）；</w:t>
            </w:r>
          </w:p>
        </w:tc>
      </w:tr>
      <w:tr w14:paraId="7A026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21" w:type="dxa"/>
            <w:vMerge w:val="continue"/>
            <w:tcBorders>
              <w:left w:val="single" w:color="auto" w:sz="4" w:space="0"/>
              <w:right w:val="single" w:color="auto" w:sz="4" w:space="0"/>
            </w:tcBorders>
            <w:vAlign w:val="center"/>
          </w:tcPr>
          <w:p w14:paraId="73D115AD">
            <w:pPr>
              <w:spacing w:line="360" w:lineRule="auto"/>
              <w:jc w:val="center"/>
              <w:rPr>
                <w:rFonts w:ascii="宋体" w:hAnsi="宋体" w:eastAsia="宋体" w:cs="Courier New"/>
                <w:sz w:val="24"/>
                <w:szCs w:val="21"/>
                <w:highlight w:val="none"/>
              </w:rPr>
            </w:pPr>
          </w:p>
        </w:tc>
        <w:tc>
          <w:tcPr>
            <w:tcW w:w="978" w:type="dxa"/>
            <w:vMerge w:val="continue"/>
            <w:tcBorders>
              <w:left w:val="nil"/>
              <w:right w:val="single" w:color="auto" w:sz="4" w:space="0"/>
            </w:tcBorders>
            <w:vAlign w:val="center"/>
          </w:tcPr>
          <w:p w14:paraId="373970D4">
            <w:pPr>
              <w:widowControl/>
              <w:jc w:val="left"/>
              <w:rPr>
                <w:rFonts w:ascii="宋体" w:hAnsi="宋体" w:eastAsia="宋体" w:cs="Times New Roman"/>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31AA4CE8">
            <w:pPr>
              <w:spacing w:line="266" w:lineRule="auto"/>
              <w:rPr>
                <w:rFonts w:ascii="宋体" w:hAnsi="宋体" w:eastAsia="宋体" w:cs="Courier New"/>
                <w:sz w:val="24"/>
                <w:szCs w:val="21"/>
                <w:highlight w:val="none"/>
              </w:rPr>
            </w:pPr>
            <w:r>
              <w:rPr>
                <w:rFonts w:hint="eastAsia" w:ascii="宋体" w:hAnsi="宋体" w:eastAsia="宋体" w:cs="Courier New"/>
                <w:sz w:val="24"/>
                <w:szCs w:val="21"/>
                <w:highlight w:val="none"/>
              </w:rPr>
              <w:t>无商业贿赂及无不正当竞争行为承诺书</w:t>
            </w:r>
          </w:p>
        </w:tc>
        <w:tc>
          <w:tcPr>
            <w:tcW w:w="5351" w:type="dxa"/>
            <w:tcBorders>
              <w:top w:val="single" w:color="auto" w:sz="4" w:space="0"/>
              <w:left w:val="nil"/>
              <w:bottom w:val="single" w:color="auto" w:sz="4" w:space="0"/>
              <w:right w:val="single" w:color="auto" w:sz="4" w:space="0"/>
            </w:tcBorders>
            <w:vAlign w:val="center"/>
          </w:tcPr>
          <w:p w14:paraId="6D553C97">
            <w:pPr>
              <w:adjustRightInd w:val="0"/>
              <w:spacing w:line="360" w:lineRule="auto"/>
              <w:jc w:val="left"/>
              <w:textAlignment w:val="baseline"/>
              <w:rPr>
                <w:rFonts w:ascii="宋体" w:hAnsi="宋体" w:eastAsia="宋体" w:cs="宋体"/>
                <w:sz w:val="24"/>
                <w:szCs w:val="21"/>
                <w:highlight w:val="none"/>
              </w:rPr>
            </w:pPr>
            <w:r>
              <w:rPr>
                <w:rFonts w:hint="eastAsia" w:ascii="宋体" w:hAnsi="宋体" w:eastAsia="宋体" w:cs="宋体"/>
                <w:sz w:val="24"/>
                <w:szCs w:val="24"/>
                <w:highlight w:val="none"/>
              </w:rPr>
              <w:t>供应商需提供无商业贿赂及无不正当竞争行为的承诺书；</w:t>
            </w:r>
          </w:p>
        </w:tc>
      </w:tr>
      <w:tr w14:paraId="6613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21" w:type="dxa"/>
            <w:vMerge w:val="continue"/>
            <w:tcBorders>
              <w:left w:val="single" w:color="auto" w:sz="4" w:space="0"/>
              <w:right w:val="single" w:color="auto" w:sz="4" w:space="0"/>
            </w:tcBorders>
            <w:vAlign w:val="center"/>
          </w:tcPr>
          <w:p w14:paraId="48DCB8AE">
            <w:pPr>
              <w:spacing w:line="360" w:lineRule="auto"/>
              <w:jc w:val="center"/>
              <w:rPr>
                <w:rFonts w:ascii="宋体" w:hAnsi="宋体" w:eastAsia="宋体" w:cs="Courier New"/>
                <w:sz w:val="24"/>
                <w:szCs w:val="21"/>
                <w:highlight w:val="none"/>
              </w:rPr>
            </w:pPr>
          </w:p>
        </w:tc>
        <w:tc>
          <w:tcPr>
            <w:tcW w:w="978" w:type="dxa"/>
            <w:vMerge w:val="continue"/>
            <w:tcBorders>
              <w:left w:val="nil"/>
              <w:right w:val="single" w:color="auto" w:sz="4" w:space="0"/>
            </w:tcBorders>
            <w:vAlign w:val="center"/>
          </w:tcPr>
          <w:p w14:paraId="56A5CCD7">
            <w:pPr>
              <w:widowControl/>
              <w:jc w:val="left"/>
              <w:rPr>
                <w:rFonts w:ascii="宋体" w:hAnsi="宋体" w:eastAsia="宋体" w:cs="Times New Roman"/>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31B047F2">
            <w:pPr>
              <w:spacing w:line="266" w:lineRule="auto"/>
              <w:rPr>
                <w:rFonts w:ascii="宋体" w:hAnsi="宋体" w:eastAsia="宋体" w:cs="Courier New"/>
                <w:sz w:val="24"/>
                <w:szCs w:val="21"/>
                <w:highlight w:val="none"/>
              </w:rPr>
            </w:pPr>
            <w:r>
              <w:rPr>
                <w:rFonts w:hint="eastAsia" w:ascii="宋体" w:hAnsi="宋体" w:eastAsia="宋体" w:cs="Courier New"/>
                <w:sz w:val="24"/>
                <w:szCs w:val="21"/>
                <w:highlight w:val="none"/>
              </w:rPr>
              <w:t>“信用中国”、“中国政府采购网”查询结果</w:t>
            </w:r>
          </w:p>
        </w:tc>
        <w:tc>
          <w:tcPr>
            <w:tcW w:w="5351" w:type="dxa"/>
            <w:tcBorders>
              <w:top w:val="single" w:color="auto" w:sz="4" w:space="0"/>
              <w:left w:val="nil"/>
              <w:bottom w:val="single" w:color="auto" w:sz="4" w:space="0"/>
              <w:right w:val="single" w:color="auto" w:sz="4" w:space="0"/>
            </w:tcBorders>
            <w:vAlign w:val="center"/>
          </w:tcPr>
          <w:p w14:paraId="52C4E1B6">
            <w:pPr>
              <w:adjustRightInd w:val="0"/>
              <w:spacing w:line="360" w:lineRule="auto"/>
              <w:jc w:val="left"/>
              <w:textAlignment w:val="baseline"/>
              <w:rPr>
                <w:rFonts w:ascii="宋体" w:hAnsi="宋体" w:eastAsia="宋体" w:cs="宋体"/>
                <w:sz w:val="24"/>
                <w:szCs w:val="21"/>
                <w:highlight w:val="none"/>
              </w:rPr>
            </w:pPr>
            <w:r>
              <w:rPr>
                <w:rFonts w:hint="eastAsia" w:ascii="宋体" w:hAnsi="宋体" w:eastAsia="宋体" w:cs="宋体"/>
                <w:sz w:val="24"/>
                <w:szCs w:val="24"/>
                <w:highlight w:val="none"/>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截图需显示查询时间，查询时间：自公告发布之日起至投标截止时间前）；</w:t>
            </w:r>
          </w:p>
        </w:tc>
      </w:tr>
      <w:tr w14:paraId="44D3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21" w:type="dxa"/>
            <w:vMerge w:val="continue"/>
            <w:tcBorders>
              <w:left w:val="single" w:color="auto" w:sz="4" w:space="0"/>
              <w:right w:val="single" w:color="auto" w:sz="4" w:space="0"/>
            </w:tcBorders>
            <w:vAlign w:val="center"/>
          </w:tcPr>
          <w:p w14:paraId="2169E7B0">
            <w:pPr>
              <w:spacing w:line="360" w:lineRule="auto"/>
              <w:jc w:val="center"/>
              <w:rPr>
                <w:rFonts w:ascii="宋体" w:hAnsi="宋体" w:eastAsia="宋体" w:cs="Courier New"/>
                <w:sz w:val="24"/>
                <w:szCs w:val="21"/>
                <w:highlight w:val="none"/>
              </w:rPr>
            </w:pPr>
          </w:p>
        </w:tc>
        <w:tc>
          <w:tcPr>
            <w:tcW w:w="978" w:type="dxa"/>
            <w:vMerge w:val="continue"/>
            <w:tcBorders>
              <w:left w:val="nil"/>
              <w:right w:val="single" w:color="auto" w:sz="4" w:space="0"/>
            </w:tcBorders>
            <w:vAlign w:val="center"/>
          </w:tcPr>
          <w:p w14:paraId="76EA1C4E">
            <w:pPr>
              <w:widowControl/>
              <w:jc w:val="left"/>
              <w:rPr>
                <w:rFonts w:ascii="宋体" w:hAnsi="宋体" w:eastAsia="宋体" w:cs="Times New Roman"/>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0E4CE695">
            <w:pPr>
              <w:spacing w:line="266" w:lineRule="auto"/>
              <w:rPr>
                <w:rFonts w:ascii="宋体" w:hAnsi="宋体" w:eastAsia="宋体" w:cs="Courier New"/>
                <w:sz w:val="24"/>
                <w:szCs w:val="21"/>
                <w:highlight w:val="none"/>
              </w:rPr>
            </w:pPr>
            <w:r>
              <w:rPr>
                <w:rFonts w:hint="eastAsia" w:ascii="宋体" w:hAnsi="宋体" w:eastAsia="宋体" w:cs="Courier New"/>
                <w:sz w:val="24"/>
                <w:szCs w:val="21"/>
                <w:highlight w:val="none"/>
              </w:rPr>
              <w:t>“国家企业信用信息公示系统”查询结果</w:t>
            </w:r>
          </w:p>
        </w:tc>
        <w:tc>
          <w:tcPr>
            <w:tcW w:w="5351" w:type="dxa"/>
            <w:tcBorders>
              <w:top w:val="single" w:color="auto" w:sz="4" w:space="0"/>
              <w:left w:val="nil"/>
              <w:bottom w:val="single" w:color="auto" w:sz="4" w:space="0"/>
              <w:right w:val="single" w:color="auto" w:sz="4" w:space="0"/>
            </w:tcBorders>
            <w:vAlign w:val="center"/>
          </w:tcPr>
          <w:p w14:paraId="37369A8D">
            <w:pPr>
              <w:adjustRightInd w:val="0"/>
              <w:spacing w:line="360" w:lineRule="auto"/>
              <w:jc w:val="left"/>
              <w:textAlignment w:val="baseline"/>
              <w:rPr>
                <w:rFonts w:ascii="宋体" w:hAnsi="宋体" w:eastAsia="宋体" w:cs="宋体"/>
                <w:sz w:val="24"/>
                <w:szCs w:val="21"/>
                <w:highlight w:val="none"/>
              </w:rPr>
            </w:pPr>
            <w:r>
              <w:rPr>
                <w:rFonts w:hint="eastAsia" w:ascii="宋体" w:hAnsi="宋体" w:eastAsia="宋体" w:cs="宋体"/>
                <w:sz w:val="24"/>
                <w:szCs w:val="24"/>
                <w:highlight w:val="none"/>
              </w:rPr>
              <w:t>单位负责人为同一人或者存在直接控股、管理关系的不同投标人，不得参加同一合同项下的采购活动；（提供“国家企业信用信息公示系统”中查询打印的相关信息（查询信息需包含公司基本信息、股东信息及股权变更信息等相关信息，查询日期为本项目公告发布之后至开标截止时间止）；</w:t>
            </w:r>
          </w:p>
        </w:tc>
      </w:tr>
      <w:tr w14:paraId="1FF1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521" w:type="dxa"/>
            <w:vMerge w:val="continue"/>
            <w:tcBorders>
              <w:left w:val="single" w:color="auto" w:sz="4" w:space="0"/>
              <w:right w:val="single" w:color="auto" w:sz="4" w:space="0"/>
            </w:tcBorders>
            <w:vAlign w:val="center"/>
          </w:tcPr>
          <w:p w14:paraId="4CDAB52B">
            <w:pPr>
              <w:spacing w:line="360" w:lineRule="auto"/>
              <w:jc w:val="center"/>
              <w:rPr>
                <w:rFonts w:ascii="宋体" w:hAnsi="宋体" w:eastAsia="宋体" w:cs="Courier New"/>
                <w:sz w:val="24"/>
                <w:szCs w:val="21"/>
                <w:highlight w:val="none"/>
              </w:rPr>
            </w:pPr>
          </w:p>
        </w:tc>
        <w:tc>
          <w:tcPr>
            <w:tcW w:w="978" w:type="dxa"/>
            <w:vMerge w:val="continue"/>
            <w:tcBorders>
              <w:left w:val="nil"/>
              <w:bottom w:val="single" w:color="auto" w:sz="4" w:space="0"/>
              <w:right w:val="single" w:color="auto" w:sz="4" w:space="0"/>
            </w:tcBorders>
            <w:vAlign w:val="center"/>
          </w:tcPr>
          <w:p w14:paraId="470A1D7A">
            <w:pPr>
              <w:widowControl/>
              <w:jc w:val="left"/>
              <w:rPr>
                <w:rFonts w:ascii="宋体" w:hAnsi="宋体" w:eastAsia="宋体" w:cs="Times New Roman"/>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0DC79E29">
            <w:pPr>
              <w:spacing w:line="266" w:lineRule="auto"/>
              <w:jc w:val="center"/>
              <w:rPr>
                <w:rFonts w:hint="default" w:ascii="宋体" w:hAnsi="宋体" w:eastAsia="宋体" w:cs="Courier New"/>
                <w:sz w:val="24"/>
                <w:szCs w:val="21"/>
                <w:highlight w:val="none"/>
                <w:lang w:val="en-US" w:eastAsia="zh-CN"/>
              </w:rPr>
            </w:pPr>
            <w:r>
              <w:rPr>
                <w:rFonts w:hint="eastAsia" w:ascii="宋体" w:hAnsi="宋体" w:eastAsia="宋体" w:cs="Courier New"/>
                <w:sz w:val="24"/>
                <w:szCs w:val="21"/>
                <w:highlight w:val="none"/>
                <w:lang w:val="en-US" w:eastAsia="zh-CN"/>
              </w:rPr>
              <w:t>非联合体投标</w:t>
            </w:r>
          </w:p>
        </w:tc>
        <w:tc>
          <w:tcPr>
            <w:tcW w:w="5351" w:type="dxa"/>
            <w:tcBorders>
              <w:top w:val="single" w:color="auto" w:sz="4" w:space="0"/>
              <w:left w:val="nil"/>
              <w:bottom w:val="single" w:color="auto" w:sz="4" w:space="0"/>
              <w:right w:val="single" w:color="auto" w:sz="4" w:space="0"/>
            </w:tcBorders>
            <w:vAlign w:val="center"/>
          </w:tcPr>
          <w:p w14:paraId="19413790">
            <w:pPr>
              <w:adjustRightInd w:val="0"/>
              <w:spacing w:line="360" w:lineRule="auto"/>
              <w:jc w:val="left"/>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本项目不接受联合体投标，提供非联合体投标承诺，格式自拟。</w:t>
            </w:r>
          </w:p>
        </w:tc>
      </w:tr>
      <w:tr w14:paraId="52197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21" w:type="dxa"/>
            <w:vMerge w:val="continue"/>
            <w:tcBorders>
              <w:left w:val="single" w:color="auto" w:sz="4" w:space="0"/>
              <w:right w:val="single" w:color="auto" w:sz="4" w:space="0"/>
            </w:tcBorders>
            <w:vAlign w:val="center"/>
          </w:tcPr>
          <w:p w14:paraId="64BABDF5">
            <w:pPr>
              <w:spacing w:line="360" w:lineRule="auto"/>
              <w:jc w:val="center"/>
              <w:rPr>
                <w:rFonts w:ascii="宋体" w:hAnsi="宋体" w:eastAsia="宋体" w:cs="Courier New"/>
                <w:sz w:val="24"/>
                <w:szCs w:val="21"/>
                <w:highlight w:val="none"/>
              </w:rPr>
            </w:pPr>
          </w:p>
        </w:tc>
        <w:tc>
          <w:tcPr>
            <w:tcW w:w="978" w:type="dxa"/>
            <w:vMerge w:val="restart"/>
            <w:tcBorders>
              <w:top w:val="nil"/>
              <w:left w:val="nil"/>
              <w:bottom w:val="single" w:color="auto" w:sz="4" w:space="0"/>
              <w:right w:val="single" w:color="auto" w:sz="4" w:space="0"/>
            </w:tcBorders>
            <w:vAlign w:val="center"/>
          </w:tcPr>
          <w:p w14:paraId="7B8CED02">
            <w:pPr>
              <w:spacing w:line="360" w:lineRule="auto"/>
              <w:jc w:val="center"/>
              <w:rPr>
                <w:rFonts w:ascii="宋体" w:hAnsi="宋体" w:eastAsia="宋体" w:cs="Courier New"/>
                <w:sz w:val="24"/>
                <w:szCs w:val="21"/>
                <w:highlight w:val="none"/>
              </w:rPr>
            </w:pPr>
            <w:r>
              <w:rPr>
                <w:rFonts w:hint="eastAsia" w:ascii="宋体" w:hAnsi="宋体" w:eastAsia="宋体" w:cs="Courier New"/>
                <w:sz w:val="24"/>
                <w:szCs w:val="21"/>
                <w:highlight w:val="none"/>
              </w:rPr>
              <w:t>响</w:t>
            </w:r>
          </w:p>
          <w:p w14:paraId="686D5598">
            <w:pPr>
              <w:spacing w:line="360" w:lineRule="auto"/>
              <w:jc w:val="center"/>
              <w:rPr>
                <w:rFonts w:ascii="宋体" w:hAnsi="宋体" w:eastAsia="宋体" w:cs="Courier New"/>
                <w:sz w:val="24"/>
                <w:szCs w:val="21"/>
                <w:highlight w:val="none"/>
              </w:rPr>
            </w:pPr>
            <w:r>
              <w:rPr>
                <w:rFonts w:hint="eastAsia" w:ascii="宋体" w:hAnsi="宋体" w:eastAsia="宋体" w:cs="Courier New"/>
                <w:sz w:val="24"/>
                <w:szCs w:val="21"/>
                <w:highlight w:val="none"/>
              </w:rPr>
              <w:t>应</w:t>
            </w:r>
          </w:p>
          <w:p w14:paraId="45798967">
            <w:pPr>
              <w:spacing w:line="360" w:lineRule="auto"/>
              <w:jc w:val="center"/>
              <w:rPr>
                <w:rFonts w:ascii="宋体" w:hAnsi="宋体" w:eastAsia="宋体" w:cs="Courier New"/>
                <w:sz w:val="24"/>
                <w:szCs w:val="21"/>
                <w:highlight w:val="none"/>
              </w:rPr>
            </w:pPr>
            <w:r>
              <w:rPr>
                <w:rFonts w:hint="eastAsia" w:ascii="宋体" w:hAnsi="宋体" w:eastAsia="宋体" w:cs="Courier New"/>
                <w:sz w:val="24"/>
                <w:szCs w:val="21"/>
                <w:highlight w:val="none"/>
              </w:rPr>
              <w:t>评</w:t>
            </w:r>
          </w:p>
          <w:p w14:paraId="6298FE72">
            <w:pPr>
              <w:spacing w:line="360" w:lineRule="auto"/>
              <w:jc w:val="center"/>
              <w:rPr>
                <w:rFonts w:ascii="宋体" w:hAnsi="宋体" w:eastAsia="宋体" w:cs="Courier New"/>
                <w:sz w:val="24"/>
                <w:szCs w:val="21"/>
                <w:highlight w:val="none"/>
              </w:rPr>
            </w:pPr>
            <w:r>
              <w:rPr>
                <w:rFonts w:hint="eastAsia" w:ascii="宋体" w:hAnsi="宋体" w:eastAsia="宋体" w:cs="Courier New"/>
                <w:sz w:val="24"/>
                <w:szCs w:val="21"/>
                <w:highlight w:val="none"/>
              </w:rPr>
              <w:t>审</w:t>
            </w:r>
          </w:p>
          <w:p w14:paraId="226646F0">
            <w:pPr>
              <w:spacing w:line="360" w:lineRule="auto"/>
              <w:jc w:val="center"/>
              <w:rPr>
                <w:rFonts w:ascii="宋体" w:hAnsi="宋体" w:eastAsia="宋体" w:cs="Courier New"/>
                <w:sz w:val="24"/>
                <w:szCs w:val="21"/>
                <w:highlight w:val="none"/>
              </w:rPr>
            </w:pPr>
            <w:r>
              <w:rPr>
                <w:rFonts w:hint="eastAsia" w:ascii="宋体" w:hAnsi="宋体" w:eastAsia="宋体" w:cs="Courier New"/>
                <w:sz w:val="24"/>
                <w:szCs w:val="21"/>
                <w:highlight w:val="none"/>
              </w:rPr>
              <w:t>标</w:t>
            </w:r>
          </w:p>
          <w:p w14:paraId="48BC31C4">
            <w:pPr>
              <w:spacing w:line="360" w:lineRule="auto"/>
              <w:jc w:val="center"/>
              <w:rPr>
                <w:rFonts w:ascii="宋体" w:hAnsi="宋体" w:eastAsia="宋体" w:cs="Courier New"/>
                <w:sz w:val="24"/>
                <w:szCs w:val="21"/>
                <w:highlight w:val="none"/>
              </w:rPr>
            </w:pPr>
            <w:r>
              <w:rPr>
                <w:rFonts w:hint="eastAsia" w:ascii="宋体" w:hAnsi="宋体" w:eastAsia="宋体" w:cs="Courier New"/>
                <w:sz w:val="24"/>
                <w:szCs w:val="21"/>
                <w:highlight w:val="none"/>
              </w:rPr>
              <w:t>准</w:t>
            </w:r>
          </w:p>
        </w:tc>
        <w:tc>
          <w:tcPr>
            <w:tcW w:w="2528" w:type="dxa"/>
            <w:tcBorders>
              <w:top w:val="single" w:color="auto" w:sz="4" w:space="0"/>
              <w:left w:val="nil"/>
              <w:bottom w:val="single" w:color="auto" w:sz="4" w:space="0"/>
              <w:right w:val="single" w:color="auto" w:sz="4" w:space="0"/>
            </w:tcBorders>
            <w:vAlign w:val="center"/>
          </w:tcPr>
          <w:p w14:paraId="76CDF81A">
            <w:pPr>
              <w:adjustRightInd w:val="0"/>
              <w:spacing w:line="360" w:lineRule="auto"/>
              <w:jc w:val="center"/>
              <w:textAlignment w:val="baseline"/>
              <w:rPr>
                <w:rFonts w:hint="eastAsia" w:ascii="宋体" w:hAnsi="宋体" w:eastAsia="宋体" w:cs="宋体"/>
                <w:color w:val="000000" w:themeColor="text1"/>
                <w:sz w:val="24"/>
                <w:szCs w:val="21"/>
                <w:highlight w:val="none"/>
                <w:lang w:eastAsia="zh-CN"/>
                <w14:textFill>
                  <w14:solidFill>
                    <w14:schemeClr w14:val="tx1"/>
                  </w14:solidFill>
                </w14:textFill>
              </w:rPr>
            </w:pPr>
            <w:r>
              <w:rPr>
                <w:rFonts w:hint="eastAsia" w:ascii="宋体" w:hAnsi="宋体" w:eastAsia="宋体" w:cs="宋体"/>
                <w:color w:val="000000" w:themeColor="text1"/>
                <w:sz w:val="24"/>
                <w:szCs w:val="21"/>
                <w:highlight w:val="none"/>
                <w:lang w:eastAsia="zh-CN"/>
                <w14:textFill>
                  <w14:solidFill>
                    <w14:schemeClr w14:val="tx1"/>
                  </w14:solidFill>
                </w14:textFill>
              </w:rPr>
              <w:t>交货期</w:t>
            </w:r>
          </w:p>
        </w:tc>
        <w:tc>
          <w:tcPr>
            <w:tcW w:w="5351" w:type="dxa"/>
            <w:tcBorders>
              <w:top w:val="single" w:color="auto" w:sz="4" w:space="0"/>
              <w:left w:val="nil"/>
              <w:bottom w:val="single" w:color="auto" w:sz="4" w:space="0"/>
              <w:right w:val="single" w:color="auto" w:sz="4" w:space="0"/>
            </w:tcBorders>
            <w:vAlign w:val="center"/>
          </w:tcPr>
          <w:p w14:paraId="56B3FDB9">
            <w:pPr>
              <w:adjustRightInd w:val="0"/>
              <w:spacing w:line="360" w:lineRule="auto"/>
              <w:jc w:val="left"/>
              <w:textAlignment w:val="baseline"/>
              <w:rPr>
                <w:rFonts w:ascii="宋体" w:hAnsi="宋体" w:eastAsia="宋体" w:cs="宋体"/>
                <w:color w:val="000000" w:themeColor="text1"/>
                <w:sz w:val="24"/>
                <w:szCs w:val="21"/>
                <w:highlight w:val="none"/>
                <w:lang w:val="zh-CN"/>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一年</w:t>
            </w:r>
            <w:r>
              <w:rPr>
                <w:rFonts w:hint="eastAsia" w:ascii="宋体" w:hAnsi="宋体" w:eastAsia="宋体" w:cs="宋体"/>
                <w:color w:val="000000" w:themeColor="text1"/>
                <w:sz w:val="24"/>
                <w:highlight w:val="none"/>
                <w14:textFill>
                  <w14:solidFill>
                    <w14:schemeClr w14:val="tx1"/>
                  </w14:solidFill>
                </w14:textFill>
              </w:rPr>
              <w:t xml:space="preserve"> </w:t>
            </w:r>
          </w:p>
        </w:tc>
      </w:tr>
      <w:tr w14:paraId="6BD0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21" w:type="dxa"/>
            <w:vMerge w:val="continue"/>
            <w:tcBorders>
              <w:left w:val="single" w:color="auto" w:sz="4" w:space="0"/>
              <w:right w:val="single" w:color="auto" w:sz="4" w:space="0"/>
            </w:tcBorders>
            <w:vAlign w:val="center"/>
          </w:tcPr>
          <w:p w14:paraId="368AAC1A">
            <w:pPr>
              <w:spacing w:line="360" w:lineRule="auto"/>
              <w:jc w:val="center"/>
              <w:rPr>
                <w:rFonts w:ascii="宋体" w:hAnsi="宋体" w:eastAsia="宋体" w:cs="Courier New"/>
                <w:sz w:val="24"/>
                <w:szCs w:val="21"/>
                <w:highlight w:val="none"/>
              </w:rPr>
            </w:pPr>
          </w:p>
        </w:tc>
        <w:tc>
          <w:tcPr>
            <w:tcW w:w="978" w:type="dxa"/>
            <w:vMerge w:val="continue"/>
            <w:tcBorders>
              <w:top w:val="nil"/>
              <w:left w:val="nil"/>
              <w:bottom w:val="single" w:color="auto" w:sz="4" w:space="0"/>
              <w:right w:val="single" w:color="auto" w:sz="4" w:space="0"/>
            </w:tcBorders>
            <w:vAlign w:val="center"/>
          </w:tcPr>
          <w:p w14:paraId="00F9300D">
            <w:pPr>
              <w:spacing w:line="360" w:lineRule="auto"/>
              <w:jc w:val="center"/>
              <w:rPr>
                <w:rFonts w:ascii="宋体" w:hAnsi="宋体" w:eastAsia="宋体" w:cs="Courier New"/>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72B50496">
            <w:pPr>
              <w:adjustRightInd w:val="0"/>
              <w:spacing w:line="360" w:lineRule="auto"/>
              <w:jc w:val="center"/>
              <w:textAlignment w:val="baseline"/>
              <w:rPr>
                <w:rFonts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质保期</w:t>
            </w:r>
          </w:p>
        </w:tc>
        <w:tc>
          <w:tcPr>
            <w:tcW w:w="5351" w:type="dxa"/>
            <w:tcBorders>
              <w:top w:val="single" w:color="auto" w:sz="4" w:space="0"/>
              <w:left w:val="nil"/>
              <w:bottom w:val="single" w:color="auto" w:sz="4" w:space="0"/>
              <w:right w:val="single" w:color="auto" w:sz="4" w:space="0"/>
            </w:tcBorders>
            <w:vAlign w:val="center"/>
          </w:tcPr>
          <w:p w14:paraId="257DF298">
            <w:pPr>
              <w:adjustRightInd w:val="0"/>
              <w:spacing w:line="360" w:lineRule="auto"/>
              <w:jc w:val="left"/>
              <w:textAlignment w:val="baseline"/>
              <w:rPr>
                <w:rFonts w:ascii="宋体" w:hAnsi="宋体" w:eastAsia="宋体" w:cs="宋体"/>
                <w:color w:val="000000" w:themeColor="text1"/>
                <w:sz w:val="24"/>
                <w:szCs w:val="21"/>
                <w:highlight w:val="none"/>
                <w:lang w:val="zh-CN"/>
                <w14:textFill>
                  <w14:solidFill>
                    <w14:schemeClr w14:val="tx1"/>
                  </w14:solidFill>
                </w14:textFill>
              </w:rPr>
            </w:pPr>
            <w:r>
              <w:rPr>
                <w:rFonts w:hint="eastAsia" w:ascii="宋体" w:hAnsi="宋体" w:eastAsia="宋体" w:cs="Calibri"/>
                <w:color w:val="000000" w:themeColor="text1"/>
                <w:sz w:val="24"/>
                <w:highlight w:val="none"/>
                <w14:textFill>
                  <w14:solidFill>
                    <w14:schemeClr w14:val="tx1"/>
                  </w14:solidFill>
                </w14:textFill>
              </w:rPr>
              <w:t>一年</w:t>
            </w:r>
          </w:p>
        </w:tc>
      </w:tr>
      <w:tr w14:paraId="57B1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521" w:type="dxa"/>
            <w:vMerge w:val="continue"/>
            <w:tcBorders>
              <w:left w:val="single" w:color="auto" w:sz="4" w:space="0"/>
              <w:right w:val="single" w:color="auto" w:sz="4" w:space="0"/>
            </w:tcBorders>
            <w:vAlign w:val="center"/>
          </w:tcPr>
          <w:p w14:paraId="37C76EE7">
            <w:pPr>
              <w:widowControl/>
              <w:jc w:val="left"/>
              <w:rPr>
                <w:rFonts w:ascii="宋体" w:hAnsi="宋体" w:eastAsia="宋体" w:cs="Courier New"/>
                <w:sz w:val="24"/>
                <w:szCs w:val="21"/>
                <w:highlight w:val="none"/>
              </w:rPr>
            </w:pPr>
          </w:p>
        </w:tc>
        <w:tc>
          <w:tcPr>
            <w:tcW w:w="978" w:type="dxa"/>
            <w:vMerge w:val="continue"/>
            <w:tcBorders>
              <w:top w:val="nil"/>
              <w:left w:val="nil"/>
              <w:bottom w:val="single" w:color="auto" w:sz="4" w:space="0"/>
              <w:right w:val="single" w:color="auto" w:sz="4" w:space="0"/>
            </w:tcBorders>
            <w:vAlign w:val="center"/>
          </w:tcPr>
          <w:p w14:paraId="78F65CAC">
            <w:pPr>
              <w:widowControl/>
              <w:jc w:val="left"/>
              <w:rPr>
                <w:rFonts w:ascii="宋体" w:hAnsi="宋体" w:eastAsia="宋体" w:cs="Courier New"/>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1E4E1AA3">
            <w:pPr>
              <w:adjustRightInd w:val="0"/>
              <w:spacing w:line="360" w:lineRule="auto"/>
              <w:jc w:val="center"/>
              <w:textAlignment w:val="baseline"/>
              <w:rPr>
                <w:rFonts w:ascii="宋体" w:hAnsi="宋体" w:eastAsia="宋体" w:cs="宋体"/>
                <w:sz w:val="24"/>
                <w:szCs w:val="21"/>
                <w:highlight w:val="none"/>
              </w:rPr>
            </w:pPr>
            <w:r>
              <w:rPr>
                <w:rFonts w:hint="eastAsia" w:ascii="宋体" w:hAnsi="宋体" w:eastAsia="宋体" w:cs="宋体"/>
                <w:sz w:val="24"/>
                <w:szCs w:val="21"/>
                <w:highlight w:val="none"/>
              </w:rPr>
              <w:t>质量要求</w:t>
            </w:r>
          </w:p>
        </w:tc>
        <w:tc>
          <w:tcPr>
            <w:tcW w:w="5351" w:type="dxa"/>
            <w:tcBorders>
              <w:top w:val="single" w:color="auto" w:sz="4" w:space="0"/>
              <w:left w:val="nil"/>
              <w:bottom w:val="single" w:color="auto" w:sz="4" w:space="0"/>
              <w:right w:val="single" w:color="auto" w:sz="4" w:space="0"/>
            </w:tcBorders>
            <w:vAlign w:val="center"/>
          </w:tcPr>
          <w:p w14:paraId="3560A546">
            <w:pPr>
              <w:adjustRightInd w:val="0"/>
              <w:spacing w:line="360" w:lineRule="auto"/>
              <w:jc w:val="left"/>
              <w:textAlignment w:val="baseline"/>
              <w:rPr>
                <w:rFonts w:ascii="宋体" w:hAnsi="宋体" w:eastAsia="宋体" w:cs="宋体"/>
                <w:sz w:val="24"/>
                <w:szCs w:val="21"/>
                <w:highlight w:val="none"/>
                <w:lang w:val="zh-CN"/>
              </w:rPr>
            </w:pPr>
            <w:r>
              <w:rPr>
                <w:rFonts w:hint="eastAsia" w:ascii="宋体" w:hAnsi="宋体" w:eastAsia="宋体" w:cs="宋体"/>
                <w:bCs/>
                <w:color w:val="000000"/>
                <w:sz w:val="24"/>
                <w:szCs w:val="28"/>
                <w:highlight w:val="none"/>
              </w:rPr>
              <w:t>符合国家及行业相关规定要求且符合采购人需求</w:t>
            </w:r>
            <w:r>
              <w:rPr>
                <w:rFonts w:hint="eastAsia" w:ascii="宋体" w:hAnsi="宋体" w:eastAsia="宋体" w:cs="宋体"/>
                <w:sz w:val="24"/>
                <w:szCs w:val="24"/>
                <w:highlight w:val="none"/>
              </w:rPr>
              <w:t>。</w:t>
            </w:r>
          </w:p>
        </w:tc>
      </w:tr>
      <w:tr w14:paraId="5780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21" w:type="dxa"/>
            <w:vMerge w:val="continue"/>
            <w:tcBorders>
              <w:left w:val="single" w:color="auto" w:sz="4" w:space="0"/>
              <w:right w:val="single" w:color="auto" w:sz="4" w:space="0"/>
            </w:tcBorders>
            <w:vAlign w:val="center"/>
          </w:tcPr>
          <w:p w14:paraId="4639FBBB">
            <w:pPr>
              <w:widowControl/>
              <w:jc w:val="left"/>
              <w:rPr>
                <w:rFonts w:ascii="宋体" w:hAnsi="宋体" w:eastAsia="宋体" w:cs="Courier New"/>
                <w:sz w:val="24"/>
                <w:szCs w:val="21"/>
                <w:highlight w:val="none"/>
              </w:rPr>
            </w:pPr>
          </w:p>
        </w:tc>
        <w:tc>
          <w:tcPr>
            <w:tcW w:w="978" w:type="dxa"/>
            <w:vMerge w:val="continue"/>
            <w:tcBorders>
              <w:top w:val="nil"/>
              <w:left w:val="nil"/>
              <w:bottom w:val="single" w:color="auto" w:sz="4" w:space="0"/>
              <w:right w:val="single" w:color="auto" w:sz="4" w:space="0"/>
            </w:tcBorders>
            <w:vAlign w:val="center"/>
          </w:tcPr>
          <w:p w14:paraId="397B1358">
            <w:pPr>
              <w:widowControl/>
              <w:jc w:val="left"/>
              <w:rPr>
                <w:rFonts w:ascii="宋体" w:hAnsi="宋体" w:eastAsia="宋体" w:cs="Courier New"/>
                <w:sz w:val="24"/>
                <w:szCs w:val="21"/>
                <w:highlight w:val="none"/>
              </w:rPr>
            </w:pPr>
          </w:p>
        </w:tc>
        <w:tc>
          <w:tcPr>
            <w:tcW w:w="2528" w:type="dxa"/>
            <w:tcBorders>
              <w:top w:val="single" w:color="auto" w:sz="4" w:space="0"/>
              <w:left w:val="nil"/>
              <w:bottom w:val="single" w:color="auto" w:sz="4" w:space="0"/>
              <w:right w:val="single" w:color="auto" w:sz="4" w:space="0"/>
            </w:tcBorders>
            <w:vAlign w:val="center"/>
          </w:tcPr>
          <w:p w14:paraId="41A1EBB6">
            <w:pPr>
              <w:adjustRightInd w:val="0"/>
              <w:spacing w:line="360" w:lineRule="auto"/>
              <w:jc w:val="center"/>
              <w:textAlignment w:val="baseline"/>
              <w:rPr>
                <w:rFonts w:ascii="宋体" w:hAnsi="宋体" w:eastAsia="宋体" w:cs="宋体"/>
                <w:sz w:val="24"/>
                <w:szCs w:val="21"/>
                <w:highlight w:val="none"/>
              </w:rPr>
            </w:pPr>
            <w:r>
              <w:rPr>
                <w:rFonts w:hint="eastAsia" w:ascii="宋体" w:hAnsi="宋体" w:eastAsia="宋体" w:cs="宋体"/>
                <w:sz w:val="24"/>
                <w:szCs w:val="21"/>
                <w:highlight w:val="none"/>
              </w:rPr>
              <w:t>投标有效期</w:t>
            </w:r>
          </w:p>
        </w:tc>
        <w:tc>
          <w:tcPr>
            <w:tcW w:w="5351" w:type="dxa"/>
            <w:tcBorders>
              <w:top w:val="single" w:color="auto" w:sz="4" w:space="0"/>
              <w:left w:val="nil"/>
              <w:bottom w:val="single" w:color="auto" w:sz="4" w:space="0"/>
              <w:right w:val="single" w:color="auto" w:sz="4" w:space="0"/>
            </w:tcBorders>
            <w:vAlign w:val="center"/>
          </w:tcPr>
          <w:p w14:paraId="7BDC8FA9">
            <w:pPr>
              <w:adjustRightInd w:val="0"/>
              <w:spacing w:line="360" w:lineRule="auto"/>
              <w:jc w:val="left"/>
              <w:textAlignment w:val="baseline"/>
              <w:rPr>
                <w:rFonts w:ascii="宋体" w:hAnsi="宋体" w:eastAsia="宋体" w:cs="宋体"/>
                <w:sz w:val="24"/>
                <w:szCs w:val="21"/>
                <w:highlight w:val="none"/>
                <w:lang w:val="zh-CN"/>
              </w:rPr>
            </w:pPr>
            <w:r>
              <w:rPr>
                <w:rFonts w:hint="eastAsia" w:ascii="宋体" w:hAnsi="宋体" w:eastAsia="宋体" w:cs="Calibri"/>
                <w:kern w:val="0"/>
                <w:sz w:val="24"/>
                <w:highlight w:val="none"/>
              </w:rPr>
              <w:t>投标截止之日起60日历天</w:t>
            </w:r>
          </w:p>
        </w:tc>
      </w:tr>
    </w:tbl>
    <w:p w14:paraId="70D059ED">
      <w:pPr>
        <w:widowControl/>
        <w:spacing w:line="400" w:lineRule="exact"/>
        <w:rPr>
          <w:rFonts w:ascii="宋体" w:hAnsi="宋体" w:eastAsia="宋体" w:cs="Calibri"/>
          <w:b/>
          <w:bCs/>
          <w:kern w:val="0"/>
          <w:sz w:val="24"/>
          <w:highlight w:val="none"/>
        </w:rPr>
      </w:pPr>
    </w:p>
    <w:p w14:paraId="0416DB7A">
      <w:pPr>
        <w:widowControl/>
        <w:jc w:val="left"/>
        <w:rPr>
          <w:rFonts w:ascii="宋体" w:hAnsi="宋体" w:eastAsia="宋体" w:cs="Calibri"/>
          <w:b/>
          <w:bCs/>
          <w:kern w:val="0"/>
          <w:sz w:val="24"/>
          <w:highlight w:val="none"/>
        </w:rPr>
      </w:pPr>
      <w:r>
        <w:rPr>
          <w:rFonts w:ascii="宋体" w:hAnsi="宋体" w:eastAsia="宋体" w:cs="Calibri"/>
          <w:b/>
          <w:bCs/>
          <w:kern w:val="0"/>
          <w:sz w:val="24"/>
          <w:highlight w:val="none"/>
        </w:rPr>
        <w:br w:type="page"/>
      </w:r>
    </w:p>
    <w:p w14:paraId="7BEE8CE4">
      <w:pPr>
        <w:widowControl/>
        <w:spacing w:line="400" w:lineRule="exact"/>
        <w:jc w:val="left"/>
        <w:rPr>
          <w:rFonts w:ascii="宋体" w:hAnsi="宋体" w:eastAsia="宋体" w:cs="Calibri"/>
          <w:b/>
          <w:bCs/>
          <w:sz w:val="24"/>
          <w:highlight w:val="none"/>
        </w:rPr>
      </w:pPr>
      <w:r>
        <w:rPr>
          <w:rFonts w:hint="eastAsia" w:ascii="宋体" w:hAnsi="宋体" w:eastAsia="宋体" w:cs="Calibri"/>
          <w:b/>
          <w:bCs/>
          <w:kern w:val="0"/>
          <w:sz w:val="24"/>
          <w:highlight w:val="none"/>
        </w:rPr>
        <w:t>二、详细审查：</w:t>
      </w:r>
    </w:p>
    <w:p w14:paraId="09A0022A">
      <w:pPr>
        <w:widowControl/>
        <w:rPr>
          <w:rFonts w:ascii="宋体" w:hAnsi="宋体" w:eastAsia="宋体" w:cs="宋体"/>
          <w:sz w:val="24"/>
          <w:szCs w:val="32"/>
          <w:highlight w:val="none"/>
        </w:rPr>
      </w:pPr>
      <w:bookmarkStart w:id="188" w:name="_Toc528078063"/>
      <w:bookmarkEnd w:id="188"/>
      <w:bookmarkStart w:id="189" w:name="_Toc512514899"/>
      <w:bookmarkEnd w:id="189"/>
      <w:bookmarkStart w:id="190" w:name="_Toc517179004"/>
      <w:bookmarkEnd w:id="190"/>
      <w:bookmarkStart w:id="191" w:name="_Toc16770583"/>
      <w:bookmarkEnd w:id="191"/>
      <w:bookmarkStart w:id="192" w:name="_Toc13219"/>
      <w:bookmarkStart w:id="193" w:name="_Toc43302814"/>
      <w:r>
        <w:rPr>
          <w:rFonts w:hint="eastAsia" w:ascii="宋体" w:hAnsi="宋体" w:eastAsia="宋体" w:cs="宋体"/>
          <w:sz w:val="24"/>
          <w:szCs w:val="32"/>
          <w:highlight w:val="none"/>
        </w:rPr>
        <w:t>评分标准</w:t>
      </w:r>
      <w:bookmarkEnd w:id="192"/>
      <w:bookmarkEnd w:id="193"/>
    </w:p>
    <w:p w14:paraId="5A7FB822">
      <w:pPr>
        <w:widowControl/>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分值构成(总分100分) 报价分：30分；技术分：45分；商务分：25分；</w:t>
      </w:r>
    </w:p>
    <w:p w14:paraId="70C7D700">
      <w:pPr>
        <w:widowControl/>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综合得分按公式计算：综合得分=报价得分＋技术得分＋商务得分；</w:t>
      </w:r>
    </w:p>
    <w:tbl>
      <w:tblPr>
        <w:tblStyle w:val="15"/>
        <w:tblpPr w:leftFromText="180" w:rightFromText="180" w:vertAnchor="text" w:horzAnchor="page" w:tblpXSpec="center" w:tblpY="460"/>
        <w:tblOverlap w:val="never"/>
        <w:tblW w:w="9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981"/>
        <w:gridCol w:w="6426"/>
      </w:tblGrid>
      <w:tr w14:paraId="3CB72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tcBorders>
              <w:top w:val="single" w:color="auto" w:sz="4" w:space="0"/>
              <w:left w:val="single" w:color="auto" w:sz="4" w:space="0"/>
              <w:bottom w:val="single" w:color="auto" w:sz="4" w:space="0"/>
              <w:right w:val="single" w:color="auto" w:sz="4" w:space="0"/>
            </w:tcBorders>
          </w:tcPr>
          <w:p w14:paraId="3D90155C">
            <w:pPr>
              <w:widowControl/>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评分项</w:t>
            </w:r>
          </w:p>
        </w:tc>
        <w:tc>
          <w:tcPr>
            <w:tcW w:w="1981" w:type="dxa"/>
            <w:tcBorders>
              <w:top w:val="single" w:color="auto" w:sz="4" w:space="0"/>
              <w:left w:val="nil"/>
              <w:bottom w:val="single" w:color="auto" w:sz="4" w:space="0"/>
              <w:right w:val="single" w:color="auto" w:sz="4" w:space="0"/>
            </w:tcBorders>
          </w:tcPr>
          <w:p w14:paraId="4669E91A">
            <w:pPr>
              <w:widowControl/>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评审内容</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分值</w:t>
            </w:r>
            <w:r>
              <w:rPr>
                <w:rFonts w:hint="eastAsia" w:ascii="宋体" w:hAnsi="宋体" w:eastAsia="宋体" w:cs="宋体"/>
                <w:sz w:val="24"/>
                <w:szCs w:val="24"/>
                <w:highlight w:val="none"/>
                <w:lang w:eastAsia="zh-CN"/>
              </w:rPr>
              <w:t>）</w:t>
            </w:r>
          </w:p>
        </w:tc>
        <w:tc>
          <w:tcPr>
            <w:tcW w:w="6426" w:type="dxa"/>
            <w:tcBorders>
              <w:top w:val="single" w:color="auto" w:sz="4" w:space="0"/>
              <w:left w:val="nil"/>
              <w:bottom w:val="single" w:color="auto" w:sz="4" w:space="0"/>
              <w:right w:val="single" w:color="auto" w:sz="4" w:space="0"/>
            </w:tcBorders>
          </w:tcPr>
          <w:p w14:paraId="68205DB0">
            <w:pPr>
              <w:widowControl/>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评分准则</w:t>
            </w:r>
          </w:p>
        </w:tc>
      </w:tr>
      <w:tr w14:paraId="35D9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14:paraId="588FC8D0">
            <w:pPr>
              <w:widowControl/>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报价</w:t>
            </w:r>
          </w:p>
          <w:p w14:paraId="1F17A72F">
            <w:pPr>
              <w:widowControl/>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（30分）</w:t>
            </w:r>
          </w:p>
        </w:tc>
        <w:tc>
          <w:tcPr>
            <w:tcW w:w="1981" w:type="dxa"/>
            <w:tcBorders>
              <w:top w:val="single" w:color="auto" w:sz="4" w:space="0"/>
              <w:left w:val="nil"/>
              <w:bottom w:val="single" w:color="auto" w:sz="4" w:space="0"/>
              <w:right w:val="single" w:color="auto" w:sz="4" w:space="0"/>
            </w:tcBorders>
            <w:vAlign w:val="center"/>
          </w:tcPr>
          <w:p w14:paraId="697584D2">
            <w:pPr>
              <w:widowControl/>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投标报价（30分）</w:t>
            </w:r>
          </w:p>
        </w:tc>
        <w:tc>
          <w:tcPr>
            <w:tcW w:w="6426" w:type="dxa"/>
            <w:tcBorders>
              <w:top w:val="single" w:color="auto" w:sz="4" w:space="0"/>
              <w:left w:val="nil"/>
              <w:bottom w:val="single" w:color="auto" w:sz="4" w:space="0"/>
              <w:right w:val="single" w:color="auto" w:sz="4" w:space="0"/>
            </w:tcBorders>
            <w:shd w:val="clear" w:color="auto" w:fill="auto"/>
            <w:vAlign w:val="center"/>
          </w:tcPr>
          <w:p w14:paraId="09C23DAC">
            <w:pPr>
              <w:spacing w:line="420" w:lineRule="exact"/>
              <w:rPr>
                <w:rFonts w:hint="eastAsia"/>
                <w:sz w:val="24"/>
                <w:szCs w:val="24"/>
                <w:highlight w:val="none"/>
              </w:rPr>
            </w:pPr>
            <w:r>
              <w:rPr>
                <w:rFonts w:hint="eastAsia"/>
                <w:sz w:val="24"/>
                <w:szCs w:val="24"/>
                <w:highlight w:val="none"/>
              </w:rPr>
              <w:t>价格分统一采用低价优先法计算，即满足磋商文件要求且最后报价最低的</w:t>
            </w:r>
            <w:r>
              <w:rPr>
                <w:rFonts w:hint="eastAsia"/>
                <w:sz w:val="24"/>
                <w:szCs w:val="24"/>
                <w:highlight w:val="none"/>
                <w:lang w:eastAsia="zh-CN"/>
              </w:rPr>
              <w:t>供应商</w:t>
            </w:r>
            <w:r>
              <w:rPr>
                <w:rFonts w:hint="eastAsia"/>
                <w:sz w:val="24"/>
                <w:szCs w:val="24"/>
                <w:highlight w:val="none"/>
              </w:rPr>
              <w:t>的价格为磋商基准价，其价格分为满分。</w:t>
            </w:r>
          </w:p>
          <w:p w14:paraId="459849B9">
            <w:pPr>
              <w:spacing w:line="420" w:lineRule="exact"/>
              <w:rPr>
                <w:rFonts w:hint="eastAsia"/>
                <w:sz w:val="24"/>
                <w:szCs w:val="24"/>
                <w:highlight w:val="none"/>
              </w:rPr>
            </w:pPr>
            <w:r>
              <w:rPr>
                <w:rFonts w:hint="eastAsia"/>
                <w:sz w:val="24"/>
                <w:szCs w:val="24"/>
                <w:highlight w:val="none"/>
              </w:rPr>
              <w:t>其他</w:t>
            </w:r>
            <w:r>
              <w:rPr>
                <w:rFonts w:hint="eastAsia"/>
                <w:sz w:val="24"/>
                <w:szCs w:val="24"/>
                <w:highlight w:val="none"/>
                <w:lang w:eastAsia="zh-CN"/>
              </w:rPr>
              <w:t>供应商</w:t>
            </w:r>
            <w:r>
              <w:rPr>
                <w:rFonts w:hint="eastAsia"/>
                <w:sz w:val="24"/>
                <w:szCs w:val="24"/>
                <w:highlight w:val="none"/>
              </w:rPr>
              <w:t>的价格分统一按照下列公式计算：</w:t>
            </w:r>
          </w:p>
          <w:p w14:paraId="66B00357">
            <w:pPr>
              <w:spacing w:line="420" w:lineRule="exact"/>
              <w:rPr>
                <w:rFonts w:hint="eastAsia"/>
                <w:sz w:val="24"/>
                <w:szCs w:val="24"/>
                <w:highlight w:val="none"/>
                <w:lang w:val="en-US" w:eastAsia="zh-CN"/>
              </w:rPr>
            </w:pPr>
            <w:r>
              <w:rPr>
                <w:rFonts w:hint="eastAsia"/>
                <w:sz w:val="24"/>
                <w:szCs w:val="24"/>
                <w:highlight w:val="none"/>
              </w:rPr>
              <w:t>磋商报价得分=（磋商基准价/最后磋商报价）×</w:t>
            </w:r>
            <w:r>
              <w:rPr>
                <w:rFonts w:hint="eastAsia"/>
                <w:sz w:val="24"/>
                <w:szCs w:val="24"/>
                <w:highlight w:val="none"/>
                <w:lang w:val="en-US" w:eastAsia="zh-CN"/>
              </w:rPr>
              <w:t xml:space="preserve">30                            </w:t>
            </w:r>
          </w:p>
          <w:p w14:paraId="3556203B">
            <w:pPr>
              <w:spacing w:line="420" w:lineRule="exact"/>
              <w:rPr>
                <w:rFonts w:hint="eastAsia"/>
                <w:b/>
                <w:bCs/>
                <w:sz w:val="24"/>
                <w:szCs w:val="24"/>
                <w:highlight w:val="none"/>
                <w:lang w:val="en-US" w:eastAsia="zh-CN"/>
              </w:rPr>
            </w:pPr>
            <w:r>
              <w:rPr>
                <w:rFonts w:hint="eastAsia"/>
                <w:sz w:val="24"/>
                <w:szCs w:val="24"/>
                <w:highlight w:val="none"/>
                <w:lang w:val="en-US" w:eastAsia="zh-CN"/>
              </w:rPr>
              <w:t>注：1、落实的政府采购政策：（1）本项目专门面向中小企业采购，不再进行价格扣除。参加政府采购活动的中小企业应当提供《中小企业声明函》；（2）关于监狱企业：视同小微企业。须提供由省级以上监狱管理局、戒毒管理局（含新疆生产建设兵团）出具的属于监狱企业的证明文件；（3）关于残疾人福利性单位：视同小微企业。须提供完整的“残疾人福利性单位声明函”。</w:t>
            </w:r>
          </w:p>
          <w:p w14:paraId="0B17E9BE">
            <w:pPr>
              <w:spacing w:line="276" w:lineRule="auto"/>
              <w:jc w:val="left"/>
              <w:rPr>
                <w:rFonts w:hint="eastAsia" w:cs="宋体" w:asciiTheme="minorEastAsia" w:hAnsiTheme="minorEastAsia"/>
                <w:color w:val="000000" w:themeColor="text1"/>
                <w:sz w:val="24"/>
                <w:highlight w:val="none"/>
                <w:lang w:val="en-US" w:eastAsia="zh-CN"/>
                <w14:textFill>
                  <w14:solidFill>
                    <w14:schemeClr w14:val="tx1"/>
                  </w14:solidFill>
                </w14:textFill>
              </w:rPr>
            </w:pPr>
            <w:r>
              <w:rPr>
                <w:rFonts w:hint="eastAsia"/>
                <w:b/>
                <w:bCs/>
                <w:sz w:val="24"/>
                <w:szCs w:val="24"/>
                <w:highlight w:val="none"/>
                <w:lang w:val="en-US" w:eastAsia="zh-CN"/>
              </w:rPr>
              <w:t>2、磋商小组认为供应商的报价明显低于其他通过符合性审查供应商的报价，有可能影响产品质量或者不能诚信履约的，应当要求其在磋商现场合理的时间内提供书面说明，必要时提交相关证明材料；供应商不能证明其报价合理性的，磋商小组应当将其作为无效报价处理。</w:t>
            </w:r>
          </w:p>
        </w:tc>
      </w:tr>
      <w:tr w14:paraId="21D7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1300" w:type="dxa"/>
            <w:vMerge w:val="restart"/>
            <w:tcBorders>
              <w:top w:val="single" w:color="auto" w:sz="4" w:space="0"/>
              <w:left w:val="single" w:color="auto" w:sz="4" w:space="0"/>
              <w:right w:val="single" w:color="auto" w:sz="4" w:space="0"/>
            </w:tcBorders>
            <w:vAlign w:val="center"/>
          </w:tcPr>
          <w:p w14:paraId="650197AE">
            <w:pPr>
              <w:widowControl/>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技术部分</w:t>
            </w:r>
          </w:p>
          <w:p w14:paraId="0924CA4D">
            <w:pPr>
              <w:widowControl/>
              <w:spacing w:line="360" w:lineRule="auto"/>
              <w:jc w:val="center"/>
              <w:rPr>
                <w:rFonts w:ascii="宋体" w:hAnsi="宋体" w:eastAsia="宋体" w:cs="宋体"/>
                <w:color w:val="0000FF"/>
                <w:sz w:val="24"/>
                <w:szCs w:val="24"/>
                <w:highlight w:val="none"/>
              </w:rPr>
            </w:pPr>
            <w:r>
              <w:rPr>
                <w:rFonts w:hint="eastAsia" w:ascii="宋体" w:hAnsi="宋体" w:eastAsia="宋体" w:cs="宋体"/>
                <w:sz w:val="24"/>
                <w:szCs w:val="24"/>
                <w:highlight w:val="none"/>
              </w:rPr>
              <w:t>（45分）</w:t>
            </w:r>
          </w:p>
        </w:tc>
        <w:tc>
          <w:tcPr>
            <w:tcW w:w="1981" w:type="dxa"/>
            <w:tcBorders>
              <w:top w:val="single" w:color="auto" w:sz="4" w:space="0"/>
              <w:left w:val="nil"/>
              <w:bottom w:val="single" w:color="auto" w:sz="4" w:space="0"/>
              <w:right w:val="single" w:color="auto" w:sz="4" w:space="0"/>
            </w:tcBorders>
            <w:vAlign w:val="center"/>
          </w:tcPr>
          <w:p w14:paraId="6371A883">
            <w:pPr>
              <w:spacing w:line="276" w:lineRule="auto"/>
              <w:jc w:val="left"/>
              <w:rPr>
                <w:rFonts w:cs="Times New Roman"/>
                <w:color w:val="000000" w:themeColor="text1"/>
                <w:sz w:val="24"/>
                <w:szCs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技术参数（15分）</w:t>
            </w:r>
          </w:p>
        </w:tc>
        <w:tc>
          <w:tcPr>
            <w:tcW w:w="6426" w:type="dxa"/>
            <w:tcBorders>
              <w:top w:val="single" w:color="auto" w:sz="4" w:space="0"/>
              <w:left w:val="nil"/>
              <w:bottom w:val="single" w:color="auto" w:sz="4" w:space="0"/>
              <w:right w:val="single" w:color="auto" w:sz="4" w:space="0"/>
            </w:tcBorders>
            <w:vAlign w:val="center"/>
          </w:tcPr>
          <w:p w14:paraId="1A5AA0CE">
            <w:pPr>
              <w:spacing w:line="276" w:lineRule="auto"/>
              <w:jc w:val="left"/>
              <w:rPr>
                <w:rFonts w:ascii="宋体" w:hAnsi="宋体" w:eastAsia="宋体" w:cs="Times New Roman"/>
                <w:color w:val="000000" w:themeColor="text1"/>
                <w:sz w:val="24"/>
                <w:szCs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根据投标供应商所投产品的配置与招标要求的响应情况确定得分：投标供应商完全符合招标文件配置要求得15分；每有一条不满足的扣1分，扣完为止。</w:t>
            </w:r>
          </w:p>
        </w:tc>
      </w:tr>
      <w:tr w14:paraId="6924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8" w:hRule="atLeast"/>
          <w:jc w:val="center"/>
        </w:trPr>
        <w:tc>
          <w:tcPr>
            <w:tcW w:w="1300" w:type="dxa"/>
            <w:vMerge w:val="continue"/>
            <w:tcBorders>
              <w:left w:val="single" w:color="auto" w:sz="4" w:space="0"/>
              <w:right w:val="single" w:color="auto" w:sz="4" w:space="0"/>
            </w:tcBorders>
            <w:vAlign w:val="center"/>
          </w:tcPr>
          <w:p w14:paraId="6AD21961">
            <w:pPr>
              <w:widowControl/>
              <w:spacing w:line="360" w:lineRule="auto"/>
              <w:jc w:val="center"/>
              <w:rPr>
                <w:rFonts w:ascii="宋体" w:hAnsi="宋体" w:eastAsia="宋体" w:cs="宋体"/>
                <w:sz w:val="24"/>
                <w:szCs w:val="24"/>
                <w:highlight w:val="none"/>
              </w:rPr>
            </w:pPr>
          </w:p>
        </w:tc>
        <w:tc>
          <w:tcPr>
            <w:tcW w:w="1981" w:type="dxa"/>
            <w:tcBorders>
              <w:top w:val="single" w:color="auto" w:sz="4" w:space="0"/>
              <w:left w:val="nil"/>
              <w:bottom w:val="single" w:color="auto" w:sz="4" w:space="0"/>
              <w:right w:val="single" w:color="auto" w:sz="4" w:space="0"/>
            </w:tcBorders>
            <w:vAlign w:val="center"/>
          </w:tcPr>
          <w:p w14:paraId="19248C3C">
            <w:pPr>
              <w:pStyle w:val="20"/>
              <w:spacing w:line="440" w:lineRule="exact"/>
              <w:jc w:val="center"/>
              <w:rPr>
                <w:rFonts w:asciiTheme="minorEastAsia" w:hAnsiTheme="minorEastAsia" w:eastAsiaTheme="minorEastAsia"/>
                <w:color w:val="000000" w:themeColor="text1"/>
                <w:sz w:val="24"/>
                <w:szCs w:val="22"/>
                <w:highlight w:val="none"/>
                <w14:textFill>
                  <w14:solidFill>
                    <w14:schemeClr w14:val="tx1"/>
                  </w14:solidFill>
                </w14:textFill>
              </w:rPr>
            </w:pPr>
            <w:r>
              <w:rPr>
                <w:rFonts w:hint="eastAsia" w:asciiTheme="minorEastAsia" w:hAnsiTheme="minorEastAsia" w:eastAsiaTheme="minorEastAsia"/>
                <w:color w:val="000000" w:themeColor="text1"/>
                <w:sz w:val="24"/>
                <w:szCs w:val="22"/>
                <w:highlight w:val="none"/>
                <w14:textFill>
                  <w14:solidFill>
                    <w14:schemeClr w14:val="tx1"/>
                  </w14:solidFill>
                </w14:textFill>
              </w:rPr>
              <w:t>供货能力、实施方案和技术措施</w:t>
            </w:r>
          </w:p>
          <w:p w14:paraId="2A24A627">
            <w:pPr>
              <w:pStyle w:val="20"/>
              <w:spacing w:line="440" w:lineRule="exact"/>
              <w:jc w:val="center"/>
              <w:rPr>
                <w:rFonts w:asciiTheme="minorEastAsia" w:hAnsiTheme="minorEastAsia" w:eastAsiaTheme="minorEastAsia"/>
                <w:color w:val="000000" w:themeColor="text1"/>
                <w:sz w:val="24"/>
                <w:szCs w:val="22"/>
                <w:highlight w:val="none"/>
                <w14:textFill>
                  <w14:solidFill>
                    <w14:schemeClr w14:val="tx1"/>
                  </w14:solidFill>
                </w14:textFill>
              </w:rPr>
            </w:pPr>
            <w:r>
              <w:rPr>
                <w:rFonts w:hint="eastAsia" w:asciiTheme="minorEastAsia" w:hAnsiTheme="minorEastAsia" w:eastAsiaTheme="minorEastAsia"/>
                <w:color w:val="000000" w:themeColor="text1"/>
                <w:sz w:val="24"/>
                <w:szCs w:val="22"/>
                <w:highlight w:val="none"/>
                <w14:textFill>
                  <w14:solidFill>
                    <w14:schemeClr w14:val="tx1"/>
                  </w14:solidFill>
                </w14:textFill>
              </w:rPr>
              <w:t>（</w:t>
            </w:r>
            <w:r>
              <w:rPr>
                <w:rFonts w:hint="eastAsia" w:asciiTheme="minorEastAsia" w:hAnsiTheme="minorEastAsia" w:eastAsiaTheme="minorEastAsia"/>
                <w:color w:val="000000" w:themeColor="text1"/>
                <w:sz w:val="24"/>
                <w:szCs w:val="22"/>
                <w:highlight w:val="none"/>
                <w:lang w:val="en-US" w:eastAsia="zh-CN"/>
                <w14:textFill>
                  <w14:solidFill>
                    <w14:schemeClr w14:val="tx1"/>
                  </w14:solidFill>
                </w14:textFill>
              </w:rPr>
              <w:t>6</w:t>
            </w:r>
            <w:r>
              <w:rPr>
                <w:rFonts w:hint="eastAsia" w:asciiTheme="minorEastAsia" w:hAnsiTheme="minorEastAsia" w:eastAsiaTheme="minorEastAsia"/>
                <w:color w:val="000000" w:themeColor="text1"/>
                <w:sz w:val="24"/>
                <w:szCs w:val="22"/>
                <w:highlight w:val="none"/>
                <w14:textFill>
                  <w14:solidFill>
                    <w14:schemeClr w14:val="tx1"/>
                  </w14:solidFill>
                </w14:textFill>
              </w:rPr>
              <w:t>分）</w:t>
            </w:r>
          </w:p>
        </w:tc>
        <w:tc>
          <w:tcPr>
            <w:tcW w:w="6426" w:type="dxa"/>
            <w:tcBorders>
              <w:top w:val="single" w:color="auto" w:sz="4" w:space="0"/>
              <w:left w:val="nil"/>
              <w:bottom w:val="single" w:color="auto" w:sz="4" w:space="0"/>
              <w:right w:val="single" w:color="auto" w:sz="4" w:space="0"/>
            </w:tcBorders>
            <w:vAlign w:val="center"/>
          </w:tcPr>
          <w:p w14:paraId="5B06DD2A">
            <w:pPr>
              <w:spacing w:line="440" w:lineRule="exact"/>
              <w:rPr>
                <w:rFonts w:cs="宋体" w:asciiTheme="minorEastAsia" w:hAnsiTheme="minorEastAsia"/>
                <w:color w:val="000000" w:themeColor="text1"/>
                <w:sz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供货能力、实施方案和技术措施全面、合理、可行、措施有保障的，得</w:t>
            </w:r>
            <w:r>
              <w:rPr>
                <w:rFonts w:hint="eastAsia" w:cs="宋体" w:asciiTheme="minorEastAsia" w:hAnsiTheme="minorEastAsia"/>
                <w:color w:val="000000" w:themeColor="text1"/>
                <w:sz w:val="24"/>
                <w:highlight w:val="none"/>
                <w:lang w:val="en-US" w:eastAsia="zh-CN"/>
                <w14:textFill>
                  <w14:solidFill>
                    <w14:schemeClr w14:val="tx1"/>
                  </w14:solidFill>
                </w14:textFill>
              </w:rPr>
              <w:t>6</w:t>
            </w:r>
            <w:r>
              <w:rPr>
                <w:rFonts w:hint="eastAsia" w:cs="宋体" w:asciiTheme="minorEastAsia" w:hAnsiTheme="minorEastAsia"/>
                <w:color w:val="000000" w:themeColor="text1"/>
                <w:sz w:val="24"/>
                <w:highlight w:val="none"/>
                <w14:textFill>
                  <w14:solidFill>
                    <w14:schemeClr w14:val="tx1"/>
                  </w14:solidFill>
                </w14:textFill>
              </w:rPr>
              <w:t>分；</w:t>
            </w:r>
          </w:p>
          <w:p w14:paraId="315F7A89">
            <w:pPr>
              <w:spacing w:line="440" w:lineRule="exact"/>
              <w:rPr>
                <w:rFonts w:cs="宋体" w:asciiTheme="minorEastAsia" w:hAnsiTheme="minorEastAsia"/>
                <w:color w:val="000000" w:themeColor="text1"/>
                <w:sz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供货能力、实施方案和技术措施比较全面、合理、可行、措施有保障的，得3分；</w:t>
            </w:r>
          </w:p>
          <w:p w14:paraId="36ECB149">
            <w:pPr>
              <w:spacing w:line="440" w:lineRule="exact"/>
              <w:rPr>
                <w:rFonts w:cs="宋体" w:asciiTheme="minorEastAsia" w:hAnsiTheme="minorEastAsia"/>
                <w:color w:val="000000" w:themeColor="text1"/>
                <w:sz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供货能力、实施方案和技术措施基本合理、可行、措施有保障的，得1分。</w:t>
            </w:r>
          </w:p>
          <w:p w14:paraId="315A1D5B">
            <w:pPr>
              <w:spacing w:line="440" w:lineRule="exact"/>
              <w:rPr>
                <w:rFonts w:cs="宋体" w:asciiTheme="minorEastAsia" w:hAnsiTheme="minorEastAsia"/>
                <w:color w:val="000000" w:themeColor="text1"/>
                <w:sz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缺项或不符合要求不得分；</w:t>
            </w:r>
          </w:p>
        </w:tc>
      </w:tr>
      <w:tr w14:paraId="0236E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9" w:hRule="atLeast"/>
          <w:jc w:val="center"/>
        </w:trPr>
        <w:tc>
          <w:tcPr>
            <w:tcW w:w="1300" w:type="dxa"/>
            <w:vMerge w:val="continue"/>
            <w:tcBorders>
              <w:left w:val="single" w:color="auto" w:sz="4" w:space="0"/>
              <w:right w:val="single" w:color="auto" w:sz="4" w:space="0"/>
            </w:tcBorders>
            <w:vAlign w:val="center"/>
          </w:tcPr>
          <w:p w14:paraId="4874E75C">
            <w:pPr>
              <w:widowControl/>
              <w:spacing w:line="360" w:lineRule="auto"/>
              <w:jc w:val="center"/>
              <w:rPr>
                <w:rFonts w:ascii="宋体" w:hAnsi="宋体" w:eastAsia="宋体" w:cs="宋体"/>
                <w:color w:val="0000FF"/>
                <w:sz w:val="24"/>
                <w:szCs w:val="24"/>
                <w:highlight w:val="none"/>
              </w:rPr>
            </w:pPr>
          </w:p>
        </w:tc>
        <w:tc>
          <w:tcPr>
            <w:tcW w:w="1981" w:type="dxa"/>
            <w:tcBorders>
              <w:top w:val="single" w:color="auto" w:sz="4" w:space="0"/>
              <w:left w:val="nil"/>
              <w:bottom w:val="single" w:color="auto" w:sz="4" w:space="0"/>
              <w:right w:val="single" w:color="auto" w:sz="4" w:space="0"/>
            </w:tcBorders>
            <w:vAlign w:val="center"/>
          </w:tcPr>
          <w:p w14:paraId="47DCA09E">
            <w:pPr>
              <w:spacing w:line="276" w:lineRule="auto"/>
              <w:jc w:val="center"/>
              <w:rPr>
                <w:rFonts w:cs="宋体" w:asciiTheme="minorEastAsia" w:hAnsiTheme="minorEastAsia"/>
                <w:color w:val="000000" w:themeColor="text1"/>
                <w:sz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技术性能</w:t>
            </w:r>
          </w:p>
          <w:p w14:paraId="760AB253">
            <w:pPr>
              <w:spacing w:line="276" w:lineRule="auto"/>
              <w:jc w:val="center"/>
              <w:rPr>
                <w:rFonts w:cs="宋体" w:asciiTheme="minorEastAsia" w:hAnsiTheme="minorEastAsia"/>
                <w:color w:val="000000" w:themeColor="text1"/>
                <w:sz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w:t>
            </w:r>
            <w:r>
              <w:rPr>
                <w:rFonts w:hint="eastAsia" w:cs="宋体" w:asciiTheme="minorEastAsia" w:hAnsiTheme="minorEastAsia"/>
                <w:color w:val="000000" w:themeColor="text1"/>
                <w:sz w:val="24"/>
                <w:highlight w:val="none"/>
                <w:lang w:val="en-US" w:eastAsia="zh-CN"/>
                <w14:textFill>
                  <w14:solidFill>
                    <w14:schemeClr w14:val="tx1"/>
                  </w14:solidFill>
                </w14:textFill>
              </w:rPr>
              <w:t>6</w:t>
            </w:r>
            <w:r>
              <w:rPr>
                <w:rFonts w:hint="eastAsia" w:cs="宋体" w:asciiTheme="minorEastAsia" w:hAnsiTheme="minorEastAsia"/>
                <w:color w:val="000000" w:themeColor="text1"/>
                <w:sz w:val="24"/>
                <w:highlight w:val="none"/>
                <w14:textFill>
                  <w14:solidFill>
                    <w14:schemeClr w14:val="tx1"/>
                  </w14:solidFill>
                </w14:textFill>
              </w:rPr>
              <w:t>分）</w:t>
            </w:r>
          </w:p>
        </w:tc>
        <w:tc>
          <w:tcPr>
            <w:tcW w:w="6426" w:type="dxa"/>
            <w:tcBorders>
              <w:top w:val="single" w:color="auto" w:sz="4" w:space="0"/>
              <w:left w:val="nil"/>
              <w:bottom w:val="single" w:color="auto" w:sz="4" w:space="0"/>
              <w:right w:val="single" w:color="auto" w:sz="4" w:space="0"/>
            </w:tcBorders>
            <w:vAlign w:val="center"/>
          </w:tcPr>
          <w:p w14:paraId="13680DB2">
            <w:pPr>
              <w:spacing w:line="276" w:lineRule="auto"/>
              <w:jc w:val="left"/>
              <w:rPr>
                <w:rFonts w:cs="宋体" w:asciiTheme="minorEastAsia" w:hAnsiTheme="minorEastAsia"/>
                <w:color w:val="000000" w:themeColor="text1"/>
                <w:sz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技术性能能够响应招标文件要求全面的，得</w:t>
            </w:r>
            <w:r>
              <w:rPr>
                <w:rFonts w:hint="eastAsia" w:cs="宋体" w:asciiTheme="minorEastAsia" w:hAnsiTheme="minorEastAsia"/>
                <w:color w:val="000000" w:themeColor="text1"/>
                <w:sz w:val="24"/>
                <w:highlight w:val="none"/>
                <w:lang w:val="en-US" w:eastAsia="zh-CN"/>
                <w14:textFill>
                  <w14:solidFill>
                    <w14:schemeClr w14:val="tx1"/>
                  </w14:solidFill>
                </w14:textFill>
              </w:rPr>
              <w:t>6</w:t>
            </w:r>
            <w:r>
              <w:rPr>
                <w:rFonts w:hint="eastAsia" w:cs="宋体" w:asciiTheme="minorEastAsia" w:hAnsiTheme="minorEastAsia"/>
                <w:color w:val="000000" w:themeColor="text1"/>
                <w:sz w:val="24"/>
                <w:highlight w:val="none"/>
                <w14:textFill>
                  <w14:solidFill>
                    <w14:schemeClr w14:val="tx1"/>
                  </w14:solidFill>
                </w14:textFill>
              </w:rPr>
              <w:t>分；</w:t>
            </w:r>
          </w:p>
          <w:p w14:paraId="19E21CBD">
            <w:pPr>
              <w:spacing w:line="276" w:lineRule="auto"/>
              <w:jc w:val="left"/>
              <w:rPr>
                <w:rFonts w:cs="宋体" w:asciiTheme="minorEastAsia" w:hAnsiTheme="minorEastAsia"/>
                <w:color w:val="000000" w:themeColor="text1"/>
                <w:sz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 xml:space="preserve">技术性能能够响应招标文件要求比较全面的，得3分； </w:t>
            </w:r>
          </w:p>
          <w:p w14:paraId="1275458C">
            <w:pPr>
              <w:spacing w:line="276" w:lineRule="auto"/>
              <w:jc w:val="left"/>
              <w:rPr>
                <w:rFonts w:cs="宋体" w:asciiTheme="minorEastAsia" w:hAnsiTheme="minorEastAsia"/>
                <w:color w:val="000000" w:themeColor="text1"/>
                <w:sz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技术性能能够响应招标文件要求不全面、或者不详尽的的，得1分；</w:t>
            </w:r>
          </w:p>
          <w:p w14:paraId="37F9B8E4">
            <w:pPr>
              <w:spacing w:line="276" w:lineRule="auto"/>
              <w:jc w:val="left"/>
              <w:rPr>
                <w:rFonts w:cs="宋体" w:asciiTheme="minorEastAsia" w:hAnsiTheme="minorEastAsia"/>
                <w:color w:val="000000" w:themeColor="text1"/>
                <w:sz w:val="24"/>
                <w:highlight w:val="none"/>
                <w14:textFill>
                  <w14:solidFill>
                    <w14:schemeClr w14:val="tx1"/>
                  </w14:solidFill>
                </w14:textFill>
              </w:rPr>
            </w:pPr>
            <w:r>
              <w:rPr>
                <w:rFonts w:hint="eastAsia" w:cs="宋体" w:asciiTheme="minorEastAsia" w:hAnsiTheme="minorEastAsia"/>
                <w:color w:val="000000" w:themeColor="text1"/>
                <w:sz w:val="24"/>
                <w:highlight w:val="none"/>
                <w14:textFill>
                  <w14:solidFill>
                    <w14:schemeClr w14:val="tx1"/>
                  </w14:solidFill>
                </w14:textFill>
              </w:rPr>
              <w:t>缺项或不符合要求不得分；</w:t>
            </w:r>
          </w:p>
        </w:tc>
      </w:tr>
      <w:tr w14:paraId="72A9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1" w:hRule="atLeast"/>
          <w:jc w:val="center"/>
        </w:trPr>
        <w:tc>
          <w:tcPr>
            <w:tcW w:w="1300" w:type="dxa"/>
            <w:vMerge w:val="continue"/>
            <w:tcBorders>
              <w:left w:val="single" w:color="auto" w:sz="4" w:space="0"/>
              <w:right w:val="single" w:color="auto" w:sz="4" w:space="0"/>
            </w:tcBorders>
            <w:vAlign w:val="center"/>
          </w:tcPr>
          <w:p w14:paraId="0EB0B2CE">
            <w:pPr>
              <w:widowControl/>
              <w:spacing w:line="360" w:lineRule="auto"/>
              <w:jc w:val="center"/>
              <w:rPr>
                <w:rFonts w:ascii="宋体" w:hAnsi="宋体" w:eastAsia="宋体" w:cs="宋体"/>
                <w:color w:val="0000FF"/>
                <w:sz w:val="24"/>
                <w:szCs w:val="24"/>
                <w:highlight w:val="none"/>
              </w:rPr>
            </w:pPr>
          </w:p>
        </w:tc>
        <w:tc>
          <w:tcPr>
            <w:tcW w:w="1981" w:type="dxa"/>
            <w:tcBorders>
              <w:top w:val="single" w:color="auto" w:sz="4" w:space="0"/>
              <w:left w:val="nil"/>
              <w:bottom w:val="single" w:color="auto" w:sz="4" w:space="0"/>
              <w:right w:val="single" w:color="auto" w:sz="4" w:space="0"/>
            </w:tcBorders>
            <w:vAlign w:val="center"/>
          </w:tcPr>
          <w:p w14:paraId="2BC836D9">
            <w:pPr>
              <w:spacing w:line="440" w:lineRule="exact"/>
              <w:jc w:val="center"/>
              <w:rPr>
                <w:rFonts w:ascii="宋体" w:hAnsi="宋体" w:eastAsia="宋体" w:cs="Times New Roman"/>
                <w:sz w:val="24"/>
                <w:szCs w:val="24"/>
                <w:highlight w:val="none"/>
              </w:rPr>
            </w:pPr>
            <w:r>
              <w:rPr>
                <w:rFonts w:hint="eastAsia" w:ascii="宋体" w:hAnsi="宋体" w:eastAsia="宋体" w:cs="Times New Roman"/>
                <w:sz w:val="24"/>
                <w:szCs w:val="24"/>
                <w:highlight w:val="none"/>
              </w:rPr>
              <w:t>质量保证措施</w:t>
            </w:r>
          </w:p>
          <w:p w14:paraId="3AECDB2E">
            <w:pPr>
              <w:spacing w:line="440" w:lineRule="exact"/>
              <w:jc w:val="center"/>
              <w:rPr>
                <w:rFonts w:ascii="宋体" w:hAnsi="宋体" w:eastAsia="宋体" w:cs="Times New Roman"/>
                <w:sz w:val="24"/>
                <w:szCs w:val="24"/>
                <w:highlight w:val="none"/>
              </w:rPr>
            </w:pPr>
            <w:r>
              <w:rPr>
                <w:rFonts w:ascii="宋体" w:hAnsi="宋体" w:eastAsia="宋体" w:cs="Times New Roman"/>
                <w:sz w:val="24"/>
                <w:szCs w:val="24"/>
                <w:highlight w:val="none"/>
              </w:rPr>
              <w:t>（</w:t>
            </w:r>
            <w:r>
              <w:rPr>
                <w:rFonts w:hint="eastAsia" w:ascii="宋体" w:hAnsi="宋体" w:eastAsia="宋体" w:cs="Times New Roman"/>
                <w:sz w:val="24"/>
                <w:szCs w:val="24"/>
                <w:highlight w:val="none"/>
                <w:lang w:val="en-US" w:eastAsia="zh-CN"/>
              </w:rPr>
              <w:t>6</w:t>
            </w:r>
            <w:r>
              <w:rPr>
                <w:rFonts w:hint="eastAsia" w:ascii="宋体" w:hAnsi="宋体" w:eastAsia="宋体" w:cs="Times New Roman"/>
                <w:sz w:val="24"/>
                <w:szCs w:val="24"/>
                <w:highlight w:val="none"/>
              </w:rPr>
              <w:t>分</w:t>
            </w:r>
            <w:r>
              <w:rPr>
                <w:rFonts w:ascii="宋体" w:hAnsi="宋体" w:eastAsia="宋体" w:cs="Times New Roman"/>
                <w:sz w:val="24"/>
                <w:szCs w:val="24"/>
                <w:highlight w:val="none"/>
              </w:rPr>
              <w:t>）</w:t>
            </w:r>
          </w:p>
        </w:tc>
        <w:tc>
          <w:tcPr>
            <w:tcW w:w="6426" w:type="dxa"/>
            <w:tcBorders>
              <w:top w:val="single" w:color="auto" w:sz="4" w:space="0"/>
              <w:left w:val="nil"/>
              <w:bottom w:val="single" w:color="auto" w:sz="4" w:space="0"/>
              <w:right w:val="single" w:color="auto" w:sz="4" w:space="0"/>
            </w:tcBorders>
            <w:vAlign w:val="center"/>
          </w:tcPr>
          <w:p w14:paraId="2BA13DF7">
            <w:pPr>
              <w:spacing w:line="440" w:lineRule="exact"/>
              <w:rPr>
                <w:rFonts w:ascii="宋体" w:hAnsi="宋体" w:eastAsia="宋体" w:cs="Times New Roman"/>
                <w:sz w:val="24"/>
                <w:szCs w:val="24"/>
                <w:highlight w:val="none"/>
              </w:rPr>
            </w:pPr>
            <w:r>
              <w:rPr>
                <w:rFonts w:hint="eastAsia" w:ascii="宋体" w:hAnsi="宋体" w:eastAsia="宋体" w:cs="Times New Roman"/>
                <w:sz w:val="24"/>
                <w:szCs w:val="24"/>
                <w:highlight w:val="none"/>
              </w:rPr>
              <w:t>质量保证措施方案全面、合理、可行、措施有保障的，得</w:t>
            </w:r>
            <w:r>
              <w:rPr>
                <w:rFonts w:hint="eastAsia" w:ascii="宋体" w:hAnsi="宋体" w:eastAsia="宋体" w:cs="Times New Roman"/>
                <w:sz w:val="24"/>
                <w:szCs w:val="24"/>
                <w:highlight w:val="none"/>
                <w:lang w:val="en-US" w:eastAsia="zh-CN"/>
              </w:rPr>
              <w:t>6</w:t>
            </w:r>
            <w:r>
              <w:rPr>
                <w:rFonts w:hint="eastAsia" w:ascii="宋体" w:hAnsi="宋体" w:eastAsia="宋体" w:cs="Times New Roman"/>
                <w:sz w:val="24"/>
                <w:szCs w:val="24"/>
                <w:highlight w:val="none"/>
              </w:rPr>
              <w:t>分；</w:t>
            </w:r>
          </w:p>
          <w:p w14:paraId="63D306CB">
            <w:pPr>
              <w:spacing w:line="440" w:lineRule="exact"/>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质量保证措施方案较为全面、合理、措施有保障的，得3分； </w:t>
            </w:r>
          </w:p>
          <w:p w14:paraId="31B88053">
            <w:pPr>
              <w:spacing w:line="440" w:lineRule="exact"/>
              <w:rPr>
                <w:rFonts w:ascii="宋体" w:hAnsi="宋体" w:eastAsia="宋体" w:cs="Times New Roman"/>
                <w:sz w:val="24"/>
                <w:szCs w:val="24"/>
                <w:highlight w:val="none"/>
              </w:rPr>
            </w:pPr>
            <w:r>
              <w:rPr>
                <w:rFonts w:hint="eastAsia" w:ascii="宋体" w:hAnsi="宋体" w:eastAsia="宋体" w:cs="Times New Roman"/>
                <w:sz w:val="24"/>
                <w:szCs w:val="24"/>
                <w:highlight w:val="none"/>
              </w:rPr>
              <w:t>质量保证措施方案基本合理、措施有保障的，得1分；</w:t>
            </w:r>
          </w:p>
          <w:p w14:paraId="0E1FBD2F">
            <w:pPr>
              <w:spacing w:line="440" w:lineRule="exact"/>
              <w:rPr>
                <w:rFonts w:ascii="宋体" w:hAnsi="宋体" w:eastAsia="宋体" w:cs="Times New Roman"/>
                <w:sz w:val="24"/>
                <w:szCs w:val="24"/>
                <w:highlight w:val="none"/>
              </w:rPr>
            </w:pPr>
            <w:r>
              <w:rPr>
                <w:rFonts w:hint="eastAsia" w:ascii="宋体" w:hAnsi="宋体" w:eastAsia="宋体" w:cs="Times New Roman"/>
                <w:sz w:val="24"/>
                <w:szCs w:val="24"/>
                <w:highlight w:val="none"/>
              </w:rPr>
              <w:t>缺项或不符合要求不得分；</w:t>
            </w:r>
          </w:p>
        </w:tc>
      </w:tr>
      <w:tr w14:paraId="6884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300" w:type="dxa"/>
            <w:vMerge w:val="continue"/>
            <w:tcBorders>
              <w:left w:val="single" w:color="auto" w:sz="4" w:space="0"/>
              <w:bottom w:val="single" w:color="auto" w:sz="4" w:space="0"/>
              <w:right w:val="single" w:color="auto" w:sz="4" w:space="0"/>
            </w:tcBorders>
            <w:vAlign w:val="center"/>
          </w:tcPr>
          <w:p w14:paraId="6663F000">
            <w:pPr>
              <w:widowControl/>
              <w:spacing w:line="360" w:lineRule="auto"/>
              <w:jc w:val="center"/>
              <w:rPr>
                <w:rFonts w:ascii="宋体" w:hAnsi="宋体" w:eastAsia="宋体" w:cs="宋体"/>
                <w:sz w:val="24"/>
                <w:szCs w:val="24"/>
                <w:highlight w:val="none"/>
              </w:rPr>
            </w:pPr>
          </w:p>
        </w:tc>
        <w:tc>
          <w:tcPr>
            <w:tcW w:w="1981" w:type="dxa"/>
            <w:tcBorders>
              <w:top w:val="single" w:color="auto" w:sz="4" w:space="0"/>
              <w:left w:val="nil"/>
              <w:bottom w:val="single" w:color="auto" w:sz="4" w:space="0"/>
              <w:right w:val="single" w:color="auto" w:sz="4" w:space="0"/>
            </w:tcBorders>
            <w:vAlign w:val="center"/>
          </w:tcPr>
          <w:p w14:paraId="22FB0B0A">
            <w:pPr>
              <w:pStyle w:val="20"/>
              <w:spacing w:line="440" w:lineRule="exact"/>
              <w:jc w:val="center"/>
              <w:rPr>
                <w:rFonts w:cs="Times New Roman"/>
                <w:color w:val="auto"/>
                <w:sz w:val="24"/>
                <w:szCs w:val="24"/>
                <w:highlight w:val="none"/>
              </w:rPr>
            </w:pPr>
            <w:r>
              <w:rPr>
                <w:rFonts w:hint="eastAsia" w:cs="Times New Roman"/>
                <w:color w:val="auto"/>
                <w:sz w:val="24"/>
                <w:szCs w:val="24"/>
                <w:highlight w:val="none"/>
              </w:rPr>
              <w:t>供货进度保证措施（</w:t>
            </w:r>
            <w:r>
              <w:rPr>
                <w:rFonts w:hint="eastAsia" w:cs="Times New Roman"/>
                <w:color w:val="auto"/>
                <w:sz w:val="24"/>
                <w:szCs w:val="24"/>
                <w:highlight w:val="none"/>
                <w:lang w:val="en-US" w:eastAsia="zh-CN"/>
              </w:rPr>
              <w:t>6</w:t>
            </w:r>
            <w:r>
              <w:rPr>
                <w:rFonts w:hint="eastAsia" w:cs="Times New Roman"/>
                <w:color w:val="auto"/>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13E34CB6">
            <w:pPr>
              <w:pStyle w:val="20"/>
              <w:spacing w:line="440" w:lineRule="exact"/>
              <w:rPr>
                <w:rFonts w:cs="Times New Roman"/>
                <w:color w:val="auto"/>
                <w:sz w:val="24"/>
                <w:szCs w:val="24"/>
                <w:highlight w:val="none"/>
              </w:rPr>
            </w:pPr>
            <w:r>
              <w:rPr>
                <w:rFonts w:hint="eastAsia" w:cs="Times New Roman"/>
                <w:color w:val="auto"/>
                <w:sz w:val="24"/>
                <w:szCs w:val="24"/>
                <w:highlight w:val="none"/>
              </w:rPr>
              <w:t>供货进度保证措施内容详实，科学、合理、安全，考虑周全措施到位，针对性强，得</w:t>
            </w:r>
            <w:r>
              <w:rPr>
                <w:rFonts w:hint="eastAsia" w:cs="Times New Roman"/>
                <w:color w:val="auto"/>
                <w:sz w:val="24"/>
                <w:szCs w:val="24"/>
                <w:highlight w:val="none"/>
                <w:lang w:val="en-US" w:eastAsia="zh-CN"/>
              </w:rPr>
              <w:t>6</w:t>
            </w:r>
            <w:r>
              <w:rPr>
                <w:rFonts w:hint="eastAsia" w:cs="Times New Roman"/>
                <w:color w:val="auto"/>
                <w:sz w:val="24"/>
                <w:szCs w:val="24"/>
                <w:highlight w:val="none"/>
              </w:rPr>
              <w:t>分；</w:t>
            </w:r>
          </w:p>
          <w:p w14:paraId="12029FF0">
            <w:pPr>
              <w:pStyle w:val="20"/>
              <w:spacing w:line="440" w:lineRule="exact"/>
              <w:rPr>
                <w:rFonts w:cs="Times New Roman"/>
                <w:color w:val="auto"/>
                <w:sz w:val="24"/>
                <w:szCs w:val="24"/>
                <w:highlight w:val="none"/>
              </w:rPr>
            </w:pPr>
            <w:r>
              <w:rPr>
                <w:rFonts w:hint="eastAsia" w:cs="Times New Roman"/>
                <w:color w:val="auto"/>
                <w:sz w:val="24"/>
                <w:szCs w:val="24"/>
                <w:highlight w:val="none"/>
              </w:rPr>
              <w:t>供货进度保证措施内容完整，基本科学、合理、安全，基本考虑周全措施到位，针对性较强得3分；</w:t>
            </w:r>
          </w:p>
          <w:p w14:paraId="09BE680C">
            <w:pPr>
              <w:pStyle w:val="20"/>
              <w:spacing w:line="440" w:lineRule="exact"/>
              <w:rPr>
                <w:rFonts w:cs="Times New Roman"/>
                <w:color w:val="auto"/>
                <w:sz w:val="24"/>
                <w:szCs w:val="24"/>
                <w:highlight w:val="none"/>
              </w:rPr>
            </w:pPr>
            <w:r>
              <w:rPr>
                <w:rFonts w:hint="eastAsia" w:cs="Times New Roman"/>
                <w:color w:val="auto"/>
                <w:sz w:val="24"/>
                <w:szCs w:val="24"/>
                <w:highlight w:val="none"/>
              </w:rPr>
              <w:t>供货进度保证措施内容完整，考虑不周，措施不够到位，针对性不强，得1分；</w:t>
            </w:r>
          </w:p>
          <w:p w14:paraId="68AA4E20">
            <w:pPr>
              <w:pStyle w:val="20"/>
              <w:spacing w:line="440" w:lineRule="exact"/>
              <w:rPr>
                <w:rFonts w:cs="Times New Roman"/>
                <w:color w:val="auto"/>
                <w:sz w:val="24"/>
                <w:szCs w:val="24"/>
                <w:highlight w:val="none"/>
              </w:rPr>
            </w:pPr>
            <w:r>
              <w:rPr>
                <w:rFonts w:hint="eastAsia" w:cs="Times New Roman"/>
                <w:color w:val="auto"/>
                <w:sz w:val="24"/>
                <w:szCs w:val="24"/>
                <w:highlight w:val="none"/>
              </w:rPr>
              <w:t>缺项或不符合要求不得分；</w:t>
            </w:r>
          </w:p>
        </w:tc>
      </w:tr>
      <w:tr w14:paraId="44BB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0" w:type="dxa"/>
            <w:vMerge w:val="continue"/>
            <w:tcBorders>
              <w:left w:val="single" w:color="auto" w:sz="4" w:space="0"/>
              <w:right w:val="single" w:color="auto" w:sz="4" w:space="0"/>
            </w:tcBorders>
            <w:vAlign w:val="center"/>
          </w:tcPr>
          <w:p w14:paraId="3054B0B7">
            <w:pPr>
              <w:keepNext/>
              <w:keepLines/>
              <w:spacing w:before="260" w:after="260" w:line="416" w:lineRule="auto"/>
              <w:outlineLvl w:val="1"/>
              <w:rPr>
                <w:rFonts w:ascii="Calibri Light" w:hAnsi="Calibri Light" w:eastAsia="宋体" w:cs="Times New Roman"/>
                <w:b/>
                <w:bCs/>
                <w:sz w:val="32"/>
                <w:szCs w:val="32"/>
                <w:highlight w:val="none"/>
              </w:rPr>
            </w:pPr>
          </w:p>
        </w:tc>
        <w:tc>
          <w:tcPr>
            <w:tcW w:w="1981" w:type="dxa"/>
            <w:tcBorders>
              <w:top w:val="single" w:color="auto" w:sz="4" w:space="0"/>
              <w:left w:val="single" w:color="auto" w:sz="4" w:space="0"/>
              <w:right w:val="single" w:color="auto" w:sz="4" w:space="0"/>
            </w:tcBorders>
            <w:vAlign w:val="center"/>
          </w:tcPr>
          <w:p w14:paraId="281F4AFD">
            <w:pPr>
              <w:pStyle w:val="20"/>
              <w:spacing w:line="440" w:lineRule="exact"/>
              <w:jc w:val="center"/>
              <w:rPr>
                <w:rFonts w:cs="Times New Roman"/>
                <w:color w:val="auto"/>
                <w:sz w:val="24"/>
                <w:szCs w:val="24"/>
                <w:highlight w:val="none"/>
              </w:rPr>
            </w:pPr>
            <w:r>
              <w:rPr>
                <w:rFonts w:hint="eastAsia" w:cs="Times New Roman"/>
                <w:color w:val="auto"/>
                <w:sz w:val="24"/>
                <w:szCs w:val="24"/>
                <w:highlight w:val="none"/>
              </w:rPr>
              <w:t>服务及验收保证措施（</w:t>
            </w:r>
            <w:r>
              <w:rPr>
                <w:rFonts w:hint="eastAsia" w:cs="Times New Roman"/>
                <w:color w:val="auto"/>
                <w:sz w:val="24"/>
                <w:szCs w:val="24"/>
                <w:highlight w:val="none"/>
                <w:lang w:val="en-US" w:eastAsia="zh-CN"/>
              </w:rPr>
              <w:t>6</w:t>
            </w:r>
            <w:r>
              <w:rPr>
                <w:rFonts w:hint="eastAsia" w:cs="Times New Roman"/>
                <w:color w:val="auto"/>
                <w:sz w:val="24"/>
                <w:szCs w:val="24"/>
                <w:highlight w:val="none"/>
              </w:rPr>
              <w:t>分）</w:t>
            </w:r>
          </w:p>
        </w:tc>
        <w:tc>
          <w:tcPr>
            <w:tcW w:w="6426" w:type="dxa"/>
            <w:tcBorders>
              <w:top w:val="single" w:color="auto" w:sz="4" w:space="0"/>
              <w:left w:val="nil"/>
              <w:bottom w:val="single" w:color="auto" w:sz="4" w:space="0"/>
              <w:right w:val="single" w:color="auto" w:sz="4" w:space="0"/>
            </w:tcBorders>
            <w:vAlign w:val="center"/>
          </w:tcPr>
          <w:p w14:paraId="7365C998">
            <w:pPr>
              <w:pStyle w:val="20"/>
              <w:spacing w:line="440" w:lineRule="exact"/>
              <w:rPr>
                <w:rFonts w:cs="Times New Roman"/>
                <w:color w:val="auto"/>
                <w:sz w:val="24"/>
                <w:szCs w:val="24"/>
                <w:highlight w:val="none"/>
              </w:rPr>
            </w:pPr>
            <w:r>
              <w:rPr>
                <w:rFonts w:hint="eastAsia" w:cs="Times New Roman"/>
                <w:color w:val="auto"/>
                <w:sz w:val="24"/>
                <w:szCs w:val="24"/>
                <w:highlight w:val="none"/>
              </w:rPr>
              <w:t>1、采购人验收时如发现所交付的产品有次品、损坏或其它不符合用户需求所规定的情形，成交供应商必须负责补充、更换。由此产生的有关费用由成交供应商承担。</w:t>
            </w:r>
          </w:p>
          <w:p w14:paraId="708B827C">
            <w:pPr>
              <w:pStyle w:val="20"/>
              <w:spacing w:line="440" w:lineRule="exact"/>
              <w:rPr>
                <w:rFonts w:cs="Times New Roman"/>
                <w:color w:val="auto"/>
                <w:sz w:val="24"/>
                <w:szCs w:val="24"/>
                <w:highlight w:val="none"/>
              </w:rPr>
            </w:pPr>
            <w:r>
              <w:rPr>
                <w:rFonts w:hint="eastAsia" w:cs="Times New Roman"/>
                <w:color w:val="auto"/>
                <w:sz w:val="24"/>
                <w:szCs w:val="24"/>
                <w:highlight w:val="none"/>
              </w:rPr>
              <w:t xml:space="preserve">2、如果产品运输中因事故造成货物短缺、损坏，成交供应商应及时安排换装，换货的相关费用由成交供应商承担。 </w:t>
            </w:r>
          </w:p>
          <w:p w14:paraId="2A0BB20E">
            <w:pPr>
              <w:pStyle w:val="20"/>
              <w:spacing w:line="440" w:lineRule="exact"/>
              <w:rPr>
                <w:rFonts w:cs="Times New Roman"/>
                <w:color w:val="auto"/>
                <w:sz w:val="24"/>
                <w:szCs w:val="24"/>
                <w:highlight w:val="none"/>
              </w:rPr>
            </w:pPr>
            <w:r>
              <w:rPr>
                <w:rFonts w:hint="eastAsia" w:cs="Times New Roman"/>
                <w:color w:val="auto"/>
                <w:sz w:val="24"/>
                <w:szCs w:val="24"/>
                <w:highlight w:val="none"/>
              </w:rPr>
              <w:t>服务及验收保证措施全面、详尽、合理、技术质量有保障的，得5分；</w:t>
            </w:r>
          </w:p>
          <w:p w14:paraId="7269E818">
            <w:pPr>
              <w:pStyle w:val="20"/>
              <w:spacing w:line="440" w:lineRule="exact"/>
              <w:rPr>
                <w:rFonts w:cs="Times New Roman"/>
                <w:color w:val="auto"/>
                <w:sz w:val="24"/>
                <w:szCs w:val="24"/>
                <w:highlight w:val="none"/>
              </w:rPr>
            </w:pPr>
            <w:r>
              <w:rPr>
                <w:rFonts w:hint="eastAsia" w:cs="Times New Roman"/>
                <w:color w:val="auto"/>
                <w:sz w:val="24"/>
                <w:szCs w:val="24"/>
                <w:highlight w:val="none"/>
              </w:rPr>
              <w:t>服务及验收保证措施较全面，合理，得</w:t>
            </w:r>
            <w:r>
              <w:rPr>
                <w:rFonts w:hint="eastAsia" w:cs="Times New Roman"/>
                <w:color w:val="auto"/>
                <w:sz w:val="24"/>
                <w:szCs w:val="24"/>
                <w:highlight w:val="none"/>
                <w:lang w:val="en-US" w:eastAsia="zh-CN"/>
              </w:rPr>
              <w:t>6</w:t>
            </w:r>
            <w:r>
              <w:rPr>
                <w:rFonts w:hint="eastAsia" w:cs="Times New Roman"/>
                <w:color w:val="auto"/>
                <w:sz w:val="24"/>
                <w:szCs w:val="24"/>
                <w:highlight w:val="none"/>
              </w:rPr>
              <w:t>分；</w:t>
            </w:r>
          </w:p>
          <w:p w14:paraId="536DA608">
            <w:pPr>
              <w:pStyle w:val="20"/>
              <w:spacing w:line="440" w:lineRule="exact"/>
              <w:rPr>
                <w:rFonts w:cs="Times New Roman"/>
                <w:color w:val="auto"/>
                <w:sz w:val="24"/>
                <w:szCs w:val="24"/>
                <w:highlight w:val="none"/>
              </w:rPr>
            </w:pPr>
            <w:r>
              <w:rPr>
                <w:rFonts w:hint="eastAsia" w:cs="Times New Roman"/>
                <w:color w:val="auto"/>
                <w:sz w:val="24"/>
                <w:szCs w:val="24"/>
                <w:highlight w:val="none"/>
              </w:rPr>
              <w:t>服务及验收保证措施不全面、或者不详尽的的，得1分；</w:t>
            </w:r>
          </w:p>
          <w:p w14:paraId="65A4A794">
            <w:pPr>
              <w:pStyle w:val="20"/>
              <w:spacing w:line="440" w:lineRule="exact"/>
              <w:rPr>
                <w:rFonts w:cs="Times New Roman"/>
                <w:color w:val="auto"/>
                <w:sz w:val="24"/>
                <w:szCs w:val="24"/>
                <w:highlight w:val="none"/>
              </w:rPr>
            </w:pPr>
            <w:r>
              <w:rPr>
                <w:rFonts w:hint="eastAsia" w:cs="Times New Roman"/>
                <w:color w:val="auto"/>
                <w:sz w:val="24"/>
                <w:szCs w:val="24"/>
                <w:highlight w:val="none"/>
              </w:rPr>
              <w:t>缺项或不符合要求不得分；</w:t>
            </w:r>
          </w:p>
        </w:tc>
      </w:tr>
      <w:tr w14:paraId="7FF9E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00" w:type="dxa"/>
            <w:vMerge w:val="restart"/>
            <w:tcBorders>
              <w:top w:val="single" w:color="auto" w:sz="4" w:space="0"/>
              <w:left w:val="single" w:color="auto" w:sz="4" w:space="0"/>
              <w:right w:val="single" w:color="auto" w:sz="4" w:space="0"/>
            </w:tcBorders>
            <w:vAlign w:val="center"/>
          </w:tcPr>
          <w:p w14:paraId="197CE93C">
            <w:pPr>
              <w:rPr>
                <w:rFonts w:ascii="宋体" w:hAnsi="宋体" w:eastAsia="宋体" w:cs="宋体"/>
                <w:sz w:val="24"/>
                <w:szCs w:val="24"/>
                <w:highlight w:val="none"/>
              </w:rPr>
            </w:pPr>
          </w:p>
          <w:p w14:paraId="680C61CF">
            <w:pPr>
              <w:rPr>
                <w:rFonts w:ascii="宋体" w:hAnsi="宋体" w:eastAsia="宋体" w:cs="宋体"/>
                <w:sz w:val="24"/>
                <w:szCs w:val="24"/>
                <w:highlight w:val="none"/>
              </w:rPr>
            </w:pPr>
          </w:p>
          <w:p w14:paraId="3E113930">
            <w:pPr>
              <w:rPr>
                <w:rFonts w:ascii="宋体" w:hAnsi="宋体" w:eastAsia="宋体" w:cs="宋体"/>
                <w:sz w:val="24"/>
                <w:szCs w:val="24"/>
                <w:highlight w:val="none"/>
              </w:rPr>
            </w:pPr>
            <w:r>
              <w:rPr>
                <w:rFonts w:hint="eastAsia" w:ascii="宋体" w:hAnsi="宋体" w:eastAsia="宋体" w:cs="宋体"/>
                <w:sz w:val="24"/>
                <w:szCs w:val="24"/>
                <w:highlight w:val="none"/>
              </w:rPr>
              <w:t>商务部分（25分）</w:t>
            </w:r>
          </w:p>
          <w:p w14:paraId="35CBAAFF">
            <w:pPr>
              <w:spacing w:line="360" w:lineRule="exact"/>
              <w:rPr>
                <w:rFonts w:ascii="宋体" w:hAnsi="宋体" w:eastAsia="宋体" w:cs="宋体"/>
                <w:sz w:val="24"/>
                <w:szCs w:val="24"/>
                <w:highlight w:val="none"/>
              </w:rPr>
            </w:pPr>
          </w:p>
        </w:tc>
        <w:tc>
          <w:tcPr>
            <w:tcW w:w="1981" w:type="dxa"/>
            <w:tcBorders>
              <w:top w:val="single" w:color="auto" w:sz="4" w:space="0"/>
              <w:left w:val="single" w:color="auto" w:sz="4" w:space="0"/>
              <w:bottom w:val="single" w:color="auto" w:sz="4" w:space="0"/>
              <w:right w:val="single" w:color="auto" w:sz="4" w:space="0"/>
            </w:tcBorders>
            <w:vAlign w:val="center"/>
          </w:tcPr>
          <w:p w14:paraId="616BDA31">
            <w:pPr>
              <w:pStyle w:val="20"/>
              <w:spacing w:line="440" w:lineRule="exact"/>
              <w:jc w:val="center"/>
              <w:rPr>
                <w:rFonts w:cs="Times New Roman"/>
                <w:color w:val="auto"/>
                <w:sz w:val="24"/>
                <w:szCs w:val="24"/>
                <w:highlight w:val="none"/>
              </w:rPr>
            </w:pPr>
            <w:r>
              <w:rPr>
                <w:rFonts w:hint="eastAsia" w:cs="Times New Roman"/>
                <w:color w:val="auto"/>
                <w:sz w:val="24"/>
                <w:szCs w:val="24"/>
                <w:highlight w:val="none"/>
              </w:rPr>
              <w:t>企业业绩</w:t>
            </w:r>
          </w:p>
          <w:p w14:paraId="019E76AD">
            <w:pPr>
              <w:jc w:val="center"/>
              <w:rPr>
                <w:rFonts w:cs="Times New Roman"/>
                <w:sz w:val="24"/>
                <w:szCs w:val="24"/>
                <w:highlight w:val="none"/>
              </w:rPr>
            </w:pPr>
            <w:r>
              <w:rPr>
                <w:rFonts w:hint="eastAsia" w:ascii="宋体" w:hAnsi="宋体" w:eastAsia="宋体" w:cs="Times New Roman"/>
                <w:sz w:val="24"/>
                <w:szCs w:val="24"/>
                <w:highlight w:val="none"/>
              </w:rPr>
              <w:t>（6分）</w:t>
            </w:r>
          </w:p>
        </w:tc>
        <w:tc>
          <w:tcPr>
            <w:tcW w:w="6426" w:type="dxa"/>
            <w:tcBorders>
              <w:top w:val="single" w:color="auto" w:sz="4" w:space="0"/>
              <w:left w:val="nil"/>
              <w:bottom w:val="single" w:color="auto" w:sz="4" w:space="0"/>
              <w:right w:val="single" w:color="auto" w:sz="4" w:space="0"/>
            </w:tcBorders>
            <w:vAlign w:val="center"/>
          </w:tcPr>
          <w:p w14:paraId="373B7B67">
            <w:pPr>
              <w:pStyle w:val="20"/>
              <w:spacing w:line="440" w:lineRule="exact"/>
              <w:rPr>
                <w:rFonts w:cs="Times New Roman"/>
                <w:color w:val="auto"/>
                <w:sz w:val="24"/>
                <w:szCs w:val="24"/>
                <w:highlight w:val="none"/>
              </w:rPr>
            </w:pPr>
            <w:r>
              <w:rPr>
                <w:rFonts w:hint="eastAsia" w:cs="Times New Roman"/>
                <w:color w:val="auto"/>
                <w:sz w:val="24"/>
                <w:szCs w:val="24"/>
                <w:highlight w:val="none"/>
              </w:rPr>
              <w:t>投标供应商或制造商2023年1月1日以来（以合同签订时间为准）具有类似业绩的，每有一项得</w:t>
            </w:r>
            <w:r>
              <w:rPr>
                <w:rFonts w:hint="eastAsia" w:cs="Times New Roman"/>
                <w:color w:val="auto"/>
                <w:sz w:val="24"/>
                <w:szCs w:val="24"/>
                <w:highlight w:val="none"/>
                <w:lang w:val="en-US" w:eastAsia="zh-CN"/>
              </w:rPr>
              <w:t>3</w:t>
            </w:r>
            <w:r>
              <w:rPr>
                <w:rFonts w:hint="eastAsia" w:cs="Times New Roman"/>
                <w:color w:val="auto"/>
                <w:sz w:val="24"/>
                <w:szCs w:val="24"/>
                <w:highlight w:val="none"/>
              </w:rPr>
              <w:t>分，最多得6分（注：需提供中标通知书或合同扫描件，否则不计分）。</w:t>
            </w:r>
          </w:p>
        </w:tc>
      </w:tr>
      <w:tr w14:paraId="32AC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00" w:type="dxa"/>
            <w:vMerge w:val="continue"/>
            <w:tcBorders>
              <w:left w:val="single" w:color="auto" w:sz="4" w:space="0"/>
              <w:right w:val="single" w:color="auto" w:sz="4" w:space="0"/>
            </w:tcBorders>
            <w:vAlign w:val="center"/>
          </w:tcPr>
          <w:p w14:paraId="3200ECC5">
            <w:pPr>
              <w:spacing w:line="360" w:lineRule="exact"/>
              <w:rPr>
                <w:rFonts w:ascii="宋体" w:hAnsi="宋体" w:eastAsia="宋体" w:cs="宋体"/>
                <w:color w:val="0000FF"/>
                <w:sz w:val="24"/>
                <w:szCs w:val="24"/>
                <w:highlight w:val="none"/>
              </w:rPr>
            </w:pPr>
          </w:p>
        </w:tc>
        <w:tc>
          <w:tcPr>
            <w:tcW w:w="1981" w:type="dxa"/>
            <w:tcBorders>
              <w:top w:val="single" w:color="auto" w:sz="4" w:space="0"/>
              <w:left w:val="single" w:color="auto" w:sz="4" w:space="0"/>
              <w:bottom w:val="single" w:color="auto" w:sz="4" w:space="0"/>
              <w:right w:val="single" w:color="auto" w:sz="4" w:space="0"/>
            </w:tcBorders>
            <w:vAlign w:val="center"/>
          </w:tcPr>
          <w:p w14:paraId="68881F99">
            <w:pPr>
              <w:widowControl/>
              <w:spacing w:line="480" w:lineRule="exact"/>
              <w:jc w:val="center"/>
              <w:rPr>
                <w:rFonts w:ascii="宋体" w:hAnsi="宋体" w:eastAsia="宋体" w:cs="宋体"/>
                <w:sz w:val="24"/>
                <w:szCs w:val="24"/>
                <w:highlight w:val="none"/>
              </w:rPr>
            </w:pPr>
          </w:p>
          <w:p w14:paraId="49312F36">
            <w:pPr>
              <w:widowControl/>
              <w:spacing w:line="480" w:lineRule="exact"/>
              <w:jc w:val="center"/>
              <w:rPr>
                <w:rFonts w:ascii="宋体" w:hAnsi="宋体" w:eastAsia="宋体" w:cs="宋体"/>
                <w:sz w:val="24"/>
                <w:szCs w:val="24"/>
                <w:highlight w:val="none"/>
              </w:rPr>
            </w:pPr>
          </w:p>
          <w:p w14:paraId="7EED0367">
            <w:pPr>
              <w:widowControl/>
              <w:spacing w:line="480" w:lineRule="exact"/>
              <w:jc w:val="center"/>
              <w:rPr>
                <w:rFonts w:ascii="宋体" w:hAnsi="宋体" w:eastAsia="宋体" w:cs="宋体"/>
                <w:sz w:val="24"/>
                <w:szCs w:val="24"/>
                <w:highlight w:val="none"/>
              </w:rPr>
            </w:pPr>
          </w:p>
          <w:p w14:paraId="65A88FFC">
            <w:pPr>
              <w:widowControl/>
              <w:spacing w:line="480" w:lineRule="exact"/>
              <w:jc w:val="center"/>
              <w:rPr>
                <w:rFonts w:ascii="宋体" w:hAnsi="宋体" w:eastAsia="宋体" w:cs="宋体"/>
                <w:sz w:val="24"/>
                <w:szCs w:val="24"/>
                <w:highlight w:val="none"/>
              </w:rPr>
            </w:pPr>
            <w:r>
              <w:rPr>
                <w:rFonts w:hint="eastAsia" w:ascii="宋体" w:hAnsi="宋体" w:eastAsia="宋体" w:cs="宋体"/>
                <w:sz w:val="24"/>
                <w:szCs w:val="24"/>
                <w:highlight w:val="none"/>
              </w:rPr>
              <w:t>应急保障方案（7分）</w:t>
            </w:r>
          </w:p>
        </w:tc>
        <w:tc>
          <w:tcPr>
            <w:tcW w:w="6426" w:type="dxa"/>
            <w:tcBorders>
              <w:top w:val="single" w:color="auto" w:sz="4" w:space="0"/>
              <w:left w:val="nil"/>
              <w:bottom w:val="single" w:color="auto" w:sz="4" w:space="0"/>
              <w:right w:val="single" w:color="auto" w:sz="4" w:space="0"/>
            </w:tcBorders>
            <w:vAlign w:val="center"/>
          </w:tcPr>
          <w:p w14:paraId="0EA8A345">
            <w:pPr>
              <w:widowControl/>
              <w:spacing w:line="480" w:lineRule="exact"/>
              <w:jc w:val="left"/>
              <w:rPr>
                <w:rFonts w:ascii="宋体" w:hAnsi="宋体" w:eastAsia="宋体" w:cs="宋体"/>
                <w:sz w:val="24"/>
                <w:szCs w:val="24"/>
                <w:highlight w:val="none"/>
              </w:rPr>
            </w:pPr>
            <w:r>
              <w:rPr>
                <w:rFonts w:hint="eastAsia" w:ascii="宋体" w:hAnsi="宋体" w:eastAsia="宋体" w:cs="宋体"/>
                <w:sz w:val="24"/>
                <w:szCs w:val="24"/>
                <w:highlight w:val="none"/>
              </w:rPr>
              <w:t>投标供应商或生产厂家根据本项目特点提供应急保障方案，方案内容及措施 (至少应包含但不限于：应急保障方案的可操作性、应急救援保障服务能力、 完整的应急救援体系、完善的风险保障措施等) 进行分档计分：</w:t>
            </w:r>
          </w:p>
          <w:p w14:paraId="768C570B">
            <w:pPr>
              <w:widowControl/>
              <w:spacing w:line="480" w:lineRule="exact"/>
              <w:jc w:val="left"/>
              <w:rPr>
                <w:rFonts w:ascii="宋体" w:hAnsi="宋体" w:eastAsia="宋体" w:cs="宋体"/>
                <w:sz w:val="24"/>
                <w:szCs w:val="24"/>
                <w:highlight w:val="none"/>
              </w:rPr>
            </w:pPr>
            <w:r>
              <w:rPr>
                <w:rFonts w:hint="eastAsia" w:ascii="宋体" w:hAnsi="宋体" w:eastAsia="宋体" w:cs="宋体"/>
                <w:sz w:val="24"/>
                <w:szCs w:val="24"/>
                <w:highlight w:val="none"/>
              </w:rPr>
              <w:t>第一档：方案思路清晰、合理、措施完善、科学、针对性强的计7分；</w:t>
            </w:r>
          </w:p>
          <w:p w14:paraId="00F43E0E">
            <w:pPr>
              <w:widowControl/>
              <w:spacing w:line="480" w:lineRule="exact"/>
              <w:jc w:val="left"/>
              <w:rPr>
                <w:rFonts w:ascii="宋体" w:hAnsi="宋体" w:eastAsia="宋体" w:cs="宋体"/>
                <w:sz w:val="24"/>
                <w:szCs w:val="24"/>
                <w:highlight w:val="none"/>
              </w:rPr>
            </w:pPr>
            <w:r>
              <w:rPr>
                <w:rFonts w:hint="eastAsia" w:ascii="宋体" w:hAnsi="宋体" w:eastAsia="宋体" w:cs="宋体"/>
                <w:sz w:val="24"/>
                <w:szCs w:val="24"/>
                <w:highlight w:val="none"/>
              </w:rPr>
              <w:t>第二档：方案思路较清晰、较合理、措施较完善、较科学、针对性较 强的计4分；</w:t>
            </w:r>
          </w:p>
          <w:p w14:paraId="34FD58B5">
            <w:pPr>
              <w:widowControl/>
              <w:spacing w:line="480" w:lineRule="exact"/>
              <w:jc w:val="left"/>
              <w:rPr>
                <w:rFonts w:ascii="宋体" w:hAnsi="宋体" w:eastAsia="宋体" w:cs="宋体"/>
                <w:sz w:val="24"/>
                <w:szCs w:val="24"/>
                <w:highlight w:val="none"/>
              </w:rPr>
            </w:pPr>
            <w:r>
              <w:rPr>
                <w:rFonts w:hint="eastAsia" w:ascii="宋体" w:hAnsi="宋体" w:eastAsia="宋体" w:cs="宋体"/>
                <w:sz w:val="24"/>
                <w:szCs w:val="24"/>
                <w:highlight w:val="none"/>
              </w:rPr>
              <w:t xml:space="preserve">第三档：方案思路欠清晰、欠合理、措施欠完善、欠科学、针对性一般的计1分；                                                  </w:t>
            </w:r>
          </w:p>
          <w:p w14:paraId="7640E561">
            <w:pPr>
              <w:widowControl/>
              <w:spacing w:line="480" w:lineRule="exact"/>
              <w:jc w:val="left"/>
              <w:rPr>
                <w:rFonts w:ascii="宋体" w:hAnsi="宋体" w:eastAsia="宋体" w:cs="宋体"/>
                <w:sz w:val="24"/>
                <w:szCs w:val="24"/>
                <w:highlight w:val="none"/>
              </w:rPr>
            </w:pPr>
            <w:r>
              <w:rPr>
                <w:rFonts w:hint="eastAsia" w:ascii="宋体" w:hAnsi="宋体" w:eastAsia="宋体" w:cs="宋体"/>
                <w:sz w:val="24"/>
                <w:szCs w:val="24"/>
                <w:highlight w:val="none"/>
              </w:rPr>
              <w:t>未提供的不计分。</w:t>
            </w:r>
          </w:p>
        </w:tc>
      </w:tr>
      <w:tr w14:paraId="0F4A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00" w:type="dxa"/>
            <w:vMerge w:val="continue"/>
            <w:tcBorders>
              <w:left w:val="single" w:color="auto" w:sz="4" w:space="0"/>
              <w:right w:val="single" w:color="auto" w:sz="4" w:space="0"/>
            </w:tcBorders>
            <w:vAlign w:val="center"/>
          </w:tcPr>
          <w:p w14:paraId="247B454D">
            <w:pPr>
              <w:spacing w:line="360" w:lineRule="exact"/>
              <w:rPr>
                <w:rFonts w:ascii="宋体" w:hAnsi="宋体" w:eastAsia="宋体" w:cs="宋体"/>
                <w:color w:val="0000FF"/>
                <w:sz w:val="24"/>
                <w:szCs w:val="24"/>
                <w:highlight w:val="none"/>
              </w:rPr>
            </w:pPr>
          </w:p>
        </w:tc>
        <w:tc>
          <w:tcPr>
            <w:tcW w:w="1981" w:type="dxa"/>
            <w:tcBorders>
              <w:top w:val="single" w:color="auto" w:sz="4" w:space="0"/>
              <w:left w:val="single" w:color="auto" w:sz="4" w:space="0"/>
              <w:bottom w:val="single" w:color="auto" w:sz="4" w:space="0"/>
              <w:right w:val="single" w:color="auto" w:sz="4" w:space="0"/>
            </w:tcBorders>
            <w:vAlign w:val="center"/>
          </w:tcPr>
          <w:p w14:paraId="281E708B">
            <w:pPr>
              <w:jc w:val="center"/>
              <w:rPr>
                <w:rFonts w:ascii="宋体" w:hAnsi="宋体" w:eastAsia="宋体" w:cs="宋体"/>
                <w:bCs/>
                <w:sz w:val="24"/>
                <w:szCs w:val="24"/>
                <w:highlight w:val="none"/>
              </w:rPr>
            </w:pPr>
            <w:r>
              <w:rPr>
                <w:rFonts w:hint="eastAsia" w:ascii="宋体" w:hAnsi="宋体" w:eastAsia="宋体" w:cs="宋体"/>
                <w:bCs/>
                <w:sz w:val="24"/>
                <w:szCs w:val="24"/>
                <w:highlight w:val="none"/>
              </w:rPr>
              <w:t>售后服务</w:t>
            </w:r>
          </w:p>
          <w:p w14:paraId="32D0489B">
            <w:pPr>
              <w:jc w:val="center"/>
              <w:rPr>
                <w:rFonts w:ascii="宋体" w:hAnsi="宋体" w:eastAsia="宋体" w:cs="宋体"/>
                <w:color w:val="0000FF"/>
                <w:sz w:val="24"/>
                <w:szCs w:val="24"/>
                <w:highlight w:val="none"/>
              </w:rPr>
            </w:pPr>
            <w:r>
              <w:rPr>
                <w:rFonts w:hint="eastAsia" w:ascii="宋体" w:hAnsi="宋体" w:eastAsia="宋体" w:cs="宋体"/>
                <w:kern w:val="0"/>
                <w:sz w:val="24"/>
                <w:highlight w:val="none"/>
              </w:rPr>
              <w:t>（</w:t>
            </w:r>
            <w:r>
              <w:rPr>
                <w:rFonts w:hint="eastAsia" w:ascii="宋体" w:hAnsi="宋体" w:eastAsia="宋体" w:cs="宋体"/>
                <w:sz w:val="24"/>
                <w:highlight w:val="none"/>
              </w:rPr>
              <w:t>12分</w:t>
            </w:r>
            <w:r>
              <w:rPr>
                <w:rFonts w:hint="eastAsia" w:ascii="宋体" w:hAnsi="宋体" w:eastAsia="宋体" w:cs="宋体"/>
                <w:kern w:val="0"/>
                <w:sz w:val="24"/>
                <w:highlight w:val="none"/>
              </w:rPr>
              <w:t>）</w:t>
            </w:r>
          </w:p>
        </w:tc>
        <w:tc>
          <w:tcPr>
            <w:tcW w:w="6426" w:type="dxa"/>
            <w:tcBorders>
              <w:top w:val="single" w:color="auto" w:sz="4" w:space="0"/>
              <w:left w:val="nil"/>
              <w:bottom w:val="single" w:color="auto" w:sz="4" w:space="0"/>
              <w:right w:val="single" w:color="auto" w:sz="4" w:space="0"/>
            </w:tcBorders>
            <w:vAlign w:val="center"/>
          </w:tcPr>
          <w:p w14:paraId="7B7E406A">
            <w:pPr>
              <w:widowControl/>
              <w:spacing w:line="480" w:lineRule="exact"/>
              <w:jc w:val="left"/>
              <w:rPr>
                <w:rFonts w:ascii="宋体" w:hAnsi="宋体" w:eastAsia="宋体" w:cs="宋体"/>
                <w:sz w:val="24"/>
                <w:szCs w:val="24"/>
                <w:highlight w:val="none"/>
              </w:rPr>
            </w:pPr>
            <w:r>
              <w:rPr>
                <w:rFonts w:hint="eastAsia" w:ascii="宋体" w:hAnsi="宋体" w:eastAsia="宋体" w:cs="宋体"/>
                <w:sz w:val="24"/>
                <w:szCs w:val="24"/>
                <w:highlight w:val="none"/>
              </w:rPr>
              <w:t>投标供应商或生产厂家根据本项目特点提供售后服务方案，方案内容及措施 (至少应包含但不限于：售后人员配备名单、售后响应时间、售后流程、售后服务承诺、故障解决流程、制造厂商售后服务承诺等) 进行分档计分：</w:t>
            </w:r>
          </w:p>
          <w:p w14:paraId="357A281B">
            <w:pPr>
              <w:widowControl/>
              <w:spacing w:line="480" w:lineRule="exact"/>
              <w:jc w:val="left"/>
              <w:rPr>
                <w:rFonts w:ascii="宋体" w:hAnsi="宋体" w:eastAsia="宋体" w:cs="宋体"/>
                <w:sz w:val="24"/>
                <w:szCs w:val="24"/>
                <w:highlight w:val="none"/>
              </w:rPr>
            </w:pPr>
            <w:r>
              <w:rPr>
                <w:rFonts w:hint="eastAsia" w:ascii="宋体" w:hAnsi="宋体" w:eastAsia="宋体" w:cs="宋体"/>
                <w:sz w:val="24"/>
                <w:szCs w:val="24"/>
                <w:highlight w:val="none"/>
              </w:rPr>
              <w:t>第一档：方案思路清晰、合理、措施完善、科学、针对性强的计12分；</w:t>
            </w:r>
          </w:p>
          <w:p w14:paraId="2A61688E">
            <w:pPr>
              <w:widowControl/>
              <w:spacing w:line="480" w:lineRule="exact"/>
              <w:jc w:val="left"/>
              <w:rPr>
                <w:rFonts w:ascii="宋体" w:hAnsi="宋体" w:eastAsia="宋体" w:cs="宋体"/>
                <w:sz w:val="24"/>
                <w:szCs w:val="24"/>
                <w:highlight w:val="none"/>
              </w:rPr>
            </w:pPr>
            <w:r>
              <w:rPr>
                <w:rFonts w:hint="eastAsia" w:ascii="宋体" w:hAnsi="宋体" w:eastAsia="宋体" w:cs="宋体"/>
                <w:sz w:val="24"/>
                <w:szCs w:val="24"/>
                <w:highlight w:val="none"/>
              </w:rPr>
              <w:t>第二档：方案思路较清晰、较合理、措施较完善、较科学、针对性较强的计8分；</w:t>
            </w:r>
          </w:p>
          <w:p w14:paraId="75F4D3C5">
            <w:pPr>
              <w:widowControl/>
              <w:spacing w:line="480" w:lineRule="exact"/>
              <w:jc w:val="left"/>
              <w:rPr>
                <w:rFonts w:ascii="宋体" w:hAnsi="宋体" w:eastAsia="宋体" w:cs="宋体"/>
                <w:sz w:val="24"/>
                <w:szCs w:val="24"/>
                <w:highlight w:val="none"/>
              </w:rPr>
            </w:pPr>
            <w:r>
              <w:rPr>
                <w:rFonts w:hint="eastAsia" w:ascii="宋体" w:hAnsi="宋体" w:eastAsia="宋体" w:cs="宋体"/>
                <w:sz w:val="24"/>
                <w:szCs w:val="24"/>
                <w:highlight w:val="none"/>
              </w:rPr>
              <w:t>第三档：方案思路欠清晰、欠合理、措施欠完善、欠科学、针对性一般的计3分；</w:t>
            </w:r>
          </w:p>
          <w:p w14:paraId="4C6D11A5">
            <w:pPr>
              <w:spacing w:line="400" w:lineRule="exact"/>
              <w:rPr>
                <w:rFonts w:ascii="Calibri" w:hAnsi="Calibri" w:eastAsia="宋体" w:cs="Times New Roman"/>
                <w:highlight w:val="none"/>
              </w:rPr>
            </w:pPr>
            <w:r>
              <w:rPr>
                <w:rFonts w:hint="eastAsia" w:ascii="宋体" w:hAnsi="宋体" w:eastAsia="宋体" w:cs="宋体"/>
                <w:sz w:val="24"/>
                <w:szCs w:val="24"/>
                <w:highlight w:val="none"/>
              </w:rPr>
              <w:t>未提供的不计分。</w:t>
            </w:r>
          </w:p>
        </w:tc>
      </w:tr>
    </w:tbl>
    <w:p w14:paraId="42064800">
      <w:pPr>
        <w:widowControl/>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供应商综合得分按下列公式计算（计算分值均保留两位小数）；</w:t>
      </w:r>
    </w:p>
    <w:p w14:paraId="060503F1">
      <w:pPr>
        <w:widowControl/>
        <w:spacing w:line="360" w:lineRule="auto"/>
        <w:rPr>
          <w:rFonts w:ascii="宋体" w:hAnsi="宋体" w:eastAsia="宋体" w:cs="Calibri"/>
          <w:szCs w:val="21"/>
          <w:highlight w:val="none"/>
        </w:rPr>
      </w:pPr>
      <w:r>
        <w:rPr>
          <w:rFonts w:hint="eastAsia" w:ascii="宋体" w:hAnsi="宋体" w:eastAsia="宋体" w:cs="Calibri"/>
          <w:b/>
          <w:bCs/>
          <w:kern w:val="0"/>
          <w:sz w:val="24"/>
          <w:highlight w:val="none"/>
        </w:rPr>
        <w:t>注：评分办法中要求材料均以原件扫描件为准，保证清晰可见。</w:t>
      </w:r>
    </w:p>
    <w:p w14:paraId="0974E329">
      <w:pPr>
        <w:spacing w:line="480" w:lineRule="exact"/>
        <w:jc w:val="left"/>
        <w:outlineLvl w:val="1"/>
        <w:rPr>
          <w:rFonts w:ascii="宋体" w:hAnsi="宋体" w:eastAsia="宋体" w:cs="宋体"/>
          <w:b/>
          <w:bCs/>
          <w:sz w:val="24"/>
          <w:szCs w:val="24"/>
          <w:highlight w:val="none"/>
        </w:rPr>
      </w:pPr>
      <w:bookmarkStart w:id="194" w:name="_Toc19222"/>
      <w:r>
        <w:rPr>
          <w:rFonts w:hint="eastAsia" w:ascii="宋体" w:hAnsi="宋体" w:eastAsia="宋体" w:cs="宋体"/>
          <w:b/>
          <w:bCs/>
          <w:sz w:val="24"/>
          <w:szCs w:val="24"/>
          <w:highlight w:val="none"/>
        </w:rPr>
        <w:t>三、综合评估法</w:t>
      </w:r>
      <w:bookmarkEnd w:id="194"/>
    </w:p>
    <w:p w14:paraId="643B4E9E">
      <w:pPr>
        <w:spacing w:line="460" w:lineRule="exact"/>
        <w:ind w:firstLine="480" w:firstLineChars="200"/>
        <w:jc w:val="left"/>
        <w:outlineLvl w:val="2"/>
        <w:rPr>
          <w:rFonts w:ascii="宋体" w:hAnsi="宋体" w:eastAsia="宋体" w:cs="宋体"/>
          <w:sz w:val="24"/>
          <w:szCs w:val="24"/>
          <w:highlight w:val="none"/>
        </w:rPr>
      </w:pPr>
      <w:bookmarkStart w:id="195" w:name="_Toc22573"/>
      <w:r>
        <w:rPr>
          <w:rFonts w:hint="eastAsia" w:ascii="宋体" w:hAnsi="宋体" w:eastAsia="宋体" w:cs="宋体"/>
          <w:sz w:val="24"/>
          <w:szCs w:val="24"/>
          <w:highlight w:val="none"/>
        </w:rPr>
        <w:t>3.1、本次采用综合评估法。</w:t>
      </w:r>
      <w:bookmarkEnd w:id="195"/>
    </w:p>
    <w:p w14:paraId="5244027A">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磋商小组按与各供应商分别单独就采购需求、质量和服务等进行磋商，并将磋商内容记录在案，磋商结束后，磋商小组将要求实质性响应竞争性磋商文件的供应商在规定时间内提交最后报价。在规定时间内没有提交最后报价的磋商供应商，将视其首次报价为最终报价。未通过实质性响应的供应商将不再进行最后报价。经磋商确定最终采购需求和提交最后报价的供应商后，由磋商小组采用综合评分法对提交最后报价的供应商的响应文件和最后报价进行综合评分。</w:t>
      </w:r>
    </w:p>
    <w:p w14:paraId="161FDE8F">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磋商小组对满足采购文件实质性要求的响应文件，按照本章规定的评分标准进行打分，按最终得分由高到低顺序推荐候选成交供应商。得分相同的，按照最后报价由低到高的顺序推荐。评审得分且最后报价相同的，按照技术指标优劣顺序推荐。</w:t>
      </w:r>
    </w:p>
    <w:p w14:paraId="5FA9DE6D">
      <w:pPr>
        <w:spacing w:line="460" w:lineRule="exact"/>
        <w:ind w:firstLine="520" w:firstLineChars="217"/>
        <w:jc w:val="left"/>
        <w:rPr>
          <w:rFonts w:ascii="宋体" w:hAnsi="宋体" w:eastAsia="宋体" w:cs="宋体"/>
          <w:sz w:val="24"/>
          <w:szCs w:val="24"/>
          <w:highlight w:val="none"/>
        </w:rPr>
      </w:pPr>
      <w:r>
        <w:rPr>
          <w:rFonts w:hint="eastAsia" w:ascii="宋体" w:hAnsi="宋体" w:eastAsia="宋体" w:cs="宋体"/>
          <w:sz w:val="24"/>
          <w:szCs w:val="24"/>
          <w:highlight w:val="none"/>
        </w:rPr>
        <w:t>3.2、评分分值计算保留小数点后两位，小数点后第三位“四舍五入”。</w:t>
      </w:r>
    </w:p>
    <w:p w14:paraId="12C6EA92">
      <w:pPr>
        <w:spacing w:line="460" w:lineRule="exact"/>
        <w:ind w:firstLine="520" w:firstLineChars="217"/>
        <w:jc w:val="left"/>
        <w:rPr>
          <w:rFonts w:ascii="宋体" w:hAnsi="宋体" w:eastAsia="宋体" w:cs="宋体"/>
          <w:sz w:val="24"/>
          <w:szCs w:val="24"/>
          <w:highlight w:val="none"/>
        </w:rPr>
      </w:pPr>
      <w:r>
        <w:rPr>
          <w:rFonts w:hint="eastAsia" w:ascii="宋体" w:hAnsi="宋体" w:eastAsia="宋体" w:cs="宋体"/>
          <w:sz w:val="24"/>
          <w:szCs w:val="24"/>
          <w:highlight w:val="none"/>
        </w:rPr>
        <w:t xml:space="preserve">3.3、在评标过程中，凡遇到磋商文件中无界定或界定不清、前后不一致使磋商小组成员意见有分歧且又难以协商一致的问题，均由磋商小组成员投票予以表决，少数服从多数原则确定。 </w:t>
      </w:r>
    </w:p>
    <w:p w14:paraId="742196E3">
      <w:pPr>
        <w:spacing w:line="460" w:lineRule="exact"/>
        <w:ind w:firstLine="480" w:firstLineChars="200"/>
        <w:jc w:val="left"/>
        <w:outlineLvl w:val="2"/>
        <w:rPr>
          <w:rFonts w:ascii="宋体" w:hAnsi="宋体" w:eastAsia="宋体" w:cs="宋体"/>
          <w:sz w:val="24"/>
          <w:szCs w:val="24"/>
          <w:highlight w:val="none"/>
        </w:rPr>
      </w:pPr>
      <w:bookmarkStart w:id="196" w:name="_Toc23408"/>
      <w:r>
        <w:rPr>
          <w:rFonts w:hint="eastAsia" w:ascii="宋体" w:hAnsi="宋体" w:eastAsia="宋体" w:cs="宋体"/>
          <w:sz w:val="24"/>
          <w:szCs w:val="24"/>
          <w:highlight w:val="none"/>
        </w:rPr>
        <w:t>3.4、磋商小组完成评审后，向采购人出具评审报告。</w:t>
      </w:r>
      <w:bookmarkEnd w:id="196"/>
    </w:p>
    <w:p w14:paraId="47A676FA">
      <w:pPr>
        <w:spacing w:line="480" w:lineRule="exact"/>
        <w:jc w:val="left"/>
        <w:outlineLvl w:val="1"/>
        <w:rPr>
          <w:rFonts w:ascii="宋体" w:hAnsi="宋体" w:eastAsia="宋体" w:cs="宋体"/>
          <w:b/>
          <w:bCs/>
          <w:sz w:val="24"/>
          <w:szCs w:val="24"/>
          <w:highlight w:val="none"/>
        </w:rPr>
      </w:pPr>
      <w:bookmarkStart w:id="197" w:name="_Toc30530"/>
      <w:r>
        <w:rPr>
          <w:rFonts w:hint="eastAsia" w:ascii="宋体" w:hAnsi="宋体" w:eastAsia="宋体" w:cs="宋体"/>
          <w:b/>
          <w:bCs/>
          <w:sz w:val="24"/>
          <w:szCs w:val="24"/>
          <w:highlight w:val="none"/>
        </w:rPr>
        <w:t>四、磋商程序</w:t>
      </w:r>
      <w:bookmarkEnd w:id="197"/>
      <w:r>
        <w:rPr>
          <w:rFonts w:hint="eastAsia" w:ascii="宋体" w:hAnsi="宋体" w:eastAsia="宋体" w:cs="宋体"/>
          <w:b/>
          <w:bCs/>
          <w:sz w:val="24"/>
          <w:szCs w:val="24"/>
          <w:highlight w:val="none"/>
        </w:rPr>
        <w:t xml:space="preserve"> </w:t>
      </w:r>
    </w:p>
    <w:p w14:paraId="582F400B">
      <w:pPr>
        <w:spacing w:line="480" w:lineRule="exact"/>
        <w:ind w:firstLine="482" w:firstLineChars="200"/>
        <w:jc w:val="left"/>
        <w:outlineLvl w:val="2"/>
        <w:rPr>
          <w:rFonts w:ascii="宋体" w:hAnsi="宋体" w:eastAsia="宋体" w:cs="宋体"/>
          <w:b/>
          <w:bCs/>
          <w:sz w:val="24"/>
          <w:szCs w:val="24"/>
          <w:highlight w:val="none"/>
        </w:rPr>
      </w:pPr>
      <w:bookmarkStart w:id="198" w:name="_Toc880"/>
      <w:r>
        <w:rPr>
          <w:rFonts w:hint="eastAsia" w:ascii="宋体" w:hAnsi="宋体" w:eastAsia="宋体" w:cs="宋体"/>
          <w:b/>
          <w:bCs/>
          <w:sz w:val="24"/>
          <w:szCs w:val="24"/>
          <w:highlight w:val="none"/>
        </w:rPr>
        <w:t>4.1 初步评审</w:t>
      </w:r>
      <w:bookmarkEnd w:id="198"/>
      <w:r>
        <w:rPr>
          <w:rFonts w:hint="eastAsia" w:ascii="宋体" w:hAnsi="宋体" w:eastAsia="宋体" w:cs="宋体"/>
          <w:b/>
          <w:bCs/>
          <w:sz w:val="24"/>
          <w:szCs w:val="24"/>
          <w:highlight w:val="none"/>
        </w:rPr>
        <w:t xml:space="preserve"> </w:t>
      </w:r>
    </w:p>
    <w:p w14:paraId="27B8BD11">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1</w:t>
      </w:r>
      <w:r>
        <w:rPr>
          <w:rFonts w:hint="eastAsia" w:ascii="宋体" w:hAnsi="宋体" w:eastAsia="宋体" w:cs="宋体"/>
          <w:sz w:val="24"/>
          <w:szCs w:val="24"/>
          <w:highlight w:val="none"/>
        </w:rPr>
        <w:t xml:space="preserve">磋商小组依据本章附表 1 初步评审表规定的标准对磋商响应文件进行初步评审。有一项不符合评审标准的，作无效标处理。 </w:t>
      </w:r>
    </w:p>
    <w:p w14:paraId="7539EB32">
      <w:pPr>
        <w:spacing w:line="460" w:lineRule="exact"/>
        <w:ind w:firstLine="480" w:firstLineChars="200"/>
        <w:jc w:val="left"/>
        <w:outlineLvl w:val="3"/>
        <w:rPr>
          <w:rFonts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2</w:t>
      </w:r>
      <w:r>
        <w:rPr>
          <w:rFonts w:hint="eastAsia" w:ascii="宋体" w:hAnsi="宋体" w:eastAsia="宋体" w:cs="宋体"/>
          <w:sz w:val="24"/>
          <w:szCs w:val="24"/>
          <w:highlight w:val="none"/>
        </w:rPr>
        <w:t xml:space="preserve">供应商有以下情形之一的，其磋商作无效标处理： </w:t>
      </w:r>
    </w:p>
    <w:p w14:paraId="4A00DBF1">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 xml:space="preserve">（1）串通磋商或弄虚作假或有其他违法行为的； </w:t>
      </w:r>
    </w:p>
    <w:p w14:paraId="1E029348">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 xml:space="preserve">（2）不按磋商小组要求澄清、说明或补正的。 </w:t>
      </w:r>
    </w:p>
    <w:p w14:paraId="63D8E5C1">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4.1.</w:t>
      </w:r>
      <w:r>
        <w:rPr>
          <w:rFonts w:ascii="宋体" w:hAnsi="宋体" w:eastAsia="宋体" w:cs="宋体"/>
          <w:sz w:val="24"/>
          <w:szCs w:val="24"/>
          <w:highlight w:val="none"/>
        </w:rPr>
        <w:t>3</w:t>
      </w:r>
      <w:r>
        <w:rPr>
          <w:rFonts w:hint="eastAsia" w:ascii="宋体" w:hAnsi="宋体" w:eastAsia="宋体" w:cs="宋体"/>
          <w:sz w:val="24"/>
          <w:szCs w:val="24"/>
          <w:highlight w:val="none"/>
        </w:rPr>
        <w:t xml:space="preserve">磋商报价有算术错误的，磋商小组按以下原则对磋商报价进行修正，修正的价格经供应商确认后具有约束力。供应商不接受修正价格的，其磋商作废标处理。 </w:t>
      </w:r>
    </w:p>
    <w:p w14:paraId="12F30A96">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 xml:space="preserve">（1）磋商文件中的大写金额与小写金额不一致的，以大写金额为准； </w:t>
      </w:r>
    </w:p>
    <w:p w14:paraId="10E9DE6F">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（2）总价金额与依据单价计算出的结果不一致的，以单价金额为准修正总价，但单价金额小数点有明显错误的除外。</w:t>
      </w:r>
    </w:p>
    <w:p w14:paraId="7706F5CD">
      <w:pPr>
        <w:spacing w:line="460" w:lineRule="exact"/>
        <w:ind w:firstLine="482" w:firstLineChars="200"/>
        <w:jc w:val="left"/>
        <w:outlineLvl w:val="2"/>
        <w:rPr>
          <w:rFonts w:ascii="宋体" w:hAnsi="宋体" w:eastAsia="宋体" w:cs="宋体"/>
          <w:b/>
          <w:bCs/>
          <w:sz w:val="24"/>
          <w:szCs w:val="24"/>
          <w:highlight w:val="none"/>
        </w:rPr>
      </w:pPr>
      <w:bookmarkStart w:id="199" w:name="_Toc3753"/>
      <w:r>
        <w:rPr>
          <w:rFonts w:hint="eastAsia" w:ascii="宋体" w:hAnsi="宋体" w:eastAsia="宋体" w:cs="宋体"/>
          <w:b/>
          <w:bCs/>
          <w:sz w:val="24"/>
          <w:szCs w:val="24"/>
          <w:highlight w:val="none"/>
        </w:rPr>
        <w:t>4.2详细评审</w:t>
      </w:r>
      <w:bookmarkEnd w:id="199"/>
      <w:r>
        <w:rPr>
          <w:rFonts w:hint="eastAsia" w:ascii="宋体" w:hAnsi="宋体" w:eastAsia="宋体" w:cs="宋体"/>
          <w:b/>
          <w:bCs/>
          <w:sz w:val="24"/>
          <w:szCs w:val="24"/>
          <w:highlight w:val="none"/>
        </w:rPr>
        <w:t xml:space="preserve"> </w:t>
      </w:r>
    </w:p>
    <w:p w14:paraId="6110C37D">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4.2.1磋商小组按本章评标办法前附表规定的量化因素和分值进行打分，并计算出综合评估得分。</w:t>
      </w:r>
    </w:p>
    <w:p w14:paraId="5B2882BA">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4.2.2在评审过程中，磋商小组发现供应商的磋商报价明显低于其他供应商的报价，并有可能低于其企业成本的，则磋商小组可以要求该供应商作出说明并提供相关证明材料。供应商不能合理说明或不能提供相关证明材料的，经磋商小组</w:t>
      </w:r>
      <w:r>
        <w:rPr>
          <w:rFonts w:hint="eastAsia" w:ascii="宋体" w:hAnsi="宋体" w:eastAsia="宋体" w:cs="宋体"/>
          <w:spacing w:val="6"/>
          <w:sz w:val="24"/>
          <w:szCs w:val="20"/>
          <w:highlight w:val="none"/>
        </w:rPr>
        <w:t>小组认定，属于恶性竞标的，可以按废标处理；磋商小组将不对无效响应文件或废标的供应商进行评审或打分。</w:t>
      </w:r>
      <w:r>
        <w:rPr>
          <w:rFonts w:hint="eastAsia" w:ascii="宋体" w:hAnsi="宋体" w:eastAsia="宋体" w:cs="宋体"/>
          <w:sz w:val="24"/>
          <w:szCs w:val="24"/>
          <w:highlight w:val="none"/>
        </w:rPr>
        <w:t xml:space="preserve"> </w:t>
      </w:r>
    </w:p>
    <w:p w14:paraId="3C2BFE20">
      <w:pPr>
        <w:spacing w:line="460" w:lineRule="exact"/>
        <w:ind w:firstLine="482" w:firstLineChars="200"/>
        <w:jc w:val="left"/>
        <w:outlineLvl w:val="2"/>
        <w:rPr>
          <w:rFonts w:ascii="宋体" w:hAnsi="宋体" w:eastAsia="宋体" w:cs="宋体"/>
          <w:b/>
          <w:bCs/>
          <w:sz w:val="24"/>
          <w:szCs w:val="24"/>
          <w:highlight w:val="none"/>
        </w:rPr>
      </w:pPr>
      <w:bookmarkStart w:id="200" w:name="_Toc12705"/>
      <w:r>
        <w:rPr>
          <w:rFonts w:hint="eastAsia" w:ascii="宋体" w:hAnsi="宋体" w:eastAsia="宋体" w:cs="宋体"/>
          <w:b/>
          <w:bCs/>
          <w:sz w:val="24"/>
          <w:szCs w:val="24"/>
          <w:highlight w:val="none"/>
        </w:rPr>
        <w:t>4.3磋商文件的澄清和补正</w:t>
      </w:r>
      <w:bookmarkEnd w:id="200"/>
      <w:r>
        <w:rPr>
          <w:rFonts w:hint="eastAsia" w:ascii="宋体" w:hAnsi="宋体" w:eastAsia="宋体" w:cs="宋体"/>
          <w:b/>
          <w:bCs/>
          <w:sz w:val="24"/>
          <w:szCs w:val="24"/>
          <w:highlight w:val="none"/>
        </w:rPr>
        <w:t xml:space="preserve"> </w:t>
      </w:r>
    </w:p>
    <w:p w14:paraId="7EC0E252">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 xml:space="preserve">4.3.1在磋商过程中，磋商小组可以要求供应商对所提交磋商响应文件中不明确的内容进行澄清或说明，或者对细微偏差进行补正。磋商小组不接受供应商主动提出的澄清、说明或补正。 </w:t>
      </w:r>
    </w:p>
    <w:p w14:paraId="48B755AE">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 xml:space="preserve">4.3.2澄清、说明和补正不得改变磋商文件的实质性内容（算术性错误修正的除外）。供应商的澄清、说明和补正属于磋商响应文件的组成部分。 </w:t>
      </w:r>
    </w:p>
    <w:p w14:paraId="3C5ED1A6">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 xml:space="preserve">4.3.3磋商小组对供应商提交的澄清、说明或补正有疑问的，可以要求供应商进一步澄清、说明或补正，直至满足磋商小组的要求。 </w:t>
      </w:r>
    </w:p>
    <w:p w14:paraId="1C9D9430">
      <w:pPr>
        <w:spacing w:line="460" w:lineRule="exact"/>
        <w:ind w:firstLine="482" w:firstLineChars="200"/>
        <w:jc w:val="left"/>
        <w:outlineLvl w:val="2"/>
        <w:rPr>
          <w:rFonts w:ascii="宋体" w:hAnsi="宋体" w:eastAsia="宋体" w:cs="宋体"/>
          <w:b/>
          <w:bCs/>
          <w:sz w:val="24"/>
          <w:szCs w:val="24"/>
          <w:highlight w:val="none"/>
        </w:rPr>
      </w:pPr>
      <w:bookmarkStart w:id="201" w:name="_Toc16129"/>
      <w:r>
        <w:rPr>
          <w:rFonts w:hint="eastAsia" w:ascii="宋体" w:hAnsi="宋体" w:eastAsia="宋体" w:cs="宋体"/>
          <w:b/>
          <w:bCs/>
          <w:sz w:val="24"/>
          <w:szCs w:val="24"/>
          <w:highlight w:val="none"/>
        </w:rPr>
        <w:t>4.4、计分办法</w:t>
      </w:r>
      <w:bookmarkEnd w:id="201"/>
    </w:p>
    <w:p w14:paraId="644AC8D5">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根据磋商文件、响应文件，按照评分办法，得出每个评委对响应单位的评标分数。响应单位的最终得分为所有评委对其打分的算术平均值。计分过程按四舍五入取至小数点后两位，最终得分取至小数点后二位。</w:t>
      </w:r>
    </w:p>
    <w:p w14:paraId="24077397">
      <w:pPr>
        <w:spacing w:line="460" w:lineRule="exact"/>
        <w:ind w:firstLine="482" w:firstLineChars="200"/>
        <w:jc w:val="left"/>
        <w:outlineLvl w:val="2"/>
        <w:rPr>
          <w:rFonts w:ascii="宋体" w:hAnsi="宋体" w:eastAsia="宋体" w:cs="宋体"/>
          <w:b/>
          <w:bCs/>
          <w:sz w:val="24"/>
          <w:szCs w:val="24"/>
          <w:highlight w:val="none"/>
        </w:rPr>
      </w:pPr>
      <w:bookmarkStart w:id="202" w:name="_Toc10110"/>
      <w:r>
        <w:rPr>
          <w:rFonts w:hint="eastAsia" w:ascii="宋体" w:hAnsi="宋体" w:eastAsia="宋体" w:cs="宋体"/>
          <w:b/>
          <w:bCs/>
          <w:sz w:val="24"/>
          <w:szCs w:val="24"/>
          <w:highlight w:val="none"/>
        </w:rPr>
        <w:t>4.5  磋商结果</w:t>
      </w:r>
      <w:bookmarkEnd w:id="202"/>
    </w:p>
    <w:p w14:paraId="4CEA2406">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磋商小组按照得分由高到低的顺序推荐3名中标候选人。磋商小组完成磋商后，应当向采购人提交磋商报告。</w:t>
      </w:r>
    </w:p>
    <w:p w14:paraId="4D74CE8C">
      <w:pPr>
        <w:spacing w:line="460" w:lineRule="exact"/>
        <w:ind w:firstLine="482" w:firstLineChars="200"/>
        <w:jc w:val="left"/>
        <w:outlineLvl w:val="2"/>
        <w:rPr>
          <w:rFonts w:ascii="宋体" w:hAnsi="宋体" w:eastAsia="宋体" w:cs="宋体"/>
          <w:b/>
          <w:bCs/>
          <w:sz w:val="24"/>
          <w:szCs w:val="24"/>
          <w:highlight w:val="none"/>
        </w:rPr>
      </w:pPr>
      <w:bookmarkStart w:id="203" w:name="_Toc8670"/>
      <w:r>
        <w:rPr>
          <w:rFonts w:hint="eastAsia" w:ascii="宋体" w:hAnsi="宋体" w:eastAsia="宋体" w:cs="宋体"/>
          <w:b/>
          <w:bCs/>
          <w:sz w:val="24"/>
          <w:szCs w:val="24"/>
          <w:highlight w:val="none"/>
        </w:rPr>
        <w:t>4.6 定标办法</w:t>
      </w:r>
      <w:bookmarkEnd w:id="203"/>
    </w:p>
    <w:p w14:paraId="1524BEEF">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（1）磋商小组应当根据供应商最终得分由高到低的顺序推荐3名成交候选供应商，出具磋商评审报告。</w:t>
      </w:r>
    </w:p>
    <w:p w14:paraId="3DBD83C8">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最终得分相同的，按照最后报价由低到高的顺序推荐。最终得分和最后报价均相同的，按照技术指标优劣顺序或磋商小组举手表决，少数服从多数的原则推荐。</w:t>
      </w:r>
    </w:p>
    <w:p w14:paraId="2A7568E6">
      <w:pPr>
        <w:spacing w:line="46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（2）采购人按磋商小组写出磋商报告确定排序第一的响应单位为成交人。</w:t>
      </w:r>
    </w:p>
    <w:p w14:paraId="64A2D49D">
      <w:pPr>
        <w:spacing w:line="460" w:lineRule="exact"/>
        <w:ind w:firstLine="480" w:firstLineChars="200"/>
        <w:jc w:val="left"/>
        <w:rPr>
          <w:rFonts w:ascii="Calibri" w:hAnsi="Calibri" w:eastAsia="宋体" w:cs="Times New Roman"/>
          <w:b/>
          <w:bCs/>
          <w:sz w:val="28"/>
          <w:szCs w:val="32"/>
          <w:highlight w:val="none"/>
        </w:rPr>
      </w:pPr>
      <w:r>
        <w:rPr>
          <w:rFonts w:hint="eastAsia" w:ascii="宋体" w:hAnsi="宋体" w:eastAsia="宋体" w:cs="宋体"/>
          <w:sz w:val="24"/>
          <w:szCs w:val="24"/>
          <w:highlight w:val="none"/>
        </w:rPr>
        <w:t>（3）成交供应商拒绝签订政府采购合同的，采购人可以按照“财库【2014】214号”文第二十八条第二款规定的原则确定其他供应商作为成交供应商并签订政府采购合同，也可以重新开展采购活动。拒绝签订政府采购合同的成交供应商不得参加对该项目重新开展的采购活动。</w:t>
      </w:r>
      <w:bookmarkStart w:id="204" w:name="_Toc8518"/>
      <w:bookmarkStart w:id="205" w:name="_Toc11512_WPSOffice_Level1"/>
      <w:bookmarkStart w:id="206" w:name="_Toc26959_WPSOffice_Level1"/>
      <w:bookmarkStart w:id="207" w:name="_Toc17744"/>
      <w:bookmarkStart w:id="208" w:name="_Toc6551_WPSOffice_Level1"/>
      <w:bookmarkStart w:id="209" w:name="_Toc2414"/>
      <w:bookmarkStart w:id="210" w:name="_Toc13565_WPSOffice_Level1"/>
      <w:bookmarkStart w:id="211" w:name="_Toc9767"/>
    </w:p>
    <w:p w14:paraId="1AFFCFFA">
      <w:pPr>
        <w:rPr>
          <w:rFonts w:hint="eastAsia" w:ascii="Calibri" w:hAnsi="Calibri" w:eastAsia="宋体" w:cs="Times New Roman"/>
          <w:b/>
          <w:bCs/>
          <w:sz w:val="28"/>
          <w:szCs w:val="32"/>
          <w:highlight w:val="none"/>
        </w:rPr>
      </w:pPr>
      <w:r>
        <w:rPr>
          <w:rFonts w:hint="eastAsia" w:ascii="Calibri" w:hAnsi="Calibri" w:eastAsia="宋体" w:cs="Times New Roman"/>
          <w:b/>
          <w:bCs/>
          <w:sz w:val="28"/>
          <w:szCs w:val="32"/>
          <w:highlight w:val="none"/>
        </w:rPr>
        <w:br w:type="page"/>
      </w:r>
    </w:p>
    <w:p w14:paraId="55C375CF">
      <w:pPr>
        <w:keepNext/>
        <w:keepLines/>
        <w:spacing w:line="360" w:lineRule="auto"/>
        <w:jc w:val="center"/>
        <w:outlineLvl w:val="2"/>
        <w:rPr>
          <w:rFonts w:ascii="Calibri" w:hAnsi="Calibri" w:eastAsia="宋体" w:cs="Times New Roman"/>
          <w:b/>
          <w:bCs/>
          <w:sz w:val="28"/>
          <w:szCs w:val="32"/>
          <w:highlight w:val="none"/>
        </w:rPr>
      </w:pPr>
      <w:r>
        <w:rPr>
          <w:rFonts w:hint="eastAsia" w:ascii="Calibri" w:hAnsi="Calibri" w:eastAsia="宋体" w:cs="Times New Roman"/>
          <w:b/>
          <w:bCs/>
          <w:sz w:val="28"/>
          <w:szCs w:val="32"/>
          <w:highlight w:val="none"/>
        </w:rPr>
        <w:t>第四章  合同主要条款及格式</w:t>
      </w:r>
      <w:bookmarkEnd w:id="204"/>
      <w:bookmarkEnd w:id="205"/>
      <w:bookmarkEnd w:id="206"/>
      <w:bookmarkEnd w:id="207"/>
      <w:bookmarkEnd w:id="208"/>
      <w:bookmarkEnd w:id="209"/>
      <w:bookmarkEnd w:id="210"/>
      <w:bookmarkEnd w:id="211"/>
    </w:p>
    <w:p w14:paraId="468B59D2">
      <w:pPr>
        <w:jc w:val="center"/>
        <w:rPr>
          <w:rFonts w:ascii="宋体" w:hAnsi="宋体" w:eastAsia="宋体" w:cs="Times New Roman"/>
          <w:bCs/>
          <w:sz w:val="24"/>
          <w:szCs w:val="24"/>
          <w:highlight w:val="none"/>
        </w:rPr>
      </w:pPr>
      <w:r>
        <w:rPr>
          <w:rFonts w:hint="eastAsia" w:ascii="宋体" w:hAnsi="宋体" w:eastAsia="宋体" w:cs="Times New Roman"/>
          <w:bCs/>
          <w:sz w:val="24"/>
          <w:szCs w:val="24"/>
          <w:highlight w:val="none"/>
        </w:rPr>
        <w:t>（样本仅做参考，采购人可根据采购项目的实际情况增减条款和内容）</w:t>
      </w:r>
    </w:p>
    <w:p w14:paraId="6B019C09">
      <w:pPr>
        <w:widowControl/>
        <w:spacing w:line="360" w:lineRule="auto"/>
        <w:ind w:firstLine="482" w:firstLineChars="200"/>
        <w:jc w:val="left"/>
        <w:rPr>
          <w:rFonts w:ascii="宋体" w:hAnsi="宋体" w:eastAsia="宋体" w:cs="宋体"/>
          <w:b/>
          <w:bCs/>
          <w:sz w:val="24"/>
          <w:highlight w:val="none"/>
        </w:rPr>
      </w:pPr>
      <w:r>
        <w:rPr>
          <w:rFonts w:hint="eastAsia" w:ascii="宋体" w:hAnsi="宋体" w:eastAsia="宋体" w:cs="宋体"/>
          <w:b/>
          <w:bCs/>
          <w:sz w:val="24"/>
          <w:highlight w:val="none"/>
        </w:rPr>
        <w:t>由项目采购单位与成交单位根据本磋商文件、成交单位响应文件及成交通知书，协商签订本项目采购合同。</w:t>
      </w:r>
    </w:p>
    <w:p w14:paraId="37CC01CD">
      <w:pPr>
        <w:adjustRightInd w:val="0"/>
        <w:snapToGrid w:val="0"/>
        <w:spacing w:line="520" w:lineRule="exact"/>
        <w:ind w:firstLine="595"/>
        <w:rPr>
          <w:rFonts w:ascii="宋体" w:hAnsi="宋体" w:eastAsia="宋体" w:cs="宋体"/>
          <w:b/>
          <w:bCs/>
          <w:kern w:val="0"/>
          <w:sz w:val="24"/>
          <w:szCs w:val="24"/>
          <w:highlight w:val="none"/>
        </w:rPr>
      </w:pPr>
    </w:p>
    <w:p w14:paraId="286DEB1E">
      <w:pPr>
        <w:adjustRightInd w:val="0"/>
        <w:snapToGrid w:val="0"/>
        <w:spacing w:line="520" w:lineRule="exact"/>
        <w:ind w:firstLine="595"/>
        <w:jc w:val="center"/>
        <w:rPr>
          <w:rFonts w:ascii="宋体" w:hAnsi="宋体" w:eastAsia="宋体" w:cs="宋体"/>
          <w:b/>
          <w:bCs/>
          <w:spacing w:val="-20"/>
          <w:kern w:val="44"/>
          <w:sz w:val="24"/>
          <w:szCs w:val="24"/>
          <w:highlight w:val="none"/>
        </w:rPr>
      </w:pPr>
    </w:p>
    <w:p w14:paraId="1BE1A8FB">
      <w:pPr>
        <w:adjustRightInd w:val="0"/>
        <w:snapToGrid w:val="0"/>
        <w:spacing w:line="520" w:lineRule="exact"/>
        <w:ind w:firstLine="595"/>
        <w:jc w:val="center"/>
        <w:rPr>
          <w:rFonts w:ascii="宋体" w:hAnsi="宋体" w:eastAsia="宋体" w:cs="宋体"/>
          <w:b/>
          <w:bCs/>
          <w:spacing w:val="-20"/>
          <w:kern w:val="44"/>
          <w:sz w:val="24"/>
          <w:szCs w:val="24"/>
          <w:highlight w:val="none"/>
        </w:rPr>
      </w:pPr>
    </w:p>
    <w:p w14:paraId="3B1C58CF">
      <w:pPr>
        <w:adjustRightInd w:val="0"/>
        <w:snapToGrid w:val="0"/>
        <w:spacing w:line="520" w:lineRule="exact"/>
        <w:ind w:firstLine="595"/>
        <w:jc w:val="center"/>
        <w:rPr>
          <w:rFonts w:ascii="宋体" w:hAnsi="宋体" w:eastAsia="宋体" w:cs="宋体"/>
          <w:b/>
          <w:bCs/>
          <w:spacing w:val="-20"/>
          <w:kern w:val="44"/>
          <w:sz w:val="24"/>
          <w:szCs w:val="24"/>
          <w:highlight w:val="none"/>
        </w:rPr>
      </w:pPr>
    </w:p>
    <w:p w14:paraId="4987DCCF">
      <w:pPr>
        <w:adjustRightInd w:val="0"/>
        <w:snapToGrid w:val="0"/>
        <w:spacing w:line="520" w:lineRule="exact"/>
        <w:ind w:firstLine="595"/>
        <w:jc w:val="center"/>
        <w:rPr>
          <w:rFonts w:ascii="宋体" w:hAnsi="宋体" w:eastAsia="宋体" w:cs="宋体"/>
          <w:b/>
          <w:bCs/>
          <w:spacing w:val="-20"/>
          <w:kern w:val="44"/>
          <w:sz w:val="24"/>
          <w:szCs w:val="24"/>
          <w:highlight w:val="none"/>
        </w:rPr>
      </w:pPr>
    </w:p>
    <w:p w14:paraId="7C2EC258">
      <w:pPr>
        <w:adjustRightInd w:val="0"/>
        <w:snapToGrid w:val="0"/>
        <w:spacing w:line="520" w:lineRule="exact"/>
        <w:ind w:firstLine="595"/>
        <w:jc w:val="center"/>
        <w:rPr>
          <w:rFonts w:ascii="宋体" w:hAnsi="宋体" w:eastAsia="宋体" w:cs="宋体"/>
          <w:b/>
          <w:bCs/>
          <w:spacing w:val="-20"/>
          <w:kern w:val="44"/>
          <w:sz w:val="24"/>
          <w:szCs w:val="24"/>
          <w:highlight w:val="none"/>
        </w:rPr>
      </w:pPr>
    </w:p>
    <w:p w14:paraId="28E29F4F">
      <w:pPr>
        <w:adjustRightInd w:val="0"/>
        <w:snapToGrid w:val="0"/>
        <w:spacing w:line="520" w:lineRule="exact"/>
        <w:ind w:firstLine="595"/>
        <w:jc w:val="center"/>
        <w:rPr>
          <w:rFonts w:ascii="宋体" w:hAnsi="宋体" w:eastAsia="宋体" w:cs="宋体"/>
          <w:b/>
          <w:bCs/>
          <w:spacing w:val="-20"/>
          <w:kern w:val="44"/>
          <w:sz w:val="24"/>
          <w:szCs w:val="24"/>
          <w:highlight w:val="none"/>
        </w:rPr>
      </w:pPr>
    </w:p>
    <w:p w14:paraId="19065E90">
      <w:pPr>
        <w:adjustRightInd w:val="0"/>
        <w:snapToGrid w:val="0"/>
        <w:spacing w:line="520" w:lineRule="exact"/>
        <w:ind w:firstLine="595"/>
        <w:jc w:val="center"/>
        <w:rPr>
          <w:rFonts w:ascii="宋体" w:hAnsi="宋体" w:eastAsia="宋体" w:cs="宋体"/>
          <w:b/>
          <w:bCs/>
          <w:spacing w:val="-20"/>
          <w:kern w:val="44"/>
          <w:sz w:val="24"/>
          <w:szCs w:val="24"/>
          <w:highlight w:val="none"/>
        </w:rPr>
      </w:pPr>
    </w:p>
    <w:p w14:paraId="115B3222">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62B48FB0">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24DB3BE4">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2720E364">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284485FD">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53307A7C">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44A3EDAD">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2493AEFF">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33116793">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550D2965">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258255F2">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7437485A">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454C61F8">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60277BDD">
      <w:pPr>
        <w:adjustRightInd w:val="0"/>
        <w:snapToGrid w:val="0"/>
        <w:spacing w:line="520" w:lineRule="exact"/>
        <w:ind w:firstLine="595"/>
        <w:jc w:val="center"/>
        <w:rPr>
          <w:rFonts w:hint="eastAsia" w:ascii="宋体" w:hAnsi="宋体" w:eastAsia="宋体" w:cs="宋体"/>
          <w:b/>
          <w:bCs/>
          <w:spacing w:val="-20"/>
          <w:kern w:val="44"/>
          <w:sz w:val="24"/>
          <w:szCs w:val="24"/>
          <w:highlight w:val="none"/>
        </w:rPr>
      </w:pPr>
    </w:p>
    <w:p w14:paraId="618F74CD">
      <w:pPr>
        <w:rPr>
          <w:rFonts w:hint="eastAsia" w:ascii="宋体" w:hAnsi="宋体" w:eastAsia="宋体" w:cs="宋体"/>
          <w:b/>
          <w:bCs/>
          <w:spacing w:val="-20"/>
          <w:kern w:val="44"/>
          <w:sz w:val="24"/>
          <w:szCs w:val="24"/>
          <w:highlight w:val="none"/>
        </w:rPr>
      </w:pPr>
      <w:r>
        <w:rPr>
          <w:rFonts w:hint="eastAsia" w:ascii="宋体" w:hAnsi="宋体" w:eastAsia="宋体" w:cs="宋体"/>
          <w:b/>
          <w:bCs/>
          <w:spacing w:val="-20"/>
          <w:kern w:val="44"/>
          <w:sz w:val="24"/>
          <w:szCs w:val="24"/>
          <w:highlight w:val="none"/>
        </w:rPr>
        <w:br w:type="page"/>
      </w:r>
    </w:p>
    <w:p w14:paraId="24666B05">
      <w:pPr>
        <w:adjustRightInd w:val="0"/>
        <w:snapToGrid w:val="0"/>
        <w:spacing w:line="520" w:lineRule="exact"/>
        <w:ind w:firstLine="595"/>
        <w:jc w:val="center"/>
        <w:rPr>
          <w:rFonts w:ascii="宋体" w:hAnsi="宋体" w:eastAsia="宋体" w:cs="宋体"/>
          <w:b/>
          <w:bCs/>
          <w:spacing w:val="-20"/>
          <w:kern w:val="44"/>
          <w:sz w:val="24"/>
          <w:szCs w:val="24"/>
          <w:highlight w:val="none"/>
        </w:rPr>
      </w:pPr>
      <w:r>
        <w:rPr>
          <w:rFonts w:hint="eastAsia" w:ascii="宋体" w:hAnsi="宋体" w:eastAsia="宋体" w:cs="宋体"/>
          <w:b/>
          <w:bCs/>
          <w:spacing w:val="-20"/>
          <w:kern w:val="44"/>
          <w:sz w:val="24"/>
          <w:szCs w:val="24"/>
          <w:highlight w:val="none"/>
        </w:rPr>
        <w:t>政府采购货物买卖合同</w:t>
      </w:r>
    </w:p>
    <w:p w14:paraId="082454D8">
      <w:pPr>
        <w:adjustRightInd w:val="0"/>
        <w:snapToGrid w:val="0"/>
        <w:spacing w:line="520" w:lineRule="exact"/>
        <w:ind w:firstLine="595"/>
        <w:jc w:val="center"/>
        <w:rPr>
          <w:rFonts w:ascii="宋体" w:hAnsi="宋体" w:eastAsia="宋体" w:cs="宋体"/>
          <w:b/>
          <w:bCs/>
          <w:spacing w:val="-20"/>
          <w:kern w:val="44"/>
          <w:sz w:val="24"/>
          <w:szCs w:val="24"/>
          <w:highlight w:val="none"/>
        </w:rPr>
      </w:pPr>
      <w:r>
        <w:rPr>
          <w:rFonts w:hint="eastAsia" w:ascii="宋体" w:hAnsi="宋体" w:eastAsia="宋体" w:cs="宋体"/>
          <w:b/>
          <w:bCs/>
          <w:spacing w:val="-20"/>
          <w:kern w:val="44"/>
          <w:sz w:val="24"/>
          <w:szCs w:val="24"/>
          <w:highlight w:val="none"/>
        </w:rPr>
        <w:t>（试行）</w:t>
      </w:r>
    </w:p>
    <w:p w14:paraId="74D79485">
      <w:pPr>
        <w:rPr>
          <w:rFonts w:ascii="宋体" w:hAnsi="宋体" w:eastAsia="宋体" w:cs="宋体"/>
          <w:b/>
          <w:bCs/>
          <w:spacing w:val="-20"/>
          <w:kern w:val="44"/>
          <w:sz w:val="24"/>
          <w:highlight w:val="none"/>
        </w:rPr>
      </w:pPr>
    </w:p>
    <w:p w14:paraId="0D69990C">
      <w:pPr>
        <w:rPr>
          <w:rFonts w:ascii="宋体" w:hAnsi="宋体" w:eastAsia="宋体" w:cs="宋体"/>
          <w:b/>
          <w:bCs/>
          <w:spacing w:val="-20"/>
          <w:kern w:val="44"/>
          <w:sz w:val="24"/>
          <w:highlight w:val="none"/>
        </w:rPr>
      </w:pPr>
    </w:p>
    <w:p w14:paraId="27211609">
      <w:pPr>
        <w:rPr>
          <w:rFonts w:ascii="宋体" w:hAnsi="宋体" w:eastAsia="宋体" w:cs="宋体"/>
          <w:b/>
          <w:bCs/>
          <w:spacing w:val="-20"/>
          <w:kern w:val="44"/>
          <w:sz w:val="24"/>
          <w:highlight w:val="none"/>
        </w:rPr>
      </w:pPr>
    </w:p>
    <w:p w14:paraId="3B572558">
      <w:pPr>
        <w:spacing w:line="360" w:lineRule="auto"/>
        <w:ind w:left="420" w:leftChars="200"/>
        <w:rPr>
          <w:rFonts w:ascii="宋体" w:hAnsi="宋体" w:eastAsia="宋体" w:cs="宋体"/>
          <w:sz w:val="24"/>
          <w:highlight w:val="none"/>
        </w:rPr>
      </w:pPr>
      <w:r>
        <w:rPr>
          <w:rFonts w:hint="eastAsia" w:ascii="宋体" w:hAnsi="宋体" w:eastAsia="宋体" w:cs="宋体"/>
          <w:kern w:val="0"/>
          <w:sz w:val="24"/>
          <w:highlight w:val="none"/>
        </w:rPr>
        <w:t>项目名称：</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eastAsia="zh-CN"/>
        </w:rPr>
        <w:t>陕州区高标准农田建设项目管道维修采购项目</w:t>
      </w:r>
      <w:r>
        <w:rPr>
          <w:rFonts w:hint="eastAsia" w:ascii="宋体" w:hAnsi="宋体" w:eastAsia="宋体" w:cs="宋体"/>
          <w:sz w:val="24"/>
          <w:highlight w:val="none"/>
          <w:u w:val="single"/>
        </w:rPr>
        <w:t xml:space="preserve">              </w:t>
      </w:r>
    </w:p>
    <w:p w14:paraId="19408527">
      <w:pPr>
        <w:spacing w:line="360" w:lineRule="auto"/>
        <w:ind w:left="420" w:leftChars="200"/>
        <w:rPr>
          <w:rFonts w:ascii="宋体" w:hAnsi="宋体" w:eastAsia="宋体" w:cs="宋体"/>
          <w:sz w:val="24"/>
          <w:highlight w:val="none"/>
          <w:u w:val="single"/>
        </w:rPr>
      </w:pPr>
      <w:r>
        <w:rPr>
          <w:rFonts w:hint="eastAsia" w:ascii="宋体" w:hAnsi="宋体" w:eastAsia="宋体" w:cs="宋体"/>
          <w:sz w:val="24"/>
          <w:highlight w:val="none"/>
        </w:rPr>
        <w:t>合同编号：</w:t>
      </w:r>
      <w:r>
        <w:rPr>
          <w:rFonts w:hint="eastAsia" w:ascii="宋体" w:hAnsi="宋体" w:eastAsia="宋体" w:cs="宋体"/>
          <w:sz w:val="24"/>
          <w:highlight w:val="none"/>
          <w:u w:val="single"/>
        </w:rPr>
        <w:t xml:space="preserve">                                                        </w:t>
      </w:r>
    </w:p>
    <w:p w14:paraId="5B40D706">
      <w:pPr>
        <w:spacing w:line="360" w:lineRule="auto"/>
        <w:ind w:left="420" w:leftChars="200"/>
        <w:rPr>
          <w:rFonts w:ascii="宋体" w:hAnsi="宋体" w:eastAsia="宋体" w:cs="宋体"/>
          <w:sz w:val="24"/>
          <w:highlight w:val="none"/>
        </w:rPr>
      </w:pPr>
      <w:r>
        <w:rPr>
          <w:rFonts w:hint="eastAsia" w:ascii="宋体" w:hAnsi="宋体" w:eastAsia="宋体" w:cs="宋体"/>
          <w:sz w:val="24"/>
          <w:highlight w:val="none"/>
        </w:rPr>
        <w:t>甲    方：</w:t>
      </w:r>
      <w:r>
        <w:rPr>
          <w:rFonts w:hint="eastAsia" w:ascii="宋体" w:hAnsi="宋体" w:eastAsia="宋体" w:cs="宋体"/>
          <w:sz w:val="24"/>
          <w:highlight w:val="none"/>
          <w:u w:val="single"/>
        </w:rPr>
        <w:t xml:space="preserve">                                                        </w:t>
      </w:r>
    </w:p>
    <w:p w14:paraId="6185E150">
      <w:pPr>
        <w:spacing w:line="360" w:lineRule="auto"/>
        <w:ind w:left="420" w:leftChars="200"/>
        <w:rPr>
          <w:rFonts w:ascii="宋体" w:hAnsi="宋体" w:eastAsia="宋体" w:cs="宋体"/>
          <w:sz w:val="24"/>
          <w:highlight w:val="none"/>
          <w:u w:val="single"/>
        </w:rPr>
      </w:pPr>
      <w:r>
        <w:rPr>
          <w:rFonts w:hint="eastAsia" w:ascii="宋体" w:hAnsi="宋体" w:eastAsia="宋体" w:cs="宋体"/>
          <w:sz w:val="24"/>
          <w:highlight w:val="none"/>
        </w:rPr>
        <w:t>乙    方：</w:t>
      </w:r>
      <w:r>
        <w:rPr>
          <w:rFonts w:hint="eastAsia" w:ascii="宋体" w:hAnsi="宋体" w:eastAsia="宋体" w:cs="宋体"/>
          <w:sz w:val="24"/>
          <w:highlight w:val="none"/>
          <w:u w:val="single"/>
        </w:rPr>
        <w:t xml:space="preserve">                                                        </w:t>
      </w:r>
    </w:p>
    <w:p w14:paraId="6821959F">
      <w:pPr>
        <w:spacing w:line="360" w:lineRule="auto"/>
        <w:ind w:left="420" w:leftChars="200"/>
        <w:rPr>
          <w:rFonts w:ascii="宋体" w:hAnsi="宋体" w:eastAsia="宋体" w:cs="宋体"/>
          <w:sz w:val="24"/>
          <w:highlight w:val="none"/>
        </w:rPr>
      </w:pPr>
      <w:r>
        <w:rPr>
          <w:rFonts w:hint="eastAsia" w:ascii="宋体" w:hAnsi="宋体" w:eastAsia="宋体" w:cs="宋体"/>
          <w:sz w:val="24"/>
          <w:highlight w:val="none"/>
        </w:rPr>
        <w:t>签订时间：</w:t>
      </w:r>
      <w:r>
        <w:rPr>
          <w:rFonts w:hint="eastAsia" w:ascii="宋体" w:hAnsi="宋体" w:eastAsia="宋体" w:cs="宋体"/>
          <w:sz w:val="24"/>
          <w:highlight w:val="none"/>
          <w:u w:val="single"/>
        </w:rPr>
        <w:t xml:space="preserve">                                                         </w:t>
      </w:r>
    </w:p>
    <w:p w14:paraId="6B75F39D">
      <w:pPr>
        <w:rPr>
          <w:rFonts w:ascii="宋体" w:hAnsi="宋体" w:eastAsia="宋体" w:cs="宋体"/>
          <w:sz w:val="24"/>
          <w:highlight w:val="none"/>
        </w:rPr>
      </w:pPr>
    </w:p>
    <w:p w14:paraId="270FBBBB">
      <w:pPr>
        <w:rPr>
          <w:rFonts w:ascii="宋体" w:hAnsi="宋体" w:eastAsia="宋体" w:cs="宋体"/>
          <w:sz w:val="24"/>
          <w:highlight w:val="none"/>
        </w:rPr>
      </w:pPr>
      <w:r>
        <w:rPr>
          <w:rFonts w:hint="eastAsia" w:ascii="宋体" w:hAnsi="宋体" w:eastAsia="宋体" w:cs="宋体"/>
          <w:sz w:val="24"/>
          <w:highlight w:val="none"/>
        </w:rPr>
        <w:br w:type="page"/>
      </w:r>
    </w:p>
    <w:p w14:paraId="21A1CBC7">
      <w:pPr>
        <w:rPr>
          <w:rFonts w:ascii="宋体" w:hAnsi="宋体" w:eastAsia="宋体" w:cs="宋体"/>
          <w:sz w:val="24"/>
          <w:highlight w:val="none"/>
        </w:rPr>
      </w:pPr>
    </w:p>
    <w:p w14:paraId="571358C6">
      <w:pPr>
        <w:rPr>
          <w:rFonts w:ascii="宋体" w:hAnsi="宋体" w:eastAsia="宋体" w:cs="宋体"/>
          <w:sz w:val="24"/>
          <w:highlight w:val="none"/>
        </w:rPr>
      </w:pPr>
    </w:p>
    <w:p w14:paraId="1C4188B6">
      <w:pPr>
        <w:jc w:val="center"/>
        <w:rPr>
          <w:rFonts w:ascii="宋体" w:hAnsi="宋体" w:eastAsia="宋体" w:cs="宋体"/>
          <w:sz w:val="24"/>
          <w:highlight w:val="none"/>
        </w:rPr>
      </w:pPr>
      <w:r>
        <w:rPr>
          <w:rFonts w:hint="eastAsia" w:ascii="宋体" w:hAnsi="宋体" w:eastAsia="宋体" w:cs="宋体"/>
          <w:sz w:val="24"/>
          <w:highlight w:val="none"/>
        </w:rPr>
        <w:t>使 用 说 明</w:t>
      </w:r>
    </w:p>
    <w:p w14:paraId="19266D5C">
      <w:pPr>
        <w:ind w:firstLine="480" w:firstLineChars="200"/>
        <w:rPr>
          <w:rFonts w:ascii="宋体" w:hAnsi="宋体" w:eastAsia="宋体" w:cs="宋体"/>
          <w:sz w:val="24"/>
          <w:highlight w:val="none"/>
        </w:rPr>
      </w:pPr>
    </w:p>
    <w:p w14:paraId="723E2195">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1.本合同标准文本适用于购买现成货物的采购项目，不包括需要供应商定制开发、创新研发的货物采购项目。</w:t>
      </w:r>
    </w:p>
    <w:p w14:paraId="549B560D">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2.本合同标准文本为政府采购货物买卖合同编制提供参考，可以结合采购项目具体情况，对文本作必要的调整修订后使用。</w:t>
      </w:r>
    </w:p>
    <w:p w14:paraId="6641138D">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3.本合同标准文本各条款中，如涉及填写多家供应商、制造商，多种采购标的、分包主要内容等信息的，可根据采购项目具体情况添加信息项。</w:t>
      </w:r>
    </w:p>
    <w:p w14:paraId="2FEA5FC7">
      <w:pPr>
        <w:ind w:firstLine="480" w:firstLineChars="200"/>
        <w:rPr>
          <w:rFonts w:ascii="宋体" w:hAnsi="宋体" w:eastAsia="宋体" w:cs="宋体"/>
          <w:sz w:val="24"/>
          <w:highlight w:val="none"/>
        </w:rPr>
        <w:sectPr>
          <w:headerReference r:id="rId5" w:type="default"/>
          <w:footerReference r:id="rId6" w:type="default"/>
          <w:pgSz w:w="11906" w:h="16838"/>
          <w:pgMar w:top="1361" w:right="1418" w:bottom="1361" w:left="1418" w:header="851" w:footer="992" w:gutter="0"/>
          <w:pgNumType w:start="1"/>
          <w:cols w:space="425" w:num="1"/>
          <w:docGrid w:type="lines" w:linePitch="312" w:charSpace="0"/>
        </w:sectPr>
      </w:pPr>
    </w:p>
    <w:p w14:paraId="0623CAD2">
      <w:pPr>
        <w:keepNext/>
        <w:keepLines/>
        <w:adjustRightInd w:val="0"/>
        <w:snapToGrid w:val="0"/>
        <w:spacing w:before="260" w:after="260" w:line="400" w:lineRule="exact"/>
        <w:jc w:val="center"/>
        <w:outlineLvl w:val="1"/>
        <w:rPr>
          <w:rFonts w:ascii="宋体" w:hAnsi="宋体" w:eastAsia="宋体" w:cs="宋体"/>
          <w:sz w:val="24"/>
          <w:szCs w:val="24"/>
          <w:highlight w:val="none"/>
        </w:rPr>
      </w:pPr>
      <w:bookmarkStart w:id="212" w:name="_Toc22209"/>
      <w:r>
        <w:rPr>
          <w:rFonts w:hint="eastAsia" w:ascii="宋体" w:hAnsi="宋体" w:eastAsia="宋体" w:cs="宋体"/>
          <w:sz w:val="24"/>
          <w:szCs w:val="24"/>
          <w:highlight w:val="none"/>
        </w:rPr>
        <w:t>第一节 政府采购合同协议书</w:t>
      </w:r>
      <w:bookmarkEnd w:id="212"/>
    </w:p>
    <w:p w14:paraId="262888BF">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甲方（全称）：</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eastAsia="zh-CN"/>
        </w:rPr>
        <w:t>三门峡市陕州区农业农村局</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（采购人）</w:t>
      </w:r>
    </w:p>
    <w:p w14:paraId="7C12D289">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乙方（全称）：</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（供应商）</w:t>
      </w:r>
    </w:p>
    <w:p w14:paraId="7923D916">
      <w:pPr>
        <w:adjustRightInd w:val="0"/>
        <w:snapToGrid w:val="0"/>
        <w:spacing w:line="360" w:lineRule="auto"/>
        <w:ind w:firstLine="480" w:firstLineChars="200"/>
        <w:rPr>
          <w:rFonts w:ascii="宋体" w:hAnsi="宋体" w:eastAsia="宋体" w:cs="宋体"/>
          <w:kern w:val="0"/>
          <w:sz w:val="24"/>
          <w:highlight w:val="none"/>
        </w:rPr>
      </w:pPr>
      <w:r>
        <w:rPr>
          <w:rFonts w:hint="eastAsia" w:ascii="宋体" w:hAnsi="宋体" w:eastAsia="宋体" w:cs="宋体"/>
          <w:kern w:val="0"/>
          <w:sz w:val="24"/>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6F4C22FD">
      <w:pPr>
        <w:numPr>
          <w:ilvl w:val="0"/>
          <w:numId w:val="1"/>
        </w:numPr>
        <w:adjustRightInd w:val="0"/>
        <w:snapToGrid w:val="0"/>
        <w:spacing w:line="360" w:lineRule="auto"/>
        <w:ind w:firstLine="482" w:firstLineChars="200"/>
        <w:rPr>
          <w:rFonts w:ascii="宋体" w:hAnsi="宋体" w:eastAsia="宋体" w:cs="宋体"/>
          <w:b/>
          <w:sz w:val="24"/>
          <w:highlight w:val="none"/>
        </w:rPr>
      </w:pPr>
      <w:r>
        <w:rPr>
          <w:rFonts w:hint="eastAsia" w:ascii="宋体" w:hAnsi="宋体" w:eastAsia="宋体" w:cs="宋体"/>
          <w:b/>
          <w:sz w:val="24"/>
          <w:highlight w:val="none"/>
        </w:rPr>
        <w:t>项目信息</w:t>
      </w:r>
    </w:p>
    <w:p w14:paraId="56E749CE">
      <w:pPr>
        <w:adjustRightInd w:val="0"/>
        <w:snapToGrid w:val="0"/>
        <w:spacing w:line="360" w:lineRule="auto"/>
        <w:ind w:firstLine="480" w:firstLineChars="200"/>
        <w:rPr>
          <w:rFonts w:ascii="宋体" w:hAnsi="宋体" w:eastAsia="宋体" w:cs="宋体"/>
          <w:kern w:val="0"/>
          <w:sz w:val="24"/>
          <w:highlight w:val="none"/>
        </w:rPr>
      </w:pPr>
      <w:r>
        <w:rPr>
          <w:rFonts w:hint="eastAsia" w:ascii="宋体" w:hAnsi="宋体" w:eastAsia="宋体" w:cs="宋体"/>
          <w:kern w:val="0"/>
          <w:sz w:val="24"/>
          <w:highlight w:val="none"/>
        </w:rPr>
        <w:t>（1）采购项目名称：</w:t>
      </w:r>
      <w:r>
        <w:rPr>
          <w:rFonts w:hint="eastAsia" w:ascii="宋体" w:hAnsi="宋体" w:eastAsia="宋体" w:cs="宋体"/>
          <w:kern w:val="0"/>
          <w:sz w:val="24"/>
          <w:highlight w:val="none"/>
          <w:u w:val="single"/>
        </w:rPr>
        <w:t xml:space="preserve">  </w:t>
      </w:r>
      <w:r>
        <w:rPr>
          <w:rFonts w:hint="eastAsia" w:ascii="宋体" w:hAnsi="宋体" w:eastAsia="宋体" w:cs="宋体"/>
          <w:kern w:val="0"/>
          <w:sz w:val="24"/>
          <w:highlight w:val="none"/>
          <w:u w:val="single"/>
          <w:lang w:eastAsia="zh-CN"/>
        </w:rPr>
        <w:t>陕州区高标准农田建设项目管道维修采购项目</w:t>
      </w:r>
      <w:r>
        <w:rPr>
          <w:rFonts w:hint="eastAsia" w:ascii="宋体" w:hAnsi="宋体" w:eastAsia="宋体" w:cs="宋体"/>
          <w:kern w:val="0"/>
          <w:sz w:val="24"/>
          <w:highlight w:val="none"/>
          <w:u w:val="single"/>
        </w:rPr>
        <w:t xml:space="preserve">     </w:t>
      </w:r>
    </w:p>
    <w:p w14:paraId="02075475">
      <w:pPr>
        <w:adjustRightInd w:val="0"/>
        <w:snapToGrid w:val="0"/>
        <w:spacing w:line="360" w:lineRule="auto"/>
        <w:ind w:firstLine="960" w:firstLineChars="400"/>
        <w:rPr>
          <w:rFonts w:hint="eastAsia" w:ascii="宋体" w:hAnsi="宋体" w:eastAsia="宋体" w:cs="宋体"/>
          <w:kern w:val="0"/>
          <w:sz w:val="24"/>
          <w:highlight w:val="none"/>
          <w:lang w:eastAsia="zh-CN"/>
        </w:rPr>
      </w:pPr>
      <w:r>
        <w:rPr>
          <w:rFonts w:hint="eastAsia" w:ascii="宋体" w:hAnsi="宋体" w:eastAsia="宋体" w:cs="宋体"/>
          <w:kern w:val="0"/>
          <w:sz w:val="24"/>
          <w:highlight w:val="none"/>
        </w:rPr>
        <w:t>采购</w:t>
      </w:r>
      <w:r>
        <w:rPr>
          <w:rFonts w:hint="eastAsia" w:ascii="宋体" w:hAnsi="宋体" w:eastAsia="宋体" w:cs="宋体"/>
          <w:kern w:val="0"/>
          <w:sz w:val="24"/>
          <w:highlight w:val="none"/>
          <w:lang w:eastAsia="zh-CN"/>
        </w:rPr>
        <w:t>项目编号：</w:t>
      </w:r>
    </w:p>
    <w:p w14:paraId="6E3FC034">
      <w:pPr>
        <w:adjustRightInd w:val="0"/>
        <w:snapToGrid w:val="0"/>
        <w:spacing w:line="360" w:lineRule="auto"/>
        <w:ind w:firstLine="480" w:firstLineChars="200"/>
        <w:rPr>
          <w:rFonts w:ascii="宋体" w:hAnsi="宋体" w:eastAsia="宋体" w:cs="宋体"/>
          <w:kern w:val="0"/>
          <w:sz w:val="24"/>
          <w:highlight w:val="none"/>
        </w:rPr>
      </w:pPr>
      <w:r>
        <w:rPr>
          <w:rFonts w:hint="eastAsia" w:ascii="宋体" w:hAnsi="宋体" w:eastAsia="宋体" w:cs="宋体"/>
          <w:kern w:val="0"/>
          <w:sz w:val="24"/>
          <w:highlight w:val="none"/>
        </w:rPr>
        <w:t>（2）项目内容：</w:t>
      </w:r>
    </w:p>
    <w:p w14:paraId="1EBD7179">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采购标的及数量（台/套</w:t>
      </w:r>
      <w:r>
        <w:rPr>
          <w:rFonts w:hint="eastAsia" w:ascii="宋体" w:hAnsi="宋体" w:eastAsia="宋体" w:cs="宋体"/>
          <w:sz w:val="24"/>
          <w:highlight w:val="none"/>
          <w:lang w:val="en"/>
        </w:rPr>
        <w:t>/个/架/组等</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64B6EC9F">
      <w:pPr>
        <w:numPr>
          <w:ilvl w:val="255"/>
          <w:numId w:val="0"/>
        </w:numPr>
        <w:adjustRightInd w:val="0"/>
        <w:snapToGrid w:val="0"/>
        <w:spacing w:line="360" w:lineRule="auto"/>
        <w:ind w:firstLine="480" w:firstLineChars="200"/>
        <w:rPr>
          <w:rFonts w:ascii="宋体" w:hAnsi="宋体" w:eastAsia="宋体" w:cs="宋体"/>
          <w:sz w:val="24"/>
          <w:highlight w:val="none"/>
          <w:lang w:val="en"/>
        </w:rPr>
      </w:pPr>
      <w:r>
        <w:rPr>
          <w:rFonts w:hint="eastAsia" w:ascii="宋体" w:hAnsi="宋体" w:eastAsia="宋体" w:cs="宋体"/>
          <w:sz w:val="24"/>
          <w:highlight w:val="none"/>
        </w:rPr>
        <w:t>品牌：</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lang w:val="en"/>
        </w:rPr>
        <w:t xml:space="preserve">     </w:t>
      </w:r>
      <w:r>
        <w:rPr>
          <w:rFonts w:hint="eastAsia" w:ascii="宋体" w:hAnsi="宋体" w:eastAsia="宋体" w:cs="宋体"/>
          <w:sz w:val="24"/>
          <w:highlight w:val="none"/>
        </w:rPr>
        <w:t>规格型号：</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
        </w:rPr>
        <w:t xml:space="preserve">   </w:t>
      </w:r>
    </w:p>
    <w:p w14:paraId="58A07C68">
      <w:pPr>
        <w:adjustRightInd w:val="0"/>
        <w:snapToGrid w:val="0"/>
        <w:spacing w:line="360" w:lineRule="auto"/>
        <w:ind w:firstLine="480" w:firstLineChars="200"/>
        <w:rPr>
          <w:rFonts w:ascii="宋体" w:hAnsi="宋体" w:eastAsia="宋体" w:cs="宋体"/>
          <w:sz w:val="24"/>
          <w:highlight w:val="none"/>
          <w:u w:val="single"/>
        </w:rPr>
      </w:pPr>
      <w:r>
        <w:rPr>
          <w:rFonts w:hint="eastAsia" w:ascii="宋体" w:hAnsi="宋体" w:eastAsia="宋体" w:cs="宋体"/>
          <w:sz w:val="24"/>
          <w:highlight w:val="none"/>
        </w:rPr>
        <w:t>采购标的的技术要求、商务要求具体见附件。</w:t>
      </w:r>
    </w:p>
    <w:p w14:paraId="1FD18A29">
      <w:pPr>
        <w:numPr>
          <w:ilvl w:val="0"/>
          <w:numId w:val="1"/>
        </w:numPr>
        <w:adjustRightInd w:val="0"/>
        <w:snapToGrid w:val="0"/>
        <w:spacing w:line="360" w:lineRule="auto"/>
        <w:ind w:firstLine="482" w:firstLineChars="200"/>
        <w:rPr>
          <w:rFonts w:ascii="宋体" w:hAnsi="宋体" w:eastAsia="宋体" w:cs="宋体"/>
          <w:b/>
          <w:sz w:val="24"/>
          <w:highlight w:val="none"/>
        </w:rPr>
      </w:pPr>
      <w:r>
        <w:rPr>
          <w:rFonts w:hint="eastAsia" w:ascii="宋体" w:hAnsi="宋体" w:eastAsia="宋体" w:cs="宋体"/>
          <w:b/>
          <w:sz w:val="24"/>
          <w:highlight w:val="none"/>
        </w:rPr>
        <w:t>合同金额</w:t>
      </w:r>
    </w:p>
    <w:p w14:paraId="44ADFB58">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（1）合同金额小写：</w:t>
      </w:r>
      <w:r>
        <w:rPr>
          <w:rFonts w:hint="eastAsia" w:ascii="宋体" w:hAnsi="宋体" w:eastAsia="宋体" w:cs="宋体"/>
          <w:sz w:val="24"/>
          <w:highlight w:val="none"/>
          <w:u w:val="single"/>
        </w:rPr>
        <w:t xml:space="preserve">                           </w:t>
      </w:r>
    </w:p>
    <w:p w14:paraId="61903E80">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 xml:space="preserve">             大写：</w:t>
      </w:r>
      <w:r>
        <w:rPr>
          <w:rFonts w:hint="eastAsia" w:ascii="宋体" w:hAnsi="宋体" w:eastAsia="宋体" w:cs="宋体"/>
          <w:sz w:val="24"/>
          <w:highlight w:val="none"/>
          <w:u w:val="single"/>
        </w:rPr>
        <w:t xml:space="preserve">                           </w:t>
      </w:r>
    </w:p>
    <w:p w14:paraId="75BAA50A">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（2）付款方式（按项目实际勾选填写）：</w:t>
      </w:r>
    </w:p>
    <w:p w14:paraId="145A6A18">
      <w:pPr>
        <w:adjustRightInd w:val="0"/>
        <w:snapToGrid w:val="0"/>
        <w:spacing w:line="360" w:lineRule="auto"/>
        <w:ind w:firstLine="480" w:firstLineChars="200"/>
        <w:rPr>
          <w:rFonts w:ascii="宋体" w:hAnsi="宋体" w:eastAsia="宋体" w:cs="宋体"/>
          <w:sz w:val="24"/>
          <w:highlight w:val="none"/>
          <w:u w:val="single"/>
        </w:rPr>
      </w:pPr>
      <w:r>
        <w:rPr>
          <w:rFonts w:hint="eastAsia" w:ascii="宋体" w:hAnsi="宋体" w:eastAsia="宋体" w:cs="宋体"/>
          <w:sz w:val="24"/>
          <w:highlight w:val="none"/>
        </w:rPr>
        <w:sym w:font="Wingdings" w:char="00A8"/>
      </w:r>
      <w:r>
        <w:rPr>
          <w:rFonts w:hint="eastAsia" w:ascii="宋体" w:hAnsi="宋体" w:eastAsia="宋体" w:cs="宋体"/>
          <w:sz w:val="24"/>
          <w:highlight w:val="none"/>
        </w:rPr>
        <w:t>全额付款：</w:t>
      </w:r>
      <w:r>
        <w:rPr>
          <w:rFonts w:hint="eastAsia" w:ascii="宋体" w:hAnsi="宋体" w:eastAsia="宋体" w:cs="宋体"/>
          <w:sz w:val="24"/>
          <w:highlight w:val="none"/>
          <w:u w:val="single"/>
        </w:rPr>
        <w:t xml:space="preserve">     （应明确一次性支付合同款项的条件）                    </w:t>
      </w:r>
    </w:p>
    <w:p w14:paraId="6BA4DF20">
      <w:pPr>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sym w:font="Wingdings" w:char="00A8"/>
      </w:r>
      <w:r>
        <w:rPr>
          <w:rFonts w:hint="eastAsia" w:ascii="宋体" w:hAnsi="宋体" w:eastAsia="宋体" w:cs="宋体"/>
          <w:sz w:val="24"/>
          <w:highlight w:val="none"/>
        </w:rPr>
        <w:t>分期付款：</w:t>
      </w:r>
      <w:r>
        <w:rPr>
          <w:rFonts w:hint="eastAsia" w:ascii="宋体" w:hAnsi="宋体" w:eastAsia="宋体" w:cs="宋体"/>
          <w:sz w:val="24"/>
          <w:highlight w:val="none"/>
          <w:u w:val="single"/>
        </w:rPr>
        <w:t xml:space="preserve">  （应明确分期支付合同款项的各期比例和支付条件，各期支付条件应与分期履约验收情况挂钩） </w:t>
      </w:r>
      <w:r>
        <w:rPr>
          <w:rFonts w:hint="eastAsia" w:ascii="宋体" w:hAnsi="宋体" w:eastAsia="宋体" w:cs="宋体"/>
          <w:sz w:val="24"/>
          <w:highlight w:val="none"/>
        </w:rPr>
        <w:t>，其中涉及预付款的：</w:t>
      </w:r>
      <w:r>
        <w:rPr>
          <w:rFonts w:hint="eastAsia" w:ascii="宋体" w:hAnsi="宋体" w:eastAsia="宋体" w:cs="宋体"/>
          <w:sz w:val="24"/>
          <w:highlight w:val="none"/>
          <w:u w:val="single"/>
        </w:rPr>
        <w:t xml:space="preserve"> （应明确预付款的支付比例和支付条件） </w:t>
      </w:r>
    </w:p>
    <w:p w14:paraId="2F10C89C">
      <w:pPr>
        <w:numPr>
          <w:ilvl w:val="0"/>
          <w:numId w:val="1"/>
        </w:numPr>
        <w:adjustRightInd w:val="0"/>
        <w:snapToGrid w:val="0"/>
        <w:spacing w:line="360" w:lineRule="auto"/>
        <w:ind w:firstLine="482" w:firstLineChars="200"/>
        <w:rPr>
          <w:rFonts w:ascii="宋体" w:hAnsi="宋体" w:eastAsia="宋体" w:cs="宋体"/>
          <w:b/>
          <w:sz w:val="24"/>
          <w:highlight w:val="none"/>
          <w:u w:val="single"/>
        </w:rPr>
      </w:pPr>
      <w:r>
        <w:rPr>
          <w:rFonts w:hint="eastAsia" w:ascii="宋体" w:hAnsi="宋体" w:eastAsia="宋体" w:cs="宋体"/>
          <w:b/>
          <w:sz w:val="24"/>
          <w:highlight w:val="none"/>
        </w:rPr>
        <w:t>合同履行</w:t>
      </w:r>
    </w:p>
    <w:p w14:paraId="31ECD76C">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起始日期：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日，完成日期：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66112066">
      <w:pPr>
        <w:adjustRightInd w:val="0"/>
        <w:snapToGrid w:val="0"/>
        <w:spacing w:line="360" w:lineRule="auto"/>
        <w:ind w:firstLine="480" w:firstLineChars="200"/>
        <w:rPr>
          <w:rFonts w:ascii="Calibri" w:hAnsi="Calibri" w:eastAsia="宋体" w:cs="Times New Roman"/>
          <w:highlight w:val="none"/>
        </w:rPr>
      </w:pPr>
      <w:r>
        <w:rPr>
          <w:rFonts w:hint="eastAsia" w:ascii="宋体" w:hAnsi="宋体" w:eastAsia="宋体" w:cs="宋体"/>
          <w:sz w:val="24"/>
          <w:highlight w:val="none"/>
        </w:rPr>
        <w:t>履约地点：</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w:t>
      </w:r>
      <w:r>
        <w:rPr>
          <w:rFonts w:hint="eastAsia" w:ascii="Calibri" w:hAnsi="Calibri" w:eastAsia="宋体" w:cs="Times New Roman"/>
          <w:highlight w:val="none"/>
        </w:rPr>
        <w:t xml:space="preserve">                           </w:t>
      </w:r>
    </w:p>
    <w:p w14:paraId="3A14E4E9">
      <w:pPr>
        <w:numPr>
          <w:ilvl w:val="0"/>
          <w:numId w:val="1"/>
        </w:numPr>
        <w:adjustRightInd w:val="0"/>
        <w:snapToGrid w:val="0"/>
        <w:spacing w:line="360" w:lineRule="auto"/>
        <w:ind w:firstLine="482" w:firstLineChars="200"/>
        <w:rPr>
          <w:rFonts w:ascii="宋体" w:hAnsi="宋体" w:eastAsia="宋体" w:cs="宋体"/>
          <w:b/>
          <w:sz w:val="24"/>
          <w:highlight w:val="none"/>
        </w:rPr>
      </w:pPr>
      <w:r>
        <w:rPr>
          <w:rFonts w:hint="eastAsia" w:ascii="宋体" w:hAnsi="宋体" w:eastAsia="宋体" w:cs="宋体"/>
          <w:b/>
          <w:sz w:val="24"/>
          <w:highlight w:val="none"/>
        </w:rPr>
        <w:t>组成合同的文件</w:t>
      </w:r>
    </w:p>
    <w:p w14:paraId="4E9EA226">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本协议书与下列文件一起构成合同文件，如下述文件之间有任何抵触、矛盾或歧义，应按以下顺序解释：</w:t>
      </w:r>
    </w:p>
    <w:p w14:paraId="36BF6E09">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（1）政府采购合同协议书及其变更、补充协议</w:t>
      </w:r>
    </w:p>
    <w:p w14:paraId="68ED2E20">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（2）政府采购合同专用条款</w:t>
      </w:r>
    </w:p>
    <w:p w14:paraId="6E0F802D">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（3）政府采购合同通用条款</w:t>
      </w:r>
    </w:p>
    <w:p w14:paraId="63B53688">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（4）中标（成交）通知书</w:t>
      </w:r>
    </w:p>
    <w:p w14:paraId="39F9E6BC">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（5）投标（响应）文件</w:t>
      </w:r>
    </w:p>
    <w:p w14:paraId="43158048">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（6）采购文件</w:t>
      </w:r>
    </w:p>
    <w:p w14:paraId="2AE716A9">
      <w:pPr>
        <w:widowControl/>
        <w:autoSpaceDE w:val="0"/>
        <w:autoSpaceDN w:val="0"/>
        <w:adjustRightInd w:val="0"/>
        <w:spacing w:line="360" w:lineRule="auto"/>
        <w:ind w:firstLine="480" w:firstLineChars="200"/>
        <w:jc w:val="left"/>
        <w:rPr>
          <w:rFonts w:ascii="宋体" w:hAnsi="宋体" w:eastAsia="宋体" w:cs="宋体"/>
          <w:sz w:val="24"/>
          <w:szCs w:val="24"/>
          <w:highlight w:val="none"/>
        </w:rPr>
      </w:pPr>
      <w:r>
        <w:rPr>
          <w:rFonts w:hint="eastAsia" w:ascii="宋体" w:hAnsi="宋体" w:eastAsia="宋体" w:cs="宋体"/>
          <w:kern w:val="0"/>
          <w:sz w:val="24"/>
          <w:szCs w:val="24"/>
          <w:highlight w:val="none"/>
        </w:rPr>
        <w:t>（7）</w:t>
      </w:r>
      <w:r>
        <w:rPr>
          <w:rFonts w:hint="eastAsia" w:ascii="宋体" w:hAnsi="宋体" w:eastAsia="宋体" w:cs="宋体"/>
          <w:sz w:val="24"/>
          <w:szCs w:val="24"/>
          <w:highlight w:val="none"/>
        </w:rPr>
        <w:t>国家法律、行政法规和规章制度规定或合同约定的作为合同组成部分的其他文件</w:t>
      </w:r>
    </w:p>
    <w:p w14:paraId="7E5D1653">
      <w:pPr>
        <w:numPr>
          <w:ilvl w:val="0"/>
          <w:numId w:val="1"/>
        </w:numPr>
        <w:adjustRightInd w:val="0"/>
        <w:snapToGrid w:val="0"/>
        <w:spacing w:line="360" w:lineRule="auto"/>
        <w:ind w:firstLine="482" w:firstLineChars="200"/>
        <w:rPr>
          <w:rFonts w:ascii="宋体" w:hAnsi="宋体" w:eastAsia="宋体" w:cs="宋体"/>
          <w:b/>
          <w:sz w:val="24"/>
          <w:highlight w:val="none"/>
        </w:rPr>
      </w:pPr>
      <w:r>
        <w:rPr>
          <w:rFonts w:hint="eastAsia" w:ascii="宋体" w:hAnsi="宋体" w:eastAsia="宋体" w:cs="宋体"/>
          <w:b/>
          <w:sz w:val="24"/>
          <w:highlight w:val="none"/>
        </w:rPr>
        <w:t>合同生效</w:t>
      </w:r>
    </w:p>
    <w:p w14:paraId="542E728D">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本合同自</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生效。</w:t>
      </w:r>
    </w:p>
    <w:p w14:paraId="14ED6391">
      <w:pPr>
        <w:numPr>
          <w:ilvl w:val="0"/>
          <w:numId w:val="1"/>
        </w:numPr>
        <w:adjustRightInd w:val="0"/>
        <w:snapToGrid w:val="0"/>
        <w:spacing w:line="360" w:lineRule="auto"/>
        <w:ind w:firstLine="482" w:firstLineChars="200"/>
        <w:rPr>
          <w:rFonts w:ascii="宋体" w:hAnsi="宋体" w:eastAsia="宋体" w:cs="宋体"/>
          <w:b/>
          <w:sz w:val="24"/>
          <w:highlight w:val="none"/>
        </w:rPr>
      </w:pPr>
      <w:r>
        <w:rPr>
          <w:rFonts w:hint="eastAsia" w:ascii="宋体" w:hAnsi="宋体" w:eastAsia="宋体" w:cs="宋体"/>
          <w:b/>
          <w:sz w:val="24"/>
          <w:highlight w:val="none"/>
        </w:rPr>
        <w:t>合同份数</w:t>
      </w:r>
    </w:p>
    <w:p w14:paraId="72116B11">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本合同一式</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份，甲方执</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份，乙方执</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份，均具有同等法律效力。</w:t>
      </w:r>
    </w:p>
    <w:p w14:paraId="214570A0">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合同订立时间：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7FFE70EE">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合同订立地点：</w:t>
      </w:r>
      <w:r>
        <w:rPr>
          <w:rFonts w:hint="eastAsia" w:ascii="宋体" w:hAnsi="宋体" w:eastAsia="宋体" w:cs="宋体"/>
          <w:sz w:val="24"/>
          <w:highlight w:val="none"/>
          <w:u w:val="single"/>
        </w:rPr>
        <w:t xml:space="preserve">                           </w:t>
      </w:r>
    </w:p>
    <w:p w14:paraId="5F3F4D40">
      <w:pPr>
        <w:adjustRightInd w:val="0"/>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附件：具体标的及其技术要求和商务要求等。</w:t>
      </w:r>
    </w:p>
    <w:p w14:paraId="1A837495">
      <w:pPr>
        <w:widowControl/>
        <w:spacing w:line="360" w:lineRule="auto"/>
        <w:jc w:val="center"/>
        <w:rPr>
          <w:rFonts w:ascii="宋体" w:hAnsi="宋体" w:eastAsia="宋体" w:cs="宋体"/>
          <w:sz w:val="24"/>
          <w:szCs w:val="24"/>
          <w:highlight w:val="none"/>
        </w:rPr>
      </w:pPr>
    </w:p>
    <w:p w14:paraId="401C33EC">
      <w:pPr>
        <w:widowControl/>
        <w:spacing w:line="520" w:lineRule="atLeast"/>
        <w:ind w:firstLine="480"/>
        <w:jc w:val="left"/>
        <w:rPr>
          <w:rFonts w:ascii="宋体" w:hAnsi="宋体" w:eastAsia="宋体" w:cs="宋体"/>
          <w:sz w:val="24"/>
          <w:szCs w:val="24"/>
          <w:highlight w:val="none"/>
        </w:rPr>
      </w:pPr>
      <w:r>
        <w:rPr>
          <w:rFonts w:hint="eastAsia" w:ascii="宋体" w:hAnsi="宋体" w:eastAsia="宋体" w:cs="宋体"/>
          <w:sz w:val="24"/>
          <w:szCs w:val="24"/>
          <w:highlight w:val="none"/>
        </w:rPr>
        <w:t>甲方：                             乙方：</w:t>
      </w:r>
    </w:p>
    <w:p w14:paraId="1500BCA1">
      <w:pPr>
        <w:widowControl/>
        <w:spacing w:line="520" w:lineRule="atLeast"/>
        <w:ind w:firstLine="480"/>
        <w:jc w:val="left"/>
        <w:rPr>
          <w:rFonts w:ascii="宋体" w:hAnsi="宋体" w:eastAsia="宋体" w:cs="宋体"/>
          <w:sz w:val="24"/>
          <w:szCs w:val="24"/>
          <w:highlight w:val="none"/>
        </w:rPr>
      </w:pPr>
      <w:r>
        <w:rPr>
          <w:rFonts w:hint="eastAsia" w:ascii="宋体" w:hAnsi="宋体" w:eastAsia="宋体" w:cs="宋体"/>
          <w:sz w:val="24"/>
          <w:szCs w:val="24"/>
          <w:highlight w:val="none"/>
        </w:rPr>
        <w:t>单位地址：                         单位地址：</w:t>
      </w:r>
    </w:p>
    <w:p w14:paraId="5851226F">
      <w:pPr>
        <w:widowControl/>
        <w:spacing w:line="520" w:lineRule="atLeast"/>
        <w:ind w:firstLine="480"/>
        <w:jc w:val="left"/>
        <w:rPr>
          <w:rFonts w:ascii="宋体" w:hAnsi="宋体" w:eastAsia="宋体" w:cs="宋体"/>
          <w:sz w:val="24"/>
          <w:szCs w:val="24"/>
          <w:highlight w:val="none"/>
        </w:rPr>
      </w:pPr>
      <w:r>
        <w:rPr>
          <w:rFonts w:hint="eastAsia" w:ascii="宋体" w:hAnsi="宋体" w:eastAsia="宋体" w:cs="宋体"/>
          <w:sz w:val="24"/>
          <w:szCs w:val="24"/>
          <w:highlight w:val="none"/>
        </w:rPr>
        <w:t>法定代表人：                       法定代表人：</w:t>
      </w:r>
    </w:p>
    <w:p w14:paraId="3BA2F423">
      <w:pPr>
        <w:widowControl/>
        <w:spacing w:line="520" w:lineRule="atLeast"/>
        <w:ind w:firstLine="480"/>
        <w:jc w:val="left"/>
        <w:rPr>
          <w:rFonts w:ascii="宋体" w:hAnsi="宋体" w:eastAsia="宋体" w:cs="宋体"/>
          <w:sz w:val="24"/>
          <w:szCs w:val="24"/>
          <w:highlight w:val="none"/>
        </w:rPr>
      </w:pPr>
      <w:r>
        <w:rPr>
          <w:rFonts w:hint="eastAsia" w:ascii="宋体" w:hAnsi="宋体" w:eastAsia="宋体" w:cs="宋体"/>
          <w:sz w:val="24"/>
          <w:szCs w:val="24"/>
          <w:highlight w:val="none"/>
        </w:rPr>
        <w:t>委托代理人：                       委托代理人：</w:t>
      </w:r>
    </w:p>
    <w:p w14:paraId="757CA732">
      <w:pPr>
        <w:widowControl/>
        <w:spacing w:line="520" w:lineRule="atLeast"/>
        <w:ind w:firstLine="480"/>
        <w:jc w:val="left"/>
        <w:rPr>
          <w:rFonts w:ascii="宋体" w:hAnsi="宋体" w:eastAsia="宋体" w:cs="宋体"/>
          <w:sz w:val="24"/>
          <w:szCs w:val="24"/>
          <w:highlight w:val="none"/>
        </w:rPr>
      </w:pPr>
      <w:r>
        <w:rPr>
          <w:rFonts w:hint="eastAsia" w:ascii="宋体" w:hAnsi="宋体" w:eastAsia="宋体" w:cs="宋体"/>
          <w:sz w:val="24"/>
          <w:szCs w:val="24"/>
          <w:highlight w:val="none"/>
        </w:rPr>
        <w:t>电话：                             电话：</w:t>
      </w:r>
    </w:p>
    <w:p w14:paraId="4A272A1E">
      <w:pPr>
        <w:rPr>
          <w:rFonts w:ascii="宋体" w:hAnsi="宋体" w:eastAsia="宋体" w:cs="宋体"/>
          <w:sz w:val="24"/>
          <w:szCs w:val="24"/>
          <w:highlight w:val="none"/>
        </w:rPr>
      </w:pPr>
      <w:r>
        <w:rPr>
          <w:rFonts w:ascii="宋体" w:hAnsi="宋体" w:eastAsia="宋体" w:cs="宋体"/>
          <w:sz w:val="24"/>
          <w:szCs w:val="24"/>
          <w:highlight w:val="none"/>
        </w:rPr>
        <w:br w:type="page"/>
      </w:r>
    </w:p>
    <w:p w14:paraId="5B878B9A">
      <w:pPr>
        <w:keepNext/>
        <w:keepLines/>
        <w:adjustRightInd w:val="0"/>
        <w:snapToGrid w:val="0"/>
        <w:spacing w:before="156" w:beforeLines="50" w:after="260" w:line="416" w:lineRule="auto"/>
        <w:jc w:val="center"/>
        <w:outlineLvl w:val="1"/>
        <w:rPr>
          <w:rFonts w:ascii="宋体" w:hAnsi="宋体" w:eastAsia="宋体" w:cs="宋体"/>
          <w:b/>
          <w:bCs/>
          <w:sz w:val="24"/>
          <w:szCs w:val="24"/>
          <w:highlight w:val="none"/>
        </w:rPr>
      </w:pPr>
      <w:bookmarkStart w:id="213" w:name="_Toc27624"/>
      <w:r>
        <w:rPr>
          <w:rFonts w:hint="eastAsia" w:ascii="宋体" w:hAnsi="宋体" w:eastAsia="宋体" w:cs="宋体"/>
          <w:sz w:val="24"/>
          <w:szCs w:val="24"/>
          <w:highlight w:val="none"/>
        </w:rPr>
        <w:t>第二节 政府采购合同通用条款</w:t>
      </w:r>
      <w:bookmarkEnd w:id="213"/>
    </w:p>
    <w:p w14:paraId="7A037074">
      <w:pPr>
        <w:tabs>
          <w:tab w:val="left" w:pos="8820"/>
          <w:tab w:val="left" w:pos="9345"/>
          <w:tab w:val="left" w:pos="9765"/>
        </w:tabs>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sz w:val="24"/>
          <w:highlight w:val="none"/>
        </w:rPr>
        <w:t xml:space="preserve">1. </w:t>
      </w:r>
      <w:r>
        <w:rPr>
          <w:rFonts w:hint="eastAsia" w:ascii="宋体" w:hAnsi="宋体" w:eastAsia="宋体" w:cs="宋体"/>
          <w:b/>
          <w:bCs/>
          <w:sz w:val="24"/>
          <w:highlight w:val="none"/>
        </w:rPr>
        <w:t>定义</w:t>
      </w:r>
    </w:p>
    <w:p w14:paraId="70FE065A">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1.1合同当事人</w:t>
      </w:r>
    </w:p>
    <w:p w14:paraId="5C46A068">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（1）采购人（以下称甲方）是指使用财政性资金，通过政府采购方式向供应商购买货物及其相关服务的国家机关、事业单位、团体组织。</w:t>
      </w:r>
    </w:p>
    <w:p w14:paraId="1C849D69">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（2）供应商（以下称乙方）是指参加政府采购活动并且中标（成交），向采购人提供合同约定的货物及其相关服务的法人、非法人组织或者自然人。</w:t>
      </w:r>
    </w:p>
    <w:p w14:paraId="269780A4">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（3）其他合同主体是指除采购人和供应商以外，</w:t>
      </w:r>
      <w:r>
        <w:rPr>
          <w:rFonts w:hint="eastAsia" w:ascii="宋体" w:hAnsi="宋体" w:eastAsia="宋体" w:cs="宋体"/>
          <w:bCs/>
          <w:sz w:val="24"/>
          <w:highlight w:val="none"/>
        </w:rPr>
        <w:t>依法参与合同缔结或履行，享有权利、承担义务的合同当事人</w:t>
      </w:r>
      <w:r>
        <w:rPr>
          <w:rFonts w:hint="eastAsia" w:ascii="宋体" w:hAnsi="宋体" w:eastAsia="宋体" w:cs="宋体"/>
          <w:sz w:val="24"/>
          <w:highlight w:val="none"/>
        </w:rPr>
        <w:t>。</w:t>
      </w:r>
    </w:p>
    <w:p w14:paraId="1D2ECF99">
      <w:pPr>
        <w:tabs>
          <w:tab w:val="left" w:pos="570"/>
          <w:tab w:val="left" w:pos="9240"/>
          <w:tab w:val="left" w:pos="9555"/>
        </w:tabs>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1.2本合同下列术语应解释为：</w:t>
      </w:r>
    </w:p>
    <w:p w14:paraId="27DEE704">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（1）“合同”系指</w:t>
      </w:r>
      <w:r>
        <w:rPr>
          <w:rFonts w:hint="eastAsia" w:ascii="宋体" w:hAnsi="宋体" w:eastAsia="宋体" w:cs="宋体"/>
          <w:bCs/>
          <w:sz w:val="24"/>
          <w:highlight w:val="none"/>
        </w:rPr>
        <w:t>合同当事人意思表示达成一致的任何协议，包括签署的</w:t>
      </w:r>
      <w:r>
        <w:rPr>
          <w:rFonts w:hint="eastAsia" w:ascii="宋体" w:hAnsi="宋体" w:eastAsia="宋体" w:cs="宋体"/>
          <w:sz w:val="24"/>
          <w:highlight w:val="none"/>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2D515467">
      <w:pPr>
        <w:tabs>
          <w:tab w:val="left" w:pos="570"/>
          <w:tab w:val="left" w:pos="9240"/>
          <w:tab w:val="left" w:pos="9555"/>
        </w:tabs>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（2）“合同价款”系指根据本合同规定乙方在全面履行合同义务后甲方应支付给乙方的价款。</w:t>
      </w:r>
    </w:p>
    <w:p w14:paraId="241FC5FE">
      <w:pPr>
        <w:tabs>
          <w:tab w:val="left" w:pos="570"/>
          <w:tab w:val="left" w:pos="9240"/>
          <w:tab w:val="left" w:pos="9555"/>
        </w:tabs>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（3）“货物”系指乙方根据本合同规定须向甲方提供的各种形态和种类的物品，包括原材料、设备、产品（包括软件）及相关的其备品备件、工具、手册及</w:t>
      </w:r>
      <w:r>
        <w:rPr>
          <w:rFonts w:hint="eastAsia" w:ascii="宋体" w:hAnsi="宋体" w:eastAsia="宋体" w:cs="宋体"/>
          <w:sz w:val="24"/>
          <w:highlight w:val="none"/>
          <w:lang w:val="en"/>
        </w:rPr>
        <w:t>其他</w:t>
      </w:r>
      <w:r>
        <w:rPr>
          <w:rFonts w:hint="eastAsia" w:ascii="宋体" w:hAnsi="宋体" w:eastAsia="宋体" w:cs="宋体"/>
          <w:sz w:val="24"/>
          <w:highlight w:val="none"/>
        </w:rPr>
        <w:t>技术资料和材料等。</w:t>
      </w:r>
    </w:p>
    <w:p w14:paraId="71FB5B31">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（4）“相关服务”系指根据合同规定，乙方应提供的与货物有关的技术、管理和</w:t>
      </w:r>
      <w:r>
        <w:rPr>
          <w:rFonts w:hint="eastAsia" w:ascii="宋体" w:hAnsi="宋体" w:eastAsia="宋体" w:cs="宋体"/>
          <w:sz w:val="24"/>
          <w:highlight w:val="none"/>
          <w:lang w:val="en"/>
        </w:rPr>
        <w:t>其他</w:t>
      </w:r>
      <w:r>
        <w:rPr>
          <w:rFonts w:hint="eastAsia" w:ascii="宋体" w:hAnsi="宋体" w:eastAsia="宋体" w:cs="宋体"/>
          <w:sz w:val="24"/>
          <w:highlight w:val="none"/>
        </w:rPr>
        <w:t>服务，包括但不限于：管理和质量保证、运输、保险、检验、现场准备、安装、集成、调试、培训、维修、废弃处置、技术支持等以及合同中规定乙方应承担的</w:t>
      </w:r>
      <w:r>
        <w:rPr>
          <w:rFonts w:hint="eastAsia" w:ascii="宋体" w:hAnsi="宋体" w:eastAsia="宋体" w:cs="宋体"/>
          <w:sz w:val="24"/>
          <w:highlight w:val="none"/>
          <w:lang w:val="en"/>
        </w:rPr>
        <w:t>其他</w:t>
      </w:r>
      <w:r>
        <w:rPr>
          <w:rFonts w:hint="eastAsia" w:ascii="宋体" w:hAnsi="宋体" w:eastAsia="宋体" w:cs="宋体"/>
          <w:sz w:val="24"/>
          <w:highlight w:val="none"/>
        </w:rPr>
        <w:t>义务。</w:t>
      </w:r>
    </w:p>
    <w:p w14:paraId="52E6504D">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（5）“分包”系指中标（成交）供应商按采购文件、投标（响应）文件的规定，根据分包意向协议，将中标（成交）项目中的部分履约内容，分给具有相应资质条件的供应商履行合同的行为。</w:t>
      </w:r>
    </w:p>
    <w:p w14:paraId="68A36A38">
      <w:pPr>
        <w:tabs>
          <w:tab w:val="left" w:pos="570"/>
          <w:tab w:val="left" w:pos="9240"/>
          <w:tab w:val="left" w:pos="9555"/>
        </w:tabs>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sz w:val="24"/>
          <w:highlight w:val="none"/>
        </w:rPr>
        <w:t>政府采购合同专用条款</w:t>
      </w:r>
      <w:r>
        <w:rPr>
          <w:rFonts w:hint="eastAsia" w:ascii="宋体" w:hAnsi="宋体" w:eastAsia="宋体" w:cs="宋体"/>
          <w:sz w:val="24"/>
          <w:highlight w:val="none"/>
        </w:rPr>
        <w:t>】。</w:t>
      </w:r>
    </w:p>
    <w:p w14:paraId="602ED4C9">
      <w:pPr>
        <w:tabs>
          <w:tab w:val="left" w:pos="570"/>
          <w:tab w:val="left" w:pos="9240"/>
          <w:tab w:val="left" w:pos="9555"/>
        </w:tabs>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（7）其他术语解释，见【</w:t>
      </w:r>
      <w:r>
        <w:rPr>
          <w:rFonts w:hint="eastAsia" w:ascii="宋体" w:hAnsi="宋体" w:eastAsia="宋体" w:cs="宋体"/>
          <w:b/>
          <w:bCs/>
          <w:sz w:val="24"/>
          <w:highlight w:val="none"/>
        </w:rPr>
        <w:t>政府采购合同专用条款</w:t>
      </w:r>
      <w:r>
        <w:rPr>
          <w:rFonts w:hint="eastAsia" w:ascii="宋体" w:hAnsi="宋体" w:eastAsia="宋体" w:cs="宋体"/>
          <w:sz w:val="24"/>
          <w:highlight w:val="none"/>
        </w:rPr>
        <w:t>】。</w:t>
      </w:r>
    </w:p>
    <w:p w14:paraId="7FA6192E">
      <w:pPr>
        <w:numPr>
          <w:ilvl w:val="0"/>
          <w:numId w:val="2"/>
        </w:numPr>
        <w:autoSpaceDE w:val="0"/>
        <w:autoSpaceDN w:val="0"/>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sz w:val="24"/>
          <w:highlight w:val="none"/>
        </w:rPr>
        <w:t>合同标的及金额</w:t>
      </w:r>
    </w:p>
    <w:p w14:paraId="2220E4B6">
      <w:pPr>
        <w:autoSpaceDE w:val="0"/>
        <w:autoSpaceDN w:val="0"/>
        <w:adjustRightInd w:val="0"/>
        <w:snapToGrid w:val="0"/>
        <w:spacing w:line="400" w:lineRule="exact"/>
        <w:ind w:firstLine="480" w:firstLineChars="200"/>
        <w:jc w:val="left"/>
        <w:rPr>
          <w:rFonts w:ascii="宋体" w:hAnsi="宋体" w:eastAsia="宋体" w:cs="宋体"/>
          <w:b/>
          <w:bCs/>
          <w:i/>
          <w:iCs/>
          <w:sz w:val="24"/>
          <w:highlight w:val="none"/>
        </w:rPr>
      </w:pPr>
      <w:r>
        <w:rPr>
          <w:rFonts w:hint="eastAsia" w:ascii="宋体" w:hAnsi="宋体" w:eastAsia="宋体" w:cs="宋体"/>
          <w:sz w:val="24"/>
          <w:highlight w:val="none"/>
        </w:rPr>
        <w:t>2.1 合同标的及金额应与中标（成交）结果一致。乙方为履行本合同而发生的所有费用均应包含在合同价款中，甲方不再另行支付</w:t>
      </w:r>
      <w:r>
        <w:rPr>
          <w:rFonts w:hint="eastAsia" w:ascii="宋体" w:hAnsi="宋体" w:eastAsia="宋体" w:cs="宋体"/>
          <w:sz w:val="24"/>
          <w:highlight w:val="none"/>
          <w:lang w:val="en"/>
        </w:rPr>
        <w:t>其他</w:t>
      </w:r>
      <w:r>
        <w:rPr>
          <w:rFonts w:hint="eastAsia" w:ascii="宋体" w:hAnsi="宋体" w:eastAsia="宋体" w:cs="宋体"/>
          <w:sz w:val="24"/>
          <w:highlight w:val="none"/>
        </w:rPr>
        <w:t>任何费用。</w:t>
      </w:r>
    </w:p>
    <w:p w14:paraId="62F2DC47">
      <w:pPr>
        <w:adjustRightInd w:val="0"/>
        <w:snapToGrid w:val="0"/>
        <w:spacing w:line="400" w:lineRule="exact"/>
        <w:jc w:val="left"/>
        <w:rPr>
          <w:rFonts w:ascii="宋体" w:hAnsi="宋体" w:eastAsia="宋体" w:cs="宋体"/>
          <w:b/>
          <w:sz w:val="24"/>
          <w:highlight w:val="none"/>
        </w:rPr>
      </w:pPr>
      <w:r>
        <w:rPr>
          <w:rFonts w:hint="eastAsia" w:ascii="宋体" w:hAnsi="宋体" w:eastAsia="宋体" w:cs="宋体"/>
          <w:b/>
          <w:sz w:val="24"/>
          <w:highlight w:val="none"/>
        </w:rPr>
        <w:t>3. 履行合同的时间、地点和方式</w:t>
      </w:r>
    </w:p>
    <w:p w14:paraId="19F9788C">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3.1 乙方应当在约定的时间、地点，按照约定方式履行合同。</w:t>
      </w:r>
    </w:p>
    <w:p w14:paraId="129243CA">
      <w:pPr>
        <w:autoSpaceDE w:val="0"/>
        <w:autoSpaceDN w:val="0"/>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4. 甲方的权利和义务</w:t>
      </w:r>
    </w:p>
    <w:p w14:paraId="103F6750">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6B6B341D">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4.2 甲方有权要求乙方按时提交各阶段有关安排计划，并有权定期核对乙方提供货物数量、规格、质量等内容。甲方有权督促乙方工作并要求乙方更换不符合要求的货物。</w:t>
      </w:r>
    </w:p>
    <w:p w14:paraId="0ABB2464">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4.3 甲方有权要求乙方对缺陷部分予以修复，并按合同约定享有货物保修及其他合同约定的权利。</w:t>
      </w:r>
    </w:p>
    <w:p w14:paraId="486FBA83">
      <w:pPr>
        <w:snapToGrid w:val="0"/>
        <w:spacing w:line="400" w:lineRule="exact"/>
        <w:ind w:firstLine="480" w:firstLineChars="200"/>
        <w:rPr>
          <w:rFonts w:ascii="宋体" w:hAnsi="宋体" w:eastAsia="宋体" w:cs="宋体"/>
          <w:sz w:val="24"/>
          <w:highlight w:val="none"/>
        </w:rPr>
      </w:pPr>
      <w:r>
        <w:rPr>
          <w:rFonts w:hint="eastAsia" w:ascii="宋体" w:hAnsi="宋体" w:eastAsia="宋体" w:cs="宋体"/>
          <w:sz w:val="24"/>
          <w:highlight w:val="none"/>
        </w:rPr>
        <w:t>4.4 甲方应当按照合同约定及时对交付的货物进行验收，未在</w:t>
      </w:r>
      <w:r>
        <w:rPr>
          <w:rFonts w:hint="eastAsia" w:ascii="宋体" w:hAnsi="宋体" w:eastAsia="宋体" w:cs="宋体"/>
          <w:b/>
          <w:bCs/>
          <w:sz w:val="24"/>
          <w:highlight w:val="none"/>
        </w:rPr>
        <w:t>【政府采购合同专用条款】</w:t>
      </w:r>
      <w:r>
        <w:rPr>
          <w:rFonts w:hint="eastAsia" w:ascii="宋体" w:hAnsi="宋体" w:eastAsia="宋体" w:cs="宋体"/>
          <w:sz w:val="24"/>
          <w:highlight w:val="none"/>
        </w:rPr>
        <w:t>约定的期限内对乙方履约提出任何异议或者向乙方作出任何说明的，视为验收通过。</w:t>
      </w:r>
    </w:p>
    <w:p w14:paraId="0153178C">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4.5 甲方应当根据合同约定及时向乙方支付合同价款，不得以内部人员变更、履行内部付款流程等为由，拒绝或迟延支付。</w:t>
      </w:r>
    </w:p>
    <w:p w14:paraId="6BBB152C">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4.6 国家法律法规规定及</w:t>
      </w:r>
      <w:r>
        <w:rPr>
          <w:rFonts w:hint="eastAsia" w:ascii="宋体" w:hAnsi="宋体" w:eastAsia="宋体" w:cs="宋体"/>
          <w:b/>
          <w:bCs/>
          <w:sz w:val="24"/>
          <w:highlight w:val="none"/>
        </w:rPr>
        <w:t>【政府采购合同专用条款】</w:t>
      </w:r>
      <w:r>
        <w:rPr>
          <w:rFonts w:hint="eastAsia" w:ascii="宋体" w:hAnsi="宋体" w:eastAsia="宋体" w:cs="宋体"/>
          <w:sz w:val="24"/>
          <w:highlight w:val="none"/>
        </w:rPr>
        <w:t>约定应由甲方承担的其他义务和责任。</w:t>
      </w:r>
    </w:p>
    <w:p w14:paraId="0328257C">
      <w:pPr>
        <w:autoSpaceDE w:val="0"/>
        <w:autoSpaceDN w:val="0"/>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5. 乙方的权利和义务</w:t>
      </w:r>
    </w:p>
    <w:p w14:paraId="3632C5A9">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5.1 签署合同后，乙方应确定项目负责人（或项目联系人），负责与本合同有关的事务。</w:t>
      </w:r>
    </w:p>
    <w:p w14:paraId="54D5C667">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28293E61">
      <w:pPr>
        <w:adjustRightInd w:val="0"/>
        <w:snapToGrid w:val="0"/>
        <w:spacing w:line="400" w:lineRule="exact"/>
        <w:ind w:firstLine="422" w:firstLineChars="176"/>
        <w:rPr>
          <w:rFonts w:ascii="宋体" w:hAnsi="宋体" w:eastAsia="宋体" w:cs="宋体"/>
          <w:kern w:val="0"/>
          <w:sz w:val="24"/>
          <w:szCs w:val="24"/>
          <w:highlight w:val="none"/>
        </w:rPr>
      </w:pPr>
      <w:r>
        <w:rPr>
          <w:rFonts w:hint="eastAsia" w:ascii="宋体" w:hAnsi="宋体" w:eastAsia="宋体" w:cs="宋体"/>
          <w:kern w:val="0"/>
          <w:sz w:val="24"/>
          <w:szCs w:val="24"/>
          <w:highlight w:val="none"/>
        </w:rPr>
        <w:t>5.3乙方有权根据合同约定向甲方收取合同价款。</w:t>
      </w:r>
    </w:p>
    <w:p w14:paraId="514AC45D">
      <w:pPr>
        <w:adjustRightInd w:val="0"/>
        <w:snapToGrid w:val="0"/>
        <w:spacing w:line="400" w:lineRule="exact"/>
        <w:ind w:firstLine="422" w:firstLineChars="176"/>
        <w:rPr>
          <w:rFonts w:ascii="宋体" w:hAnsi="宋体" w:eastAsia="宋体" w:cs="宋体"/>
          <w:kern w:val="0"/>
          <w:sz w:val="24"/>
          <w:szCs w:val="24"/>
          <w:highlight w:val="none"/>
        </w:rPr>
      </w:pPr>
      <w:r>
        <w:rPr>
          <w:rFonts w:hint="eastAsia" w:ascii="宋体" w:hAnsi="宋体" w:eastAsia="宋体" w:cs="宋体"/>
          <w:kern w:val="0"/>
          <w:sz w:val="24"/>
          <w:szCs w:val="24"/>
          <w:highlight w:val="none"/>
        </w:rPr>
        <w:t>5.4国家法律法规规定及</w:t>
      </w:r>
      <w:r>
        <w:rPr>
          <w:rFonts w:hint="eastAsia" w:ascii="宋体" w:hAnsi="宋体" w:eastAsia="宋体" w:cs="宋体"/>
          <w:b/>
          <w:bCs/>
          <w:kern w:val="0"/>
          <w:sz w:val="24"/>
          <w:szCs w:val="24"/>
          <w:highlight w:val="none"/>
        </w:rPr>
        <w:t>【政府采购合同专用条款】</w:t>
      </w:r>
      <w:r>
        <w:rPr>
          <w:rFonts w:hint="eastAsia" w:ascii="宋体" w:hAnsi="宋体" w:eastAsia="宋体" w:cs="宋体"/>
          <w:kern w:val="0"/>
          <w:sz w:val="24"/>
          <w:szCs w:val="24"/>
          <w:highlight w:val="none"/>
        </w:rPr>
        <w:t>约定应由乙方承担的其他义务和责任。</w:t>
      </w:r>
    </w:p>
    <w:p w14:paraId="3C5BF54F">
      <w:pPr>
        <w:numPr>
          <w:ilvl w:val="0"/>
          <w:numId w:val="3"/>
        </w:numPr>
        <w:autoSpaceDE w:val="0"/>
        <w:autoSpaceDN w:val="0"/>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合同履行</w:t>
      </w:r>
    </w:p>
    <w:p w14:paraId="2EDEA327">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6.1 甲乙双方应当按照</w:t>
      </w:r>
      <w:r>
        <w:rPr>
          <w:rFonts w:hint="eastAsia" w:ascii="宋体" w:hAnsi="宋体" w:eastAsia="宋体" w:cs="宋体"/>
          <w:b/>
          <w:bCs/>
          <w:sz w:val="24"/>
          <w:highlight w:val="none"/>
        </w:rPr>
        <w:t>【政府采购合同专用条款】</w:t>
      </w:r>
      <w:r>
        <w:rPr>
          <w:rFonts w:hint="eastAsia" w:ascii="宋体" w:hAnsi="宋体" w:eastAsia="宋体" w:cs="宋体"/>
          <w:sz w:val="24"/>
          <w:highlight w:val="none"/>
        </w:rPr>
        <w:t>约定顺序履行合同义务；如果没有先后顺序的，应当同时履行。</w:t>
      </w:r>
    </w:p>
    <w:p w14:paraId="2E25E5A3">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7EE76937">
      <w:pPr>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7. 货物包装、运输、保险和交付要求</w:t>
      </w:r>
    </w:p>
    <w:p w14:paraId="0EBC5C5E">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7.1 本合同</w:t>
      </w:r>
      <w:r>
        <w:rPr>
          <w:rFonts w:hint="eastAsia" w:ascii="宋体" w:hAnsi="宋体" w:eastAsia="宋体" w:cs="宋体"/>
          <w:bCs/>
          <w:sz w:val="24"/>
          <w:highlight w:val="none"/>
        </w:rPr>
        <w:t>涉及商品包装、快递包装的，</w:t>
      </w:r>
      <w:r>
        <w:rPr>
          <w:rFonts w:hint="eastAsia" w:ascii="宋体" w:hAnsi="宋体" w:eastAsia="宋体" w:cs="宋体"/>
          <w:sz w:val="24"/>
          <w:highlight w:val="none"/>
        </w:rPr>
        <w:t>除</w:t>
      </w:r>
      <w:r>
        <w:rPr>
          <w:rFonts w:hint="eastAsia" w:ascii="宋体" w:hAnsi="宋体" w:eastAsia="宋体" w:cs="宋体"/>
          <w:b/>
          <w:sz w:val="24"/>
          <w:highlight w:val="none"/>
        </w:rPr>
        <w:t>【政府采购合同专用条款】</w:t>
      </w:r>
      <w:r>
        <w:rPr>
          <w:rFonts w:hint="eastAsia" w:ascii="宋体" w:hAnsi="宋体" w:eastAsia="宋体" w:cs="宋体"/>
          <w:bCs/>
          <w:sz w:val="24"/>
          <w:highlight w:val="none"/>
        </w:rPr>
        <w:t>另有约定外，</w:t>
      </w:r>
      <w:r>
        <w:rPr>
          <w:rFonts w:hint="eastAsia" w:ascii="宋体" w:hAnsi="宋体" w:eastAsia="宋体" w:cs="宋体"/>
          <w:sz w:val="24"/>
          <w:highlight w:val="none"/>
        </w:rPr>
        <w:t>包装应适应远距离运输、防潮、防震、防锈和防野蛮装卸等要求，确保货物安全无损地运抵</w:t>
      </w:r>
      <w:r>
        <w:rPr>
          <w:rFonts w:hint="eastAsia" w:ascii="宋体" w:hAnsi="宋体" w:eastAsia="宋体" w:cs="宋体"/>
          <w:b/>
          <w:sz w:val="24"/>
          <w:highlight w:val="none"/>
        </w:rPr>
        <w:t>【政府采购合同专用条款】</w:t>
      </w:r>
      <w:r>
        <w:rPr>
          <w:rFonts w:hint="eastAsia" w:ascii="宋体" w:hAnsi="宋体" w:eastAsia="宋体" w:cs="宋体"/>
          <w:bCs/>
          <w:sz w:val="24"/>
          <w:highlight w:val="none"/>
        </w:rPr>
        <w:t>约定的</w:t>
      </w:r>
      <w:r>
        <w:rPr>
          <w:rFonts w:hint="eastAsia" w:ascii="宋体" w:hAnsi="宋体" w:eastAsia="宋体" w:cs="宋体"/>
          <w:sz w:val="24"/>
          <w:highlight w:val="none"/>
        </w:rPr>
        <w:t>指定现场。</w:t>
      </w:r>
    </w:p>
    <w:p w14:paraId="6B303F83">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7.2 除</w:t>
      </w:r>
      <w:r>
        <w:rPr>
          <w:rFonts w:hint="eastAsia" w:ascii="宋体" w:hAnsi="宋体" w:eastAsia="宋体" w:cs="宋体"/>
          <w:b/>
          <w:sz w:val="24"/>
          <w:highlight w:val="none"/>
        </w:rPr>
        <w:t>【政府采购合同专用条款】</w:t>
      </w:r>
      <w:r>
        <w:rPr>
          <w:rFonts w:hint="eastAsia" w:ascii="宋体" w:hAnsi="宋体" w:eastAsia="宋体" w:cs="宋体"/>
          <w:bCs/>
          <w:sz w:val="24"/>
          <w:highlight w:val="none"/>
        </w:rPr>
        <w:t>另有约定外，</w:t>
      </w:r>
      <w:r>
        <w:rPr>
          <w:rFonts w:hint="eastAsia" w:ascii="宋体" w:hAnsi="宋体" w:eastAsia="宋体" w:cs="宋体"/>
          <w:sz w:val="24"/>
          <w:highlight w:val="none"/>
        </w:rPr>
        <w:t>乙方负责办理将货物运抵本合同规定的交货地点，并装卸、交付至甲方的一切运输事项，相关费用应包含在合同价款中。</w:t>
      </w:r>
    </w:p>
    <w:p w14:paraId="35017BBA">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7.3 货物保险要求按</w:t>
      </w:r>
      <w:r>
        <w:rPr>
          <w:rFonts w:hint="eastAsia" w:ascii="宋体" w:hAnsi="宋体" w:eastAsia="宋体" w:cs="宋体"/>
          <w:b/>
          <w:sz w:val="24"/>
          <w:highlight w:val="none"/>
        </w:rPr>
        <w:t>【政府采购合同专用条款】</w:t>
      </w:r>
      <w:r>
        <w:rPr>
          <w:rFonts w:hint="eastAsia" w:ascii="宋体" w:hAnsi="宋体" w:eastAsia="宋体" w:cs="宋体"/>
          <w:bCs/>
          <w:sz w:val="24"/>
          <w:highlight w:val="none"/>
        </w:rPr>
        <w:t>规定执行</w:t>
      </w:r>
      <w:r>
        <w:rPr>
          <w:rFonts w:hint="eastAsia" w:ascii="宋体" w:hAnsi="宋体" w:eastAsia="宋体" w:cs="宋体"/>
          <w:sz w:val="24"/>
          <w:highlight w:val="none"/>
        </w:rPr>
        <w:t>。</w:t>
      </w:r>
    </w:p>
    <w:p w14:paraId="14F46138">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E42623A">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7.5 乙方在运输到达之前应提前通知甲方，并提示货物运输装卸的注意事项，甲方配合乙方做好货物的接收工作。</w:t>
      </w:r>
    </w:p>
    <w:p w14:paraId="53BF56D0">
      <w:pPr>
        <w:widowControl/>
        <w:autoSpaceDE w:val="0"/>
        <w:autoSpaceDN w:val="0"/>
        <w:adjustRightInd w:val="0"/>
        <w:spacing w:line="400" w:lineRule="exact"/>
        <w:ind w:firstLine="480" w:firstLineChars="200"/>
        <w:jc w:val="left"/>
        <w:rPr>
          <w:rFonts w:ascii="宋体" w:hAnsi="宋体" w:eastAsia="宋体" w:cs="宋体"/>
          <w:kern w:val="0"/>
          <w:sz w:val="24"/>
          <w:szCs w:val="24"/>
          <w:highlight w:val="none"/>
        </w:rPr>
      </w:pPr>
      <w:r>
        <w:rPr>
          <w:rFonts w:hint="eastAsia" w:ascii="宋体" w:hAnsi="宋体" w:eastAsia="宋体" w:cs="宋体"/>
          <w:sz w:val="24"/>
          <w:szCs w:val="24"/>
          <w:highlight w:val="none"/>
        </w:rPr>
        <w:t>7.6 如因包装、运输问题导致货物损毁、丢失或者品质下降，甲方有权要求降价、换货、拒收部分或整批货物，由此产生的费用和损失，均由乙方承担。</w:t>
      </w:r>
    </w:p>
    <w:p w14:paraId="6E723A42">
      <w:pPr>
        <w:adjustRightInd w:val="0"/>
        <w:snapToGrid w:val="0"/>
        <w:spacing w:line="400" w:lineRule="exact"/>
        <w:jc w:val="left"/>
        <w:rPr>
          <w:rFonts w:ascii="宋体" w:hAnsi="宋体" w:eastAsia="宋体" w:cs="宋体"/>
          <w:b/>
          <w:sz w:val="24"/>
          <w:highlight w:val="none"/>
        </w:rPr>
      </w:pPr>
      <w:r>
        <w:rPr>
          <w:rFonts w:hint="eastAsia" w:ascii="宋体" w:hAnsi="宋体" w:eastAsia="宋体" w:cs="宋体"/>
          <w:b/>
          <w:sz w:val="24"/>
          <w:highlight w:val="none"/>
        </w:rPr>
        <w:t>8. 质量标准和保证</w:t>
      </w:r>
    </w:p>
    <w:p w14:paraId="2F31E7DE">
      <w:pPr>
        <w:adjustRightInd w:val="0"/>
        <w:snapToGrid w:val="0"/>
        <w:spacing w:line="400" w:lineRule="exact"/>
        <w:ind w:firstLine="480" w:firstLineChars="200"/>
        <w:jc w:val="left"/>
        <w:rPr>
          <w:rFonts w:ascii="宋体" w:hAnsi="宋体" w:eastAsia="宋体" w:cs="宋体"/>
          <w:b/>
          <w:sz w:val="24"/>
          <w:szCs w:val="24"/>
          <w:highlight w:val="none"/>
        </w:rPr>
      </w:pPr>
      <w:r>
        <w:rPr>
          <w:rFonts w:hint="eastAsia" w:ascii="宋体" w:hAnsi="宋体" w:eastAsia="宋体" w:cs="宋体"/>
          <w:sz w:val="24"/>
          <w:szCs w:val="24"/>
          <w:highlight w:val="none"/>
        </w:rPr>
        <w:t>8.1 质量标准</w:t>
      </w:r>
    </w:p>
    <w:p w14:paraId="28990D16">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297CBE1">
      <w:pPr>
        <w:adjustRightInd w:val="0"/>
        <w:snapToGrid w:val="0"/>
        <w:spacing w:line="40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（2）采用中华人民共和国法定计量单位。</w:t>
      </w:r>
    </w:p>
    <w:p w14:paraId="647523C5">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（3）乙方所提供的货物应符合国家有关安全、环保、卫生的规定。</w:t>
      </w:r>
    </w:p>
    <w:p w14:paraId="7CEA1CC5">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（4）乙方应向甲方提交所提供货物的技术文件，包括相应的中文技术文件，如：产品目录、图纸、操作手册、使用说明、维护手册或服务指南等。上述文件应包装好随货物一同发运。</w:t>
      </w:r>
    </w:p>
    <w:p w14:paraId="3C5EBA76">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8.2 保证</w:t>
      </w:r>
    </w:p>
    <w:p w14:paraId="19241550">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sz w:val="24"/>
          <w:highlight w:val="none"/>
        </w:rPr>
        <w:t>【政府采购合同专用条款】</w:t>
      </w:r>
      <w:r>
        <w:rPr>
          <w:rFonts w:hint="eastAsia" w:ascii="宋体" w:hAnsi="宋体" w:eastAsia="宋体" w:cs="宋体"/>
          <w:sz w:val="24"/>
          <w:highlight w:val="none"/>
        </w:rPr>
        <w:t>规定或乙方书面承诺（两者以较长的为准）的质量保证期内，本保证保持有效。</w:t>
      </w:r>
    </w:p>
    <w:p w14:paraId="18526CBD">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（2）在质量保证期内所发现的缺陷，甲方应尽快以书面形式通知乙方。</w:t>
      </w:r>
    </w:p>
    <w:p w14:paraId="2D225DDC">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（3）乙方收到通知后，应在</w:t>
      </w:r>
      <w:r>
        <w:rPr>
          <w:rFonts w:hint="eastAsia" w:ascii="宋体" w:hAnsi="宋体" w:eastAsia="宋体" w:cs="宋体"/>
          <w:b/>
          <w:sz w:val="24"/>
          <w:highlight w:val="none"/>
        </w:rPr>
        <w:t>【政府采购合同专用条款】</w:t>
      </w:r>
      <w:r>
        <w:rPr>
          <w:rFonts w:hint="eastAsia" w:ascii="宋体" w:hAnsi="宋体" w:eastAsia="宋体" w:cs="宋体"/>
          <w:sz w:val="24"/>
          <w:highlight w:val="none"/>
        </w:rPr>
        <w:t>规定的响应时间内以合理的速度免费维修或更换有缺陷的货物或部件。</w:t>
      </w:r>
    </w:p>
    <w:p w14:paraId="1A779A8A">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79705CE5">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（5）乙方在约定的时间内未能弥补缺陷，甲方可采取必要的补救措施，但其风险和费用将由乙方承担，甲方根据合同约定对乙方行使的其他权利不受影响。</w:t>
      </w:r>
    </w:p>
    <w:p w14:paraId="66A8C94E">
      <w:pPr>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9. 权利瑕疵担保</w:t>
      </w:r>
    </w:p>
    <w:p w14:paraId="743FA8F3">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9.1 乙方保证对其出售的货物享有合法的权利。</w:t>
      </w:r>
    </w:p>
    <w:p w14:paraId="49415688">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9.2 乙方保证在交付的货物上不存在抵押权等担保物权。</w:t>
      </w:r>
    </w:p>
    <w:p w14:paraId="6AA17ABE">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9.3 如甲方使用上述货物构成对第三人侵权的，则由乙方承担全部责任。</w:t>
      </w:r>
    </w:p>
    <w:p w14:paraId="4FEEB4F9">
      <w:pPr>
        <w:autoSpaceDE w:val="0"/>
        <w:autoSpaceDN w:val="0"/>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10. 知识产权保护</w:t>
      </w:r>
    </w:p>
    <w:p w14:paraId="13A18828">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10.1 乙方对其所销售的货物应当享有知识产权或经权利人合法授权，保证没有侵犯任何第三人的知识产权等权利。</w:t>
      </w:r>
      <w:bookmarkStart w:id="214" w:name="_Hlk163047038"/>
      <w:r>
        <w:rPr>
          <w:rFonts w:hint="eastAsia" w:ascii="宋体" w:hAnsi="宋体" w:eastAsia="宋体" w:cs="宋体"/>
          <w:sz w:val="24"/>
          <w:highlight w:val="none"/>
        </w:rPr>
        <w:t>因违反前述约定对第三人构成侵权的，应当由乙方向第三人承担法律责任；甲方依法向第三人赔偿后，有权向乙方追偿。甲方有其他损失的，乙方应当赔偿</w:t>
      </w:r>
      <w:bookmarkEnd w:id="214"/>
      <w:r>
        <w:rPr>
          <w:rFonts w:hint="eastAsia" w:ascii="宋体" w:hAnsi="宋体" w:eastAsia="宋体" w:cs="宋体"/>
          <w:sz w:val="24"/>
          <w:highlight w:val="none"/>
        </w:rPr>
        <w:t>。</w:t>
      </w:r>
    </w:p>
    <w:p w14:paraId="36F115E3">
      <w:pPr>
        <w:autoSpaceDE w:val="0"/>
        <w:autoSpaceDN w:val="0"/>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11. 保密义务</w:t>
      </w:r>
    </w:p>
    <w:p w14:paraId="59E17783">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sz w:val="24"/>
          <w:highlight w:val="none"/>
        </w:rPr>
        <w:t>【政府采购合同专用条款】</w:t>
      </w:r>
      <w:r>
        <w:rPr>
          <w:rFonts w:hint="eastAsia" w:ascii="宋体" w:hAnsi="宋体" w:eastAsia="宋体" w:cs="宋体"/>
          <w:sz w:val="24"/>
          <w:highlight w:val="none"/>
        </w:rPr>
        <w:t>中约定。</w:t>
      </w:r>
    </w:p>
    <w:p w14:paraId="39B2B275">
      <w:pPr>
        <w:autoSpaceDE w:val="0"/>
        <w:autoSpaceDN w:val="0"/>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12. 合同价款支付</w:t>
      </w:r>
    </w:p>
    <w:p w14:paraId="1775127D">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12.1 合同价款支付按照国库集中支付制度及财政管理相关规定执行。</w:t>
      </w:r>
    </w:p>
    <w:p w14:paraId="0153130A">
      <w:pPr>
        <w:adjustRightInd w:val="0"/>
        <w:snapToGrid w:val="0"/>
        <w:spacing w:line="400" w:lineRule="exact"/>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6B0E2100">
      <w:pPr>
        <w:adjustRightInd w:val="0"/>
        <w:snapToGrid w:val="0"/>
        <w:spacing w:line="400" w:lineRule="exact"/>
        <w:ind w:firstLine="595"/>
        <w:rPr>
          <w:rFonts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13. 履约保证金</w:t>
      </w:r>
    </w:p>
    <w:p w14:paraId="1814E9F3">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13.1 乙方应当以支票、汇票、本票或者金融机构、担保机构出具的保函等非现金形式提交。</w:t>
      </w:r>
    </w:p>
    <w:p w14:paraId="755FD256">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13.2 如果乙方出现</w:t>
      </w:r>
      <w:r>
        <w:rPr>
          <w:rFonts w:hint="eastAsia" w:ascii="宋体" w:hAnsi="宋体" w:eastAsia="宋体" w:cs="宋体"/>
          <w:b/>
          <w:bCs/>
          <w:sz w:val="24"/>
          <w:highlight w:val="none"/>
        </w:rPr>
        <w:t>【政府采购合同专用条款】</w:t>
      </w:r>
      <w:r>
        <w:rPr>
          <w:rFonts w:hint="eastAsia" w:ascii="宋体" w:hAnsi="宋体" w:eastAsia="宋体" w:cs="宋体"/>
          <w:sz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78151CE2">
      <w:pPr>
        <w:spacing w:line="400" w:lineRule="exact"/>
        <w:ind w:firstLine="420"/>
        <w:rPr>
          <w:rFonts w:ascii="宋体" w:hAnsi="宋体" w:eastAsia="宋体" w:cs="宋体"/>
          <w:sz w:val="24"/>
          <w:highlight w:val="none"/>
        </w:rPr>
      </w:pPr>
      <w:r>
        <w:rPr>
          <w:rFonts w:hint="eastAsia" w:ascii="宋体" w:hAnsi="宋体" w:eastAsia="宋体" w:cs="宋体"/>
          <w:sz w:val="24"/>
          <w:highlight w:val="none"/>
        </w:rPr>
        <w:t>13.3 甲方在项目通过验收后按照</w:t>
      </w:r>
      <w:r>
        <w:rPr>
          <w:rFonts w:hint="eastAsia" w:ascii="宋体" w:hAnsi="宋体" w:eastAsia="宋体" w:cs="宋体"/>
          <w:b/>
          <w:sz w:val="24"/>
          <w:highlight w:val="none"/>
        </w:rPr>
        <w:t>【政府采购合同专用条款】</w:t>
      </w:r>
      <w:r>
        <w:rPr>
          <w:rFonts w:hint="eastAsia" w:ascii="宋体" w:hAnsi="宋体" w:eastAsia="宋体" w:cs="宋体"/>
          <w:sz w:val="24"/>
          <w:highlight w:val="none"/>
        </w:rPr>
        <w:t>规定的时间内将履约保证金退还乙方；逾期退还的，乙方可要求甲方支付违约金，违约金按照</w:t>
      </w:r>
      <w:r>
        <w:rPr>
          <w:rFonts w:hint="eastAsia" w:ascii="宋体" w:hAnsi="宋体" w:eastAsia="宋体" w:cs="宋体"/>
          <w:b/>
          <w:sz w:val="24"/>
          <w:highlight w:val="none"/>
        </w:rPr>
        <w:t>【政府采购合同专用条款】</w:t>
      </w:r>
      <w:r>
        <w:rPr>
          <w:rFonts w:hint="eastAsia" w:ascii="宋体" w:hAnsi="宋体" w:eastAsia="宋体" w:cs="宋体"/>
          <w:sz w:val="24"/>
          <w:highlight w:val="none"/>
        </w:rPr>
        <w:t>规定支付。</w:t>
      </w:r>
    </w:p>
    <w:p w14:paraId="5D01FCD1">
      <w:pPr>
        <w:autoSpaceDE w:val="0"/>
        <w:autoSpaceDN w:val="0"/>
        <w:adjustRightInd w:val="0"/>
        <w:snapToGrid w:val="0"/>
        <w:spacing w:line="400" w:lineRule="exact"/>
        <w:jc w:val="left"/>
        <w:rPr>
          <w:rFonts w:ascii="宋体" w:hAnsi="宋体" w:eastAsia="宋体" w:cs="宋体"/>
          <w:b/>
          <w:sz w:val="24"/>
          <w:highlight w:val="none"/>
        </w:rPr>
      </w:pPr>
      <w:r>
        <w:rPr>
          <w:rFonts w:hint="eastAsia" w:ascii="宋体" w:hAnsi="宋体" w:eastAsia="宋体" w:cs="宋体"/>
          <w:b/>
          <w:bCs/>
          <w:sz w:val="24"/>
          <w:highlight w:val="none"/>
        </w:rPr>
        <w:t xml:space="preserve">14. </w:t>
      </w:r>
      <w:r>
        <w:rPr>
          <w:rFonts w:hint="eastAsia" w:ascii="宋体" w:hAnsi="宋体" w:eastAsia="宋体" w:cs="宋体"/>
          <w:b/>
          <w:sz w:val="24"/>
          <w:highlight w:val="none"/>
        </w:rPr>
        <w:t>售后服务</w:t>
      </w:r>
    </w:p>
    <w:p w14:paraId="304CBB5D">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14.1 除项目不涉及或采购活动中明确约定无须承担外，乙方还应提供下列服务：</w:t>
      </w:r>
    </w:p>
    <w:p w14:paraId="0ABCA5AC">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（1）货物的现场移动、安装、调试、启动监督及技术支持；</w:t>
      </w:r>
    </w:p>
    <w:p w14:paraId="022C6485">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（2）提供货物组装和维修所需的专用工具和辅助材料；</w:t>
      </w:r>
    </w:p>
    <w:p w14:paraId="7C18FC28">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（3）在</w:t>
      </w:r>
      <w:r>
        <w:rPr>
          <w:rFonts w:hint="eastAsia" w:ascii="宋体" w:hAnsi="宋体" w:eastAsia="宋体" w:cs="宋体"/>
          <w:b/>
          <w:bCs/>
          <w:sz w:val="24"/>
          <w:highlight w:val="none"/>
        </w:rPr>
        <w:t>【政府采购合同专用条款】</w:t>
      </w:r>
      <w:r>
        <w:rPr>
          <w:rFonts w:hint="eastAsia" w:ascii="宋体" w:hAnsi="宋体" w:eastAsia="宋体" w:cs="宋体"/>
          <w:sz w:val="24"/>
          <w:highlight w:val="none"/>
        </w:rPr>
        <w:t>约定的期限内对所有的货物实施运行监督、维修，但前提条件是该服务并不能免除乙方在质量保证期内所承担的义务；</w:t>
      </w:r>
    </w:p>
    <w:p w14:paraId="658E936D">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（4）在制造商所在地或指定现场就货物的安装、启动、运营、维护、废弃处置等对甲方操作人员进行培训；</w:t>
      </w:r>
    </w:p>
    <w:p w14:paraId="29BAA7F9">
      <w:pPr>
        <w:widowControl/>
        <w:autoSpaceDE w:val="0"/>
        <w:autoSpaceDN w:val="0"/>
        <w:adjustRightInd w:val="0"/>
        <w:spacing w:line="400" w:lineRule="exact"/>
        <w:ind w:firstLine="480" w:firstLineChars="200"/>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（5）依照法律、行政法规的规定或者按照</w:t>
      </w:r>
      <w:r>
        <w:rPr>
          <w:rFonts w:hint="eastAsia" w:ascii="宋体" w:hAnsi="宋体" w:eastAsia="宋体" w:cs="宋体"/>
          <w:b/>
          <w:bCs/>
          <w:kern w:val="0"/>
          <w:sz w:val="24"/>
          <w:szCs w:val="24"/>
          <w:highlight w:val="none"/>
        </w:rPr>
        <w:t>【政府采购合同专用条款】</w:t>
      </w:r>
      <w:r>
        <w:rPr>
          <w:rFonts w:hint="eastAsia" w:ascii="宋体" w:hAnsi="宋体" w:eastAsia="宋体" w:cs="宋体"/>
          <w:kern w:val="0"/>
          <w:sz w:val="24"/>
          <w:szCs w:val="24"/>
          <w:highlight w:val="none"/>
        </w:rPr>
        <w:t>约定，货物在有效使用年限届满后应予回收的，乙方负有自行或者委托第三人对货物予以回收的义务；</w:t>
      </w:r>
    </w:p>
    <w:p w14:paraId="78CABA18">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（6）</w:t>
      </w:r>
      <w:r>
        <w:rPr>
          <w:rFonts w:hint="eastAsia" w:ascii="宋体" w:hAnsi="宋体" w:eastAsia="宋体" w:cs="宋体"/>
          <w:b/>
          <w:sz w:val="24"/>
          <w:highlight w:val="none"/>
        </w:rPr>
        <w:t>【政府采购合同专用条款】</w:t>
      </w:r>
      <w:r>
        <w:rPr>
          <w:rFonts w:hint="eastAsia" w:ascii="宋体" w:hAnsi="宋体" w:eastAsia="宋体" w:cs="宋体"/>
          <w:sz w:val="24"/>
          <w:highlight w:val="none"/>
        </w:rPr>
        <w:t>规定由乙方提供的其他服务。</w:t>
      </w:r>
    </w:p>
    <w:p w14:paraId="1452253B">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14.2 乙方提供的售后服务的费用已包含在合同价款中，甲方不再另行支付。</w:t>
      </w:r>
    </w:p>
    <w:p w14:paraId="2E6AFB50">
      <w:pPr>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15. 违约责任</w:t>
      </w:r>
    </w:p>
    <w:p w14:paraId="5937EC5A">
      <w:pPr>
        <w:adjustRightInd w:val="0"/>
        <w:snapToGrid w:val="0"/>
        <w:spacing w:line="400" w:lineRule="exact"/>
        <w:ind w:firstLine="480" w:firstLineChars="200"/>
        <w:jc w:val="left"/>
        <w:rPr>
          <w:rFonts w:ascii="宋体" w:hAnsi="宋体" w:eastAsia="宋体" w:cs="宋体"/>
          <w:bCs/>
          <w:sz w:val="24"/>
          <w:highlight w:val="none"/>
        </w:rPr>
      </w:pPr>
      <w:r>
        <w:rPr>
          <w:rFonts w:hint="eastAsia" w:ascii="宋体" w:hAnsi="宋体" w:eastAsia="宋体" w:cs="宋体"/>
          <w:bCs/>
          <w:sz w:val="24"/>
          <w:highlight w:val="none"/>
        </w:rPr>
        <w:t>15.1质量瑕疵的违约责任</w:t>
      </w:r>
    </w:p>
    <w:p w14:paraId="51730CB0">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乙方提供的产品不符合合同约定的质量标准或存在产品质量缺陷，甲方有权要求乙方根据</w:t>
      </w:r>
      <w:r>
        <w:rPr>
          <w:rFonts w:hint="eastAsia" w:ascii="宋体" w:hAnsi="宋体" w:eastAsia="宋体" w:cs="宋体"/>
          <w:b/>
          <w:sz w:val="24"/>
          <w:highlight w:val="none"/>
        </w:rPr>
        <w:t>【政府采购合同专用条款】</w:t>
      </w:r>
      <w:r>
        <w:rPr>
          <w:rFonts w:hint="eastAsia" w:ascii="宋体" w:hAnsi="宋体" w:eastAsia="宋体" w:cs="宋体"/>
          <w:bCs/>
          <w:sz w:val="24"/>
          <w:highlight w:val="none"/>
        </w:rPr>
        <w:t>要求</w:t>
      </w:r>
      <w:r>
        <w:rPr>
          <w:rFonts w:hint="eastAsia" w:ascii="宋体" w:hAnsi="宋体" w:eastAsia="宋体" w:cs="宋体"/>
          <w:sz w:val="24"/>
          <w:highlight w:val="none"/>
        </w:rPr>
        <w:t>及时修理、重作、更换，并承担由此给甲方造成的损失。</w:t>
      </w:r>
    </w:p>
    <w:p w14:paraId="45BAAD87">
      <w:pPr>
        <w:autoSpaceDE w:val="0"/>
        <w:autoSpaceDN w:val="0"/>
        <w:adjustRightInd w:val="0"/>
        <w:snapToGrid w:val="0"/>
        <w:spacing w:line="400" w:lineRule="exact"/>
        <w:ind w:firstLine="480" w:firstLineChars="200"/>
        <w:jc w:val="left"/>
        <w:rPr>
          <w:rFonts w:ascii="宋体" w:hAnsi="宋体" w:eastAsia="宋体" w:cs="宋体"/>
          <w:bCs/>
          <w:sz w:val="24"/>
          <w:highlight w:val="none"/>
        </w:rPr>
      </w:pPr>
      <w:r>
        <w:rPr>
          <w:rFonts w:hint="eastAsia" w:ascii="宋体" w:hAnsi="宋体" w:eastAsia="宋体" w:cs="宋体"/>
          <w:bCs/>
          <w:sz w:val="24"/>
          <w:highlight w:val="none"/>
        </w:rPr>
        <w:t>15.2 迟延交货的违约责任</w:t>
      </w:r>
    </w:p>
    <w:p w14:paraId="259FFBF8">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5923077">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宋体"/>
          <w:b/>
          <w:sz w:val="24"/>
          <w:highlight w:val="none"/>
        </w:rPr>
        <w:t>【政府采购合同专用条款】</w:t>
      </w:r>
      <w:r>
        <w:rPr>
          <w:rFonts w:hint="eastAsia" w:ascii="宋体" w:hAnsi="宋体" w:eastAsia="宋体" w:cs="宋体"/>
          <w:sz w:val="24"/>
          <w:highlight w:val="none"/>
        </w:rPr>
        <w:t>规定执行。如果涉及公共利益，且赔偿金额无法弥补公共利益损失，甲方可要求继续履行或者采取其他补救措施。</w:t>
      </w:r>
    </w:p>
    <w:p w14:paraId="5459F0C3">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15.3 迟延支付的违约责任</w:t>
      </w:r>
    </w:p>
    <w:p w14:paraId="19765723">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甲方存在迟延支付乙方合同款项的，应当承担</w:t>
      </w:r>
      <w:r>
        <w:rPr>
          <w:rFonts w:hint="eastAsia" w:ascii="宋体" w:hAnsi="宋体" w:eastAsia="宋体" w:cs="宋体"/>
          <w:b/>
          <w:bCs/>
          <w:sz w:val="24"/>
          <w:highlight w:val="none"/>
        </w:rPr>
        <w:t>【政府采购合同专用条款】</w:t>
      </w:r>
      <w:r>
        <w:rPr>
          <w:rFonts w:hint="eastAsia" w:ascii="宋体" w:hAnsi="宋体" w:eastAsia="宋体" w:cs="宋体"/>
          <w:sz w:val="24"/>
          <w:highlight w:val="none"/>
        </w:rPr>
        <w:t>规定的逾期付款利息。</w:t>
      </w:r>
    </w:p>
    <w:p w14:paraId="6BF99B93">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bCs/>
          <w:sz w:val="24"/>
          <w:highlight w:val="none"/>
        </w:rPr>
        <w:t>15.4其他违约责任根据项目实际需要按</w:t>
      </w:r>
      <w:r>
        <w:rPr>
          <w:rFonts w:hint="eastAsia" w:ascii="宋体" w:hAnsi="宋体" w:eastAsia="宋体" w:cs="宋体"/>
          <w:b/>
          <w:bCs/>
          <w:sz w:val="24"/>
          <w:highlight w:val="none"/>
        </w:rPr>
        <w:t>【政府采购合同专用条款】</w:t>
      </w:r>
      <w:r>
        <w:rPr>
          <w:rFonts w:hint="eastAsia" w:ascii="宋体" w:hAnsi="宋体" w:eastAsia="宋体" w:cs="宋体"/>
          <w:sz w:val="24"/>
          <w:highlight w:val="none"/>
        </w:rPr>
        <w:t>规定执行。</w:t>
      </w:r>
    </w:p>
    <w:p w14:paraId="61D249A4">
      <w:pPr>
        <w:numPr>
          <w:ilvl w:val="0"/>
          <w:numId w:val="4"/>
        </w:numPr>
        <w:autoSpaceDE w:val="0"/>
        <w:autoSpaceDN w:val="0"/>
        <w:adjustRightInd w:val="0"/>
        <w:snapToGrid w:val="0"/>
        <w:spacing w:line="400" w:lineRule="exact"/>
        <w:jc w:val="left"/>
        <w:rPr>
          <w:rFonts w:ascii="宋体" w:hAnsi="宋体" w:eastAsia="宋体" w:cs="宋体"/>
          <w:b/>
          <w:sz w:val="24"/>
          <w:highlight w:val="none"/>
        </w:rPr>
      </w:pPr>
      <w:r>
        <w:rPr>
          <w:rFonts w:hint="eastAsia" w:ascii="宋体" w:hAnsi="宋体" w:eastAsia="宋体" w:cs="宋体"/>
          <w:b/>
          <w:sz w:val="24"/>
          <w:highlight w:val="none"/>
        </w:rPr>
        <w:t>合同变更、中止与终止</w:t>
      </w:r>
    </w:p>
    <w:p w14:paraId="5B600081">
      <w:pPr>
        <w:adjustRightInd w:val="0"/>
        <w:snapToGrid w:val="0"/>
        <w:spacing w:line="400" w:lineRule="exact"/>
        <w:jc w:val="left"/>
        <w:rPr>
          <w:rFonts w:ascii="宋体" w:hAnsi="宋体" w:eastAsia="宋体" w:cs="宋体"/>
          <w:sz w:val="24"/>
          <w:highlight w:val="none"/>
        </w:rPr>
      </w:pPr>
      <w:r>
        <w:rPr>
          <w:rFonts w:hint="eastAsia" w:ascii="宋体" w:hAnsi="宋体" w:eastAsia="宋体" w:cs="宋体"/>
          <w:sz w:val="24"/>
          <w:highlight w:val="none"/>
        </w:rPr>
        <w:t xml:space="preserve">    16.1合同的变更</w:t>
      </w:r>
    </w:p>
    <w:p w14:paraId="0D002C3C">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政府采购合同履行中，在不改变合同其他条款的前提下，甲方可以在合同价款10%的范围内追加与合同标的相同的货物，并就此与乙方协商一致后签订补充协议。</w:t>
      </w:r>
    </w:p>
    <w:p w14:paraId="5AADA554">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16.2合同的中止</w:t>
      </w:r>
    </w:p>
    <w:p w14:paraId="52AC75CF">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（1）合同履行过程中因供应商就采购文件、采购过程或结果提起投诉的，甲方认为有必要的，可以中止合同的履行。</w:t>
      </w:r>
    </w:p>
    <w:p w14:paraId="3D306E6D">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609187A">
      <w:pPr>
        <w:widowControl/>
        <w:autoSpaceDE w:val="0"/>
        <w:autoSpaceDN w:val="0"/>
        <w:adjustRightInd w:val="0"/>
        <w:spacing w:line="40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25FCC1BC">
      <w:pPr>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（4）甲方不得以行政区划调整、政府换届、机构或者职能调整以及相关责任人更替为由中止合同。</w:t>
      </w:r>
    </w:p>
    <w:p w14:paraId="6CA112B9">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16.3合同的终止</w:t>
      </w:r>
    </w:p>
    <w:p w14:paraId="7A5843B5">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（1）合同因有效期限届满而终止；</w:t>
      </w:r>
    </w:p>
    <w:p w14:paraId="272A6460">
      <w:pPr>
        <w:snapToGrid w:val="0"/>
        <w:spacing w:line="400" w:lineRule="exact"/>
        <w:ind w:firstLine="480" w:firstLineChars="200"/>
        <w:rPr>
          <w:rFonts w:ascii="宋体" w:hAnsi="宋体" w:eastAsia="宋体" w:cs="宋体"/>
          <w:sz w:val="24"/>
          <w:highlight w:val="none"/>
        </w:rPr>
      </w:pPr>
      <w:r>
        <w:rPr>
          <w:rFonts w:hint="eastAsia" w:ascii="宋体" w:hAnsi="宋体" w:eastAsia="宋体" w:cs="宋体"/>
          <w:sz w:val="24"/>
          <w:highlight w:val="none"/>
        </w:rPr>
        <w:t>（2）乙方未按合同约定履行，构成根本性违约的，甲方有权终止合同，并追究乙方的违约责任。</w:t>
      </w:r>
    </w:p>
    <w:p w14:paraId="205986D3">
      <w:pPr>
        <w:widowControl/>
        <w:autoSpaceDE w:val="0"/>
        <w:autoSpaceDN w:val="0"/>
        <w:adjustRightInd w:val="0"/>
        <w:spacing w:line="400" w:lineRule="exact"/>
        <w:ind w:firstLine="480" w:firstLineChars="200"/>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16.4 </w:t>
      </w:r>
      <w:r>
        <w:rPr>
          <w:rFonts w:hint="eastAsia" w:ascii="宋体" w:hAnsi="宋体" w:eastAsia="宋体" w:cs="宋体"/>
          <w:sz w:val="24"/>
          <w:szCs w:val="24"/>
          <w:highlight w:val="none"/>
        </w:rPr>
        <w:t>涉及国家利益、社会公共利益的情形</w:t>
      </w:r>
    </w:p>
    <w:p w14:paraId="25961F3A">
      <w:pPr>
        <w:widowControl/>
        <w:autoSpaceDE w:val="0"/>
        <w:autoSpaceDN w:val="0"/>
        <w:adjustRightInd w:val="0"/>
        <w:spacing w:line="40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0B38ADFE">
      <w:pPr>
        <w:autoSpaceDE w:val="0"/>
        <w:autoSpaceDN w:val="0"/>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17. 合同分包</w:t>
      </w:r>
    </w:p>
    <w:p w14:paraId="1877AC69">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17.1 乙方不得将合同转包给其他供应商。涉及合同分包的，乙方应根据采购文件和投标（响应）文件规定进行合同分包。</w:t>
      </w:r>
    </w:p>
    <w:p w14:paraId="421E0865">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17.2 乙方执行政府采购政策向中小企业依法分包的，乙方应当按采购文件和投标（响应）文件签订分包意向协议，分包意向协议属于本合同组成部分。</w:t>
      </w:r>
    </w:p>
    <w:p w14:paraId="1534D2C6">
      <w:pPr>
        <w:autoSpaceDE w:val="0"/>
        <w:autoSpaceDN w:val="0"/>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18. 不可抗力</w:t>
      </w:r>
    </w:p>
    <w:p w14:paraId="2686C5BB">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18.1 不可抗力是指合同双方不能预见、不能避免且不能克服的客观情况。</w:t>
      </w:r>
    </w:p>
    <w:p w14:paraId="1B5C5B92">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18.2 任何一方对由于不可抗力造成的部分或全部不能履行合同不承担违约责任。但迟延履行后发生不可抗力的，不能免除责任。</w:t>
      </w:r>
    </w:p>
    <w:p w14:paraId="4131B233">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A8E3747">
      <w:pPr>
        <w:autoSpaceDE w:val="0"/>
        <w:autoSpaceDN w:val="0"/>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19. 解决争议的方法</w:t>
      </w:r>
    </w:p>
    <w:p w14:paraId="2CEB7616">
      <w:pPr>
        <w:widowControl/>
        <w:autoSpaceDE w:val="0"/>
        <w:autoSpaceDN w:val="0"/>
        <w:adjustRightInd w:val="0"/>
        <w:spacing w:line="40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601DF4EB">
      <w:pPr>
        <w:widowControl/>
        <w:autoSpaceDE w:val="0"/>
        <w:autoSpaceDN w:val="0"/>
        <w:adjustRightInd w:val="0"/>
        <w:spacing w:line="40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19.2 选择仲裁的，应在</w:t>
      </w:r>
      <w:r>
        <w:rPr>
          <w:rFonts w:hint="eastAsia" w:ascii="宋体" w:hAnsi="宋体" w:eastAsia="宋体" w:cs="宋体"/>
          <w:b/>
          <w:bCs/>
          <w:kern w:val="0"/>
          <w:sz w:val="24"/>
          <w:szCs w:val="24"/>
          <w:highlight w:val="none"/>
        </w:rPr>
        <w:t>【政府采购合同专用条款】</w:t>
      </w:r>
      <w:r>
        <w:rPr>
          <w:rFonts w:hint="eastAsia" w:ascii="宋体" w:hAnsi="宋体" w:eastAsia="宋体" w:cs="宋体"/>
          <w:kern w:val="0"/>
          <w:sz w:val="24"/>
          <w:szCs w:val="24"/>
          <w:highlight w:val="none"/>
        </w:rPr>
        <w:t>中明确仲裁机构及仲裁地；通过诉讼方式解决的，可以在</w:t>
      </w:r>
      <w:r>
        <w:rPr>
          <w:rFonts w:hint="eastAsia" w:ascii="宋体" w:hAnsi="宋体" w:eastAsia="宋体" w:cs="宋体"/>
          <w:b/>
          <w:bCs/>
          <w:kern w:val="0"/>
          <w:sz w:val="24"/>
          <w:szCs w:val="24"/>
          <w:highlight w:val="none"/>
        </w:rPr>
        <w:t>【政府采购合同专用条款】</w:t>
      </w:r>
      <w:r>
        <w:rPr>
          <w:rFonts w:hint="eastAsia" w:ascii="宋体" w:hAnsi="宋体" w:eastAsia="宋体" w:cs="宋体"/>
          <w:kern w:val="0"/>
          <w:sz w:val="24"/>
          <w:szCs w:val="24"/>
          <w:highlight w:val="none"/>
        </w:rPr>
        <w:t>中进一步约定选择与争议有实际联系的地点的人民法院管辖，但管辖法院的约定不得违反级别管辖和专属管辖的规定。</w:t>
      </w:r>
    </w:p>
    <w:p w14:paraId="7849CDC9">
      <w:pPr>
        <w:widowControl/>
        <w:autoSpaceDE w:val="0"/>
        <w:autoSpaceDN w:val="0"/>
        <w:adjustRightInd w:val="0"/>
        <w:spacing w:line="40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19.3 如甲乙双方有争议的事项不影响合同其他部分的履行，在争议解决期间，合同其他部分应当继续履行。</w:t>
      </w:r>
    </w:p>
    <w:p w14:paraId="42687FDF">
      <w:pPr>
        <w:autoSpaceDE w:val="0"/>
        <w:autoSpaceDN w:val="0"/>
        <w:adjustRightInd w:val="0"/>
        <w:snapToGrid w:val="0"/>
        <w:spacing w:line="400" w:lineRule="exact"/>
        <w:jc w:val="left"/>
        <w:rPr>
          <w:rFonts w:ascii="宋体" w:hAnsi="宋体" w:eastAsia="宋体" w:cs="宋体"/>
          <w:sz w:val="24"/>
          <w:highlight w:val="none"/>
        </w:rPr>
      </w:pPr>
      <w:r>
        <w:rPr>
          <w:rFonts w:hint="eastAsia" w:ascii="宋体" w:hAnsi="宋体" w:eastAsia="宋体" w:cs="宋体"/>
          <w:b/>
          <w:sz w:val="24"/>
          <w:highlight w:val="none"/>
        </w:rPr>
        <w:t>20. 政府采购政策</w:t>
      </w:r>
    </w:p>
    <w:p w14:paraId="3DFE5E8F">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 xml:space="preserve">20.1 </w:t>
      </w:r>
      <w:r>
        <w:rPr>
          <w:rFonts w:hint="eastAsia" w:ascii="宋体" w:hAnsi="宋体" w:eastAsia="宋体" w:cs="宋体"/>
          <w:sz w:val="24"/>
          <w:highlight w:val="none"/>
          <w:lang w:val="en-GB"/>
        </w:rPr>
        <w:t>本合同应当按照规定执行政府采购政策。</w:t>
      </w:r>
    </w:p>
    <w:p w14:paraId="627E77E7">
      <w:pPr>
        <w:autoSpaceDE w:val="0"/>
        <w:autoSpaceDN w:val="0"/>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20.2 本合同依法执行政府采购政策的方式和内容，属于合同履约验收的范围。甲乙双方</w:t>
      </w:r>
      <w:r>
        <w:rPr>
          <w:rFonts w:hint="eastAsia" w:ascii="宋体" w:hAnsi="宋体" w:eastAsia="宋体" w:cs="宋体"/>
          <w:sz w:val="24"/>
          <w:highlight w:val="none"/>
          <w:lang w:val="en-GB"/>
        </w:rPr>
        <w:t>未按规定要求执行政府采购政策造成损失的</w:t>
      </w:r>
      <w:r>
        <w:rPr>
          <w:rFonts w:hint="eastAsia" w:ascii="宋体" w:hAnsi="宋体" w:eastAsia="宋体" w:cs="宋体"/>
          <w:sz w:val="24"/>
          <w:highlight w:val="none"/>
        </w:rPr>
        <w:t>，有过错的一方应当承担赔偿责任，双方都有过错的，各自承担相应的责任。</w:t>
      </w:r>
    </w:p>
    <w:p w14:paraId="28CABE99">
      <w:pPr>
        <w:adjustRightInd w:val="0"/>
        <w:snapToGrid w:val="0"/>
        <w:spacing w:line="40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4FEB9B8">
      <w:pPr>
        <w:autoSpaceDE w:val="0"/>
        <w:autoSpaceDN w:val="0"/>
        <w:adjustRightInd w:val="0"/>
        <w:snapToGrid w:val="0"/>
        <w:spacing w:line="400" w:lineRule="exact"/>
        <w:jc w:val="left"/>
        <w:rPr>
          <w:rFonts w:ascii="宋体" w:hAnsi="宋体" w:eastAsia="宋体" w:cs="宋体"/>
          <w:b/>
          <w:sz w:val="24"/>
          <w:highlight w:val="none"/>
        </w:rPr>
      </w:pPr>
      <w:r>
        <w:rPr>
          <w:rFonts w:hint="eastAsia" w:ascii="宋体" w:hAnsi="宋体" w:eastAsia="宋体" w:cs="宋体"/>
          <w:b/>
          <w:sz w:val="24"/>
          <w:highlight w:val="none"/>
        </w:rPr>
        <w:t>21. 法律适用</w:t>
      </w:r>
    </w:p>
    <w:p w14:paraId="3B277BEB">
      <w:pPr>
        <w:widowControl/>
        <w:autoSpaceDE w:val="0"/>
        <w:autoSpaceDN w:val="0"/>
        <w:adjustRightInd w:val="0"/>
        <w:spacing w:line="40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21.1 本合同的订立、生效、解释、履行及与本合同有关的争议解决，均适用法律、行政法规。</w:t>
      </w:r>
    </w:p>
    <w:p w14:paraId="74C9C96C">
      <w:pPr>
        <w:widowControl/>
        <w:autoSpaceDE w:val="0"/>
        <w:autoSpaceDN w:val="0"/>
        <w:adjustRightInd w:val="0"/>
        <w:spacing w:line="40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21.2 本合同条款与法律、行政法规的强制性规定不一致的，双方当事人应按照法律、行政法规的强制性规定修改本合同的相关条款。</w:t>
      </w:r>
    </w:p>
    <w:p w14:paraId="7C413961">
      <w:pPr>
        <w:numPr>
          <w:ilvl w:val="255"/>
          <w:numId w:val="0"/>
        </w:numPr>
        <w:autoSpaceDE w:val="0"/>
        <w:autoSpaceDN w:val="0"/>
        <w:adjustRightInd w:val="0"/>
        <w:snapToGrid w:val="0"/>
        <w:spacing w:line="400" w:lineRule="exact"/>
        <w:jc w:val="left"/>
        <w:rPr>
          <w:rFonts w:ascii="宋体" w:hAnsi="宋体" w:eastAsia="宋体" w:cs="宋体"/>
          <w:b/>
          <w:sz w:val="24"/>
          <w:highlight w:val="none"/>
        </w:rPr>
      </w:pPr>
      <w:r>
        <w:rPr>
          <w:rFonts w:hint="eastAsia" w:ascii="宋体" w:hAnsi="宋体" w:eastAsia="宋体" w:cs="宋体"/>
          <w:b/>
          <w:sz w:val="24"/>
          <w:highlight w:val="none"/>
        </w:rPr>
        <w:t>22. 通知</w:t>
      </w:r>
    </w:p>
    <w:p w14:paraId="6D4335E5">
      <w:pPr>
        <w:widowControl/>
        <w:autoSpaceDE w:val="0"/>
        <w:autoSpaceDN w:val="0"/>
        <w:adjustRightInd w:val="0"/>
        <w:spacing w:line="400" w:lineRule="exact"/>
        <w:ind w:firstLine="480" w:firstLineChars="200"/>
        <w:rPr>
          <w:rFonts w:ascii="宋体" w:hAnsi="宋体" w:eastAsia="宋体" w:cs="宋体"/>
          <w:kern w:val="0"/>
          <w:sz w:val="24"/>
          <w:szCs w:val="24"/>
          <w:highlight w:val="none"/>
        </w:rPr>
      </w:pPr>
      <w:r>
        <w:rPr>
          <w:rFonts w:hint="eastAsia" w:ascii="宋体" w:hAnsi="宋体" w:eastAsia="宋体" w:cs="宋体"/>
          <w:kern w:val="0"/>
          <w:sz w:val="24"/>
          <w:szCs w:val="24"/>
          <w:highlight w:val="none"/>
        </w:rPr>
        <w:t>22.1 本合同任何一方向对方发出的通知、信件、数据电文等，应当发送至本合同第一部分《政府采购合同协议书》所约定的通讯地址、联系人、联系电话或电子邮箱。</w:t>
      </w:r>
    </w:p>
    <w:p w14:paraId="4677958A">
      <w:pPr>
        <w:widowControl/>
        <w:autoSpaceDE w:val="0"/>
        <w:autoSpaceDN w:val="0"/>
        <w:adjustRightInd w:val="0"/>
        <w:spacing w:line="400" w:lineRule="exact"/>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74B0B901">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22.3本合同一方给另一方的通知均应采用书面形式，传真或快递送到本合同中规定的对方的地址和办理签收手续。</w:t>
      </w:r>
    </w:p>
    <w:p w14:paraId="3AB64E74">
      <w:pPr>
        <w:adjustRightInd w:val="0"/>
        <w:snapToGrid w:val="0"/>
        <w:spacing w:line="40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22.4通知以送达之日或通知书中规定的生效之日起生效，两者中以较迟之日为准。</w:t>
      </w:r>
    </w:p>
    <w:p w14:paraId="7EEC91FA">
      <w:pPr>
        <w:numPr>
          <w:ilvl w:val="0"/>
          <w:numId w:val="5"/>
        </w:numPr>
        <w:adjustRightInd w:val="0"/>
        <w:snapToGrid w:val="0"/>
        <w:spacing w:line="400" w:lineRule="exact"/>
        <w:jc w:val="left"/>
        <w:rPr>
          <w:rFonts w:ascii="宋体" w:hAnsi="宋体" w:eastAsia="宋体" w:cs="宋体"/>
          <w:b/>
          <w:bCs/>
          <w:sz w:val="24"/>
          <w:highlight w:val="none"/>
        </w:rPr>
      </w:pPr>
      <w:r>
        <w:rPr>
          <w:rFonts w:hint="eastAsia" w:ascii="宋体" w:hAnsi="宋体" w:eastAsia="宋体" w:cs="宋体"/>
          <w:b/>
          <w:bCs/>
          <w:sz w:val="24"/>
          <w:highlight w:val="none"/>
        </w:rPr>
        <w:t>合同未尽事项</w:t>
      </w:r>
    </w:p>
    <w:p w14:paraId="54A91BDB">
      <w:pPr>
        <w:adjustRightInd w:val="0"/>
        <w:snapToGrid w:val="0"/>
        <w:spacing w:line="400" w:lineRule="exact"/>
        <w:ind w:firstLine="480" w:firstLineChars="200"/>
        <w:jc w:val="left"/>
        <w:rPr>
          <w:rFonts w:ascii="宋体" w:hAnsi="宋体" w:eastAsia="宋体" w:cs="宋体"/>
          <w:bCs/>
          <w:sz w:val="24"/>
          <w:highlight w:val="none"/>
        </w:rPr>
      </w:pPr>
      <w:r>
        <w:rPr>
          <w:rFonts w:hint="eastAsia" w:ascii="宋体" w:hAnsi="宋体" w:eastAsia="宋体" w:cs="宋体"/>
          <w:bCs/>
          <w:sz w:val="24"/>
          <w:highlight w:val="none"/>
        </w:rPr>
        <w:t>23.1合同未尽事项见</w:t>
      </w:r>
      <w:r>
        <w:rPr>
          <w:rFonts w:hint="eastAsia" w:ascii="宋体" w:hAnsi="宋体" w:eastAsia="宋体" w:cs="宋体"/>
          <w:b/>
          <w:sz w:val="24"/>
          <w:highlight w:val="none"/>
        </w:rPr>
        <w:t>【政府采购合同专用条款】</w:t>
      </w:r>
      <w:r>
        <w:rPr>
          <w:rFonts w:hint="eastAsia" w:ascii="宋体" w:hAnsi="宋体" w:eastAsia="宋体" w:cs="宋体"/>
          <w:bCs/>
          <w:sz w:val="24"/>
          <w:highlight w:val="none"/>
        </w:rPr>
        <w:t>。</w:t>
      </w:r>
    </w:p>
    <w:p w14:paraId="769E7A18">
      <w:pPr>
        <w:adjustRightInd w:val="0"/>
        <w:snapToGrid w:val="0"/>
        <w:spacing w:line="400" w:lineRule="exact"/>
        <w:ind w:firstLine="480" w:firstLineChars="200"/>
        <w:jc w:val="left"/>
        <w:rPr>
          <w:rFonts w:ascii="宋体" w:hAnsi="宋体" w:eastAsia="宋体" w:cs="宋体"/>
          <w:bCs/>
          <w:sz w:val="24"/>
          <w:highlight w:val="none"/>
        </w:rPr>
      </w:pPr>
      <w:r>
        <w:rPr>
          <w:rFonts w:hint="eastAsia" w:ascii="宋体" w:hAnsi="宋体" w:eastAsia="宋体" w:cs="宋体"/>
          <w:sz w:val="24"/>
          <w:highlight w:val="none"/>
        </w:rPr>
        <w:t>23.2 合同附件与合同正文具有同等的法律效力。</w:t>
      </w:r>
    </w:p>
    <w:p w14:paraId="032B5570">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38BEED3F">
      <w:pPr>
        <w:widowControl/>
        <w:jc w:val="center"/>
        <w:rPr>
          <w:rFonts w:ascii="宋体" w:hAnsi="宋体" w:eastAsia="宋体" w:cs="宋体"/>
          <w:sz w:val="24"/>
          <w:szCs w:val="24"/>
          <w:highlight w:val="none"/>
        </w:rPr>
      </w:pPr>
      <w:r>
        <w:rPr>
          <w:rFonts w:hint="eastAsia" w:ascii="宋体" w:hAnsi="宋体" w:eastAsia="宋体" w:cs="宋体"/>
          <w:sz w:val="24"/>
          <w:szCs w:val="24"/>
          <w:highlight w:val="none"/>
        </w:rPr>
        <w:t>第三节 政府采购合同专用条款</w:t>
      </w:r>
    </w:p>
    <w:tbl>
      <w:tblPr>
        <w:tblStyle w:val="15"/>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04AC8A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FA04D8D">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13CBCE87">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第1.2（6）项</w:t>
            </w:r>
          </w:p>
        </w:tc>
        <w:tc>
          <w:tcPr>
            <w:tcW w:w="1742" w:type="dxa"/>
            <w:vAlign w:val="center"/>
          </w:tcPr>
          <w:p w14:paraId="0CBEBC48">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联合体具体要求</w:t>
            </w:r>
          </w:p>
        </w:tc>
        <w:tc>
          <w:tcPr>
            <w:tcW w:w="5170" w:type="dxa"/>
            <w:vAlign w:val="center"/>
          </w:tcPr>
          <w:p w14:paraId="0C49C238">
            <w:pPr>
              <w:adjustRightInd w:val="0"/>
              <w:snapToGrid w:val="0"/>
              <w:jc w:val="left"/>
              <w:rPr>
                <w:rFonts w:ascii="宋体" w:hAnsi="宋体" w:eastAsia="宋体" w:cs="Times New Roman"/>
                <w:szCs w:val="21"/>
                <w:highlight w:val="none"/>
              </w:rPr>
            </w:pPr>
          </w:p>
        </w:tc>
      </w:tr>
      <w:tr w14:paraId="12FF09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6A4383E4">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3B27B7B1">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第1.2（7）项</w:t>
            </w:r>
          </w:p>
        </w:tc>
        <w:tc>
          <w:tcPr>
            <w:tcW w:w="1742" w:type="dxa"/>
            <w:vAlign w:val="center"/>
          </w:tcPr>
          <w:p w14:paraId="7DBED06C">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其他术语解释</w:t>
            </w:r>
          </w:p>
        </w:tc>
        <w:tc>
          <w:tcPr>
            <w:tcW w:w="5170" w:type="dxa"/>
            <w:vAlign w:val="center"/>
          </w:tcPr>
          <w:p w14:paraId="1C4EB83F">
            <w:pPr>
              <w:adjustRightInd w:val="0"/>
              <w:snapToGrid w:val="0"/>
              <w:jc w:val="left"/>
              <w:rPr>
                <w:rFonts w:ascii="宋体" w:hAnsi="宋体" w:eastAsia="宋体" w:cs="Times New Roman"/>
                <w:szCs w:val="21"/>
                <w:highlight w:val="none"/>
              </w:rPr>
            </w:pPr>
          </w:p>
        </w:tc>
      </w:tr>
      <w:tr w14:paraId="40DCEE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D29B62D">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243ECF37">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第4.4款</w:t>
            </w:r>
          </w:p>
        </w:tc>
        <w:tc>
          <w:tcPr>
            <w:tcW w:w="1742" w:type="dxa"/>
            <w:vAlign w:val="center"/>
          </w:tcPr>
          <w:p w14:paraId="18A035EB">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履约验收中甲方提出异议或作出说明的期限</w:t>
            </w:r>
          </w:p>
        </w:tc>
        <w:tc>
          <w:tcPr>
            <w:tcW w:w="5170" w:type="dxa"/>
            <w:vAlign w:val="center"/>
          </w:tcPr>
          <w:p w14:paraId="5541300B">
            <w:pPr>
              <w:adjustRightInd w:val="0"/>
              <w:snapToGrid w:val="0"/>
              <w:jc w:val="left"/>
              <w:rPr>
                <w:rFonts w:ascii="宋体" w:hAnsi="宋体" w:eastAsia="宋体" w:cs="Times New Roman"/>
                <w:szCs w:val="21"/>
                <w:highlight w:val="none"/>
              </w:rPr>
            </w:pPr>
          </w:p>
        </w:tc>
      </w:tr>
      <w:tr w14:paraId="131A88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6AD5920">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73412A31">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第4.6款</w:t>
            </w:r>
          </w:p>
        </w:tc>
        <w:tc>
          <w:tcPr>
            <w:tcW w:w="1742" w:type="dxa"/>
            <w:vAlign w:val="center"/>
          </w:tcPr>
          <w:p w14:paraId="25FC8686">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约定甲方承担的其他义务和责任</w:t>
            </w:r>
          </w:p>
        </w:tc>
        <w:tc>
          <w:tcPr>
            <w:tcW w:w="5170" w:type="dxa"/>
            <w:vAlign w:val="center"/>
          </w:tcPr>
          <w:p w14:paraId="63C18BBC">
            <w:pPr>
              <w:adjustRightInd w:val="0"/>
              <w:snapToGrid w:val="0"/>
              <w:jc w:val="left"/>
              <w:rPr>
                <w:rFonts w:ascii="宋体" w:hAnsi="宋体" w:eastAsia="宋体" w:cs="Times New Roman"/>
                <w:szCs w:val="21"/>
                <w:highlight w:val="none"/>
              </w:rPr>
            </w:pPr>
          </w:p>
        </w:tc>
      </w:tr>
      <w:tr w14:paraId="53D83E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C04FACA">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661604C7">
            <w:pPr>
              <w:snapToGrid w:val="0"/>
              <w:jc w:val="center"/>
              <w:rPr>
                <w:rFonts w:ascii="Calibri" w:hAnsi="Calibri" w:eastAsia="宋体" w:cs="Times New Roman"/>
                <w:highlight w:val="none"/>
              </w:rPr>
            </w:pPr>
            <w:r>
              <w:rPr>
                <w:rFonts w:hint="eastAsia" w:ascii="宋体" w:hAnsi="宋体" w:eastAsia="宋体" w:cs="Times New Roman"/>
                <w:szCs w:val="21"/>
                <w:highlight w:val="none"/>
              </w:rPr>
              <w:t>第5.4款</w:t>
            </w:r>
          </w:p>
        </w:tc>
        <w:tc>
          <w:tcPr>
            <w:tcW w:w="1742" w:type="dxa"/>
            <w:vAlign w:val="center"/>
          </w:tcPr>
          <w:p w14:paraId="75C2279F">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约定乙方承担的其他义务和责任</w:t>
            </w:r>
          </w:p>
        </w:tc>
        <w:tc>
          <w:tcPr>
            <w:tcW w:w="5170" w:type="dxa"/>
            <w:vAlign w:val="center"/>
          </w:tcPr>
          <w:p w14:paraId="3476FD18">
            <w:pPr>
              <w:adjustRightInd w:val="0"/>
              <w:snapToGrid w:val="0"/>
              <w:jc w:val="left"/>
              <w:rPr>
                <w:rFonts w:ascii="宋体" w:hAnsi="宋体" w:eastAsia="宋体" w:cs="Times New Roman"/>
                <w:szCs w:val="21"/>
                <w:highlight w:val="none"/>
              </w:rPr>
            </w:pPr>
          </w:p>
        </w:tc>
      </w:tr>
      <w:tr w14:paraId="50B360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9ED8049">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175F2D24">
            <w:pPr>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第6.1款</w:t>
            </w:r>
          </w:p>
        </w:tc>
        <w:tc>
          <w:tcPr>
            <w:tcW w:w="1742" w:type="dxa"/>
            <w:vAlign w:val="center"/>
          </w:tcPr>
          <w:p w14:paraId="39536F88">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履行合同义务的顺序</w:t>
            </w:r>
          </w:p>
        </w:tc>
        <w:tc>
          <w:tcPr>
            <w:tcW w:w="5170" w:type="dxa"/>
            <w:vAlign w:val="center"/>
          </w:tcPr>
          <w:p w14:paraId="50EA89C0">
            <w:pPr>
              <w:adjustRightInd w:val="0"/>
              <w:snapToGrid w:val="0"/>
              <w:jc w:val="left"/>
              <w:rPr>
                <w:rFonts w:ascii="宋体" w:hAnsi="宋体" w:eastAsia="宋体" w:cs="Times New Roman"/>
                <w:szCs w:val="21"/>
                <w:highlight w:val="none"/>
              </w:rPr>
            </w:pPr>
          </w:p>
        </w:tc>
      </w:tr>
      <w:tr w14:paraId="682C13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0C82EDE7">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15ED6EAB">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第7.1款</w:t>
            </w:r>
          </w:p>
        </w:tc>
        <w:tc>
          <w:tcPr>
            <w:tcW w:w="1742" w:type="dxa"/>
            <w:vAlign w:val="center"/>
          </w:tcPr>
          <w:p w14:paraId="50BB4EFE">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包装特殊要求</w:t>
            </w:r>
          </w:p>
        </w:tc>
        <w:tc>
          <w:tcPr>
            <w:tcW w:w="5170" w:type="dxa"/>
            <w:vAlign w:val="center"/>
          </w:tcPr>
          <w:p w14:paraId="3CD23AF1">
            <w:pPr>
              <w:rPr>
                <w:rFonts w:ascii="Calibri" w:hAnsi="Calibri" w:eastAsia="宋体" w:cs="Times New Roman"/>
                <w:highlight w:val="none"/>
              </w:rPr>
            </w:pPr>
          </w:p>
        </w:tc>
      </w:tr>
      <w:tr w14:paraId="003F73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7DE6C22F">
            <w:pPr>
              <w:adjustRightInd w:val="0"/>
              <w:snapToGrid w:val="0"/>
              <w:jc w:val="center"/>
              <w:rPr>
                <w:rFonts w:ascii="宋体" w:hAnsi="宋体" w:eastAsia="宋体" w:cs="Times New Roman"/>
                <w:szCs w:val="21"/>
                <w:highlight w:val="none"/>
              </w:rPr>
            </w:pPr>
          </w:p>
        </w:tc>
        <w:tc>
          <w:tcPr>
            <w:tcW w:w="1742" w:type="dxa"/>
            <w:vAlign w:val="center"/>
          </w:tcPr>
          <w:p w14:paraId="18B4862E">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指定现场</w:t>
            </w:r>
          </w:p>
        </w:tc>
        <w:tc>
          <w:tcPr>
            <w:tcW w:w="5170" w:type="dxa"/>
            <w:vAlign w:val="center"/>
          </w:tcPr>
          <w:p w14:paraId="608C44FC">
            <w:pPr>
              <w:rPr>
                <w:rFonts w:ascii="Calibri" w:hAnsi="Calibri" w:eastAsia="宋体" w:cs="Times New Roman"/>
                <w:highlight w:val="none"/>
              </w:rPr>
            </w:pPr>
          </w:p>
        </w:tc>
      </w:tr>
      <w:tr w14:paraId="4D004B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1D327A50">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348B174C">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第7.2款</w:t>
            </w:r>
          </w:p>
        </w:tc>
        <w:tc>
          <w:tcPr>
            <w:tcW w:w="1742" w:type="dxa"/>
            <w:vAlign w:val="center"/>
          </w:tcPr>
          <w:p w14:paraId="5709845E">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运输特殊要求</w:t>
            </w:r>
          </w:p>
        </w:tc>
        <w:tc>
          <w:tcPr>
            <w:tcW w:w="5170" w:type="dxa"/>
            <w:vAlign w:val="center"/>
          </w:tcPr>
          <w:p w14:paraId="2327E81C">
            <w:pPr>
              <w:rPr>
                <w:rFonts w:ascii="Calibri" w:hAnsi="Calibri" w:eastAsia="宋体" w:cs="Times New Roman"/>
                <w:highlight w:val="none"/>
              </w:rPr>
            </w:pPr>
          </w:p>
        </w:tc>
      </w:tr>
      <w:tr w14:paraId="03DC24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1F5C1782">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2AFE92B2">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第7.3款</w:t>
            </w:r>
          </w:p>
        </w:tc>
        <w:tc>
          <w:tcPr>
            <w:tcW w:w="1742" w:type="dxa"/>
            <w:vAlign w:val="center"/>
          </w:tcPr>
          <w:p w14:paraId="034E808C">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保险要求</w:t>
            </w:r>
          </w:p>
        </w:tc>
        <w:tc>
          <w:tcPr>
            <w:tcW w:w="5170" w:type="dxa"/>
            <w:vAlign w:val="center"/>
          </w:tcPr>
          <w:p w14:paraId="75A63214">
            <w:pPr>
              <w:rPr>
                <w:rFonts w:ascii="Calibri" w:hAnsi="Calibri" w:eastAsia="宋体" w:cs="Times New Roman"/>
                <w:highlight w:val="none"/>
              </w:rPr>
            </w:pPr>
          </w:p>
        </w:tc>
      </w:tr>
      <w:tr w14:paraId="4CF21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F6F3202">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57DE5596">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第8.2（1）项</w:t>
            </w:r>
          </w:p>
        </w:tc>
        <w:tc>
          <w:tcPr>
            <w:tcW w:w="1742" w:type="dxa"/>
            <w:vAlign w:val="center"/>
          </w:tcPr>
          <w:p w14:paraId="078633B0">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质量保证期</w:t>
            </w:r>
          </w:p>
        </w:tc>
        <w:tc>
          <w:tcPr>
            <w:tcW w:w="5170" w:type="dxa"/>
            <w:vAlign w:val="center"/>
          </w:tcPr>
          <w:p w14:paraId="42799265">
            <w:pPr>
              <w:autoSpaceDE w:val="0"/>
              <w:autoSpaceDN w:val="0"/>
              <w:adjustRightInd w:val="0"/>
              <w:snapToGrid w:val="0"/>
              <w:ind w:firstLine="420" w:firstLineChars="200"/>
              <w:jc w:val="left"/>
              <w:rPr>
                <w:rFonts w:ascii="宋体" w:hAnsi="宋体" w:eastAsia="宋体" w:cs="Times New Roman"/>
                <w:szCs w:val="21"/>
                <w:highlight w:val="none"/>
              </w:rPr>
            </w:pPr>
          </w:p>
        </w:tc>
      </w:tr>
      <w:tr w14:paraId="1598E1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DF6C9CC">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7FA889F9">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第8.2（3）项</w:t>
            </w:r>
          </w:p>
        </w:tc>
        <w:tc>
          <w:tcPr>
            <w:tcW w:w="1742" w:type="dxa"/>
            <w:vAlign w:val="center"/>
          </w:tcPr>
          <w:p w14:paraId="7FC200D3">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货物质量缺陷</w:t>
            </w:r>
          </w:p>
          <w:p w14:paraId="50A6AA18">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响应时间</w:t>
            </w:r>
          </w:p>
        </w:tc>
        <w:tc>
          <w:tcPr>
            <w:tcW w:w="5170" w:type="dxa"/>
            <w:vAlign w:val="center"/>
          </w:tcPr>
          <w:p w14:paraId="24D835E9">
            <w:pPr>
              <w:adjustRightInd w:val="0"/>
              <w:snapToGrid w:val="0"/>
              <w:jc w:val="left"/>
              <w:rPr>
                <w:rFonts w:ascii="宋体" w:hAnsi="宋体" w:eastAsia="宋体" w:cs="Times New Roman"/>
                <w:szCs w:val="21"/>
                <w:highlight w:val="none"/>
              </w:rPr>
            </w:pPr>
          </w:p>
        </w:tc>
      </w:tr>
      <w:tr w14:paraId="5964DC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507D62F">
            <w:pPr>
              <w:snapToGrid w:val="0"/>
              <w:jc w:val="center"/>
              <w:rPr>
                <w:rFonts w:ascii="宋体" w:hAnsi="宋体" w:eastAsia="宋体" w:cs="宋体"/>
                <w:szCs w:val="21"/>
                <w:highlight w:val="none"/>
              </w:rPr>
            </w:pPr>
            <w:r>
              <w:rPr>
                <w:rFonts w:hint="eastAsia" w:ascii="宋体" w:hAnsi="宋体" w:eastAsia="宋体" w:cs="宋体"/>
                <w:szCs w:val="21"/>
                <w:highlight w:val="none"/>
              </w:rPr>
              <w:t>第二节</w:t>
            </w:r>
          </w:p>
          <w:p w14:paraId="38B09E0B">
            <w:pPr>
              <w:widowControl/>
              <w:autoSpaceDE w:val="0"/>
              <w:autoSpaceDN w:val="0"/>
              <w:adjustRightInd w:val="0"/>
              <w:spacing w:line="400" w:lineRule="exact"/>
              <w:jc w:val="center"/>
              <w:rPr>
                <w:rFonts w:ascii="华文楷体" w:hAnsi="华文楷体" w:eastAsia="华文楷体" w:cs="华文楷体"/>
                <w:kern w:val="0"/>
                <w:sz w:val="22"/>
                <w:szCs w:val="21"/>
                <w:highlight w:val="none"/>
              </w:rPr>
            </w:pPr>
            <w:r>
              <w:rPr>
                <w:rFonts w:hint="eastAsia" w:ascii="宋体" w:hAnsi="宋体" w:eastAsia="宋体" w:cs="宋体"/>
                <w:kern w:val="0"/>
                <w:sz w:val="22"/>
                <w:szCs w:val="21"/>
                <w:highlight w:val="none"/>
              </w:rPr>
              <w:t>第11.1款</w:t>
            </w:r>
          </w:p>
        </w:tc>
        <w:tc>
          <w:tcPr>
            <w:tcW w:w="1742" w:type="dxa"/>
            <w:vAlign w:val="center"/>
          </w:tcPr>
          <w:p w14:paraId="6AABE515">
            <w:pPr>
              <w:adjustRightInd w:val="0"/>
              <w:snapToGrid w:val="0"/>
              <w:rPr>
                <w:rFonts w:ascii="宋体" w:hAnsi="宋体" w:eastAsia="宋体" w:cs="Times New Roman"/>
                <w:szCs w:val="21"/>
                <w:highlight w:val="none"/>
              </w:rPr>
            </w:pPr>
            <w:r>
              <w:rPr>
                <w:rFonts w:hint="eastAsia" w:ascii="宋体" w:hAnsi="宋体" w:eastAsia="宋体" w:cs="Times New Roman"/>
                <w:szCs w:val="21"/>
                <w:highlight w:val="none"/>
              </w:rPr>
              <w:t>其他应当保密的信息</w:t>
            </w:r>
          </w:p>
        </w:tc>
        <w:tc>
          <w:tcPr>
            <w:tcW w:w="5170" w:type="dxa"/>
            <w:vAlign w:val="center"/>
          </w:tcPr>
          <w:p w14:paraId="5F8055B5">
            <w:pPr>
              <w:adjustRightInd w:val="0"/>
              <w:snapToGrid w:val="0"/>
              <w:jc w:val="left"/>
              <w:rPr>
                <w:rFonts w:ascii="宋体" w:hAnsi="宋体" w:eastAsia="宋体" w:cs="Times New Roman"/>
                <w:szCs w:val="21"/>
                <w:highlight w:val="none"/>
              </w:rPr>
            </w:pPr>
          </w:p>
        </w:tc>
      </w:tr>
      <w:tr w14:paraId="685A50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0D7EC6C1">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539BA2B8">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第12.2款</w:t>
            </w:r>
          </w:p>
        </w:tc>
        <w:tc>
          <w:tcPr>
            <w:tcW w:w="1742" w:type="dxa"/>
            <w:vAlign w:val="center"/>
          </w:tcPr>
          <w:p w14:paraId="14BE470F">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合同价款支付时间</w:t>
            </w:r>
          </w:p>
        </w:tc>
        <w:tc>
          <w:tcPr>
            <w:tcW w:w="5170" w:type="dxa"/>
            <w:vAlign w:val="center"/>
          </w:tcPr>
          <w:p w14:paraId="62B8D899">
            <w:pPr>
              <w:adjustRightInd w:val="0"/>
              <w:snapToGrid w:val="0"/>
              <w:jc w:val="left"/>
              <w:rPr>
                <w:rFonts w:ascii="宋体" w:hAnsi="宋体" w:eastAsia="宋体" w:cs="Times New Roman"/>
                <w:szCs w:val="21"/>
                <w:highlight w:val="none"/>
              </w:rPr>
            </w:pPr>
          </w:p>
        </w:tc>
      </w:tr>
      <w:tr w14:paraId="1B2A5B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6BD7E608">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54A0A16A">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第13.2款</w:t>
            </w:r>
          </w:p>
        </w:tc>
        <w:tc>
          <w:tcPr>
            <w:tcW w:w="1742" w:type="dxa"/>
            <w:vAlign w:val="center"/>
          </w:tcPr>
          <w:p w14:paraId="315D378D">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履约保证金不予退还的情形</w:t>
            </w:r>
          </w:p>
        </w:tc>
        <w:tc>
          <w:tcPr>
            <w:tcW w:w="5170" w:type="dxa"/>
            <w:vAlign w:val="center"/>
          </w:tcPr>
          <w:p w14:paraId="6028E01B">
            <w:pPr>
              <w:adjustRightInd w:val="0"/>
              <w:snapToGrid w:val="0"/>
              <w:jc w:val="left"/>
              <w:rPr>
                <w:rFonts w:ascii="宋体" w:hAnsi="宋体" w:eastAsia="宋体" w:cs="Times New Roman"/>
                <w:szCs w:val="21"/>
                <w:highlight w:val="none"/>
              </w:rPr>
            </w:pPr>
          </w:p>
        </w:tc>
      </w:tr>
      <w:tr w14:paraId="0F5030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3005D79">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000EBE82">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第13.3款</w:t>
            </w:r>
          </w:p>
        </w:tc>
        <w:tc>
          <w:tcPr>
            <w:tcW w:w="1742" w:type="dxa"/>
            <w:vAlign w:val="center"/>
          </w:tcPr>
          <w:p w14:paraId="50AF22A5">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履约保证金退还时间及逾期退还的违约金</w:t>
            </w:r>
          </w:p>
        </w:tc>
        <w:tc>
          <w:tcPr>
            <w:tcW w:w="5170" w:type="dxa"/>
            <w:vAlign w:val="center"/>
          </w:tcPr>
          <w:p w14:paraId="69D0EE3B">
            <w:pPr>
              <w:adjustRightInd w:val="0"/>
              <w:snapToGrid w:val="0"/>
              <w:jc w:val="left"/>
              <w:rPr>
                <w:rFonts w:ascii="宋体" w:hAnsi="宋体" w:eastAsia="宋体" w:cs="Times New Roman"/>
                <w:szCs w:val="21"/>
                <w:highlight w:val="none"/>
              </w:rPr>
            </w:pPr>
          </w:p>
        </w:tc>
      </w:tr>
      <w:tr w14:paraId="0687B2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2558AB7">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76B749D2">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第14.1（3）项</w:t>
            </w:r>
          </w:p>
        </w:tc>
        <w:tc>
          <w:tcPr>
            <w:tcW w:w="1742" w:type="dxa"/>
            <w:vAlign w:val="center"/>
          </w:tcPr>
          <w:p w14:paraId="7097F818">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运行监督、维修期限</w:t>
            </w:r>
          </w:p>
        </w:tc>
        <w:tc>
          <w:tcPr>
            <w:tcW w:w="5170" w:type="dxa"/>
            <w:vAlign w:val="center"/>
          </w:tcPr>
          <w:p w14:paraId="1115A5D6">
            <w:pPr>
              <w:adjustRightInd w:val="0"/>
              <w:snapToGrid w:val="0"/>
              <w:jc w:val="left"/>
              <w:rPr>
                <w:rFonts w:ascii="宋体" w:hAnsi="宋体" w:eastAsia="宋体" w:cs="Times New Roman"/>
                <w:szCs w:val="21"/>
                <w:highlight w:val="none"/>
              </w:rPr>
            </w:pPr>
          </w:p>
        </w:tc>
      </w:tr>
      <w:tr w14:paraId="11B43B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EDC5A3A">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067E1C18">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第14.1（5）项</w:t>
            </w:r>
          </w:p>
        </w:tc>
        <w:tc>
          <w:tcPr>
            <w:tcW w:w="1742" w:type="dxa"/>
            <w:vAlign w:val="center"/>
          </w:tcPr>
          <w:p w14:paraId="2F0880F6">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货物回收的约定</w:t>
            </w:r>
          </w:p>
        </w:tc>
        <w:tc>
          <w:tcPr>
            <w:tcW w:w="5170" w:type="dxa"/>
            <w:vAlign w:val="center"/>
          </w:tcPr>
          <w:p w14:paraId="744838B4">
            <w:pPr>
              <w:adjustRightInd w:val="0"/>
              <w:snapToGrid w:val="0"/>
              <w:jc w:val="left"/>
              <w:rPr>
                <w:rFonts w:ascii="宋体" w:hAnsi="宋体" w:eastAsia="宋体" w:cs="Times New Roman"/>
                <w:szCs w:val="21"/>
                <w:highlight w:val="none"/>
              </w:rPr>
            </w:pPr>
          </w:p>
        </w:tc>
      </w:tr>
      <w:tr w14:paraId="49252E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A554C73">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4562BB6F">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第14.1（6）项</w:t>
            </w:r>
          </w:p>
        </w:tc>
        <w:tc>
          <w:tcPr>
            <w:tcW w:w="1742" w:type="dxa"/>
            <w:vAlign w:val="center"/>
          </w:tcPr>
          <w:p w14:paraId="77BD5B20">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乙方提供的其他服务</w:t>
            </w:r>
          </w:p>
        </w:tc>
        <w:tc>
          <w:tcPr>
            <w:tcW w:w="5170" w:type="dxa"/>
            <w:vAlign w:val="center"/>
          </w:tcPr>
          <w:p w14:paraId="365DD79B">
            <w:pPr>
              <w:adjustRightInd w:val="0"/>
              <w:snapToGrid w:val="0"/>
              <w:jc w:val="left"/>
              <w:rPr>
                <w:rFonts w:ascii="宋体" w:hAnsi="宋体" w:eastAsia="宋体" w:cs="Times New Roman"/>
                <w:szCs w:val="21"/>
                <w:highlight w:val="none"/>
              </w:rPr>
            </w:pPr>
          </w:p>
        </w:tc>
      </w:tr>
      <w:tr w14:paraId="307160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26C1808">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77E2A905">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第15.1款</w:t>
            </w:r>
          </w:p>
        </w:tc>
        <w:tc>
          <w:tcPr>
            <w:tcW w:w="1742" w:type="dxa"/>
            <w:vAlign w:val="center"/>
          </w:tcPr>
          <w:p w14:paraId="4D7B14E9">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修理、重作、更换相关具体规定</w:t>
            </w:r>
          </w:p>
        </w:tc>
        <w:tc>
          <w:tcPr>
            <w:tcW w:w="5170" w:type="dxa"/>
            <w:vAlign w:val="center"/>
          </w:tcPr>
          <w:p w14:paraId="05DDFE4C">
            <w:pPr>
              <w:adjustRightInd w:val="0"/>
              <w:snapToGrid w:val="0"/>
              <w:jc w:val="left"/>
              <w:rPr>
                <w:rFonts w:ascii="宋体" w:hAnsi="宋体" w:eastAsia="宋体" w:cs="Times New Roman"/>
                <w:szCs w:val="21"/>
                <w:highlight w:val="none"/>
              </w:rPr>
            </w:pPr>
          </w:p>
        </w:tc>
      </w:tr>
      <w:tr w14:paraId="7ACF67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888811B">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77CDAA71">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第15.2（2）项</w:t>
            </w:r>
          </w:p>
        </w:tc>
        <w:tc>
          <w:tcPr>
            <w:tcW w:w="1742" w:type="dxa"/>
            <w:vAlign w:val="center"/>
          </w:tcPr>
          <w:p w14:paraId="2810B5C0">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迟延交货赔偿费</w:t>
            </w:r>
          </w:p>
        </w:tc>
        <w:tc>
          <w:tcPr>
            <w:tcW w:w="5170" w:type="dxa"/>
            <w:vAlign w:val="center"/>
          </w:tcPr>
          <w:p w14:paraId="2419549A">
            <w:pPr>
              <w:adjustRightInd w:val="0"/>
              <w:snapToGrid w:val="0"/>
              <w:jc w:val="left"/>
              <w:rPr>
                <w:rFonts w:ascii="宋体" w:hAnsi="宋体" w:eastAsia="宋体" w:cs="Times New Roman"/>
                <w:szCs w:val="21"/>
                <w:highlight w:val="none"/>
                <w:u w:val="single"/>
              </w:rPr>
            </w:pPr>
          </w:p>
        </w:tc>
      </w:tr>
      <w:tr w14:paraId="6D04B6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1B7AFEE">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7EE4F62E">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第15.3款</w:t>
            </w:r>
          </w:p>
        </w:tc>
        <w:tc>
          <w:tcPr>
            <w:tcW w:w="1742" w:type="dxa"/>
            <w:vAlign w:val="center"/>
          </w:tcPr>
          <w:p w14:paraId="30C52FCF">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逾期付款利息</w:t>
            </w:r>
          </w:p>
        </w:tc>
        <w:tc>
          <w:tcPr>
            <w:tcW w:w="5170" w:type="dxa"/>
            <w:vAlign w:val="center"/>
          </w:tcPr>
          <w:p w14:paraId="17C7F4BD">
            <w:pPr>
              <w:adjustRightInd w:val="0"/>
              <w:snapToGrid w:val="0"/>
              <w:jc w:val="left"/>
              <w:rPr>
                <w:rFonts w:ascii="宋体" w:hAnsi="宋体" w:eastAsia="宋体" w:cs="Times New Roman"/>
                <w:szCs w:val="21"/>
                <w:highlight w:val="none"/>
                <w:u w:val="single"/>
              </w:rPr>
            </w:pPr>
          </w:p>
        </w:tc>
      </w:tr>
      <w:tr w14:paraId="7C6B20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68DFDCC9">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6F260D2B">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第15.4款</w:t>
            </w:r>
          </w:p>
        </w:tc>
        <w:tc>
          <w:tcPr>
            <w:tcW w:w="1742" w:type="dxa"/>
            <w:tcBorders>
              <w:left w:val="single" w:color="auto" w:sz="2" w:space="0"/>
              <w:bottom w:val="single" w:color="auto" w:sz="2" w:space="0"/>
              <w:right w:val="single" w:color="auto" w:sz="2" w:space="0"/>
            </w:tcBorders>
            <w:vAlign w:val="center"/>
          </w:tcPr>
          <w:p w14:paraId="21D41805">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其他违约责任</w:t>
            </w:r>
          </w:p>
        </w:tc>
        <w:tc>
          <w:tcPr>
            <w:tcW w:w="5170" w:type="dxa"/>
            <w:tcBorders>
              <w:left w:val="single" w:color="auto" w:sz="2" w:space="0"/>
              <w:bottom w:val="single" w:color="auto" w:sz="2" w:space="0"/>
            </w:tcBorders>
            <w:vAlign w:val="center"/>
          </w:tcPr>
          <w:p w14:paraId="60AA32C9">
            <w:pPr>
              <w:adjustRightInd w:val="0"/>
              <w:snapToGrid w:val="0"/>
              <w:jc w:val="left"/>
              <w:rPr>
                <w:rFonts w:ascii="宋体" w:hAnsi="宋体" w:eastAsia="宋体" w:cs="Times New Roman"/>
                <w:szCs w:val="21"/>
                <w:highlight w:val="none"/>
                <w:u w:val="single"/>
              </w:rPr>
            </w:pPr>
          </w:p>
        </w:tc>
      </w:tr>
      <w:tr w14:paraId="3C5A5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34DD46D4">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27F3006B">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第19.2款</w:t>
            </w:r>
          </w:p>
        </w:tc>
        <w:tc>
          <w:tcPr>
            <w:tcW w:w="1742" w:type="dxa"/>
            <w:tcBorders>
              <w:top w:val="single" w:color="auto" w:sz="2" w:space="0"/>
              <w:left w:val="single" w:color="auto" w:sz="2" w:space="0"/>
              <w:right w:val="single" w:color="auto" w:sz="2" w:space="0"/>
            </w:tcBorders>
            <w:vAlign w:val="center"/>
          </w:tcPr>
          <w:p w14:paraId="3063D4B3">
            <w:pPr>
              <w:adjustRightInd w:val="0"/>
              <w:snapToGrid w:val="0"/>
              <w:jc w:val="left"/>
              <w:rPr>
                <w:rFonts w:ascii="宋体" w:hAnsi="宋体" w:eastAsia="宋体" w:cs="Times New Roman"/>
                <w:szCs w:val="21"/>
                <w:highlight w:val="none"/>
              </w:rPr>
            </w:pPr>
            <w:r>
              <w:rPr>
                <w:rFonts w:hint="eastAsia" w:ascii="宋体" w:hAnsi="宋体" w:eastAsia="宋体" w:cs="Times New Roman"/>
                <w:szCs w:val="21"/>
                <w:highlight w:val="none"/>
              </w:rPr>
              <w:t>解决争议的方法</w:t>
            </w:r>
          </w:p>
        </w:tc>
        <w:tc>
          <w:tcPr>
            <w:tcW w:w="5170" w:type="dxa"/>
            <w:tcBorders>
              <w:top w:val="single" w:color="auto" w:sz="2" w:space="0"/>
              <w:left w:val="single" w:color="auto" w:sz="2" w:space="0"/>
            </w:tcBorders>
            <w:vAlign w:val="center"/>
          </w:tcPr>
          <w:p w14:paraId="00E3A9FA">
            <w:pPr>
              <w:autoSpaceDE w:val="0"/>
              <w:autoSpaceDN w:val="0"/>
              <w:adjustRightInd w:val="0"/>
              <w:snapToGrid w:val="0"/>
              <w:spacing w:line="400" w:lineRule="exact"/>
              <w:jc w:val="left"/>
              <w:rPr>
                <w:rFonts w:ascii="宋体" w:hAnsi="宋体" w:eastAsia="宋体" w:cs="宋体"/>
                <w:iCs/>
                <w:szCs w:val="21"/>
                <w:highlight w:val="none"/>
              </w:rPr>
            </w:pPr>
            <w:r>
              <w:rPr>
                <w:rFonts w:hint="eastAsia" w:ascii="宋体" w:hAnsi="宋体" w:eastAsia="宋体" w:cs="宋体"/>
                <w:iCs/>
                <w:szCs w:val="21"/>
                <w:highlight w:val="none"/>
              </w:rPr>
              <w:t>因本合同及合同有关事项发生的争议，按下列第</w:t>
            </w:r>
            <w:r>
              <w:rPr>
                <w:rFonts w:hint="eastAsia" w:ascii="宋体" w:hAnsi="宋体" w:eastAsia="宋体" w:cs="宋体"/>
                <w:iCs/>
                <w:szCs w:val="21"/>
                <w:highlight w:val="none"/>
                <w:u w:val="single"/>
              </w:rPr>
              <w:t xml:space="preserve">   </w:t>
            </w:r>
            <w:r>
              <w:rPr>
                <w:rFonts w:hint="eastAsia" w:ascii="宋体" w:hAnsi="宋体" w:eastAsia="宋体" w:cs="宋体"/>
                <w:iCs/>
                <w:szCs w:val="21"/>
                <w:highlight w:val="none"/>
              </w:rPr>
              <w:t>种方式解决：</w:t>
            </w:r>
          </w:p>
          <w:p w14:paraId="38FC9238">
            <w:pPr>
              <w:autoSpaceDE w:val="0"/>
              <w:autoSpaceDN w:val="0"/>
              <w:adjustRightInd w:val="0"/>
              <w:snapToGrid w:val="0"/>
              <w:spacing w:line="400" w:lineRule="exact"/>
              <w:jc w:val="left"/>
              <w:rPr>
                <w:rFonts w:ascii="宋体" w:hAnsi="宋体" w:eastAsia="宋体" w:cs="宋体"/>
                <w:iCs/>
                <w:szCs w:val="21"/>
                <w:highlight w:val="none"/>
              </w:rPr>
            </w:pPr>
            <w:r>
              <w:rPr>
                <w:rFonts w:hint="eastAsia" w:ascii="宋体" w:hAnsi="宋体" w:eastAsia="宋体" w:cs="宋体"/>
                <w:iCs/>
                <w:szCs w:val="21"/>
                <w:highlight w:val="none"/>
              </w:rPr>
              <w:t>（1）向</w:t>
            </w:r>
            <w:r>
              <w:rPr>
                <w:rFonts w:hint="eastAsia" w:ascii="宋体" w:hAnsi="宋体" w:eastAsia="宋体" w:cs="宋体"/>
                <w:iCs/>
                <w:szCs w:val="21"/>
                <w:highlight w:val="none"/>
                <w:u w:val="single"/>
              </w:rPr>
              <w:t xml:space="preserve">                    </w:t>
            </w:r>
            <w:r>
              <w:rPr>
                <w:rFonts w:hint="eastAsia" w:ascii="宋体" w:hAnsi="宋体" w:eastAsia="宋体" w:cs="宋体"/>
                <w:iCs/>
                <w:szCs w:val="21"/>
                <w:highlight w:val="none"/>
              </w:rPr>
              <w:t>仲裁委员会申请仲裁，仲裁地点为</w:t>
            </w:r>
            <w:r>
              <w:rPr>
                <w:rFonts w:hint="eastAsia" w:ascii="宋体" w:hAnsi="宋体" w:eastAsia="宋体" w:cs="宋体"/>
                <w:iCs/>
                <w:szCs w:val="21"/>
                <w:highlight w:val="none"/>
                <w:u w:val="single"/>
              </w:rPr>
              <w:t xml:space="preserve">           </w:t>
            </w:r>
            <w:r>
              <w:rPr>
                <w:rFonts w:hint="eastAsia" w:ascii="宋体" w:hAnsi="宋体" w:eastAsia="宋体" w:cs="宋体"/>
                <w:iCs/>
                <w:szCs w:val="21"/>
                <w:highlight w:val="none"/>
              </w:rPr>
              <w:t>；</w:t>
            </w:r>
          </w:p>
          <w:p w14:paraId="4C82433D">
            <w:pPr>
              <w:adjustRightInd w:val="0"/>
              <w:snapToGrid w:val="0"/>
              <w:jc w:val="left"/>
              <w:rPr>
                <w:rFonts w:ascii="宋体" w:hAnsi="宋体" w:eastAsia="宋体" w:cs="Times New Roman"/>
                <w:szCs w:val="21"/>
                <w:highlight w:val="none"/>
                <w:u w:val="single"/>
              </w:rPr>
            </w:pPr>
            <w:r>
              <w:rPr>
                <w:rFonts w:hint="eastAsia" w:ascii="宋体" w:hAnsi="宋体" w:eastAsia="宋体" w:cs="宋体"/>
                <w:iCs/>
                <w:szCs w:val="21"/>
                <w:highlight w:val="none"/>
              </w:rPr>
              <w:t>（2）向</w:t>
            </w:r>
            <w:r>
              <w:rPr>
                <w:rFonts w:hint="eastAsia" w:ascii="宋体" w:hAnsi="宋体" w:eastAsia="宋体" w:cs="宋体"/>
                <w:iCs/>
                <w:szCs w:val="21"/>
                <w:highlight w:val="none"/>
                <w:u w:val="single"/>
              </w:rPr>
              <w:t xml:space="preserve">                    </w:t>
            </w:r>
            <w:r>
              <w:rPr>
                <w:rFonts w:hint="eastAsia" w:ascii="宋体" w:hAnsi="宋体" w:eastAsia="宋体" w:cs="宋体"/>
                <w:iCs/>
                <w:szCs w:val="21"/>
                <w:highlight w:val="none"/>
              </w:rPr>
              <w:t>人民法院起诉。</w:t>
            </w:r>
          </w:p>
        </w:tc>
      </w:tr>
      <w:tr w14:paraId="6BA821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710B6C34">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第二节</w:t>
            </w:r>
          </w:p>
          <w:p w14:paraId="5E42F868">
            <w:pPr>
              <w:adjustRightInd w:val="0"/>
              <w:snapToGrid w:val="0"/>
              <w:jc w:val="center"/>
              <w:rPr>
                <w:rFonts w:ascii="宋体" w:hAnsi="宋体" w:eastAsia="宋体" w:cs="Times New Roman"/>
                <w:szCs w:val="21"/>
                <w:highlight w:val="none"/>
              </w:rPr>
            </w:pPr>
            <w:r>
              <w:rPr>
                <w:rFonts w:hint="eastAsia" w:ascii="宋体" w:hAnsi="宋体" w:eastAsia="宋体" w:cs="Times New Roman"/>
                <w:szCs w:val="21"/>
                <w:highlight w:val="none"/>
              </w:rPr>
              <w:t>第23.1款</w:t>
            </w:r>
          </w:p>
        </w:tc>
        <w:tc>
          <w:tcPr>
            <w:tcW w:w="1742" w:type="dxa"/>
            <w:vAlign w:val="center"/>
          </w:tcPr>
          <w:p w14:paraId="4A408ED0">
            <w:pPr>
              <w:adjustRightInd w:val="0"/>
              <w:snapToGrid w:val="0"/>
              <w:jc w:val="left"/>
              <w:rPr>
                <w:rFonts w:ascii="宋体" w:hAnsi="宋体" w:eastAsia="宋体" w:cs="Times New Roman"/>
                <w:szCs w:val="21"/>
                <w:highlight w:val="none"/>
              </w:rPr>
            </w:pPr>
            <w:r>
              <w:rPr>
                <w:rFonts w:hint="eastAsia" w:ascii="宋体" w:hAnsi="宋体" w:eastAsia="宋体" w:cs="Times New Roman"/>
                <w:bCs/>
                <w:szCs w:val="21"/>
                <w:highlight w:val="none"/>
              </w:rPr>
              <w:t>其他专用条款</w:t>
            </w:r>
          </w:p>
        </w:tc>
        <w:tc>
          <w:tcPr>
            <w:tcW w:w="5170" w:type="dxa"/>
            <w:vAlign w:val="center"/>
          </w:tcPr>
          <w:p w14:paraId="29B3A405">
            <w:pPr>
              <w:adjustRightInd w:val="0"/>
              <w:snapToGrid w:val="0"/>
              <w:jc w:val="left"/>
              <w:rPr>
                <w:rFonts w:ascii="宋体" w:hAnsi="宋体" w:eastAsia="宋体" w:cs="Times New Roman"/>
                <w:szCs w:val="21"/>
                <w:highlight w:val="none"/>
              </w:rPr>
            </w:pPr>
          </w:p>
        </w:tc>
      </w:tr>
    </w:tbl>
    <w:p w14:paraId="6C10B327">
      <w:pPr>
        <w:rPr>
          <w:rFonts w:hint="eastAsia" w:ascii="Times New Roman" w:hAnsi="Times New Roman" w:eastAsia="宋体" w:cs="宋体"/>
          <w:b/>
          <w:bCs/>
          <w:kern w:val="2"/>
          <w:sz w:val="28"/>
          <w:szCs w:val="32"/>
          <w:highlight w:val="none"/>
          <w:lang w:val="en-US" w:eastAsia="zh-CN" w:bidi="ar-SA"/>
        </w:rPr>
      </w:pPr>
      <w:r>
        <w:rPr>
          <w:rFonts w:hint="eastAsia" w:ascii="Times New Roman" w:hAnsi="Times New Roman" w:eastAsia="宋体" w:cs="宋体"/>
          <w:b/>
          <w:bCs/>
          <w:kern w:val="2"/>
          <w:sz w:val="28"/>
          <w:szCs w:val="32"/>
          <w:highlight w:val="none"/>
          <w:lang w:val="en-US" w:eastAsia="zh-CN" w:bidi="ar-SA"/>
        </w:rPr>
        <w:br w:type="page"/>
      </w:r>
    </w:p>
    <w:p w14:paraId="2C0F2D2C">
      <w:pPr>
        <w:pStyle w:val="4"/>
        <w:numPr>
          <w:ilvl w:val="0"/>
          <w:numId w:val="0"/>
        </w:numPr>
        <w:spacing w:line="240" w:lineRule="auto"/>
        <w:ind w:firstLine="562" w:firstLineChars="200"/>
        <w:jc w:val="center"/>
        <w:rPr>
          <w:rFonts w:hint="eastAsia"/>
          <w:highlight w:val="none"/>
        </w:rPr>
      </w:pPr>
      <w:r>
        <w:rPr>
          <w:rFonts w:hint="eastAsia" w:ascii="Times New Roman" w:hAnsi="Times New Roman" w:eastAsia="宋体" w:cs="宋体"/>
          <w:b/>
          <w:bCs/>
          <w:kern w:val="2"/>
          <w:sz w:val="28"/>
          <w:szCs w:val="32"/>
          <w:highlight w:val="none"/>
          <w:lang w:val="en-US" w:eastAsia="zh-CN" w:bidi="ar-SA"/>
        </w:rPr>
        <w:t>第五章</w:t>
      </w:r>
      <w:r>
        <w:rPr>
          <w:rFonts w:hint="eastAsia"/>
          <w:highlight w:val="none"/>
        </w:rPr>
        <w:t xml:space="preserve"> 技术参数</w:t>
      </w:r>
    </w:p>
    <w:p w14:paraId="39606082">
      <w:pPr>
        <w:numPr>
          <w:ilvl w:val="0"/>
          <w:numId w:val="0"/>
        </w:numPr>
        <w:rPr>
          <w:highlight w:val="none"/>
        </w:rPr>
      </w:pPr>
    </w:p>
    <w:p w14:paraId="2803E714">
      <w:pPr>
        <w:numPr>
          <w:ilvl w:val="0"/>
          <w:numId w:val="0"/>
        </w:numPr>
        <w:rPr>
          <w:highlight w:val="none"/>
        </w:rPr>
      </w:pPr>
    </w:p>
    <w:tbl>
      <w:tblPr>
        <w:tblStyle w:val="15"/>
        <w:tblW w:w="8906" w:type="dxa"/>
        <w:tblInd w:w="-27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6"/>
        <w:gridCol w:w="1508"/>
        <w:gridCol w:w="4550"/>
        <w:gridCol w:w="1125"/>
        <w:gridCol w:w="1067"/>
      </w:tblGrid>
      <w:tr w14:paraId="6D6C2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85B29">
            <w:pPr>
              <w:rPr>
                <w:rFonts w:hint="eastAsia"/>
                <w:highlight w:val="none"/>
              </w:rPr>
            </w:pPr>
            <w:r>
              <w:rPr>
                <w:rFonts w:hint="eastAsia"/>
                <w:highlight w:val="none"/>
                <w:lang w:val="en-US" w:eastAsia="zh-CN"/>
              </w:rPr>
              <w:t>序号</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301E6">
            <w:pPr>
              <w:rPr>
                <w:rFonts w:hint="eastAsia"/>
                <w:highlight w:val="none"/>
              </w:rPr>
            </w:pPr>
            <w:r>
              <w:rPr>
                <w:rFonts w:hint="eastAsia"/>
                <w:highlight w:val="none"/>
                <w:lang w:val="en-US" w:eastAsia="zh-CN"/>
              </w:rPr>
              <w:t>物品名称</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EE8F">
            <w:pPr>
              <w:rPr>
                <w:rFonts w:hint="eastAsia"/>
                <w:highlight w:val="none"/>
              </w:rPr>
            </w:pPr>
            <w:r>
              <w:rPr>
                <w:rFonts w:hint="eastAsia"/>
                <w:highlight w:val="none"/>
                <w:lang w:val="en-US" w:eastAsia="zh-CN"/>
              </w:rPr>
              <w:t>型号、规格</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88AD">
            <w:pPr>
              <w:rPr>
                <w:rFonts w:hint="eastAsia"/>
                <w:highlight w:val="none"/>
              </w:rPr>
            </w:pPr>
            <w:r>
              <w:rPr>
                <w:rFonts w:hint="eastAsia"/>
                <w:highlight w:val="none"/>
                <w:lang w:val="en-US" w:eastAsia="zh-CN"/>
              </w:rPr>
              <w:t>单位</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3837">
            <w:pPr>
              <w:rPr>
                <w:rFonts w:hint="eastAsia"/>
                <w:highlight w:val="none"/>
              </w:rPr>
            </w:pPr>
            <w:r>
              <w:rPr>
                <w:rFonts w:hint="eastAsia"/>
                <w:highlight w:val="none"/>
                <w:lang w:val="en-US" w:eastAsia="zh-CN"/>
              </w:rPr>
              <w:t>数量</w:t>
            </w:r>
          </w:p>
        </w:tc>
      </w:tr>
      <w:tr w14:paraId="38B8E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E26C">
            <w:pPr>
              <w:rPr>
                <w:rFonts w:hint="eastAsia"/>
                <w:highlight w:val="none"/>
              </w:rPr>
            </w:pPr>
            <w:r>
              <w:rPr>
                <w:rFonts w:hint="eastAsia"/>
                <w:highlight w:val="none"/>
                <w:lang w:val="en-US" w:eastAsia="zh-CN"/>
              </w:rPr>
              <w:t>1</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7DB0">
            <w:pPr>
              <w:rPr>
                <w:rFonts w:hint="eastAsia"/>
                <w:highlight w:val="none"/>
              </w:rPr>
            </w:pPr>
            <w:r>
              <w:rPr>
                <w:rFonts w:hint="eastAsia"/>
                <w:highlight w:val="none"/>
                <w:lang w:val="en-US" w:eastAsia="zh-CN"/>
              </w:rPr>
              <w:t>DN300阀门</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ED72">
            <w:pPr>
              <w:rPr>
                <w:rFonts w:hint="eastAsia"/>
                <w:highlight w:val="none"/>
              </w:rPr>
            </w:pPr>
            <w:r>
              <w:rPr>
                <w:rFonts w:hint="eastAsia"/>
                <w:highlight w:val="none"/>
                <w:lang w:val="en-US" w:eastAsia="zh-CN"/>
              </w:rPr>
              <w:t>伸缩蝶阀（D371X-16Q）</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1D07">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450F0">
            <w:pPr>
              <w:rPr>
                <w:rFonts w:hint="eastAsia"/>
                <w:highlight w:val="none"/>
              </w:rPr>
            </w:pPr>
            <w:r>
              <w:rPr>
                <w:rFonts w:hint="eastAsia"/>
                <w:highlight w:val="none"/>
                <w:lang w:val="en-US" w:eastAsia="zh-CN"/>
              </w:rPr>
              <w:t>10</w:t>
            </w:r>
          </w:p>
        </w:tc>
      </w:tr>
      <w:tr w14:paraId="098C6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2E9B">
            <w:pPr>
              <w:rPr>
                <w:rFonts w:hint="eastAsia"/>
                <w:highlight w:val="none"/>
              </w:rPr>
            </w:pPr>
            <w:r>
              <w:rPr>
                <w:rFonts w:hint="eastAsia"/>
                <w:highlight w:val="none"/>
                <w:lang w:val="en-US" w:eastAsia="zh-CN"/>
              </w:rPr>
              <w:t>2</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05BED">
            <w:pPr>
              <w:rPr>
                <w:rFonts w:hint="eastAsia"/>
                <w:highlight w:val="none"/>
              </w:rPr>
            </w:pPr>
            <w:r>
              <w:rPr>
                <w:rFonts w:hint="eastAsia"/>
                <w:highlight w:val="none"/>
                <w:lang w:val="en-US" w:eastAsia="zh-CN"/>
              </w:rPr>
              <w:t>DN200阀门</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DF970">
            <w:pPr>
              <w:rPr>
                <w:rFonts w:hint="eastAsia"/>
                <w:highlight w:val="none"/>
              </w:rPr>
            </w:pPr>
            <w:r>
              <w:rPr>
                <w:rFonts w:hint="eastAsia"/>
                <w:highlight w:val="none"/>
                <w:lang w:val="en-US" w:eastAsia="zh-CN"/>
              </w:rPr>
              <w:t>伸缩蝶阀（D371X-16Q）</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95ABD">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276AF">
            <w:pPr>
              <w:rPr>
                <w:rFonts w:hint="eastAsia"/>
                <w:highlight w:val="none"/>
              </w:rPr>
            </w:pPr>
            <w:r>
              <w:rPr>
                <w:rFonts w:hint="eastAsia"/>
                <w:highlight w:val="none"/>
                <w:lang w:val="en-US" w:eastAsia="zh-CN"/>
              </w:rPr>
              <w:t>20</w:t>
            </w:r>
          </w:p>
        </w:tc>
      </w:tr>
      <w:tr w14:paraId="0D9A0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8219">
            <w:pPr>
              <w:rPr>
                <w:rFonts w:hint="eastAsia"/>
                <w:highlight w:val="none"/>
              </w:rPr>
            </w:pPr>
            <w:r>
              <w:rPr>
                <w:rFonts w:hint="eastAsia"/>
                <w:highlight w:val="none"/>
                <w:lang w:val="en-US" w:eastAsia="zh-CN"/>
              </w:rPr>
              <w:t>3</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70D58">
            <w:pPr>
              <w:rPr>
                <w:rFonts w:hint="eastAsia"/>
                <w:highlight w:val="none"/>
              </w:rPr>
            </w:pPr>
            <w:r>
              <w:rPr>
                <w:rFonts w:hint="eastAsia"/>
                <w:highlight w:val="none"/>
                <w:lang w:val="en-US" w:eastAsia="zh-CN"/>
              </w:rPr>
              <w:t>DN150阀门</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B4DA9">
            <w:pPr>
              <w:rPr>
                <w:rFonts w:hint="eastAsia"/>
                <w:highlight w:val="none"/>
              </w:rPr>
            </w:pPr>
            <w:r>
              <w:rPr>
                <w:rFonts w:hint="eastAsia"/>
                <w:highlight w:val="none"/>
                <w:lang w:val="en-US" w:eastAsia="zh-CN"/>
              </w:rPr>
              <w:t>伸缩蝶阀（D371X-16Q）</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7499A">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D2ACC">
            <w:pPr>
              <w:rPr>
                <w:rFonts w:hint="eastAsia"/>
                <w:highlight w:val="none"/>
              </w:rPr>
            </w:pPr>
            <w:r>
              <w:rPr>
                <w:rFonts w:hint="eastAsia"/>
                <w:highlight w:val="none"/>
                <w:lang w:val="en-US" w:eastAsia="zh-CN"/>
              </w:rPr>
              <w:t>30</w:t>
            </w:r>
          </w:p>
        </w:tc>
      </w:tr>
      <w:tr w14:paraId="78F6F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A40E">
            <w:pPr>
              <w:rPr>
                <w:rFonts w:hint="eastAsia"/>
                <w:highlight w:val="none"/>
              </w:rPr>
            </w:pPr>
            <w:r>
              <w:rPr>
                <w:rFonts w:hint="eastAsia"/>
                <w:highlight w:val="none"/>
                <w:lang w:val="en-US" w:eastAsia="zh-CN"/>
              </w:rPr>
              <w:t>4</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ABA9">
            <w:pPr>
              <w:rPr>
                <w:rFonts w:hint="eastAsia"/>
                <w:highlight w:val="none"/>
              </w:rPr>
            </w:pPr>
            <w:r>
              <w:rPr>
                <w:rFonts w:hint="eastAsia"/>
                <w:highlight w:val="none"/>
                <w:lang w:val="en-US" w:eastAsia="zh-CN"/>
              </w:rPr>
              <w:t>DN100阀门</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3B914">
            <w:pPr>
              <w:rPr>
                <w:rFonts w:hint="eastAsia"/>
                <w:highlight w:val="none"/>
              </w:rPr>
            </w:pPr>
            <w:r>
              <w:rPr>
                <w:rFonts w:hint="eastAsia"/>
                <w:highlight w:val="none"/>
                <w:lang w:val="en-US" w:eastAsia="zh-CN"/>
              </w:rPr>
              <w:t>伸缩蝶阀（D371X-16Q）</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B421F">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E08C">
            <w:pPr>
              <w:rPr>
                <w:rFonts w:hint="eastAsia"/>
                <w:highlight w:val="none"/>
              </w:rPr>
            </w:pPr>
            <w:r>
              <w:rPr>
                <w:rFonts w:hint="eastAsia"/>
                <w:highlight w:val="none"/>
                <w:lang w:val="en-US" w:eastAsia="zh-CN"/>
              </w:rPr>
              <w:t>50</w:t>
            </w:r>
          </w:p>
        </w:tc>
      </w:tr>
      <w:tr w14:paraId="266CD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FA7D">
            <w:pPr>
              <w:rPr>
                <w:rFonts w:hint="eastAsia"/>
                <w:highlight w:val="none"/>
              </w:rPr>
            </w:pPr>
            <w:r>
              <w:rPr>
                <w:rFonts w:hint="eastAsia"/>
                <w:highlight w:val="none"/>
                <w:lang w:val="en-US" w:eastAsia="zh-CN"/>
              </w:rPr>
              <w:t>5</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9B74">
            <w:pPr>
              <w:rPr>
                <w:rFonts w:hint="eastAsia"/>
                <w:highlight w:val="none"/>
              </w:rPr>
            </w:pPr>
            <w:r>
              <w:rPr>
                <w:rFonts w:hint="eastAsia"/>
                <w:highlight w:val="none"/>
                <w:lang w:val="en-US" w:eastAsia="zh-CN"/>
              </w:rPr>
              <w:t>DN80阀门</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B99C">
            <w:pPr>
              <w:rPr>
                <w:rFonts w:hint="eastAsia"/>
                <w:highlight w:val="none"/>
              </w:rPr>
            </w:pPr>
            <w:r>
              <w:rPr>
                <w:rFonts w:hint="eastAsia"/>
                <w:highlight w:val="none"/>
                <w:lang w:val="en-US" w:eastAsia="zh-CN"/>
              </w:rPr>
              <w:t>伸缩蝶阀（D371X-16Q）</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E47A0">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8199E">
            <w:pPr>
              <w:rPr>
                <w:rFonts w:hint="eastAsia"/>
                <w:highlight w:val="none"/>
              </w:rPr>
            </w:pPr>
            <w:r>
              <w:rPr>
                <w:rFonts w:hint="eastAsia"/>
                <w:highlight w:val="none"/>
                <w:lang w:val="en-US" w:eastAsia="zh-CN"/>
              </w:rPr>
              <w:t>103</w:t>
            </w:r>
          </w:p>
        </w:tc>
      </w:tr>
      <w:tr w14:paraId="15580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D8B53">
            <w:pPr>
              <w:rPr>
                <w:rFonts w:hint="eastAsia"/>
                <w:highlight w:val="none"/>
              </w:rPr>
            </w:pPr>
            <w:r>
              <w:rPr>
                <w:rFonts w:hint="eastAsia"/>
                <w:highlight w:val="none"/>
                <w:lang w:val="en-US" w:eastAsia="zh-CN"/>
              </w:rPr>
              <w:t>6</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7DF7">
            <w:pPr>
              <w:rPr>
                <w:rFonts w:hint="eastAsia"/>
                <w:highlight w:val="none"/>
              </w:rPr>
            </w:pPr>
            <w:r>
              <w:rPr>
                <w:rFonts w:hint="eastAsia"/>
                <w:highlight w:val="none"/>
                <w:lang w:val="en-US" w:eastAsia="zh-CN"/>
              </w:rPr>
              <w:t>∅90法兰及螺丝</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5F89D">
            <w:pPr>
              <w:rPr>
                <w:rFonts w:hint="eastAsia"/>
                <w:highlight w:val="none"/>
              </w:rPr>
            </w:pPr>
            <w:r>
              <w:rPr>
                <w:rFonts w:hint="eastAsia"/>
                <w:highlight w:val="none"/>
                <w:lang w:val="en-US" w:eastAsia="zh-CN"/>
              </w:rPr>
              <w:t>dn90热熔对接法兰（含配套钢法兰及垫片、螺栓等）,PN1.6Mpa（SDR11）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0A6E6">
            <w:pPr>
              <w:rPr>
                <w:rFonts w:hint="eastAsia"/>
                <w:highlight w:val="none"/>
              </w:rPr>
            </w:pPr>
            <w:r>
              <w:rPr>
                <w:rFonts w:hint="eastAsia"/>
                <w:highlight w:val="none"/>
                <w:lang w:val="en-US" w:eastAsia="zh-CN"/>
              </w:rPr>
              <w:t>套</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2A3D1">
            <w:pPr>
              <w:rPr>
                <w:rFonts w:hint="eastAsia"/>
                <w:highlight w:val="none"/>
              </w:rPr>
            </w:pPr>
            <w:r>
              <w:rPr>
                <w:rFonts w:hint="eastAsia"/>
                <w:highlight w:val="none"/>
                <w:lang w:val="en-US" w:eastAsia="zh-CN"/>
              </w:rPr>
              <w:t>70</w:t>
            </w:r>
          </w:p>
        </w:tc>
      </w:tr>
      <w:tr w14:paraId="7701F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643F">
            <w:pPr>
              <w:rPr>
                <w:rFonts w:hint="eastAsia"/>
                <w:highlight w:val="none"/>
              </w:rPr>
            </w:pPr>
            <w:r>
              <w:rPr>
                <w:rFonts w:hint="eastAsia"/>
                <w:highlight w:val="none"/>
                <w:lang w:val="en-US" w:eastAsia="zh-CN"/>
              </w:rPr>
              <w:t>7</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2AEC0">
            <w:pPr>
              <w:rPr>
                <w:rFonts w:hint="eastAsia"/>
                <w:highlight w:val="none"/>
              </w:rPr>
            </w:pPr>
            <w:r>
              <w:rPr>
                <w:rFonts w:hint="eastAsia"/>
                <w:highlight w:val="none"/>
                <w:lang w:val="en-US" w:eastAsia="zh-CN"/>
              </w:rPr>
              <w:t>∅200变90三通</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9EFB">
            <w:pPr>
              <w:rPr>
                <w:rFonts w:hint="eastAsia"/>
                <w:highlight w:val="none"/>
              </w:rPr>
            </w:pPr>
            <w:r>
              <w:rPr>
                <w:rFonts w:hint="eastAsia"/>
                <w:highlight w:val="none"/>
                <w:lang w:val="en-US" w:eastAsia="zh-CN"/>
              </w:rPr>
              <w:t>dn200×dn90热熔对接异径三通,PN1.6Mpa（SDR11）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1ACDF">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20C32">
            <w:pPr>
              <w:rPr>
                <w:rFonts w:hint="eastAsia"/>
                <w:highlight w:val="none"/>
              </w:rPr>
            </w:pPr>
            <w:r>
              <w:rPr>
                <w:rFonts w:hint="eastAsia"/>
                <w:highlight w:val="none"/>
                <w:lang w:val="en-US" w:eastAsia="zh-CN"/>
              </w:rPr>
              <w:t>50</w:t>
            </w:r>
          </w:p>
        </w:tc>
      </w:tr>
      <w:tr w14:paraId="4A1D1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C56C3">
            <w:pPr>
              <w:rPr>
                <w:rFonts w:hint="eastAsia"/>
                <w:highlight w:val="none"/>
              </w:rPr>
            </w:pPr>
            <w:r>
              <w:rPr>
                <w:rFonts w:hint="eastAsia"/>
                <w:highlight w:val="none"/>
                <w:lang w:val="en-US" w:eastAsia="zh-CN"/>
              </w:rPr>
              <w:t>8</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468D1">
            <w:pPr>
              <w:rPr>
                <w:rFonts w:hint="eastAsia"/>
                <w:highlight w:val="none"/>
              </w:rPr>
            </w:pPr>
            <w:r>
              <w:rPr>
                <w:rFonts w:hint="eastAsia"/>
                <w:highlight w:val="none"/>
                <w:lang w:val="en-US" w:eastAsia="zh-CN"/>
              </w:rPr>
              <w:t>∅200减压阀</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02315">
            <w:pPr>
              <w:rPr>
                <w:rFonts w:hint="eastAsia"/>
                <w:highlight w:val="none"/>
              </w:rPr>
            </w:pPr>
            <w:r>
              <w:rPr>
                <w:rFonts w:hint="eastAsia"/>
                <w:highlight w:val="none"/>
                <w:lang w:val="en-US" w:eastAsia="zh-CN"/>
              </w:rPr>
              <w:t>Y43H-16C</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CEB9">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1E36">
            <w:pPr>
              <w:rPr>
                <w:rFonts w:hint="eastAsia"/>
                <w:highlight w:val="none"/>
              </w:rPr>
            </w:pPr>
            <w:r>
              <w:rPr>
                <w:rFonts w:hint="eastAsia"/>
                <w:highlight w:val="none"/>
                <w:lang w:val="en-US" w:eastAsia="zh-CN"/>
              </w:rPr>
              <w:t>2</w:t>
            </w:r>
          </w:p>
        </w:tc>
      </w:tr>
      <w:tr w14:paraId="72EC9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A8386">
            <w:pPr>
              <w:rPr>
                <w:rFonts w:hint="eastAsia"/>
                <w:highlight w:val="none"/>
              </w:rPr>
            </w:pPr>
            <w:r>
              <w:rPr>
                <w:rFonts w:hint="eastAsia"/>
                <w:highlight w:val="none"/>
                <w:lang w:val="en-US" w:eastAsia="zh-CN"/>
              </w:rPr>
              <w:t>9</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EBE3">
            <w:pPr>
              <w:rPr>
                <w:rFonts w:hint="eastAsia"/>
                <w:highlight w:val="none"/>
              </w:rPr>
            </w:pPr>
            <w:r>
              <w:rPr>
                <w:rFonts w:hint="eastAsia"/>
                <w:highlight w:val="none"/>
                <w:lang w:val="en-US" w:eastAsia="zh-CN"/>
              </w:rPr>
              <w:t>∅200法兰及螺丝</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0537D">
            <w:pPr>
              <w:rPr>
                <w:rFonts w:hint="eastAsia"/>
                <w:highlight w:val="none"/>
              </w:rPr>
            </w:pPr>
            <w:r>
              <w:rPr>
                <w:rFonts w:hint="eastAsia"/>
                <w:highlight w:val="none"/>
                <w:lang w:val="en-US" w:eastAsia="zh-CN"/>
              </w:rPr>
              <w:t>dn200热熔对接法兰（含配套钢法兰及垫片、螺栓等）,PN1.6Mpa（SDR11）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47CF">
            <w:pPr>
              <w:rPr>
                <w:rFonts w:hint="eastAsia"/>
                <w:highlight w:val="none"/>
              </w:rPr>
            </w:pPr>
            <w:r>
              <w:rPr>
                <w:rFonts w:hint="eastAsia"/>
                <w:highlight w:val="none"/>
                <w:lang w:val="en-US" w:eastAsia="zh-CN"/>
              </w:rPr>
              <w:t>套</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E9C44">
            <w:pPr>
              <w:rPr>
                <w:rFonts w:hint="eastAsia"/>
                <w:highlight w:val="none"/>
              </w:rPr>
            </w:pPr>
            <w:r>
              <w:rPr>
                <w:rFonts w:hint="eastAsia"/>
                <w:highlight w:val="none"/>
                <w:lang w:val="en-US" w:eastAsia="zh-CN"/>
              </w:rPr>
              <w:t>20</w:t>
            </w:r>
          </w:p>
        </w:tc>
      </w:tr>
      <w:tr w14:paraId="07845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4E2EF">
            <w:pPr>
              <w:rPr>
                <w:rFonts w:hint="eastAsia"/>
                <w:highlight w:val="none"/>
              </w:rPr>
            </w:pPr>
            <w:r>
              <w:rPr>
                <w:rFonts w:hint="eastAsia"/>
                <w:highlight w:val="none"/>
                <w:lang w:val="en-US" w:eastAsia="zh-CN"/>
              </w:rPr>
              <w:t>10</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E7F46">
            <w:pPr>
              <w:rPr>
                <w:rFonts w:hint="eastAsia"/>
                <w:highlight w:val="none"/>
              </w:rPr>
            </w:pPr>
            <w:r>
              <w:rPr>
                <w:rFonts w:hint="eastAsia"/>
                <w:highlight w:val="none"/>
                <w:lang w:val="en-US" w:eastAsia="zh-CN"/>
              </w:rPr>
              <w:t>∅90水表和闸阀</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E90D7">
            <w:pPr>
              <w:rPr>
                <w:rFonts w:hint="eastAsia"/>
                <w:highlight w:val="none"/>
              </w:rPr>
            </w:pPr>
            <w:r>
              <w:rPr>
                <w:rFonts w:hint="eastAsia"/>
                <w:highlight w:val="none"/>
                <w:lang w:val="en-US" w:eastAsia="zh-CN"/>
              </w:rPr>
              <w:t>LXL-100E,Z41H-16C</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2C45">
            <w:pPr>
              <w:rPr>
                <w:rFonts w:hint="eastAsia"/>
                <w:highlight w:val="none"/>
              </w:rPr>
            </w:pPr>
            <w:r>
              <w:rPr>
                <w:rFonts w:hint="eastAsia"/>
                <w:highlight w:val="none"/>
                <w:lang w:val="en-US" w:eastAsia="zh-CN"/>
              </w:rPr>
              <w:t>套</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40955">
            <w:pPr>
              <w:rPr>
                <w:rFonts w:hint="eastAsia"/>
                <w:highlight w:val="none"/>
              </w:rPr>
            </w:pPr>
            <w:r>
              <w:rPr>
                <w:rFonts w:hint="eastAsia"/>
                <w:highlight w:val="none"/>
                <w:lang w:val="en-US" w:eastAsia="zh-CN"/>
              </w:rPr>
              <w:t>5</w:t>
            </w:r>
          </w:p>
        </w:tc>
      </w:tr>
      <w:tr w14:paraId="1BC61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9ACD">
            <w:pPr>
              <w:rPr>
                <w:rFonts w:hint="eastAsia"/>
                <w:highlight w:val="none"/>
              </w:rPr>
            </w:pPr>
            <w:r>
              <w:rPr>
                <w:rFonts w:hint="eastAsia"/>
                <w:highlight w:val="none"/>
                <w:lang w:val="en-US" w:eastAsia="zh-CN"/>
              </w:rPr>
              <w:t>11</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4038A">
            <w:pPr>
              <w:rPr>
                <w:rFonts w:hint="eastAsia"/>
                <w:highlight w:val="none"/>
              </w:rPr>
            </w:pPr>
            <w:r>
              <w:rPr>
                <w:rFonts w:hint="eastAsia"/>
                <w:highlight w:val="none"/>
                <w:lang w:val="en-US" w:eastAsia="zh-CN"/>
              </w:rPr>
              <w:t>75堵漏器</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A6590">
            <w:pPr>
              <w:rPr>
                <w:rFonts w:hint="eastAsia"/>
                <w:highlight w:val="none"/>
              </w:rPr>
            </w:pPr>
            <w:r>
              <w:rPr>
                <w:rFonts w:hint="eastAsia"/>
                <w:highlight w:val="none"/>
                <w:lang w:val="en-US" w:eastAsia="zh-CN"/>
              </w:rPr>
              <w:t>球墨铸铁</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D1FC">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2E9E9">
            <w:pPr>
              <w:rPr>
                <w:rFonts w:hint="eastAsia"/>
                <w:highlight w:val="none"/>
              </w:rPr>
            </w:pPr>
            <w:r>
              <w:rPr>
                <w:rFonts w:hint="eastAsia"/>
                <w:highlight w:val="none"/>
                <w:lang w:val="en-US" w:eastAsia="zh-CN"/>
              </w:rPr>
              <w:t>10</w:t>
            </w:r>
          </w:p>
        </w:tc>
      </w:tr>
      <w:tr w14:paraId="41856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12CF">
            <w:pPr>
              <w:rPr>
                <w:rFonts w:hint="eastAsia"/>
                <w:highlight w:val="none"/>
              </w:rPr>
            </w:pPr>
            <w:r>
              <w:rPr>
                <w:rFonts w:hint="eastAsia"/>
                <w:highlight w:val="none"/>
                <w:lang w:val="en-US" w:eastAsia="zh-CN"/>
              </w:rPr>
              <w:t>12</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1D3F5">
            <w:pPr>
              <w:rPr>
                <w:rFonts w:hint="eastAsia"/>
                <w:highlight w:val="none"/>
              </w:rPr>
            </w:pPr>
            <w:r>
              <w:rPr>
                <w:rFonts w:hint="eastAsia"/>
                <w:highlight w:val="none"/>
                <w:lang w:val="en-US" w:eastAsia="zh-CN"/>
              </w:rPr>
              <w:t>90堵漏器</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FAC7C">
            <w:pPr>
              <w:rPr>
                <w:rFonts w:hint="eastAsia"/>
                <w:highlight w:val="none"/>
              </w:rPr>
            </w:pPr>
            <w:r>
              <w:rPr>
                <w:rFonts w:hint="eastAsia"/>
                <w:highlight w:val="none"/>
                <w:lang w:val="en-US" w:eastAsia="zh-CN"/>
              </w:rPr>
              <w:t>球墨铸铁</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4E22">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C46F">
            <w:pPr>
              <w:rPr>
                <w:rFonts w:hint="eastAsia"/>
                <w:highlight w:val="none"/>
              </w:rPr>
            </w:pPr>
            <w:r>
              <w:rPr>
                <w:rFonts w:hint="eastAsia"/>
                <w:highlight w:val="none"/>
                <w:lang w:val="en-US" w:eastAsia="zh-CN"/>
              </w:rPr>
              <w:t>10</w:t>
            </w:r>
          </w:p>
        </w:tc>
      </w:tr>
      <w:tr w14:paraId="4B2E7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A3799">
            <w:pPr>
              <w:rPr>
                <w:rFonts w:hint="eastAsia"/>
                <w:highlight w:val="none"/>
              </w:rPr>
            </w:pPr>
            <w:r>
              <w:rPr>
                <w:rFonts w:hint="eastAsia"/>
                <w:highlight w:val="none"/>
                <w:lang w:val="en-US" w:eastAsia="zh-CN"/>
              </w:rPr>
              <w:t>13</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3AFD4">
            <w:pPr>
              <w:rPr>
                <w:rFonts w:hint="eastAsia"/>
                <w:highlight w:val="none"/>
              </w:rPr>
            </w:pPr>
            <w:r>
              <w:rPr>
                <w:rFonts w:hint="eastAsia"/>
                <w:highlight w:val="none"/>
                <w:lang w:val="en-US" w:eastAsia="zh-CN"/>
              </w:rPr>
              <w:t>160堵漏器</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5A093">
            <w:pPr>
              <w:rPr>
                <w:rFonts w:hint="eastAsia"/>
                <w:highlight w:val="none"/>
              </w:rPr>
            </w:pPr>
            <w:r>
              <w:rPr>
                <w:rFonts w:hint="eastAsia"/>
                <w:highlight w:val="none"/>
                <w:lang w:val="en-US" w:eastAsia="zh-CN"/>
              </w:rPr>
              <w:t>球墨铸铁</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0274">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32407">
            <w:pPr>
              <w:rPr>
                <w:rFonts w:hint="eastAsia"/>
                <w:highlight w:val="none"/>
              </w:rPr>
            </w:pPr>
            <w:r>
              <w:rPr>
                <w:rFonts w:hint="eastAsia"/>
                <w:highlight w:val="none"/>
                <w:lang w:val="en-US" w:eastAsia="zh-CN"/>
              </w:rPr>
              <w:t>10</w:t>
            </w:r>
          </w:p>
        </w:tc>
      </w:tr>
      <w:tr w14:paraId="0307A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F6F22">
            <w:pPr>
              <w:rPr>
                <w:rFonts w:hint="eastAsia"/>
                <w:highlight w:val="none"/>
              </w:rPr>
            </w:pPr>
            <w:r>
              <w:rPr>
                <w:rFonts w:hint="eastAsia"/>
                <w:highlight w:val="none"/>
                <w:lang w:val="en-US" w:eastAsia="zh-CN"/>
              </w:rPr>
              <w:t>14</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F14B">
            <w:pPr>
              <w:rPr>
                <w:rFonts w:hint="eastAsia"/>
                <w:highlight w:val="none"/>
              </w:rPr>
            </w:pPr>
            <w:r>
              <w:rPr>
                <w:rFonts w:hint="eastAsia"/>
                <w:highlight w:val="none"/>
                <w:lang w:val="en-US" w:eastAsia="zh-CN"/>
              </w:rPr>
              <w:t>200堵漏器</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D2040">
            <w:pPr>
              <w:rPr>
                <w:rFonts w:hint="eastAsia"/>
                <w:highlight w:val="none"/>
              </w:rPr>
            </w:pPr>
            <w:r>
              <w:rPr>
                <w:rFonts w:hint="eastAsia"/>
                <w:highlight w:val="none"/>
                <w:lang w:val="en-US" w:eastAsia="zh-CN"/>
              </w:rPr>
              <w:t>球墨铸铁</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B201E">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59C2">
            <w:pPr>
              <w:rPr>
                <w:rFonts w:hint="eastAsia"/>
                <w:highlight w:val="none"/>
              </w:rPr>
            </w:pPr>
            <w:r>
              <w:rPr>
                <w:rFonts w:hint="eastAsia"/>
                <w:highlight w:val="none"/>
                <w:lang w:val="en-US" w:eastAsia="zh-CN"/>
              </w:rPr>
              <w:t>10</w:t>
            </w:r>
          </w:p>
        </w:tc>
      </w:tr>
      <w:tr w14:paraId="374D2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1CC43">
            <w:pPr>
              <w:rPr>
                <w:rFonts w:hint="eastAsia"/>
                <w:highlight w:val="none"/>
              </w:rPr>
            </w:pPr>
            <w:r>
              <w:rPr>
                <w:rFonts w:hint="eastAsia"/>
                <w:highlight w:val="none"/>
                <w:lang w:val="en-US" w:eastAsia="zh-CN"/>
              </w:rPr>
              <w:t>15</w:t>
            </w:r>
          </w:p>
        </w:tc>
        <w:tc>
          <w:tcPr>
            <w:tcW w:w="150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77C6E">
            <w:pPr>
              <w:rPr>
                <w:rFonts w:hint="eastAsia"/>
                <w:highlight w:val="none"/>
              </w:rPr>
            </w:pPr>
            <w:r>
              <w:rPr>
                <w:rFonts w:hint="eastAsia"/>
                <w:highlight w:val="none"/>
                <w:lang w:val="en-US" w:eastAsia="zh-CN"/>
              </w:rPr>
              <w:t>HDPE管PE100给水管</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BAD0">
            <w:pPr>
              <w:rPr>
                <w:rFonts w:hint="eastAsia"/>
                <w:highlight w:val="none"/>
              </w:rPr>
            </w:pPr>
            <w:r>
              <w:rPr>
                <w:rFonts w:hint="eastAsia"/>
                <w:highlight w:val="none"/>
                <w:lang w:val="en-US" w:eastAsia="zh-CN"/>
              </w:rPr>
              <w:t>dn315,PN1.6Mpa（SDR17）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FD3D">
            <w:pPr>
              <w:rPr>
                <w:rFonts w:hint="eastAsia"/>
                <w:highlight w:val="none"/>
              </w:rPr>
            </w:pPr>
            <w:r>
              <w:rPr>
                <w:rFonts w:hint="eastAsia"/>
                <w:highlight w:val="none"/>
                <w:lang w:val="en-US" w:eastAsia="zh-CN"/>
              </w:rPr>
              <w:t>米</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C10C">
            <w:pPr>
              <w:rPr>
                <w:rFonts w:hint="eastAsia"/>
                <w:highlight w:val="none"/>
              </w:rPr>
            </w:pPr>
            <w:r>
              <w:rPr>
                <w:rFonts w:hint="eastAsia"/>
                <w:highlight w:val="none"/>
                <w:lang w:val="en-US" w:eastAsia="zh-CN"/>
              </w:rPr>
              <w:t>70</w:t>
            </w:r>
          </w:p>
        </w:tc>
      </w:tr>
      <w:tr w14:paraId="10586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6FAED">
            <w:pPr>
              <w:rPr>
                <w:rFonts w:hint="eastAsia"/>
                <w:highlight w:val="none"/>
              </w:rPr>
            </w:pPr>
            <w:r>
              <w:rPr>
                <w:rFonts w:hint="eastAsia"/>
                <w:highlight w:val="none"/>
                <w:lang w:val="en-US" w:eastAsia="zh-CN"/>
              </w:rPr>
              <w:t>16</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6D01">
            <w:pPr>
              <w:rPr>
                <w:rFonts w:hint="eastAsia"/>
                <w:highlight w:val="none"/>
              </w:rPr>
            </w:pP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25C01">
            <w:pPr>
              <w:rPr>
                <w:rFonts w:hint="eastAsia"/>
                <w:highlight w:val="none"/>
              </w:rPr>
            </w:pPr>
            <w:r>
              <w:rPr>
                <w:rFonts w:hint="eastAsia"/>
                <w:highlight w:val="none"/>
                <w:lang w:val="en-US" w:eastAsia="zh-CN"/>
              </w:rPr>
              <w:t>dn200,PN1.6Mpa（SDR11）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98B9B">
            <w:pPr>
              <w:rPr>
                <w:rFonts w:hint="eastAsia"/>
                <w:highlight w:val="none"/>
              </w:rPr>
            </w:pPr>
            <w:r>
              <w:rPr>
                <w:rFonts w:hint="eastAsia"/>
                <w:highlight w:val="none"/>
                <w:lang w:val="en-US" w:eastAsia="zh-CN"/>
              </w:rPr>
              <w:t>米</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E859">
            <w:pPr>
              <w:rPr>
                <w:rFonts w:hint="eastAsia"/>
                <w:highlight w:val="none"/>
              </w:rPr>
            </w:pPr>
            <w:r>
              <w:rPr>
                <w:rFonts w:hint="eastAsia"/>
                <w:highlight w:val="none"/>
                <w:lang w:val="en-US" w:eastAsia="zh-CN"/>
              </w:rPr>
              <w:t>130</w:t>
            </w:r>
          </w:p>
        </w:tc>
      </w:tr>
      <w:tr w14:paraId="57FAC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F6682">
            <w:pPr>
              <w:rPr>
                <w:rFonts w:hint="eastAsia"/>
                <w:highlight w:val="none"/>
              </w:rPr>
            </w:pPr>
            <w:r>
              <w:rPr>
                <w:rFonts w:hint="eastAsia"/>
                <w:highlight w:val="none"/>
                <w:lang w:val="en-US" w:eastAsia="zh-CN"/>
              </w:rPr>
              <w:t>17</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121E">
            <w:pPr>
              <w:rPr>
                <w:rFonts w:hint="eastAsia"/>
                <w:highlight w:val="none"/>
              </w:rPr>
            </w:pP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C8A47">
            <w:pPr>
              <w:rPr>
                <w:rFonts w:hint="eastAsia"/>
                <w:highlight w:val="none"/>
              </w:rPr>
            </w:pPr>
            <w:r>
              <w:rPr>
                <w:rFonts w:hint="eastAsia"/>
                <w:highlight w:val="none"/>
                <w:lang w:val="en-US" w:eastAsia="zh-CN"/>
              </w:rPr>
              <w:t>dn160,PN1.6Mpa（SDR11）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9EE12">
            <w:pPr>
              <w:rPr>
                <w:rFonts w:hint="eastAsia"/>
                <w:highlight w:val="none"/>
              </w:rPr>
            </w:pPr>
            <w:r>
              <w:rPr>
                <w:rFonts w:hint="eastAsia"/>
                <w:highlight w:val="none"/>
                <w:lang w:val="en-US" w:eastAsia="zh-CN"/>
              </w:rPr>
              <w:t>米</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741C9">
            <w:pPr>
              <w:rPr>
                <w:rFonts w:hint="eastAsia"/>
                <w:highlight w:val="none"/>
              </w:rPr>
            </w:pPr>
            <w:r>
              <w:rPr>
                <w:rFonts w:hint="eastAsia"/>
                <w:highlight w:val="none"/>
                <w:lang w:val="en-US" w:eastAsia="zh-CN"/>
              </w:rPr>
              <w:t>2900</w:t>
            </w:r>
          </w:p>
        </w:tc>
      </w:tr>
      <w:tr w14:paraId="481E6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668F8">
            <w:pPr>
              <w:rPr>
                <w:rFonts w:hint="eastAsia"/>
                <w:highlight w:val="none"/>
              </w:rPr>
            </w:pPr>
            <w:r>
              <w:rPr>
                <w:rFonts w:hint="eastAsia"/>
                <w:highlight w:val="none"/>
                <w:lang w:val="en-US" w:eastAsia="zh-CN"/>
              </w:rPr>
              <w:t>18</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D262">
            <w:pPr>
              <w:rPr>
                <w:rFonts w:hint="eastAsia"/>
                <w:highlight w:val="none"/>
              </w:rPr>
            </w:pP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8183">
            <w:pPr>
              <w:rPr>
                <w:rFonts w:hint="eastAsia"/>
                <w:highlight w:val="none"/>
              </w:rPr>
            </w:pPr>
            <w:r>
              <w:rPr>
                <w:rFonts w:hint="eastAsia"/>
                <w:highlight w:val="none"/>
                <w:lang w:val="en-US" w:eastAsia="zh-CN"/>
              </w:rPr>
              <w:t>dn110,PN1.6Mpa（SDR11）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A0739">
            <w:pPr>
              <w:rPr>
                <w:rFonts w:hint="eastAsia"/>
                <w:highlight w:val="none"/>
              </w:rPr>
            </w:pPr>
            <w:r>
              <w:rPr>
                <w:rFonts w:hint="eastAsia"/>
                <w:highlight w:val="none"/>
                <w:lang w:val="en-US" w:eastAsia="zh-CN"/>
              </w:rPr>
              <w:t>米</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057E9">
            <w:pPr>
              <w:rPr>
                <w:rFonts w:hint="eastAsia"/>
                <w:highlight w:val="none"/>
              </w:rPr>
            </w:pPr>
            <w:r>
              <w:rPr>
                <w:rFonts w:hint="eastAsia"/>
                <w:highlight w:val="none"/>
                <w:lang w:val="en-US" w:eastAsia="zh-CN"/>
              </w:rPr>
              <w:t>9700</w:t>
            </w:r>
          </w:p>
        </w:tc>
      </w:tr>
      <w:tr w14:paraId="741F6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28BF2">
            <w:pPr>
              <w:rPr>
                <w:rFonts w:hint="eastAsia"/>
                <w:highlight w:val="none"/>
              </w:rPr>
            </w:pPr>
            <w:r>
              <w:rPr>
                <w:rFonts w:hint="eastAsia"/>
                <w:highlight w:val="none"/>
                <w:lang w:val="en-US" w:eastAsia="zh-CN"/>
              </w:rPr>
              <w:t>19</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CE339">
            <w:pPr>
              <w:rPr>
                <w:rFonts w:hint="eastAsia"/>
                <w:highlight w:val="none"/>
              </w:rPr>
            </w:pP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266E">
            <w:pPr>
              <w:rPr>
                <w:rFonts w:hint="eastAsia"/>
                <w:highlight w:val="none"/>
              </w:rPr>
            </w:pPr>
            <w:r>
              <w:rPr>
                <w:rFonts w:hint="eastAsia"/>
                <w:highlight w:val="none"/>
                <w:lang w:val="en-US" w:eastAsia="zh-CN"/>
              </w:rPr>
              <w:t>dn90,PN1.6Mpa（SDR11）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6ED96">
            <w:pPr>
              <w:rPr>
                <w:rFonts w:hint="eastAsia"/>
                <w:highlight w:val="none"/>
              </w:rPr>
            </w:pPr>
            <w:r>
              <w:rPr>
                <w:rFonts w:hint="eastAsia"/>
                <w:highlight w:val="none"/>
                <w:lang w:val="en-US" w:eastAsia="zh-CN"/>
              </w:rPr>
              <w:t>米</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FB1A">
            <w:pPr>
              <w:rPr>
                <w:rFonts w:hint="eastAsia"/>
                <w:highlight w:val="none"/>
              </w:rPr>
            </w:pPr>
            <w:r>
              <w:rPr>
                <w:rFonts w:hint="eastAsia"/>
                <w:highlight w:val="none"/>
                <w:lang w:val="en-US" w:eastAsia="zh-CN"/>
              </w:rPr>
              <w:t>13811</w:t>
            </w:r>
          </w:p>
        </w:tc>
      </w:tr>
      <w:tr w14:paraId="09792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8BF0">
            <w:pPr>
              <w:rPr>
                <w:rFonts w:hint="eastAsia"/>
                <w:highlight w:val="none"/>
              </w:rPr>
            </w:pPr>
            <w:r>
              <w:rPr>
                <w:rFonts w:hint="eastAsia"/>
                <w:highlight w:val="none"/>
                <w:lang w:val="en-US" w:eastAsia="zh-CN"/>
              </w:rPr>
              <w:t>20</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056F">
            <w:pPr>
              <w:rPr>
                <w:rFonts w:hint="eastAsia"/>
                <w:highlight w:val="none"/>
              </w:rPr>
            </w:pPr>
            <w:r>
              <w:rPr>
                <w:rFonts w:hint="eastAsia"/>
                <w:highlight w:val="none"/>
                <w:lang w:val="en-US" w:eastAsia="zh-CN"/>
              </w:rPr>
              <w:t>DE315三通</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989B5">
            <w:pPr>
              <w:rPr>
                <w:rFonts w:hint="eastAsia"/>
                <w:highlight w:val="none"/>
              </w:rPr>
            </w:pPr>
            <w:r>
              <w:rPr>
                <w:rFonts w:hint="eastAsia"/>
                <w:highlight w:val="none"/>
                <w:lang w:val="en-US" w:eastAsia="zh-CN"/>
              </w:rPr>
              <w:t>dn315×dn315热熔对接等径三通,PN1.0Mpa（SDR17）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310F5">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543A">
            <w:pPr>
              <w:rPr>
                <w:rFonts w:hint="eastAsia"/>
                <w:highlight w:val="none"/>
              </w:rPr>
            </w:pPr>
            <w:r>
              <w:rPr>
                <w:rFonts w:hint="eastAsia"/>
                <w:highlight w:val="none"/>
                <w:lang w:val="en-US" w:eastAsia="zh-CN"/>
              </w:rPr>
              <w:t>5</w:t>
            </w:r>
          </w:p>
        </w:tc>
      </w:tr>
      <w:tr w14:paraId="632B6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60A4">
            <w:pPr>
              <w:rPr>
                <w:rFonts w:hint="eastAsia"/>
                <w:highlight w:val="none"/>
              </w:rPr>
            </w:pPr>
            <w:r>
              <w:rPr>
                <w:rFonts w:hint="eastAsia"/>
                <w:highlight w:val="none"/>
                <w:lang w:val="en-US" w:eastAsia="zh-CN"/>
              </w:rPr>
              <w:t>21</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8C2DF">
            <w:pPr>
              <w:rPr>
                <w:rFonts w:hint="eastAsia"/>
                <w:highlight w:val="none"/>
              </w:rPr>
            </w:pPr>
            <w:r>
              <w:rPr>
                <w:rFonts w:hint="eastAsia"/>
                <w:highlight w:val="none"/>
                <w:lang w:val="en-US" w:eastAsia="zh-CN"/>
              </w:rPr>
              <w:t>DE200三通</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B7801">
            <w:pPr>
              <w:rPr>
                <w:rFonts w:hint="eastAsia"/>
                <w:highlight w:val="none"/>
              </w:rPr>
            </w:pPr>
            <w:r>
              <w:rPr>
                <w:rFonts w:hint="eastAsia"/>
                <w:highlight w:val="none"/>
                <w:lang w:val="en-US" w:eastAsia="zh-CN"/>
              </w:rPr>
              <w:t>dn200×dn200热熔对接等径三通,PN1.0Mpa（SDR17）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EA305">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C7E2C">
            <w:pPr>
              <w:rPr>
                <w:rFonts w:hint="eastAsia"/>
                <w:highlight w:val="none"/>
              </w:rPr>
            </w:pPr>
            <w:r>
              <w:rPr>
                <w:rFonts w:hint="eastAsia"/>
                <w:highlight w:val="none"/>
                <w:lang w:val="en-US" w:eastAsia="zh-CN"/>
              </w:rPr>
              <w:t>5</w:t>
            </w:r>
          </w:p>
        </w:tc>
      </w:tr>
      <w:tr w14:paraId="10703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898E">
            <w:pPr>
              <w:rPr>
                <w:rFonts w:hint="eastAsia"/>
                <w:highlight w:val="none"/>
              </w:rPr>
            </w:pPr>
            <w:r>
              <w:rPr>
                <w:rFonts w:hint="eastAsia"/>
                <w:highlight w:val="none"/>
                <w:lang w:val="en-US" w:eastAsia="zh-CN"/>
              </w:rPr>
              <w:t>22</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C3F27">
            <w:pPr>
              <w:rPr>
                <w:rFonts w:hint="eastAsia"/>
                <w:highlight w:val="none"/>
              </w:rPr>
            </w:pPr>
            <w:r>
              <w:rPr>
                <w:rFonts w:hint="eastAsia"/>
                <w:highlight w:val="none"/>
                <w:lang w:val="en-US" w:eastAsia="zh-CN"/>
              </w:rPr>
              <w:t>DE160三通</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F8ABB">
            <w:pPr>
              <w:rPr>
                <w:rFonts w:hint="eastAsia"/>
                <w:highlight w:val="none"/>
              </w:rPr>
            </w:pPr>
            <w:r>
              <w:rPr>
                <w:rFonts w:hint="eastAsia"/>
                <w:highlight w:val="none"/>
                <w:lang w:val="en-US" w:eastAsia="zh-CN"/>
              </w:rPr>
              <w:t>dn160×dn160热熔对接等径三通,PN1.0Mpa（SDR17）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A9CB">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64202">
            <w:pPr>
              <w:rPr>
                <w:rFonts w:hint="eastAsia"/>
                <w:highlight w:val="none"/>
              </w:rPr>
            </w:pPr>
            <w:r>
              <w:rPr>
                <w:rFonts w:hint="eastAsia"/>
                <w:highlight w:val="none"/>
                <w:lang w:val="en-US" w:eastAsia="zh-CN"/>
              </w:rPr>
              <w:t>5</w:t>
            </w:r>
          </w:p>
        </w:tc>
      </w:tr>
      <w:tr w14:paraId="10ABC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5ECB">
            <w:pPr>
              <w:rPr>
                <w:rFonts w:hint="eastAsia"/>
                <w:highlight w:val="none"/>
              </w:rPr>
            </w:pPr>
            <w:r>
              <w:rPr>
                <w:rFonts w:hint="eastAsia"/>
                <w:highlight w:val="none"/>
                <w:lang w:val="en-US" w:eastAsia="zh-CN"/>
              </w:rPr>
              <w:t>23</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3D34">
            <w:pPr>
              <w:rPr>
                <w:rFonts w:hint="eastAsia"/>
                <w:highlight w:val="none"/>
              </w:rPr>
            </w:pPr>
            <w:r>
              <w:rPr>
                <w:rFonts w:hint="eastAsia"/>
                <w:highlight w:val="none"/>
                <w:lang w:val="en-US" w:eastAsia="zh-CN"/>
              </w:rPr>
              <w:t>DE110三通</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769B">
            <w:pPr>
              <w:rPr>
                <w:rFonts w:hint="eastAsia"/>
                <w:highlight w:val="none"/>
              </w:rPr>
            </w:pPr>
            <w:r>
              <w:rPr>
                <w:rFonts w:hint="eastAsia"/>
                <w:highlight w:val="none"/>
                <w:lang w:val="en-US" w:eastAsia="zh-CN"/>
              </w:rPr>
              <w:t>dn110×dn110热熔对接等径三通,PN1.0Mpa（SDR17）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E2F49">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9D034">
            <w:pPr>
              <w:rPr>
                <w:rFonts w:hint="eastAsia"/>
                <w:highlight w:val="none"/>
              </w:rPr>
            </w:pPr>
            <w:r>
              <w:rPr>
                <w:rFonts w:hint="eastAsia"/>
                <w:highlight w:val="none"/>
                <w:lang w:val="en-US" w:eastAsia="zh-CN"/>
              </w:rPr>
              <w:t>10</w:t>
            </w:r>
          </w:p>
        </w:tc>
      </w:tr>
      <w:tr w14:paraId="2E7B1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D000">
            <w:pPr>
              <w:rPr>
                <w:rFonts w:hint="eastAsia"/>
                <w:highlight w:val="none"/>
              </w:rPr>
            </w:pPr>
            <w:r>
              <w:rPr>
                <w:rFonts w:hint="eastAsia"/>
                <w:highlight w:val="none"/>
                <w:lang w:val="en-US" w:eastAsia="zh-CN"/>
              </w:rPr>
              <w:t>24</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10F39">
            <w:pPr>
              <w:rPr>
                <w:rFonts w:hint="eastAsia"/>
                <w:highlight w:val="none"/>
              </w:rPr>
            </w:pPr>
            <w:r>
              <w:rPr>
                <w:rFonts w:hint="eastAsia"/>
                <w:highlight w:val="none"/>
                <w:lang w:val="en-US" w:eastAsia="zh-CN"/>
              </w:rPr>
              <w:t>DE90三通</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DD357">
            <w:pPr>
              <w:rPr>
                <w:rFonts w:hint="eastAsia"/>
                <w:highlight w:val="none"/>
              </w:rPr>
            </w:pPr>
            <w:r>
              <w:rPr>
                <w:rFonts w:hint="eastAsia"/>
                <w:highlight w:val="none"/>
                <w:lang w:val="en-US" w:eastAsia="zh-CN"/>
              </w:rPr>
              <w:t>dn90×dn90热熔对接等径三通,PN1.0Mpa（SDR17）</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0FEF">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46356">
            <w:pPr>
              <w:rPr>
                <w:rFonts w:hint="eastAsia"/>
                <w:highlight w:val="none"/>
              </w:rPr>
            </w:pPr>
            <w:r>
              <w:rPr>
                <w:rFonts w:hint="eastAsia"/>
                <w:highlight w:val="none"/>
                <w:lang w:val="en-US" w:eastAsia="zh-CN"/>
              </w:rPr>
              <w:t>10</w:t>
            </w:r>
          </w:p>
        </w:tc>
      </w:tr>
      <w:tr w14:paraId="10152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1F10">
            <w:pPr>
              <w:rPr>
                <w:rFonts w:hint="eastAsia"/>
                <w:highlight w:val="none"/>
              </w:rPr>
            </w:pPr>
            <w:r>
              <w:rPr>
                <w:rFonts w:hint="eastAsia"/>
                <w:highlight w:val="none"/>
                <w:lang w:val="en-US" w:eastAsia="zh-CN"/>
              </w:rPr>
              <w:t>25</w:t>
            </w:r>
          </w:p>
        </w:tc>
        <w:tc>
          <w:tcPr>
            <w:tcW w:w="150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3B7C2">
            <w:pPr>
              <w:rPr>
                <w:rFonts w:hint="eastAsia"/>
                <w:highlight w:val="none"/>
              </w:rPr>
            </w:pPr>
            <w:r>
              <w:rPr>
                <w:rFonts w:hint="eastAsia"/>
                <w:highlight w:val="none"/>
                <w:lang w:val="en-US" w:eastAsia="zh-CN"/>
              </w:rPr>
              <w:t>热熔对接弯头</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B7ED">
            <w:pPr>
              <w:rPr>
                <w:rFonts w:hint="eastAsia"/>
                <w:highlight w:val="none"/>
              </w:rPr>
            </w:pPr>
            <w:r>
              <w:rPr>
                <w:rFonts w:hint="eastAsia"/>
                <w:highlight w:val="none"/>
                <w:lang w:val="en-US" w:eastAsia="zh-CN"/>
              </w:rPr>
              <w:t>dn315 90°热熔对接弯头,PN1.6Mpa（SDR11）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21DAF">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AC3C1">
            <w:pPr>
              <w:rPr>
                <w:rFonts w:hint="eastAsia"/>
                <w:highlight w:val="none"/>
              </w:rPr>
            </w:pPr>
            <w:r>
              <w:rPr>
                <w:rFonts w:hint="eastAsia"/>
                <w:highlight w:val="none"/>
                <w:lang w:val="en-US" w:eastAsia="zh-CN"/>
              </w:rPr>
              <w:t>5</w:t>
            </w:r>
          </w:p>
        </w:tc>
      </w:tr>
      <w:tr w14:paraId="23D8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0C894">
            <w:pPr>
              <w:rPr>
                <w:rFonts w:hint="eastAsia"/>
                <w:highlight w:val="none"/>
              </w:rPr>
            </w:pPr>
            <w:r>
              <w:rPr>
                <w:rFonts w:hint="eastAsia"/>
                <w:highlight w:val="none"/>
                <w:lang w:val="en-US" w:eastAsia="zh-CN"/>
              </w:rPr>
              <w:t>26</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64BB3">
            <w:pPr>
              <w:rPr>
                <w:rFonts w:hint="eastAsia"/>
                <w:highlight w:val="none"/>
              </w:rPr>
            </w:pP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44E5A">
            <w:pPr>
              <w:rPr>
                <w:rFonts w:hint="eastAsia"/>
                <w:highlight w:val="none"/>
              </w:rPr>
            </w:pPr>
            <w:r>
              <w:rPr>
                <w:rFonts w:hint="eastAsia"/>
                <w:highlight w:val="none"/>
                <w:lang w:val="en-US" w:eastAsia="zh-CN"/>
              </w:rPr>
              <w:t>dn200 90°热熔对接弯头,PN1.6Mpa（SDR11）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E159E">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00A9">
            <w:pPr>
              <w:rPr>
                <w:rFonts w:hint="eastAsia"/>
                <w:highlight w:val="none"/>
              </w:rPr>
            </w:pPr>
            <w:r>
              <w:rPr>
                <w:rFonts w:hint="eastAsia"/>
                <w:highlight w:val="none"/>
                <w:lang w:val="en-US" w:eastAsia="zh-CN"/>
              </w:rPr>
              <w:t>5</w:t>
            </w:r>
          </w:p>
        </w:tc>
      </w:tr>
      <w:tr w14:paraId="57508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15FC">
            <w:pPr>
              <w:rPr>
                <w:rFonts w:hint="eastAsia"/>
                <w:highlight w:val="none"/>
              </w:rPr>
            </w:pPr>
            <w:r>
              <w:rPr>
                <w:rFonts w:hint="eastAsia"/>
                <w:highlight w:val="none"/>
                <w:lang w:val="en-US" w:eastAsia="zh-CN"/>
              </w:rPr>
              <w:t>27</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766A">
            <w:pPr>
              <w:rPr>
                <w:rFonts w:hint="eastAsia"/>
                <w:highlight w:val="none"/>
              </w:rPr>
            </w:pP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7D25F">
            <w:pPr>
              <w:rPr>
                <w:rFonts w:hint="eastAsia"/>
                <w:highlight w:val="none"/>
              </w:rPr>
            </w:pPr>
            <w:r>
              <w:rPr>
                <w:rFonts w:hint="eastAsia"/>
                <w:highlight w:val="none"/>
                <w:lang w:val="en-US" w:eastAsia="zh-CN"/>
              </w:rPr>
              <w:t>dn160 90°热熔对接弯头,PN1.6Mpa（SDR11）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3C836">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18BB">
            <w:pPr>
              <w:rPr>
                <w:rFonts w:hint="eastAsia"/>
                <w:highlight w:val="none"/>
              </w:rPr>
            </w:pPr>
            <w:r>
              <w:rPr>
                <w:rFonts w:hint="eastAsia"/>
                <w:highlight w:val="none"/>
                <w:lang w:val="en-US" w:eastAsia="zh-CN"/>
              </w:rPr>
              <w:t>5</w:t>
            </w:r>
          </w:p>
        </w:tc>
      </w:tr>
      <w:tr w14:paraId="121E6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181CD">
            <w:pPr>
              <w:rPr>
                <w:rFonts w:hint="eastAsia"/>
                <w:highlight w:val="none"/>
              </w:rPr>
            </w:pPr>
            <w:r>
              <w:rPr>
                <w:rFonts w:hint="eastAsia"/>
                <w:highlight w:val="none"/>
                <w:lang w:val="en-US" w:eastAsia="zh-CN"/>
              </w:rPr>
              <w:t>28</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F1623">
            <w:pPr>
              <w:rPr>
                <w:rFonts w:hint="eastAsia"/>
                <w:highlight w:val="none"/>
              </w:rPr>
            </w:pP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12585">
            <w:pPr>
              <w:rPr>
                <w:rFonts w:hint="eastAsia"/>
                <w:highlight w:val="none"/>
              </w:rPr>
            </w:pPr>
            <w:r>
              <w:rPr>
                <w:rFonts w:hint="eastAsia"/>
                <w:highlight w:val="none"/>
                <w:lang w:val="en-US" w:eastAsia="zh-CN"/>
              </w:rPr>
              <w:t>dn110 90°热熔对接弯头,PN1.6Mpa（SDR11）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DC0D">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73AA3">
            <w:pPr>
              <w:rPr>
                <w:rFonts w:hint="eastAsia"/>
                <w:highlight w:val="none"/>
              </w:rPr>
            </w:pPr>
            <w:r>
              <w:rPr>
                <w:rFonts w:hint="eastAsia"/>
                <w:highlight w:val="none"/>
                <w:lang w:val="en-US" w:eastAsia="zh-CN"/>
              </w:rPr>
              <w:t>20</w:t>
            </w:r>
          </w:p>
        </w:tc>
      </w:tr>
      <w:tr w14:paraId="2F69C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39269">
            <w:pPr>
              <w:rPr>
                <w:rFonts w:hint="eastAsia"/>
                <w:highlight w:val="none"/>
              </w:rPr>
            </w:pPr>
            <w:r>
              <w:rPr>
                <w:rFonts w:hint="eastAsia"/>
                <w:highlight w:val="none"/>
                <w:lang w:val="en-US" w:eastAsia="zh-CN"/>
              </w:rPr>
              <w:t>29</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20DE">
            <w:pPr>
              <w:rPr>
                <w:rFonts w:hint="eastAsia"/>
                <w:highlight w:val="none"/>
              </w:rPr>
            </w:pP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683A3">
            <w:pPr>
              <w:rPr>
                <w:rFonts w:hint="eastAsia"/>
                <w:highlight w:val="none"/>
              </w:rPr>
            </w:pPr>
            <w:r>
              <w:rPr>
                <w:rFonts w:hint="eastAsia"/>
                <w:highlight w:val="none"/>
                <w:lang w:val="en-US" w:eastAsia="zh-CN"/>
              </w:rPr>
              <w:t>dn200 90°热熔对接弯头,PN1.6Mpa（SDR11）</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4186">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F7B4">
            <w:pPr>
              <w:rPr>
                <w:rFonts w:hint="eastAsia"/>
                <w:highlight w:val="none"/>
              </w:rPr>
            </w:pPr>
            <w:r>
              <w:rPr>
                <w:rFonts w:hint="eastAsia"/>
                <w:highlight w:val="none"/>
                <w:lang w:val="en-US" w:eastAsia="zh-CN"/>
              </w:rPr>
              <w:t>20</w:t>
            </w:r>
          </w:p>
        </w:tc>
      </w:tr>
      <w:tr w14:paraId="28EE2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AFDC">
            <w:pPr>
              <w:rPr>
                <w:rFonts w:hint="eastAsia"/>
                <w:highlight w:val="none"/>
              </w:rPr>
            </w:pPr>
            <w:r>
              <w:rPr>
                <w:rFonts w:hint="eastAsia"/>
                <w:highlight w:val="none"/>
                <w:lang w:val="en-US" w:eastAsia="zh-CN"/>
              </w:rPr>
              <w:t>30</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3A8A3">
            <w:pPr>
              <w:rPr>
                <w:rFonts w:hint="eastAsia"/>
                <w:highlight w:val="none"/>
              </w:rPr>
            </w:pPr>
            <w:r>
              <w:rPr>
                <w:rFonts w:hint="eastAsia"/>
                <w:highlight w:val="none"/>
                <w:lang w:val="en-US" w:eastAsia="zh-CN"/>
              </w:rPr>
              <w:t>出水口保护装置</w:t>
            </w:r>
          </w:p>
        </w:tc>
        <w:tc>
          <w:tcPr>
            <w:tcW w:w="4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2446">
            <w:pPr>
              <w:rPr>
                <w:rFonts w:hint="eastAsia"/>
                <w:highlight w:val="none"/>
              </w:rPr>
            </w:pPr>
            <w:r>
              <w:rPr>
                <w:rFonts w:hint="eastAsia"/>
                <w:highlight w:val="none"/>
                <w:lang w:val="en-US" w:eastAsia="zh-CN"/>
              </w:rPr>
              <w:t>玻璃钢出水口保护帽（厚度10mm，重量不低于11kg）；</w:t>
            </w:r>
            <w:r>
              <w:rPr>
                <w:rFonts w:hint="eastAsia"/>
                <w:highlight w:val="none"/>
                <w:lang w:val="en-US" w:eastAsia="zh-CN"/>
              </w:rPr>
              <w:br w:type="textWrapping"/>
            </w:r>
            <w:r>
              <w:rPr>
                <w:rFonts w:hint="eastAsia"/>
                <w:highlight w:val="none"/>
                <w:lang w:val="en-US" w:eastAsia="zh-CN"/>
              </w:rPr>
              <w:t>玻璃钢出水口保护帽基座（带不锈钢安装螺栓，厚度10mm，重量不低于21kg）</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7D40">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3434">
            <w:pPr>
              <w:rPr>
                <w:rFonts w:hint="eastAsia"/>
                <w:highlight w:val="none"/>
              </w:rPr>
            </w:pPr>
            <w:r>
              <w:rPr>
                <w:rFonts w:hint="eastAsia"/>
                <w:highlight w:val="none"/>
                <w:lang w:val="en-US" w:eastAsia="zh-CN"/>
              </w:rPr>
              <w:t>300</w:t>
            </w:r>
          </w:p>
        </w:tc>
      </w:tr>
      <w:tr w14:paraId="4A799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AEF7">
            <w:pPr>
              <w:rPr>
                <w:rFonts w:hint="eastAsia"/>
                <w:highlight w:val="none"/>
              </w:rPr>
            </w:pPr>
            <w:r>
              <w:rPr>
                <w:rFonts w:hint="eastAsia"/>
                <w:highlight w:val="none"/>
                <w:lang w:val="en-US" w:eastAsia="zh-CN"/>
              </w:rPr>
              <w:t>31</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8034A">
            <w:pPr>
              <w:rPr>
                <w:rFonts w:hint="eastAsia"/>
                <w:highlight w:val="none"/>
              </w:rPr>
            </w:pPr>
            <w:r>
              <w:rPr>
                <w:rFonts w:hint="eastAsia"/>
                <w:highlight w:val="none"/>
                <w:lang w:val="en-US" w:eastAsia="zh-CN"/>
              </w:rPr>
              <w:t>玻璃钢阀门井</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F3C28">
            <w:pPr>
              <w:rPr>
                <w:rFonts w:hint="eastAsia"/>
                <w:highlight w:val="none"/>
              </w:rPr>
            </w:pPr>
            <w:r>
              <w:rPr>
                <w:rFonts w:hint="eastAsia"/>
                <w:highlight w:val="none"/>
                <w:lang w:val="en-US" w:eastAsia="zh-CN"/>
              </w:rPr>
              <w:t>0.7m*1.1m*1.3m</w:t>
            </w:r>
          </w:p>
        </w:tc>
        <w:tc>
          <w:tcPr>
            <w:tcW w:w="112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289F37A">
            <w:pPr>
              <w:rPr>
                <w:rFonts w:hint="eastAsia"/>
                <w:highlight w:val="none"/>
              </w:rPr>
            </w:pPr>
            <w:r>
              <w:rPr>
                <w:rFonts w:hint="eastAsia"/>
                <w:highlight w:val="none"/>
                <w:lang w:val="en-US" w:eastAsia="zh-CN"/>
              </w:rPr>
              <w:t>个</w:t>
            </w:r>
          </w:p>
        </w:tc>
        <w:tc>
          <w:tcPr>
            <w:tcW w:w="106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A5351C">
            <w:pPr>
              <w:rPr>
                <w:rFonts w:hint="eastAsia"/>
                <w:highlight w:val="none"/>
              </w:rPr>
            </w:pPr>
            <w:r>
              <w:rPr>
                <w:rFonts w:hint="eastAsia"/>
                <w:highlight w:val="none"/>
                <w:lang w:val="en-US" w:eastAsia="zh-CN"/>
              </w:rPr>
              <w:t>100</w:t>
            </w:r>
          </w:p>
        </w:tc>
      </w:tr>
      <w:tr w14:paraId="4DF4F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CB6A3">
            <w:pPr>
              <w:rPr>
                <w:rFonts w:hint="eastAsia"/>
                <w:highlight w:val="none"/>
              </w:rPr>
            </w:pPr>
            <w:r>
              <w:rPr>
                <w:rFonts w:hint="eastAsia"/>
                <w:highlight w:val="none"/>
                <w:lang w:val="en-US" w:eastAsia="zh-CN"/>
              </w:rPr>
              <w:t>32</w:t>
            </w:r>
          </w:p>
        </w:tc>
        <w:tc>
          <w:tcPr>
            <w:tcW w:w="15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46690">
            <w:pPr>
              <w:rPr>
                <w:rFonts w:hint="eastAsia"/>
                <w:highlight w:val="none"/>
              </w:rPr>
            </w:pPr>
            <w:r>
              <w:rPr>
                <w:rFonts w:hint="eastAsia"/>
                <w:highlight w:val="none"/>
                <w:lang w:val="en-US" w:eastAsia="zh-CN"/>
              </w:rPr>
              <w:t>出水口</w:t>
            </w:r>
          </w:p>
        </w:tc>
        <w:tc>
          <w:tcPr>
            <w:tcW w:w="455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C618C65">
            <w:pPr>
              <w:rPr>
                <w:rFonts w:hint="eastAsia"/>
                <w:highlight w:val="none"/>
              </w:rPr>
            </w:pPr>
            <w:r>
              <w:rPr>
                <w:rFonts w:hint="eastAsia"/>
                <w:highlight w:val="none"/>
                <w:lang w:val="en-US" w:eastAsia="zh-CN"/>
              </w:rPr>
              <w:t>玻璃钢锥形密封给水栓</w:t>
            </w:r>
          </w:p>
        </w:tc>
        <w:tc>
          <w:tcPr>
            <w:tcW w:w="1125"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60E3A894">
            <w:pPr>
              <w:rPr>
                <w:rFonts w:hint="eastAsia"/>
                <w:highlight w:val="none"/>
              </w:rPr>
            </w:pPr>
            <w:r>
              <w:rPr>
                <w:rFonts w:hint="eastAsia"/>
                <w:highlight w:val="none"/>
                <w:lang w:val="en-US" w:eastAsia="zh-CN"/>
              </w:rPr>
              <w:t>个</w:t>
            </w:r>
          </w:p>
        </w:tc>
        <w:tc>
          <w:tcPr>
            <w:tcW w:w="1067"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7E6C1431">
            <w:pPr>
              <w:rPr>
                <w:rFonts w:hint="eastAsia"/>
                <w:highlight w:val="none"/>
              </w:rPr>
            </w:pPr>
            <w:r>
              <w:rPr>
                <w:rFonts w:hint="eastAsia"/>
                <w:highlight w:val="none"/>
                <w:lang w:val="en-US" w:eastAsia="zh-CN"/>
              </w:rPr>
              <w:t>200</w:t>
            </w:r>
          </w:p>
        </w:tc>
      </w:tr>
    </w:tbl>
    <w:p w14:paraId="4787593D">
      <w:pPr>
        <w:rPr>
          <w:highlight w:val="none"/>
        </w:rPr>
      </w:pPr>
    </w:p>
    <w:p w14:paraId="66D7DA13">
      <w:pPr>
        <w:rPr>
          <w:rFonts w:hint="eastAsia" w:ascii="Calibri" w:hAnsi="Calibri" w:eastAsia="宋体" w:cs="Times New Roman"/>
          <w:b/>
          <w:bCs/>
          <w:sz w:val="28"/>
          <w:szCs w:val="32"/>
          <w:highlight w:val="none"/>
        </w:rPr>
      </w:pPr>
      <w:r>
        <w:rPr>
          <w:rFonts w:hint="eastAsia" w:ascii="Calibri" w:hAnsi="Calibri" w:eastAsia="宋体" w:cs="Times New Roman"/>
          <w:b/>
          <w:bCs/>
          <w:sz w:val="28"/>
          <w:szCs w:val="32"/>
          <w:highlight w:val="none"/>
        </w:rPr>
        <w:br w:type="page"/>
      </w:r>
    </w:p>
    <w:p w14:paraId="4CDD7AD5">
      <w:pPr>
        <w:keepNext/>
        <w:keepLines/>
        <w:spacing w:line="360" w:lineRule="auto"/>
        <w:jc w:val="center"/>
        <w:outlineLvl w:val="2"/>
        <w:rPr>
          <w:rFonts w:ascii="Calibri" w:hAnsi="Calibri" w:eastAsia="宋体" w:cs="Times New Roman"/>
          <w:b/>
          <w:bCs/>
          <w:sz w:val="28"/>
          <w:szCs w:val="32"/>
          <w:highlight w:val="none"/>
        </w:rPr>
      </w:pPr>
      <w:r>
        <w:rPr>
          <w:rFonts w:hint="eastAsia" w:ascii="Calibri" w:hAnsi="Calibri" w:eastAsia="宋体" w:cs="Times New Roman"/>
          <w:b/>
          <w:bCs/>
          <w:sz w:val="28"/>
          <w:szCs w:val="32"/>
          <w:highlight w:val="none"/>
        </w:rPr>
        <w:t>第六章 响应性文件格式</w:t>
      </w:r>
    </w:p>
    <w:p w14:paraId="67BE15DE">
      <w:pPr>
        <w:widowControl/>
        <w:ind w:firstLine="360"/>
        <w:jc w:val="center"/>
        <w:rPr>
          <w:rFonts w:ascii="宋体" w:hAnsi="宋体" w:eastAsia="宋体" w:cs="宋体"/>
          <w:b/>
          <w:kern w:val="0"/>
          <w:sz w:val="24"/>
          <w:highlight w:val="none"/>
        </w:rPr>
      </w:pPr>
      <w:bookmarkStart w:id="215" w:name="_Toc27687"/>
      <w:bookmarkEnd w:id="215"/>
      <w:bookmarkStart w:id="216" w:name="_Toc394651921"/>
      <w:bookmarkEnd w:id="216"/>
      <w:bookmarkStart w:id="217" w:name="_Toc528078066"/>
      <w:bookmarkEnd w:id="217"/>
      <w:bookmarkStart w:id="218" w:name="_Toc19996"/>
    </w:p>
    <w:p w14:paraId="0259D359">
      <w:pPr>
        <w:widowControl/>
        <w:ind w:firstLine="360"/>
        <w:jc w:val="center"/>
        <w:rPr>
          <w:rFonts w:ascii="宋体" w:hAnsi="宋体" w:eastAsia="宋体" w:cs="宋体"/>
          <w:b/>
          <w:kern w:val="0"/>
          <w:sz w:val="24"/>
          <w:highlight w:val="none"/>
        </w:rPr>
      </w:pPr>
    </w:p>
    <w:p w14:paraId="4B0DADCF">
      <w:pPr>
        <w:widowControl/>
        <w:ind w:firstLine="360"/>
        <w:jc w:val="center"/>
        <w:rPr>
          <w:rFonts w:ascii="宋体" w:hAnsi="宋体" w:eastAsia="宋体" w:cs="宋体"/>
          <w:b/>
          <w:kern w:val="0"/>
          <w:sz w:val="24"/>
          <w:highlight w:val="none"/>
        </w:rPr>
      </w:pPr>
    </w:p>
    <w:p w14:paraId="66D1CC0B">
      <w:pPr>
        <w:widowControl/>
        <w:ind w:firstLine="360"/>
        <w:jc w:val="center"/>
        <w:rPr>
          <w:rFonts w:ascii="宋体" w:hAnsi="宋体" w:eastAsia="宋体" w:cs="宋体"/>
          <w:b/>
          <w:kern w:val="0"/>
          <w:sz w:val="24"/>
          <w:highlight w:val="none"/>
          <w:u w:val="single"/>
        </w:rPr>
      </w:pPr>
    </w:p>
    <w:p w14:paraId="198DBDC8">
      <w:pPr>
        <w:widowControl/>
        <w:ind w:firstLine="360"/>
        <w:jc w:val="center"/>
        <w:rPr>
          <w:rFonts w:ascii="宋体" w:hAnsi="宋体" w:eastAsia="宋体" w:cs="宋体"/>
          <w:b/>
          <w:kern w:val="0"/>
          <w:sz w:val="24"/>
          <w:highlight w:val="none"/>
        </w:rPr>
      </w:pPr>
      <w:r>
        <w:rPr>
          <w:rFonts w:hint="eastAsia" w:ascii="宋体" w:hAnsi="宋体" w:eastAsia="宋体" w:cs="宋体"/>
          <w:b/>
          <w:kern w:val="0"/>
          <w:sz w:val="24"/>
          <w:highlight w:val="none"/>
          <w:u w:val="single"/>
        </w:rPr>
        <w:t xml:space="preserve">                     </w:t>
      </w:r>
      <w:r>
        <w:rPr>
          <w:rFonts w:hint="eastAsia" w:ascii="宋体" w:hAnsi="宋体" w:eastAsia="宋体" w:cs="宋体"/>
          <w:b/>
          <w:kern w:val="0"/>
          <w:sz w:val="24"/>
          <w:highlight w:val="none"/>
        </w:rPr>
        <w:t>（项目名称）</w:t>
      </w:r>
    </w:p>
    <w:p w14:paraId="6DB657D4">
      <w:pPr>
        <w:widowControl/>
        <w:ind w:firstLine="360"/>
        <w:jc w:val="center"/>
        <w:rPr>
          <w:rFonts w:ascii="宋体" w:hAnsi="宋体" w:eastAsia="宋体" w:cs="宋体"/>
          <w:b/>
          <w:kern w:val="0"/>
          <w:sz w:val="24"/>
          <w:highlight w:val="none"/>
        </w:rPr>
      </w:pPr>
    </w:p>
    <w:p w14:paraId="0754465F">
      <w:pPr>
        <w:widowControl/>
        <w:ind w:firstLine="3132" w:firstLineChars="1300"/>
        <w:jc w:val="left"/>
        <w:rPr>
          <w:rFonts w:hint="eastAsia" w:ascii="宋体" w:hAnsi="宋体" w:eastAsia="宋体" w:cs="宋体"/>
          <w:b/>
          <w:kern w:val="0"/>
          <w:sz w:val="24"/>
          <w:highlight w:val="none"/>
          <w:lang w:eastAsia="zh-CN"/>
        </w:rPr>
      </w:pPr>
      <w:r>
        <w:rPr>
          <w:rFonts w:hint="eastAsia" w:ascii="宋体" w:hAnsi="宋体" w:eastAsia="宋体" w:cs="宋体"/>
          <w:b/>
          <w:kern w:val="0"/>
          <w:sz w:val="24"/>
          <w:highlight w:val="none"/>
          <w:lang w:eastAsia="zh-CN"/>
        </w:rPr>
        <w:t>项目编号：</w:t>
      </w:r>
    </w:p>
    <w:p w14:paraId="471C62C8">
      <w:pPr>
        <w:widowControl/>
        <w:ind w:firstLine="360"/>
        <w:jc w:val="center"/>
        <w:rPr>
          <w:rFonts w:ascii="宋体" w:hAnsi="宋体" w:eastAsia="宋体" w:cs="宋体"/>
          <w:b/>
          <w:kern w:val="0"/>
          <w:sz w:val="24"/>
          <w:highlight w:val="none"/>
        </w:rPr>
      </w:pPr>
    </w:p>
    <w:p w14:paraId="27067C4F">
      <w:pPr>
        <w:widowControl/>
        <w:ind w:firstLine="360"/>
        <w:jc w:val="center"/>
        <w:rPr>
          <w:rFonts w:ascii="宋体" w:hAnsi="宋体" w:eastAsia="宋体" w:cs="宋体"/>
          <w:b/>
          <w:kern w:val="0"/>
          <w:sz w:val="24"/>
          <w:highlight w:val="none"/>
        </w:rPr>
      </w:pPr>
    </w:p>
    <w:p w14:paraId="3EDB9A85">
      <w:pPr>
        <w:widowControl/>
        <w:ind w:firstLine="360"/>
        <w:jc w:val="center"/>
        <w:rPr>
          <w:rFonts w:ascii="宋体" w:hAnsi="宋体" w:eastAsia="宋体" w:cs="宋体"/>
          <w:b/>
          <w:kern w:val="0"/>
          <w:sz w:val="24"/>
          <w:highlight w:val="none"/>
        </w:rPr>
      </w:pPr>
    </w:p>
    <w:p w14:paraId="09C3C686">
      <w:pPr>
        <w:widowControl/>
        <w:ind w:firstLine="360"/>
        <w:jc w:val="center"/>
        <w:rPr>
          <w:rFonts w:ascii="宋体" w:hAnsi="宋体" w:eastAsia="宋体" w:cs="宋体"/>
          <w:b/>
          <w:kern w:val="0"/>
          <w:sz w:val="24"/>
          <w:highlight w:val="none"/>
        </w:rPr>
      </w:pPr>
    </w:p>
    <w:p w14:paraId="36A3ACDD">
      <w:pPr>
        <w:widowControl/>
        <w:ind w:firstLine="360"/>
        <w:jc w:val="both"/>
        <w:rPr>
          <w:rFonts w:ascii="宋体" w:hAnsi="宋体" w:eastAsia="宋体" w:cs="宋体"/>
          <w:b/>
          <w:kern w:val="0"/>
          <w:sz w:val="24"/>
          <w:highlight w:val="none"/>
        </w:rPr>
      </w:pPr>
    </w:p>
    <w:p w14:paraId="402B7E3D">
      <w:pPr>
        <w:widowControl/>
        <w:ind w:firstLine="360"/>
        <w:jc w:val="center"/>
        <w:rPr>
          <w:rFonts w:ascii="宋体" w:hAnsi="宋体" w:eastAsia="宋体" w:cs="宋体"/>
          <w:b/>
          <w:kern w:val="0"/>
          <w:sz w:val="28"/>
          <w:szCs w:val="24"/>
          <w:highlight w:val="none"/>
        </w:rPr>
      </w:pPr>
    </w:p>
    <w:p w14:paraId="5F96CFD6">
      <w:pPr>
        <w:widowControl/>
        <w:ind w:firstLine="360"/>
        <w:jc w:val="center"/>
        <w:rPr>
          <w:rFonts w:ascii="宋体" w:hAnsi="宋体" w:eastAsia="宋体" w:cs="宋体"/>
          <w:b/>
          <w:kern w:val="0"/>
          <w:sz w:val="32"/>
          <w:szCs w:val="28"/>
          <w:highlight w:val="none"/>
        </w:rPr>
      </w:pPr>
      <w:r>
        <w:rPr>
          <w:rFonts w:hint="eastAsia" w:ascii="宋体" w:hAnsi="宋体" w:eastAsia="宋体" w:cs="宋体"/>
          <w:b/>
          <w:kern w:val="0"/>
          <w:sz w:val="32"/>
          <w:szCs w:val="28"/>
          <w:highlight w:val="none"/>
        </w:rPr>
        <w:t>响</w:t>
      </w:r>
    </w:p>
    <w:p w14:paraId="37B0313D">
      <w:pPr>
        <w:widowControl/>
        <w:ind w:firstLine="360"/>
        <w:jc w:val="center"/>
        <w:rPr>
          <w:rFonts w:ascii="宋体" w:hAnsi="宋体" w:eastAsia="宋体" w:cs="宋体"/>
          <w:b/>
          <w:kern w:val="0"/>
          <w:sz w:val="32"/>
          <w:szCs w:val="28"/>
          <w:highlight w:val="none"/>
        </w:rPr>
      </w:pPr>
    </w:p>
    <w:p w14:paraId="7D5DCB98">
      <w:pPr>
        <w:widowControl/>
        <w:ind w:firstLine="360"/>
        <w:jc w:val="center"/>
        <w:rPr>
          <w:rFonts w:ascii="宋体" w:hAnsi="宋体" w:eastAsia="宋体" w:cs="宋体"/>
          <w:b/>
          <w:kern w:val="0"/>
          <w:sz w:val="32"/>
          <w:szCs w:val="28"/>
          <w:highlight w:val="none"/>
        </w:rPr>
      </w:pPr>
      <w:r>
        <w:rPr>
          <w:rFonts w:hint="eastAsia" w:ascii="宋体" w:hAnsi="宋体" w:eastAsia="宋体" w:cs="宋体"/>
          <w:b/>
          <w:kern w:val="0"/>
          <w:sz w:val="32"/>
          <w:szCs w:val="28"/>
          <w:highlight w:val="none"/>
        </w:rPr>
        <w:t>应</w:t>
      </w:r>
    </w:p>
    <w:p w14:paraId="12588FA4">
      <w:pPr>
        <w:widowControl/>
        <w:ind w:firstLine="360"/>
        <w:jc w:val="center"/>
        <w:rPr>
          <w:rFonts w:ascii="宋体" w:hAnsi="宋体" w:eastAsia="宋体" w:cs="宋体"/>
          <w:b/>
          <w:kern w:val="0"/>
          <w:sz w:val="32"/>
          <w:szCs w:val="28"/>
          <w:highlight w:val="none"/>
        </w:rPr>
      </w:pPr>
    </w:p>
    <w:p w14:paraId="6A8B3F26">
      <w:pPr>
        <w:widowControl/>
        <w:ind w:firstLine="360"/>
        <w:jc w:val="center"/>
        <w:rPr>
          <w:rFonts w:ascii="宋体" w:hAnsi="宋体" w:eastAsia="宋体" w:cs="宋体"/>
          <w:b/>
          <w:kern w:val="0"/>
          <w:sz w:val="32"/>
          <w:szCs w:val="28"/>
          <w:highlight w:val="none"/>
        </w:rPr>
      </w:pPr>
      <w:r>
        <w:rPr>
          <w:rFonts w:hint="eastAsia" w:ascii="宋体" w:hAnsi="宋体" w:eastAsia="宋体" w:cs="宋体"/>
          <w:b/>
          <w:kern w:val="0"/>
          <w:sz w:val="32"/>
          <w:szCs w:val="28"/>
          <w:highlight w:val="none"/>
        </w:rPr>
        <w:t xml:space="preserve">性 </w:t>
      </w:r>
    </w:p>
    <w:p w14:paraId="7B0273F6">
      <w:pPr>
        <w:widowControl/>
        <w:ind w:firstLine="360"/>
        <w:jc w:val="center"/>
        <w:rPr>
          <w:rFonts w:ascii="宋体" w:hAnsi="宋体" w:eastAsia="宋体" w:cs="宋体"/>
          <w:b/>
          <w:kern w:val="0"/>
          <w:sz w:val="32"/>
          <w:szCs w:val="28"/>
          <w:highlight w:val="none"/>
        </w:rPr>
      </w:pPr>
      <w:r>
        <w:rPr>
          <w:rFonts w:ascii="宋体" w:hAnsi="宋体" w:eastAsia="宋体" w:cs="宋体"/>
          <w:b/>
          <w:kern w:val="0"/>
          <w:sz w:val="32"/>
          <w:szCs w:val="28"/>
          <w:highlight w:val="none"/>
        </w:rPr>
        <w:t xml:space="preserve"> </w:t>
      </w:r>
    </w:p>
    <w:p w14:paraId="2827986F">
      <w:pPr>
        <w:widowControl/>
        <w:ind w:firstLine="360"/>
        <w:jc w:val="center"/>
        <w:rPr>
          <w:rFonts w:ascii="宋体" w:hAnsi="宋体" w:eastAsia="宋体" w:cs="宋体"/>
          <w:b/>
          <w:kern w:val="0"/>
          <w:sz w:val="32"/>
          <w:szCs w:val="28"/>
          <w:highlight w:val="none"/>
        </w:rPr>
      </w:pPr>
      <w:r>
        <w:rPr>
          <w:rFonts w:hint="eastAsia" w:ascii="宋体" w:hAnsi="宋体" w:eastAsia="宋体" w:cs="宋体"/>
          <w:b/>
          <w:kern w:val="0"/>
          <w:sz w:val="32"/>
          <w:szCs w:val="28"/>
          <w:highlight w:val="none"/>
        </w:rPr>
        <w:t xml:space="preserve">文 </w:t>
      </w:r>
    </w:p>
    <w:p w14:paraId="120F9BBD">
      <w:pPr>
        <w:widowControl/>
        <w:ind w:firstLine="360"/>
        <w:jc w:val="center"/>
        <w:rPr>
          <w:rFonts w:ascii="宋体" w:hAnsi="宋体" w:eastAsia="宋体" w:cs="宋体"/>
          <w:b/>
          <w:kern w:val="0"/>
          <w:sz w:val="32"/>
          <w:szCs w:val="28"/>
          <w:highlight w:val="none"/>
        </w:rPr>
      </w:pPr>
      <w:r>
        <w:rPr>
          <w:rFonts w:ascii="宋体" w:hAnsi="宋体" w:eastAsia="宋体" w:cs="宋体"/>
          <w:b/>
          <w:kern w:val="0"/>
          <w:sz w:val="32"/>
          <w:szCs w:val="28"/>
          <w:highlight w:val="none"/>
        </w:rPr>
        <w:t xml:space="preserve"> </w:t>
      </w:r>
    </w:p>
    <w:p w14:paraId="7BD66B16">
      <w:pPr>
        <w:widowControl/>
        <w:ind w:firstLine="360"/>
        <w:jc w:val="center"/>
        <w:rPr>
          <w:rFonts w:ascii="宋体" w:hAnsi="宋体" w:eastAsia="宋体" w:cs="宋体"/>
          <w:b/>
          <w:kern w:val="0"/>
          <w:sz w:val="32"/>
          <w:szCs w:val="28"/>
          <w:highlight w:val="none"/>
        </w:rPr>
      </w:pPr>
      <w:r>
        <w:rPr>
          <w:rFonts w:hint="eastAsia" w:ascii="宋体" w:hAnsi="宋体" w:eastAsia="宋体" w:cs="宋体"/>
          <w:b/>
          <w:kern w:val="0"/>
          <w:sz w:val="32"/>
          <w:szCs w:val="28"/>
          <w:highlight w:val="none"/>
        </w:rPr>
        <w:t>件</w:t>
      </w:r>
    </w:p>
    <w:p w14:paraId="6BD72B7E">
      <w:pPr>
        <w:widowControl/>
        <w:ind w:firstLine="360"/>
        <w:jc w:val="center"/>
        <w:rPr>
          <w:rFonts w:ascii="宋体" w:hAnsi="宋体" w:eastAsia="宋体" w:cs="宋体"/>
          <w:b/>
          <w:kern w:val="0"/>
          <w:sz w:val="24"/>
          <w:highlight w:val="none"/>
        </w:rPr>
      </w:pPr>
    </w:p>
    <w:p w14:paraId="38AC6E65">
      <w:pPr>
        <w:widowControl/>
        <w:spacing w:line="360" w:lineRule="auto"/>
        <w:jc w:val="left"/>
        <w:rPr>
          <w:rFonts w:ascii="Calibri" w:hAnsi="Calibri" w:eastAsia="宋体" w:cs="Times New Roman"/>
          <w:kern w:val="0"/>
          <w:sz w:val="24"/>
          <w:highlight w:val="none"/>
        </w:rPr>
      </w:pPr>
    </w:p>
    <w:p w14:paraId="4A13E8A4">
      <w:pPr>
        <w:widowControl/>
        <w:spacing w:line="360" w:lineRule="auto"/>
        <w:ind w:firstLine="840" w:firstLineChars="350"/>
        <w:jc w:val="left"/>
        <w:rPr>
          <w:rFonts w:ascii="Calibri" w:hAnsi="Calibri" w:eastAsia="宋体" w:cs="Times New Roman"/>
          <w:kern w:val="0"/>
          <w:sz w:val="24"/>
          <w:highlight w:val="none"/>
        </w:rPr>
      </w:pPr>
    </w:p>
    <w:p w14:paraId="78D0AE25">
      <w:pPr>
        <w:widowControl/>
        <w:spacing w:line="360" w:lineRule="auto"/>
        <w:ind w:firstLine="840" w:firstLineChars="350"/>
        <w:jc w:val="left"/>
        <w:rPr>
          <w:rFonts w:ascii="Calibri" w:hAnsi="Calibri" w:eastAsia="宋体" w:cs="Times New Roman"/>
          <w:kern w:val="0"/>
          <w:sz w:val="24"/>
          <w:highlight w:val="none"/>
        </w:rPr>
      </w:pPr>
    </w:p>
    <w:p w14:paraId="78B5C816">
      <w:pPr>
        <w:widowControl/>
        <w:spacing w:line="360" w:lineRule="auto"/>
        <w:ind w:firstLine="1446" w:firstLineChars="60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供  应  商：</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（电子签章）</w:t>
      </w:r>
    </w:p>
    <w:p w14:paraId="70C9DD90">
      <w:pPr>
        <w:widowControl/>
        <w:spacing w:line="360" w:lineRule="auto"/>
        <w:ind w:firstLine="1446" w:firstLineChars="60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法定代表人：</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（电子签章或签字）</w:t>
      </w:r>
    </w:p>
    <w:p w14:paraId="0B45DAF9">
      <w:pPr>
        <w:widowControl/>
        <w:spacing w:line="360" w:lineRule="auto"/>
        <w:ind w:firstLine="843" w:firstLineChars="350"/>
        <w:jc w:val="left"/>
        <w:rPr>
          <w:rFonts w:ascii="Calibri" w:hAnsi="Calibri" w:eastAsia="宋体" w:cs="Times New Roman"/>
          <w:b/>
          <w:kern w:val="0"/>
          <w:sz w:val="24"/>
          <w:highlight w:val="none"/>
        </w:rPr>
      </w:pPr>
      <w:r>
        <w:rPr>
          <w:rFonts w:hint="eastAsia" w:ascii="Calibri" w:hAnsi="Calibri" w:eastAsia="宋体" w:cs="Times New Roman"/>
          <w:b/>
          <w:kern w:val="0"/>
          <w:sz w:val="24"/>
          <w:highlight w:val="none"/>
        </w:rPr>
        <w:t xml:space="preserve">     日      期：</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 xml:space="preserve"> 年</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 xml:space="preserve">月 </w:t>
      </w:r>
      <w:r>
        <w:rPr>
          <w:rFonts w:hint="eastAsia" w:ascii="Calibri" w:hAnsi="Calibri" w:eastAsia="宋体" w:cs="Times New Roman"/>
          <w:b/>
          <w:kern w:val="0"/>
          <w:sz w:val="24"/>
          <w:highlight w:val="none"/>
          <w:u w:val="single"/>
        </w:rPr>
        <w:t xml:space="preserve">       </w:t>
      </w:r>
      <w:r>
        <w:rPr>
          <w:rFonts w:hint="eastAsia" w:ascii="Calibri" w:hAnsi="Calibri" w:eastAsia="宋体" w:cs="Times New Roman"/>
          <w:b/>
          <w:kern w:val="0"/>
          <w:sz w:val="24"/>
          <w:highlight w:val="none"/>
        </w:rPr>
        <w:t>日</w:t>
      </w:r>
    </w:p>
    <w:p w14:paraId="11EE271A">
      <w:pPr>
        <w:spacing w:line="560" w:lineRule="exact"/>
        <w:jc w:val="center"/>
        <w:rPr>
          <w:rFonts w:ascii="宋体" w:hAnsi="宋体" w:eastAsia="宋体" w:cs="宋体"/>
          <w:b/>
          <w:sz w:val="28"/>
          <w:szCs w:val="28"/>
          <w:highlight w:val="none"/>
        </w:rPr>
      </w:pPr>
      <w:r>
        <w:rPr>
          <w:rFonts w:hint="eastAsia" w:ascii="宋体" w:hAnsi="宋体" w:eastAsia="宋体" w:cs="宋体"/>
          <w:b/>
          <w:sz w:val="28"/>
          <w:szCs w:val="28"/>
          <w:highlight w:val="none"/>
        </w:rPr>
        <w:t>目  录</w:t>
      </w:r>
    </w:p>
    <w:p w14:paraId="785EBD19">
      <w:pPr>
        <w:spacing w:line="560" w:lineRule="exact"/>
        <w:jc w:val="center"/>
        <w:rPr>
          <w:rFonts w:ascii="宋体" w:hAnsi="宋体" w:eastAsia="宋体" w:cs="宋体"/>
          <w:sz w:val="28"/>
          <w:szCs w:val="28"/>
          <w:highlight w:val="none"/>
        </w:rPr>
      </w:pPr>
      <w:r>
        <w:rPr>
          <w:rFonts w:hint="eastAsia" w:ascii="宋体" w:hAnsi="宋体" w:eastAsia="宋体" w:cs="宋体"/>
          <w:sz w:val="28"/>
          <w:szCs w:val="28"/>
          <w:highlight w:val="none"/>
        </w:rPr>
        <w:t>（自拟）</w:t>
      </w:r>
    </w:p>
    <w:p w14:paraId="6589722C">
      <w:pPr>
        <w:spacing w:line="560" w:lineRule="exact"/>
        <w:rPr>
          <w:rFonts w:ascii="宋体" w:hAnsi="宋体" w:eastAsia="宋体" w:cs="宋体"/>
          <w:b/>
          <w:sz w:val="28"/>
          <w:szCs w:val="28"/>
          <w:highlight w:val="none"/>
        </w:rPr>
      </w:pPr>
    </w:p>
    <w:p w14:paraId="64EDF931">
      <w:pPr>
        <w:widowControl/>
        <w:spacing w:line="560" w:lineRule="exact"/>
        <w:jc w:val="left"/>
        <w:rPr>
          <w:rFonts w:ascii="宋体" w:hAnsi="宋体" w:eastAsia="宋体" w:cs="宋体"/>
          <w:b/>
          <w:sz w:val="28"/>
          <w:szCs w:val="28"/>
          <w:highlight w:val="none"/>
        </w:rPr>
      </w:pPr>
      <w:r>
        <w:rPr>
          <w:rFonts w:hint="eastAsia" w:ascii="宋体" w:hAnsi="宋体" w:eastAsia="宋体" w:cs="宋体"/>
          <w:bCs/>
          <w:sz w:val="28"/>
          <w:szCs w:val="28"/>
          <w:highlight w:val="none"/>
        </w:rPr>
        <w:br w:type="page"/>
      </w:r>
    </w:p>
    <w:bookmarkEnd w:id="218"/>
    <w:p w14:paraId="187DCCA2">
      <w:pPr>
        <w:keepNext/>
        <w:keepLines/>
        <w:spacing w:line="360" w:lineRule="auto"/>
        <w:jc w:val="center"/>
        <w:outlineLvl w:val="2"/>
        <w:rPr>
          <w:rFonts w:ascii="Calibri" w:hAnsi="Calibri" w:eastAsia="宋体" w:cs="Times New Roman"/>
          <w:b/>
          <w:bCs/>
          <w:sz w:val="28"/>
          <w:szCs w:val="32"/>
          <w:highlight w:val="none"/>
        </w:rPr>
      </w:pPr>
      <w:bookmarkStart w:id="219" w:name="_Toc9537"/>
      <w:r>
        <w:rPr>
          <w:rFonts w:hint="eastAsia" w:ascii="Calibri" w:hAnsi="Calibri" w:eastAsia="宋体" w:cs="Times New Roman"/>
          <w:b/>
          <w:bCs/>
          <w:sz w:val="28"/>
          <w:szCs w:val="32"/>
          <w:highlight w:val="none"/>
        </w:rPr>
        <w:t>一、投标函</w:t>
      </w:r>
      <w:bookmarkStart w:id="220" w:name="_Toc152045789"/>
      <w:bookmarkEnd w:id="220"/>
      <w:bookmarkStart w:id="221" w:name="_Toc19389"/>
      <w:bookmarkEnd w:id="221"/>
      <w:bookmarkStart w:id="222" w:name="_Toc246997100"/>
      <w:bookmarkEnd w:id="222"/>
      <w:bookmarkStart w:id="223" w:name="_Toc179632809"/>
      <w:bookmarkEnd w:id="223"/>
      <w:bookmarkStart w:id="224" w:name="_Toc247085875"/>
      <w:bookmarkEnd w:id="224"/>
      <w:bookmarkStart w:id="225" w:name="_Toc152042578"/>
      <w:bookmarkEnd w:id="225"/>
      <w:bookmarkStart w:id="226" w:name="_Toc144974858"/>
      <w:bookmarkEnd w:id="226"/>
      <w:bookmarkStart w:id="227" w:name="_Toc394651922"/>
      <w:bookmarkEnd w:id="227"/>
      <w:bookmarkStart w:id="228" w:name="_Toc246996357"/>
      <w:bookmarkEnd w:id="228"/>
      <w:r>
        <w:rPr>
          <w:rFonts w:hint="eastAsia" w:ascii="Calibri" w:hAnsi="Calibri" w:eastAsia="宋体" w:cs="Times New Roman"/>
          <w:b/>
          <w:bCs/>
          <w:sz w:val="28"/>
          <w:szCs w:val="32"/>
          <w:highlight w:val="none"/>
        </w:rPr>
        <w:t>及投标函附录</w:t>
      </w:r>
      <w:bookmarkEnd w:id="219"/>
    </w:p>
    <w:p w14:paraId="2D2011AF">
      <w:pPr>
        <w:spacing w:line="560" w:lineRule="exact"/>
        <w:ind w:left="420"/>
        <w:jc w:val="center"/>
        <w:rPr>
          <w:rFonts w:ascii="宋体" w:hAnsi="宋体" w:eastAsia="宋体" w:cs="宋体"/>
          <w:b/>
          <w:sz w:val="28"/>
          <w:szCs w:val="28"/>
          <w:highlight w:val="none"/>
        </w:rPr>
      </w:pPr>
      <w:r>
        <w:rPr>
          <w:rFonts w:hint="eastAsia" w:ascii="宋体" w:hAnsi="宋体" w:eastAsia="宋体" w:cs="宋体"/>
          <w:b/>
          <w:sz w:val="28"/>
          <w:szCs w:val="28"/>
          <w:highlight w:val="none"/>
        </w:rPr>
        <w:t>（1）投标函</w:t>
      </w:r>
    </w:p>
    <w:p w14:paraId="42532E35">
      <w:pPr>
        <w:rPr>
          <w:rFonts w:ascii="Calibri" w:hAnsi="Calibri" w:eastAsia="宋体" w:cs="Times New Roman"/>
          <w:highlight w:val="none"/>
        </w:rPr>
      </w:pPr>
    </w:p>
    <w:p w14:paraId="0C20739C">
      <w:pPr>
        <w:spacing w:line="480" w:lineRule="exact"/>
        <w:rPr>
          <w:rFonts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（采购人名称） ： </w:t>
      </w:r>
    </w:p>
    <w:p w14:paraId="53FFDEAB">
      <w:pPr>
        <w:spacing w:line="48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1．我方已仔细研究了</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（项目名称 ）</w:t>
      </w:r>
      <w:r>
        <w:rPr>
          <w:rFonts w:hint="eastAsia" w:ascii="宋体" w:hAnsi="宋体" w:eastAsia="宋体" w:cs="宋体"/>
          <w:spacing w:val="-2"/>
          <w:sz w:val="24"/>
          <w:szCs w:val="24"/>
          <w:highlight w:val="none"/>
        </w:rPr>
        <w:t>竞争性磋商文件</w:t>
      </w:r>
      <w:r>
        <w:rPr>
          <w:rFonts w:hint="eastAsia" w:ascii="宋体" w:hAnsi="宋体" w:eastAsia="宋体" w:cs="宋体"/>
          <w:sz w:val="24"/>
          <w:szCs w:val="24"/>
          <w:highlight w:val="none"/>
        </w:rPr>
        <w:t>的全部内容</w:t>
      </w:r>
      <w:r>
        <w:rPr>
          <w:rFonts w:hint="eastAsia" w:ascii="宋体" w:hAnsi="宋体" w:eastAsia="宋体" w:cs="宋体"/>
          <w:spacing w:val="-2"/>
          <w:sz w:val="24"/>
          <w:szCs w:val="24"/>
          <w:highlight w:val="none"/>
        </w:rPr>
        <w:t>，按照竞争性磋商文件要求交付本次采购项目设备的投标报价为：(大写)：</w:t>
      </w:r>
      <w:r>
        <w:rPr>
          <w:rFonts w:hint="eastAsia" w:ascii="宋体" w:hAnsi="宋体" w:eastAsia="宋体" w:cs="宋体"/>
          <w:spacing w:val="-2"/>
          <w:sz w:val="24"/>
          <w:szCs w:val="24"/>
          <w:highlight w:val="none"/>
          <w:u w:val="single"/>
        </w:rPr>
        <w:t xml:space="preserve">      </w:t>
      </w:r>
      <w:r>
        <w:rPr>
          <w:rFonts w:hint="eastAsia" w:ascii="宋体" w:hAnsi="宋体" w:eastAsia="宋体" w:cs="宋体"/>
          <w:spacing w:val="-2"/>
          <w:sz w:val="24"/>
          <w:szCs w:val="24"/>
          <w:highlight w:val="none"/>
        </w:rPr>
        <w:t>元 ；小写：</w:t>
      </w:r>
      <w:r>
        <w:rPr>
          <w:rFonts w:hint="eastAsia" w:ascii="宋体" w:hAnsi="宋体" w:eastAsia="宋体" w:cs="宋体"/>
          <w:spacing w:val="-2"/>
          <w:sz w:val="24"/>
          <w:szCs w:val="24"/>
          <w:highlight w:val="none"/>
          <w:u w:val="single"/>
        </w:rPr>
        <w:t xml:space="preserve">      </w:t>
      </w:r>
      <w:r>
        <w:rPr>
          <w:rFonts w:hint="eastAsia" w:ascii="宋体" w:hAnsi="宋体" w:eastAsia="宋体" w:cs="宋体"/>
          <w:spacing w:val="-2"/>
          <w:sz w:val="24"/>
          <w:szCs w:val="24"/>
          <w:highlight w:val="none"/>
        </w:rPr>
        <w:t>元，</w:t>
      </w:r>
      <w:r>
        <w:rPr>
          <w:rFonts w:hint="eastAsia" w:ascii="宋体" w:hAnsi="宋体" w:eastAsia="宋体" w:cs="宋体"/>
          <w:sz w:val="24"/>
          <w:szCs w:val="24"/>
          <w:highlight w:val="none"/>
          <w:lang w:eastAsia="zh-CN"/>
        </w:rPr>
        <w:t>交货期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，质保期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1A0E2C67">
      <w:pPr>
        <w:spacing w:line="480" w:lineRule="exact"/>
        <w:ind w:firstLine="480" w:firstLineChars="200"/>
        <w:rPr>
          <w:rFonts w:ascii="Calibri" w:hAnsi="Calibri" w:eastAsia="宋体" w:cs="宋体"/>
          <w:sz w:val="24"/>
          <w:szCs w:val="24"/>
          <w:highlight w:val="none"/>
        </w:rPr>
      </w:pPr>
      <w:r>
        <w:rPr>
          <w:rFonts w:hint="eastAsia" w:ascii="Calibri" w:hAnsi="Calibri" w:eastAsia="宋体" w:cs="宋体"/>
          <w:sz w:val="24"/>
          <w:szCs w:val="24"/>
          <w:highlight w:val="none"/>
        </w:rPr>
        <w:t>2．我方承诺在竞争性磋商文件规定的投标有效期内不修改、撤销响应文件。</w:t>
      </w:r>
    </w:p>
    <w:p w14:paraId="2CCA1C93">
      <w:pPr>
        <w:spacing w:line="480" w:lineRule="exact"/>
        <w:ind w:firstLine="480" w:firstLineChars="200"/>
        <w:outlineLvl w:val="2"/>
        <w:rPr>
          <w:rFonts w:ascii="Calibri" w:hAnsi="Calibri" w:eastAsia="宋体" w:cs="宋体"/>
          <w:sz w:val="24"/>
          <w:szCs w:val="24"/>
          <w:highlight w:val="none"/>
        </w:rPr>
      </w:pPr>
      <w:bookmarkStart w:id="229" w:name="_Toc24078"/>
      <w:r>
        <w:rPr>
          <w:rFonts w:hint="eastAsia" w:ascii="Calibri" w:hAnsi="Calibri" w:eastAsia="宋体" w:cs="宋体"/>
          <w:sz w:val="24"/>
          <w:szCs w:val="24"/>
          <w:highlight w:val="none"/>
        </w:rPr>
        <w:t>3．如我方中标：</w:t>
      </w:r>
      <w:bookmarkEnd w:id="229"/>
    </w:p>
    <w:p w14:paraId="60B6ECDF">
      <w:pPr>
        <w:spacing w:line="480" w:lineRule="exact"/>
        <w:ind w:firstLine="818" w:firstLineChars="341"/>
        <w:rPr>
          <w:rFonts w:ascii="Calibri" w:hAnsi="Calibri" w:eastAsia="宋体" w:cs="宋体"/>
          <w:sz w:val="24"/>
          <w:szCs w:val="24"/>
          <w:highlight w:val="none"/>
        </w:rPr>
      </w:pPr>
      <w:r>
        <w:rPr>
          <w:rFonts w:hint="eastAsia" w:ascii="Calibri" w:hAnsi="Calibri" w:eastAsia="宋体" w:cs="宋体"/>
          <w:sz w:val="24"/>
          <w:szCs w:val="24"/>
          <w:highlight w:val="none"/>
        </w:rPr>
        <w:t>（1）我方承诺在收到中标通知书后，在中标通知书规定的期限内与你方签订合同。</w:t>
      </w:r>
    </w:p>
    <w:p w14:paraId="64AA0D10">
      <w:pPr>
        <w:spacing w:line="480" w:lineRule="exact"/>
        <w:ind w:firstLine="818" w:firstLineChars="341"/>
        <w:rPr>
          <w:rFonts w:ascii="Calibri" w:hAnsi="Calibri" w:eastAsia="宋体" w:cs="宋体"/>
          <w:sz w:val="24"/>
          <w:szCs w:val="24"/>
          <w:highlight w:val="none"/>
        </w:rPr>
      </w:pPr>
      <w:r>
        <w:rPr>
          <w:rFonts w:hint="eastAsia" w:ascii="Calibri" w:hAnsi="Calibri" w:eastAsia="宋体" w:cs="宋体"/>
          <w:sz w:val="24"/>
          <w:szCs w:val="24"/>
          <w:highlight w:val="none"/>
        </w:rPr>
        <w:t>（2）随同本投标函递交的投标函附录属于合同文件的组成部分。</w:t>
      </w:r>
    </w:p>
    <w:p w14:paraId="6AC407C9">
      <w:pPr>
        <w:spacing w:line="480" w:lineRule="exact"/>
        <w:ind w:firstLine="818" w:firstLineChars="341"/>
        <w:rPr>
          <w:rFonts w:ascii="Calibri" w:hAnsi="Calibri" w:eastAsia="宋体" w:cs="宋体"/>
          <w:sz w:val="24"/>
          <w:szCs w:val="24"/>
          <w:highlight w:val="none"/>
        </w:rPr>
      </w:pPr>
      <w:r>
        <w:rPr>
          <w:rFonts w:hint="eastAsia" w:ascii="Calibri" w:hAnsi="Calibri" w:eastAsia="宋体" w:cs="宋体"/>
          <w:sz w:val="24"/>
          <w:szCs w:val="24"/>
          <w:highlight w:val="none"/>
        </w:rPr>
        <w:t>（3）我方承诺按照竞争性磋商文件规定向你方递交履约担保。</w:t>
      </w:r>
    </w:p>
    <w:p w14:paraId="7D6B9636">
      <w:pPr>
        <w:spacing w:line="480" w:lineRule="exact"/>
        <w:ind w:firstLine="818" w:firstLineChars="341"/>
        <w:rPr>
          <w:rFonts w:ascii="Calibri" w:hAnsi="Calibri" w:eastAsia="宋体" w:cs="宋体"/>
          <w:sz w:val="24"/>
          <w:szCs w:val="24"/>
          <w:highlight w:val="none"/>
        </w:rPr>
      </w:pPr>
      <w:r>
        <w:rPr>
          <w:rFonts w:hint="eastAsia" w:ascii="Calibri" w:hAnsi="Calibri" w:eastAsia="宋体" w:cs="宋体"/>
          <w:sz w:val="24"/>
          <w:szCs w:val="24"/>
          <w:highlight w:val="none"/>
        </w:rPr>
        <w:t>（4）我方承诺在合同约定的期限内完成并移交全部合同工程。</w:t>
      </w:r>
    </w:p>
    <w:p w14:paraId="236EA0E9">
      <w:pPr>
        <w:spacing w:line="480" w:lineRule="exact"/>
        <w:rPr>
          <w:rFonts w:ascii="Calibri" w:hAnsi="Calibri" w:eastAsia="宋体" w:cs="宋体"/>
          <w:sz w:val="24"/>
          <w:szCs w:val="24"/>
          <w:highlight w:val="none"/>
        </w:rPr>
      </w:pPr>
      <w:r>
        <w:rPr>
          <w:rFonts w:hint="eastAsia" w:ascii="Calibri" w:hAnsi="Calibri" w:eastAsia="宋体" w:cs="宋体"/>
          <w:sz w:val="24"/>
          <w:szCs w:val="24"/>
          <w:highlight w:val="none"/>
        </w:rPr>
        <w:t xml:space="preserve">    4．我方在此声明，所递交的响应文件及有关资料内容完整、真实和准确。</w:t>
      </w:r>
    </w:p>
    <w:p w14:paraId="661FD7E5">
      <w:pPr>
        <w:spacing w:line="480" w:lineRule="exact"/>
        <w:ind w:firstLine="480" w:firstLineChars="200"/>
        <w:rPr>
          <w:rFonts w:ascii="Calibri" w:hAnsi="Calibri" w:eastAsia="宋体" w:cs="宋体"/>
          <w:sz w:val="24"/>
          <w:szCs w:val="24"/>
          <w:highlight w:val="none"/>
        </w:rPr>
      </w:pPr>
      <w:r>
        <w:rPr>
          <w:rFonts w:hint="eastAsia" w:ascii="Calibri" w:hAnsi="Calibri" w:eastAsia="宋体" w:cs="宋体"/>
          <w:sz w:val="24"/>
          <w:szCs w:val="24"/>
          <w:highlight w:val="none"/>
        </w:rPr>
        <w:t>5．（其他补充说明）。</w:t>
      </w:r>
    </w:p>
    <w:p w14:paraId="6EAA5071">
      <w:pPr>
        <w:spacing w:line="480" w:lineRule="exact"/>
        <w:ind w:firstLine="4200" w:firstLineChars="1750"/>
        <w:rPr>
          <w:rFonts w:ascii="宋体" w:hAnsi="宋体" w:eastAsia="宋体" w:cs="宋体"/>
          <w:sz w:val="24"/>
          <w:highlight w:val="none"/>
        </w:rPr>
      </w:pPr>
    </w:p>
    <w:p w14:paraId="16DD009B">
      <w:pPr>
        <w:spacing w:line="480" w:lineRule="exact"/>
        <w:ind w:firstLine="4200" w:firstLineChars="1750"/>
        <w:rPr>
          <w:rFonts w:ascii="宋体" w:hAnsi="宋体" w:eastAsia="宋体" w:cs="宋体"/>
          <w:sz w:val="24"/>
          <w:highlight w:val="none"/>
        </w:rPr>
      </w:pPr>
    </w:p>
    <w:p w14:paraId="376CF008">
      <w:pPr>
        <w:spacing w:line="540" w:lineRule="exact"/>
        <w:jc w:val="right"/>
        <w:rPr>
          <w:rFonts w:ascii="Calibri" w:hAnsi="Calibri" w:eastAsia="宋体" w:cs="Times New Roman"/>
          <w:kern w:val="0"/>
          <w:sz w:val="24"/>
          <w:highlight w:val="none"/>
          <w:u w:val="single"/>
        </w:rPr>
      </w:pPr>
      <w:r>
        <w:rPr>
          <w:rFonts w:hint="eastAsia" w:ascii="宋体" w:hAnsi="宋体" w:eastAsia="宋体" w:cs="宋体"/>
          <w:sz w:val="28"/>
          <w:szCs w:val="28"/>
          <w:highlight w:val="none"/>
        </w:rPr>
        <w:t xml:space="preserve">                       </w:t>
      </w:r>
      <w:r>
        <w:rPr>
          <w:rFonts w:hint="eastAsia" w:ascii="Calibri" w:hAnsi="Calibri" w:eastAsia="宋体" w:cs="Times New Roman"/>
          <w:kern w:val="0"/>
          <w:sz w:val="24"/>
          <w:highlight w:val="none"/>
        </w:rPr>
        <w:t>供应商</w:t>
      </w:r>
      <w:r>
        <w:rPr>
          <w:rFonts w:ascii="Calibri" w:hAnsi="Calibri" w:eastAsia="宋体" w:cs="Times New Roman"/>
          <w:kern w:val="0"/>
          <w:sz w:val="24"/>
          <w:highlight w:val="none"/>
        </w:rPr>
        <w:t>：</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w:t>
      </w:r>
      <w:r>
        <w:rPr>
          <w:rFonts w:hint="eastAsia" w:ascii="Calibri" w:hAnsi="Calibri" w:eastAsia="宋体" w:cs="Times New Roman"/>
          <w:kern w:val="0"/>
          <w:sz w:val="24"/>
          <w:highlight w:val="none"/>
        </w:rPr>
        <w:t>电子签章</w:t>
      </w:r>
      <w:r>
        <w:rPr>
          <w:rFonts w:ascii="Calibri" w:hAnsi="Calibri" w:eastAsia="宋体" w:cs="Times New Roman"/>
          <w:kern w:val="0"/>
          <w:sz w:val="24"/>
          <w:highlight w:val="none"/>
        </w:rPr>
        <w:t>）</w:t>
      </w:r>
    </w:p>
    <w:p w14:paraId="694145CF">
      <w:pPr>
        <w:widowControl/>
        <w:spacing w:line="540" w:lineRule="exact"/>
        <w:ind w:firstLine="360"/>
        <w:jc w:val="right"/>
        <w:rPr>
          <w:rFonts w:ascii="Calibri" w:hAnsi="Calibri" w:eastAsia="宋体" w:cs="Times New Roman"/>
          <w:kern w:val="0"/>
          <w:sz w:val="24"/>
          <w:highlight w:val="none"/>
          <w:u w:val="single"/>
        </w:rPr>
      </w:pPr>
      <w:r>
        <w:rPr>
          <w:rFonts w:ascii="Calibri" w:hAnsi="Calibri" w:eastAsia="宋体" w:cs="Times New Roman"/>
          <w:kern w:val="0"/>
          <w:sz w:val="24"/>
          <w:highlight w:val="none"/>
        </w:rPr>
        <w:t xml:space="preserve">法定代表人： </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w:t>
      </w:r>
      <w:r>
        <w:rPr>
          <w:rFonts w:hint="eastAsia" w:ascii="Calibri" w:hAnsi="Calibri" w:eastAsia="宋体" w:cs="Times New Roman"/>
          <w:kern w:val="0"/>
          <w:sz w:val="24"/>
          <w:highlight w:val="none"/>
        </w:rPr>
        <w:t>电子签章或签字</w:t>
      </w:r>
      <w:r>
        <w:rPr>
          <w:rFonts w:ascii="Calibri" w:hAnsi="Calibri" w:eastAsia="宋体" w:cs="Times New Roman"/>
          <w:kern w:val="0"/>
          <w:sz w:val="24"/>
          <w:highlight w:val="none"/>
        </w:rPr>
        <w:t>）</w:t>
      </w:r>
    </w:p>
    <w:p w14:paraId="08200D6A">
      <w:pPr>
        <w:widowControl/>
        <w:spacing w:line="540" w:lineRule="exact"/>
        <w:ind w:firstLine="360"/>
        <w:jc w:val="right"/>
        <w:rPr>
          <w:rFonts w:ascii="Calibri" w:hAnsi="Calibri" w:eastAsia="宋体" w:cs="Times New Roman"/>
          <w:kern w:val="0"/>
          <w:sz w:val="24"/>
          <w:highlight w:val="none"/>
        </w:rPr>
      </w:pPr>
      <w:r>
        <w:rPr>
          <w:rFonts w:ascii="Calibri" w:hAnsi="Calibri" w:eastAsia="宋体" w:cs="Times New Roman"/>
          <w:kern w:val="0"/>
          <w:sz w:val="24"/>
          <w:highlight w:val="none"/>
        </w:rPr>
        <w:t>日期：</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年</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月</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日</w:t>
      </w:r>
    </w:p>
    <w:p w14:paraId="50AF4E9C">
      <w:pPr>
        <w:jc w:val="center"/>
        <w:rPr>
          <w:rFonts w:ascii="宋体" w:hAnsi="宋体" w:eastAsia="宋体" w:cs="宋体"/>
          <w:b/>
          <w:bCs/>
          <w:sz w:val="24"/>
          <w:highlight w:val="none"/>
        </w:rPr>
      </w:pPr>
      <w:r>
        <w:rPr>
          <w:rFonts w:hint="eastAsia" w:ascii="宋体" w:hAnsi="宋体" w:eastAsia="宋体" w:cs="宋体"/>
          <w:b/>
          <w:bCs/>
          <w:sz w:val="24"/>
          <w:highlight w:val="none"/>
        </w:rPr>
        <w:br w:type="page"/>
      </w:r>
      <w:bookmarkStart w:id="230" w:name="_Toc528078068"/>
      <w:bookmarkEnd w:id="230"/>
      <w:r>
        <w:rPr>
          <w:rFonts w:hint="eastAsia" w:ascii="宋体" w:hAnsi="宋体" w:eastAsia="宋体" w:cs="宋体"/>
          <w:b/>
          <w:bCs/>
          <w:sz w:val="24"/>
          <w:highlight w:val="none"/>
        </w:rPr>
        <w:t>（2）投标函附录</w:t>
      </w:r>
    </w:p>
    <w:tbl>
      <w:tblPr>
        <w:tblStyle w:val="15"/>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768"/>
        <w:gridCol w:w="6733"/>
      </w:tblGrid>
      <w:tr w14:paraId="3885158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70678BDD">
            <w:pPr>
              <w:spacing w:line="480" w:lineRule="exact"/>
              <w:jc w:val="center"/>
              <w:rPr>
                <w:rFonts w:ascii="Calibri" w:hAnsi="Calibri" w:eastAsia="宋体" w:cs="宋体"/>
                <w:sz w:val="24"/>
                <w:szCs w:val="24"/>
                <w:highlight w:val="none"/>
              </w:rPr>
            </w:pPr>
            <w:r>
              <w:rPr>
                <w:rFonts w:hint="eastAsia" w:ascii="Calibri" w:hAnsi="Calibri" w:eastAsia="宋体" w:cs="宋体"/>
                <w:sz w:val="24"/>
                <w:szCs w:val="24"/>
                <w:highlight w:val="none"/>
              </w:rPr>
              <w:t>项目名称</w:t>
            </w:r>
          </w:p>
        </w:tc>
        <w:tc>
          <w:tcPr>
            <w:tcW w:w="6733" w:type="dxa"/>
            <w:tcBorders>
              <w:top w:val="single" w:color="auto" w:sz="4" w:space="0"/>
              <w:left w:val="nil"/>
              <w:bottom w:val="single" w:color="auto" w:sz="4" w:space="0"/>
              <w:right w:val="single" w:color="auto" w:sz="4" w:space="0"/>
            </w:tcBorders>
            <w:vAlign w:val="center"/>
          </w:tcPr>
          <w:p w14:paraId="4F6D8B47">
            <w:pPr>
              <w:spacing w:line="480" w:lineRule="exact"/>
              <w:ind w:firstLine="818" w:firstLineChars="341"/>
              <w:rPr>
                <w:rFonts w:ascii="Calibri" w:hAnsi="Calibri" w:eastAsia="宋体" w:cs="宋体"/>
                <w:sz w:val="24"/>
                <w:szCs w:val="24"/>
                <w:highlight w:val="none"/>
              </w:rPr>
            </w:pPr>
          </w:p>
        </w:tc>
      </w:tr>
      <w:tr w14:paraId="6EA2BE1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6496F996">
            <w:pPr>
              <w:spacing w:line="480" w:lineRule="exact"/>
              <w:jc w:val="center"/>
              <w:rPr>
                <w:rFonts w:ascii="Calibri" w:hAnsi="Calibri" w:eastAsia="宋体" w:cs="宋体"/>
                <w:sz w:val="24"/>
                <w:szCs w:val="24"/>
                <w:highlight w:val="none"/>
              </w:rPr>
            </w:pPr>
            <w:r>
              <w:rPr>
                <w:rFonts w:hint="eastAsia" w:ascii="Calibri" w:hAnsi="Calibri" w:eastAsia="宋体" w:cs="宋体"/>
                <w:sz w:val="24"/>
                <w:szCs w:val="24"/>
                <w:highlight w:val="none"/>
              </w:rPr>
              <w:t>供应商名称</w:t>
            </w:r>
          </w:p>
        </w:tc>
        <w:tc>
          <w:tcPr>
            <w:tcW w:w="6733" w:type="dxa"/>
            <w:tcBorders>
              <w:top w:val="single" w:color="auto" w:sz="4" w:space="0"/>
              <w:left w:val="nil"/>
              <w:bottom w:val="single" w:color="auto" w:sz="4" w:space="0"/>
              <w:right w:val="single" w:color="auto" w:sz="4" w:space="0"/>
            </w:tcBorders>
            <w:vAlign w:val="center"/>
          </w:tcPr>
          <w:p w14:paraId="0EF1D5C6">
            <w:pPr>
              <w:spacing w:line="480" w:lineRule="exact"/>
              <w:ind w:firstLine="818" w:firstLineChars="341"/>
              <w:rPr>
                <w:rFonts w:ascii="Calibri" w:hAnsi="Calibri" w:eastAsia="宋体" w:cs="宋体"/>
                <w:sz w:val="24"/>
                <w:szCs w:val="24"/>
                <w:highlight w:val="none"/>
              </w:rPr>
            </w:pPr>
          </w:p>
        </w:tc>
      </w:tr>
      <w:tr w14:paraId="3529674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74630B76">
            <w:pPr>
              <w:spacing w:line="480" w:lineRule="exact"/>
              <w:jc w:val="center"/>
              <w:rPr>
                <w:rFonts w:ascii="Calibri" w:hAnsi="Calibri" w:eastAsia="宋体" w:cs="宋体"/>
                <w:sz w:val="24"/>
                <w:szCs w:val="24"/>
                <w:highlight w:val="none"/>
              </w:rPr>
            </w:pPr>
            <w:r>
              <w:rPr>
                <w:rFonts w:hint="eastAsia" w:ascii="Calibri" w:hAnsi="Calibri" w:eastAsia="宋体" w:cs="宋体"/>
                <w:sz w:val="24"/>
                <w:szCs w:val="24"/>
                <w:highlight w:val="none"/>
              </w:rPr>
              <w:t>供应商地址</w:t>
            </w:r>
          </w:p>
        </w:tc>
        <w:tc>
          <w:tcPr>
            <w:tcW w:w="6733" w:type="dxa"/>
            <w:tcBorders>
              <w:top w:val="single" w:color="auto" w:sz="4" w:space="0"/>
              <w:left w:val="nil"/>
              <w:bottom w:val="single" w:color="auto" w:sz="4" w:space="0"/>
              <w:right w:val="single" w:color="auto" w:sz="4" w:space="0"/>
            </w:tcBorders>
            <w:vAlign w:val="center"/>
          </w:tcPr>
          <w:p w14:paraId="16BB93FF">
            <w:pPr>
              <w:spacing w:line="480" w:lineRule="exact"/>
              <w:ind w:firstLine="818" w:firstLineChars="341"/>
              <w:rPr>
                <w:rFonts w:ascii="Calibri" w:hAnsi="Calibri" w:eastAsia="宋体" w:cs="宋体"/>
                <w:sz w:val="24"/>
                <w:szCs w:val="24"/>
                <w:highlight w:val="none"/>
              </w:rPr>
            </w:pPr>
          </w:p>
        </w:tc>
      </w:tr>
      <w:tr w14:paraId="2E7E353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59" w:hRule="atLeast"/>
        </w:trPr>
        <w:tc>
          <w:tcPr>
            <w:tcW w:w="1768" w:type="dxa"/>
            <w:tcBorders>
              <w:top w:val="single" w:color="auto" w:sz="4" w:space="0"/>
              <w:left w:val="single" w:color="auto" w:sz="4" w:space="0"/>
              <w:bottom w:val="single" w:color="auto" w:sz="4" w:space="0"/>
              <w:right w:val="single" w:color="auto" w:sz="4" w:space="0"/>
            </w:tcBorders>
            <w:vAlign w:val="center"/>
          </w:tcPr>
          <w:p w14:paraId="106C70EE">
            <w:pPr>
              <w:spacing w:line="480" w:lineRule="exact"/>
              <w:jc w:val="center"/>
              <w:rPr>
                <w:rFonts w:ascii="Calibri" w:hAnsi="Calibri" w:eastAsia="宋体" w:cs="宋体"/>
                <w:sz w:val="24"/>
                <w:szCs w:val="24"/>
                <w:highlight w:val="none"/>
              </w:rPr>
            </w:pPr>
            <w:r>
              <w:rPr>
                <w:rFonts w:hint="eastAsia" w:ascii="Calibri" w:hAnsi="Calibri" w:eastAsia="宋体" w:cs="宋体"/>
                <w:sz w:val="24"/>
                <w:szCs w:val="24"/>
                <w:highlight w:val="none"/>
              </w:rPr>
              <w:t>供应商统一社会信用代码</w:t>
            </w:r>
          </w:p>
        </w:tc>
        <w:tc>
          <w:tcPr>
            <w:tcW w:w="6733" w:type="dxa"/>
            <w:tcBorders>
              <w:top w:val="single" w:color="auto" w:sz="4" w:space="0"/>
              <w:left w:val="nil"/>
              <w:bottom w:val="single" w:color="auto" w:sz="4" w:space="0"/>
              <w:right w:val="single" w:color="auto" w:sz="4" w:space="0"/>
            </w:tcBorders>
            <w:vAlign w:val="center"/>
          </w:tcPr>
          <w:p w14:paraId="2B351548">
            <w:pPr>
              <w:spacing w:line="480" w:lineRule="exact"/>
              <w:ind w:firstLine="818" w:firstLineChars="341"/>
              <w:rPr>
                <w:rFonts w:ascii="Calibri" w:hAnsi="Calibri" w:eastAsia="宋体" w:cs="宋体"/>
                <w:sz w:val="24"/>
                <w:szCs w:val="24"/>
                <w:highlight w:val="none"/>
              </w:rPr>
            </w:pPr>
          </w:p>
        </w:tc>
      </w:tr>
      <w:tr w14:paraId="7ED2B1C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60" w:hRule="atLeast"/>
        </w:trPr>
        <w:tc>
          <w:tcPr>
            <w:tcW w:w="1768" w:type="dxa"/>
            <w:tcBorders>
              <w:top w:val="single" w:color="auto" w:sz="4" w:space="0"/>
              <w:left w:val="single" w:color="auto" w:sz="4" w:space="0"/>
              <w:bottom w:val="nil"/>
              <w:right w:val="single" w:color="auto" w:sz="4" w:space="0"/>
            </w:tcBorders>
            <w:vAlign w:val="center"/>
          </w:tcPr>
          <w:p w14:paraId="3ACB3799">
            <w:pPr>
              <w:spacing w:line="480" w:lineRule="exact"/>
              <w:jc w:val="center"/>
              <w:rPr>
                <w:rFonts w:ascii="Calibri" w:hAnsi="Calibri" w:eastAsia="宋体" w:cs="宋体"/>
                <w:sz w:val="24"/>
                <w:szCs w:val="24"/>
                <w:highlight w:val="none"/>
              </w:rPr>
            </w:pPr>
            <w:r>
              <w:rPr>
                <w:rFonts w:hint="eastAsia" w:ascii="Calibri" w:hAnsi="Calibri" w:eastAsia="宋体" w:cs="宋体"/>
                <w:sz w:val="24"/>
                <w:szCs w:val="24"/>
                <w:highlight w:val="none"/>
              </w:rPr>
              <w:t>投标报价</w:t>
            </w:r>
          </w:p>
        </w:tc>
        <w:tc>
          <w:tcPr>
            <w:tcW w:w="6733" w:type="dxa"/>
            <w:tcBorders>
              <w:top w:val="single" w:color="auto" w:sz="4" w:space="0"/>
              <w:left w:val="nil"/>
              <w:bottom w:val="single" w:color="auto" w:sz="4" w:space="0"/>
              <w:right w:val="single" w:color="auto" w:sz="4" w:space="0"/>
            </w:tcBorders>
            <w:vAlign w:val="center"/>
          </w:tcPr>
          <w:p w14:paraId="2120B529">
            <w:pPr>
              <w:spacing w:line="480" w:lineRule="exact"/>
              <w:ind w:firstLine="818" w:firstLineChars="341"/>
              <w:rPr>
                <w:rFonts w:ascii="Calibri" w:hAnsi="Calibri" w:eastAsia="宋体" w:cs="宋体"/>
                <w:sz w:val="24"/>
                <w:szCs w:val="24"/>
                <w:highlight w:val="none"/>
              </w:rPr>
            </w:pPr>
            <w:r>
              <w:rPr>
                <w:rFonts w:hint="eastAsia" w:ascii="Calibri" w:hAnsi="Calibri" w:eastAsia="宋体" w:cs="宋体"/>
                <w:sz w:val="24"/>
                <w:szCs w:val="24"/>
                <w:highlight w:val="none"/>
              </w:rPr>
              <w:t>（大写）     ，    （小写）    元</w:t>
            </w:r>
          </w:p>
        </w:tc>
      </w:tr>
      <w:tr w14:paraId="689794A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08" w:hRule="atLeast"/>
        </w:trPr>
        <w:tc>
          <w:tcPr>
            <w:tcW w:w="1768" w:type="dxa"/>
            <w:tcBorders>
              <w:top w:val="single" w:color="auto" w:sz="4" w:space="0"/>
              <w:left w:val="single" w:color="auto" w:sz="4" w:space="0"/>
              <w:bottom w:val="nil"/>
              <w:right w:val="single" w:color="auto" w:sz="4" w:space="0"/>
            </w:tcBorders>
            <w:vAlign w:val="center"/>
          </w:tcPr>
          <w:p w14:paraId="73FBB905">
            <w:pPr>
              <w:spacing w:line="480" w:lineRule="exact"/>
              <w:jc w:val="center"/>
              <w:rPr>
                <w:rFonts w:hint="eastAsia" w:ascii="Calibri" w:hAnsi="Calibri" w:eastAsia="宋体" w:cs="宋体"/>
                <w:sz w:val="24"/>
                <w:szCs w:val="24"/>
                <w:highlight w:val="none"/>
                <w:lang w:eastAsia="zh-CN"/>
              </w:rPr>
            </w:pPr>
            <w:r>
              <w:rPr>
                <w:rFonts w:hint="eastAsia" w:ascii="Calibri" w:hAnsi="Calibri" w:eastAsia="宋体" w:cs="宋体"/>
                <w:sz w:val="24"/>
                <w:szCs w:val="24"/>
                <w:highlight w:val="none"/>
                <w:lang w:eastAsia="zh-CN"/>
              </w:rPr>
              <w:t>交货期</w:t>
            </w:r>
          </w:p>
        </w:tc>
        <w:tc>
          <w:tcPr>
            <w:tcW w:w="6733" w:type="dxa"/>
            <w:tcBorders>
              <w:top w:val="single" w:color="auto" w:sz="4" w:space="0"/>
              <w:left w:val="nil"/>
              <w:bottom w:val="single" w:color="auto" w:sz="4" w:space="0"/>
              <w:right w:val="single" w:color="auto" w:sz="4" w:space="0"/>
            </w:tcBorders>
            <w:vAlign w:val="center"/>
          </w:tcPr>
          <w:p w14:paraId="1AF5F3D3">
            <w:pPr>
              <w:spacing w:line="480" w:lineRule="exact"/>
              <w:rPr>
                <w:rFonts w:ascii="Calibri" w:hAnsi="Calibri" w:eastAsia="宋体" w:cs="宋体"/>
                <w:sz w:val="24"/>
                <w:szCs w:val="24"/>
                <w:highlight w:val="none"/>
              </w:rPr>
            </w:pPr>
          </w:p>
        </w:tc>
      </w:tr>
      <w:tr w14:paraId="4D15351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1A2DE06C">
            <w:pPr>
              <w:spacing w:line="480" w:lineRule="exact"/>
              <w:jc w:val="center"/>
              <w:rPr>
                <w:rFonts w:ascii="Calibri" w:hAnsi="Calibri" w:eastAsia="宋体" w:cs="宋体"/>
                <w:sz w:val="24"/>
                <w:szCs w:val="24"/>
                <w:highlight w:val="none"/>
              </w:rPr>
            </w:pPr>
            <w:r>
              <w:rPr>
                <w:rFonts w:hint="eastAsia" w:ascii="Calibri" w:hAnsi="Calibri" w:eastAsia="宋体" w:cs="宋体"/>
                <w:sz w:val="24"/>
                <w:szCs w:val="24"/>
                <w:highlight w:val="none"/>
              </w:rPr>
              <w:t>质保期</w:t>
            </w:r>
          </w:p>
        </w:tc>
        <w:tc>
          <w:tcPr>
            <w:tcW w:w="6733" w:type="dxa"/>
            <w:tcBorders>
              <w:top w:val="single" w:color="auto" w:sz="4" w:space="0"/>
              <w:left w:val="nil"/>
              <w:bottom w:val="single" w:color="auto" w:sz="4" w:space="0"/>
              <w:right w:val="single" w:color="auto" w:sz="4" w:space="0"/>
            </w:tcBorders>
            <w:vAlign w:val="center"/>
          </w:tcPr>
          <w:p w14:paraId="6D075357">
            <w:pPr>
              <w:spacing w:line="480" w:lineRule="exact"/>
              <w:ind w:firstLine="818" w:firstLineChars="341"/>
              <w:rPr>
                <w:rFonts w:ascii="Calibri" w:hAnsi="Calibri" w:eastAsia="宋体" w:cs="宋体"/>
                <w:sz w:val="24"/>
                <w:szCs w:val="24"/>
                <w:highlight w:val="none"/>
              </w:rPr>
            </w:pPr>
          </w:p>
        </w:tc>
      </w:tr>
      <w:tr w14:paraId="1053C33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41A21F80">
            <w:pPr>
              <w:spacing w:line="480" w:lineRule="exact"/>
              <w:jc w:val="center"/>
              <w:rPr>
                <w:rFonts w:ascii="Calibri" w:hAnsi="Calibri" w:eastAsia="宋体" w:cs="宋体"/>
                <w:sz w:val="24"/>
                <w:szCs w:val="24"/>
                <w:highlight w:val="none"/>
              </w:rPr>
            </w:pPr>
            <w:r>
              <w:rPr>
                <w:rFonts w:hint="eastAsia" w:ascii="Calibri" w:hAnsi="Calibri" w:eastAsia="宋体" w:cs="宋体"/>
                <w:sz w:val="24"/>
                <w:szCs w:val="24"/>
                <w:highlight w:val="none"/>
              </w:rPr>
              <w:t>质量要求</w:t>
            </w:r>
          </w:p>
        </w:tc>
        <w:tc>
          <w:tcPr>
            <w:tcW w:w="6733" w:type="dxa"/>
            <w:tcBorders>
              <w:top w:val="single" w:color="auto" w:sz="4" w:space="0"/>
              <w:left w:val="nil"/>
              <w:bottom w:val="single" w:color="auto" w:sz="4" w:space="0"/>
              <w:right w:val="single" w:color="auto" w:sz="4" w:space="0"/>
            </w:tcBorders>
            <w:vAlign w:val="center"/>
          </w:tcPr>
          <w:p w14:paraId="039F462C">
            <w:pPr>
              <w:spacing w:line="480" w:lineRule="exact"/>
              <w:ind w:firstLine="818" w:firstLineChars="341"/>
              <w:rPr>
                <w:rFonts w:ascii="Calibri" w:hAnsi="Calibri" w:eastAsia="宋体" w:cs="宋体"/>
                <w:sz w:val="24"/>
                <w:szCs w:val="24"/>
                <w:highlight w:val="none"/>
              </w:rPr>
            </w:pPr>
          </w:p>
        </w:tc>
      </w:tr>
      <w:tr w14:paraId="21B6C55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787464B9">
            <w:pPr>
              <w:spacing w:line="480" w:lineRule="exact"/>
              <w:jc w:val="center"/>
              <w:rPr>
                <w:rFonts w:ascii="Calibri" w:hAnsi="Calibri" w:eastAsia="宋体" w:cs="宋体"/>
                <w:sz w:val="24"/>
                <w:szCs w:val="24"/>
                <w:highlight w:val="none"/>
              </w:rPr>
            </w:pPr>
            <w:r>
              <w:rPr>
                <w:rFonts w:hint="eastAsia" w:ascii="Calibri" w:hAnsi="Calibri" w:eastAsia="宋体" w:cs="宋体"/>
                <w:sz w:val="24"/>
                <w:szCs w:val="24"/>
                <w:highlight w:val="none"/>
              </w:rPr>
              <w:t>投标有效期</w:t>
            </w:r>
          </w:p>
        </w:tc>
        <w:tc>
          <w:tcPr>
            <w:tcW w:w="6733" w:type="dxa"/>
            <w:tcBorders>
              <w:top w:val="single" w:color="auto" w:sz="4" w:space="0"/>
              <w:left w:val="nil"/>
              <w:bottom w:val="single" w:color="auto" w:sz="4" w:space="0"/>
              <w:right w:val="single" w:color="auto" w:sz="4" w:space="0"/>
            </w:tcBorders>
            <w:vAlign w:val="center"/>
          </w:tcPr>
          <w:p w14:paraId="24490E4F">
            <w:pPr>
              <w:spacing w:line="480" w:lineRule="exact"/>
              <w:ind w:firstLine="818" w:firstLineChars="341"/>
              <w:rPr>
                <w:rFonts w:ascii="Calibri" w:hAnsi="Calibri" w:eastAsia="宋体" w:cs="宋体"/>
                <w:sz w:val="24"/>
                <w:szCs w:val="24"/>
                <w:highlight w:val="none"/>
              </w:rPr>
            </w:pPr>
          </w:p>
        </w:tc>
      </w:tr>
      <w:tr w14:paraId="30D3E92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23" w:hRule="atLeast"/>
        </w:trPr>
        <w:tc>
          <w:tcPr>
            <w:tcW w:w="1768" w:type="dxa"/>
            <w:tcBorders>
              <w:top w:val="single" w:color="auto" w:sz="4" w:space="0"/>
              <w:left w:val="single" w:color="auto" w:sz="4" w:space="0"/>
              <w:bottom w:val="single" w:color="auto" w:sz="4" w:space="0"/>
              <w:right w:val="single" w:color="auto" w:sz="4" w:space="0"/>
            </w:tcBorders>
            <w:vAlign w:val="center"/>
          </w:tcPr>
          <w:p w14:paraId="7BBD6FDF">
            <w:pPr>
              <w:spacing w:line="480" w:lineRule="exact"/>
              <w:jc w:val="center"/>
              <w:rPr>
                <w:rFonts w:ascii="Calibri" w:hAnsi="Calibri" w:eastAsia="宋体" w:cs="宋体"/>
                <w:sz w:val="24"/>
                <w:szCs w:val="24"/>
                <w:highlight w:val="none"/>
              </w:rPr>
            </w:pPr>
            <w:r>
              <w:rPr>
                <w:rFonts w:hint="eastAsia" w:ascii="Calibri" w:hAnsi="Calibri" w:eastAsia="宋体" w:cs="宋体"/>
                <w:sz w:val="24"/>
                <w:szCs w:val="24"/>
                <w:highlight w:val="none"/>
              </w:rPr>
              <w:t>项目负责人及联系方式</w:t>
            </w:r>
          </w:p>
        </w:tc>
        <w:tc>
          <w:tcPr>
            <w:tcW w:w="6733" w:type="dxa"/>
            <w:tcBorders>
              <w:top w:val="single" w:color="auto" w:sz="4" w:space="0"/>
              <w:left w:val="nil"/>
              <w:bottom w:val="single" w:color="auto" w:sz="4" w:space="0"/>
              <w:right w:val="single" w:color="auto" w:sz="4" w:space="0"/>
            </w:tcBorders>
            <w:vAlign w:val="center"/>
          </w:tcPr>
          <w:p w14:paraId="2D79B2FA">
            <w:pPr>
              <w:spacing w:line="480" w:lineRule="exact"/>
              <w:ind w:firstLine="818" w:firstLineChars="341"/>
              <w:rPr>
                <w:rFonts w:ascii="Calibri" w:hAnsi="Calibri" w:eastAsia="宋体" w:cs="宋体"/>
                <w:sz w:val="24"/>
                <w:szCs w:val="24"/>
                <w:highlight w:val="none"/>
              </w:rPr>
            </w:pPr>
          </w:p>
        </w:tc>
      </w:tr>
      <w:tr w14:paraId="310D562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3" w:hRule="atLeast"/>
        </w:trPr>
        <w:tc>
          <w:tcPr>
            <w:tcW w:w="8501" w:type="dxa"/>
            <w:gridSpan w:val="2"/>
            <w:tcBorders>
              <w:top w:val="single" w:color="auto" w:sz="4" w:space="0"/>
              <w:left w:val="single" w:color="auto" w:sz="4" w:space="0"/>
              <w:bottom w:val="single" w:color="auto" w:sz="4" w:space="0"/>
              <w:right w:val="single" w:color="auto" w:sz="4" w:space="0"/>
            </w:tcBorders>
          </w:tcPr>
          <w:p w14:paraId="4CA35554">
            <w:pPr>
              <w:spacing w:line="480" w:lineRule="exact"/>
              <w:ind w:firstLine="818" w:firstLineChars="341"/>
              <w:rPr>
                <w:rFonts w:ascii="Calibri" w:hAnsi="Calibri" w:eastAsia="宋体" w:cs="宋体"/>
                <w:sz w:val="24"/>
                <w:szCs w:val="24"/>
                <w:highlight w:val="none"/>
              </w:rPr>
            </w:pPr>
            <w:r>
              <w:rPr>
                <w:rFonts w:hint="eastAsia" w:ascii="Calibri" w:hAnsi="Calibri" w:eastAsia="宋体" w:cs="宋体"/>
                <w:sz w:val="24"/>
                <w:szCs w:val="24"/>
                <w:highlight w:val="none"/>
              </w:rPr>
              <w:t>补充（如有）</w:t>
            </w:r>
          </w:p>
        </w:tc>
      </w:tr>
    </w:tbl>
    <w:p w14:paraId="67AED974">
      <w:pPr>
        <w:spacing w:line="540" w:lineRule="exact"/>
        <w:jc w:val="right"/>
        <w:rPr>
          <w:rFonts w:ascii="Calibri" w:hAnsi="Calibri" w:eastAsia="宋体" w:cs="Times New Roman"/>
          <w:kern w:val="0"/>
          <w:sz w:val="24"/>
          <w:highlight w:val="none"/>
          <w:u w:val="single"/>
        </w:rPr>
      </w:pPr>
      <w:r>
        <w:rPr>
          <w:rFonts w:hint="eastAsia" w:ascii="宋体" w:hAnsi="宋体" w:eastAsia="宋体" w:cs="宋体"/>
          <w:sz w:val="28"/>
          <w:szCs w:val="28"/>
          <w:highlight w:val="none"/>
        </w:rPr>
        <w:t xml:space="preserve">                       </w:t>
      </w:r>
      <w:r>
        <w:rPr>
          <w:rFonts w:hint="eastAsia" w:ascii="Calibri" w:hAnsi="Calibri" w:eastAsia="宋体" w:cs="Times New Roman"/>
          <w:kern w:val="0"/>
          <w:sz w:val="24"/>
          <w:highlight w:val="none"/>
        </w:rPr>
        <w:t>供应商</w:t>
      </w:r>
      <w:r>
        <w:rPr>
          <w:rFonts w:ascii="Calibri" w:hAnsi="Calibri" w:eastAsia="宋体" w:cs="Times New Roman"/>
          <w:kern w:val="0"/>
          <w:sz w:val="24"/>
          <w:highlight w:val="none"/>
        </w:rPr>
        <w:t>：</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rPr>
        <w:t>（电子签章）</w:t>
      </w:r>
    </w:p>
    <w:p w14:paraId="39D91554">
      <w:pPr>
        <w:widowControl/>
        <w:spacing w:line="540" w:lineRule="exact"/>
        <w:ind w:firstLine="360"/>
        <w:jc w:val="right"/>
        <w:rPr>
          <w:rFonts w:ascii="Calibri" w:hAnsi="Calibri" w:eastAsia="宋体" w:cs="Times New Roman"/>
          <w:kern w:val="0"/>
          <w:sz w:val="24"/>
          <w:highlight w:val="none"/>
          <w:u w:val="single"/>
        </w:rPr>
      </w:pPr>
      <w:r>
        <w:rPr>
          <w:rFonts w:ascii="Calibri" w:hAnsi="Calibri" w:eastAsia="宋体" w:cs="Times New Roman"/>
          <w:kern w:val="0"/>
          <w:sz w:val="24"/>
          <w:highlight w:val="none"/>
        </w:rPr>
        <w:t xml:space="preserve">法定代表人： </w:t>
      </w:r>
      <w:r>
        <w:rPr>
          <w:rFonts w:ascii="Calibri" w:hAnsi="Calibri" w:eastAsia="宋体" w:cs="Times New Roman"/>
          <w:kern w:val="0"/>
          <w:sz w:val="24"/>
          <w:highlight w:val="none"/>
          <w:u w:val="single"/>
        </w:rPr>
        <w:t xml:space="preserve">           </w:t>
      </w:r>
      <w:r>
        <w:rPr>
          <w:rFonts w:hint="eastAsia" w:ascii="Calibri" w:hAnsi="Calibri" w:eastAsia="宋体" w:cs="Times New Roman"/>
          <w:kern w:val="0"/>
          <w:sz w:val="24"/>
          <w:highlight w:val="none"/>
        </w:rPr>
        <w:t>（电子签章或签字）</w:t>
      </w:r>
    </w:p>
    <w:p w14:paraId="5813F75A">
      <w:pPr>
        <w:widowControl/>
        <w:spacing w:line="540" w:lineRule="exact"/>
        <w:ind w:firstLine="360"/>
        <w:jc w:val="right"/>
        <w:rPr>
          <w:rFonts w:ascii="Calibri" w:hAnsi="Calibri" w:eastAsia="宋体" w:cs="Times New Roman"/>
          <w:kern w:val="0"/>
          <w:sz w:val="24"/>
          <w:highlight w:val="none"/>
        </w:rPr>
      </w:pPr>
      <w:r>
        <w:rPr>
          <w:rFonts w:ascii="Calibri" w:hAnsi="Calibri" w:eastAsia="宋体" w:cs="Times New Roman"/>
          <w:kern w:val="0"/>
          <w:sz w:val="24"/>
          <w:highlight w:val="none"/>
        </w:rPr>
        <w:t>日期：</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年</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月</w:t>
      </w:r>
      <w:r>
        <w:rPr>
          <w:rFonts w:ascii="Calibri" w:hAnsi="Calibri" w:eastAsia="宋体" w:cs="Times New Roman"/>
          <w:kern w:val="0"/>
          <w:sz w:val="24"/>
          <w:highlight w:val="none"/>
          <w:u w:val="single"/>
        </w:rPr>
        <w:t xml:space="preserve">      </w:t>
      </w:r>
      <w:r>
        <w:rPr>
          <w:rFonts w:ascii="Calibri" w:hAnsi="Calibri" w:eastAsia="宋体" w:cs="Times New Roman"/>
          <w:kern w:val="0"/>
          <w:sz w:val="24"/>
          <w:highlight w:val="none"/>
        </w:rPr>
        <w:t>日</w:t>
      </w:r>
    </w:p>
    <w:p w14:paraId="11052E9C">
      <w:pPr>
        <w:keepNext/>
        <w:keepLines/>
        <w:spacing w:line="360" w:lineRule="auto"/>
        <w:jc w:val="center"/>
        <w:outlineLvl w:val="2"/>
        <w:rPr>
          <w:rFonts w:ascii="Calibri" w:hAnsi="Calibri" w:eastAsia="宋体" w:cs="Times New Roman"/>
          <w:b/>
          <w:bCs/>
          <w:sz w:val="28"/>
          <w:szCs w:val="32"/>
          <w:highlight w:val="none"/>
        </w:rPr>
      </w:pPr>
      <w:r>
        <w:rPr>
          <w:rFonts w:hint="eastAsia" w:ascii="宋体" w:hAnsi="宋体" w:eastAsia="宋体" w:cs="宋体"/>
          <w:b/>
          <w:bCs/>
          <w:sz w:val="28"/>
          <w:szCs w:val="24"/>
          <w:highlight w:val="none"/>
        </w:rPr>
        <w:br w:type="page"/>
      </w:r>
      <w:bookmarkStart w:id="231" w:name="_Toc26862"/>
      <w:bookmarkEnd w:id="231"/>
      <w:bookmarkStart w:id="232" w:name="_Toc26023"/>
      <w:r>
        <w:rPr>
          <w:rFonts w:hint="eastAsia" w:ascii="Calibri" w:hAnsi="Calibri" w:eastAsia="宋体" w:cs="Times New Roman"/>
          <w:b/>
          <w:bCs/>
          <w:sz w:val="28"/>
          <w:szCs w:val="32"/>
          <w:highlight w:val="none"/>
        </w:rPr>
        <w:t>二、法定代表人身份证明</w:t>
      </w:r>
      <w:bookmarkEnd w:id="232"/>
    </w:p>
    <w:p w14:paraId="0ED9D444">
      <w:pPr>
        <w:spacing w:line="560" w:lineRule="exact"/>
        <w:ind w:right="420" w:rightChars="200" w:firstLine="480" w:firstLineChars="200"/>
        <w:rPr>
          <w:rFonts w:ascii="宋体" w:hAnsi="宋体" w:eastAsia="宋体" w:cs="宋体"/>
          <w:sz w:val="24"/>
          <w:szCs w:val="28"/>
          <w:highlight w:val="none"/>
        </w:rPr>
      </w:pPr>
      <w:r>
        <w:rPr>
          <w:rFonts w:hint="eastAsia" w:ascii="宋体" w:hAnsi="宋体" w:eastAsia="宋体" w:cs="宋体"/>
          <w:sz w:val="24"/>
          <w:szCs w:val="28"/>
          <w:highlight w:val="none"/>
        </w:rPr>
        <w:t>供应商名称：</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 xml:space="preserve"> </w:t>
      </w:r>
    </w:p>
    <w:p w14:paraId="55B0F404">
      <w:pPr>
        <w:spacing w:line="560" w:lineRule="exact"/>
        <w:ind w:right="420" w:rightChars="200" w:firstLine="480" w:firstLineChars="200"/>
        <w:rPr>
          <w:rFonts w:ascii="宋体" w:hAnsi="宋体" w:eastAsia="宋体" w:cs="宋体"/>
          <w:sz w:val="24"/>
          <w:szCs w:val="28"/>
          <w:highlight w:val="none"/>
        </w:rPr>
      </w:pPr>
      <w:r>
        <w:rPr>
          <w:rFonts w:hint="eastAsia" w:ascii="宋体" w:hAnsi="宋体" w:eastAsia="宋体" w:cs="宋体"/>
          <w:sz w:val="24"/>
          <w:szCs w:val="28"/>
          <w:highlight w:val="none"/>
        </w:rPr>
        <w:t>单位性质：</w:t>
      </w:r>
      <w:r>
        <w:rPr>
          <w:rFonts w:hint="eastAsia" w:ascii="宋体" w:hAnsi="宋体" w:eastAsia="宋体" w:cs="宋体"/>
          <w:sz w:val="24"/>
          <w:szCs w:val="28"/>
          <w:highlight w:val="none"/>
          <w:u w:val="single"/>
        </w:rPr>
        <w:t xml:space="preserve">                        </w:t>
      </w:r>
    </w:p>
    <w:p w14:paraId="008E29F4">
      <w:pPr>
        <w:spacing w:line="560" w:lineRule="exact"/>
        <w:ind w:right="420" w:rightChars="200" w:firstLine="480" w:firstLineChars="200"/>
        <w:rPr>
          <w:rFonts w:ascii="宋体" w:hAnsi="宋体" w:eastAsia="宋体" w:cs="宋体"/>
          <w:sz w:val="24"/>
          <w:szCs w:val="28"/>
          <w:highlight w:val="none"/>
        </w:rPr>
      </w:pPr>
      <w:r>
        <w:rPr>
          <w:rFonts w:hint="eastAsia" w:ascii="宋体" w:hAnsi="宋体" w:eastAsia="宋体" w:cs="宋体"/>
          <w:sz w:val="24"/>
          <w:szCs w:val="28"/>
          <w:highlight w:val="none"/>
        </w:rPr>
        <w:t>地址：</w:t>
      </w:r>
      <w:r>
        <w:rPr>
          <w:rFonts w:hint="eastAsia" w:ascii="宋体" w:hAnsi="宋体" w:eastAsia="宋体" w:cs="宋体"/>
          <w:sz w:val="24"/>
          <w:szCs w:val="28"/>
          <w:highlight w:val="none"/>
          <w:u w:val="single"/>
        </w:rPr>
        <w:t xml:space="preserve">                        </w:t>
      </w:r>
    </w:p>
    <w:p w14:paraId="68EC29B7">
      <w:pPr>
        <w:spacing w:line="560" w:lineRule="exact"/>
        <w:ind w:right="420" w:rightChars="200" w:firstLine="480" w:firstLineChars="200"/>
        <w:rPr>
          <w:rFonts w:ascii="宋体" w:hAnsi="宋体" w:eastAsia="宋体" w:cs="宋体"/>
          <w:sz w:val="24"/>
          <w:szCs w:val="28"/>
          <w:highlight w:val="none"/>
        </w:rPr>
      </w:pPr>
      <w:r>
        <w:rPr>
          <w:rFonts w:hint="eastAsia" w:ascii="宋体" w:hAnsi="宋体" w:eastAsia="宋体" w:cs="宋体"/>
          <w:sz w:val="24"/>
          <w:szCs w:val="28"/>
          <w:highlight w:val="none"/>
        </w:rPr>
        <w:t>成立时间：</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年</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月</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日</w:t>
      </w:r>
    </w:p>
    <w:p w14:paraId="47093489">
      <w:pPr>
        <w:spacing w:line="560" w:lineRule="exact"/>
        <w:ind w:right="420" w:rightChars="200" w:firstLine="480" w:firstLineChars="200"/>
        <w:rPr>
          <w:rFonts w:ascii="宋体" w:hAnsi="宋体" w:eastAsia="宋体" w:cs="宋体"/>
          <w:sz w:val="24"/>
          <w:szCs w:val="28"/>
          <w:highlight w:val="none"/>
        </w:rPr>
      </w:pPr>
      <w:r>
        <w:rPr>
          <w:rFonts w:hint="eastAsia" w:ascii="宋体" w:hAnsi="宋体" w:eastAsia="宋体" w:cs="宋体"/>
          <w:sz w:val="24"/>
          <w:szCs w:val="28"/>
          <w:highlight w:val="none"/>
        </w:rPr>
        <w:t>经营期限：</w:t>
      </w:r>
      <w:r>
        <w:rPr>
          <w:rFonts w:hint="eastAsia" w:ascii="宋体" w:hAnsi="宋体" w:eastAsia="宋体" w:cs="宋体"/>
          <w:sz w:val="24"/>
          <w:szCs w:val="28"/>
          <w:highlight w:val="none"/>
          <w:u w:val="single"/>
        </w:rPr>
        <w:t xml:space="preserve">                        </w:t>
      </w:r>
    </w:p>
    <w:p w14:paraId="47315605">
      <w:pPr>
        <w:spacing w:line="560" w:lineRule="exact"/>
        <w:ind w:right="420" w:rightChars="200" w:firstLine="480" w:firstLineChars="200"/>
        <w:rPr>
          <w:rFonts w:ascii="宋体" w:hAnsi="宋体" w:eastAsia="宋体" w:cs="宋体"/>
          <w:sz w:val="24"/>
          <w:szCs w:val="28"/>
          <w:highlight w:val="none"/>
        </w:rPr>
      </w:pPr>
      <w:r>
        <w:rPr>
          <w:rFonts w:hint="eastAsia" w:ascii="宋体" w:hAnsi="宋体" w:eastAsia="宋体" w:cs="宋体"/>
          <w:sz w:val="24"/>
          <w:szCs w:val="28"/>
          <w:highlight w:val="none"/>
        </w:rPr>
        <w:t>姓名：</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；性别：</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w:t>
      </w:r>
    </w:p>
    <w:p w14:paraId="4ABDC705">
      <w:pPr>
        <w:spacing w:line="560" w:lineRule="exact"/>
        <w:ind w:right="420" w:rightChars="200" w:firstLine="480" w:firstLineChars="200"/>
        <w:rPr>
          <w:rFonts w:ascii="宋体" w:hAnsi="宋体" w:eastAsia="宋体" w:cs="宋体"/>
          <w:sz w:val="24"/>
          <w:szCs w:val="28"/>
          <w:highlight w:val="none"/>
        </w:rPr>
      </w:pPr>
      <w:r>
        <w:rPr>
          <w:rFonts w:hint="eastAsia" w:ascii="宋体" w:hAnsi="宋体" w:eastAsia="宋体" w:cs="宋体"/>
          <w:sz w:val="24"/>
          <w:szCs w:val="28"/>
          <w:highlight w:val="none"/>
        </w:rPr>
        <w:t>年龄：</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；职务：</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w:t>
      </w:r>
    </w:p>
    <w:p w14:paraId="6D88F669">
      <w:pPr>
        <w:spacing w:line="560" w:lineRule="exact"/>
        <w:ind w:right="420" w:rightChars="200" w:firstLine="480" w:firstLineChars="200"/>
        <w:rPr>
          <w:rFonts w:ascii="宋体" w:hAnsi="宋体" w:eastAsia="宋体" w:cs="宋体"/>
          <w:sz w:val="24"/>
          <w:szCs w:val="28"/>
          <w:highlight w:val="none"/>
        </w:rPr>
      </w:pPr>
      <w:r>
        <w:rPr>
          <w:rFonts w:hint="eastAsia" w:ascii="宋体" w:hAnsi="宋体" w:eastAsia="宋体" w:cs="宋体"/>
          <w:sz w:val="24"/>
          <w:szCs w:val="28"/>
          <w:highlight w:val="none"/>
        </w:rPr>
        <w:t>身份证号码：</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，系</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（供应商名称）的法定代表人。</w:t>
      </w:r>
    </w:p>
    <w:p w14:paraId="3A62140E">
      <w:pPr>
        <w:spacing w:line="560" w:lineRule="exact"/>
        <w:ind w:right="420" w:rightChars="200" w:firstLine="480" w:firstLineChars="200"/>
        <w:rPr>
          <w:rFonts w:ascii="宋体" w:hAnsi="宋体" w:eastAsia="宋体" w:cs="宋体"/>
          <w:sz w:val="24"/>
          <w:szCs w:val="28"/>
          <w:highlight w:val="none"/>
        </w:rPr>
      </w:pPr>
      <w:r>
        <w:rPr>
          <w:rFonts w:hint="eastAsia" w:ascii="宋体" w:hAnsi="宋体" w:eastAsia="宋体" w:cs="宋体"/>
          <w:sz w:val="24"/>
          <w:szCs w:val="28"/>
          <w:highlight w:val="none"/>
        </w:rPr>
        <w:t>特此证明。</w:t>
      </w:r>
    </w:p>
    <w:p w14:paraId="5FA824F1">
      <w:pPr>
        <w:spacing w:line="560" w:lineRule="exact"/>
        <w:ind w:right="420" w:rightChars="200" w:firstLine="480" w:firstLineChars="200"/>
        <w:rPr>
          <w:rFonts w:ascii="宋体" w:hAnsi="宋体" w:eastAsia="宋体" w:cs="宋体"/>
          <w:sz w:val="24"/>
          <w:szCs w:val="28"/>
          <w:highlight w:val="none"/>
        </w:rPr>
      </w:pPr>
      <w:r>
        <w:rPr>
          <w:rFonts w:hint="eastAsia" w:ascii="宋体" w:hAnsi="宋体" w:eastAsia="宋体" w:cs="宋体"/>
          <w:sz w:val="24"/>
          <w:szCs w:val="28"/>
          <w:highlight w:val="none"/>
        </w:rPr>
        <w:t>附：法定代表人身份证扫描件。</w:t>
      </w:r>
    </w:p>
    <w:p w14:paraId="509E12CF">
      <w:pPr>
        <w:spacing w:line="560" w:lineRule="exact"/>
        <w:ind w:left="170" w:firstLine="480" w:firstLineChars="200"/>
        <w:rPr>
          <w:rFonts w:ascii="宋体" w:hAnsi="宋体" w:eastAsia="宋体" w:cs="宋体"/>
          <w:sz w:val="24"/>
          <w:szCs w:val="28"/>
          <w:highlight w:val="none"/>
        </w:rPr>
      </w:pPr>
    </w:p>
    <w:p w14:paraId="5B446032">
      <w:pPr>
        <w:autoSpaceDE w:val="0"/>
        <w:autoSpaceDN w:val="0"/>
        <w:adjustRightInd w:val="0"/>
        <w:spacing w:line="560" w:lineRule="exact"/>
        <w:ind w:firstLine="3084" w:firstLineChars="1285"/>
        <w:jc w:val="right"/>
        <w:rPr>
          <w:rFonts w:ascii="宋体" w:hAnsi="宋体" w:eastAsia="宋体" w:cs="宋体"/>
          <w:kern w:val="0"/>
          <w:sz w:val="24"/>
          <w:szCs w:val="28"/>
          <w:highlight w:val="none"/>
        </w:rPr>
      </w:pPr>
    </w:p>
    <w:p w14:paraId="692B4590">
      <w:pPr>
        <w:autoSpaceDE w:val="0"/>
        <w:autoSpaceDN w:val="0"/>
        <w:adjustRightInd w:val="0"/>
        <w:spacing w:line="560" w:lineRule="exact"/>
        <w:ind w:firstLine="3084" w:firstLineChars="1285"/>
        <w:jc w:val="center"/>
        <w:rPr>
          <w:rFonts w:ascii="宋体" w:hAnsi="宋体" w:eastAsia="宋体" w:cs="宋体"/>
          <w:kern w:val="0"/>
          <w:sz w:val="24"/>
          <w:szCs w:val="28"/>
          <w:highlight w:val="none"/>
        </w:rPr>
      </w:pPr>
      <w:r>
        <w:rPr>
          <w:rFonts w:hint="eastAsia" w:ascii="宋体" w:hAnsi="宋体" w:eastAsia="宋体" w:cs="宋体"/>
          <w:kern w:val="0"/>
          <w:sz w:val="24"/>
          <w:szCs w:val="28"/>
          <w:highlight w:val="none"/>
        </w:rPr>
        <w:t>供应商：</w:t>
      </w:r>
      <w:r>
        <w:rPr>
          <w:rFonts w:hint="eastAsia" w:ascii="宋体" w:hAnsi="宋体" w:eastAsia="宋体" w:cs="宋体"/>
          <w:sz w:val="24"/>
          <w:szCs w:val="28"/>
          <w:highlight w:val="none"/>
          <w:u w:val="single"/>
        </w:rPr>
        <w:t xml:space="preserve">                  </w:t>
      </w:r>
      <w:r>
        <w:rPr>
          <w:rFonts w:hint="eastAsia" w:ascii="宋体" w:hAnsi="宋体" w:eastAsia="宋体" w:cs="宋体"/>
          <w:kern w:val="0"/>
          <w:sz w:val="24"/>
          <w:szCs w:val="28"/>
          <w:highlight w:val="none"/>
        </w:rPr>
        <w:t>（电子签章）</w:t>
      </w:r>
    </w:p>
    <w:p w14:paraId="3C1898A1">
      <w:pPr>
        <w:autoSpaceDE w:val="0"/>
        <w:autoSpaceDN w:val="0"/>
        <w:adjustRightInd w:val="0"/>
        <w:spacing w:line="560" w:lineRule="exact"/>
        <w:ind w:right="420" w:firstLine="4000" w:firstLineChars="1667"/>
        <w:rPr>
          <w:rFonts w:ascii="宋体" w:hAnsi="宋体" w:eastAsia="宋体" w:cs="宋体"/>
          <w:kern w:val="0"/>
          <w:sz w:val="24"/>
          <w:szCs w:val="28"/>
          <w:highlight w:val="none"/>
        </w:rPr>
      </w:pPr>
      <w:r>
        <w:rPr>
          <w:rFonts w:hint="eastAsia" w:ascii="宋体" w:hAnsi="宋体" w:eastAsia="宋体" w:cs="宋体"/>
          <w:kern w:val="0"/>
          <w:sz w:val="24"/>
          <w:szCs w:val="28"/>
          <w:highlight w:val="none"/>
        </w:rPr>
        <w:t>日  期：</w:t>
      </w:r>
      <w:r>
        <w:rPr>
          <w:rFonts w:hint="eastAsia" w:ascii="宋体" w:hAnsi="宋体" w:eastAsia="宋体" w:cs="宋体"/>
          <w:kern w:val="0"/>
          <w:sz w:val="24"/>
          <w:szCs w:val="28"/>
          <w:highlight w:val="none"/>
          <w:u w:val="single"/>
        </w:rPr>
        <w:t xml:space="preserve">      </w:t>
      </w:r>
      <w:r>
        <w:rPr>
          <w:rFonts w:hint="eastAsia" w:ascii="宋体" w:hAnsi="宋体" w:eastAsia="宋体" w:cs="宋体"/>
          <w:kern w:val="0"/>
          <w:sz w:val="24"/>
          <w:szCs w:val="28"/>
          <w:highlight w:val="none"/>
        </w:rPr>
        <w:t>年</w:t>
      </w:r>
      <w:r>
        <w:rPr>
          <w:rFonts w:ascii="宋体" w:hAnsi="宋体" w:eastAsia="宋体" w:cs="宋体"/>
          <w:kern w:val="0"/>
          <w:sz w:val="24"/>
          <w:szCs w:val="28"/>
          <w:highlight w:val="none"/>
        </w:rPr>
        <w:t xml:space="preserve"> </w:t>
      </w:r>
      <w:r>
        <w:rPr>
          <w:rFonts w:hint="eastAsia" w:ascii="宋体" w:hAnsi="宋体" w:eastAsia="宋体" w:cs="宋体"/>
          <w:kern w:val="0"/>
          <w:sz w:val="24"/>
          <w:szCs w:val="28"/>
          <w:highlight w:val="none"/>
          <w:u w:val="single"/>
        </w:rPr>
        <w:t xml:space="preserve">      </w:t>
      </w:r>
      <w:r>
        <w:rPr>
          <w:rFonts w:hint="eastAsia" w:ascii="宋体" w:hAnsi="宋体" w:eastAsia="宋体" w:cs="宋体"/>
          <w:kern w:val="0"/>
          <w:sz w:val="24"/>
          <w:szCs w:val="28"/>
          <w:highlight w:val="none"/>
        </w:rPr>
        <w:t>月</w:t>
      </w:r>
      <w:r>
        <w:rPr>
          <w:rFonts w:hint="eastAsia" w:ascii="宋体" w:hAnsi="宋体" w:eastAsia="宋体" w:cs="宋体"/>
          <w:kern w:val="0"/>
          <w:sz w:val="24"/>
          <w:szCs w:val="28"/>
          <w:highlight w:val="none"/>
          <w:u w:val="single"/>
        </w:rPr>
        <w:t xml:space="preserve">      </w:t>
      </w:r>
      <w:r>
        <w:rPr>
          <w:rFonts w:hint="eastAsia" w:ascii="宋体" w:hAnsi="宋体" w:eastAsia="宋体" w:cs="宋体"/>
          <w:kern w:val="0"/>
          <w:sz w:val="24"/>
          <w:szCs w:val="28"/>
          <w:highlight w:val="none"/>
        </w:rPr>
        <w:t>日</w:t>
      </w:r>
    </w:p>
    <w:p w14:paraId="16A420DF">
      <w:pPr>
        <w:keepNext/>
        <w:keepLines/>
        <w:spacing w:line="360" w:lineRule="auto"/>
        <w:jc w:val="center"/>
        <w:outlineLvl w:val="2"/>
        <w:rPr>
          <w:rFonts w:ascii="Calibri" w:hAnsi="Calibri" w:eastAsia="宋体" w:cs="Times New Roman"/>
          <w:b/>
          <w:bCs/>
          <w:sz w:val="28"/>
          <w:szCs w:val="32"/>
          <w:highlight w:val="none"/>
        </w:rPr>
      </w:pPr>
      <w:r>
        <w:rPr>
          <w:rFonts w:hint="eastAsia" w:ascii="宋体" w:hAnsi="宋体" w:eastAsia="宋体" w:cs="宋体"/>
          <w:b/>
          <w:bCs/>
          <w:sz w:val="28"/>
          <w:szCs w:val="24"/>
          <w:highlight w:val="none"/>
        </w:rPr>
        <w:br w:type="page"/>
      </w:r>
      <w:bookmarkStart w:id="233" w:name="_Toc528078069"/>
      <w:bookmarkEnd w:id="233"/>
      <w:bookmarkStart w:id="234" w:name="_Toc31248"/>
      <w:bookmarkStart w:id="235" w:name="_Toc23204"/>
      <w:r>
        <w:rPr>
          <w:rFonts w:hint="eastAsia" w:ascii="Calibri" w:hAnsi="Calibri" w:eastAsia="宋体" w:cs="Times New Roman"/>
          <w:b/>
          <w:bCs/>
          <w:sz w:val="28"/>
          <w:szCs w:val="32"/>
          <w:highlight w:val="none"/>
        </w:rPr>
        <w:t>三、授权委托书</w:t>
      </w:r>
      <w:bookmarkEnd w:id="234"/>
      <w:bookmarkEnd w:id="235"/>
    </w:p>
    <w:p w14:paraId="318DD052">
      <w:pPr>
        <w:spacing w:line="500" w:lineRule="exact"/>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本人</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（姓名）系</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（供应商名称）的法定代表人，现委托</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（姓名）为我方代理人。代理人根据授权，以我方名义签署、澄清、说明、补正、递交、撤回、修改</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（项目名称）投标文件、签订合同和处理有关事宜，其法律后果由我方承担。</w:t>
      </w:r>
    </w:p>
    <w:p w14:paraId="287DB44E">
      <w:pPr>
        <w:spacing w:line="500" w:lineRule="exact"/>
        <w:ind w:firstLine="480" w:firstLineChars="200"/>
        <w:rPr>
          <w:rFonts w:ascii="宋体" w:hAnsi="宋体" w:eastAsia="宋体" w:cs="Times New Roman"/>
          <w:sz w:val="24"/>
          <w:szCs w:val="24"/>
          <w:highlight w:val="none"/>
          <w:u w:val="single"/>
        </w:rPr>
      </w:pPr>
      <w:r>
        <w:rPr>
          <w:rFonts w:hint="eastAsia" w:ascii="宋体" w:hAnsi="宋体" w:eastAsia="宋体" w:cs="Times New Roman"/>
          <w:sz w:val="24"/>
          <w:szCs w:val="24"/>
          <w:highlight w:val="none"/>
        </w:rPr>
        <w:t>委托期限：</w:t>
      </w:r>
      <w:r>
        <w:rPr>
          <w:rFonts w:hint="eastAsia" w:ascii="宋体" w:hAnsi="宋体" w:eastAsia="宋体" w:cs="Times New Roman"/>
          <w:sz w:val="24"/>
          <w:szCs w:val="24"/>
          <w:highlight w:val="none"/>
          <w:u w:val="single"/>
        </w:rPr>
        <w:t xml:space="preserve">                        </w:t>
      </w:r>
    </w:p>
    <w:p w14:paraId="797AD7FE">
      <w:pPr>
        <w:spacing w:line="500" w:lineRule="exact"/>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代理人无转委托权。</w:t>
      </w:r>
    </w:p>
    <w:p w14:paraId="78BD2C4C">
      <w:pPr>
        <w:spacing w:line="500" w:lineRule="exact"/>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附：法定代表人身份证复印件、被授权委托人身份证复印件</w:t>
      </w:r>
    </w:p>
    <w:p w14:paraId="0C5957B9">
      <w:pPr>
        <w:spacing w:line="500" w:lineRule="exact"/>
        <w:rPr>
          <w:rFonts w:ascii="宋体" w:hAnsi="宋体" w:eastAsia="宋体" w:cs="Times New Roman"/>
          <w:sz w:val="24"/>
          <w:szCs w:val="24"/>
          <w:highlight w:val="none"/>
        </w:rPr>
      </w:pPr>
      <w:r>
        <w:rPr>
          <w:rFonts w:hint="eastAsia" w:ascii="宋体" w:hAnsi="宋体" w:eastAsia="宋体" w:cs="Times New Roman"/>
          <w:sz w:val="24"/>
          <w:szCs w:val="24"/>
          <w:highlight w:val="none"/>
        </w:rPr>
        <w:t xml:space="preserve"> </w:t>
      </w:r>
    </w:p>
    <w:p w14:paraId="5A870E46">
      <w:pPr>
        <w:suppressAutoHyphens/>
        <w:spacing w:line="360" w:lineRule="auto"/>
        <w:ind w:firstLine="3120" w:firstLineChars="1300"/>
        <w:rPr>
          <w:rFonts w:ascii="宋体" w:hAnsi="宋体" w:eastAsia="宋体" w:cs="Times New Roman"/>
          <w:kern w:val="1"/>
          <w:sz w:val="24"/>
          <w:szCs w:val="24"/>
          <w:highlight w:val="none"/>
        </w:rPr>
      </w:pPr>
    </w:p>
    <w:p w14:paraId="0A3B8ADE">
      <w:pPr>
        <w:suppressAutoHyphens/>
        <w:spacing w:line="360" w:lineRule="auto"/>
        <w:ind w:firstLine="3120" w:firstLineChars="1300"/>
        <w:rPr>
          <w:rFonts w:ascii="宋体" w:hAnsi="宋体" w:eastAsia="宋体" w:cs="Times New Roman"/>
          <w:kern w:val="1"/>
          <w:sz w:val="24"/>
          <w:szCs w:val="24"/>
          <w:highlight w:val="none"/>
        </w:rPr>
      </w:pPr>
    </w:p>
    <w:p w14:paraId="4AF778DD">
      <w:pPr>
        <w:suppressAutoHyphens/>
        <w:spacing w:line="480" w:lineRule="auto"/>
        <w:ind w:firstLine="3120" w:firstLineChars="1300"/>
        <w:rPr>
          <w:rFonts w:hint="eastAsia" w:ascii="宋体" w:hAnsi="宋体" w:eastAsia="宋体" w:cs="Times New Roman"/>
          <w:kern w:val="1"/>
          <w:sz w:val="24"/>
          <w:szCs w:val="24"/>
          <w:highlight w:val="none"/>
        </w:rPr>
      </w:pPr>
    </w:p>
    <w:p w14:paraId="790BEE8E">
      <w:pPr>
        <w:suppressAutoHyphens/>
        <w:spacing w:line="480" w:lineRule="auto"/>
        <w:ind w:firstLine="3120" w:firstLineChars="1300"/>
        <w:rPr>
          <w:rFonts w:hint="eastAsia" w:ascii="宋体" w:hAnsi="宋体" w:eastAsia="宋体" w:cs="Times New Roman"/>
          <w:kern w:val="1"/>
          <w:sz w:val="24"/>
          <w:szCs w:val="24"/>
          <w:highlight w:val="none"/>
        </w:rPr>
      </w:pPr>
    </w:p>
    <w:p w14:paraId="14D0AA3C">
      <w:pPr>
        <w:suppressAutoHyphens/>
        <w:spacing w:line="480" w:lineRule="auto"/>
        <w:ind w:firstLine="3120" w:firstLineChars="1300"/>
        <w:rPr>
          <w:rFonts w:hint="eastAsia" w:ascii="宋体" w:hAnsi="宋体" w:eastAsia="宋体" w:cs="Times New Roman"/>
          <w:kern w:val="1"/>
          <w:sz w:val="24"/>
          <w:szCs w:val="24"/>
          <w:highlight w:val="none"/>
        </w:rPr>
      </w:pPr>
    </w:p>
    <w:p w14:paraId="6BF658F8">
      <w:pPr>
        <w:suppressAutoHyphens/>
        <w:spacing w:line="480" w:lineRule="auto"/>
        <w:ind w:firstLine="3120" w:firstLineChars="1300"/>
        <w:rPr>
          <w:rFonts w:hint="eastAsia" w:ascii="宋体" w:hAnsi="宋体" w:eastAsia="宋体" w:cs="Times New Roman"/>
          <w:kern w:val="1"/>
          <w:sz w:val="24"/>
          <w:szCs w:val="24"/>
          <w:highlight w:val="none"/>
        </w:rPr>
      </w:pPr>
    </w:p>
    <w:p w14:paraId="294B2EA8">
      <w:pPr>
        <w:suppressAutoHyphens/>
        <w:spacing w:line="480" w:lineRule="auto"/>
        <w:ind w:firstLine="3120" w:firstLineChars="1300"/>
        <w:rPr>
          <w:rFonts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供应商：</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w:t>
      </w:r>
      <w:r>
        <w:rPr>
          <w:rFonts w:hint="eastAsia" w:ascii="宋体" w:hAnsi="宋体" w:eastAsia="宋体" w:cs="黑体"/>
          <w:bCs/>
          <w:kern w:val="0"/>
          <w:sz w:val="24"/>
          <w:szCs w:val="21"/>
          <w:highlight w:val="none"/>
        </w:rPr>
        <w:t>电子签章</w:t>
      </w:r>
      <w:r>
        <w:rPr>
          <w:rFonts w:hint="eastAsia" w:ascii="宋体" w:hAnsi="宋体" w:eastAsia="宋体" w:cs="Times New Roman"/>
          <w:kern w:val="1"/>
          <w:sz w:val="24"/>
          <w:szCs w:val="24"/>
          <w:highlight w:val="none"/>
        </w:rPr>
        <w:t>）</w:t>
      </w:r>
    </w:p>
    <w:p w14:paraId="4449ABDD">
      <w:pPr>
        <w:suppressAutoHyphens/>
        <w:spacing w:line="480" w:lineRule="auto"/>
        <w:ind w:firstLine="3120" w:firstLineChars="1300"/>
        <w:rPr>
          <w:rFonts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法定代表人：</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w:t>
      </w:r>
      <w:r>
        <w:rPr>
          <w:rFonts w:hint="eastAsia" w:ascii="Calibri" w:hAnsi="Calibri" w:eastAsia="宋体" w:cs="Times New Roman"/>
          <w:kern w:val="0"/>
          <w:sz w:val="24"/>
          <w:highlight w:val="none"/>
        </w:rPr>
        <w:t>电子签章或签字</w:t>
      </w:r>
      <w:r>
        <w:rPr>
          <w:rFonts w:hint="eastAsia" w:ascii="宋体" w:hAnsi="宋体" w:eastAsia="宋体" w:cs="Times New Roman"/>
          <w:kern w:val="1"/>
          <w:sz w:val="24"/>
          <w:szCs w:val="24"/>
          <w:highlight w:val="none"/>
        </w:rPr>
        <w:t>）</w:t>
      </w:r>
    </w:p>
    <w:p w14:paraId="5953060A">
      <w:pPr>
        <w:suppressAutoHyphens/>
        <w:spacing w:line="480" w:lineRule="auto"/>
        <w:ind w:firstLine="3120" w:firstLineChars="1300"/>
        <w:rPr>
          <w:rFonts w:ascii="宋体" w:hAnsi="宋体" w:eastAsia="宋体" w:cs="Times New Roman"/>
          <w:kern w:val="1"/>
          <w:sz w:val="24"/>
          <w:szCs w:val="24"/>
          <w:highlight w:val="none"/>
          <w:u w:val="single"/>
        </w:rPr>
      </w:pPr>
      <w:r>
        <w:rPr>
          <w:rFonts w:hint="eastAsia" w:ascii="宋体" w:hAnsi="宋体" w:eastAsia="宋体" w:cs="仿宋_GB2312"/>
          <w:kern w:val="0"/>
          <w:sz w:val="24"/>
          <w:szCs w:val="24"/>
          <w:highlight w:val="none"/>
        </w:rPr>
        <w:t>身份证号码：</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611B95C8">
      <w:pPr>
        <w:suppressAutoHyphens/>
        <w:spacing w:line="480" w:lineRule="auto"/>
        <w:ind w:firstLine="3120" w:firstLineChars="1300"/>
        <w:rPr>
          <w:rFonts w:ascii="宋体" w:hAnsi="宋体" w:eastAsia="宋体" w:cs="Times New Roman"/>
          <w:kern w:val="1"/>
          <w:sz w:val="24"/>
          <w:szCs w:val="24"/>
          <w:highlight w:val="none"/>
          <w:u w:val="single"/>
        </w:rPr>
      </w:pPr>
      <w:r>
        <w:rPr>
          <w:rFonts w:hint="eastAsia" w:ascii="宋体" w:hAnsi="宋体" w:eastAsia="宋体" w:cs="Times New Roman"/>
          <w:kern w:val="1"/>
          <w:sz w:val="24"/>
          <w:szCs w:val="24"/>
          <w:highlight w:val="none"/>
        </w:rPr>
        <w:t>联系电话：</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7A4E05ED">
      <w:pPr>
        <w:suppressAutoHyphens/>
        <w:spacing w:line="480" w:lineRule="auto"/>
        <w:ind w:firstLine="3120" w:firstLineChars="1300"/>
        <w:rPr>
          <w:rFonts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委托代理人：</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 xml:space="preserve">（签字） </w:t>
      </w:r>
    </w:p>
    <w:p w14:paraId="1E4640FF">
      <w:pPr>
        <w:suppressAutoHyphens/>
        <w:spacing w:line="480" w:lineRule="auto"/>
        <w:ind w:firstLine="3120" w:firstLineChars="1300"/>
        <w:rPr>
          <w:rFonts w:ascii="宋体" w:hAnsi="宋体" w:eastAsia="宋体" w:cs="Times New Roman"/>
          <w:kern w:val="1"/>
          <w:sz w:val="24"/>
          <w:szCs w:val="24"/>
          <w:highlight w:val="none"/>
          <w:u w:val="single"/>
        </w:rPr>
      </w:pPr>
      <w:r>
        <w:rPr>
          <w:rFonts w:hint="eastAsia" w:ascii="宋体" w:hAnsi="宋体" w:eastAsia="宋体" w:cs="Times New Roman"/>
          <w:kern w:val="1"/>
          <w:sz w:val="24"/>
          <w:szCs w:val="24"/>
          <w:highlight w:val="none"/>
        </w:rPr>
        <w:t>身份证号码：</w:t>
      </w:r>
      <w:r>
        <w:rPr>
          <w:rFonts w:hint="eastAsia" w:ascii="宋体" w:hAnsi="宋体" w:eastAsia="宋体" w:cs="Times New Roman"/>
          <w:kern w:val="1"/>
          <w:sz w:val="24"/>
          <w:szCs w:val="24"/>
          <w:highlight w:val="none"/>
          <w:u w:val="single"/>
        </w:rPr>
        <w:t xml:space="preserve">                      </w:t>
      </w:r>
    </w:p>
    <w:p w14:paraId="70F046F5">
      <w:pPr>
        <w:suppressAutoHyphens/>
        <w:spacing w:line="480" w:lineRule="auto"/>
        <w:ind w:firstLine="3120" w:firstLineChars="1300"/>
        <w:rPr>
          <w:rFonts w:ascii="宋体" w:hAnsi="宋体" w:eastAsia="宋体" w:cs="Times New Roman"/>
          <w:kern w:val="1"/>
          <w:sz w:val="24"/>
          <w:szCs w:val="24"/>
          <w:highlight w:val="none"/>
        </w:rPr>
      </w:pPr>
      <w:r>
        <w:rPr>
          <w:rFonts w:hint="eastAsia" w:ascii="宋体" w:hAnsi="宋体" w:eastAsia="宋体" w:cs="Times New Roman"/>
          <w:kern w:val="1"/>
          <w:sz w:val="24"/>
          <w:szCs w:val="24"/>
          <w:highlight w:val="none"/>
        </w:rPr>
        <w:t>联系电话：</w:t>
      </w:r>
      <w:r>
        <w:rPr>
          <w:rFonts w:hint="eastAsia" w:ascii="宋体" w:hAnsi="宋体" w:eastAsia="宋体" w:cs="仿宋_GB2312"/>
          <w:kern w:val="0"/>
          <w:sz w:val="24"/>
          <w:szCs w:val="24"/>
          <w:highlight w:val="none"/>
          <w:u w:val="single"/>
        </w:rPr>
        <w:t xml:space="preserve">                  </w:t>
      </w:r>
      <w:r>
        <w:rPr>
          <w:rFonts w:hint="eastAsia" w:ascii="宋体" w:hAnsi="宋体" w:eastAsia="宋体" w:cs="Times New Roman"/>
          <w:kern w:val="1"/>
          <w:sz w:val="24"/>
          <w:szCs w:val="24"/>
          <w:highlight w:val="none"/>
          <w:u w:val="single"/>
        </w:rPr>
        <w:t xml:space="preserve">      </w:t>
      </w:r>
    </w:p>
    <w:p w14:paraId="4CDF2727">
      <w:pPr>
        <w:suppressAutoHyphens/>
        <w:spacing w:line="360" w:lineRule="auto"/>
        <w:ind w:firstLine="3120" w:firstLineChars="1300"/>
        <w:rPr>
          <w:rFonts w:ascii="宋体" w:hAnsi="宋体" w:eastAsia="宋体" w:cs="Times New Roman"/>
          <w:kern w:val="1"/>
          <w:sz w:val="24"/>
          <w:szCs w:val="24"/>
          <w:highlight w:val="none"/>
        </w:rPr>
      </w:pP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年</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月</w:t>
      </w:r>
      <w:r>
        <w:rPr>
          <w:rFonts w:hint="eastAsia" w:ascii="宋体" w:hAnsi="宋体" w:eastAsia="宋体" w:cs="Times New Roman"/>
          <w:kern w:val="1"/>
          <w:sz w:val="24"/>
          <w:szCs w:val="24"/>
          <w:highlight w:val="none"/>
          <w:u w:val="single"/>
        </w:rPr>
        <w:t xml:space="preserve">       </w:t>
      </w:r>
      <w:r>
        <w:rPr>
          <w:rFonts w:hint="eastAsia" w:ascii="宋体" w:hAnsi="宋体" w:eastAsia="宋体" w:cs="Times New Roman"/>
          <w:kern w:val="1"/>
          <w:sz w:val="24"/>
          <w:szCs w:val="24"/>
          <w:highlight w:val="none"/>
        </w:rPr>
        <w:t>日</w:t>
      </w:r>
    </w:p>
    <w:p w14:paraId="27EDF0A4">
      <w:pPr>
        <w:widowControl/>
        <w:jc w:val="left"/>
        <w:rPr>
          <w:rFonts w:ascii="宋体" w:hAnsi="宋体" w:eastAsia="宋体" w:cs="Times New Roman"/>
          <w:kern w:val="0"/>
          <w:sz w:val="24"/>
          <w:szCs w:val="24"/>
          <w:highlight w:val="none"/>
        </w:rPr>
      </w:pPr>
      <w:r>
        <w:rPr>
          <w:rFonts w:hint="eastAsia" w:ascii="宋体" w:hAnsi="宋体" w:eastAsia="宋体" w:cs="Times New Roman"/>
          <w:kern w:val="0"/>
          <w:sz w:val="24"/>
          <w:szCs w:val="24"/>
          <w:highlight w:val="none"/>
        </w:rPr>
        <w:t xml:space="preserve"> </w:t>
      </w:r>
    </w:p>
    <w:p w14:paraId="6E358583">
      <w:pPr>
        <w:keepNext/>
        <w:keepLines/>
        <w:spacing w:line="360" w:lineRule="auto"/>
        <w:jc w:val="center"/>
        <w:outlineLvl w:val="2"/>
        <w:rPr>
          <w:rFonts w:ascii="Calibri" w:hAnsi="Calibri" w:eastAsia="宋体" w:cs="Times New Roman"/>
          <w:b/>
          <w:bCs/>
          <w:sz w:val="28"/>
          <w:szCs w:val="32"/>
          <w:highlight w:val="none"/>
        </w:rPr>
      </w:pPr>
      <w:bookmarkStart w:id="236" w:name="_Toc10352"/>
      <w:bookmarkEnd w:id="236"/>
      <w:r>
        <w:rPr>
          <w:rFonts w:hint="eastAsia" w:ascii="宋体" w:hAnsi="宋体" w:eastAsia="宋体" w:cs="宋体"/>
          <w:b/>
          <w:bCs/>
          <w:sz w:val="28"/>
          <w:szCs w:val="24"/>
          <w:highlight w:val="none"/>
        </w:rPr>
        <w:br w:type="page"/>
      </w:r>
      <w:bookmarkStart w:id="237" w:name="_Toc14248"/>
      <w:r>
        <w:rPr>
          <w:rFonts w:hint="eastAsia" w:ascii="Calibri" w:hAnsi="Calibri" w:eastAsia="宋体" w:cs="Times New Roman"/>
          <w:b/>
          <w:bCs/>
          <w:sz w:val="28"/>
          <w:szCs w:val="32"/>
          <w:highlight w:val="none"/>
        </w:rPr>
        <w:t>四、投标承诺函</w:t>
      </w:r>
      <w:bookmarkEnd w:id="237"/>
    </w:p>
    <w:p w14:paraId="164FECCD">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 xml:space="preserve">致 （招标人）：                     </w:t>
      </w:r>
    </w:p>
    <w:p w14:paraId="133C31D8">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我公司作为本次采购项目的供应商，根据招标文件要求，现郑重承诺如下：</w:t>
      </w:r>
    </w:p>
    <w:p w14:paraId="0750D5E2">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一、具备《中华人民共和国政府采购法》第二十二条第一款和本项目规定的条件：</w:t>
      </w:r>
    </w:p>
    <w:p w14:paraId="4329EB3C">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（一）具有独立承担民事责任的能力；</w:t>
      </w:r>
    </w:p>
    <w:p w14:paraId="3A32361D">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（二）具有良好的商业信誉和健全的财务会计制度；</w:t>
      </w:r>
    </w:p>
    <w:p w14:paraId="3352BDCB">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（三）具有履行合同所必需的设备和专业技术能力；</w:t>
      </w:r>
    </w:p>
    <w:p w14:paraId="0847E4A0">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（四）有依法缴纳税收的良好记录；</w:t>
      </w:r>
    </w:p>
    <w:p w14:paraId="491A735D">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（五）参加政府采购活动前三年内，在经营活动中没有重大违法记录；</w:t>
      </w:r>
    </w:p>
    <w:p w14:paraId="16C89B31">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（六）法律、行政法规规定的其他条件；</w:t>
      </w:r>
    </w:p>
    <w:p w14:paraId="28F66990">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（七）根据采购项目提出的特殊条件。</w:t>
      </w:r>
    </w:p>
    <w:p w14:paraId="103C8D16">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二、完全接受和满足本项目招标文件中规定的实质性要求，如对竞招标文件有异议，已经在投标截止时间届满前依法进行维权救济，不存在对招标文件有异议的同时又参加投标以求侥幸中标或者为实现其他非法目的的行为。</w:t>
      </w:r>
    </w:p>
    <w:p w14:paraId="7DFD3B50">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三、参加本次招标采购活动，不存在与单位负责人为同一人或者存在直接控股、管理关系的其他供应商参与同一合同项下的政府采购活动的行为。</w:t>
      </w:r>
    </w:p>
    <w:p w14:paraId="76D96059">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四、参加本次招标采购活动，不存在为采购项目提供整体设计、规范编制或者项目管理、监理、检测等服务的行为。</w:t>
      </w:r>
    </w:p>
    <w:p w14:paraId="0C5232F1">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五、参加本次招标采购活动，不存在和其他供应商在同一合同项下的采购项目中，同时委托同一个自然人、同一家庭的人员、同一单位的人员作为代理人的行为。</w:t>
      </w:r>
    </w:p>
    <w:p w14:paraId="4878FDB9">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六、供应商参加本次政府采购活动要求在近三年内供应商和其法定代表人没有行贿犯罪行为。</w:t>
      </w:r>
    </w:p>
    <w:p w14:paraId="64AA888F">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七、参加本次招标采购活动，不存在联合体投标。</w:t>
      </w:r>
    </w:p>
    <w:p w14:paraId="7D45B46E">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八、投标文件中提供的能够给予我公司带来优惠、好处的任何材料资料和技术、服务、商务等响应承诺情况都是真实的、有效的、合法的。</w:t>
      </w:r>
    </w:p>
    <w:p w14:paraId="7627E209">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九、如本项目评标过程中需要提供样品，则我公司提供的样品即为中标后将要提供的中标产品，我公司对提供样品的性能和质量负责，因样品存在缺陷或者不符合招标文件导致未能中标的，我公司愿意承担相应不利后果。（如提供样品）</w:t>
      </w:r>
    </w:p>
    <w:p w14:paraId="731759B2">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十、存在以下行为之一的愿意接受相关部门的处理：</w:t>
      </w:r>
    </w:p>
    <w:p w14:paraId="61D8E731">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（一）投标有效期内撤销投标文件的；</w:t>
      </w:r>
    </w:p>
    <w:p w14:paraId="592A216F">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（二）在招标人确定中标人以前放弃中标候选资格的；</w:t>
      </w:r>
    </w:p>
    <w:p w14:paraId="405188F9">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（三）由于中标人的原因未能按照招标文件的规定与招标人签订合同；</w:t>
      </w:r>
    </w:p>
    <w:p w14:paraId="130096A5">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（四）在投标文件中提供虚假材料谋取中标；</w:t>
      </w:r>
    </w:p>
    <w:p w14:paraId="189FF7C8">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（五）与招标人、其他供应商或者招标代理机构恶意串通的；</w:t>
      </w:r>
    </w:p>
    <w:p w14:paraId="4BF18434">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（六）投标有效期内，供应商在政府采购活动中有违法、违规、违纪行为。由此产生的一切法律后果和责任由我公司承担。我公司声明放弃对此提出任何异议和追索的权利。</w:t>
      </w:r>
    </w:p>
    <w:p w14:paraId="0B69A2D9">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本公司对上述承诺的内容事项真实性负责。如经查实上述承诺的内容事项存在虚假，我公司愿意接受以提供虚假材料谋取中标追究法律责任。</w:t>
      </w:r>
    </w:p>
    <w:p w14:paraId="6E991E25">
      <w:pPr>
        <w:spacing w:line="360" w:lineRule="auto"/>
        <w:ind w:firstLine="480" w:firstLineChars="200"/>
        <w:rPr>
          <w:rFonts w:ascii="Calibri" w:hAnsi="Calibri" w:eastAsia="宋体" w:cs="Times New Roman"/>
          <w:sz w:val="24"/>
          <w:szCs w:val="28"/>
          <w:highlight w:val="none"/>
        </w:rPr>
      </w:pPr>
    </w:p>
    <w:p w14:paraId="03265DF1">
      <w:pPr>
        <w:spacing w:line="360" w:lineRule="auto"/>
        <w:ind w:firstLine="480" w:firstLineChars="200"/>
        <w:rPr>
          <w:rFonts w:ascii="Calibri" w:hAnsi="Calibri" w:eastAsia="宋体" w:cs="Times New Roman"/>
          <w:sz w:val="24"/>
          <w:szCs w:val="28"/>
          <w:highlight w:val="none"/>
        </w:rPr>
      </w:pPr>
      <w:bookmarkStart w:id="238" w:name="五、磋商报价明细表"/>
      <w:bookmarkEnd w:id="238"/>
    </w:p>
    <w:p w14:paraId="71EE9AA0">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供应商：</w:t>
      </w:r>
      <w:r>
        <w:rPr>
          <w:rFonts w:ascii="Calibri" w:hAnsi="Calibri" w:eastAsia="宋体" w:cs="Times New Roman"/>
          <w:sz w:val="24"/>
          <w:szCs w:val="28"/>
          <w:highlight w:val="none"/>
          <w:u w:val="single"/>
        </w:rPr>
        <w:t xml:space="preserve">                      </w:t>
      </w:r>
      <w:r>
        <w:rPr>
          <w:rFonts w:hint="eastAsia" w:ascii="宋体" w:hAnsi="宋体" w:eastAsia="宋体" w:cs="Times New Roman"/>
          <w:kern w:val="1"/>
          <w:sz w:val="24"/>
          <w:szCs w:val="24"/>
          <w:highlight w:val="none"/>
        </w:rPr>
        <w:t>（</w:t>
      </w:r>
      <w:r>
        <w:rPr>
          <w:rFonts w:hint="eastAsia" w:ascii="宋体" w:hAnsi="宋体" w:eastAsia="宋体" w:cs="黑体"/>
          <w:bCs/>
          <w:kern w:val="0"/>
          <w:sz w:val="24"/>
          <w:szCs w:val="21"/>
          <w:highlight w:val="none"/>
        </w:rPr>
        <w:t>电子签章</w:t>
      </w:r>
      <w:r>
        <w:rPr>
          <w:rFonts w:hint="eastAsia" w:ascii="宋体" w:hAnsi="宋体" w:eastAsia="宋体" w:cs="Times New Roman"/>
          <w:kern w:val="1"/>
          <w:sz w:val="24"/>
          <w:szCs w:val="24"/>
          <w:highlight w:val="none"/>
        </w:rPr>
        <w:t>）</w:t>
      </w:r>
    </w:p>
    <w:p w14:paraId="69AECF2E">
      <w:pPr>
        <w:spacing w:line="360" w:lineRule="auto"/>
        <w:ind w:firstLine="480" w:firstLineChars="200"/>
        <w:rPr>
          <w:rFonts w:ascii="Calibri" w:hAnsi="Calibri" w:eastAsia="宋体" w:cs="Times New Roman"/>
          <w:sz w:val="24"/>
          <w:szCs w:val="28"/>
          <w:highlight w:val="none"/>
        </w:rPr>
      </w:pPr>
      <w:r>
        <w:rPr>
          <w:rFonts w:hint="eastAsia" w:ascii="Calibri" w:hAnsi="Calibri" w:eastAsia="宋体" w:cs="Times New Roman"/>
          <w:sz w:val="24"/>
          <w:szCs w:val="28"/>
          <w:highlight w:val="none"/>
        </w:rPr>
        <w:t>法定代表人：</w:t>
      </w:r>
      <w:r>
        <w:rPr>
          <w:rFonts w:ascii="Calibri" w:hAnsi="Calibri" w:eastAsia="宋体" w:cs="Times New Roman"/>
          <w:sz w:val="24"/>
          <w:szCs w:val="28"/>
          <w:highlight w:val="none"/>
          <w:u w:val="single"/>
        </w:rPr>
        <w:t xml:space="preserve">              </w:t>
      </w:r>
      <w:r>
        <w:rPr>
          <w:rFonts w:hint="eastAsia" w:ascii="Calibri" w:hAnsi="Calibri" w:eastAsia="宋体" w:cs="Times New Roman"/>
          <w:sz w:val="24"/>
          <w:szCs w:val="28"/>
          <w:highlight w:val="none"/>
        </w:rPr>
        <w:t>（</w:t>
      </w:r>
      <w:r>
        <w:rPr>
          <w:rFonts w:hint="eastAsia" w:ascii="Calibri" w:hAnsi="Calibri" w:eastAsia="宋体" w:cs="Times New Roman"/>
          <w:kern w:val="0"/>
          <w:sz w:val="24"/>
          <w:highlight w:val="none"/>
        </w:rPr>
        <w:t>电子签章或签字</w:t>
      </w:r>
      <w:r>
        <w:rPr>
          <w:rFonts w:hint="eastAsia" w:ascii="Calibri" w:hAnsi="Calibri" w:eastAsia="宋体" w:cs="Times New Roman"/>
          <w:sz w:val="24"/>
          <w:szCs w:val="28"/>
          <w:highlight w:val="none"/>
        </w:rPr>
        <w:t>）</w:t>
      </w:r>
    </w:p>
    <w:p w14:paraId="724F0D92">
      <w:pPr>
        <w:autoSpaceDE w:val="0"/>
        <w:autoSpaceDN w:val="0"/>
        <w:adjustRightInd w:val="0"/>
        <w:spacing w:line="560" w:lineRule="exact"/>
        <w:ind w:right="420" w:firstLine="480" w:firstLineChars="200"/>
        <w:rPr>
          <w:rFonts w:ascii="宋体" w:hAnsi="宋体" w:eastAsia="宋体" w:cs="宋体"/>
          <w:kern w:val="0"/>
          <w:sz w:val="24"/>
          <w:szCs w:val="28"/>
          <w:highlight w:val="none"/>
        </w:rPr>
      </w:pPr>
      <w:r>
        <w:rPr>
          <w:rFonts w:hint="eastAsia" w:ascii="宋体" w:hAnsi="宋体" w:eastAsia="宋体" w:cs="宋体"/>
          <w:kern w:val="0"/>
          <w:sz w:val="24"/>
          <w:szCs w:val="28"/>
          <w:highlight w:val="none"/>
        </w:rPr>
        <w:t>日  期：</w:t>
      </w:r>
      <w:r>
        <w:rPr>
          <w:rFonts w:hint="eastAsia" w:ascii="宋体" w:hAnsi="宋体" w:eastAsia="宋体" w:cs="宋体"/>
          <w:kern w:val="0"/>
          <w:sz w:val="24"/>
          <w:szCs w:val="28"/>
          <w:highlight w:val="none"/>
          <w:u w:val="single"/>
        </w:rPr>
        <w:t xml:space="preserve">      </w:t>
      </w:r>
      <w:r>
        <w:rPr>
          <w:rFonts w:hint="eastAsia" w:ascii="宋体" w:hAnsi="宋体" w:eastAsia="宋体" w:cs="宋体"/>
          <w:kern w:val="0"/>
          <w:sz w:val="24"/>
          <w:szCs w:val="28"/>
          <w:highlight w:val="none"/>
        </w:rPr>
        <w:t xml:space="preserve">年 </w:t>
      </w:r>
      <w:r>
        <w:rPr>
          <w:rFonts w:hint="eastAsia" w:ascii="宋体" w:hAnsi="宋体" w:eastAsia="宋体" w:cs="宋体"/>
          <w:kern w:val="0"/>
          <w:sz w:val="24"/>
          <w:szCs w:val="28"/>
          <w:highlight w:val="none"/>
          <w:u w:val="single"/>
        </w:rPr>
        <w:t xml:space="preserve">      </w:t>
      </w:r>
      <w:r>
        <w:rPr>
          <w:rFonts w:hint="eastAsia" w:ascii="宋体" w:hAnsi="宋体" w:eastAsia="宋体" w:cs="宋体"/>
          <w:kern w:val="0"/>
          <w:sz w:val="24"/>
          <w:szCs w:val="28"/>
          <w:highlight w:val="none"/>
        </w:rPr>
        <w:t>月</w:t>
      </w:r>
      <w:r>
        <w:rPr>
          <w:rFonts w:hint="eastAsia" w:ascii="宋体" w:hAnsi="宋体" w:eastAsia="宋体" w:cs="宋体"/>
          <w:kern w:val="0"/>
          <w:sz w:val="24"/>
          <w:szCs w:val="28"/>
          <w:highlight w:val="none"/>
          <w:u w:val="single"/>
        </w:rPr>
        <w:t xml:space="preserve">      </w:t>
      </w:r>
      <w:r>
        <w:rPr>
          <w:rFonts w:hint="eastAsia" w:ascii="宋体" w:hAnsi="宋体" w:eastAsia="宋体" w:cs="宋体"/>
          <w:kern w:val="0"/>
          <w:sz w:val="24"/>
          <w:szCs w:val="28"/>
          <w:highlight w:val="none"/>
        </w:rPr>
        <w:t>日</w:t>
      </w:r>
    </w:p>
    <w:p w14:paraId="5DC88F86">
      <w:pPr>
        <w:keepNext/>
        <w:keepLines/>
        <w:spacing w:line="360" w:lineRule="auto"/>
        <w:jc w:val="center"/>
        <w:outlineLvl w:val="2"/>
        <w:rPr>
          <w:rFonts w:ascii="Calibri" w:hAnsi="Calibri" w:eastAsia="宋体" w:cs="Times New Roman"/>
          <w:b/>
          <w:bCs/>
          <w:sz w:val="28"/>
          <w:szCs w:val="32"/>
          <w:highlight w:val="none"/>
        </w:rPr>
      </w:pPr>
      <w:r>
        <w:rPr>
          <w:rFonts w:hint="eastAsia" w:ascii="宋体" w:hAnsi="宋体" w:eastAsia="宋体" w:cs="宋体"/>
          <w:b/>
          <w:bCs/>
          <w:sz w:val="28"/>
          <w:szCs w:val="24"/>
          <w:highlight w:val="none"/>
        </w:rPr>
        <w:br w:type="page"/>
      </w:r>
      <w:bookmarkStart w:id="239" w:name="_Toc361989462"/>
      <w:bookmarkEnd w:id="239"/>
      <w:bookmarkStart w:id="240" w:name="_Hlk3282331"/>
      <w:bookmarkEnd w:id="240"/>
      <w:bookmarkStart w:id="241" w:name="_Toc244934212"/>
      <w:bookmarkEnd w:id="241"/>
      <w:bookmarkStart w:id="242" w:name="_Toc528078071"/>
      <w:bookmarkEnd w:id="242"/>
      <w:bookmarkStart w:id="243" w:name="_Toc6985"/>
      <w:bookmarkStart w:id="244" w:name="_Toc23028"/>
      <w:bookmarkStart w:id="245" w:name="_Toc28663"/>
      <w:bookmarkStart w:id="246" w:name="_Toc22807"/>
      <w:r>
        <w:rPr>
          <w:rFonts w:hint="eastAsia" w:ascii="Calibri" w:hAnsi="Calibri" w:eastAsia="宋体" w:cs="Times New Roman"/>
          <w:b/>
          <w:bCs/>
          <w:sz w:val="28"/>
          <w:szCs w:val="32"/>
          <w:highlight w:val="none"/>
        </w:rPr>
        <w:t>五、报价明细表</w:t>
      </w:r>
      <w:bookmarkEnd w:id="243"/>
      <w:bookmarkEnd w:id="244"/>
      <w:bookmarkEnd w:id="245"/>
      <w:bookmarkEnd w:id="246"/>
    </w:p>
    <w:tbl>
      <w:tblPr>
        <w:tblStyle w:val="15"/>
        <w:tblW w:w="8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940"/>
        <w:gridCol w:w="1301"/>
        <w:gridCol w:w="945"/>
        <w:gridCol w:w="945"/>
        <w:gridCol w:w="1320"/>
        <w:gridCol w:w="1342"/>
        <w:gridCol w:w="850"/>
      </w:tblGrid>
      <w:tr w14:paraId="74CC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723700B0">
            <w:pPr>
              <w:jc w:val="center"/>
              <w:rPr>
                <w:rFonts w:ascii="宋体" w:hAnsi="宋体" w:eastAsia="宋体" w:cs="宋体"/>
                <w:sz w:val="24"/>
                <w:highlight w:val="none"/>
              </w:rPr>
            </w:pPr>
            <w:r>
              <w:rPr>
                <w:rFonts w:hint="eastAsia" w:ascii="宋体" w:hAnsi="宋体" w:eastAsia="宋体" w:cs="宋体"/>
                <w:sz w:val="24"/>
                <w:highlight w:val="none"/>
              </w:rPr>
              <w:t>序号</w:t>
            </w:r>
          </w:p>
        </w:tc>
        <w:tc>
          <w:tcPr>
            <w:tcW w:w="940" w:type="dxa"/>
            <w:tcBorders>
              <w:top w:val="single" w:color="auto" w:sz="4" w:space="0"/>
              <w:left w:val="nil"/>
              <w:bottom w:val="single" w:color="auto" w:sz="4" w:space="0"/>
              <w:right w:val="single" w:color="auto" w:sz="4" w:space="0"/>
            </w:tcBorders>
            <w:vAlign w:val="center"/>
          </w:tcPr>
          <w:p w14:paraId="43224730">
            <w:pPr>
              <w:rPr>
                <w:rFonts w:ascii="宋体" w:hAnsi="宋体" w:eastAsia="宋体" w:cs="宋体"/>
                <w:sz w:val="24"/>
                <w:szCs w:val="24"/>
                <w:highlight w:val="none"/>
              </w:rPr>
            </w:pPr>
            <w:r>
              <w:rPr>
                <w:rFonts w:hint="eastAsia" w:ascii="宋体" w:hAnsi="宋体" w:eastAsia="宋体" w:cs="宋体"/>
                <w:sz w:val="24"/>
                <w:szCs w:val="24"/>
                <w:highlight w:val="none"/>
              </w:rPr>
              <w:t>物品名称</w:t>
            </w:r>
          </w:p>
        </w:tc>
        <w:tc>
          <w:tcPr>
            <w:tcW w:w="1301" w:type="dxa"/>
            <w:tcBorders>
              <w:top w:val="single" w:color="auto" w:sz="4" w:space="0"/>
              <w:left w:val="nil"/>
              <w:bottom w:val="single" w:color="auto" w:sz="4" w:space="0"/>
              <w:right w:val="single" w:color="auto" w:sz="4" w:space="0"/>
            </w:tcBorders>
            <w:vAlign w:val="center"/>
          </w:tcPr>
          <w:p w14:paraId="6A169F4A">
            <w:pPr>
              <w:rPr>
                <w:rFonts w:ascii="宋体" w:hAnsi="宋体" w:eastAsia="宋体" w:cs="宋体"/>
                <w:sz w:val="24"/>
                <w:highlight w:val="none"/>
              </w:rPr>
            </w:pPr>
            <w:r>
              <w:rPr>
                <w:rFonts w:hint="eastAsia" w:ascii="宋体" w:hAnsi="宋体" w:eastAsia="宋体" w:cs="宋体"/>
                <w:sz w:val="24"/>
                <w:highlight w:val="none"/>
              </w:rPr>
              <w:t>型号、规格</w:t>
            </w:r>
          </w:p>
        </w:tc>
        <w:tc>
          <w:tcPr>
            <w:tcW w:w="945" w:type="dxa"/>
            <w:tcBorders>
              <w:top w:val="single" w:color="auto" w:sz="4" w:space="0"/>
              <w:left w:val="nil"/>
              <w:bottom w:val="single" w:color="auto" w:sz="4" w:space="0"/>
              <w:right w:val="single" w:color="auto" w:sz="4" w:space="0"/>
            </w:tcBorders>
            <w:vAlign w:val="center"/>
          </w:tcPr>
          <w:p w14:paraId="00E9BC91">
            <w:pPr>
              <w:jc w:val="center"/>
              <w:rPr>
                <w:rFonts w:ascii="宋体" w:hAnsi="宋体" w:eastAsia="宋体" w:cs="黑体"/>
                <w:sz w:val="24"/>
                <w:highlight w:val="none"/>
              </w:rPr>
            </w:pPr>
            <w:r>
              <w:rPr>
                <w:rFonts w:hint="eastAsia" w:ascii="宋体" w:hAnsi="宋体" w:eastAsia="宋体" w:cs="Times New Roman"/>
                <w:sz w:val="24"/>
                <w:highlight w:val="none"/>
              </w:rPr>
              <w:t>单位</w:t>
            </w:r>
          </w:p>
        </w:tc>
        <w:tc>
          <w:tcPr>
            <w:tcW w:w="945" w:type="dxa"/>
            <w:tcBorders>
              <w:top w:val="single" w:color="auto" w:sz="4" w:space="0"/>
              <w:left w:val="nil"/>
              <w:bottom w:val="single" w:color="auto" w:sz="4" w:space="0"/>
              <w:right w:val="single" w:color="auto" w:sz="4" w:space="0"/>
            </w:tcBorders>
            <w:vAlign w:val="center"/>
          </w:tcPr>
          <w:p w14:paraId="21F3C29F">
            <w:pPr>
              <w:jc w:val="center"/>
              <w:rPr>
                <w:rFonts w:ascii="宋体" w:hAnsi="宋体" w:eastAsia="宋体" w:cs="宋体"/>
                <w:sz w:val="24"/>
                <w:highlight w:val="none"/>
              </w:rPr>
            </w:pPr>
            <w:r>
              <w:rPr>
                <w:rFonts w:hint="eastAsia" w:ascii="宋体" w:hAnsi="宋体" w:eastAsia="宋体" w:cs="宋体"/>
                <w:sz w:val="24"/>
                <w:highlight w:val="none"/>
              </w:rPr>
              <w:t>数量</w:t>
            </w:r>
          </w:p>
        </w:tc>
        <w:tc>
          <w:tcPr>
            <w:tcW w:w="1320" w:type="dxa"/>
            <w:tcBorders>
              <w:top w:val="single" w:color="auto" w:sz="4" w:space="0"/>
              <w:left w:val="nil"/>
              <w:bottom w:val="single" w:color="auto" w:sz="4" w:space="0"/>
              <w:right w:val="single" w:color="auto" w:sz="4" w:space="0"/>
            </w:tcBorders>
            <w:vAlign w:val="center"/>
          </w:tcPr>
          <w:p w14:paraId="1F7E0D3B">
            <w:pPr>
              <w:jc w:val="center"/>
              <w:rPr>
                <w:rFonts w:ascii="宋体" w:hAnsi="宋体" w:eastAsia="宋体" w:cs="宋体"/>
                <w:sz w:val="24"/>
                <w:highlight w:val="none"/>
              </w:rPr>
            </w:pPr>
            <w:r>
              <w:rPr>
                <w:rFonts w:hint="eastAsia" w:ascii="宋体" w:hAnsi="宋体" w:eastAsia="宋体" w:cs="宋体"/>
                <w:sz w:val="24"/>
                <w:highlight w:val="none"/>
              </w:rPr>
              <w:t>单价（元）</w:t>
            </w:r>
          </w:p>
        </w:tc>
        <w:tc>
          <w:tcPr>
            <w:tcW w:w="1342" w:type="dxa"/>
            <w:tcBorders>
              <w:top w:val="single" w:color="auto" w:sz="4" w:space="0"/>
              <w:left w:val="nil"/>
              <w:bottom w:val="single" w:color="auto" w:sz="4" w:space="0"/>
              <w:right w:val="single" w:color="auto" w:sz="4" w:space="0"/>
            </w:tcBorders>
            <w:vAlign w:val="center"/>
          </w:tcPr>
          <w:p w14:paraId="41CE49A4">
            <w:pPr>
              <w:jc w:val="center"/>
              <w:rPr>
                <w:rFonts w:ascii="宋体" w:hAnsi="宋体" w:eastAsia="宋体" w:cs="宋体"/>
                <w:sz w:val="24"/>
                <w:highlight w:val="none"/>
              </w:rPr>
            </w:pPr>
            <w:r>
              <w:rPr>
                <w:rFonts w:hint="eastAsia" w:ascii="宋体" w:hAnsi="宋体" w:eastAsia="宋体" w:cs="宋体"/>
                <w:sz w:val="24"/>
                <w:highlight w:val="none"/>
              </w:rPr>
              <w:t>合计（元）</w:t>
            </w:r>
          </w:p>
        </w:tc>
        <w:tc>
          <w:tcPr>
            <w:tcW w:w="850" w:type="dxa"/>
            <w:tcBorders>
              <w:top w:val="single" w:color="auto" w:sz="4" w:space="0"/>
              <w:left w:val="nil"/>
              <w:bottom w:val="single" w:color="auto" w:sz="4" w:space="0"/>
              <w:right w:val="single" w:color="auto" w:sz="4" w:space="0"/>
            </w:tcBorders>
            <w:vAlign w:val="center"/>
          </w:tcPr>
          <w:p w14:paraId="21EBF96D">
            <w:pPr>
              <w:jc w:val="center"/>
              <w:rPr>
                <w:rFonts w:ascii="宋体" w:hAnsi="宋体" w:eastAsia="宋体" w:cs="宋体"/>
                <w:sz w:val="24"/>
                <w:highlight w:val="none"/>
              </w:rPr>
            </w:pPr>
            <w:r>
              <w:rPr>
                <w:rFonts w:hint="eastAsia" w:ascii="宋体" w:hAnsi="宋体" w:eastAsia="宋体" w:cs="宋体"/>
                <w:sz w:val="24"/>
                <w:highlight w:val="none"/>
              </w:rPr>
              <w:t>备注</w:t>
            </w:r>
          </w:p>
        </w:tc>
      </w:tr>
      <w:tr w14:paraId="388C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659CFE99">
            <w:pPr>
              <w:jc w:val="center"/>
              <w:rPr>
                <w:rFonts w:ascii="宋体" w:hAnsi="宋体" w:eastAsia="宋体" w:cs="宋体"/>
                <w:sz w:val="24"/>
                <w:highlight w:val="none"/>
              </w:rPr>
            </w:pPr>
            <w:r>
              <w:rPr>
                <w:rFonts w:hint="eastAsia" w:ascii="宋体" w:hAnsi="宋体" w:eastAsia="宋体" w:cs="宋体"/>
                <w:sz w:val="24"/>
                <w:highlight w:val="none"/>
              </w:rPr>
              <w:t>1</w:t>
            </w:r>
          </w:p>
        </w:tc>
        <w:tc>
          <w:tcPr>
            <w:tcW w:w="940" w:type="dxa"/>
            <w:tcBorders>
              <w:top w:val="single" w:color="auto" w:sz="4" w:space="0"/>
              <w:left w:val="nil"/>
              <w:bottom w:val="single" w:color="auto" w:sz="4" w:space="0"/>
              <w:right w:val="single" w:color="auto" w:sz="4" w:space="0"/>
            </w:tcBorders>
            <w:vAlign w:val="center"/>
          </w:tcPr>
          <w:p w14:paraId="52E00FAB">
            <w:pPr>
              <w:jc w:val="center"/>
              <w:rPr>
                <w:rFonts w:ascii="宋体" w:hAnsi="宋体" w:eastAsia="宋体" w:cs="宋体"/>
                <w:sz w:val="24"/>
                <w:highlight w:val="none"/>
              </w:rPr>
            </w:pPr>
          </w:p>
        </w:tc>
        <w:tc>
          <w:tcPr>
            <w:tcW w:w="1301" w:type="dxa"/>
            <w:tcBorders>
              <w:top w:val="single" w:color="auto" w:sz="4" w:space="0"/>
              <w:left w:val="nil"/>
              <w:bottom w:val="single" w:color="auto" w:sz="4" w:space="0"/>
              <w:right w:val="single" w:color="auto" w:sz="4" w:space="0"/>
            </w:tcBorders>
            <w:vAlign w:val="center"/>
          </w:tcPr>
          <w:p w14:paraId="5D7C3B64">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01FF44DF">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3901D4D0">
            <w:pPr>
              <w:jc w:val="center"/>
              <w:rPr>
                <w:rFonts w:ascii="宋体" w:hAnsi="宋体" w:eastAsia="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164DF314">
            <w:pPr>
              <w:jc w:val="center"/>
              <w:rPr>
                <w:rFonts w:ascii="宋体" w:hAnsi="宋体" w:eastAsia="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477303A2">
            <w:pPr>
              <w:jc w:val="center"/>
              <w:rPr>
                <w:rFonts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25F2EA0">
            <w:pPr>
              <w:jc w:val="center"/>
              <w:rPr>
                <w:rFonts w:ascii="宋体" w:hAnsi="宋体" w:eastAsia="宋体" w:cs="宋体"/>
                <w:sz w:val="24"/>
                <w:highlight w:val="none"/>
              </w:rPr>
            </w:pPr>
          </w:p>
        </w:tc>
      </w:tr>
      <w:tr w14:paraId="6061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017BE715">
            <w:pPr>
              <w:jc w:val="center"/>
              <w:rPr>
                <w:rFonts w:ascii="宋体" w:hAnsi="宋体" w:eastAsia="宋体" w:cs="宋体"/>
                <w:sz w:val="24"/>
                <w:highlight w:val="none"/>
              </w:rPr>
            </w:pPr>
            <w:r>
              <w:rPr>
                <w:rFonts w:hint="eastAsia" w:ascii="宋体" w:hAnsi="宋体" w:eastAsia="宋体" w:cs="宋体"/>
                <w:sz w:val="24"/>
                <w:highlight w:val="none"/>
              </w:rPr>
              <w:t>2</w:t>
            </w:r>
          </w:p>
        </w:tc>
        <w:tc>
          <w:tcPr>
            <w:tcW w:w="940" w:type="dxa"/>
            <w:tcBorders>
              <w:top w:val="single" w:color="auto" w:sz="4" w:space="0"/>
              <w:left w:val="nil"/>
              <w:bottom w:val="single" w:color="auto" w:sz="4" w:space="0"/>
              <w:right w:val="single" w:color="auto" w:sz="4" w:space="0"/>
            </w:tcBorders>
            <w:vAlign w:val="center"/>
          </w:tcPr>
          <w:p w14:paraId="095CB187">
            <w:pPr>
              <w:jc w:val="center"/>
              <w:rPr>
                <w:rFonts w:ascii="宋体" w:hAnsi="宋体" w:eastAsia="宋体" w:cs="宋体"/>
                <w:sz w:val="24"/>
                <w:highlight w:val="none"/>
              </w:rPr>
            </w:pPr>
          </w:p>
        </w:tc>
        <w:tc>
          <w:tcPr>
            <w:tcW w:w="1301" w:type="dxa"/>
            <w:tcBorders>
              <w:top w:val="single" w:color="auto" w:sz="4" w:space="0"/>
              <w:left w:val="nil"/>
              <w:bottom w:val="single" w:color="auto" w:sz="4" w:space="0"/>
              <w:right w:val="single" w:color="auto" w:sz="4" w:space="0"/>
            </w:tcBorders>
            <w:vAlign w:val="center"/>
          </w:tcPr>
          <w:p w14:paraId="2F60EBB1">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343EB207">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64409061">
            <w:pPr>
              <w:jc w:val="center"/>
              <w:rPr>
                <w:rFonts w:ascii="宋体" w:hAnsi="宋体" w:eastAsia="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1BEFD147">
            <w:pPr>
              <w:jc w:val="center"/>
              <w:rPr>
                <w:rFonts w:ascii="宋体" w:hAnsi="宋体" w:eastAsia="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5A3C43D1">
            <w:pPr>
              <w:jc w:val="center"/>
              <w:rPr>
                <w:rFonts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55029D83">
            <w:pPr>
              <w:jc w:val="center"/>
              <w:rPr>
                <w:rFonts w:ascii="宋体" w:hAnsi="宋体" w:eastAsia="宋体" w:cs="宋体"/>
                <w:sz w:val="24"/>
                <w:highlight w:val="none"/>
              </w:rPr>
            </w:pPr>
          </w:p>
        </w:tc>
      </w:tr>
      <w:tr w14:paraId="55A3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1BC597BC">
            <w:pPr>
              <w:jc w:val="center"/>
              <w:rPr>
                <w:rFonts w:ascii="宋体" w:hAnsi="宋体" w:eastAsia="宋体" w:cs="宋体"/>
                <w:sz w:val="24"/>
                <w:highlight w:val="none"/>
              </w:rPr>
            </w:pPr>
            <w:r>
              <w:rPr>
                <w:rFonts w:hint="eastAsia" w:ascii="宋体" w:hAnsi="宋体" w:eastAsia="宋体" w:cs="宋体"/>
                <w:sz w:val="24"/>
                <w:highlight w:val="none"/>
              </w:rPr>
              <w:t>3</w:t>
            </w:r>
          </w:p>
        </w:tc>
        <w:tc>
          <w:tcPr>
            <w:tcW w:w="940" w:type="dxa"/>
            <w:tcBorders>
              <w:top w:val="single" w:color="auto" w:sz="4" w:space="0"/>
              <w:left w:val="nil"/>
              <w:bottom w:val="single" w:color="auto" w:sz="4" w:space="0"/>
              <w:right w:val="single" w:color="auto" w:sz="4" w:space="0"/>
            </w:tcBorders>
            <w:vAlign w:val="center"/>
          </w:tcPr>
          <w:p w14:paraId="065AC1D2">
            <w:pPr>
              <w:jc w:val="center"/>
              <w:rPr>
                <w:rFonts w:ascii="宋体" w:hAnsi="宋体" w:eastAsia="宋体" w:cs="宋体"/>
                <w:sz w:val="24"/>
                <w:highlight w:val="none"/>
              </w:rPr>
            </w:pPr>
          </w:p>
        </w:tc>
        <w:tc>
          <w:tcPr>
            <w:tcW w:w="1301" w:type="dxa"/>
            <w:tcBorders>
              <w:top w:val="single" w:color="auto" w:sz="4" w:space="0"/>
              <w:left w:val="nil"/>
              <w:bottom w:val="single" w:color="auto" w:sz="4" w:space="0"/>
              <w:right w:val="single" w:color="auto" w:sz="4" w:space="0"/>
            </w:tcBorders>
            <w:vAlign w:val="center"/>
          </w:tcPr>
          <w:p w14:paraId="048A4210">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47150487">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0C5B8909">
            <w:pPr>
              <w:jc w:val="center"/>
              <w:rPr>
                <w:rFonts w:ascii="宋体" w:hAnsi="宋体" w:eastAsia="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2EA4D784">
            <w:pPr>
              <w:jc w:val="center"/>
              <w:rPr>
                <w:rFonts w:ascii="宋体" w:hAnsi="宋体" w:eastAsia="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04ECB41B">
            <w:pPr>
              <w:jc w:val="center"/>
              <w:rPr>
                <w:rFonts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07C6186C">
            <w:pPr>
              <w:jc w:val="center"/>
              <w:rPr>
                <w:rFonts w:ascii="宋体" w:hAnsi="宋体" w:eastAsia="宋体" w:cs="宋体"/>
                <w:sz w:val="24"/>
                <w:highlight w:val="none"/>
              </w:rPr>
            </w:pPr>
          </w:p>
        </w:tc>
      </w:tr>
      <w:tr w14:paraId="0BC1A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03082C0C">
            <w:pPr>
              <w:jc w:val="center"/>
              <w:rPr>
                <w:rFonts w:ascii="宋体" w:hAnsi="宋体" w:eastAsia="宋体" w:cs="宋体"/>
                <w:sz w:val="24"/>
                <w:highlight w:val="none"/>
              </w:rPr>
            </w:pPr>
            <w:r>
              <w:rPr>
                <w:rFonts w:hint="eastAsia" w:ascii="宋体" w:hAnsi="宋体" w:eastAsia="宋体" w:cs="宋体"/>
                <w:sz w:val="24"/>
                <w:highlight w:val="none"/>
              </w:rPr>
              <w:t>4</w:t>
            </w:r>
          </w:p>
        </w:tc>
        <w:tc>
          <w:tcPr>
            <w:tcW w:w="940" w:type="dxa"/>
            <w:tcBorders>
              <w:top w:val="single" w:color="auto" w:sz="4" w:space="0"/>
              <w:left w:val="nil"/>
              <w:bottom w:val="single" w:color="auto" w:sz="4" w:space="0"/>
              <w:right w:val="single" w:color="auto" w:sz="4" w:space="0"/>
            </w:tcBorders>
            <w:vAlign w:val="center"/>
          </w:tcPr>
          <w:p w14:paraId="6B8E869F">
            <w:pPr>
              <w:jc w:val="center"/>
              <w:rPr>
                <w:rFonts w:ascii="宋体" w:hAnsi="宋体" w:eastAsia="宋体" w:cs="宋体"/>
                <w:sz w:val="24"/>
                <w:highlight w:val="none"/>
              </w:rPr>
            </w:pPr>
          </w:p>
        </w:tc>
        <w:tc>
          <w:tcPr>
            <w:tcW w:w="1301" w:type="dxa"/>
            <w:tcBorders>
              <w:top w:val="single" w:color="auto" w:sz="4" w:space="0"/>
              <w:left w:val="nil"/>
              <w:bottom w:val="single" w:color="auto" w:sz="4" w:space="0"/>
              <w:right w:val="single" w:color="auto" w:sz="4" w:space="0"/>
            </w:tcBorders>
            <w:vAlign w:val="center"/>
          </w:tcPr>
          <w:p w14:paraId="14666D3C">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38794C26">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206B0DDF">
            <w:pPr>
              <w:jc w:val="center"/>
              <w:rPr>
                <w:rFonts w:ascii="宋体" w:hAnsi="宋体" w:eastAsia="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45FFE31A">
            <w:pPr>
              <w:jc w:val="center"/>
              <w:rPr>
                <w:rFonts w:ascii="宋体" w:hAnsi="宋体" w:eastAsia="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04B8340A">
            <w:pPr>
              <w:jc w:val="center"/>
              <w:rPr>
                <w:rFonts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29B12413">
            <w:pPr>
              <w:jc w:val="center"/>
              <w:rPr>
                <w:rFonts w:ascii="宋体" w:hAnsi="宋体" w:eastAsia="宋体" w:cs="宋体"/>
                <w:sz w:val="24"/>
                <w:highlight w:val="none"/>
              </w:rPr>
            </w:pPr>
          </w:p>
        </w:tc>
      </w:tr>
      <w:tr w14:paraId="5CF1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1F68ECF2">
            <w:pPr>
              <w:jc w:val="center"/>
              <w:rPr>
                <w:rFonts w:ascii="宋体" w:hAnsi="宋体" w:eastAsia="宋体" w:cs="宋体"/>
                <w:sz w:val="24"/>
                <w:highlight w:val="none"/>
              </w:rPr>
            </w:pPr>
            <w:r>
              <w:rPr>
                <w:rFonts w:hint="eastAsia" w:ascii="宋体" w:hAnsi="宋体" w:eastAsia="宋体" w:cs="宋体"/>
                <w:sz w:val="24"/>
                <w:highlight w:val="none"/>
              </w:rPr>
              <w:t>5</w:t>
            </w:r>
          </w:p>
        </w:tc>
        <w:tc>
          <w:tcPr>
            <w:tcW w:w="940" w:type="dxa"/>
            <w:tcBorders>
              <w:top w:val="single" w:color="auto" w:sz="4" w:space="0"/>
              <w:left w:val="nil"/>
              <w:bottom w:val="single" w:color="auto" w:sz="4" w:space="0"/>
              <w:right w:val="single" w:color="auto" w:sz="4" w:space="0"/>
            </w:tcBorders>
            <w:vAlign w:val="center"/>
          </w:tcPr>
          <w:p w14:paraId="1756C23A">
            <w:pPr>
              <w:jc w:val="center"/>
              <w:rPr>
                <w:rFonts w:ascii="宋体" w:hAnsi="宋体" w:eastAsia="宋体" w:cs="宋体"/>
                <w:sz w:val="24"/>
                <w:highlight w:val="none"/>
              </w:rPr>
            </w:pPr>
          </w:p>
        </w:tc>
        <w:tc>
          <w:tcPr>
            <w:tcW w:w="1301" w:type="dxa"/>
            <w:tcBorders>
              <w:top w:val="single" w:color="auto" w:sz="4" w:space="0"/>
              <w:left w:val="nil"/>
              <w:bottom w:val="single" w:color="auto" w:sz="4" w:space="0"/>
              <w:right w:val="single" w:color="auto" w:sz="4" w:space="0"/>
            </w:tcBorders>
            <w:vAlign w:val="center"/>
          </w:tcPr>
          <w:p w14:paraId="416A20BE">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1F76E4C7">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2F337246">
            <w:pPr>
              <w:jc w:val="center"/>
              <w:rPr>
                <w:rFonts w:ascii="宋体" w:hAnsi="宋体" w:eastAsia="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63B3A1F2">
            <w:pPr>
              <w:jc w:val="center"/>
              <w:rPr>
                <w:rFonts w:ascii="宋体" w:hAnsi="宋体" w:eastAsia="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7D58BBCB">
            <w:pPr>
              <w:jc w:val="center"/>
              <w:rPr>
                <w:rFonts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502956C0">
            <w:pPr>
              <w:jc w:val="center"/>
              <w:rPr>
                <w:rFonts w:ascii="宋体" w:hAnsi="宋体" w:eastAsia="宋体" w:cs="宋体"/>
                <w:sz w:val="24"/>
                <w:highlight w:val="none"/>
              </w:rPr>
            </w:pPr>
          </w:p>
        </w:tc>
      </w:tr>
      <w:tr w14:paraId="7737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495B12A9">
            <w:pPr>
              <w:jc w:val="center"/>
              <w:rPr>
                <w:rFonts w:ascii="宋体" w:hAnsi="宋体" w:eastAsia="宋体" w:cs="宋体"/>
                <w:sz w:val="24"/>
                <w:highlight w:val="none"/>
              </w:rPr>
            </w:pPr>
            <w:r>
              <w:rPr>
                <w:rFonts w:hint="eastAsia" w:ascii="宋体" w:hAnsi="宋体" w:eastAsia="宋体" w:cs="宋体"/>
                <w:sz w:val="24"/>
                <w:highlight w:val="none"/>
              </w:rPr>
              <w:t>6</w:t>
            </w:r>
          </w:p>
        </w:tc>
        <w:tc>
          <w:tcPr>
            <w:tcW w:w="940" w:type="dxa"/>
            <w:tcBorders>
              <w:top w:val="single" w:color="auto" w:sz="4" w:space="0"/>
              <w:left w:val="nil"/>
              <w:bottom w:val="single" w:color="auto" w:sz="4" w:space="0"/>
              <w:right w:val="single" w:color="auto" w:sz="4" w:space="0"/>
            </w:tcBorders>
            <w:vAlign w:val="center"/>
          </w:tcPr>
          <w:p w14:paraId="45E7B8E2">
            <w:pPr>
              <w:jc w:val="center"/>
              <w:rPr>
                <w:rFonts w:ascii="宋体" w:hAnsi="宋体" w:eastAsia="宋体" w:cs="宋体"/>
                <w:sz w:val="24"/>
                <w:highlight w:val="none"/>
              </w:rPr>
            </w:pPr>
          </w:p>
        </w:tc>
        <w:tc>
          <w:tcPr>
            <w:tcW w:w="1301" w:type="dxa"/>
            <w:tcBorders>
              <w:top w:val="single" w:color="auto" w:sz="4" w:space="0"/>
              <w:left w:val="nil"/>
              <w:bottom w:val="single" w:color="auto" w:sz="4" w:space="0"/>
              <w:right w:val="single" w:color="auto" w:sz="4" w:space="0"/>
            </w:tcBorders>
            <w:vAlign w:val="center"/>
          </w:tcPr>
          <w:p w14:paraId="26DBD094">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59DD943B">
            <w:pPr>
              <w:jc w:val="center"/>
              <w:rPr>
                <w:rFonts w:ascii="宋体" w:hAnsi="宋体" w:eastAsia="宋体" w:cs="宋体"/>
                <w:sz w:val="24"/>
                <w:highlight w:val="none"/>
              </w:rPr>
            </w:pPr>
          </w:p>
        </w:tc>
        <w:tc>
          <w:tcPr>
            <w:tcW w:w="945" w:type="dxa"/>
            <w:tcBorders>
              <w:top w:val="single" w:color="auto" w:sz="4" w:space="0"/>
              <w:left w:val="nil"/>
              <w:bottom w:val="single" w:color="auto" w:sz="4" w:space="0"/>
              <w:right w:val="single" w:color="auto" w:sz="4" w:space="0"/>
            </w:tcBorders>
            <w:vAlign w:val="center"/>
          </w:tcPr>
          <w:p w14:paraId="248C8CCD">
            <w:pPr>
              <w:jc w:val="center"/>
              <w:rPr>
                <w:rFonts w:ascii="宋体" w:hAnsi="宋体" w:eastAsia="宋体" w:cs="宋体"/>
                <w:sz w:val="24"/>
                <w:highlight w:val="none"/>
              </w:rPr>
            </w:pPr>
          </w:p>
        </w:tc>
        <w:tc>
          <w:tcPr>
            <w:tcW w:w="1320" w:type="dxa"/>
            <w:tcBorders>
              <w:top w:val="single" w:color="auto" w:sz="4" w:space="0"/>
              <w:left w:val="nil"/>
              <w:bottom w:val="single" w:color="auto" w:sz="4" w:space="0"/>
              <w:right w:val="single" w:color="auto" w:sz="4" w:space="0"/>
            </w:tcBorders>
            <w:vAlign w:val="center"/>
          </w:tcPr>
          <w:p w14:paraId="3F02677E">
            <w:pPr>
              <w:jc w:val="center"/>
              <w:rPr>
                <w:rFonts w:ascii="宋体" w:hAnsi="宋体" w:eastAsia="宋体" w:cs="宋体"/>
                <w:sz w:val="24"/>
                <w:highlight w:val="none"/>
              </w:rPr>
            </w:pPr>
          </w:p>
        </w:tc>
        <w:tc>
          <w:tcPr>
            <w:tcW w:w="1342" w:type="dxa"/>
            <w:tcBorders>
              <w:top w:val="single" w:color="auto" w:sz="4" w:space="0"/>
              <w:left w:val="nil"/>
              <w:bottom w:val="single" w:color="auto" w:sz="4" w:space="0"/>
              <w:right w:val="single" w:color="auto" w:sz="4" w:space="0"/>
            </w:tcBorders>
            <w:vAlign w:val="center"/>
          </w:tcPr>
          <w:p w14:paraId="5A493080">
            <w:pPr>
              <w:jc w:val="center"/>
              <w:rPr>
                <w:rFonts w:ascii="宋体" w:hAnsi="宋体" w:eastAsia="宋体" w:cs="宋体"/>
                <w:sz w:val="24"/>
                <w:highlight w:val="none"/>
              </w:rPr>
            </w:pPr>
          </w:p>
        </w:tc>
        <w:tc>
          <w:tcPr>
            <w:tcW w:w="850" w:type="dxa"/>
            <w:tcBorders>
              <w:top w:val="single" w:color="auto" w:sz="4" w:space="0"/>
              <w:left w:val="nil"/>
              <w:bottom w:val="single" w:color="auto" w:sz="4" w:space="0"/>
              <w:right w:val="single" w:color="auto" w:sz="4" w:space="0"/>
            </w:tcBorders>
            <w:vAlign w:val="center"/>
          </w:tcPr>
          <w:p w14:paraId="44D695A3">
            <w:pPr>
              <w:jc w:val="center"/>
              <w:rPr>
                <w:rFonts w:ascii="宋体" w:hAnsi="宋体" w:eastAsia="宋体" w:cs="宋体"/>
                <w:sz w:val="24"/>
                <w:highlight w:val="none"/>
              </w:rPr>
            </w:pPr>
          </w:p>
        </w:tc>
      </w:tr>
      <w:tr w14:paraId="1BE0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685" w:type="dxa"/>
            <w:gridSpan w:val="2"/>
            <w:tcBorders>
              <w:top w:val="single" w:color="auto" w:sz="4" w:space="0"/>
              <w:left w:val="single" w:color="auto" w:sz="4" w:space="0"/>
              <w:bottom w:val="single" w:color="auto" w:sz="4" w:space="0"/>
              <w:right w:val="single" w:color="auto" w:sz="4" w:space="0"/>
            </w:tcBorders>
            <w:vAlign w:val="center"/>
          </w:tcPr>
          <w:p w14:paraId="2285FF6F">
            <w:pPr>
              <w:jc w:val="center"/>
              <w:rPr>
                <w:rFonts w:ascii="宋体" w:hAnsi="宋体" w:eastAsia="宋体" w:cs="宋体"/>
                <w:sz w:val="24"/>
                <w:highlight w:val="none"/>
              </w:rPr>
            </w:pPr>
            <w:r>
              <w:rPr>
                <w:rFonts w:hint="eastAsia" w:ascii="宋体" w:hAnsi="宋体" w:eastAsia="宋体" w:cs="宋体"/>
                <w:sz w:val="24"/>
                <w:highlight w:val="none"/>
              </w:rPr>
              <w:t>总价</w:t>
            </w:r>
          </w:p>
        </w:tc>
        <w:tc>
          <w:tcPr>
            <w:tcW w:w="6703" w:type="dxa"/>
            <w:gridSpan w:val="6"/>
            <w:tcBorders>
              <w:top w:val="single" w:color="auto" w:sz="4" w:space="0"/>
              <w:left w:val="nil"/>
              <w:bottom w:val="single" w:color="auto" w:sz="4" w:space="0"/>
              <w:right w:val="single" w:color="auto" w:sz="4" w:space="0"/>
            </w:tcBorders>
            <w:vAlign w:val="center"/>
          </w:tcPr>
          <w:p w14:paraId="09A50C96">
            <w:pPr>
              <w:rPr>
                <w:rFonts w:ascii="宋体" w:hAnsi="宋体" w:eastAsia="宋体" w:cs="宋体"/>
                <w:sz w:val="24"/>
                <w:highlight w:val="none"/>
              </w:rPr>
            </w:pPr>
            <w:r>
              <w:rPr>
                <w:rFonts w:hint="eastAsia" w:ascii="宋体" w:hAnsi="宋体" w:eastAsia="宋体" w:cs="Times New Roman"/>
                <w:b/>
                <w:sz w:val="24"/>
                <w:highlight w:val="none"/>
              </w:rPr>
              <w:t>大写：</w:t>
            </w:r>
            <w:r>
              <w:rPr>
                <w:rFonts w:hint="eastAsia" w:ascii="宋体" w:hAnsi="宋体" w:eastAsia="宋体" w:cs="Times New Roman"/>
                <w:b/>
                <w:sz w:val="24"/>
                <w:highlight w:val="none"/>
                <w:u w:val="single"/>
              </w:rPr>
              <w:t xml:space="preserve">                          </w:t>
            </w:r>
            <w:r>
              <w:rPr>
                <w:rFonts w:hint="eastAsia" w:ascii="宋体" w:hAnsi="宋体" w:eastAsia="宋体" w:cs="Times New Roman"/>
                <w:b/>
                <w:sz w:val="24"/>
                <w:highlight w:val="none"/>
              </w:rPr>
              <w:t xml:space="preserve">小写： </w:t>
            </w:r>
            <w:r>
              <w:rPr>
                <w:rFonts w:hint="eastAsia" w:ascii="宋体" w:hAnsi="宋体" w:eastAsia="宋体" w:cs="Times New Roman"/>
                <w:b/>
                <w:sz w:val="24"/>
                <w:highlight w:val="none"/>
                <w:u w:val="single"/>
              </w:rPr>
              <w:t xml:space="preserve">               </w:t>
            </w:r>
            <w:r>
              <w:rPr>
                <w:rFonts w:hint="eastAsia" w:ascii="宋体" w:hAnsi="宋体" w:eastAsia="宋体" w:cs="Times New Roman"/>
                <w:b/>
                <w:sz w:val="24"/>
                <w:highlight w:val="none"/>
              </w:rPr>
              <w:t xml:space="preserve"> </w:t>
            </w:r>
          </w:p>
        </w:tc>
      </w:tr>
    </w:tbl>
    <w:p w14:paraId="0E9B71F8">
      <w:pPr>
        <w:spacing w:line="480" w:lineRule="exact"/>
        <w:outlineLvl w:val="2"/>
        <w:rPr>
          <w:rFonts w:ascii="宋体" w:hAnsi="宋体" w:eastAsia="宋体" w:cs="宋体"/>
          <w:b/>
          <w:bCs/>
          <w:sz w:val="24"/>
          <w:highlight w:val="none"/>
        </w:rPr>
      </w:pPr>
      <w:r>
        <w:rPr>
          <w:rFonts w:hint="eastAsia" w:ascii="宋体" w:hAnsi="宋体" w:eastAsia="宋体" w:cs="宋体"/>
          <w:b/>
          <w:bCs/>
          <w:sz w:val="24"/>
          <w:highlight w:val="none"/>
        </w:rPr>
        <w:t xml:space="preserve"> </w:t>
      </w:r>
      <w:bookmarkStart w:id="247" w:name="_Toc17942"/>
      <w:r>
        <w:rPr>
          <w:rFonts w:hint="eastAsia" w:ascii="宋体" w:hAnsi="宋体" w:eastAsia="宋体" w:cs="宋体"/>
          <w:b/>
          <w:bCs/>
          <w:sz w:val="24"/>
          <w:highlight w:val="none"/>
        </w:rPr>
        <w:t>注：1.供应商根据需要可在本表中自行增加更为详细的报价说明</w:t>
      </w:r>
      <w:bookmarkEnd w:id="247"/>
    </w:p>
    <w:p w14:paraId="7C6FF522">
      <w:pPr>
        <w:spacing w:line="480" w:lineRule="exact"/>
        <w:rPr>
          <w:rFonts w:ascii="宋体" w:hAnsi="宋体" w:eastAsia="宋体" w:cs="宋体"/>
          <w:b/>
          <w:bCs/>
          <w:sz w:val="24"/>
          <w:highlight w:val="none"/>
        </w:rPr>
      </w:pPr>
      <w:r>
        <w:rPr>
          <w:rFonts w:hint="eastAsia" w:ascii="宋体" w:hAnsi="宋体" w:eastAsia="宋体" w:cs="宋体"/>
          <w:b/>
          <w:bCs/>
          <w:sz w:val="24"/>
          <w:highlight w:val="none"/>
        </w:rPr>
        <w:t>包含设备价、备品备件价、包装费、装卸费、运输费、税金（含关税、增值税）、安装费、及其他所有费用，均包含在投标报价中。</w:t>
      </w:r>
    </w:p>
    <w:p w14:paraId="6E1C0279">
      <w:pPr>
        <w:spacing w:line="480" w:lineRule="exact"/>
        <w:rPr>
          <w:rFonts w:ascii="宋体" w:hAnsi="宋体" w:eastAsia="宋体" w:cs="宋体"/>
          <w:sz w:val="24"/>
          <w:highlight w:val="none"/>
        </w:rPr>
      </w:pPr>
      <w:r>
        <w:rPr>
          <w:rFonts w:hint="eastAsia" w:ascii="宋体" w:hAnsi="宋体" w:eastAsia="宋体" w:cs="宋体"/>
          <w:sz w:val="24"/>
          <w:highlight w:val="none"/>
        </w:rPr>
        <w:t>供应商名称</w:t>
      </w:r>
      <w:r>
        <w:rPr>
          <w:rFonts w:hint="eastAsia" w:ascii="宋体" w:hAnsi="宋体" w:eastAsia="宋体" w:cs="Times New Roman"/>
          <w:kern w:val="1"/>
          <w:sz w:val="24"/>
          <w:szCs w:val="24"/>
          <w:highlight w:val="none"/>
        </w:rPr>
        <w:t>（</w:t>
      </w:r>
      <w:r>
        <w:rPr>
          <w:rFonts w:hint="eastAsia" w:ascii="宋体" w:hAnsi="宋体" w:eastAsia="宋体" w:cs="黑体"/>
          <w:bCs/>
          <w:kern w:val="0"/>
          <w:sz w:val="24"/>
          <w:szCs w:val="21"/>
          <w:highlight w:val="none"/>
        </w:rPr>
        <w:t>电子签章</w:t>
      </w:r>
      <w:r>
        <w:rPr>
          <w:rFonts w:hint="eastAsia" w:ascii="宋体" w:hAnsi="宋体" w:eastAsia="宋体" w:cs="Times New Roman"/>
          <w:kern w:val="1"/>
          <w:sz w:val="24"/>
          <w:szCs w:val="24"/>
          <w:highlight w:val="none"/>
        </w:rPr>
        <w:t>）</w:t>
      </w:r>
      <w:r>
        <w:rPr>
          <w:rFonts w:hint="eastAsia" w:ascii="宋体" w:hAnsi="宋体" w:eastAsia="宋体" w:cs="宋体"/>
          <w:sz w:val="24"/>
          <w:highlight w:val="none"/>
        </w:rPr>
        <w:t>：</w:t>
      </w:r>
      <w:bookmarkStart w:id="248" w:name="_Hlk522286805"/>
      <w:bookmarkEnd w:id="248"/>
    </w:p>
    <w:p w14:paraId="4397D62A">
      <w:pPr>
        <w:spacing w:line="480" w:lineRule="exact"/>
        <w:rPr>
          <w:rFonts w:ascii="宋体" w:hAnsi="宋体" w:eastAsia="宋体" w:cs="宋体"/>
          <w:sz w:val="24"/>
          <w:highlight w:val="none"/>
        </w:rPr>
      </w:pPr>
      <w:r>
        <w:rPr>
          <w:rFonts w:hint="eastAsia" w:ascii="宋体" w:hAnsi="宋体" w:eastAsia="宋体" w:cs="宋体"/>
          <w:sz w:val="24"/>
          <w:highlight w:val="none"/>
        </w:rPr>
        <w:t>法定代表人（</w:t>
      </w:r>
      <w:r>
        <w:rPr>
          <w:rFonts w:hint="eastAsia" w:ascii="Calibri" w:hAnsi="Calibri" w:eastAsia="宋体" w:cs="Times New Roman"/>
          <w:kern w:val="0"/>
          <w:sz w:val="24"/>
          <w:highlight w:val="none"/>
        </w:rPr>
        <w:t>电子签章或签字</w:t>
      </w:r>
      <w:r>
        <w:rPr>
          <w:rFonts w:hint="eastAsia" w:ascii="宋体" w:hAnsi="宋体" w:eastAsia="宋体" w:cs="宋体"/>
          <w:sz w:val="24"/>
          <w:highlight w:val="none"/>
        </w:rPr>
        <w:t>）：</w:t>
      </w:r>
    </w:p>
    <w:p w14:paraId="32FFECFD">
      <w:pPr>
        <w:spacing w:line="480" w:lineRule="exact"/>
        <w:rPr>
          <w:rFonts w:ascii="宋体" w:hAnsi="宋体" w:eastAsia="宋体" w:cs="宋体"/>
          <w:sz w:val="24"/>
          <w:highlight w:val="none"/>
        </w:rPr>
      </w:pPr>
      <w:r>
        <w:rPr>
          <w:rFonts w:hint="eastAsia" w:ascii="宋体" w:hAnsi="宋体" w:eastAsia="宋体" w:cs="宋体"/>
          <w:sz w:val="24"/>
          <w:highlight w:val="none"/>
        </w:rPr>
        <w:t>日期：</w:t>
      </w:r>
      <w:r>
        <w:rPr>
          <w:rFonts w:hint="eastAsia" w:ascii="宋体" w:hAnsi="宋体" w:eastAsia="宋体" w:cs="宋体"/>
          <w:kern w:val="0"/>
          <w:sz w:val="24"/>
          <w:szCs w:val="28"/>
          <w:highlight w:val="none"/>
          <w:u w:val="single"/>
        </w:rPr>
        <w:t xml:space="preserve">      </w:t>
      </w:r>
      <w:r>
        <w:rPr>
          <w:rFonts w:hint="eastAsia" w:ascii="宋体" w:hAnsi="宋体" w:eastAsia="宋体" w:cs="宋体"/>
          <w:kern w:val="0"/>
          <w:sz w:val="24"/>
          <w:szCs w:val="28"/>
          <w:highlight w:val="none"/>
        </w:rPr>
        <w:t xml:space="preserve">年 </w:t>
      </w:r>
      <w:r>
        <w:rPr>
          <w:rFonts w:hint="eastAsia" w:ascii="宋体" w:hAnsi="宋体" w:eastAsia="宋体" w:cs="宋体"/>
          <w:kern w:val="0"/>
          <w:sz w:val="24"/>
          <w:szCs w:val="28"/>
          <w:highlight w:val="none"/>
          <w:u w:val="single"/>
        </w:rPr>
        <w:t xml:space="preserve">      </w:t>
      </w:r>
      <w:r>
        <w:rPr>
          <w:rFonts w:hint="eastAsia" w:ascii="宋体" w:hAnsi="宋体" w:eastAsia="宋体" w:cs="宋体"/>
          <w:kern w:val="0"/>
          <w:sz w:val="24"/>
          <w:szCs w:val="28"/>
          <w:highlight w:val="none"/>
        </w:rPr>
        <w:t>月</w:t>
      </w:r>
      <w:r>
        <w:rPr>
          <w:rFonts w:hint="eastAsia" w:ascii="宋体" w:hAnsi="宋体" w:eastAsia="宋体" w:cs="宋体"/>
          <w:kern w:val="0"/>
          <w:sz w:val="24"/>
          <w:szCs w:val="28"/>
          <w:highlight w:val="none"/>
          <w:u w:val="single"/>
        </w:rPr>
        <w:t xml:space="preserve">      </w:t>
      </w:r>
      <w:r>
        <w:rPr>
          <w:rFonts w:hint="eastAsia" w:ascii="宋体" w:hAnsi="宋体" w:eastAsia="宋体" w:cs="宋体"/>
          <w:kern w:val="0"/>
          <w:sz w:val="24"/>
          <w:szCs w:val="28"/>
          <w:highlight w:val="none"/>
        </w:rPr>
        <w:t>日</w:t>
      </w:r>
    </w:p>
    <w:p w14:paraId="1F3376AF">
      <w:pPr>
        <w:keepNext/>
        <w:keepLines/>
        <w:spacing w:line="360" w:lineRule="auto"/>
        <w:jc w:val="center"/>
        <w:outlineLvl w:val="2"/>
        <w:rPr>
          <w:rFonts w:ascii="Calibri" w:hAnsi="Calibri" w:eastAsia="宋体" w:cs="Times New Roman"/>
          <w:b/>
          <w:bCs/>
          <w:sz w:val="28"/>
          <w:szCs w:val="32"/>
          <w:highlight w:val="none"/>
        </w:rPr>
      </w:pPr>
      <w:bookmarkStart w:id="249" w:name="_Toc361989463"/>
      <w:bookmarkEnd w:id="249"/>
      <w:bookmarkStart w:id="250" w:name="_Toc244934213"/>
      <w:bookmarkEnd w:id="250"/>
      <w:bookmarkStart w:id="251" w:name="_Toc25298"/>
      <w:bookmarkStart w:id="252" w:name="_Toc17010"/>
      <w:bookmarkStart w:id="253" w:name="_Toc10655"/>
      <w:r>
        <w:rPr>
          <w:rFonts w:ascii="宋体" w:hAnsi="宋体" w:eastAsia="宋体" w:cs="宋体"/>
          <w:b/>
          <w:bCs/>
          <w:sz w:val="28"/>
          <w:szCs w:val="24"/>
          <w:highlight w:val="none"/>
        </w:rPr>
        <w:br w:type="page"/>
      </w:r>
      <w:bookmarkStart w:id="254" w:name="_Toc11113"/>
      <w:r>
        <w:rPr>
          <w:rFonts w:hint="eastAsia" w:ascii="Calibri" w:hAnsi="Calibri" w:eastAsia="宋体" w:cs="Times New Roman"/>
          <w:b/>
          <w:bCs/>
          <w:sz w:val="28"/>
          <w:szCs w:val="32"/>
          <w:highlight w:val="none"/>
        </w:rPr>
        <w:t>六、技术规格偏离表</w:t>
      </w:r>
      <w:bookmarkEnd w:id="254"/>
    </w:p>
    <w:tbl>
      <w:tblPr>
        <w:tblStyle w:val="15"/>
        <w:tblW w:w="8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1253"/>
        <w:gridCol w:w="1897"/>
        <w:gridCol w:w="2006"/>
        <w:gridCol w:w="1764"/>
        <w:gridCol w:w="900"/>
      </w:tblGrid>
      <w:tr w14:paraId="270F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45CEA13">
            <w:pPr>
              <w:spacing w:line="360" w:lineRule="auto"/>
              <w:jc w:val="center"/>
              <w:rPr>
                <w:rFonts w:ascii="宋体" w:hAnsi="宋体" w:eastAsia="宋体" w:cs="宋体"/>
                <w:sz w:val="24"/>
                <w:szCs w:val="20"/>
                <w:highlight w:val="none"/>
              </w:rPr>
            </w:pPr>
            <w:r>
              <w:rPr>
                <w:rFonts w:hint="eastAsia" w:ascii="宋体" w:hAnsi="宋体" w:eastAsia="宋体" w:cs="宋体"/>
                <w:sz w:val="24"/>
                <w:szCs w:val="20"/>
                <w:highlight w:val="none"/>
              </w:rPr>
              <w:t>序号</w:t>
            </w:r>
          </w:p>
        </w:tc>
        <w:tc>
          <w:tcPr>
            <w:tcW w:w="1253" w:type="dxa"/>
            <w:tcBorders>
              <w:top w:val="single" w:color="auto" w:sz="4" w:space="0"/>
              <w:left w:val="nil"/>
              <w:bottom w:val="single" w:color="auto" w:sz="4" w:space="0"/>
              <w:right w:val="single" w:color="auto" w:sz="4" w:space="0"/>
            </w:tcBorders>
            <w:vAlign w:val="center"/>
          </w:tcPr>
          <w:p w14:paraId="4B8C8DDA">
            <w:pPr>
              <w:spacing w:line="360" w:lineRule="auto"/>
              <w:jc w:val="center"/>
              <w:rPr>
                <w:rFonts w:ascii="宋体" w:hAnsi="宋体" w:eastAsia="宋体" w:cs="宋体"/>
                <w:sz w:val="24"/>
                <w:szCs w:val="20"/>
                <w:highlight w:val="none"/>
              </w:rPr>
            </w:pPr>
            <w:r>
              <w:rPr>
                <w:rFonts w:hint="eastAsia" w:ascii="宋体" w:hAnsi="宋体" w:eastAsia="宋体" w:cs="宋体"/>
                <w:sz w:val="24"/>
                <w:szCs w:val="20"/>
                <w:highlight w:val="none"/>
              </w:rPr>
              <w:t>货物名称</w:t>
            </w:r>
          </w:p>
        </w:tc>
        <w:tc>
          <w:tcPr>
            <w:tcW w:w="1897" w:type="dxa"/>
            <w:tcBorders>
              <w:top w:val="single" w:color="auto" w:sz="4" w:space="0"/>
              <w:left w:val="nil"/>
              <w:bottom w:val="single" w:color="auto" w:sz="4" w:space="0"/>
              <w:right w:val="single" w:color="auto" w:sz="4" w:space="0"/>
            </w:tcBorders>
            <w:vAlign w:val="center"/>
          </w:tcPr>
          <w:p w14:paraId="6A2AD1D0">
            <w:pPr>
              <w:spacing w:line="360" w:lineRule="auto"/>
              <w:jc w:val="center"/>
              <w:rPr>
                <w:rFonts w:ascii="宋体" w:hAnsi="宋体" w:eastAsia="宋体" w:cs="宋体"/>
                <w:sz w:val="24"/>
                <w:szCs w:val="20"/>
                <w:highlight w:val="none"/>
              </w:rPr>
            </w:pPr>
            <w:r>
              <w:rPr>
                <w:rFonts w:hint="eastAsia" w:ascii="宋体" w:hAnsi="宋体" w:cs="宋体"/>
                <w:color w:val="000000"/>
                <w:sz w:val="24"/>
                <w:vertAlign w:val="baseline"/>
                <w:lang w:val="zh-CN"/>
              </w:rPr>
              <w:t>竞争性磋商文件要求规格或参数</w:t>
            </w:r>
          </w:p>
        </w:tc>
        <w:tc>
          <w:tcPr>
            <w:tcW w:w="2006" w:type="dxa"/>
            <w:tcBorders>
              <w:top w:val="single" w:color="auto" w:sz="4" w:space="0"/>
              <w:left w:val="nil"/>
              <w:bottom w:val="single" w:color="auto" w:sz="4" w:space="0"/>
              <w:right w:val="single" w:color="auto" w:sz="4" w:space="0"/>
            </w:tcBorders>
            <w:vAlign w:val="center"/>
          </w:tcPr>
          <w:p w14:paraId="07C00ECE">
            <w:pPr>
              <w:spacing w:line="360" w:lineRule="auto"/>
              <w:jc w:val="center"/>
              <w:rPr>
                <w:rFonts w:ascii="宋体" w:hAnsi="宋体" w:eastAsia="宋体" w:cs="宋体"/>
                <w:sz w:val="24"/>
                <w:szCs w:val="20"/>
                <w:highlight w:val="none"/>
              </w:rPr>
            </w:pPr>
            <w:r>
              <w:rPr>
                <w:rFonts w:hint="eastAsia" w:ascii="宋体" w:hAnsi="宋体" w:cs="宋体"/>
                <w:color w:val="000000"/>
                <w:sz w:val="24"/>
                <w:vertAlign w:val="baseline"/>
                <w:lang w:val="zh-CN"/>
              </w:rPr>
              <w:t>响应货物规格或参数</w:t>
            </w:r>
          </w:p>
        </w:tc>
        <w:tc>
          <w:tcPr>
            <w:tcW w:w="1764" w:type="dxa"/>
            <w:tcBorders>
              <w:top w:val="single" w:color="auto" w:sz="4" w:space="0"/>
              <w:left w:val="nil"/>
              <w:bottom w:val="single" w:color="auto" w:sz="4" w:space="0"/>
              <w:right w:val="single" w:color="auto" w:sz="4" w:space="0"/>
            </w:tcBorders>
            <w:vAlign w:val="center"/>
          </w:tcPr>
          <w:p w14:paraId="4197AF4E">
            <w:pPr>
              <w:spacing w:line="360" w:lineRule="auto"/>
              <w:jc w:val="center"/>
              <w:rPr>
                <w:rFonts w:ascii="宋体" w:hAnsi="宋体" w:eastAsia="宋体" w:cs="宋体"/>
                <w:sz w:val="24"/>
                <w:szCs w:val="20"/>
                <w:highlight w:val="none"/>
              </w:rPr>
            </w:pPr>
            <w:r>
              <w:rPr>
                <w:rFonts w:hint="eastAsia" w:ascii="宋体" w:hAnsi="宋体" w:cs="宋体"/>
                <w:color w:val="000000"/>
                <w:sz w:val="24"/>
                <w:vertAlign w:val="baseline"/>
                <w:lang w:val="zh-CN"/>
              </w:rPr>
              <w:t>偏离情况说明</w:t>
            </w:r>
          </w:p>
        </w:tc>
        <w:tc>
          <w:tcPr>
            <w:tcW w:w="900" w:type="dxa"/>
            <w:tcBorders>
              <w:top w:val="single" w:color="auto" w:sz="4" w:space="0"/>
              <w:left w:val="nil"/>
              <w:bottom w:val="single" w:color="auto" w:sz="4" w:space="0"/>
              <w:right w:val="single" w:color="auto" w:sz="4" w:space="0"/>
            </w:tcBorders>
            <w:vAlign w:val="center"/>
          </w:tcPr>
          <w:p w14:paraId="732D2C75">
            <w:pPr>
              <w:spacing w:line="360" w:lineRule="auto"/>
              <w:jc w:val="center"/>
              <w:rPr>
                <w:rFonts w:ascii="宋体" w:hAnsi="宋体" w:eastAsia="宋体" w:cs="宋体"/>
                <w:sz w:val="24"/>
                <w:szCs w:val="20"/>
                <w:highlight w:val="none"/>
              </w:rPr>
            </w:pPr>
            <w:r>
              <w:rPr>
                <w:rFonts w:hint="eastAsia" w:ascii="宋体" w:hAnsi="宋体" w:cs="宋体"/>
                <w:color w:val="000000"/>
                <w:sz w:val="24"/>
                <w:vertAlign w:val="baseline"/>
                <w:lang w:val="zh-CN"/>
              </w:rPr>
              <w:t>备注</w:t>
            </w:r>
          </w:p>
        </w:tc>
      </w:tr>
      <w:tr w14:paraId="65DD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187A100E">
            <w:pPr>
              <w:spacing w:line="360" w:lineRule="auto"/>
              <w:jc w:val="center"/>
              <w:rPr>
                <w:rFonts w:ascii="宋体" w:hAnsi="宋体" w:eastAsia="宋体" w:cs="宋体"/>
                <w:sz w:val="24"/>
                <w:szCs w:val="20"/>
                <w:highlight w:val="none"/>
              </w:rPr>
            </w:pPr>
            <w:r>
              <w:rPr>
                <w:rFonts w:hint="eastAsia" w:ascii="宋体" w:hAnsi="宋体" w:eastAsia="宋体" w:cs="宋体"/>
                <w:sz w:val="24"/>
                <w:szCs w:val="20"/>
                <w:highlight w:val="none"/>
              </w:rPr>
              <w:t>1</w:t>
            </w:r>
          </w:p>
        </w:tc>
        <w:tc>
          <w:tcPr>
            <w:tcW w:w="1253" w:type="dxa"/>
            <w:tcBorders>
              <w:top w:val="single" w:color="auto" w:sz="4" w:space="0"/>
              <w:left w:val="nil"/>
              <w:bottom w:val="single" w:color="auto" w:sz="4" w:space="0"/>
              <w:right w:val="single" w:color="auto" w:sz="4" w:space="0"/>
            </w:tcBorders>
            <w:vAlign w:val="center"/>
          </w:tcPr>
          <w:p w14:paraId="1DC69E96">
            <w:pPr>
              <w:spacing w:line="360" w:lineRule="auto"/>
              <w:jc w:val="center"/>
              <w:rPr>
                <w:rFonts w:ascii="宋体" w:hAnsi="宋体" w:eastAsia="宋体" w:cs="宋体"/>
                <w:sz w:val="24"/>
                <w:szCs w:val="20"/>
                <w:highlight w:val="none"/>
              </w:rPr>
            </w:pPr>
          </w:p>
        </w:tc>
        <w:tc>
          <w:tcPr>
            <w:tcW w:w="1897" w:type="dxa"/>
            <w:tcBorders>
              <w:top w:val="single" w:color="auto" w:sz="4" w:space="0"/>
              <w:left w:val="nil"/>
              <w:bottom w:val="single" w:color="auto" w:sz="4" w:space="0"/>
              <w:right w:val="single" w:color="auto" w:sz="4" w:space="0"/>
            </w:tcBorders>
            <w:vAlign w:val="center"/>
          </w:tcPr>
          <w:p w14:paraId="67BEAE7E">
            <w:pPr>
              <w:spacing w:line="360" w:lineRule="auto"/>
              <w:jc w:val="center"/>
              <w:rPr>
                <w:rFonts w:ascii="宋体" w:hAnsi="宋体" w:eastAsia="宋体" w:cs="宋体"/>
                <w:sz w:val="24"/>
                <w:szCs w:val="20"/>
                <w:highlight w:val="none"/>
              </w:rPr>
            </w:pPr>
          </w:p>
        </w:tc>
        <w:tc>
          <w:tcPr>
            <w:tcW w:w="2006" w:type="dxa"/>
            <w:tcBorders>
              <w:top w:val="single" w:color="auto" w:sz="4" w:space="0"/>
              <w:left w:val="nil"/>
              <w:bottom w:val="single" w:color="auto" w:sz="4" w:space="0"/>
              <w:right w:val="single" w:color="auto" w:sz="4" w:space="0"/>
            </w:tcBorders>
            <w:vAlign w:val="center"/>
          </w:tcPr>
          <w:p w14:paraId="1938F4FD">
            <w:pPr>
              <w:spacing w:line="360" w:lineRule="auto"/>
              <w:jc w:val="center"/>
              <w:rPr>
                <w:rFonts w:ascii="宋体" w:hAnsi="宋体" w:eastAsia="宋体" w:cs="宋体"/>
                <w:sz w:val="24"/>
                <w:szCs w:val="20"/>
                <w:highlight w:val="none"/>
              </w:rPr>
            </w:pPr>
          </w:p>
        </w:tc>
        <w:tc>
          <w:tcPr>
            <w:tcW w:w="1764" w:type="dxa"/>
            <w:tcBorders>
              <w:top w:val="single" w:color="auto" w:sz="4" w:space="0"/>
              <w:left w:val="nil"/>
              <w:bottom w:val="single" w:color="auto" w:sz="4" w:space="0"/>
              <w:right w:val="single" w:color="auto" w:sz="4" w:space="0"/>
            </w:tcBorders>
            <w:vAlign w:val="center"/>
          </w:tcPr>
          <w:p w14:paraId="391B3FE3">
            <w:pPr>
              <w:spacing w:line="360" w:lineRule="auto"/>
              <w:jc w:val="center"/>
              <w:rPr>
                <w:rFonts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656EC739">
            <w:pPr>
              <w:spacing w:line="360" w:lineRule="auto"/>
              <w:jc w:val="center"/>
              <w:rPr>
                <w:rFonts w:ascii="宋体" w:hAnsi="宋体" w:eastAsia="宋体" w:cs="宋体"/>
                <w:sz w:val="24"/>
                <w:szCs w:val="20"/>
                <w:highlight w:val="none"/>
              </w:rPr>
            </w:pPr>
          </w:p>
        </w:tc>
      </w:tr>
      <w:tr w14:paraId="5695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056D967B">
            <w:pPr>
              <w:spacing w:line="360" w:lineRule="auto"/>
              <w:jc w:val="center"/>
              <w:rPr>
                <w:rFonts w:ascii="宋体" w:hAnsi="宋体" w:eastAsia="宋体" w:cs="宋体"/>
                <w:sz w:val="24"/>
                <w:szCs w:val="20"/>
                <w:highlight w:val="none"/>
              </w:rPr>
            </w:pPr>
            <w:r>
              <w:rPr>
                <w:rFonts w:hint="eastAsia" w:ascii="宋体" w:hAnsi="宋体" w:eastAsia="宋体" w:cs="宋体"/>
                <w:sz w:val="24"/>
                <w:szCs w:val="20"/>
                <w:highlight w:val="none"/>
              </w:rPr>
              <w:t>2</w:t>
            </w:r>
          </w:p>
        </w:tc>
        <w:tc>
          <w:tcPr>
            <w:tcW w:w="1253" w:type="dxa"/>
            <w:tcBorders>
              <w:top w:val="single" w:color="auto" w:sz="4" w:space="0"/>
              <w:left w:val="nil"/>
              <w:bottom w:val="single" w:color="auto" w:sz="4" w:space="0"/>
              <w:right w:val="single" w:color="auto" w:sz="4" w:space="0"/>
            </w:tcBorders>
            <w:vAlign w:val="center"/>
          </w:tcPr>
          <w:p w14:paraId="5832B224">
            <w:pPr>
              <w:spacing w:line="360" w:lineRule="auto"/>
              <w:jc w:val="center"/>
              <w:rPr>
                <w:rFonts w:ascii="宋体" w:hAnsi="宋体" w:eastAsia="宋体" w:cs="宋体"/>
                <w:sz w:val="24"/>
                <w:szCs w:val="20"/>
                <w:highlight w:val="none"/>
              </w:rPr>
            </w:pPr>
          </w:p>
        </w:tc>
        <w:tc>
          <w:tcPr>
            <w:tcW w:w="1897" w:type="dxa"/>
            <w:tcBorders>
              <w:top w:val="single" w:color="auto" w:sz="4" w:space="0"/>
              <w:left w:val="nil"/>
              <w:bottom w:val="single" w:color="auto" w:sz="4" w:space="0"/>
              <w:right w:val="single" w:color="auto" w:sz="4" w:space="0"/>
            </w:tcBorders>
            <w:vAlign w:val="center"/>
          </w:tcPr>
          <w:p w14:paraId="2BE8F788">
            <w:pPr>
              <w:spacing w:line="360" w:lineRule="auto"/>
              <w:jc w:val="center"/>
              <w:rPr>
                <w:rFonts w:ascii="宋体" w:hAnsi="宋体" w:eastAsia="宋体" w:cs="宋体"/>
                <w:sz w:val="24"/>
                <w:szCs w:val="20"/>
                <w:highlight w:val="none"/>
              </w:rPr>
            </w:pPr>
          </w:p>
        </w:tc>
        <w:tc>
          <w:tcPr>
            <w:tcW w:w="2006" w:type="dxa"/>
            <w:tcBorders>
              <w:top w:val="single" w:color="auto" w:sz="4" w:space="0"/>
              <w:left w:val="nil"/>
              <w:bottom w:val="single" w:color="auto" w:sz="4" w:space="0"/>
              <w:right w:val="single" w:color="auto" w:sz="4" w:space="0"/>
            </w:tcBorders>
            <w:vAlign w:val="center"/>
          </w:tcPr>
          <w:p w14:paraId="236CD7D4">
            <w:pPr>
              <w:spacing w:line="360" w:lineRule="auto"/>
              <w:jc w:val="center"/>
              <w:rPr>
                <w:rFonts w:ascii="宋体" w:hAnsi="宋体" w:eastAsia="宋体" w:cs="宋体"/>
                <w:sz w:val="24"/>
                <w:szCs w:val="20"/>
                <w:highlight w:val="none"/>
              </w:rPr>
            </w:pPr>
          </w:p>
        </w:tc>
        <w:tc>
          <w:tcPr>
            <w:tcW w:w="1764" w:type="dxa"/>
            <w:tcBorders>
              <w:top w:val="single" w:color="auto" w:sz="4" w:space="0"/>
              <w:left w:val="nil"/>
              <w:bottom w:val="single" w:color="auto" w:sz="4" w:space="0"/>
              <w:right w:val="single" w:color="auto" w:sz="4" w:space="0"/>
            </w:tcBorders>
            <w:vAlign w:val="center"/>
          </w:tcPr>
          <w:p w14:paraId="21A09511">
            <w:pPr>
              <w:spacing w:line="360" w:lineRule="auto"/>
              <w:jc w:val="center"/>
              <w:rPr>
                <w:rFonts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288377BB">
            <w:pPr>
              <w:spacing w:line="360" w:lineRule="auto"/>
              <w:jc w:val="center"/>
              <w:rPr>
                <w:rFonts w:ascii="宋体" w:hAnsi="宋体" w:eastAsia="宋体" w:cs="宋体"/>
                <w:sz w:val="24"/>
                <w:szCs w:val="20"/>
                <w:highlight w:val="none"/>
              </w:rPr>
            </w:pPr>
          </w:p>
        </w:tc>
      </w:tr>
      <w:tr w14:paraId="650A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2FA72152">
            <w:pPr>
              <w:spacing w:line="360" w:lineRule="auto"/>
              <w:jc w:val="center"/>
              <w:rPr>
                <w:rFonts w:ascii="宋体" w:hAnsi="宋体" w:eastAsia="宋体" w:cs="宋体"/>
                <w:sz w:val="24"/>
                <w:szCs w:val="20"/>
                <w:highlight w:val="none"/>
              </w:rPr>
            </w:pPr>
            <w:r>
              <w:rPr>
                <w:rFonts w:hint="eastAsia" w:ascii="宋体" w:hAnsi="宋体" w:eastAsia="宋体" w:cs="宋体"/>
                <w:sz w:val="24"/>
                <w:szCs w:val="20"/>
                <w:highlight w:val="none"/>
              </w:rPr>
              <w:t>3</w:t>
            </w:r>
          </w:p>
        </w:tc>
        <w:tc>
          <w:tcPr>
            <w:tcW w:w="1253" w:type="dxa"/>
            <w:tcBorders>
              <w:top w:val="single" w:color="auto" w:sz="4" w:space="0"/>
              <w:left w:val="nil"/>
              <w:bottom w:val="single" w:color="auto" w:sz="4" w:space="0"/>
              <w:right w:val="single" w:color="auto" w:sz="4" w:space="0"/>
            </w:tcBorders>
            <w:vAlign w:val="center"/>
          </w:tcPr>
          <w:p w14:paraId="39B61551">
            <w:pPr>
              <w:spacing w:line="360" w:lineRule="auto"/>
              <w:jc w:val="center"/>
              <w:rPr>
                <w:rFonts w:ascii="宋体" w:hAnsi="宋体" w:eastAsia="宋体" w:cs="宋体"/>
                <w:sz w:val="24"/>
                <w:szCs w:val="20"/>
                <w:highlight w:val="none"/>
              </w:rPr>
            </w:pPr>
          </w:p>
        </w:tc>
        <w:tc>
          <w:tcPr>
            <w:tcW w:w="1897" w:type="dxa"/>
            <w:tcBorders>
              <w:top w:val="single" w:color="auto" w:sz="4" w:space="0"/>
              <w:left w:val="nil"/>
              <w:bottom w:val="single" w:color="auto" w:sz="4" w:space="0"/>
              <w:right w:val="single" w:color="auto" w:sz="4" w:space="0"/>
            </w:tcBorders>
            <w:vAlign w:val="center"/>
          </w:tcPr>
          <w:p w14:paraId="195C85B1">
            <w:pPr>
              <w:spacing w:line="360" w:lineRule="auto"/>
              <w:jc w:val="center"/>
              <w:rPr>
                <w:rFonts w:ascii="宋体" w:hAnsi="宋体" w:eastAsia="宋体" w:cs="宋体"/>
                <w:sz w:val="24"/>
                <w:szCs w:val="20"/>
                <w:highlight w:val="none"/>
              </w:rPr>
            </w:pPr>
          </w:p>
        </w:tc>
        <w:tc>
          <w:tcPr>
            <w:tcW w:w="2006" w:type="dxa"/>
            <w:tcBorders>
              <w:top w:val="single" w:color="auto" w:sz="4" w:space="0"/>
              <w:left w:val="nil"/>
              <w:bottom w:val="single" w:color="auto" w:sz="4" w:space="0"/>
              <w:right w:val="single" w:color="auto" w:sz="4" w:space="0"/>
            </w:tcBorders>
            <w:vAlign w:val="center"/>
          </w:tcPr>
          <w:p w14:paraId="0D8192CC">
            <w:pPr>
              <w:spacing w:line="360" w:lineRule="auto"/>
              <w:jc w:val="center"/>
              <w:rPr>
                <w:rFonts w:ascii="宋体" w:hAnsi="宋体" w:eastAsia="宋体" w:cs="宋体"/>
                <w:sz w:val="24"/>
                <w:szCs w:val="20"/>
                <w:highlight w:val="none"/>
              </w:rPr>
            </w:pPr>
          </w:p>
        </w:tc>
        <w:tc>
          <w:tcPr>
            <w:tcW w:w="1764" w:type="dxa"/>
            <w:tcBorders>
              <w:top w:val="single" w:color="auto" w:sz="4" w:space="0"/>
              <w:left w:val="nil"/>
              <w:bottom w:val="single" w:color="auto" w:sz="4" w:space="0"/>
              <w:right w:val="single" w:color="auto" w:sz="4" w:space="0"/>
            </w:tcBorders>
            <w:vAlign w:val="center"/>
          </w:tcPr>
          <w:p w14:paraId="3EE95821">
            <w:pPr>
              <w:spacing w:line="360" w:lineRule="auto"/>
              <w:jc w:val="center"/>
              <w:rPr>
                <w:rFonts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18E6B06C">
            <w:pPr>
              <w:spacing w:line="360" w:lineRule="auto"/>
              <w:jc w:val="center"/>
              <w:rPr>
                <w:rFonts w:ascii="宋体" w:hAnsi="宋体" w:eastAsia="宋体" w:cs="宋体"/>
                <w:sz w:val="24"/>
                <w:szCs w:val="20"/>
                <w:highlight w:val="none"/>
              </w:rPr>
            </w:pPr>
          </w:p>
        </w:tc>
      </w:tr>
      <w:tr w14:paraId="6DBF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6F86B0A5">
            <w:pPr>
              <w:spacing w:line="360" w:lineRule="auto"/>
              <w:jc w:val="center"/>
              <w:rPr>
                <w:rFonts w:ascii="宋体" w:hAnsi="宋体" w:eastAsia="宋体" w:cs="宋体"/>
                <w:sz w:val="24"/>
                <w:szCs w:val="20"/>
                <w:highlight w:val="none"/>
              </w:rPr>
            </w:pPr>
            <w:r>
              <w:rPr>
                <w:rFonts w:hint="eastAsia" w:ascii="宋体" w:hAnsi="宋体" w:eastAsia="宋体" w:cs="宋体"/>
                <w:sz w:val="24"/>
                <w:szCs w:val="20"/>
                <w:highlight w:val="none"/>
              </w:rPr>
              <w:t>…</w:t>
            </w:r>
          </w:p>
        </w:tc>
        <w:tc>
          <w:tcPr>
            <w:tcW w:w="1253" w:type="dxa"/>
            <w:tcBorders>
              <w:top w:val="single" w:color="auto" w:sz="4" w:space="0"/>
              <w:left w:val="nil"/>
              <w:bottom w:val="single" w:color="auto" w:sz="4" w:space="0"/>
              <w:right w:val="single" w:color="auto" w:sz="4" w:space="0"/>
            </w:tcBorders>
            <w:vAlign w:val="center"/>
          </w:tcPr>
          <w:p w14:paraId="1D338A3A">
            <w:pPr>
              <w:spacing w:line="360" w:lineRule="auto"/>
              <w:jc w:val="center"/>
              <w:rPr>
                <w:rFonts w:ascii="宋体" w:hAnsi="宋体" w:eastAsia="宋体" w:cs="宋体"/>
                <w:sz w:val="24"/>
                <w:szCs w:val="20"/>
                <w:highlight w:val="none"/>
              </w:rPr>
            </w:pPr>
          </w:p>
        </w:tc>
        <w:tc>
          <w:tcPr>
            <w:tcW w:w="1897" w:type="dxa"/>
            <w:tcBorders>
              <w:top w:val="single" w:color="auto" w:sz="4" w:space="0"/>
              <w:left w:val="nil"/>
              <w:bottom w:val="single" w:color="auto" w:sz="4" w:space="0"/>
              <w:right w:val="single" w:color="auto" w:sz="4" w:space="0"/>
            </w:tcBorders>
            <w:vAlign w:val="center"/>
          </w:tcPr>
          <w:p w14:paraId="5D4A9648">
            <w:pPr>
              <w:spacing w:line="360" w:lineRule="auto"/>
              <w:jc w:val="center"/>
              <w:rPr>
                <w:rFonts w:ascii="宋体" w:hAnsi="宋体" w:eastAsia="宋体" w:cs="宋体"/>
                <w:sz w:val="24"/>
                <w:szCs w:val="20"/>
                <w:highlight w:val="none"/>
              </w:rPr>
            </w:pPr>
          </w:p>
        </w:tc>
        <w:tc>
          <w:tcPr>
            <w:tcW w:w="2006" w:type="dxa"/>
            <w:tcBorders>
              <w:top w:val="single" w:color="auto" w:sz="4" w:space="0"/>
              <w:left w:val="nil"/>
              <w:bottom w:val="single" w:color="auto" w:sz="4" w:space="0"/>
              <w:right w:val="single" w:color="auto" w:sz="4" w:space="0"/>
            </w:tcBorders>
            <w:vAlign w:val="center"/>
          </w:tcPr>
          <w:p w14:paraId="11741F60">
            <w:pPr>
              <w:spacing w:line="360" w:lineRule="auto"/>
              <w:jc w:val="center"/>
              <w:rPr>
                <w:rFonts w:ascii="宋体" w:hAnsi="宋体" w:eastAsia="宋体" w:cs="宋体"/>
                <w:sz w:val="24"/>
                <w:szCs w:val="20"/>
                <w:highlight w:val="none"/>
              </w:rPr>
            </w:pPr>
          </w:p>
        </w:tc>
        <w:tc>
          <w:tcPr>
            <w:tcW w:w="1764" w:type="dxa"/>
            <w:tcBorders>
              <w:top w:val="single" w:color="auto" w:sz="4" w:space="0"/>
              <w:left w:val="nil"/>
              <w:bottom w:val="single" w:color="auto" w:sz="4" w:space="0"/>
              <w:right w:val="single" w:color="auto" w:sz="4" w:space="0"/>
            </w:tcBorders>
            <w:vAlign w:val="center"/>
          </w:tcPr>
          <w:p w14:paraId="2EE469D6">
            <w:pPr>
              <w:spacing w:line="360" w:lineRule="auto"/>
              <w:jc w:val="center"/>
              <w:rPr>
                <w:rFonts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0BBD06EB">
            <w:pPr>
              <w:spacing w:line="360" w:lineRule="auto"/>
              <w:jc w:val="center"/>
              <w:rPr>
                <w:rFonts w:ascii="宋体" w:hAnsi="宋体" w:eastAsia="宋体" w:cs="宋体"/>
                <w:sz w:val="24"/>
                <w:szCs w:val="20"/>
                <w:highlight w:val="none"/>
              </w:rPr>
            </w:pPr>
          </w:p>
        </w:tc>
      </w:tr>
      <w:tr w14:paraId="5DED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593436F7">
            <w:pPr>
              <w:spacing w:line="360" w:lineRule="auto"/>
              <w:jc w:val="center"/>
              <w:rPr>
                <w:rFonts w:ascii="宋体" w:hAnsi="宋体" w:eastAsia="宋体" w:cs="宋体"/>
                <w:sz w:val="24"/>
                <w:szCs w:val="20"/>
                <w:highlight w:val="none"/>
              </w:rPr>
            </w:pPr>
          </w:p>
        </w:tc>
        <w:tc>
          <w:tcPr>
            <w:tcW w:w="1253" w:type="dxa"/>
            <w:tcBorders>
              <w:top w:val="single" w:color="auto" w:sz="4" w:space="0"/>
              <w:left w:val="nil"/>
              <w:bottom w:val="single" w:color="auto" w:sz="4" w:space="0"/>
              <w:right w:val="single" w:color="auto" w:sz="4" w:space="0"/>
            </w:tcBorders>
            <w:vAlign w:val="center"/>
          </w:tcPr>
          <w:p w14:paraId="432D8C5B">
            <w:pPr>
              <w:spacing w:line="360" w:lineRule="auto"/>
              <w:jc w:val="center"/>
              <w:rPr>
                <w:rFonts w:ascii="宋体" w:hAnsi="宋体" w:eastAsia="宋体" w:cs="宋体"/>
                <w:sz w:val="24"/>
                <w:szCs w:val="20"/>
                <w:highlight w:val="none"/>
              </w:rPr>
            </w:pPr>
          </w:p>
        </w:tc>
        <w:tc>
          <w:tcPr>
            <w:tcW w:w="1897" w:type="dxa"/>
            <w:tcBorders>
              <w:top w:val="single" w:color="auto" w:sz="4" w:space="0"/>
              <w:left w:val="nil"/>
              <w:bottom w:val="single" w:color="auto" w:sz="4" w:space="0"/>
              <w:right w:val="single" w:color="auto" w:sz="4" w:space="0"/>
            </w:tcBorders>
            <w:vAlign w:val="center"/>
          </w:tcPr>
          <w:p w14:paraId="456E44BE">
            <w:pPr>
              <w:spacing w:line="360" w:lineRule="auto"/>
              <w:jc w:val="center"/>
              <w:rPr>
                <w:rFonts w:ascii="宋体" w:hAnsi="宋体" w:eastAsia="宋体" w:cs="宋体"/>
                <w:sz w:val="24"/>
                <w:szCs w:val="20"/>
                <w:highlight w:val="none"/>
              </w:rPr>
            </w:pPr>
          </w:p>
        </w:tc>
        <w:tc>
          <w:tcPr>
            <w:tcW w:w="2006" w:type="dxa"/>
            <w:tcBorders>
              <w:top w:val="single" w:color="auto" w:sz="4" w:space="0"/>
              <w:left w:val="nil"/>
              <w:bottom w:val="single" w:color="auto" w:sz="4" w:space="0"/>
              <w:right w:val="single" w:color="auto" w:sz="4" w:space="0"/>
            </w:tcBorders>
            <w:vAlign w:val="center"/>
          </w:tcPr>
          <w:p w14:paraId="32500404">
            <w:pPr>
              <w:spacing w:line="360" w:lineRule="auto"/>
              <w:jc w:val="center"/>
              <w:rPr>
                <w:rFonts w:ascii="宋体" w:hAnsi="宋体" w:eastAsia="宋体" w:cs="宋体"/>
                <w:sz w:val="24"/>
                <w:szCs w:val="20"/>
                <w:highlight w:val="none"/>
              </w:rPr>
            </w:pPr>
          </w:p>
        </w:tc>
        <w:tc>
          <w:tcPr>
            <w:tcW w:w="1764" w:type="dxa"/>
            <w:tcBorders>
              <w:top w:val="single" w:color="auto" w:sz="4" w:space="0"/>
              <w:left w:val="nil"/>
              <w:bottom w:val="single" w:color="auto" w:sz="4" w:space="0"/>
              <w:right w:val="single" w:color="auto" w:sz="4" w:space="0"/>
            </w:tcBorders>
            <w:vAlign w:val="center"/>
          </w:tcPr>
          <w:p w14:paraId="42B6E2DF">
            <w:pPr>
              <w:spacing w:line="360" w:lineRule="auto"/>
              <w:jc w:val="center"/>
              <w:rPr>
                <w:rFonts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7D2A618B">
            <w:pPr>
              <w:spacing w:line="360" w:lineRule="auto"/>
              <w:jc w:val="center"/>
              <w:rPr>
                <w:rFonts w:ascii="宋体" w:hAnsi="宋体" w:eastAsia="宋体" w:cs="宋体"/>
                <w:sz w:val="24"/>
                <w:szCs w:val="20"/>
                <w:highlight w:val="none"/>
              </w:rPr>
            </w:pPr>
          </w:p>
        </w:tc>
      </w:tr>
      <w:tr w14:paraId="35FD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6CACDC40">
            <w:pPr>
              <w:spacing w:line="360" w:lineRule="auto"/>
              <w:jc w:val="center"/>
              <w:rPr>
                <w:rFonts w:ascii="宋体" w:hAnsi="宋体" w:eastAsia="宋体" w:cs="宋体"/>
                <w:sz w:val="24"/>
                <w:szCs w:val="20"/>
                <w:highlight w:val="none"/>
              </w:rPr>
            </w:pPr>
          </w:p>
        </w:tc>
        <w:tc>
          <w:tcPr>
            <w:tcW w:w="1253" w:type="dxa"/>
            <w:tcBorders>
              <w:top w:val="single" w:color="auto" w:sz="4" w:space="0"/>
              <w:left w:val="nil"/>
              <w:bottom w:val="single" w:color="auto" w:sz="4" w:space="0"/>
              <w:right w:val="single" w:color="auto" w:sz="4" w:space="0"/>
            </w:tcBorders>
            <w:vAlign w:val="center"/>
          </w:tcPr>
          <w:p w14:paraId="3E8A6CE6">
            <w:pPr>
              <w:spacing w:line="360" w:lineRule="auto"/>
              <w:jc w:val="center"/>
              <w:rPr>
                <w:rFonts w:ascii="宋体" w:hAnsi="宋体" w:eastAsia="宋体" w:cs="宋体"/>
                <w:sz w:val="24"/>
                <w:szCs w:val="20"/>
                <w:highlight w:val="none"/>
              </w:rPr>
            </w:pPr>
          </w:p>
        </w:tc>
        <w:tc>
          <w:tcPr>
            <w:tcW w:w="1897" w:type="dxa"/>
            <w:tcBorders>
              <w:top w:val="single" w:color="auto" w:sz="4" w:space="0"/>
              <w:left w:val="nil"/>
              <w:bottom w:val="single" w:color="auto" w:sz="4" w:space="0"/>
              <w:right w:val="single" w:color="auto" w:sz="4" w:space="0"/>
            </w:tcBorders>
            <w:vAlign w:val="center"/>
          </w:tcPr>
          <w:p w14:paraId="5F8091E3">
            <w:pPr>
              <w:spacing w:line="360" w:lineRule="auto"/>
              <w:jc w:val="center"/>
              <w:rPr>
                <w:rFonts w:ascii="宋体" w:hAnsi="宋体" w:eastAsia="宋体" w:cs="宋体"/>
                <w:sz w:val="24"/>
                <w:szCs w:val="20"/>
                <w:highlight w:val="none"/>
              </w:rPr>
            </w:pPr>
          </w:p>
        </w:tc>
        <w:tc>
          <w:tcPr>
            <w:tcW w:w="2006" w:type="dxa"/>
            <w:tcBorders>
              <w:top w:val="single" w:color="auto" w:sz="4" w:space="0"/>
              <w:left w:val="nil"/>
              <w:bottom w:val="single" w:color="auto" w:sz="4" w:space="0"/>
              <w:right w:val="single" w:color="auto" w:sz="4" w:space="0"/>
            </w:tcBorders>
            <w:vAlign w:val="center"/>
          </w:tcPr>
          <w:p w14:paraId="6269A59A">
            <w:pPr>
              <w:spacing w:line="360" w:lineRule="auto"/>
              <w:jc w:val="center"/>
              <w:rPr>
                <w:rFonts w:ascii="宋体" w:hAnsi="宋体" w:eastAsia="宋体" w:cs="宋体"/>
                <w:sz w:val="24"/>
                <w:szCs w:val="20"/>
                <w:highlight w:val="none"/>
              </w:rPr>
            </w:pPr>
          </w:p>
        </w:tc>
        <w:tc>
          <w:tcPr>
            <w:tcW w:w="1764" w:type="dxa"/>
            <w:tcBorders>
              <w:top w:val="single" w:color="auto" w:sz="4" w:space="0"/>
              <w:left w:val="nil"/>
              <w:bottom w:val="single" w:color="auto" w:sz="4" w:space="0"/>
              <w:right w:val="single" w:color="auto" w:sz="4" w:space="0"/>
            </w:tcBorders>
            <w:vAlign w:val="center"/>
          </w:tcPr>
          <w:p w14:paraId="0A02F39E">
            <w:pPr>
              <w:spacing w:line="360" w:lineRule="auto"/>
              <w:jc w:val="center"/>
              <w:rPr>
                <w:rFonts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2E48B2BD">
            <w:pPr>
              <w:spacing w:line="360" w:lineRule="auto"/>
              <w:jc w:val="center"/>
              <w:rPr>
                <w:rFonts w:ascii="宋体" w:hAnsi="宋体" w:eastAsia="宋体" w:cs="宋体"/>
                <w:sz w:val="24"/>
                <w:szCs w:val="20"/>
                <w:highlight w:val="none"/>
              </w:rPr>
            </w:pPr>
          </w:p>
        </w:tc>
      </w:tr>
      <w:tr w14:paraId="20DF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7"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66D2B5E5">
            <w:pPr>
              <w:spacing w:line="360" w:lineRule="auto"/>
              <w:jc w:val="center"/>
              <w:rPr>
                <w:rFonts w:ascii="宋体" w:hAnsi="宋体" w:eastAsia="宋体" w:cs="宋体"/>
                <w:sz w:val="24"/>
                <w:szCs w:val="20"/>
                <w:highlight w:val="none"/>
              </w:rPr>
            </w:pPr>
          </w:p>
        </w:tc>
        <w:tc>
          <w:tcPr>
            <w:tcW w:w="1253" w:type="dxa"/>
            <w:tcBorders>
              <w:top w:val="single" w:color="auto" w:sz="4" w:space="0"/>
              <w:left w:val="nil"/>
              <w:bottom w:val="single" w:color="auto" w:sz="4" w:space="0"/>
              <w:right w:val="single" w:color="auto" w:sz="4" w:space="0"/>
            </w:tcBorders>
            <w:vAlign w:val="center"/>
          </w:tcPr>
          <w:p w14:paraId="3C98F060">
            <w:pPr>
              <w:spacing w:line="360" w:lineRule="auto"/>
              <w:jc w:val="center"/>
              <w:rPr>
                <w:rFonts w:ascii="宋体" w:hAnsi="宋体" w:eastAsia="宋体" w:cs="宋体"/>
                <w:sz w:val="24"/>
                <w:szCs w:val="20"/>
                <w:highlight w:val="none"/>
              </w:rPr>
            </w:pPr>
          </w:p>
        </w:tc>
        <w:tc>
          <w:tcPr>
            <w:tcW w:w="1897" w:type="dxa"/>
            <w:tcBorders>
              <w:top w:val="single" w:color="auto" w:sz="4" w:space="0"/>
              <w:left w:val="nil"/>
              <w:bottom w:val="single" w:color="auto" w:sz="4" w:space="0"/>
              <w:right w:val="single" w:color="auto" w:sz="4" w:space="0"/>
            </w:tcBorders>
            <w:vAlign w:val="center"/>
          </w:tcPr>
          <w:p w14:paraId="524A7914">
            <w:pPr>
              <w:spacing w:line="360" w:lineRule="auto"/>
              <w:jc w:val="center"/>
              <w:rPr>
                <w:rFonts w:ascii="宋体" w:hAnsi="宋体" w:eastAsia="宋体" w:cs="宋体"/>
                <w:sz w:val="24"/>
                <w:szCs w:val="20"/>
                <w:highlight w:val="none"/>
              </w:rPr>
            </w:pPr>
          </w:p>
        </w:tc>
        <w:tc>
          <w:tcPr>
            <w:tcW w:w="2006" w:type="dxa"/>
            <w:tcBorders>
              <w:top w:val="single" w:color="auto" w:sz="4" w:space="0"/>
              <w:left w:val="nil"/>
              <w:bottom w:val="single" w:color="auto" w:sz="4" w:space="0"/>
              <w:right w:val="single" w:color="auto" w:sz="4" w:space="0"/>
            </w:tcBorders>
            <w:vAlign w:val="center"/>
          </w:tcPr>
          <w:p w14:paraId="0E13C4D1">
            <w:pPr>
              <w:spacing w:line="360" w:lineRule="auto"/>
              <w:jc w:val="center"/>
              <w:rPr>
                <w:rFonts w:ascii="宋体" w:hAnsi="宋体" w:eastAsia="宋体" w:cs="宋体"/>
                <w:sz w:val="24"/>
                <w:szCs w:val="20"/>
                <w:highlight w:val="none"/>
              </w:rPr>
            </w:pPr>
          </w:p>
        </w:tc>
        <w:tc>
          <w:tcPr>
            <w:tcW w:w="1764" w:type="dxa"/>
            <w:tcBorders>
              <w:top w:val="single" w:color="auto" w:sz="4" w:space="0"/>
              <w:left w:val="nil"/>
              <w:bottom w:val="single" w:color="auto" w:sz="4" w:space="0"/>
              <w:right w:val="single" w:color="auto" w:sz="4" w:space="0"/>
            </w:tcBorders>
            <w:vAlign w:val="center"/>
          </w:tcPr>
          <w:p w14:paraId="27724385">
            <w:pPr>
              <w:spacing w:line="360" w:lineRule="auto"/>
              <w:jc w:val="center"/>
              <w:rPr>
                <w:rFonts w:ascii="宋体" w:hAnsi="宋体" w:eastAsia="宋体" w:cs="宋体"/>
                <w:sz w:val="24"/>
                <w:szCs w:val="20"/>
                <w:highlight w:val="none"/>
              </w:rPr>
            </w:pPr>
          </w:p>
        </w:tc>
        <w:tc>
          <w:tcPr>
            <w:tcW w:w="900" w:type="dxa"/>
            <w:tcBorders>
              <w:top w:val="single" w:color="auto" w:sz="4" w:space="0"/>
              <w:left w:val="nil"/>
              <w:bottom w:val="single" w:color="auto" w:sz="4" w:space="0"/>
              <w:right w:val="single" w:color="auto" w:sz="4" w:space="0"/>
            </w:tcBorders>
            <w:vAlign w:val="center"/>
          </w:tcPr>
          <w:p w14:paraId="659504A1">
            <w:pPr>
              <w:spacing w:line="360" w:lineRule="auto"/>
              <w:jc w:val="center"/>
              <w:rPr>
                <w:rFonts w:ascii="宋体" w:hAnsi="宋体" w:eastAsia="宋体" w:cs="宋体"/>
                <w:sz w:val="24"/>
                <w:szCs w:val="20"/>
                <w:highlight w:val="none"/>
              </w:rPr>
            </w:pPr>
          </w:p>
        </w:tc>
      </w:tr>
    </w:tbl>
    <w:p w14:paraId="39641DFC">
      <w:pPr>
        <w:spacing w:line="360" w:lineRule="auto"/>
        <w:rPr>
          <w:rFonts w:ascii="宋体" w:hAnsi="宋体" w:eastAsia="宋体" w:cs="宋体"/>
          <w:b/>
          <w:bCs/>
          <w:sz w:val="24"/>
          <w:szCs w:val="20"/>
          <w:highlight w:val="none"/>
        </w:rPr>
      </w:pPr>
      <w:r>
        <w:rPr>
          <w:rFonts w:hint="eastAsia" w:ascii="宋体" w:hAnsi="宋体" w:eastAsia="宋体" w:cs="宋体"/>
          <w:b/>
          <w:bCs/>
          <w:sz w:val="24"/>
          <w:szCs w:val="20"/>
          <w:highlight w:val="none"/>
        </w:rPr>
        <w:t>注：投标人对招标文件的各项要求是否有偏离，包括修改、补充的文件（若有）和参考资料及有关附件。若有偏离，请将所有偏离项在此表中列明。没有列出的视为投标人完全响应招标文件要求。</w:t>
      </w:r>
    </w:p>
    <w:p w14:paraId="50DF2F9A">
      <w:pPr>
        <w:spacing w:line="360" w:lineRule="auto"/>
        <w:ind w:firstLine="3360" w:firstLineChars="1400"/>
        <w:rPr>
          <w:rFonts w:ascii="宋体" w:hAnsi="宋体" w:eastAsia="宋体" w:cs="宋体"/>
          <w:sz w:val="24"/>
          <w:szCs w:val="20"/>
          <w:highlight w:val="none"/>
        </w:rPr>
      </w:pPr>
    </w:p>
    <w:p w14:paraId="1D3205BB">
      <w:pPr>
        <w:spacing w:line="360" w:lineRule="auto"/>
        <w:ind w:firstLine="3360" w:firstLineChars="1400"/>
        <w:rPr>
          <w:rFonts w:ascii="宋体" w:hAnsi="宋体" w:eastAsia="宋体" w:cs="宋体"/>
          <w:sz w:val="24"/>
          <w:szCs w:val="20"/>
          <w:highlight w:val="none"/>
          <w:u w:val="single"/>
        </w:rPr>
      </w:pPr>
      <w:r>
        <w:rPr>
          <w:rFonts w:hint="eastAsia" w:ascii="宋体" w:hAnsi="宋体" w:eastAsia="宋体" w:cs="宋体"/>
          <w:sz w:val="24"/>
          <w:szCs w:val="20"/>
          <w:highlight w:val="none"/>
        </w:rPr>
        <w:t>供应商名称：</w:t>
      </w:r>
      <w:r>
        <w:rPr>
          <w:rFonts w:hint="eastAsia" w:ascii="宋体" w:hAnsi="宋体" w:eastAsia="宋体" w:cs="宋体"/>
          <w:sz w:val="24"/>
          <w:szCs w:val="20"/>
          <w:highlight w:val="none"/>
          <w:u w:val="single"/>
        </w:rPr>
        <w:t xml:space="preserve">              </w:t>
      </w:r>
      <w:r>
        <w:rPr>
          <w:rFonts w:hint="eastAsia" w:ascii="宋体" w:hAnsi="宋体" w:eastAsia="宋体" w:cs="Times New Roman"/>
          <w:kern w:val="1"/>
          <w:sz w:val="24"/>
          <w:szCs w:val="24"/>
          <w:highlight w:val="none"/>
        </w:rPr>
        <w:t>（</w:t>
      </w:r>
      <w:r>
        <w:rPr>
          <w:rFonts w:hint="eastAsia" w:ascii="宋体" w:hAnsi="宋体" w:eastAsia="宋体" w:cs="黑体"/>
          <w:bCs/>
          <w:kern w:val="0"/>
          <w:sz w:val="24"/>
          <w:szCs w:val="21"/>
          <w:highlight w:val="none"/>
        </w:rPr>
        <w:t>电子签章</w:t>
      </w:r>
      <w:r>
        <w:rPr>
          <w:rFonts w:hint="eastAsia" w:ascii="宋体" w:hAnsi="宋体" w:eastAsia="宋体" w:cs="Times New Roman"/>
          <w:kern w:val="1"/>
          <w:sz w:val="24"/>
          <w:szCs w:val="24"/>
          <w:highlight w:val="none"/>
        </w:rPr>
        <w:t>）</w:t>
      </w:r>
    </w:p>
    <w:p w14:paraId="2312A828">
      <w:pPr>
        <w:spacing w:line="360" w:lineRule="auto"/>
        <w:ind w:right="-340" w:rightChars="-162" w:firstLine="3360" w:firstLineChars="1400"/>
        <w:rPr>
          <w:rFonts w:ascii="宋体" w:hAnsi="宋体" w:eastAsia="宋体" w:cs="宋体"/>
          <w:sz w:val="24"/>
          <w:szCs w:val="20"/>
          <w:highlight w:val="none"/>
        </w:rPr>
      </w:pPr>
      <w:r>
        <w:rPr>
          <w:rFonts w:hint="eastAsia" w:ascii="宋体" w:hAnsi="宋体" w:eastAsia="宋体" w:cs="宋体"/>
          <w:sz w:val="24"/>
          <w:szCs w:val="20"/>
          <w:highlight w:val="none"/>
        </w:rPr>
        <w:t>日    期：</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年</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月</w:t>
      </w:r>
      <w:r>
        <w:rPr>
          <w:rFonts w:hint="eastAsia" w:ascii="宋体" w:hAnsi="宋体" w:eastAsia="宋体" w:cs="宋体"/>
          <w:sz w:val="24"/>
          <w:szCs w:val="20"/>
          <w:highlight w:val="none"/>
          <w:u w:val="single"/>
        </w:rPr>
        <w:t xml:space="preserve">      </w:t>
      </w:r>
      <w:r>
        <w:rPr>
          <w:rFonts w:hint="eastAsia" w:ascii="宋体" w:hAnsi="宋体" w:eastAsia="宋体" w:cs="宋体"/>
          <w:sz w:val="24"/>
          <w:szCs w:val="20"/>
          <w:highlight w:val="none"/>
        </w:rPr>
        <w:t>日</w:t>
      </w:r>
    </w:p>
    <w:p w14:paraId="1DC9DC7A">
      <w:pPr>
        <w:widowControl/>
        <w:jc w:val="left"/>
        <w:rPr>
          <w:rFonts w:ascii="宋体" w:hAnsi="宋体" w:eastAsia="宋体" w:cs="宋体"/>
          <w:szCs w:val="24"/>
          <w:highlight w:val="none"/>
        </w:rPr>
      </w:pPr>
    </w:p>
    <w:p w14:paraId="4AF47B25">
      <w:pPr>
        <w:wordWrap w:val="0"/>
        <w:topLinePunct/>
        <w:spacing w:line="360" w:lineRule="auto"/>
        <w:ind w:firstLine="2396" w:firstLineChars="1141"/>
        <w:rPr>
          <w:rFonts w:ascii="宋体" w:hAnsi="宋体" w:eastAsia="宋体" w:cs="宋体"/>
          <w:b/>
          <w:bCs/>
          <w:spacing w:val="6"/>
          <w:sz w:val="31"/>
          <w:szCs w:val="31"/>
          <w:highlight w:val="none"/>
        </w:rPr>
      </w:pPr>
      <w:r>
        <w:rPr>
          <w:rFonts w:ascii="Calibri" w:hAnsi="Calibri" w:eastAsia="宋体" w:cs="Times New Roman"/>
          <w:highlight w:val="none"/>
        </w:rPr>
        <w:br w:type="page"/>
      </w:r>
    </w:p>
    <w:p w14:paraId="20251242">
      <w:pPr>
        <w:widowControl/>
        <w:jc w:val="left"/>
        <w:rPr>
          <w:rFonts w:ascii="Calibri" w:hAnsi="Calibri" w:eastAsia="宋体" w:cs="Times New Roman"/>
          <w:highlight w:val="none"/>
        </w:rPr>
      </w:pPr>
    </w:p>
    <w:p w14:paraId="493A4352">
      <w:pPr>
        <w:keepNext/>
        <w:keepLines/>
        <w:spacing w:line="360" w:lineRule="auto"/>
        <w:jc w:val="center"/>
        <w:outlineLvl w:val="2"/>
        <w:rPr>
          <w:rFonts w:ascii="Calibri" w:hAnsi="Calibri" w:eastAsia="宋体" w:cs="Times New Roman"/>
          <w:b/>
          <w:bCs/>
          <w:sz w:val="28"/>
          <w:szCs w:val="32"/>
          <w:highlight w:val="none"/>
        </w:rPr>
      </w:pPr>
      <w:bookmarkStart w:id="255" w:name="_Toc21996"/>
      <w:r>
        <w:rPr>
          <w:rFonts w:hint="eastAsia" w:ascii="Calibri" w:hAnsi="Calibri" w:eastAsia="宋体" w:cs="Times New Roman"/>
          <w:b/>
          <w:bCs/>
          <w:sz w:val="28"/>
          <w:szCs w:val="32"/>
          <w:highlight w:val="none"/>
        </w:rPr>
        <w:t>七、技术标部分</w:t>
      </w:r>
      <w:bookmarkEnd w:id="251"/>
      <w:bookmarkEnd w:id="252"/>
      <w:bookmarkEnd w:id="253"/>
      <w:bookmarkEnd w:id="255"/>
    </w:p>
    <w:p w14:paraId="5B35765B">
      <w:pPr>
        <w:spacing w:line="500" w:lineRule="exact"/>
        <w:jc w:val="center"/>
        <w:rPr>
          <w:rFonts w:ascii="宋体" w:hAnsi="宋体" w:eastAsia="宋体" w:cs="宋体"/>
          <w:sz w:val="22"/>
          <w:highlight w:val="none"/>
        </w:rPr>
      </w:pPr>
      <w:r>
        <w:rPr>
          <w:rFonts w:hint="eastAsia" w:ascii="宋体" w:hAnsi="宋体" w:eastAsia="宋体" w:cs="宋体"/>
          <w:sz w:val="22"/>
          <w:highlight w:val="none"/>
        </w:rPr>
        <w:t>（格式自拟）</w:t>
      </w:r>
    </w:p>
    <w:p w14:paraId="2D0A6B88">
      <w:pPr>
        <w:rPr>
          <w:rFonts w:ascii="Calibri" w:hAnsi="Calibri" w:eastAsia="宋体" w:cs="Times New Roman"/>
          <w:highlight w:val="none"/>
        </w:rPr>
      </w:pPr>
      <w:bookmarkStart w:id="256" w:name="_Toc12073"/>
      <w:bookmarkEnd w:id="256"/>
      <w:r>
        <w:rPr>
          <w:rFonts w:hint="eastAsia" w:ascii="Calibri" w:hAnsi="Calibri" w:eastAsia="宋体" w:cs="Times New Roman"/>
          <w:highlight w:val="none"/>
        </w:rPr>
        <w:br w:type="page"/>
      </w:r>
      <w:bookmarkStart w:id="257" w:name="_Toc2770"/>
      <w:bookmarkEnd w:id="257"/>
      <w:bookmarkStart w:id="258" w:name="_Toc4724"/>
      <w:bookmarkStart w:id="259" w:name="_Toc20210"/>
    </w:p>
    <w:p w14:paraId="03CC1E85">
      <w:pPr>
        <w:keepNext/>
        <w:keepLines/>
        <w:spacing w:line="360" w:lineRule="auto"/>
        <w:jc w:val="center"/>
        <w:outlineLvl w:val="2"/>
        <w:rPr>
          <w:rFonts w:ascii="Calibri" w:hAnsi="Calibri" w:eastAsia="宋体" w:cs="Times New Roman"/>
          <w:b/>
          <w:bCs/>
          <w:sz w:val="28"/>
          <w:szCs w:val="32"/>
          <w:highlight w:val="none"/>
        </w:rPr>
      </w:pPr>
      <w:bookmarkStart w:id="260" w:name="_Toc26781"/>
      <w:r>
        <w:rPr>
          <w:rFonts w:hint="eastAsia" w:ascii="Calibri" w:hAnsi="Calibri" w:eastAsia="宋体" w:cs="Times New Roman"/>
          <w:b/>
          <w:bCs/>
          <w:sz w:val="28"/>
          <w:szCs w:val="32"/>
          <w:highlight w:val="none"/>
        </w:rPr>
        <w:t>八、供应商资格证明</w:t>
      </w:r>
      <w:bookmarkEnd w:id="258"/>
      <w:bookmarkEnd w:id="259"/>
      <w:r>
        <w:rPr>
          <w:rFonts w:hint="eastAsia" w:ascii="Calibri" w:hAnsi="Calibri" w:eastAsia="宋体" w:cs="Times New Roman"/>
          <w:b/>
          <w:bCs/>
          <w:sz w:val="28"/>
          <w:szCs w:val="32"/>
          <w:highlight w:val="none"/>
        </w:rPr>
        <w:t>材料</w:t>
      </w:r>
      <w:bookmarkEnd w:id="260"/>
    </w:p>
    <w:p w14:paraId="48BB8D30">
      <w:pPr>
        <w:jc w:val="center"/>
        <w:rPr>
          <w:rFonts w:ascii="宋体" w:hAnsi="宋体" w:eastAsia="宋体" w:cs="宋体"/>
          <w:sz w:val="24"/>
          <w:highlight w:val="none"/>
        </w:rPr>
      </w:pPr>
      <w:bookmarkStart w:id="261" w:name="_Toc361989464"/>
      <w:bookmarkEnd w:id="261"/>
      <w:r>
        <w:rPr>
          <w:rFonts w:hint="eastAsia" w:ascii="宋体" w:hAnsi="宋体" w:eastAsia="宋体" w:cs="宋体"/>
          <w:sz w:val="24"/>
          <w:highlight w:val="none"/>
        </w:rPr>
        <w:br w:type="page"/>
      </w:r>
      <w:bookmarkStart w:id="262" w:name="_Toc361989466"/>
      <w:bookmarkEnd w:id="262"/>
      <w:bookmarkStart w:id="263" w:name="_Toc361989467"/>
      <w:bookmarkEnd w:id="263"/>
      <w:bookmarkStart w:id="264" w:name="_Toc528078075"/>
      <w:bookmarkEnd w:id="264"/>
      <w:bookmarkStart w:id="265" w:name="_Toc244934216"/>
      <w:bookmarkEnd w:id="265"/>
      <w:bookmarkStart w:id="266" w:name="_Toc234213567"/>
      <w:bookmarkEnd w:id="266"/>
      <w:bookmarkStart w:id="267" w:name="_Toc7868"/>
    </w:p>
    <w:p w14:paraId="5E243F1B">
      <w:pPr>
        <w:keepNext/>
        <w:keepLines/>
        <w:spacing w:line="360" w:lineRule="auto"/>
        <w:jc w:val="center"/>
        <w:outlineLvl w:val="2"/>
        <w:rPr>
          <w:rFonts w:ascii="Calibri" w:hAnsi="Calibri" w:eastAsia="宋体" w:cs="Times New Roman"/>
          <w:b/>
          <w:bCs/>
          <w:sz w:val="28"/>
          <w:szCs w:val="32"/>
          <w:highlight w:val="none"/>
        </w:rPr>
      </w:pPr>
      <w:bookmarkStart w:id="268" w:name="_Toc21708"/>
      <w:r>
        <w:rPr>
          <w:rFonts w:hint="eastAsia" w:ascii="Calibri" w:hAnsi="Calibri" w:eastAsia="宋体" w:cs="Times New Roman"/>
          <w:b/>
          <w:bCs/>
          <w:sz w:val="28"/>
          <w:szCs w:val="32"/>
          <w:highlight w:val="none"/>
        </w:rPr>
        <w:t>九、</w:t>
      </w:r>
      <w:bookmarkEnd w:id="267"/>
      <w:r>
        <w:rPr>
          <w:rFonts w:hint="eastAsia" w:ascii="Calibri" w:hAnsi="Calibri" w:eastAsia="宋体" w:cs="Times New Roman"/>
          <w:b/>
          <w:bCs/>
          <w:sz w:val="28"/>
          <w:szCs w:val="32"/>
          <w:highlight w:val="none"/>
        </w:rPr>
        <w:t>商务标部分</w:t>
      </w:r>
      <w:bookmarkEnd w:id="268"/>
    </w:p>
    <w:p w14:paraId="2F95D264">
      <w:pPr>
        <w:jc w:val="center"/>
        <w:outlineLvl w:val="2"/>
        <w:rPr>
          <w:rFonts w:ascii="宋体" w:hAnsi="宋体" w:eastAsia="宋体" w:cs="宋体"/>
          <w:b/>
          <w:bCs/>
          <w:sz w:val="24"/>
          <w:highlight w:val="none"/>
        </w:rPr>
      </w:pPr>
      <w:bookmarkStart w:id="269" w:name="_Toc21162"/>
      <w:r>
        <w:rPr>
          <w:rFonts w:hint="eastAsia" w:ascii="宋体" w:hAnsi="宋体" w:eastAsia="宋体" w:cs="宋体"/>
          <w:b/>
          <w:bCs/>
          <w:sz w:val="24"/>
          <w:highlight w:val="none"/>
        </w:rPr>
        <w:t>（格式自拟）</w:t>
      </w:r>
      <w:bookmarkEnd w:id="269"/>
    </w:p>
    <w:p w14:paraId="21B5092B">
      <w:pPr>
        <w:jc w:val="center"/>
        <w:rPr>
          <w:rFonts w:ascii="宋体" w:hAnsi="宋体" w:eastAsia="宋体" w:cs="宋体"/>
          <w:b/>
          <w:bCs/>
          <w:sz w:val="24"/>
          <w:highlight w:val="none"/>
        </w:rPr>
      </w:pPr>
      <w:r>
        <w:rPr>
          <w:rFonts w:hint="eastAsia" w:ascii="宋体" w:hAnsi="宋体" w:eastAsia="宋体" w:cs="宋体"/>
          <w:b/>
          <w:bCs/>
          <w:sz w:val="24"/>
          <w:highlight w:val="none"/>
        </w:rPr>
        <w:br w:type="page"/>
      </w:r>
    </w:p>
    <w:p w14:paraId="392D6AFF">
      <w:pPr>
        <w:ind w:firstLine="420"/>
        <w:jc w:val="center"/>
        <w:rPr>
          <w:rFonts w:ascii="宋体" w:hAnsi="宋体" w:eastAsia="宋体" w:cs="宋体"/>
          <w:b/>
          <w:bCs/>
          <w:sz w:val="24"/>
          <w:highlight w:val="none"/>
        </w:rPr>
      </w:pPr>
    </w:p>
    <w:p w14:paraId="1E6E9134">
      <w:pPr>
        <w:keepNext/>
        <w:keepLines/>
        <w:spacing w:line="360" w:lineRule="auto"/>
        <w:jc w:val="center"/>
        <w:outlineLvl w:val="2"/>
        <w:rPr>
          <w:rFonts w:ascii="Calibri" w:hAnsi="Calibri" w:eastAsia="宋体" w:cs="Times New Roman"/>
          <w:b/>
          <w:bCs/>
          <w:sz w:val="28"/>
          <w:szCs w:val="32"/>
          <w:highlight w:val="none"/>
        </w:rPr>
      </w:pPr>
      <w:bookmarkStart w:id="270" w:name="_Toc244934217"/>
      <w:bookmarkEnd w:id="270"/>
      <w:bookmarkStart w:id="271" w:name="_Toc361989468"/>
      <w:bookmarkEnd w:id="271"/>
      <w:bookmarkStart w:id="272" w:name="_Toc528078076"/>
      <w:bookmarkEnd w:id="272"/>
      <w:bookmarkStart w:id="273" w:name="_Toc17473"/>
      <w:bookmarkStart w:id="274" w:name="_Toc23775"/>
      <w:r>
        <w:rPr>
          <w:rFonts w:hint="eastAsia" w:ascii="Calibri" w:hAnsi="Calibri" w:eastAsia="宋体" w:cs="Times New Roman"/>
          <w:b/>
          <w:bCs/>
          <w:sz w:val="28"/>
          <w:szCs w:val="32"/>
          <w:highlight w:val="none"/>
        </w:rPr>
        <w:t>十、其他资料</w:t>
      </w:r>
      <w:bookmarkEnd w:id="273"/>
      <w:bookmarkEnd w:id="274"/>
    </w:p>
    <w:p w14:paraId="12C54632">
      <w:pPr>
        <w:jc w:val="center"/>
        <w:rPr>
          <w:rFonts w:ascii="宋体" w:hAnsi="宋体" w:eastAsia="宋体" w:cs="宋体"/>
          <w:b/>
          <w:bCs/>
          <w:sz w:val="24"/>
          <w:highlight w:val="none"/>
        </w:rPr>
      </w:pPr>
    </w:p>
    <w:p w14:paraId="35229886">
      <w:pPr>
        <w:jc w:val="center"/>
        <w:outlineLvl w:val="0"/>
        <w:rPr>
          <w:rFonts w:ascii="宋体" w:hAnsi="宋体" w:eastAsia="宋体" w:cs="宋体"/>
          <w:b/>
          <w:bCs/>
          <w:sz w:val="24"/>
          <w:highlight w:val="none"/>
        </w:rPr>
      </w:pPr>
      <w:bookmarkStart w:id="275" w:name="_Toc21993"/>
      <w:bookmarkStart w:id="276" w:name="_Toc24855"/>
      <w:bookmarkStart w:id="277" w:name="_Toc22165"/>
      <w:bookmarkStart w:id="278" w:name="_Toc5157"/>
      <w:bookmarkStart w:id="279" w:name="_Toc9253"/>
      <w:bookmarkStart w:id="280" w:name="_Toc30780"/>
      <w:r>
        <w:rPr>
          <w:rFonts w:hint="eastAsia" w:ascii="宋体" w:hAnsi="宋体" w:eastAsia="宋体" w:cs="宋体"/>
          <w:b/>
          <w:bCs/>
          <w:sz w:val="24"/>
          <w:highlight w:val="none"/>
        </w:rPr>
        <w:t>（供应商认为应该提交的资料）</w:t>
      </w:r>
      <w:bookmarkEnd w:id="275"/>
      <w:bookmarkEnd w:id="276"/>
      <w:bookmarkEnd w:id="277"/>
      <w:bookmarkEnd w:id="278"/>
      <w:bookmarkEnd w:id="279"/>
      <w:bookmarkEnd w:id="280"/>
    </w:p>
    <w:p w14:paraId="0B42148A">
      <w:pPr>
        <w:jc w:val="center"/>
        <w:rPr>
          <w:rFonts w:ascii="宋体" w:hAnsi="宋体" w:eastAsia="宋体" w:cs="宋体"/>
          <w:b/>
          <w:bCs/>
          <w:sz w:val="24"/>
          <w:highlight w:val="none"/>
        </w:rPr>
      </w:pPr>
    </w:p>
    <w:p w14:paraId="011AAD08">
      <w:pPr>
        <w:rPr>
          <w:rFonts w:ascii="宋体" w:hAnsi="宋体" w:eastAsia="宋体" w:cs="宋体"/>
          <w:b/>
          <w:bCs/>
          <w:sz w:val="24"/>
          <w:highlight w:val="none"/>
        </w:rPr>
      </w:pPr>
      <w:r>
        <w:rPr>
          <w:rFonts w:hint="eastAsia" w:ascii="宋体" w:hAnsi="宋体" w:eastAsia="宋体" w:cs="宋体"/>
          <w:b/>
          <w:bCs/>
          <w:sz w:val="24"/>
          <w:highlight w:val="none"/>
        </w:rPr>
        <w:t xml:space="preserve"> </w:t>
      </w:r>
    </w:p>
    <w:p w14:paraId="776CB68A">
      <w:pPr>
        <w:rPr>
          <w:rFonts w:ascii="宋体" w:hAnsi="宋体" w:eastAsia="宋体" w:cs="宋体"/>
          <w:b/>
          <w:bCs/>
          <w:sz w:val="24"/>
          <w:highlight w:val="none"/>
        </w:rPr>
      </w:pPr>
      <w:r>
        <w:rPr>
          <w:rFonts w:hint="eastAsia" w:ascii="宋体" w:hAnsi="宋体" w:eastAsia="宋体" w:cs="宋体"/>
          <w:b/>
          <w:bCs/>
          <w:sz w:val="24"/>
          <w:highlight w:val="none"/>
        </w:rPr>
        <w:t xml:space="preserve"> </w:t>
      </w:r>
    </w:p>
    <w:p w14:paraId="20A3B38A">
      <w:pPr>
        <w:rPr>
          <w:rFonts w:ascii="宋体" w:hAnsi="宋体" w:eastAsia="宋体" w:cs="宋体"/>
          <w:b/>
          <w:bCs/>
          <w:sz w:val="24"/>
          <w:highlight w:val="none"/>
        </w:rPr>
      </w:pPr>
      <w:r>
        <w:rPr>
          <w:rFonts w:hint="eastAsia" w:ascii="宋体" w:hAnsi="宋体" w:eastAsia="宋体" w:cs="宋体"/>
          <w:b/>
          <w:bCs/>
          <w:sz w:val="24"/>
          <w:highlight w:val="none"/>
        </w:rPr>
        <w:t xml:space="preserve"> </w:t>
      </w:r>
    </w:p>
    <w:p w14:paraId="432B6743">
      <w:pPr>
        <w:rPr>
          <w:rFonts w:ascii="宋体" w:hAnsi="宋体" w:eastAsia="宋体" w:cs="宋体"/>
          <w:b/>
          <w:bCs/>
          <w:sz w:val="24"/>
          <w:highlight w:val="none"/>
        </w:rPr>
      </w:pPr>
      <w:r>
        <w:rPr>
          <w:rFonts w:hint="eastAsia" w:ascii="宋体" w:hAnsi="宋体" w:eastAsia="宋体" w:cs="宋体"/>
          <w:b/>
          <w:bCs/>
          <w:sz w:val="24"/>
          <w:highlight w:val="none"/>
        </w:rPr>
        <w:t xml:space="preserve"> </w:t>
      </w:r>
    </w:p>
    <w:p w14:paraId="73253CAB">
      <w:pPr>
        <w:rPr>
          <w:rFonts w:ascii="宋体" w:hAnsi="宋体" w:eastAsia="宋体" w:cs="宋体"/>
          <w:b/>
          <w:bCs/>
          <w:sz w:val="24"/>
          <w:highlight w:val="none"/>
        </w:rPr>
      </w:pPr>
      <w:r>
        <w:rPr>
          <w:rFonts w:hint="eastAsia" w:ascii="宋体" w:hAnsi="宋体" w:eastAsia="宋体" w:cs="宋体"/>
          <w:b/>
          <w:bCs/>
          <w:sz w:val="24"/>
          <w:highlight w:val="none"/>
        </w:rPr>
        <w:t xml:space="preserve"> </w:t>
      </w:r>
    </w:p>
    <w:p w14:paraId="76956953">
      <w:pPr>
        <w:rPr>
          <w:rFonts w:ascii="宋体" w:hAnsi="宋体" w:eastAsia="宋体" w:cs="宋体"/>
          <w:b/>
          <w:bCs/>
          <w:sz w:val="24"/>
          <w:highlight w:val="none"/>
        </w:rPr>
      </w:pPr>
      <w:r>
        <w:rPr>
          <w:rFonts w:hint="eastAsia" w:ascii="宋体" w:hAnsi="宋体" w:eastAsia="宋体" w:cs="宋体"/>
          <w:b/>
          <w:bCs/>
          <w:sz w:val="24"/>
          <w:highlight w:val="none"/>
        </w:rPr>
        <w:t xml:space="preserve"> </w:t>
      </w:r>
    </w:p>
    <w:p w14:paraId="5CF68312">
      <w:pPr>
        <w:rPr>
          <w:rFonts w:ascii="宋体" w:hAnsi="宋体" w:eastAsia="宋体" w:cs="宋体"/>
          <w:b/>
          <w:bCs/>
          <w:sz w:val="24"/>
          <w:highlight w:val="none"/>
        </w:rPr>
      </w:pPr>
      <w:r>
        <w:rPr>
          <w:rFonts w:hint="eastAsia" w:ascii="宋体" w:hAnsi="宋体" w:eastAsia="宋体" w:cs="宋体"/>
          <w:b/>
          <w:bCs/>
          <w:sz w:val="24"/>
          <w:highlight w:val="none"/>
        </w:rPr>
        <w:t xml:space="preserve"> </w:t>
      </w:r>
    </w:p>
    <w:p w14:paraId="780F355C">
      <w:pPr>
        <w:rPr>
          <w:rFonts w:ascii="宋体" w:hAnsi="宋体" w:eastAsia="宋体" w:cs="宋体"/>
          <w:b/>
          <w:bCs/>
          <w:sz w:val="24"/>
          <w:highlight w:val="none"/>
        </w:rPr>
      </w:pPr>
      <w:r>
        <w:rPr>
          <w:rFonts w:hint="eastAsia" w:ascii="宋体" w:hAnsi="宋体" w:eastAsia="宋体" w:cs="宋体"/>
          <w:b/>
          <w:bCs/>
          <w:sz w:val="24"/>
          <w:highlight w:val="none"/>
        </w:rPr>
        <w:t xml:space="preserve"> </w:t>
      </w:r>
    </w:p>
    <w:p w14:paraId="7A7EF2DE">
      <w:pPr>
        <w:rPr>
          <w:rFonts w:ascii="宋体" w:hAnsi="宋体" w:eastAsia="宋体" w:cs="宋体"/>
          <w:b/>
          <w:bCs/>
          <w:sz w:val="24"/>
          <w:highlight w:val="none"/>
        </w:rPr>
      </w:pPr>
      <w:r>
        <w:rPr>
          <w:rFonts w:hint="eastAsia" w:ascii="宋体" w:hAnsi="宋体" w:eastAsia="宋体" w:cs="宋体"/>
          <w:b/>
          <w:bCs/>
          <w:sz w:val="24"/>
          <w:highlight w:val="none"/>
        </w:rPr>
        <w:t xml:space="preserve"> </w:t>
      </w:r>
    </w:p>
    <w:p w14:paraId="733836F1">
      <w:pPr>
        <w:rPr>
          <w:rFonts w:ascii="宋体" w:hAnsi="宋体" w:eastAsia="宋体" w:cs="宋体"/>
          <w:sz w:val="24"/>
          <w:highlight w:val="none"/>
        </w:rPr>
      </w:pPr>
      <w:r>
        <w:rPr>
          <w:rFonts w:hint="eastAsia" w:ascii="宋体" w:hAnsi="宋体" w:eastAsia="宋体" w:cs="宋体"/>
          <w:sz w:val="24"/>
          <w:highlight w:val="none"/>
        </w:rPr>
        <w:t xml:space="preserve"> </w:t>
      </w:r>
    </w:p>
    <w:p w14:paraId="4EA0A4F9">
      <w:pPr>
        <w:rPr>
          <w:rFonts w:ascii="宋体" w:hAnsi="宋体" w:eastAsia="宋体" w:cs="宋体"/>
          <w:sz w:val="24"/>
          <w:highlight w:val="none"/>
        </w:rPr>
      </w:pPr>
      <w:r>
        <w:rPr>
          <w:rFonts w:hint="eastAsia" w:ascii="宋体" w:hAnsi="宋体" w:eastAsia="宋体" w:cs="宋体"/>
          <w:sz w:val="24"/>
          <w:highlight w:val="none"/>
        </w:rPr>
        <w:t xml:space="preserve"> </w:t>
      </w:r>
    </w:p>
    <w:p w14:paraId="03E5D42E">
      <w:pPr>
        <w:rPr>
          <w:rFonts w:ascii="宋体" w:hAnsi="宋体" w:eastAsia="宋体" w:cs="宋体"/>
          <w:sz w:val="24"/>
          <w:highlight w:val="none"/>
        </w:rPr>
      </w:pPr>
    </w:p>
    <w:p w14:paraId="23099585">
      <w:pPr>
        <w:rPr>
          <w:rFonts w:ascii="宋体" w:hAnsi="宋体" w:eastAsia="宋体" w:cs="宋体"/>
          <w:sz w:val="24"/>
          <w:highlight w:val="none"/>
        </w:rPr>
      </w:pPr>
    </w:p>
    <w:p w14:paraId="41B9DA9F">
      <w:pPr>
        <w:rPr>
          <w:rFonts w:ascii="宋体" w:hAnsi="宋体" w:eastAsia="宋体" w:cs="宋体"/>
          <w:sz w:val="24"/>
          <w:highlight w:val="none"/>
        </w:rPr>
      </w:pPr>
    </w:p>
    <w:p w14:paraId="1204CE4C">
      <w:pPr>
        <w:rPr>
          <w:rFonts w:ascii="宋体" w:hAnsi="宋体" w:eastAsia="宋体" w:cs="宋体"/>
          <w:sz w:val="24"/>
          <w:szCs w:val="24"/>
          <w:highlight w:val="none"/>
        </w:rPr>
      </w:pPr>
    </w:p>
    <w:p w14:paraId="5D6AE67D">
      <w:pPr>
        <w:widowControl/>
        <w:jc w:val="left"/>
        <w:rPr>
          <w:rFonts w:ascii="Calibri" w:hAnsi="Calibri" w:eastAsia="宋体" w:cs="Times New Roman"/>
          <w:highlight w:val="none"/>
        </w:rPr>
      </w:pPr>
      <w:r>
        <w:rPr>
          <w:rFonts w:ascii="Calibri" w:hAnsi="Calibri" w:eastAsia="宋体" w:cs="Times New Roman"/>
          <w:highlight w:val="none"/>
        </w:rPr>
        <w:br w:type="page"/>
      </w:r>
    </w:p>
    <w:p w14:paraId="6919420B">
      <w:pPr>
        <w:wordWrap w:val="0"/>
        <w:topLinePunct/>
        <w:outlineLvl w:val="0"/>
        <w:rPr>
          <w:rFonts w:ascii="宋体" w:hAnsi="宋体" w:eastAsia="宋体" w:cs="宋体"/>
          <w:sz w:val="24"/>
          <w:szCs w:val="24"/>
          <w:highlight w:val="none"/>
        </w:rPr>
      </w:pPr>
      <w:bookmarkStart w:id="281" w:name="_Toc12352"/>
      <w:bookmarkStart w:id="282" w:name="_Toc5971"/>
      <w:bookmarkStart w:id="283" w:name="_Toc224"/>
      <w:bookmarkStart w:id="284" w:name="_Toc30800"/>
      <w:bookmarkStart w:id="285" w:name="_Toc17134"/>
      <w:bookmarkStart w:id="286" w:name="_Toc16496"/>
      <w:r>
        <w:rPr>
          <w:rFonts w:hint="eastAsia" w:ascii="宋体" w:hAnsi="宋体" w:eastAsia="宋体" w:cs="宋体"/>
          <w:sz w:val="24"/>
          <w:szCs w:val="24"/>
          <w:highlight w:val="none"/>
        </w:rPr>
        <w:t>附件1</w:t>
      </w:r>
      <w:bookmarkEnd w:id="281"/>
      <w:bookmarkEnd w:id="282"/>
      <w:bookmarkEnd w:id="283"/>
      <w:bookmarkEnd w:id="284"/>
      <w:bookmarkEnd w:id="285"/>
      <w:bookmarkEnd w:id="286"/>
    </w:p>
    <w:p w14:paraId="09078AC6">
      <w:pPr>
        <w:wordWrap w:val="0"/>
        <w:topLinePunct/>
        <w:adjustRightInd w:val="0"/>
        <w:spacing w:line="360" w:lineRule="auto"/>
        <w:ind w:left="63" w:leftChars="30" w:right="63" w:rightChars="30"/>
        <w:jc w:val="center"/>
        <w:textAlignment w:val="baseline"/>
        <w:rPr>
          <w:rFonts w:ascii="宋体" w:hAnsi="宋体" w:eastAsia="宋体" w:cs="宋体"/>
          <w:b/>
          <w:sz w:val="24"/>
          <w:szCs w:val="24"/>
          <w:highlight w:val="none"/>
        </w:rPr>
      </w:pPr>
      <w:r>
        <w:rPr>
          <w:rFonts w:hint="eastAsia" w:ascii="宋体" w:hAnsi="宋体" w:eastAsia="宋体" w:cs="宋体"/>
          <w:b/>
          <w:sz w:val="24"/>
          <w:szCs w:val="24"/>
          <w:highlight w:val="none"/>
        </w:rPr>
        <w:t>中小企业声明函</w:t>
      </w:r>
    </w:p>
    <w:p w14:paraId="01637B31">
      <w:pPr>
        <w:wordWrap w:val="0"/>
        <w:topLinePunct/>
        <w:adjustRightInd w:val="0"/>
        <w:snapToGrid w:val="0"/>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 号）的规定，本公司（联合体）参加</w:t>
      </w:r>
      <w:r>
        <w:rPr>
          <w:rFonts w:hint="eastAsia" w:ascii="宋体" w:hAnsi="宋体" w:eastAsia="宋体" w:cs="宋体"/>
          <w:sz w:val="24"/>
          <w:szCs w:val="24"/>
          <w:highlight w:val="none"/>
          <w:u w:val="single"/>
        </w:rPr>
        <w:t>（单位名称）</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（项目名称）</w:t>
      </w:r>
      <w:r>
        <w:rPr>
          <w:rFonts w:hint="eastAsia" w:ascii="宋体" w:hAnsi="宋体" w:eastAsia="宋体" w:cs="宋体"/>
          <w:sz w:val="24"/>
          <w:szCs w:val="24"/>
          <w:highlight w:val="none"/>
        </w:rPr>
        <w:t>采购活动，提供的货物全部为符合政策要求的中小企业。相关企业（含联合体中的中小企业、签订分包意向协议的中小企业）的具体情况如下：</w:t>
      </w:r>
    </w:p>
    <w:p w14:paraId="6079AF2F">
      <w:pPr>
        <w:wordWrap w:val="0"/>
        <w:topLinePunct/>
        <w:adjustRightInd w:val="0"/>
        <w:snapToGrid w:val="0"/>
        <w:spacing w:line="360" w:lineRule="auto"/>
        <w:ind w:firstLine="480" w:firstLineChars="200"/>
        <w:rPr>
          <w:rFonts w:ascii="宋体" w:hAnsi="宋体" w:eastAsia="宋体" w:cs="宋体"/>
          <w:kern w:val="0"/>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 xml:space="preserve"> （采购文件中明确的所属行业）</w:t>
      </w:r>
      <w:r>
        <w:rPr>
          <w:rFonts w:hint="eastAsia" w:ascii="宋体" w:hAnsi="宋体" w:eastAsia="宋体" w:cs="宋体"/>
          <w:sz w:val="24"/>
          <w:szCs w:val="24"/>
          <w:highlight w:val="none"/>
        </w:rPr>
        <w:t>；制造商为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w:t>
      </w:r>
      <w:r>
        <w:rPr>
          <w:rFonts w:hint="eastAsia" w:ascii="宋体" w:hAnsi="宋体" w:eastAsia="宋体" w:cs="宋体"/>
          <w:sz w:val="24"/>
          <w:szCs w:val="24"/>
          <w:highlight w:val="none"/>
          <w:vertAlign w:val="superscript"/>
        </w:rPr>
        <w:t>1</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37429A9B">
      <w:pPr>
        <w:wordWrap w:val="0"/>
        <w:topLinePunct/>
        <w:adjustRightInd w:val="0"/>
        <w:snapToGrid w:val="0"/>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 xml:space="preserve"> （采购文件中明确的所属行业）</w:t>
      </w:r>
      <w:r>
        <w:rPr>
          <w:rFonts w:hint="eastAsia" w:ascii="宋体" w:hAnsi="宋体" w:eastAsia="宋体" w:cs="宋体"/>
          <w:sz w:val="24"/>
          <w:szCs w:val="24"/>
          <w:highlight w:val="none"/>
        </w:rPr>
        <w:t>；制造商为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11320D45">
      <w:pPr>
        <w:wordWrap w:val="0"/>
        <w:topLinePunct/>
        <w:adjustRightInd w:val="0"/>
        <w:snapToGrid w:val="0"/>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w:t>
      </w:r>
    </w:p>
    <w:p w14:paraId="4833C531">
      <w:pPr>
        <w:wordWrap w:val="0"/>
        <w:topLinePunct/>
        <w:adjustRightInd w:val="0"/>
        <w:snapToGrid w:val="0"/>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以上企业，不属于大企业的分支机构，不存在控股股东为大企业的情形，也不存在与大企业的负责人为同一人的情形。</w:t>
      </w:r>
    </w:p>
    <w:p w14:paraId="0520BA54">
      <w:pPr>
        <w:wordWrap w:val="0"/>
        <w:topLinePunct/>
        <w:adjustRightInd w:val="0"/>
        <w:snapToGrid w:val="0"/>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本企业对上述声明内容的真实性负责。如有虚假，将依法承担相应责任。</w:t>
      </w:r>
    </w:p>
    <w:p w14:paraId="5398CD9B">
      <w:pPr>
        <w:wordWrap w:val="0"/>
        <w:topLinePunct/>
        <w:spacing w:after="120" w:line="360" w:lineRule="auto"/>
        <w:ind w:left="420" w:leftChars="200" w:firstLine="480" w:firstLineChars="200"/>
        <w:rPr>
          <w:rFonts w:ascii="宋体" w:hAnsi="宋体" w:eastAsia="宋体" w:cs="宋体"/>
          <w:sz w:val="24"/>
          <w:szCs w:val="24"/>
          <w:highlight w:val="none"/>
        </w:rPr>
      </w:pPr>
    </w:p>
    <w:p w14:paraId="281489C7">
      <w:pPr>
        <w:wordWrap w:val="0"/>
        <w:topLinePunct/>
        <w:adjustRightInd w:val="0"/>
        <w:snapToGrid w:val="0"/>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 xml:space="preserve">      企业名称（盖章）：</w:t>
      </w:r>
    </w:p>
    <w:p w14:paraId="36F6624C">
      <w:pPr>
        <w:wordWrap w:val="0"/>
        <w:topLinePunct/>
        <w:adjustRightInd w:val="0"/>
        <w:snapToGrid w:val="0"/>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 xml:space="preserve">      日          期：</w:t>
      </w:r>
    </w:p>
    <w:p w14:paraId="2525D0A2">
      <w:pPr>
        <w:wordWrap w:val="0"/>
        <w:topLinePunct/>
        <w:spacing w:after="120" w:line="360" w:lineRule="auto"/>
        <w:ind w:left="420" w:leftChars="200" w:firstLine="480" w:firstLineChars="200"/>
        <w:rPr>
          <w:rFonts w:ascii="宋体" w:hAnsi="宋体" w:eastAsia="宋体" w:cs="宋体"/>
          <w:sz w:val="24"/>
          <w:szCs w:val="24"/>
          <w:highlight w:val="none"/>
        </w:rPr>
      </w:pPr>
    </w:p>
    <w:p w14:paraId="36C19438">
      <w:pPr>
        <w:wordWrap w:val="0"/>
        <w:topLinePunct/>
        <w:adjustRightInd w:val="0"/>
        <w:snapToGrid w:val="0"/>
        <w:spacing w:line="360" w:lineRule="auto"/>
        <w:rPr>
          <w:rFonts w:ascii="宋体" w:hAnsi="宋体" w:eastAsia="宋体" w:cs="宋体"/>
          <w:spacing w:val="6"/>
          <w:sz w:val="24"/>
          <w:szCs w:val="24"/>
          <w:highlight w:val="none"/>
        </w:rPr>
      </w:pPr>
      <w:r>
        <w:rPr>
          <w:rFonts w:hint="eastAsia" w:ascii="宋体" w:hAnsi="宋体" w:eastAsia="宋体" w:cs="宋体"/>
          <w:spacing w:val="6"/>
          <w:sz w:val="24"/>
          <w:szCs w:val="24"/>
          <w:highlight w:val="none"/>
        </w:rPr>
        <w:t>说明：</w:t>
      </w:r>
    </w:p>
    <w:p w14:paraId="3B5FF91E">
      <w:pPr>
        <w:spacing w:line="360" w:lineRule="auto"/>
        <w:ind w:firstLine="168" w:firstLineChars="67"/>
        <w:rPr>
          <w:rFonts w:ascii="宋体" w:hAnsi="宋体" w:eastAsia="宋体" w:cs="仿宋"/>
          <w:sz w:val="24"/>
          <w:szCs w:val="24"/>
          <w:highlight w:val="none"/>
        </w:rPr>
      </w:pPr>
      <w:r>
        <w:rPr>
          <w:rFonts w:hint="eastAsia" w:ascii="宋体" w:hAnsi="宋体" w:eastAsia="宋体" w:cs="宋体"/>
          <w:spacing w:val="6"/>
          <w:sz w:val="24"/>
          <w:szCs w:val="24"/>
          <w:highlight w:val="none"/>
        </w:rPr>
        <w:t>1、从业人员、营业收入、资产总额填报上一年度数据，无上一年度数据的新成立企业可不填报。</w:t>
      </w:r>
      <w:r>
        <w:rPr>
          <w:rFonts w:hint="eastAsia" w:ascii="宋体" w:hAnsi="宋体" w:eastAsia="宋体" w:cs="仿宋"/>
          <w:sz w:val="24"/>
          <w:szCs w:val="24"/>
          <w:highlight w:val="none"/>
        </w:rPr>
        <w:t>（属于中小微企业的填写，不属于的无需填写此项内容）</w:t>
      </w:r>
    </w:p>
    <w:p w14:paraId="6BE4C664">
      <w:pPr>
        <w:wordWrap w:val="0"/>
        <w:topLinePunct/>
        <w:adjustRightInd w:val="0"/>
        <w:snapToGrid w:val="0"/>
        <w:spacing w:line="360" w:lineRule="auto"/>
        <w:rPr>
          <w:rFonts w:ascii="宋体" w:hAnsi="宋体" w:eastAsia="宋体" w:cs="宋体"/>
          <w:spacing w:val="6"/>
          <w:sz w:val="24"/>
          <w:szCs w:val="24"/>
          <w:highlight w:val="none"/>
        </w:rPr>
      </w:pPr>
    </w:p>
    <w:p w14:paraId="429BEA02">
      <w:pPr>
        <w:widowControl/>
        <w:jc w:val="left"/>
        <w:rPr>
          <w:rFonts w:ascii="宋体" w:hAnsi="宋体" w:eastAsia="宋体" w:cs="宋体"/>
          <w:sz w:val="24"/>
          <w:szCs w:val="24"/>
          <w:highlight w:val="none"/>
        </w:rPr>
      </w:pPr>
      <w:r>
        <w:rPr>
          <w:rFonts w:ascii="宋体" w:hAnsi="宋体" w:eastAsia="宋体" w:cs="宋体"/>
          <w:sz w:val="24"/>
          <w:szCs w:val="24"/>
          <w:highlight w:val="none"/>
        </w:rPr>
        <w:br w:type="page"/>
      </w:r>
    </w:p>
    <w:p w14:paraId="726D15FB">
      <w:pPr>
        <w:wordWrap w:val="0"/>
        <w:topLinePunct/>
        <w:spacing w:after="120" w:line="360" w:lineRule="auto"/>
        <w:outlineLvl w:val="0"/>
        <w:rPr>
          <w:rFonts w:ascii="宋体" w:hAnsi="宋体" w:eastAsia="宋体" w:cs="宋体"/>
          <w:sz w:val="24"/>
          <w:szCs w:val="24"/>
          <w:highlight w:val="none"/>
        </w:rPr>
      </w:pPr>
      <w:bookmarkStart w:id="287" w:name="_Toc2102"/>
      <w:bookmarkStart w:id="288" w:name="_Toc11019"/>
      <w:bookmarkStart w:id="289" w:name="_Toc6392"/>
      <w:bookmarkStart w:id="290" w:name="_Toc28455"/>
      <w:bookmarkStart w:id="291" w:name="_Toc4122"/>
      <w:bookmarkStart w:id="292" w:name="_Toc24444"/>
      <w:r>
        <w:rPr>
          <w:rFonts w:hint="eastAsia" w:ascii="宋体" w:hAnsi="宋体" w:eastAsia="宋体" w:cs="宋体"/>
          <w:sz w:val="24"/>
          <w:szCs w:val="24"/>
          <w:highlight w:val="none"/>
        </w:rPr>
        <w:t>附件2</w:t>
      </w:r>
      <w:bookmarkEnd w:id="287"/>
      <w:bookmarkEnd w:id="288"/>
      <w:bookmarkEnd w:id="289"/>
      <w:bookmarkEnd w:id="290"/>
      <w:bookmarkEnd w:id="291"/>
      <w:bookmarkEnd w:id="292"/>
    </w:p>
    <w:p w14:paraId="5DF1346B">
      <w:pPr>
        <w:wordWrap w:val="0"/>
        <w:topLinePunct/>
        <w:adjustRightInd w:val="0"/>
        <w:snapToGrid w:val="0"/>
        <w:ind w:firstLine="480" w:firstLineChars="200"/>
        <w:rPr>
          <w:rFonts w:ascii="宋体" w:hAnsi="宋体" w:eastAsia="宋体" w:cs="宋体"/>
          <w:sz w:val="24"/>
          <w:szCs w:val="24"/>
          <w:highlight w:val="none"/>
        </w:rPr>
      </w:pPr>
    </w:p>
    <w:p w14:paraId="0974DEFE">
      <w:pPr>
        <w:wordWrap w:val="0"/>
        <w:topLinePunct/>
        <w:adjustRightInd w:val="0"/>
        <w:snapToGrid w:val="0"/>
        <w:ind w:firstLine="360" w:firstLineChars="150"/>
        <w:rPr>
          <w:rFonts w:ascii="宋体" w:hAnsi="宋体" w:eastAsia="宋体" w:cs="宋体"/>
          <w:sz w:val="24"/>
          <w:szCs w:val="24"/>
          <w:highlight w:val="none"/>
        </w:rPr>
      </w:pPr>
    </w:p>
    <w:p w14:paraId="639B5BE3">
      <w:pPr>
        <w:keepNext/>
        <w:keepLines/>
        <w:tabs>
          <w:tab w:val="left" w:pos="840"/>
        </w:tabs>
        <w:wordWrap w:val="0"/>
        <w:topLinePunct/>
        <w:spacing w:line="412" w:lineRule="auto"/>
        <w:jc w:val="center"/>
        <w:outlineLvl w:val="0"/>
        <w:rPr>
          <w:rFonts w:ascii="宋体" w:hAnsi="宋体" w:eastAsia="宋体" w:cs="宋体"/>
          <w:b/>
          <w:bCs/>
          <w:sz w:val="24"/>
          <w:szCs w:val="24"/>
          <w:highlight w:val="none"/>
          <w:lang w:val="zh-CN"/>
        </w:rPr>
      </w:pPr>
      <w:bookmarkStart w:id="293" w:name="_Toc13308"/>
      <w:bookmarkStart w:id="294" w:name="_Toc24165"/>
      <w:bookmarkStart w:id="295" w:name="_Toc4731"/>
      <w:bookmarkStart w:id="296" w:name="_Toc20491"/>
      <w:bookmarkStart w:id="297" w:name="_Toc14760"/>
      <w:bookmarkStart w:id="298" w:name="_Toc30785"/>
      <w:r>
        <w:rPr>
          <w:rFonts w:hint="eastAsia" w:ascii="宋体" w:hAnsi="宋体" w:eastAsia="宋体" w:cs="宋体"/>
          <w:b/>
          <w:bCs/>
          <w:sz w:val="24"/>
          <w:szCs w:val="24"/>
          <w:highlight w:val="none"/>
          <w:lang w:val="zh-CN"/>
        </w:rPr>
        <w:t>监狱企业证明文件</w:t>
      </w:r>
      <w:bookmarkEnd w:id="293"/>
      <w:bookmarkEnd w:id="294"/>
      <w:bookmarkEnd w:id="295"/>
      <w:bookmarkEnd w:id="296"/>
      <w:bookmarkEnd w:id="297"/>
      <w:bookmarkEnd w:id="298"/>
    </w:p>
    <w:p w14:paraId="5A20F459">
      <w:pPr>
        <w:wordWrap w:val="0"/>
        <w:topLinePunct/>
        <w:jc w:val="center"/>
        <w:rPr>
          <w:rFonts w:ascii="宋体" w:hAnsi="宋体" w:eastAsia="宋体" w:cs="宋体"/>
          <w:b/>
          <w:bCs/>
          <w:sz w:val="24"/>
          <w:szCs w:val="24"/>
          <w:highlight w:val="none"/>
        </w:rPr>
      </w:pPr>
    </w:p>
    <w:p w14:paraId="3D4ACEDA">
      <w:pPr>
        <w:wordWrap w:val="0"/>
        <w:topLinePunct/>
        <w:spacing w:line="500" w:lineRule="exact"/>
        <w:rPr>
          <w:rFonts w:ascii="宋体" w:hAnsi="宋体" w:eastAsia="宋体" w:cs="宋体"/>
          <w:spacing w:val="6"/>
          <w:sz w:val="24"/>
          <w:szCs w:val="24"/>
          <w:highlight w:val="none"/>
        </w:rPr>
      </w:pPr>
    </w:p>
    <w:p w14:paraId="79EE56D6">
      <w:pPr>
        <w:wordWrap w:val="0"/>
        <w:topLinePunct/>
        <w:spacing w:line="500" w:lineRule="exact"/>
        <w:ind w:firstLine="420"/>
        <w:rPr>
          <w:rFonts w:ascii="宋体" w:hAnsi="宋体" w:eastAsia="宋体" w:cs="宋体"/>
          <w:spacing w:val="6"/>
          <w:sz w:val="24"/>
          <w:szCs w:val="24"/>
          <w:highlight w:val="none"/>
        </w:rPr>
      </w:pPr>
      <w:r>
        <w:rPr>
          <w:rFonts w:hint="eastAsia" w:ascii="宋体" w:hAnsi="宋体" w:eastAsia="宋体" w:cs="宋体"/>
          <w:spacing w:val="6"/>
          <w:sz w:val="24"/>
          <w:szCs w:val="24"/>
          <w:highlight w:val="none"/>
        </w:rPr>
        <w:t>（监狱企业参加政府采购活动时，应当提供由省级以上监狱管理局、戒毒管理局(含新疆生产建设兵团)出具的属于监狱企业的证明文件。</w:t>
      </w:r>
    </w:p>
    <w:p w14:paraId="4786412F">
      <w:pPr>
        <w:wordWrap w:val="0"/>
        <w:topLinePunct/>
        <w:spacing w:line="500" w:lineRule="exact"/>
        <w:ind w:firstLine="504" w:firstLineChars="200"/>
        <w:rPr>
          <w:rFonts w:ascii="宋体" w:hAnsi="宋体" w:eastAsia="宋体" w:cs="宋体"/>
          <w:spacing w:val="6"/>
          <w:sz w:val="24"/>
          <w:szCs w:val="24"/>
          <w:highlight w:val="none"/>
        </w:rPr>
      </w:pPr>
    </w:p>
    <w:p w14:paraId="047F8238">
      <w:pPr>
        <w:wordWrap w:val="0"/>
        <w:topLinePunct/>
        <w:spacing w:line="500" w:lineRule="exact"/>
        <w:ind w:firstLine="504" w:firstLineChars="200"/>
        <w:rPr>
          <w:rFonts w:ascii="宋体" w:hAnsi="宋体" w:eastAsia="宋体" w:cs="宋体"/>
          <w:spacing w:val="6"/>
          <w:sz w:val="24"/>
          <w:szCs w:val="24"/>
          <w:highlight w:val="none"/>
        </w:rPr>
      </w:pPr>
    </w:p>
    <w:p w14:paraId="2AB33F2A">
      <w:pPr>
        <w:wordWrap w:val="0"/>
        <w:topLinePunct/>
        <w:spacing w:line="500" w:lineRule="exact"/>
        <w:ind w:firstLine="504" w:firstLineChars="200"/>
        <w:rPr>
          <w:rFonts w:ascii="宋体" w:hAnsi="宋体" w:eastAsia="宋体" w:cs="宋体"/>
          <w:spacing w:val="6"/>
          <w:sz w:val="24"/>
          <w:szCs w:val="24"/>
          <w:highlight w:val="none"/>
        </w:rPr>
      </w:pPr>
      <w:r>
        <w:rPr>
          <w:rFonts w:hint="eastAsia" w:ascii="宋体" w:hAnsi="宋体" w:eastAsia="宋体" w:cs="宋体"/>
          <w:spacing w:val="6"/>
          <w:sz w:val="24"/>
          <w:szCs w:val="24"/>
          <w:highlight w:val="none"/>
        </w:rPr>
        <w:t>注：在投标文件中附扫描件</w:t>
      </w:r>
    </w:p>
    <w:p w14:paraId="398AF72A">
      <w:pPr>
        <w:wordWrap w:val="0"/>
        <w:topLinePunct/>
        <w:spacing w:line="500" w:lineRule="exact"/>
        <w:rPr>
          <w:rFonts w:ascii="宋体" w:hAnsi="宋体" w:eastAsia="宋体" w:cs="宋体"/>
          <w:sz w:val="24"/>
          <w:szCs w:val="24"/>
          <w:highlight w:val="none"/>
        </w:rPr>
      </w:pPr>
    </w:p>
    <w:p w14:paraId="2338D5FC">
      <w:pPr>
        <w:wordWrap w:val="0"/>
        <w:topLinePunct/>
        <w:spacing w:after="120"/>
        <w:ind w:left="1470" w:leftChars="700" w:right="1470" w:rightChars="700"/>
        <w:rPr>
          <w:rFonts w:ascii="宋体" w:hAnsi="宋体" w:eastAsia="宋体" w:cs="宋体"/>
          <w:b/>
          <w:bCs/>
          <w:kern w:val="36"/>
          <w:sz w:val="24"/>
          <w:szCs w:val="24"/>
          <w:highlight w:val="none"/>
        </w:rPr>
      </w:pPr>
    </w:p>
    <w:p w14:paraId="5675E236">
      <w:pPr>
        <w:wordWrap w:val="0"/>
        <w:topLinePunct/>
        <w:spacing w:after="120"/>
        <w:ind w:left="1470" w:leftChars="700" w:right="1470" w:rightChars="700"/>
        <w:rPr>
          <w:rFonts w:ascii="宋体" w:hAnsi="宋体" w:eastAsia="宋体" w:cs="宋体"/>
          <w:b/>
          <w:bCs/>
          <w:kern w:val="36"/>
          <w:sz w:val="24"/>
          <w:szCs w:val="24"/>
          <w:highlight w:val="none"/>
        </w:rPr>
      </w:pPr>
    </w:p>
    <w:p w14:paraId="03741E44">
      <w:pPr>
        <w:wordWrap w:val="0"/>
        <w:topLinePunct/>
        <w:spacing w:after="120"/>
        <w:ind w:left="1470" w:leftChars="700" w:right="1470" w:rightChars="700"/>
        <w:rPr>
          <w:rFonts w:ascii="宋体" w:hAnsi="宋体" w:eastAsia="宋体" w:cs="宋体"/>
          <w:b/>
          <w:bCs/>
          <w:kern w:val="36"/>
          <w:sz w:val="24"/>
          <w:szCs w:val="24"/>
          <w:highlight w:val="none"/>
        </w:rPr>
      </w:pPr>
    </w:p>
    <w:p w14:paraId="18B9D8B8">
      <w:pPr>
        <w:wordWrap w:val="0"/>
        <w:topLinePunct/>
        <w:spacing w:after="120"/>
        <w:ind w:left="1470" w:leftChars="700" w:right="1470" w:rightChars="700"/>
        <w:rPr>
          <w:rFonts w:ascii="宋体" w:hAnsi="宋体" w:eastAsia="宋体" w:cs="宋体"/>
          <w:b/>
          <w:bCs/>
          <w:kern w:val="36"/>
          <w:sz w:val="24"/>
          <w:szCs w:val="24"/>
          <w:highlight w:val="none"/>
        </w:rPr>
      </w:pPr>
    </w:p>
    <w:p w14:paraId="2CBBBF4C">
      <w:pPr>
        <w:wordWrap w:val="0"/>
        <w:topLinePunct/>
        <w:spacing w:after="120"/>
        <w:ind w:left="1470" w:leftChars="700" w:right="1470" w:rightChars="700"/>
        <w:rPr>
          <w:rFonts w:ascii="宋体" w:hAnsi="宋体" w:eastAsia="宋体" w:cs="宋体"/>
          <w:b/>
          <w:bCs/>
          <w:kern w:val="36"/>
          <w:sz w:val="24"/>
          <w:szCs w:val="24"/>
          <w:highlight w:val="none"/>
        </w:rPr>
      </w:pPr>
    </w:p>
    <w:p w14:paraId="39A67FC8">
      <w:pPr>
        <w:wordWrap w:val="0"/>
        <w:topLinePunct/>
        <w:spacing w:after="120"/>
        <w:ind w:left="1470" w:leftChars="700" w:right="1470" w:rightChars="700"/>
        <w:rPr>
          <w:rFonts w:ascii="宋体" w:hAnsi="宋体" w:eastAsia="宋体" w:cs="宋体"/>
          <w:b/>
          <w:bCs/>
          <w:kern w:val="36"/>
          <w:sz w:val="24"/>
          <w:szCs w:val="24"/>
          <w:highlight w:val="none"/>
        </w:rPr>
      </w:pPr>
    </w:p>
    <w:p w14:paraId="4380E5D6">
      <w:pPr>
        <w:wordWrap w:val="0"/>
        <w:topLinePunct/>
        <w:spacing w:after="120"/>
        <w:ind w:left="1470" w:leftChars="700" w:right="1470" w:rightChars="700"/>
        <w:rPr>
          <w:rFonts w:ascii="宋体" w:hAnsi="宋体" w:eastAsia="宋体" w:cs="宋体"/>
          <w:b/>
          <w:bCs/>
          <w:kern w:val="36"/>
          <w:sz w:val="24"/>
          <w:szCs w:val="24"/>
          <w:highlight w:val="none"/>
        </w:rPr>
      </w:pPr>
    </w:p>
    <w:p w14:paraId="42FE15D6">
      <w:pPr>
        <w:wordWrap w:val="0"/>
        <w:topLinePunct/>
        <w:spacing w:after="120"/>
        <w:ind w:left="1470" w:leftChars="700" w:right="1470" w:rightChars="700"/>
        <w:rPr>
          <w:rFonts w:ascii="宋体" w:hAnsi="宋体" w:eastAsia="宋体" w:cs="宋体"/>
          <w:b/>
          <w:bCs/>
          <w:kern w:val="36"/>
          <w:sz w:val="24"/>
          <w:szCs w:val="24"/>
          <w:highlight w:val="none"/>
        </w:rPr>
      </w:pPr>
    </w:p>
    <w:p w14:paraId="28989D71">
      <w:pPr>
        <w:wordWrap w:val="0"/>
        <w:topLinePunct/>
        <w:spacing w:after="120"/>
        <w:ind w:left="1470" w:leftChars="700" w:right="1470" w:rightChars="700"/>
        <w:rPr>
          <w:rFonts w:ascii="宋体" w:hAnsi="宋体" w:eastAsia="宋体" w:cs="宋体"/>
          <w:b/>
          <w:bCs/>
          <w:kern w:val="36"/>
          <w:sz w:val="24"/>
          <w:szCs w:val="24"/>
          <w:highlight w:val="none"/>
        </w:rPr>
      </w:pPr>
    </w:p>
    <w:p w14:paraId="01DCC4B5">
      <w:pPr>
        <w:wordWrap w:val="0"/>
        <w:topLinePunct/>
        <w:spacing w:after="120"/>
        <w:ind w:left="1470" w:leftChars="700" w:right="1470" w:rightChars="700"/>
        <w:rPr>
          <w:rFonts w:ascii="宋体" w:hAnsi="宋体" w:eastAsia="宋体" w:cs="宋体"/>
          <w:b/>
          <w:bCs/>
          <w:kern w:val="36"/>
          <w:sz w:val="24"/>
          <w:szCs w:val="24"/>
          <w:highlight w:val="none"/>
        </w:rPr>
      </w:pPr>
    </w:p>
    <w:p w14:paraId="0D730044">
      <w:pPr>
        <w:wordWrap w:val="0"/>
        <w:topLinePunct/>
        <w:spacing w:after="120"/>
        <w:ind w:left="1470" w:leftChars="700" w:right="1470" w:rightChars="700"/>
        <w:rPr>
          <w:rFonts w:ascii="宋体" w:hAnsi="宋体" w:eastAsia="宋体" w:cs="宋体"/>
          <w:b/>
          <w:bCs/>
          <w:kern w:val="36"/>
          <w:sz w:val="24"/>
          <w:szCs w:val="24"/>
          <w:highlight w:val="none"/>
        </w:rPr>
      </w:pPr>
    </w:p>
    <w:p w14:paraId="0FDDE023">
      <w:pPr>
        <w:wordWrap w:val="0"/>
        <w:topLinePunct/>
        <w:spacing w:after="120"/>
        <w:ind w:left="1470" w:leftChars="700" w:right="1470" w:rightChars="700"/>
        <w:rPr>
          <w:rFonts w:ascii="宋体" w:hAnsi="宋体" w:eastAsia="宋体" w:cs="宋体"/>
          <w:b/>
          <w:bCs/>
          <w:kern w:val="36"/>
          <w:sz w:val="24"/>
          <w:szCs w:val="24"/>
          <w:highlight w:val="none"/>
        </w:rPr>
      </w:pPr>
    </w:p>
    <w:p w14:paraId="4DEC685E">
      <w:pPr>
        <w:pageBreakBefore/>
        <w:wordWrap w:val="0"/>
        <w:topLinePunct/>
        <w:ind w:firstLine="360" w:firstLineChars="150"/>
        <w:outlineLvl w:val="0"/>
        <w:rPr>
          <w:rFonts w:ascii="宋体" w:hAnsi="宋体" w:eastAsia="宋体" w:cs="宋体"/>
          <w:sz w:val="24"/>
          <w:szCs w:val="24"/>
          <w:highlight w:val="none"/>
        </w:rPr>
      </w:pPr>
      <w:bookmarkStart w:id="299" w:name="_Toc6897"/>
      <w:bookmarkStart w:id="300" w:name="_Toc11345"/>
      <w:bookmarkStart w:id="301" w:name="_Toc6264"/>
      <w:bookmarkStart w:id="302" w:name="_Toc8392"/>
      <w:bookmarkStart w:id="303" w:name="_Toc14655"/>
      <w:bookmarkStart w:id="304" w:name="_Toc5906"/>
      <w:r>
        <w:rPr>
          <w:rFonts w:hint="eastAsia" w:ascii="宋体" w:hAnsi="宋体" w:eastAsia="宋体" w:cs="宋体"/>
          <w:sz w:val="24"/>
          <w:szCs w:val="24"/>
          <w:highlight w:val="none"/>
        </w:rPr>
        <w:t>附件3</w:t>
      </w:r>
      <w:bookmarkEnd w:id="299"/>
      <w:bookmarkEnd w:id="300"/>
      <w:bookmarkEnd w:id="301"/>
      <w:bookmarkEnd w:id="302"/>
      <w:bookmarkEnd w:id="303"/>
      <w:bookmarkEnd w:id="304"/>
    </w:p>
    <w:p w14:paraId="016CCD32">
      <w:pPr>
        <w:wordWrap w:val="0"/>
        <w:spacing w:after="120" w:line="480" w:lineRule="exact"/>
        <w:jc w:val="center"/>
        <w:outlineLvl w:val="0"/>
        <w:rPr>
          <w:rFonts w:ascii="宋体" w:hAnsi="宋体" w:eastAsia="宋体" w:cs="宋体"/>
          <w:b/>
          <w:bCs/>
          <w:kern w:val="36"/>
          <w:sz w:val="24"/>
          <w:szCs w:val="24"/>
          <w:highlight w:val="none"/>
        </w:rPr>
      </w:pPr>
      <w:bookmarkStart w:id="305" w:name="_Toc30651"/>
      <w:bookmarkStart w:id="306" w:name="_Toc23815"/>
      <w:bookmarkStart w:id="307" w:name="_Toc23906"/>
      <w:bookmarkStart w:id="308" w:name="_Toc27930"/>
      <w:bookmarkStart w:id="309" w:name="_Toc20868"/>
      <w:bookmarkStart w:id="310" w:name="_Toc32130"/>
      <w:r>
        <w:rPr>
          <w:rFonts w:hint="eastAsia" w:ascii="宋体" w:hAnsi="宋体" w:eastAsia="宋体" w:cs="宋体"/>
          <w:b/>
          <w:bCs/>
          <w:kern w:val="36"/>
          <w:sz w:val="24"/>
          <w:szCs w:val="24"/>
          <w:highlight w:val="none"/>
        </w:rPr>
        <w:t>残疾人福利性单位声明函（如有）</w:t>
      </w:r>
      <w:bookmarkEnd w:id="305"/>
      <w:bookmarkEnd w:id="306"/>
      <w:bookmarkEnd w:id="307"/>
      <w:bookmarkEnd w:id="308"/>
      <w:bookmarkEnd w:id="309"/>
      <w:bookmarkEnd w:id="310"/>
    </w:p>
    <w:p w14:paraId="4608B1FC">
      <w:pPr>
        <w:wordWrap w:val="0"/>
        <w:spacing w:after="120" w:line="480" w:lineRule="exact"/>
        <w:ind w:firstLine="480" w:firstLineChars="200"/>
        <w:rPr>
          <w:rFonts w:ascii="宋体" w:hAnsi="宋体" w:eastAsia="宋体" w:cs="宋体"/>
          <w:kern w:val="36"/>
          <w:sz w:val="24"/>
          <w:szCs w:val="24"/>
          <w:highlight w:val="none"/>
        </w:rPr>
      </w:pPr>
    </w:p>
    <w:p w14:paraId="56A0DA93">
      <w:pPr>
        <w:wordWrap w:val="0"/>
        <w:spacing w:after="120" w:line="480" w:lineRule="exact"/>
        <w:ind w:firstLine="480" w:firstLineChars="200"/>
        <w:rPr>
          <w:rFonts w:ascii="宋体" w:hAnsi="宋体" w:eastAsia="宋体" w:cs="宋体"/>
          <w:kern w:val="36"/>
          <w:sz w:val="24"/>
          <w:szCs w:val="24"/>
          <w:highlight w:val="none"/>
        </w:rPr>
      </w:pPr>
      <w:r>
        <w:rPr>
          <w:rFonts w:hint="eastAsia" w:ascii="宋体" w:hAnsi="宋体" w:eastAsia="宋体" w:cs="宋体"/>
          <w:kern w:val="36"/>
          <w:sz w:val="24"/>
          <w:szCs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kern w:val="36"/>
          <w:sz w:val="24"/>
          <w:szCs w:val="24"/>
          <w:highlight w:val="none"/>
          <w:u w:val="single"/>
        </w:rPr>
        <w:t xml:space="preserve">       </w:t>
      </w:r>
      <w:r>
        <w:rPr>
          <w:rFonts w:hint="eastAsia" w:ascii="宋体" w:hAnsi="宋体" w:eastAsia="宋体" w:cs="宋体"/>
          <w:kern w:val="36"/>
          <w:sz w:val="24"/>
          <w:szCs w:val="24"/>
          <w:highlight w:val="none"/>
        </w:rPr>
        <w:t xml:space="preserve">单位的 </w:t>
      </w:r>
      <w:r>
        <w:rPr>
          <w:rFonts w:hint="eastAsia" w:ascii="宋体" w:hAnsi="宋体" w:eastAsia="宋体" w:cs="宋体"/>
          <w:kern w:val="36"/>
          <w:sz w:val="24"/>
          <w:szCs w:val="24"/>
          <w:highlight w:val="none"/>
          <w:u w:val="single"/>
        </w:rPr>
        <w:t xml:space="preserve">     </w:t>
      </w:r>
      <w:r>
        <w:rPr>
          <w:rFonts w:hint="eastAsia" w:ascii="宋体" w:hAnsi="宋体" w:eastAsia="宋体" w:cs="宋体"/>
          <w:kern w:val="36"/>
          <w:sz w:val="24"/>
          <w:szCs w:val="24"/>
          <w:highlight w:val="none"/>
        </w:rPr>
        <w:t>项目采购活动提供本单位制造的货物（由本单位承担工程/提供服务），或者提供其他残疾人福利性单位制造的货物（不包括使用非残疾人福利性单位注册商标的货物）。</w:t>
      </w:r>
    </w:p>
    <w:p w14:paraId="73EE3063">
      <w:pPr>
        <w:wordWrap w:val="0"/>
        <w:spacing w:after="120" w:line="480" w:lineRule="exact"/>
        <w:ind w:firstLine="480" w:firstLineChars="200"/>
        <w:rPr>
          <w:rFonts w:ascii="宋体" w:hAnsi="宋体" w:eastAsia="宋体" w:cs="宋体"/>
          <w:kern w:val="36"/>
          <w:sz w:val="24"/>
          <w:szCs w:val="24"/>
          <w:highlight w:val="none"/>
        </w:rPr>
      </w:pPr>
      <w:r>
        <w:rPr>
          <w:rFonts w:hint="eastAsia" w:ascii="宋体" w:hAnsi="宋体" w:eastAsia="宋体" w:cs="宋体"/>
          <w:kern w:val="36"/>
          <w:sz w:val="24"/>
          <w:szCs w:val="24"/>
          <w:highlight w:val="none"/>
        </w:rPr>
        <w:t>本单位对上述声明的真实性负责。如有虚假，将依法承担相应责任。</w:t>
      </w:r>
    </w:p>
    <w:p w14:paraId="13C330E4">
      <w:pPr>
        <w:wordWrap w:val="0"/>
        <w:spacing w:line="480" w:lineRule="exact"/>
        <w:ind w:firstLine="480" w:firstLineChars="200"/>
        <w:jc w:val="right"/>
        <w:rPr>
          <w:rFonts w:ascii="宋体" w:hAnsi="宋体" w:eastAsia="宋体" w:cs="宋体"/>
          <w:sz w:val="24"/>
          <w:szCs w:val="24"/>
          <w:highlight w:val="none"/>
        </w:rPr>
      </w:pPr>
    </w:p>
    <w:p w14:paraId="42375619">
      <w:pPr>
        <w:wordWrap w:val="0"/>
        <w:topLinePunct/>
        <w:spacing w:line="360" w:lineRule="auto"/>
        <w:rPr>
          <w:rFonts w:ascii="宋体" w:hAnsi="宋体" w:eastAsia="宋体" w:cs="宋体"/>
          <w:kern w:val="0"/>
          <w:sz w:val="24"/>
          <w:szCs w:val="24"/>
          <w:highlight w:val="none"/>
        </w:rPr>
      </w:pPr>
    </w:p>
    <w:p w14:paraId="5FEECA8E">
      <w:pPr>
        <w:wordWrap w:val="0"/>
        <w:topLinePunct/>
        <w:spacing w:line="360" w:lineRule="auto"/>
        <w:ind w:firstLine="480" w:firstLineChars="200"/>
        <w:rPr>
          <w:rFonts w:ascii="宋体" w:hAnsi="宋体" w:eastAsia="宋体" w:cs="宋体"/>
          <w:sz w:val="24"/>
          <w:szCs w:val="24"/>
          <w:highlight w:val="none"/>
        </w:rPr>
      </w:pPr>
    </w:p>
    <w:p w14:paraId="66DDA2BE">
      <w:pPr>
        <w:wordWrap w:val="0"/>
        <w:topLinePunct/>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响应人（企业电子签章或盖章）：</w:t>
      </w:r>
    </w:p>
    <w:p w14:paraId="5FB94836">
      <w:pPr>
        <w:wordWrap w:val="0"/>
        <w:topLinePunct/>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 xml:space="preserve">法定代表人（个人电子签章或盖章或签字）： </w:t>
      </w:r>
    </w:p>
    <w:p w14:paraId="62141CC0">
      <w:pPr>
        <w:wordWrap w:val="0"/>
        <w:topLinePunct/>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 xml:space="preserve">日 期： </w:t>
      </w:r>
    </w:p>
    <w:p w14:paraId="09C40843">
      <w:pPr>
        <w:rPr>
          <w:highlight w:val="none"/>
        </w:rPr>
      </w:pPr>
    </w:p>
    <w:sectPr>
      <w:footerReference r:id="rId7" w:type="firs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Calibri Light">
    <w:panose1 w:val="020F0302020204030204"/>
    <w:charset w:val="00"/>
    <w:family w:val="swiss"/>
    <w:pitch w:val="default"/>
    <w:sig w:usb0="E4002EFF" w:usb1="C000247B" w:usb2="00000009" w:usb3="00000000" w:csb0="200001FF" w:csb1="00000000"/>
  </w:font>
  <w:font w:name="华文楷体">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0638377"/>
      <w:showingPlcHdr/>
    </w:sdtPr>
    <w:sdtContent>
      <w:p w14:paraId="384B9130">
        <w:pPr>
          <w:pStyle w:val="10"/>
          <w:jc w:val="center"/>
        </w:pPr>
        <w:r>
          <w:t xml:space="preserve">     </w:t>
        </w:r>
      </w:p>
    </w:sdtContent>
  </w:sdt>
  <w:p w14:paraId="460DA70C">
    <w:pPr>
      <w:pStyle w:val="1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EFD10">
    <w:pPr>
      <w:pStyle w:val="10"/>
      <w:jc w:val="center"/>
    </w:pPr>
  </w:p>
  <w:p w14:paraId="6ACF3AC8">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9044029"/>
      <w:docPartObj>
        <w:docPartGallery w:val="autotext"/>
      </w:docPartObj>
    </w:sdtPr>
    <w:sdtEndPr>
      <w:rPr>
        <w:sz w:val="20"/>
        <w:szCs w:val="20"/>
      </w:rPr>
    </w:sdtEndPr>
    <w:sdtContent>
      <w:p w14:paraId="013B477D">
        <w:pPr>
          <w:pStyle w:val="10"/>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zh-CN"/>
          </w:rPr>
          <w:t>69</w:t>
        </w:r>
        <w:r>
          <w:rPr>
            <w:sz w:val="20"/>
            <w:szCs w:val="20"/>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329B7">
    <w:pPr>
      <w:pStyle w:val="10"/>
      <w:jc w:val="center"/>
    </w:pPr>
  </w:p>
  <w:p w14:paraId="18642F5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7DC88">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DDECD3BC"/>
    <w:multiLevelType w:val="singleLevel"/>
    <w:tmpl w:val="DDECD3BC"/>
    <w:lvl w:ilvl="0" w:tentative="0">
      <w:start w:val="6"/>
      <w:numFmt w:val="decimal"/>
      <w:suff w:val="space"/>
      <w:lvlText w:val="%1."/>
      <w:lvlJc w:val="left"/>
    </w:lvl>
  </w:abstractNum>
  <w:abstractNum w:abstractNumId="2">
    <w:nsid w:val="DE759F4B"/>
    <w:multiLevelType w:val="singleLevel"/>
    <w:tmpl w:val="DE759F4B"/>
    <w:lvl w:ilvl="0" w:tentative="0">
      <w:start w:val="2"/>
      <w:numFmt w:val="decimal"/>
      <w:suff w:val="space"/>
      <w:lvlText w:val="%1."/>
      <w:lvlJc w:val="left"/>
    </w:lvl>
  </w:abstractNum>
  <w:abstractNum w:abstractNumId="3">
    <w:nsid w:val="DEABE1DB"/>
    <w:multiLevelType w:val="singleLevel"/>
    <w:tmpl w:val="DEABE1DB"/>
    <w:lvl w:ilvl="0" w:tentative="0">
      <w:start w:val="23"/>
      <w:numFmt w:val="decimal"/>
      <w:suff w:val="space"/>
      <w:lvlText w:val="%1."/>
      <w:lvlJc w:val="left"/>
    </w:lvl>
  </w:abstractNum>
  <w:abstractNum w:abstractNumId="4">
    <w:nsid w:val="7A0F6431"/>
    <w:multiLevelType w:val="singleLevel"/>
    <w:tmpl w:val="7A0F6431"/>
    <w:lvl w:ilvl="0" w:tentative="0">
      <w:start w:val="1"/>
      <w:numFmt w:val="decimal"/>
      <w:suff w:val="space"/>
      <w:lvlText w:val="%1."/>
      <w:lvlJc w:val="left"/>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xM2I1YjI0ZGFkNDc3YTdkZGVmNzIyNGE4ODY5ZjMifQ=="/>
  </w:docVars>
  <w:rsids>
    <w:rsidRoot w:val="00000000"/>
    <w:rsid w:val="00186BF0"/>
    <w:rsid w:val="003A2894"/>
    <w:rsid w:val="00834F0A"/>
    <w:rsid w:val="00876D68"/>
    <w:rsid w:val="00886E23"/>
    <w:rsid w:val="00BC3A1F"/>
    <w:rsid w:val="015D4DE2"/>
    <w:rsid w:val="047672AC"/>
    <w:rsid w:val="048900BC"/>
    <w:rsid w:val="05303D7F"/>
    <w:rsid w:val="05AC3439"/>
    <w:rsid w:val="067D59FE"/>
    <w:rsid w:val="07996868"/>
    <w:rsid w:val="07DC0503"/>
    <w:rsid w:val="08007A98"/>
    <w:rsid w:val="08C47915"/>
    <w:rsid w:val="0B444D3D"/>
    <w:rsid w:val="0B4A4D8B"/>
    <w:rsid w:val="0B510A3C"/>
    <w:rsid w:val="0F647035"/>
    <w:rsid w:val="10620C0F"/>
    <w:rsid w:val="10AE5AA8"/>
    <w:rsid w:val="11276C93"/>
    <w:rsid w:val="115458BE"/>
    <w:rsid w:val="11FA2749"/>
    <w:rsid w:val="131174AD"/>
    <w:rsid w:val="14461ACB"/>
    <w:rsid w:val="146B333A"/>
    <w:rsid w:val="15946933"/>
    <w:rsid w:val="15F44D12"/>
    <w:rsid w:val="16CF7BB0"/>
    <w:rsid w:val="18C76EF2"/>
    <w:rsid w:val="190F0738"/>
    <w:rsid w:val="1A377809"/>
    <w:rsid w:val="1A8C5DB8"/>
    <w:rsid w:val="1AAB4490"/>
    <w:rsid w:val="1AAE6CE1"/>
    <w:rsid w:val="1ABA5AD2"/>
    <w:rsid w:val="1ADE3303"/>
    <w:rsid w:val="1B51562E"/>
    <w:rsid w:val="1B965141"/>
    <w:rsid w:val="1BEA2D97"/>
    <w:rsid w:val="1BF71070"/>
    <w:rsid w:val="1C1918CE"/>
    <w:rsid w:val="1C850BB8"/>
    <w:rsid w:val="1CBC1555"/>
    <w:rsid w:val="1CCC06EE"/>
    <w:rsid w:val="1E631CFC"/>
    <w:rsid w:val="1F356C3C"/>
    <w:rsid w:val="1F686DF4"/>
    <w:rsid w:val="2091437A"/>
    <w:rsid w:val="241317E1"/>
    <w:rsid w:val="257E40E6"/>
    <w:rsid w:val="25BF34E6"/>
    <w:rsid w:val="26110370"/>
    <w:rsid w:val="276C39AD"/>
    <w:rsid w:val="27A6495D"/>
    <w:rsid w:val="27FF2560"/>
    <w:rsid w:val="28210646"/>
    <w:rsid w:val="2858552C"/>
    <w:rsid w:val="28F718F0"/>
    <w:rsid w:val="291B0A33"/>
    <w:rsid w:val="29556173"/>
    <w:rsid w:val="299D3B3E"/>
    <w:rsid w:val="29EF29E3"/>
    <w:rsid w:val="2B9F1825"/>
    <w:rsid w:val="2BDA2E28"/>
    <w:rsid w:val="2CAE1BBE"/>
    <w:rsid w:val="2CCD473A"/>
    <w:rsid w:val="2E1661E6"/>
    <w:rsid w:val="2F1321AD"/>
    <w:rsid w:val="2F762E67"/>
    <w:rsid w:val="3049057C"/>
    <w:rsid w:val="30744ECD"/>
    <w:rsid w:val="30CB71E3"/>
    <w:rsid w:val="30D1550A"/>
    <w:rsid w:val="31A812D2"/>
    <w:rsid w:val="31C13808"/>
    <w:rsid w:val="3709636F"/>
    <w:rsid w:val="37B7226F"/>
    <w:rsid w:val="38076D3D"/>
    <w:rsid w:val="38451629"/>
    <w:rsid w:val="38D17360"/>
    <w:rsid w:val="39E65E7D"/>
    <w:rsid w:val="3BE86E9B"/>
    <w:rsid w:val="3C5C5193"/>
    <w:rsid w:val="3D9D1F07"/>
    <w:rsid w:val="3E7E4311"/>
    <w:rsid w:val="3F7F7B16"/>
    <w:rsid w:val="3FB672B0"/>
    <w:rsid w:val="3FF34060"/>
    <w:rsid w:val="40A42DC1"/>
    <w:rsid w:val="412A1D04"/>
    <w:rsid w:val="41A02B35"/>
    <w:rsid w:val="434C41B3"/>
    <w:rsid w:val="43C03F2F"/>
    <w:rsid w:val="442C5D93"/>
    <w:rsid w:val="458A1F01"/>
    <w:rsid w:val="46144D30"/>
    <w:rsid w:val="461E59DD"/>
    <w:rsid w:val="478832E0"/>
    <w:rsid w:val="47925F0D"/>
    <w:rsid w:val="49AD702E"/>
    <w:rsid w:val="4C1635B0"/>
    <w:rsid w:val="4C243156"/>
    <w:rsid w:val="4DB311F3"/>
    <w:rsid w:val="4E650EBA"/>
    <w:rsid w:val="4F6C3EC7"/>
    <w:rsid w:val="50850D04"/>
    <w:rsid w:val="509E1DC6"/>
    <w:rsid w:val="50E80564"/>
    <w:rsid w:val="5124051D"/>
    <w:rsid w:val="516D0D84"/>
    <w:rsid w:val="51B6149B"/>
    <w:rsid w:val="537D33E8"/>
    <w:rsid w:val="553E5926"/>
    <w:rsid w:val="57BB325E"/>
    <w:rsid w:val="57F4510A"/>
    <w:rsid w:val="585F008D"/>
    <w:rsid w:val="5AFA409D"/>
    <w:rsid w:val="5B6A6DD6"/>
    <w:rsid w:val="5CCE57E1"/>
    <w:rsid w:val="5DA010A9"/>
    <w:rsid w:val="5EA043CE"/>
    <w:rsid w:val="5F276DA9"/>
    <w:rsid w:val="5F385194"/>
    <w:rsid w:val="5F4104EC"/>
    <w:rsid w:val="5F426012"/>
    <w:rsid w:val="5F7130F5"/>
    <w:rsid w:val="5F906BA0"/>
    <w:rsid w:val="5FD41360"/>
    <w:rsid w:val="60E1343C"/>
    <w:rsid w:val="60E5134B"/>
    <w:rsid w:val="64793FF5"/>
    <w:rsid w:val="65275D27"/>
    <w:rsid w:val="658E44B6"/>
    <w:rsid w:val="661A232A"/>
    <w:rsid w:val="670B27C3"/>
    <w:rsid w:val="68040309"/>
    <w:rsid w:val="68043B3F"/>
    <w:rsid w:val="68E0459C"/>
    <w:rsid w:val="6CE94BEE"/>
    <w:rsid w:val="6CE95D1F"/>
    <w:rsid w:val="6D5356FF"/>
    <w:rsid w:val="6E2A482E"/>
    <w:rsid w:val="6E5324A5"/>
    <w:rsid w:val="6FC44E54"/>
    <w:rsid w:val="70550C5B"/>
    <w:rsid w:val="70E231B1"/>
    <w:rsid w:val="713A2FED"/>
    <w:rsid w:val="718B5A69"/>
    <w:rsid w:val="71C254BD"/>
    <w:rsid w:val="721D6B97"/>
    <w:rsid w:val="7258489A"/>
    <w:rsid w:val="72B8066E"/>
    <w:rsid w:val="72CE60E3"/>
    <w:rsid w:val="72F21F81"/>
    <w:rsid w:val="746C5BB4"/>
    <w:rsid w:val="74E90984"/>
    <w:rsid w:val="756920F3"/>
    <w:rsid w:val="768C42EB"/>
    <w:rsid w:val="774D3A7A"/>
    <w:rsid w:val="77DC095A"/>
    <w:rsid w:val="77F04406"/>
    <w:rsid w:val="781F5F02"/>
    <w:rsid w:val="78615304"/>
    <w:rsid w:val="786A240A"/>
    <w:rsid w:val="787D038F"/>
    <w:rsid w:val="7A4B562B"/>
    <w:rsid w:val="7A592736"/>
    <w:rsid w:val="7A903524"/>
    <w:rsid w:val="7B774E73"/>
    <w:rsid w:val="7C142D60"/>
    <w:rsid w:val="7D311748"/>
    <w:rsid w:val="7EF70770"/>
    <w:rsid w:val="7F111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0"/>
    <w:pPr>
      <w:keepNext/>
      <w:keepLines/>
      <w:spacing w:beforeLines="0" w:beforeAutospacing="0" w:afterLines="0" w:afterAutospacing="0" w:line="360" w:lineRule="auto"/>
      <w:jc w:val="center"/>
      <w:outlineLvl w:val="0"/>
    </w:pPr>
    <w:rPr>
      <w:rFonts w:ascii="Times New Roman" w:hAnsi="Times New Roman" w:eastAsia="宋体" w:cs="Times New Roman"/>
      <w:b/>
      <w:snapToGrid w:val="0"/>
      <w:color w:val="000000"/>
      <w:kern w:val="44"/>
      <w:sz w:val="30"/>
      <w:szCs w:val="21"/>
    </w:rPr>
  </w:style>
  <w:style w:type="paragraph" w:styleId="3">
    <w:name w:val="heading 2"/>
    <w:basedOn w:val="1"/>
    <w:next w:val="1"/>
    <w:semiHidden/>
    <w:unhideWhenUsed/>
    <w:qFormat/>
    <w:uiPriority w:val="0"/>
    <w:pPr>
      <w:keepNext/>
      <w:keepLines/>
      <w:spacing w:before="160" w:beforeLines="0" w:beforeAutospacing="0" w:after="160" w:afterLines="0" w:afterAutospacing="0" w:line="440" w:lineRule="exact"/>
      <w:jc w:val="center"/>
      <w:outlineLvl w:val="1"/>
    </w:pPr>
    <w:rPr>
      <w:rFonts w:ascii="Arial" w:hAnsi="Arial" w:eastAsia="宋体" w:cs="宋体"/>
      <w:b/>
      <w:kern w:val="2"/>
      <w:sz w:val="28"/>
      <w:szCs w:val="24"/>
      <w:lang w:val="zh-CN" w:eastAsia="zh-CN" w:bidi="zh-CN"/>
    </w:rPr>
  </w:style>
  <w:style w:type="paragraph" w:styleId="4">
    <w:name w:val="heading 3"/>
    <w:basedOn w:val="1"/>
    <w:next w:val="1"/>
    <w:semiHidden/>
    <w:unhideWhenUsed/>
    <w:qFormat/>
    <w:uiPriority w:val="0"/>
    <w:pPr>
      <w:keepNext/>
      <w:keepLines/>
      <w:adjustRightInd w:val="0"/>
      <w:snapToGrid w:val="0"/>
      <w:ind w:firstLine="723" w:firstLineChars="200"/>
      <w:jc w:val="left"/>
      <w:outlineLvl w:val="2"/>
    </w:pPr>
    <w:rPr>
      <w:rFonts w:ascii="Times New Roman" w:hAnsi="Times New Roman" w:eastAsia="宋体" w:cs="宋体"/>
      <w:b/>
      <w:bCs/>
      <w:kern w:val="2"/>
      <w:sz w:val="28"/>
      <w:szCs w:val="32"/>
      <w:lang w:eastAsia="zh-CN"/>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pPr>
      <w:spacing w:line="520" w:lineRule="exact"/>
    </w:pPr>
    <w:rPr>
      <w:rFonts w:ascii="仿宋_GB2312" w:hAnsi="宋体" w:eastAsia="仿宋_GB2312" w:cs="Times New Roman"/>
      <w:color w:val="008000"/>
      <w:kern w:val="0"/>
      <w:sz w:val="24"/>
      <w:szCs w:val="24"/>
    </w:rPr>
  </w:style>
  <w:style w:type="paragraph" w:styleId="6">
    <w:name w:val="Body Text 2"/>
    <w:basedOn w:val="1"/>
    <w:next w:val="5"/>
    <w:qFormat/>
    <w:uiPriority w:val="0"/>
    <w:rPr>
      <w:rFonts w:ascii="宋体" w:hAnsi="宋体" w:eastAsia="宋体" w:cs="Arial"/>
      <w:b/>
      <w:kern w:val="0"/>
      <w:sz w:val="28"/>
      <w:szCs w:val="20"/>
    </w:rPr>
  </w:style>
  <w:style w:type="paragraph" w:styleId="7">
    <w:name w:val="Body Text Indent"/>
    <w:basedOn w:val="1"/>
    <w:next w:val="8"/>
    <w:qFormat/>
    <w:uiPriority w:val="0"/>
    <w:pPr>
      <w:spacing w:after="120" w:line="276" w:lineRule="auto"/>
      <w:ind w:left="420" w:leftChars="200"/>
    </w:pPr>
    <w:rPr>
      <w:rFonts w:ascii="宋体" w:hAnsi="Calibri" w:eastAsia="仿宋"/>
      <w:sz w:val="24"/>
      <w:szCs w:val="21"/>
    </w:rPr>
  </w:style>
  <w:style w:type="paragraph" w:styleId="8">
    <w:name w:val="envelope return"/>
    <w:basedOn w:val="1"/>
    <w:semiHidden/>
    <w:qFormat/>
    <w:uiPriority w:val="0"/>
    <w:pPr>
      <w:snapToGrid w:val="0"/>
      <w:spacing w:after="200" w:line="276" w:lineRule="auto"/>
    </w:pPr>
    <w:rPr>
      <w:rFonts w:ascii="Arial" w:hAnsi="Arial" w:cs="Arial"/>
      <w:sz w:val="22"/>
      <w:szCs w:val="22"/>
      <w:lang w:eastAsia="en-US" w:bidi="en-US"/>
    </w:rPr>
  </w:style>
  <w:style w:type="paragraph" w:styleId="9">
    <w:name w:val="Body Text Indent 2"/>
    <w:basedOn w:val="1"/>
    <w:unhideWhenUsed/>
    <w:qFormat/>
    <w:uiPriority w:val="0"/>
    <w:pPr>
      <w:spacing w:after="120" w:line="480" w:lineRule="auto"/>
      <w:ind w:left="420" w:leftChars="200"/>
    </w:pPr>
    <w:rPr>
      <w:rFonts w:ascii="Times New Roman" w:hAnsi="Times New Roman" w:eastAsia="宋体" w:cs="Times New Roman"/>
      <w:kern w:val="0"/>
      <w:sz w:val="20"/>
      <w:szCs w:val="24"/>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pPr>
      <w:spacing w:line="480" w:lineRule="auto"/>
    </w:pPr>
    <w:rPr>
      <w:rFonts w:ascii="Times New Roman" w:hAnsi="Times New Roman" w:eastAsia="宋体" w:cs="Times New Roman"/>
      <w:b/>
      <w:kern w:val="2"/>
      <w:sz w:val="28"/>
      <w:szCs w:val="21"/>
      <w:lang w:eastAsia="zh-CN"/>
    </w:rPr>
  </w:style>
  <w:style w:type="paragraph" w:styleId="13">
    <w:name w:val="Body Text First Indent"/>
    <w:basedOn w:val="5"/>
    <w:next w:val="14"/>
    <w:unhideWhenUsed/>
    <w:qFormat/>
    <w:uiPriority w:val="99"/>
    <w:pPr>
      <w:ind w:firstLine="420" w:firstLineChars="100"/>
    </w:pPr>
  </w:style>
  <w:style w:type="paragraph" w:styleId="14">
    <w:name w:val="Body Text First Indent 2"/>
    <w:basedOn w:val="7"/>
    <w:next w:val="1"/>
    <w:qFormat/>
    <w:uiPriority w:val="0"/>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customStyle="1" w:styleId="19">
    <w:name w:val="标题 1 Char"/>
    <w:link w:val="2"/>
    <w:qFormat/>
    <w:uiPriority w:val="0"/>
    <w:rPr>
      <w:rFonts w:ascii="Times New Roman" w:hAnsi="Times New Roman" w:eastAsia="宋体" w:cs="Times New Roman"/>
      <w:b/>
      <w:snapToGrid w:val="0"/>
      <w:color w:val="000000"/>
      <w:kern w:val="44"/>
      <w:sz w:val="30"/>
      <w:szCs w:val="21"/>
      <w:lang w:eastAsia="en-US"/>
    </w:rPr>
  </w:style>
  <w:style w:type="paragraph" w:customStyle="1" w:styleId="20">
    <w:name w:val="Default"/>
    <w:basedOn w:val="1"/>
    <w:next w:val="1"/>
    <w:autoRedefine/>
    <w:qFormat/>
    <w:uiPriority w:val="0"/>
    <w:pPr>
      <w:autoSpaceDE w:val="0"/>
      <w:autoSpaceDN w:val="0"/>
      <w:adjustRightInd w:val="0"/>
    </w:pPr>
    <w:rPr>
      <w:rFonts w:ascii="宋体" w:hAnsi="宋体" w:eastAsia="宋体" w:cs="宋体"/>
      <w:color w:val="000000"/>
      <w:szCs w:val="21"/>
    </w:rPr>
  </w:style>
  <w:style w:type="table" w:customStyle="1" w:styleId="21">
    <w:name w:val="Table Normal"/>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file:///C:\Users\Administrator\Documents\Tencent%25252525252525252525252525252525252525252525252525252525252525252520Files\953369346\Image\C2C\%252525252525252525252525252525252525252525252525252525252525252525259IYW3%2525252525252525252525252525252525252525252525252525252525252525257d40BV%252525252525252525252525252525252525252525252525252525252525252525606PQ%2525252525252525252525252525252525252525252525252525252525252525257d0E6%25252525252525252525252525252525252525252525252525252525252525252525HTJ.jpg" TargetMode="Externa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63</Pages>
  <Words>14009</Words>
  <Characters>15271</Characters>
  <Lines>0</Lines>
  <Paragraphs>0</Paragraphs>
  <TotalTime>10</TotalTime>
  <ScaleCrop>false</ScaleCrop>
  <LinksUpToDate>false</LinksUpToDate>
  <CharactersWithSpaces>16031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2023-12-15T00:46:00Z</dcterms:created>
  <dc:creator>Administrator</dc:creator>
  <cp:lastModifiedBy>WPS_1778564435</cp:lastModifiedBy>
  <dcterms:modified xsi:type="dcterms:W3CDTF">2026-09-22T08:37:10Z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0D27EA404F9C4907BAF521DCC70A0AD6_13</vt:lpwstr>
  </property>
  <property fmtid="{D5CDD505-2E9C-101B-9397-08002B2CF9AE}" pid="4" name="KSOTemplateDocerSaveRecord">
    <vt:lpwstr>eyJoZGlkIjoiMzBlMDlhM2Y4YmVlNmQyZDAxYTFkZDJhZmQwMzhmYWUiLCJ1c2VySWQiOiIxODQxMTI4OTE3In0=</vt:lpwstr>
  </property>
</Properties>
</file>