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27D936">
      <w:pPr>
        <w:pageBreakBefore w:val="0"/>
        <w:kinsoku/>
        <w:overflowPunct/>
        <w:bidi w:val="0"/>
        <w:spacing w:line="360" w:lineRule="auto"/>
        <w:jc w:val="center"/>
        <w:rPr>
          <w:rFonts w:hint="eastAsia" w:ascii="宋体" w:hAnsi="宋体" w:eastAsia="宋体" w:cs="宋体"/>
          <w:b/>
          <w:bCs/>
          <w:sz w:val="52"/>
          <w:szCs w:val="48"/>
          <w:lang w:eastAsia="zh-CN"/>
        </w:rPr>
      </w:pPr>
    </w:p>
    <w:p w14:paraId="0E28C4FE">
      <w:pPr>
        <w:pageBreakBefore w:val="0"/>
        <w:kinsoku/>
        <w:overflowPunct/>
        <w:bidi w:val="0"/>
        <w:spacing w:line="360" w:lineRule="auto"/>
        <w:jc w:val="center"/>
        <w:rPr>
          <w:rFonts w:hint="eastAsia" w:ascii="宋体" w:hAnsi="宋体" w:eastAsia="宋体" w:cs="宋体"/>
          <w:b/>
          <w:bCs/>
          <w:color w:val="000000" w:themeColor="text1"/>
          <w:sz w:val="40"/>
          <w:szCs w:val="44"/>
          <w:lang w:eastAsia="zh-CN"/>
          <w14:textFill>
            <w14:solidFill>
              <w14:schemeClr w14:val="tx1"/>
            </w14:solidFill>
          </w14:textFill>
        </w:rPr>
      </w:pPr>
      <w:r>
        <w:rPr>
          <w:rFonts w:hint="eastAsia" w:ascii="宋体" w:hAnsi="宋体" w:eastAsia="宋体" w:cs="宋体"/>
          <w:b/>
          <w:bCs/>
          <w:sz w:val="60"/>
          <w:szCs w:val="56"/>
          <w:lang w:eastAsia="zh-CN"/>
        </w:rPr>
        <w:t>董家村果蔬种植基地建设项目（二次）</w:t>
      </w:r>
    </w:p>
    <w:p w14:paraId="613801A5">
      <w:pPr>
        <w:pageBreakBefore w:val="0"/>
        <w:kinsoku/>
        <w:overflowPunct/>
        <w:bidi w:val="0"/>
        <w:spacing w:line="360" w:lineRule="auto"/>
        <w:jc w:val="center"/>
        <w:rPr>
          <w:rFonts w:hint="eastAsia" w:ascii="宋体" w:hAnsi="宋体" w:eastAsia="宋体" w:cs="宋体"/>
          <w:b/>
          <w:bCs/>
          <w:color w:val="0000FF"/>
          <w:sz w:val="28"/>
          <w:szCs w:val="32"/>
        </w:rPr>
      </w:pPr>
    </w:p>
    <w:p w14:paraId="5EADFCEB">
      <w:pPr>
        <w:pageBreakBefore w:val="0"/>
        <w:kinsoku/>
        <w:overflowPunct/>
        <w:bidi w:val="0"/>
        <w:spacing w:line="360" w:lineRule="auto"/>
        <w:jc w:val="center"/>
        <w:rPr>
          <w:rFonts w:hint="eastAsia" w:ascii="宋体" w:hAnsi="宋体" w:eastAsia="宋体" w:cs="宋体"/>
          <w:b/>
          <w:bCs/>
          <w:color w:val="auto"/>
          <w:sz w:val="28"/>
          <w:szCs w:val="32"/>
          <w:highlight w:val="yellow"/>
        </w:rPr>
      </w:pPr>
    </w:p>
    <w:p w14:paraId="486A6185">
      <w:pPr>
        <w:pageBreakBefore w:val="0"/>
        <w:kinsoku/>
        <w:overflowPunct/>
        <w:bidi w:val="0"/>
        <w:spacing w:line="360" w:lineRule="auto"/>
        <w:jc w:val="center"/>
        <w:rPr>
          <w:rFonts w:hint="eastAsia" w:ascii="宋体" w:hAnsi="宋体" w:eastAsia="宋体" w:cs="宋体"/>
          <w:b/>
          <w:bCs/>
          <w:color w:val="auto"/>
          <w:sz w:val="28"/>
          <w:szCs w:val="32"/>
          <w:highlight w:val="yellow"/>
        </w:rPr>
      </w:pPr>
    </w:p>
    <w:p w14:paraId="56F73A01">
      <w:pPr>
        <w:pageBreakBefore w:val="0"/>
        <w:kinsoku/>
        <w:overflowPunct/>
        <w:bidi w:val="0"/>
        <w:spacing w:line="360" w:lineRule="auto"/>
        <w:jc w:val="center"/>
        <w:rPr>
          <w:rFonts w:hint="eastAsia" w:ascii="宋体" w:hAnsi="宋体" w:eastAsia="宋体" w:cs="宋体"/>
          <w:b/>
          <w:bCs/>
          <w:sz w:val="60"/>
          <w:szCs w:val="60"/>
        </w:rPr>
      </w:pPr>
    </w:p>
    <w:p w14:paraId="515E395A">
      <w:pPr>
        <w:pageBreakBefore w:val="0"/>
        <w:kinsoku/>
        <w:overflowPunct/>
        <w:bidi w:val="0"/>
        <w:spacing w:line="360" w:lineRule="auto"/>
        <w:jc w:val="center"/>
        <w:rPr>
          <w:rFonts w:hint="eastAsia" w:ascii="宋体" w:hAnsi="宋体" w:eastAsia="宋体" w:cs="宋体"/>
          <w:b/>
          <w:bCs/>
          <w:sz w:val="60"/>
          <w:szCs w:val="60"/>
        </w:rPr>
      </w:pPr>
    </w:p>
    <w:p w14:paraId="34DD36B8">
      <w:pPr>
        <w:pageBreakBefore w:val="0"/>
        <w:kinsoku/>
        <w:overflowPunct/>
        <w:bidi w:val="0"/>
        <w:spacing w:line="360" w:lineRule="auto"/>
        <w:jc w:val="center"/>
        <w:rPr>
          <w:rFonts w:hint="eastAsia" w:ascii="宋体" w:hAnsi="宋体" w:eastAsia="宋体" w:cs="宋体"/>
          <w:b/>
          <w:bCs/>
          <w:sz w:val="60"/>
          <w:szCs w:val="60"/>
        </w:rPr>
      </w:pPr>
      <w:r>
        <w:rPr>
          <w:rFonts w:hint="eastAsia" w:ascii="宋体" w:hAnsi="宋体" w:eastAsia="宋体" w:cs="宋体"/>
          <w:b/>
          <w:bCs/>
          <w:sz w:val="60"/>
          <w:szCs w:val="60"/>
        </w:rPr>
        <w:t>竞争性磋商文件</w:t>
      </w:r>
    </w:p>
    <w:p w14:paraId="137107B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8"/>
          <w:szCs w:val="32"/>
          <w:highlight w:val="none"/>
          <w:lang w:eastAsia="zh-CN"/>
        </w:rPr>
      </w:pPr>
      <w:r>
        <w:rPr>
          <w:rFonts w:hint="eastAsia" w:ascii="宋体" w:hAnsi="宋体" w:eastAsia="宋体" w:cs="宋体"/>
          <w:b/>
          <w:bCs/>
          <w:color w:val="auto"/>
          <w:sz w:val="28"/>
          <w:szCs w:val="32"/>
          <w:highlight w:val="none"/>
          <w:lang w:eastAsia="zh-CN"/>
        </w:rPr>
        <w:t>项目</w:t>
      </w:r>
      <w:r>
        <w:rPr>
          <w:rFonts w:hint="eastAsia" w:ascii="宋体" w:hAnsi="宋体" w:eastAsia="宋体" w:cs="宋体"/>
          <w:b/>
          <w:bCs/>
          <w:color w:val="auto"/>
          <w:sz w:val="28"/>
          <w:szCs w:val="32"/>
          <w:highlight w:val="none"/>
        </w:rPr>
        <w:t>编号：示范竞磋采购-2026-23</w:t>
      </w:r>
      <w:r>
        <w:rPr>
          <w:rFonts w:hint="eastAsia" w:ascii="宋体" w:hAnsi="宋体" w:eastAsia="宋体" w:cs="宋体"/>
          <w:b/>
          <w:bCs/>
          <w:color w:val="auto"/>
          <w:sz w:val="28"/>
          <w:szCs w:val="32"/>
          <w:highlight w:val="none"/>
          <w:lang w:eastAsia="zh-CN"/>
        </w:rPr>
        <w:t>、SGZ[2026]324-ZC232</w:t>
      </w:r>
    </w:p>
    <w:p w14:paraId="50DF82DD">
      <w:pPr>
        <w:pageBreakBefore w:val="0"/>
        <w:kinsoku/>
        <w:overflowPunct/>
        <w:bidi w:val="0"/>
        <w:spacing w:line="360" w:lineRule="auto"/>
        <w:rPr>
          <w:rFonts w:hint="eastAsia" w:ascii="宋体" w:hAnsi="宋体" w:eastAsia="宋体" w:cs="宋体"/>
          <w:b/>
          <w:bCs/>
        </w:rPr>
      </w:pPr>
    </w:p>
    <w:p w14:paraId="3D94B13A">
      <w:pPr>
        <w:pageBreakBefore w:val="0"/>
        <w:kinsoku/>
        <w:overflowPunct/>
        <w:bidi w:val="0"/>
        <w:spacing w:line="360" w:lineRule="auto"/>
        <w:jc w:val="center"/>
        <w:rPr>
          <w:rFonts w:hint="eastAsia" w:ascii="宋体" w:hAnsi="宋体" w:eastAsia="宋体" w:cs="宋体"/>
          <w:b/>
          <w:bCs/>
        </w:rPr>
      </w:pPr>
    </w:p>
    <w:p w14:paraId="27288DB2">
      <w:pPr>
        <w:pageBreakBefore w:val="0"/>
        <w:kinsoku/>
        <w:overflowPunct/>
        <w:bidi w:val="0"/>
        <w:spacing w:line="360" w:lineRule="auto"/>
        <w:jc w:val="center"/>
        <w:rPr>
          <w:rFonts w:hint="eastAsia" w:ascii="宋体" w:hAnsi="宋体" w:eastAsia="宋体" w:cs="宋体"/>
          <w:b/>
          <w:bCs/>
        </w:rPr>
      </w:pPr>
    </w:p>
    <w:p w14:paraId="56AD2E80">
      <w:pPr>
        <w:pageBreakBefore w:val="0"/>
        <w:kinsoku/>
        <w:overflowPunct/>
        <w:bidi w:val="0"/>
        <w:spacing w:line="360" w:lineRule="auto"/>
        <w:jc w:val="center"/>
        <w:rPr>
          <w:rFonts w:hint="eastAsia" w:ascii="宋体" w:hAnsi="宋体" w:eastAsia="宋体" w:cs="宋体"/>
          <w:b/>
          <w:bCs/>
        </w:rPr>
      </w:pPr>
    </w:p>
    <w:p w14:paraId="2B735992">
      <w:pPr>
        <w:pageBreakBefore w:val="0"/>
        <w:kinsoku/>
        <w:overflowPunct/>
        <w:bidi w:val="0"/>
        <w:spacing w:line="360" w:lineRule="auto"/>
        <w:jc w:val="center"/>
        <w:rPr>
          <w:rFonts w:hint="eastAsia" w:ascii="宋体" w:hAnsi="宋体" w:eastAsia="宋体" w:cs="宋体"/>
          <w:b/>
          <w:bCs/>
        </w:rPr>
      </w:pPr>
    </w:p>
    <w:p w14:paraId="61875112">
      <w:pPr>
        <w:pageBreakBefore w:val="0"/>
        <w:kinsoku/>
        <w:overflowPunct/>
        <w:bidi w:val="0"/>
        <w:spacing w:line="360" w:lineRule="auto"/>
        <w:jc w:val="center"/>
        <w:rPr>
          <w:rFonts w:hint="eastAsia" w:ascii="宋体" w:hAnsi="宋体" w:eastAsia="宋体" w:cs="宋体"/>
          <w:b/>
          <w:bCs/>
        </w:rPr>
      </w:pPr>
    </w:p>
    <w:p w14:paraId="143149A8">
      <w:pPr>
        <w:pageBreakBefore w:val="0"/>
        <w:kinsoku/>
        <w:overflowPunct/>
        <w:bidi w:val="0"/>
        <w:adjustRightInd w:val="0"/>
        <w:snapToGrid w:val="0"/>
        <w:spacing w:line="360" w:lineRule="auto"/>
        <w:jc w:val="both"/>
        <w:rPr>
          <w:rFonts w:hint="eastAsia" w:ascii="宋体" w:hAnsi="宋体" w:eastAsia="宋体" w:cs="宋体"/>
          <w:b/>
          <w:bCs/>
          <w:sz w:val="32"/>
          <w:szCs w:val="32"/>
        </w:rPr>
      </w:pPr>
    </w:p>
    <w:p w14:paraId="47B6C485">
      <w:pPr>
        <w:keepNext w:val="0"/>
        <w:keepLines w:val="0"/>
        <w:pageBreakBefore w:val="0"/>
        <w:widowControl w:val="0"/>
        <w:kinsoku/>
        <w:wordWrap/>
        <w:overflowPunct/>
        <w:topLinePunct w:val="0"/>
        <w:autoSpaceDE/>
        <w:autoSpaceDN/>
        <w:bidi w:val="0"/>
        <w:adjustRightInd/>
        <w:snapToGrid/>
        <w:spacing w:line="360" w:lineRule="auto"/>
        <w:ind w:firstLine="1285" w:firstLineChars="400"/>
        <w:jc w:val="left"/>
        <w:textAlignment w:val="auto"/>
        <w:rPr>
          <w:rFonts w:hint="eastAsia" w:ascii="宋体" w:hAnsi="宋体" w:eastAsia="宋体" w:cs="宋体"/>
          <w:b/>
          <w:bCs/>
          <w:color w:val="auto"/>
          <w:sz w:val="32"/>
          <w:szCs w:val="32"/>
          <w:highlight w:val="none"/>
          <w:lang w:eastAsia="zh-CN"/>
        </w:rPr>
      </w:pPr>
      <w:r>
        <w:rPr>
          <w:rFonts w:hint="eastAsia" w:ascii="宋体" w:hAnsi="宋体" w:eastAsia="宋体" w:cs="宋体"/>
          <w:b/>
          <w:bCs/>
          <w:color w:val="auto"/>
          <w:sz w:val="32"/>
          <w:szCs w:val="32"/>
          <w:highlight w:val="none"/>
          <w:lang w:eastAsia="zh-CN"/>
        </w:rPr>
        <w:t>采</w:t>
      </w:r>
      <w:r>
        <w:rPr>
          <w:rFonts w:hint="eastAsia" w:ascii="宋体" w:hAnsi="宋体" w:eastAsia="宋体" w:cs="宋体"/>
          <w:b/>
          <w:bCs/>
          <w:color w:val="auto"/>
          <w:sz w:val="32"/>
          <w:szCs w:val="32"/>
          <w:highlight w:val="none"/>
          <w:lang w:val="en-US" w:eastAsia="zh-CN"/>
        </w:rPr>
        <w:t xml:space="preserve"> </w:t>
      </w:r>
      <w:r>
        <w:rPr>
          <w:rFonts w:hint="eastAsia" w:ascii="宋体" w:hAnsi="宋体" w:eastAsia="宋体" w:cs="宋体"/>
          <w:b/>
          <w:bCs/>
          <w:color w:val="auto"/>
          <w:sz w:val="32"/>
          <w:szCs w:val="32"/>
          <w:highlight w:val="none"/>
          <w:lang w:eastAsia="zh-CN"/>
        </w:rPr>
        <w:t>购</w:t>
      </w:r>
      <w:r>
        <w:rPr>
          <w:rFonts w:hint="eastAsia" w:ascii="宋体" w:hAnsi="宋体" w:eastAsia="宋体" w:cs="宋体"/>
          <w:b/>
          <w:bCs/>
          <w:color w:val="auto"/>
          <w:sz w:val="32"/>
          <w:szCs w:val="32"/>
          <w:highlight w:val="none"/>
          <w:lang w:val="en-US" w:eastAsia="zh-CN"/>
        </w:rPr>
        <w:t xml:space="preserve"> </w:t>
      </w:r>
      <w:r>
        <w:rPr>
          <w:rFonts w:hint="eastAsia" w:ascii="宋体" w:hAnsi="宋体" w:eastAsia="宋体" w:cs="宋体"/>
          <w:b/>
          <w:bCs/>
          <w:color w:val="auto"/>
          <w:sz w:val="32"/>
          <w:szCs w:val="32"/>
          <w:highlight w:val="none"/>
          <w:lang w:eastAsia="zh-CN"/>
        </w:rPr>
        <w:t>人</w:t>
      </w:r>
      <w:r>
        <w:rPr>
          <w:rFonts w:hint="eastAsia" w:ascii="宋体" w:hAnsi="宋体" w:eastAsia="宋体" w:cs="宋体"/>
          <w:b/>
          <w:bCs/>
          <w:color w:val="auto"/>
          <w:sz w:val="32"/>
          <w:szCs w:val="32"/>
          <w:highlight w:val="none"/>
        </w:rPr>
        <w:t>：</w:t>
      </w:r>
      <w:r>
        <w:rPr>
          <w:rFonts w:hint="eastAsia" w:ascii="宋体" w:hAnsi="宋体" w:eastAsia="宋体" w:cs="宋体"/>
          <w:b/>
          <w:bCs/>
          <w:color w:val="auto"/>
          <w:sz w:val="32"/>
          <w:szCs w:val="32"/>
          <w:highlight w:val="none"/>
          <w:lang w:eastAsia="zh-CN"/>
        </w:rPr>
        <w:t>灵宝市大王镇人民政府</w:t>
      </w:r>
    </w:p>
    <w:p w14:paraId="0EFA5D18">
      <w:pPr>
        <w:keepNext w:val="0"/>
        <w:keepLines w:val="0"/>
        <w:pageBreakBefore w:val="0"/>
        <w:widowControl w:val="0"/>
        <w:kinsoku/>
        <w:wordWrap/>
        <w:overflowPunct/>
        <w:topLinePunct w:val="0"/>
        <w:autoSpaceDE/>
        <w:autoSpaceDN/>
        <w:bidi w:val="0"/>
        <w:adjustRightInd/>
        <w:snapToGrid/>
        <w:spacing w:line="360" w:lineRule="auto"/>
        <w:ind w:firstLine="1285" w:firstLineChars="400"/>
        <w:jc w:val="left"/>
        <w:textAlignment w:val="auto"/>
        <w:rPr>
          <w:rFonts w:hint="eastAsia" w:ascii="宋体" w:hAnsi="宋体" w:eastAsia="宋体" w:cs="宋体"/>
          <w:b/>
          <w:bCs/>
          <w:color w:val="auto"/>
          <w:sz w:val="32"/>
          <w:szCs w:val="32"/>
          <w:highlight w:val="none"/>
          <w:lang w:eastAsia="zh-CN"/>
        </w:rPr>
      </w:pPr>
      <w:r>
        <w:rPr>
          <w:rFonts w:hint="eastAsia" w:ascii="宋体" w:hAnsi="宋体" w:eastAsia="宋体" w:cs="宋体"/>
          <w:b/>
          <w:bCs/>
          <w:color w:val="auto"/>
          <w:sz w:val="32"/>
          <w:szCs w:val="32"/>
          <w:highlight w:val="none"/>
        </w:rPr>
        <w:t>代理机构：</w:t>
      </w:r>
      <w:r>
        <w:rPr>
          <w:rFonts w:hint="eastAsia" w:ascii="宋体" w:hAnsi="宋体" w:eastAsia="宋体" w:cs="宋体"/>
          <w:b/>
          <w:bCs/>
          <w:color w:val="auto"/>
          <w:sz w:val="32"/>
          <w:szCs w:val="32"/>
          <w:highlight w:val="none"/>
          <w:lang w:eastAsia="zh-CN"/>
        </w:rPr>
        <w:t>汇衡昊远项目管理咨询有限公司</w:t>
      </w:r>
    </w:p>
    <w:p w14:paraId="52ED08E0">
      <w:pPr>
        <w:keepNext w:val="0"/>
        <w:keepLines w:val="0"/>
        <w:pageBreakBefore w:val="0"/>
        <w:widowControl w:val="0"/>
        <w:kinsoku/>
        <w:wordWrap/>
        <w:overflowPunct/>
        <w:topLinePunct w:val="0"/>
        <w:autoSpaceDE/>
        <w:autoSpaceDN/>
        <w:bidi w:val="0"/>
        <w:adjustRightInd/>
        <w:snapToGrid/>
        <w:spacing w:line="360" w:lineRule="auto"/>
        <w:ind w:firstLine="1285" w:firstLineChars="400"/>
        <w:jc w:val="left"/>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日    期：二零二</w:t>
      </w:r>
      <w:r>
        <w:rPr>
          <w:rFonts w:hint="eastAsia" w:ascii="宋体" w:hAnsi="宋体" w:eastAsia="宋体" w:cs="宋体"/>
          <w:b/>
          <w:bCs/>
          <w:color w:val="auto"/>
          <w:sz w:val="32"/>
          <w:szCs w:val="32"/>
          <w:highlight w:val="none"/>
          <w:lang w:val="en-US" w:eastAsia="zh-CN"/>
        </w:rPr>
        <w:t>六</w:t>
      </w:r>
      <w:r>
        <w:rPr>
          <w:rFonts w:hint="eastAsia" w:ascii="宋体" w:hAnsi="宋体" w:eastAsia="宋体" w:cs="宋体"/>
          <w:b/>
          <w:bCs/>
          <w:color w:val="auto"/>
          <w:sz w:val="32"/>
          <w:szCs w:val="32"/>
          <w:highlight w:val="none"/>
        </w:rPr>
        <w:t>年</w:t>
      </w:r>
      <w:r>
        <w:rPr>
          <w:rFonts w:hint="eastAsia" w:ascii="宋体" w:hAnsi="宋体" w:eastAsia="宋体" w:cs="宋体"/>
          <w:b/>
          <w:bCs/>
          <w:color w:val="auto"/>
          <w:sz w:val="32"/>
          <w:szCs w:val="32"/>
          <w:highlight w:val="none"/>
          <w:lang w:val="en-US" w:eastAsia="zh-CN"/>
        </w:rPr>
        <w:t>九</w:t>
      </w:r>
      <w:r>
        <w:rPr>
          <w:rFonts w:hint="eastAsia" w:ascii="宋体" w:hAnsi="宋体" w:eastAsia="宋体" w:cs="宋体"/>
          <w:b/>
          <w:bCs/>
          <w:color w:val="auto"/>
          <w:sz w:val="32"/>
          <w:szCs w:val="32"/>
          <w:highlight w:val="none"/>
        </w:rPr>
        <w:t>月</w:t>
      </w:r>
    </w:p>
    <w:p w14:paraId="141B462B">
      <w:pPr>
        <w:pageBreakBefore w:val="0"/>
        <w:kinsoku/>
        <w:overflowPunct/>
        <w:bidi w:val="0"/>
        <w:spacing w:line="360" w:lineRule="auto"/>
        <w:rPr>
          <w:rFonts w:hint="eastAsia" w:ascii="宋体" w:hAnsi="宋体" w:eastAsia="宋体" w:cs="宋体"/>
          <w:b/>
          <w:bCs/>
          <w:sz w:val="28"/>
          <w:szCs w:val="28"/>
        </w:rPr>
      </w:pPr>
      <w:r>
        <w:rPr>
          <w:rFonts w:hint="eastAsia" w:ascii="宋体" w:hAnsi="宋体" w:eastAsia="宋体" w:cs="宋体"/>
          <w:b/>
          <w:bCs/>
          <w:sz w:val="28"/>
          <w:szCs w:val="28"/>
        </w:rPr>
        <w:br w:type="page"/>
      </w:r>
    </w:p>
    <w:p w14:paraId="045A700C">
      <w:pPr>
        <w:pageBreakBefore w:val="0"/>
        <w:kinsoku/>
        <w:overflowPunct/>
        <w:bidi w:val="0"/>
        <w:spacing w:line="360" w:lineRule="auto"/>
        <w:jc w:val="center"/>
        <w:rPr>
          <w:rFonts w:hint="eastAsia" w:ascii="宋体" w:hAnsi="宋体" w:eastAsia="宋体" w:cs="宋体"/>
          <w:b/>
          <w:bCs/>
          <w:sz w:val="28"/>
          <w:szCs w:val="28"/>
        </w:rPr>
      </w:pPr>
      <w:r>
        <w:rPr>
          <w:rFonts w:hint="eastAsia" w:ascii="宋体" w:hAnsi="宋体" w:eastAsia="宋体" w:cs="宋体"/>
          <w:b/>
          <w:bCs/>
          <w:sz w:val="28"/>
          <w:szCs w:val="28"/>
        </w:rPr>
        <w:t>目  录</w:t>
      </w:r>
    </w:p>
    <w:p w14:paraId="0F3C145E">
      <w:pPr>
        <w:pStyle w:val="12"/>
        <w:tabs>
          <w:tab w:val="right" w:leader="dot" w:pos="8306"/>
        </w:tabs>
        <w:rPr>
          <w:sz w:val="28"/>
          <w:szCs w:val="28"/>
        </w:rPr>
      </w:pPr>
      <w:r>
        <w:rPr>
          <w:rFonts w:hint="eastAsia" w:ascii="宋体" w:hAnsi="宋体" w:eastAsia="宋体" w:cs="宋体"/>
          <w:b/>
          <w:bCs/>
          <w:color w:val="000000"/>
          <w:kern w:val="0"/>
          <w:sz w:val="28"/>
          <w:szCs w:val="28"/>
        </w:rPr>
        <w:fldChar w:fldCharType="begin"/>
      </w:r>
      <w:r>
        <w:rPr>
          <w:rFonts w:hint="eastAsia" w:ascii="宋体" w:hAnsi="宋体" w:eastAsia="宋体" w:cs="宋体"/>
          <w:b/>
          <w:bCs/>
          <w:color w:val="000000"/>
          <w:kern w:val="0"/>
          <w:sz w:val="28"/>
          <w:szCs w:val="28"/>
        </w:rPr>
        <w:instrText xml:space="preserve">TOC \o "1-1" \h \u </w:instrText>
      </w:r>
      <w:r>
        <w:rPr>
          <w:rFonts w:hint="eastAsia" w:ascii="宋体" w:hAnsi="宋体" w:eastAsia="宋体" w:cs="宋体"/>
          <w:b/>
          <w:bCs/>
          <w:color w:val="000000"/>
          <w:kern w:val="0"/>
          <w:sz w:val="28"/>
          <w:szCs w:val="28"/>
        </w:rPr>
        <w:fldChar w:fldCharType="separate"/>
      </w:r>
      <w:r>
        <w:rPr>
          <w:rFonts w:hint="eastAsia" w:ascii="宋体" w:hAnsi="宋体" w:eastAsia="宋体" w:cs="宋体"/>
          <w:bCs/>
          <w:color w:val="000000"/>
          <w:kern w:val="0"/>
          <w:sz w:val="28"/>
          <w:szCs w:val="28"/>
        </w:rPr>
        <w:fldChar w:fldCharType="begin"/>
      </w:r>
      <w:r>
        <w:rPr>
          <w:rFonts w:hint="eastAsia" w:ascii="宋体" w:hAnsi="宋体" w:eastAsia="宋体" w:cs="宋体"/>
          <w:bCs/>
          <w:kern w:val="0"/>
          <w:sz w:val="28"/>
          <w:szCs w:val="28"/>
        </w:rPr>
        <w:instrText xml:space="preserve"> HYPERLINK \l _Toc8252 </w:instrText>
      </w:r>
      <w:r>
        <w:rPr>
          <w:rFonts w:hint="eastAsia" w:ascii="宋体" w:hAnsi="宋体" w:eastAsia="宋体" w:cs="宋体"/>
          <w:bCs/>
          <w:kern w:val="0"/>
          <w:sz w:val="28"/>
          <w:szCs w:val="28"/>
        </w:rPr>
        <w:fldChar w:fldCharType="separate"/>
      </w:r>
      <w:r>
        <w:rPr>
          <w:rFonts w:hint="eastAsia" w:ascii="宋体" w:hAnsi="宋体" w:eastAsia="宋体" w:cs="宋体"/>
          <w:sz w:val="28"/>
          <w:szCs w:val="28"/>
        </w:rPr>
        <w:t>第一章  竞争性磋商公告</w:t>
      </w:r>
      <w:r>
        <w:rPr>
          <w:sz w:val="28"/>
          <w:szCs w:val="28"/>
        </w:rPr>
        <w:tab/>
      </w:r>
      <w:r>
        <w:rPr>
          <w:sz w:val="28"/>
          <w:szCs w:val="28"/>
        </w:rPr>
        <w:fldChar w:fldCharType="begin"/>
      </w:r>
      <w:r>
        <w:rPr>
          <w:sz w:val="28"/>
          <w:szCs w:val="28"/>
        </w:rPr>
        <w:instrText xml:space="preserve"> PAGEREF _Toc8252 \h </w:instrText>
      </w:r>
      <w:r>
        <w:rPr>
          <w:sz w:val="28"/>
          <w:szCs w:val="28"/>
        </w:rPr>
        <w:fldChar w:fldCharType="separate"/>
      </w:r>
      <w:r>
        <w:rPr>
          <w:sz w:val="28"/>
          <w:szCs w:val="28"/>
        </w:rPr>
        <w:t>3</w:t>
      </w:r>
      <w:r>
        <w:rPr>
          <w:sz w:val="28"/>
          <w:szCs w:val="28"/>
        </w:rPr>
        <w:fldChar w:fldCharType="end"/>
      </w:r>
      <w:r>
        <w:rPr>
          <w:rFonts w:hint="eastAsia" w:ascii="宋体" w:hAnsi="宋体" w:eastAsia="宋体" w:cs="宋体"/>
          <w:bCs/>
          <w:color w:val="000000"/>
          <w:kern w:val="0"/>
          <w:sz w:val="28"/>
          <w:szCs w:val="28"/>
        </w:rPr>
        <w:fldChar w:fldCharType="end"/>
      </w:r>
    </w:p>
    <w:p w14:paraId="4A920008">
      <w:pPr>
        <w:pStyle w:val="12"/>
        <w:tabs>
          <w:tab w:val="right" w:leader="dot" w:pos="8306"/>
        </w:tabs>
        <w:rPr>
          <w:sz w:val="28"/>
          <w:szCs w:val="28"/>
        </w:rPr>
      </w:pPr>
      <w:r>
        <w:rPr>
          <w:rFonts w:hint="eastAsia" w:ascii="宋体" w:hAnsi="宋体" w:eastAsia="宋体" w:cs="宋体"/>
          <w:bCs/>
          <w:color w:val="000000"/>
          <w:kern w:val="0"/>
          <w:sz w:val="28"/>
          <w:szCs w:val="28"/>
        </w:rPr>
        <w:fldChar w:fldCharType="begin"/>
      </w:r>
      <w:r>
        <w:rPr>
          <w:rFonts w:hint="eastAsia" w:ascii="宋体" w:hAnsi="宋体" w:eastAsia="宋体" w:cs="宋体"/>
          <w:bCs/>
          <w:kern w:val="0"/>
          <w:sz w:val="28"/>
          <w:szCs w:val="28"/>
        </w:rPr>
        <w:instrText xml:space="preserve"> HYPERLINK \l _Toc29232 </w:instrText>
      </w:r>
      <w:r>
        <w:rPr>
          <w:rFonts w:hint="eastAsia" w:ascii="宋体" w:hAnsi="宋体" w:eastAsia="宋体" w:cs="宋体"/>
          <w:bCs/>
          <w:kern w:val="0"/>
          <w:sz w:val="28"/>
          <w:szCs w:val="28"/>
        </w:rPr>
        <w:fldChar w:fldCharType="separate"/>
      </w:r>
      <w:r>
        <w:rPr>
          <w:rFonts w:hint="eastAsia" w:ascii="宋体" w:hAnsi="宋体" w:eastAsia="宋体" w:cs="宋体"/>
          <w:sz w:val="28"/>
          <w:szCs w:val="28"/>
        </w:rPr>
        <w:t>第二章  供应商须知</w:t>
      </w:r>
      <w:r>
        <w:rPr>
          <w:sz w:val="28"/>
          <w:szCs w:val="28"/>
        </w:rPr>
        <w:tab/>
      </w:r>
      <w:r>
        <w:rPr>
          <w:sz w:val="28"/>
          <w:szCs w:val="28"/>
        </w:rPr>
        <w:fldChar w:fldCharType="begin"/>
      </w:r>
      <w:r>
        <w:rPr>
          <w:sz w:val="28"/>
          <w:szCs w:val="28"/>
        </w:rPr>
        <w:instrText xml:space="preserve"> PAGEREF _Toc29232 \h </w:instrText>
      </w:r>
      <w:r>
        <w:rPr>
          <w:sz w:val="28"/>
          <w:szCs w:val="28"/>
        </w:rPr>
        <w:fldChar w:fldCharType="separate"/>
      </w:r>
      <w:r>
        <w:rPr>
          <w:sz w:val="28"/>
          <w:szCs w:val="28"/>
        </w:rPr>
        <w:t>8</w:t>
      </w:r>
      <w:r>
        <w:rPr>
          <w:sz w:val="28"/>
          <w:szCs w:val="28"/>
        </w:rPr>
        <w:fldChar w:fldCharType="end"/>
      </w:r>
      <w:r>
        <w:rPr>
          <w:rFonts w:hint="eastAsia" w:ascii="宋体" w:hAnsi="宋体" w:eastAsia="宋体" w:cs="宋体"/>
          <w:bCs/>
          <w:color w:val="000000"/>
          <w:kern w:val="0"/>
          <w:sz w:val="28"/>
          <w:szCs w:val="28"/>
        </w:rPr>
        <w:fldChar w:fldCharType="end"/>
      </w:r>
    </w:p>
    <w:p w14:paraId="28868589">
      <w:pPr>
        <w:pStyle w:val="12"/>
        <w:tabs>
          <w:tab w:val="right" w:leader="dot" w:pos="8306"/>
        </w:tabs>
        <w:rPr>
          <w:sz w:val="28"/>
          <w:szCs w:val="28"/>
        </w:rPr>
      </w:pPr>
      <w:r>
        <w:rPr>
          <w:rFonts w:hint="eastAsia" w:ascii="宋体" w:hAnsi="宋体" w:eastAsia="宋体" w:cs="宋体"/>
          <w:bCs/>
          <w:color w:val="000000"/>
          <w:kern w:val="0"/>
          <w:sz w:val="28"/>
          <w:szCs w:val="28"/>
        </w:rPr>
        <w:fldChar w:fldCharType="begin"/>
      </w:r>
      <w:r>
        <w:rPr>
          <w:rFonts w:hint="eastAsia" w:ascii="宋体" w:hAnsi="宋体" w:eastAsia="宋体" w:cs="宋体"/>
          <w:bCs/>
          <w:kern w:val="0"/>
          <w:sz w:val="28"/>
          <w:szCs w:val="28"/>
        </w:rPr>
        <w:instrText xml:space="preserve"> HYPERLINK \l _Toc31788 </w:instrText>
      </w:r>
      <w:r>
        <w:rPr>
          <w:rFonts w:hint="eastAsia" w:ascii="宋体" w:hAnsi="宋体" w:eastAsia="宋体" w:cs="宋体"/>
          <w:bCs/>
          <w:kern w:val="0"/>
          <w:sz w:val="28"/>
          <w:szCs w:val="28"/>
        </w:rPr>
        <w:fldChar w:fldCharType="separate"/>
      </w:r>
      <w:r>
        <w:rPr>
          <w:rFonts w:hint="eastAsia" w:ascii="宋体" w:hAnsi="宋体" w:eastAsia="宋体" w:cs="宋体"/>
          <w:sz w:val="28"/>
          <w:szCs w:val="28"/>
        </w:rPr>
        <w:t>第三章  工程量清单</w:t>
      </w:r>
      <w:r>
        <w:rPr>
          <w:sz w:val="28"/>
          <w:szCs w:val="28"/>
        </w:rPr>
        <w:tab/>
      </w:r>
      <w:r>
        <w:rPr>
          <w:sz w:val="28"/>
          <w:szCs w:val="28"/>
        </w:rPr>
        <w:fldChar w:fldCharType="begin"/>
      </w:r>
      <w:r>
        <w:rPr>
          <w:sz w:val="28"/>
          <w:szCs w:val="28"/>
        </w:rPr>
        <w:instrText xml:space="preserve"> PAGEREF _Toc31788 \h </w:instrText>
      </w:r>
      <w:r>
        <w:rPr>
          <w:sz w:val="28"/>
          <w:szCs w:val="28"/>
        </w:rPr>
        <w:fldChar w:fldCharType="separate"/>
      </w:r>
      <w:r>
        <w:rPr>
          <w:sz w:val="28"/>
          <w:szCs w:val="28"/>
        </w:rPr>
        <w:t>27</w:t>
      </w:r>
      <w:r>
        <w:rPr>
          <w:sz w:val="28"/>
          <w:szCs w:val="28"/>
        </w:rPr>
        <w:fldChar w:fldCharType="end"/>
      </w:r>
      <w:r>
        <w:rPr>
          <w:rFonts w:hint="eastAsia" w:ascii="宋体" w:hAnsi="宋体" w:eastAsia="宋体" w:cs="宋体"/>
          <w:bCs/>
          <w:color w:val="000000"/>
          <w:kern w:val="0"/>
          <w:sz w:val="28"/>
          <w:szCs w:val="28"/>
        </w:rPr>
        <w:fldChar w:fldCharType="end"/>
      </w:r>
    </w:p>
    <w:p w14:paraId="3AC3B0C1">
      <w:pPr>
        <w:pStyle w:val="12"/>
        <w:tabs>
          <w:tab w:val="right" w:leader="dot" w:pos="8306"/>
        </w:tabs>
        <w:rPr>
          <w:sz w:val="28"/>
          <w:szCs w:val="28"/>
        </w:rPr>
      </w:pPr>
      <w:r>
        <w:rPr>
          <w:rFonts w:hint="eastAsia" w:ascii="宋体" w:hAnsi="宋体" w:eastAsia="宋体" w:cs="宋体"/>
          <w:bCs/>
          <w:color w:val="000000"/>
          <w:kern w:val="0"/>
          <w:sz w:val="28"/>
          <w:szCs w:val="28"/>
        </w:rPr>
        <w:fldChar w:fldCharType="begin"/>
      </w:r>
      <w:r>
        <w:rPr>
          <w:rFonts w:hint="eastAsia" w:ascii="宋体" w:hAnsi="宋体" w:eastAsia="宋体" w:cs="宋体"/>
          <w:bCs/>
          <w:kern w:val="0"/>
          <w:sz w:val="28"/>
          <w:szCs w:val="28"/>
        </w:rPr>
        <w:instrText xml:space="preserve"> HYPERLINK \l _Toc5987 </w:instrText>
      </w:r>
      <w:r>
        <w:rPr>
          <w:rFonts w:hint="eastAsia" w:ascii="宋体" w:hAnsi="宋体" w:eastAsia="宋体" w:cs="宋体"/>
          <w:bCs/>
          <w:kern w:val="0"/>
          <w:sz w:val="28"/>
          <w:szCs w:val="28"/>
        </w:rPr>
        <w:fldChar w:fldCharType="separate"/>
      </w:r>
      <w:r>
        <w:rPr>
          <w:rFonts w:hint="eastAsia" w:ascii="宋体" w:hAnsi="宋体" w:eastAsia="宋体" w:cs="宋体"/>
          <w:sz w:val="28"/>
          <w:szCs w:val="28"/>
        </w:rPr>
        <w:t>第四章  磋商办法</w:t>
      </w:r>
      <w:r>
        <w:rPr>
          <w:sz w:val="28"/>
          <w:szCs w:val="28"/>
        </w:rPr>
        <w:tab/>
      </w:r>
      <w:r>
        <w:rPr>
          <w:sz w:val="28"/>
          <w:szCs w:val="28"/>
        </w:rPr>
        <w:fldChar w:fldCharType="begin"/>
      </w:r>
      <w:r>
        <w:rPr>
          <w:sz w:val="28"/>
          <w:szCs w:val="28"/>
        </w:rPr>
        <w:instrText xml:space="preserve"> PAGEREF _Toc5987 \h </w:instrText>
      </w:r>
      <w:r>
        <w:rPr>
          <w:sz w:val="28"/>
          <w:szCs w:val="28"/>
        </w:rPr>
        <w:fldChar w:fldCharType="separate"/>
      </w:r>
      <w:r>
        <w:rPr>
          <w:sz w:val="28"/>
          <w:szCs w:val="28"/>
        </w:rPr>
        <w:t>28</w:t>
      </w:r>
      <w:r>
        <w:rPr>
          <w:sz w:val="28"/>
          <w:szCs w:val="28"/>
        </w:rPr>
        <w:fldChar w:fldCharType="end"/>
      </w:r>
      <w:r>
        <w:rPr>
          <w:rFonts w:hint="eastAsia" w:ascii="宋体" w:hAnsi="宋体" w:eastAsia="宋体" w:cs="宋体"/>
          <w:bCs/>
          <w:color w:val="000000"/>
          <w:kern w:val="0"/>
          <w:sz w:val="28"/>
          <w:szCs w:val="28"/>
        </w:rPr>
        <w:fldChar w:fldCharType="end"/>
      </w:r>
    </w:p>
    <w:p w14:paraId="4730B677">
      <w:pPr>
        <w:pStyle w:val="12"/>
        <w:tabs>
          <w:tab w:val="right" w:leader="dot" w:pos="8306"/>
        </w:tabs>
        <w:rPr>
          <w:sz w:val="28"/>
          <w:szCs w:val="28"/>
        </w:rPr>
      </w:pPr>
      <w:r>
        <w:rPr>
          <w:rFonts w:hint="eastAsia" w:ascii="宋体" w:hAnsi="宋体" w:eastAsia="宋体" w:cs="宋体"/>
          <w:bCs/>
          <w:color w:val="000000"/>
          <w:kern w:val="0"/>
          <w:sz w:val="28"/>
          <w:szCs w:val="28"/>
        </w:rPr>
        <w:fldChar w:fldCharType="begin"/>
      </w:r>
      <w:r>
        <w:rPr>
          <w:rFonts w:hint="eastAsia" w:ascii="宋体" w:hAnsi="宋体" w:eastAsia="宋体" w:cs="宋体"/>
          <w:bCs/>
          <w:kern w:val="0"/>
          <w:sz w:val="28"/>
          <w:szCs w:val="28"/>
        </w:rPr>
        <w:instrText xml:space="preserve"> HYPERLINK \l _Toc12328 </w:instrText>
      </w:r>
      <w:r>
        <w:rPr>
          <w:rFonts w:hint="eastAsia" w:ascii="宋体" w:hAnsi="宋体" w:eastAsia="宋体" w:cs="宋体"/>
          <w:bCs/>
          <w:kern w:val="0"/>
          <w:sz w:val="28"/>
          <w:szCs w:val="28"/>
        </w:rPr>
        <w:fldChar w:fldCharType="separate"/>
      </w:r>
      <w:r>
        <w:rPr>
          <w:rFonts w:hint="eastAsia" w:ascii="宋体" w:hAnsi="宋体" w:eastAsia="宋体" w:cs="宋体"/>
          <w:sz w:val="28"/>
          <w:szCs w:val="28"/>
        </w:rPr>
        <w:t>第五章  合同条款及格式</w:t>
      </w:r>
      <w:r>
        <w:rPr>
          <w:sz w:val="28"/>
          <w:szCs w:val="28"/>
        </w:rPr>
        <w:tab/>
      </w:r>
      <w:r>
        <w:rPr>
          <w:sz w:val="28"/>
          <w:szCs w:val="28"/>
        </w:rPr>
        <w:fldChar w:fldCharType="begin"/>
      </w:r>
      <w:r>
        <w:rPr>
          <w:sz w:val="28"/>
          <w:szCs w:val="28"/>
        </w:rPr>
        <w:instrText xml:space="preserve"> PAGEREF _Toc12328 \h </w:instrText>
      </w:r>
      <w:r>
        <w:rPr>
          <w:sz w:val="28"/>
          <w:szCs w:val="28"/>
        </w:rPr>
        <w:fldChar w:fldCharType="separate"/>
      </w:r>
      <w:r>
        <w:rPr>
          <w:sz w:val="28"/>
          <w:szCs w:val="28"/>
        </w:rPr>
        <w:t>38</w:t>
      </w:r>
      <w:r>
        <w:rPr>
          <w:sz w:val="28"/>
          <w:szCs w:val="28"/>
        </w:rPr>
        <w:fldChar w:fldCharType="end"/>
      </w:r>
      <w:r>
        <w:rPr>
          <w:rFonts w:hint="eastAsia" w:ascii="宋体" w:hAnsi="宋体" w:eastAsia="宋体" w:cs="宋体"/>
          <w:bCs/>
          <w:color w:val="000000"/>
          <w:kern w:val="0"/>
          <w:sz w:val="28"/>
          <w:szCs w:val="28"/>
        </w:rPr>
        <w:fldChar w:fldCharType="end"/>
      </w:r>
    </w:p>
    <w:p w14:paraId="6E761DD4">
      <w:pPr>
        <w:pStyle w:val="12"/>
        <w:tabs>
          <w:tab w:val="right" w:leader="dot" w:pos="8306"/>
        </w:tabs>
        <w:rPr>
          <w:sz w:val="28"/>
          <w:szCs w:val="28"/>
        </w:rPr>
      </w:pPr>
      <w:r>
        <w:rPr>
          <w:rFonts w:hint="eastAsia" w:ascii="宋体" w:hAnsi="宋体" w:eastAsia="宋体" w:cs="宋体"/>
          <w:bCs/>
          <w:color w:val="000000"/>
          <w:kern w:val="0"/>
          <w:sz w:val="28"/>
          <w:szCs w:val="28"/>
        </w:rPr>
        <w:fldChar w:fldCharType="begin"/>
      </w:r>
      <w:r>
        <w:rPr>
          <w:rFonts w:hint="eastAsia" w:ascii="宋体" w:hAnsi="宋体" w:eastAsia="宋体" w:cs="宋体"/>
          <w:bCs/>
          <w:kern w:val="0"/>
          <w:sz w:val="28"/>
          <w:szCs w:val="28"/>
        </w:rPr>
        <w:instrText xml:space="preserve"> HYPERLINK \l _Toc9421 </w:instrText>
      </w:r>
      <w:r>
        <w:rPr>
          <w:rFonts w:hint="eastAsia" w:ascii="宋体" w:hAnsi="宋体" w:eastAsia="宋体" w:cs="宋体"/>
          <w:bCs/>
          <w:kern w:val="0"/>
          <w:sz w:val="28"/>
          <w:szCs w:val="28"/>
        </w:rPr>
        <w:fldChar w:fldCharType="separate"/>
      </w:r>
      <w:r>
        <w:rPr>
          <w:rFonts w:hint="eastAsia" w:ascii="宋体" w:hAnsi="宋体" w:eastAsia="宋体" w:cs="宋体"/>
          <w:sz w:val="28"/>
          <w:szCs w:val="28"/>
        </w:rPr>
        <w:t>第六章  磋商响应文件格式</w:t>
      </w:r>
      <w:r>
        <w:rPr>
          <w:sz w:val="28"/>
          <w:szCs w:val="28"/>
        </w:rPr>
        <w:tab/>
      </w:r>
      <w:r>
        <w:rPr>
          <w:sz w:val="28"/>
          <w:szCs w:val="28"/>
        </w:rPr>
        <w:fldChar w:fldCharType="begin"/>
      </w:r>
      <w:r>
        <w:rPr>
          <w:sz w:val="28"/>
          <w:szCs w:val="28"/>
        </w:rPr>
        <w:instrText xml:space="preserve"> PAGEREF _Toc9421 \h </w:instrText>
      </w:r>
      <w:r>
        <w:rPr>
          <w:sz w:val="28"/>
          <w:szCs w:val="28"/>
        </w:rPr>
        <w:fldChar w:fldCharType="separate"/>
      </w:r>
      <w:r>
        <w:rPr>
          <w:sz w:val="28"/>
          <w:szCs w:val="28"/>
        </w:rPr>
        <w:t>43</w:t>
      </w:r>
      <w:r>
        <w:rPr>
          <w:sz w:val="28"/>
          <w:szCs w:val="28"/>
        </w:rPr>
        <w:fldChar w:fldCharType="end"/>
      </w:r>
      <w:r>
        <w:rPr>
          <w:rFonts w:hint="eastAsia" w:ascii="宋体" w:hAnsi="宋体" w:eastAsia="宋体" w:cs="宋体"/>
          <w:bCs/>
          <w:color w:val="000000"/>
          <w:kern w:val="0"/>
          <w:sz w:val="28"/>
          <w:szCs w:val="28"/>
        </w:rPr>
        <w:fldChar w:fldCharType="end"/>
      </w:r>
    </w:p>
    <w:p w14:paraId="34C0A6CA">
      <w:pPr>
        <w:rPr>
          <w:rFonts w:hint="eastAsia" w:ascii="宋体" w:hAnsi="宋体" w:eastAsia="宋体" w:cs="宋体"/>
          <w:b/>
          <w:bCs/>
          <w:color w:val="000000"/>
          <w:kern w:val="0"/>
          <w:sz w:val="24"/>
          <w:szCs w:val="24"/>
        </w:rPr>
      </w:pPr>
      <w:r>
        <w:rPr>
          <w:rFonts w:hint="eastAsia" w:ascii="宋体" w:hAnsi="宋体" w:eastAsia="宋体" w:cs="宋体"/>
          <w:bCs/>
          <w:color w:val="000000"/>
          <w:kern w:val="0"/>
          <w:sz w:val="28"/>
          <w:szCs w:val="28"/>
        </w:rPr>
        <w:fldChar w:fldCharType="end"/>
      </w:r>
    </w:p>
    <w:p w14:paraId="70E09235">
      <w:pP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br w:type="page"/>
      </w:r>
    </w:p>
    <w:p w14:paraId="04DFA047">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b/>
          <w:color w:val="000000"/>
          <w:kern w:val="0"/>
          <w:sz w:val="24"/>
          <w:szCs w:val="24"/>
        </w:rPr>
      </w:pPr>
      <w:bookmarkStart w:id="0" w:name="_Toc8252"/>
      <w:bookmarkStart w:id="1" w:name="_Toc31887"/>
      <w:r>
        <w:rPr>
          <w:rFonts w:hint="eastAsia" w:ascii="宋体" w:hAnsi="宋体" w:eastAsia="宋体" w:cs="宋体"/>
          <w:b/>
          <w:sz w:val="24"/>
          <w:szCs w:val="24"/>
        </w:rPr>
        <w:t>第一章  竞争性磋商公告</w:t>
      </w:r>
      <w:bookmarkEnd w:id="0"/>
      <w:bookmarkEnd w:id="1"/>
    </w:p>
    <w:p w14:paraId="5AC8D97E">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项目概况</w:t>
      </w:r>
    </w:p>
    <w:p w14:paraId="73E45915">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lang w:eastAsia="zh-CN"/>
        </w:rPr>
        <w:t>董家村果蔬种植基地建设项目（二次）招标项目的潜在投标人应在三门峡市公共资源交易中心网（网址：http://gzjy.smx.gov.cn）获取招标文件，并于2026年10月13日09时30分（北京时间）前递交响应文件。</w:t>
      </w:r>
    </w:p>
    <w:p w14:paraId="36E0C72B">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一、项目基本情况：</w:t>
      </w:r>
    </w:p>
    <w:p w14:paraId="67168FF5">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FF0000"/>
          <w:sz w:val="24"/>
          <w:szCs w:val="24"/>
          <w:highlight w:val="none"/>
          <w:lang w:eastAsia="zh-CN"/>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eastAsia="zh-CN"/>
        </w:rPr>
        <w:t>项目</w:t>
      </w:r>
      <w:r>
        <w:rPr>
          <w:rFonts w:hint="eastAsia" w:ascii="宋体" w:hAnsi="宋体" w:eastAsia="宋体" w:cs="宋体"/>
          <w:sz w:val="24"/>
          <w:szCs w:val="24"/>
          <w:highlight w:val="none"/>
        </w:rPr>
        <w:t>编号</w:t>
      </w:r>
      <w:r>
        <w:rPr>
          <w:rFonts w:hint="eastAsia" w:ascii="宋体" w:hAnsi="宋体" w:eastAsia="宋体" w:cs="宋体"/>
          <w:color w:val="auto"/>
          <w:sz w:val="24"/>
          <w:szCs w:val="24"/>
          <w:highlight w:val="none"/>
        </w:rPr>
        <w:t>：示范竞磋采购-2026-23、</w:t>
      </w:r>
      <w:r>
        <w:rPr>
          <w:rFonts w:hint="eastAsia" w:ascii="宋体" w:hAnsi="宋体" w:eastAsia="宋体" w:cs="宋体"/>
          <w:color w:val="auto"/>
          <w:sz w:val="24"/>
          <w:szCs w:val="24"/>
          <w:highlight w:val="none"/>
          <w:lang w:eastAsia="zh-CN"/>
        </w:rPr>
        <w:t>SGZ[2026]324-ZC232</w:t>
      </w:r>
    </w:p>
    <w:p w14:paraId="75044912">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2、项目名称：</w:t>
      </w:r>
      <w:r>
        <w:rPr>
          <w:rFonts w:hint="eastAsia" w:ascii="宋体" w:hAnsi="宋体" w:eastAsia="宋体" w:cs="宋体"/>
          <w:sz w:val="24"/>
          <w:szCs w:val="24"/>
          <w:lang w:eastAsia="zh-CN"/>
        </w:rPr>
        <w:t>董家村果蔬种植基地建设项目（二次）</w:t>
      </w:r>
    </w:p>
    <w:p w14:paraId="6ED2DDB7">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3、采购方式：竞争性磋商</w:t>
      </w:r>
    </w:p>
    <w:p w14:paraId="09DF3D69">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4、</w:t>
      </w:r>
      <w:r>
        <w:rPr>
          <w:rFonts w:hint="eastAsia" w:ascii="宋体" w:hAnsi="宋体" w:eastAsia="宋体" w:cs="宋体"/>
          <w:sz w:val="24"/>
          <w:szCs w:val="24"/>
          <w:lang w:eastAsia="zh-CN"/>
        </w:rPr>
        <w:t>预算金额：1879128.84元</w:t>
      </w:r>
    </w:p>
    <w:p w14:paraId="6B0A5C7B">
      <w:pPr>
        <w:pStyle w:val="5"/>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lang w:eastAsia="zh-CN"/>
        </w:rPr>
      </w:pPr>
      <w:r>
        <w:rPr>
          <w:rFonts w:hint="eastAsia" w:ascii="宋体" w:hAnsi="宋体" w:cs="宋体"/>
          <w:sz w:val="24"/>
          <w:szCs w:val="24"/>
          <w:lang w:eastAsia="zh-CN"/>
        </w:rPr>
        <w:t>最高限价：1879128.84</w:t>
      </w:r>
      <w:r>
        <w:rPr>
          <w:rFonts w:hint="eastAsia" w:ascii="宋体" w:hAnsi="宋体" w:eastAsia="宋体" w:cs="宋体"/>
          <w:sz w:val="24"/>
          <w:szCs w:val="24"/>
          <w:lang w:eastAsia="zh-CN"/>
        </w:rPr>
        <w:t>元</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7"/>
        <w:gridCol w:w="1650"/>
        <w:gridCol w:w="1504"/>
        <w:gridCol w:w="1217"/>
        <w:gridCol w:w="1218"/>
        <w:gridCol w:w="1218"/>
        <w:gridCol w:w="1218"/>
      </w:tblGrid>
      <w:tr w14:paraId="7BE78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 w:type="dxa"/>
            <w:vAlign w:val="center"/>
          </w:tcPr>
          <w:p w14:paraId="2147ECDE">
            <w:pPr>
              <w:keepNext w:val="0"/>
              <w:keepLines w:val="0"/>
              <w:pageBreakBefore w:val="0"/>
              <w:widowControl w:val="0"/>
              <w:kinsoku/>
              <w:wordWrap/>
              <w:overflowPunct/>
              <w:topLinePunct w:val="0"/>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序号</w:t>
            </w:r>
          </w:p>
        </w:tc>
        <w:tc>
          <w:tcPr>
            <w:tcW w:w="1650" w:type="dxa"/>
            <w:vAlign w:val="center"/>
          </w:tcPr>
          <w:p w14:paraId="360323BD">
            <w:pPr>
              <w:keepNext w:val="0"/>
              <w:keepLines w:val="0"/>
              <w:pageBreakBefore w:val="0"/>
              <w:widowControl w:val="0"/>
              <w:kinsoku/>
              <w:wordWrap/>
              <w:overflowPunct/>
              <w:topLinePunct w:val="0"/>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highlight w:val="none"/>
                <w:vertAlign w:val="baseline"/>
                <w:lang w:val="en-US" w:eastAsia="zh-CN"/>
              </w:rPr>
              <w:t>包号</w:t>
            </w:r>
          </w:p>
        </w:tc>
        <w:tc>
          <w:tcPr>
            <w:tcW w:w="1504" w:type="dxa"/>
            <w:vAlign w:val="center"/>
          </w:tcPr>
          <w:p w14:paraId="2288454F">
            <w:pPr>
              <w:keepNext w:val="0"/>
              <w:keepLines w:val="0"/>
              <w:pageBreakBefore w:val="0"/>
              <w:widowControl w:val="0"/>
              <w:kinsoku/>
              <w:wordWrap/>
              <w:overflowPunct/>
              <w:topLinePunct w:val="0"/>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包名称</w:t>
            </w:r>
          </w:p>
        </w:tc>
        <w:tc>
          <w:tcPr>
            <w:tcW w:w="1217" w:type="dxa"/>
            <w:vAlign w:val="center"/>
          </w:tcPr>
          <w:p w14:paraId="1D3EF224">
            <w:pPr>
              <w:keepNext w:val="0"/>
              <w:keepLines w:val="0"/>
              <w:pageBreakBefore w:val="0"/>
              <w:widowControl w:val="0"/>
              <w:kinsoku/>
              <w:wordWrap/>
              <w:overflowPunct/>
              <w:topLinePunct w:val="0"/>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包预算（元）</w:t>
            </w:r>
          </w:p>
        </w:tc>
        <w:tc>
          <w:tcPr>
            <w:tcW w:w="1218" w:type="dxa"/>
            <w:vAlign w:val="center"/>
          </w:tcPr>
          <w:p w14:paraId="01B0715E">
            <w:pPr>
              <w:keepNext w:val="0"/>
              <w:keepLines w:val="0"/>
              <w:pageBreakBefore w:val="0"/>
              <w:widowControl w:val="0"/>
              <w:kinsoku/>
              <w:wordWrap/>
              <w:overflowPunct/>
              <w:topLinePunct w:val="0"/>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包最高限价（元）</w:t>
            </w:r>
          </w:p>
        </w:tc>
        <w:tc>
          <w:tcPr>
            <w:tcW w:w="1218" w:type="dxa"/>
            <w:vAlign w:val="center"/>
          </w:tcPr>
          <w:p w14:paraId="7047AB0D">
            <w:pPr>
              <w:keepNext w:val="0"/>
              <w:keepLines w:val="0"/>
              <w:pageBreakBefore w:val="0"/>
              <w:widowControl w:val="0"/>
              <w:kinsoku/>
              <w:wordWrap/>
              <w:overflowPunct/>
              <w:topLinePunct w:val="0"/>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是否专门面向中小企业</w:t>
            </w:r>
          </w:p>
        </w:tc>
        <w:tc>
          <w:tcPr>
            <w:tcW w:w="1218" w:type="dxa"/>
            <w:vAlign w:val="center"/>
          </w:tcPr>
          <w:p w14:paraId="56C9A759">
            <w:pPr>
              <w:keepNext w:val="0"/>
              <w:keepLines w:val="0"/>
              <w:pageBreakBefore w:val="0"/>
              <w:widowControl w:val="0"/>
              <w:kinsoku/>
              <w:wordWrap/>
              <w:overflowPunct/>
              <w:topLinePunct w:val="0"/>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采购预留金额（元）</w:t>
            </w:r>
          </w:p>
        </w:tc>
      </w:tr>
      <w:tr w14:paraId="3709A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 w:type="dxa"/>
            <w:vAlign w:val="center"/>
          </w:tcPr>
          <w:p w14:paraId="40D668BB">
            <w:pPr>
              <w:keepNext w:val="0"/>
              <w:keepLines w:val="0"/>
              <w:pageBreakBefore w:val="0"/>
              <w:widowControl w:val="0"/>
              <w:kinsoku/>
              <w:wordWrap/>
              <w:overflowPunct/>
              <w:topLinePunct w:val="0"/>
              <w:bidi w:val="0"/>
              <w:adjustRightInd/>
              <w:snapToGrid/>
              <w:spacing w:line="360" w:lineRule="auto"/>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1650" w:type="dxa"/>
            <w:vAlign w:val="center"/>
          </w:tcPr>
          <w:p w14:paraId="2EC3CD3A">
            <w:pPr>
              <w:keepNext w:val="0"/>
              <w:keepLines w:val="0"/>
              <w:pageBreakBefore w:val="0"/>
              <w:widowControl w:val="0"/>
              <w:kinsoku/>
              <w:wordWrap/>
              <w:overflowPunct/>
              <w:topLinePunct w:val="0"/>
              <w:bidi w:val="0"/>
              <w:adjustRightInd/>
              <w:snapToGrid/>
              <w:spacing w:line="360" w:lineRule="auto"/>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SGZ[2026]324-ZC232-1</w:t>
            </w:r>
          </w:p>
        </w:tc>
        <w:tc>
          <w:tcPr>
            <w:tcW w:w="1504" w:type="dxa"/>
            <w:vAlign w:val="center"/>
          </w:tcPr>
          <w:p w14:paraId="39BDA973">
            <w:pPr>
              <w:keepNext w:val="0"/>
              <w:keepLines w:val="0"/>
              <w:pageBreakBefore w:val="0"/>
              <w:widowControl w:val="0"/>
              <w:kinsoku/>
              <w:wordWrap/>
              <w:overflowPunct/>
              <w:topLinePunct w:val="0"/>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董家村果蔬种植基地建设项目（二次）</w:t>
            </w:r>
          </w:p>
        </w:tc>
        <w:tc>
          <w:tcPr>
            <w:tcW w:w="1217" w:type="dxa"/>
            <w:vAlign w:val="center"/>
          </w:tcPr>
          <w:p w14:paraId="3386CBD2">
            <w:pPr>
              <w:keepNext w:val="0"/>
              <w:keepLines w:val="0"/>
              <w:pageBreakBefore w:val="0"/>
              <w:widowControl w:val="0"/>
              <w:kinsoku/>
              <w:wordWrap/>
              <w:overflowPunct/>
              <w:topLinePunct w:val="0"/>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1879128.84</w:t>
            </w:r>
          </w:p>
        </w:tc>
        <w:tc>
          <w:tcPr>
            <w:tcW w:w="1218" w:type="dxa"/>
            <w:vAlign w:val="center"/>
          </w:tcPr>
          <w:p w14:paraId="30D9969B">
            <w:pPr>
              <w:keepNext w:val="0"/>
              <w:keepLines w:val="0"/>
              <w:pageBreakBefore w:val="0"/>
              <w:widowControl w:val="0"/>
              <w:kinsoku/>
              <w:wordWrap/>
              <w:overflowPunct/>
              <w:topLinePunct w:val="0"/>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lang w:eastAsia="zh-CN"/>
              </w:rPr>
              <w:t>1879128.84</w:t>
            </w:r>
          </w:p>
        </w:tc>
        <w:tc>
          <w:tcPr>
            <w:tcW w:w="1218" w:type="dxa"/>
            <w:vAlign w:val="center"/>
          </w:tcPr>
          <w:p w14:paraId="67ACCAEE">
            <w:pPr>
              <w:keepNext w:val="0"/>
              <w:keepLines w:val="0"/>
              <w:pageBreakBefore w:val="0"/>
              <w:widowControl w:val="0"/>
              <w:kinsoku/>
              <w:wordWrap/>
              <w:overflowPunct/>
              <w:topLinePunct w:val="0"/>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是</w:t>
            </w:r>
          </w:p>
        </w:tc>
        <w:tc>
          <w:tcPr>
            <w:tcW w:w="1218" w:type="dxa"/>
            <w:vAlign w:val="center"/>
          </w:tcPr>
          <w:p w14:paraId="1693FBEA">
            <w:pPr>
              <w:keepNext w:val="0"/>
              <w:keepLines w:val="0"/>
              <w:pageBreakBefore w:val="0"/>
              <w:widowControl w:val="0"/>
              <w:kinsoku/>
              <w:wordWrap/>
              <w:overflowPunct/>
              <w:topLinePunct w:val="0"/>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lang w:eastAsia="zh-CN"/>
              </w:rPr>
              <w:t>1879128.84</w:t>
            </w:r>
          </w:p>
        </w:tc>
      </w:tr>
    </w:tbl>
    <w:p w14:paraId="0E86E063">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5、采购需求（包括但不限于标的的名称、数量、简要技术需求或服务要求等）</w:t>
      </w:r>
    </w:p>
    <w:p w14:paraId="4EA67974">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5.1项目概况：董家村果蔬种植基地建设项目，本工程位于三门峡市大王镇董家村，主要施工内容</w:t>
      </w:r>
      <w:r>
        <w:rPr>
          <w:rFonts w:hint="default" w:ascii="宋体" w:hAnsi="宋体" w:eastAsia="宋体" w:cs="宋体"/>
          <w:sz w:val="24"/>
          <w:szCs w:val="24"/>
          <w:lang w:eastAsia="zh-CN"/>
        </w:rPr>
        <w:t>：</w:t>
      </w:r>
      <w:r>
        <w:rPr>
          <w:rFonts w:hint="eastAsia" w:ascii="宋体" w:hAnsi="宋体" w:eastAsia="宋体" w:cs="宋体"/>
          <w:sz w:val="24"/>
          <w:szCs w:val="24"/>
          <w:lang w:val="en-US" w:eastAsia="zh-CN"/>
        </w:rPr>
        <w:t>田块整治、新建温室大棚4座、水肥一体化设备配套工程、农田配电工程等。具体详见工程量清单；</w:t>
      </w:r>
    </w:p>
    <w:p w14:paraId="14467C14">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5.2资金来源：财政资金，已落实；</w:t>
      </w:r>
    </w:p>
    <w:p w14:paraId="6DC5B1B8">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5.3磋商范围：磋商文件、图纸及工程量清单等范围内的全部内容；</w:t>
      </w:r>
    </w:p>
    <w:p w14:paraId="3040CECD">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5.4质量要求：达到国家现行建设工程施工验收规范及合格标准；</w:t>
      </w:r>
    </w:p>
    <w:p w14:paraId="76929FB1">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5.5计划工期：60日历天；</w:t>
      </w:r>
    </w:p>
    <w:p w14:paraId="7CE0199F">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5.6缺陷责任期：自竣工验收之日起12个月。</w:t>
      </w:r>
    </w:p>
    <w:p w14:paraId="6A6FEE0B">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5.7标段划分：本项目不划分标段；</w:t>
      </w:r>
    </w:p>
    <w:p w14:paraId="1761E086">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6</w:t>
      </w:r>
      <w:r>
        <w:rPr>
          <w:rFonts w:hint="eastAsia" w:ascii="宋体" w:hAnsi="宋体" w:eastAsia="宋体" w:cs="宋体"/>
          <w:sz w:val="24"/>
          <w:szCs w:val="24"/>
        </w:rPr>
        <w:t>、合同履行期限</w:t>
      </w:r>
      <w:r>
        <w:rPr>
          <w:rFonts w:hint="eastAsia" w:ascii="宋体" w:hAnsi="宋体" w:eastAsia="宋体" w:cs="宋体"/>
          <w:sz w:val="24"/>
          <w:szCs w:val="24"/>
          <w:highlight w:val="none"/>
        </w:rPr>
        <w:t>：按合同约定执行</w:t>
      </w:r>
    </w:p>
    <w:p w14:paraId="4DB54110">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7、本项目是否接受联合体投标：否</w:t>
      </w:r>
    </w:p>
    <w:p w14:paraId="52F3F423">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8、是否接受进口产品：否</w:t>
      </w:r>
    </w:p>
    <w:p w14:paraId="7A1961AF">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9、是否专门面向中小企业采购：是</w:t>
      </w:r>
    </w:p>
    <w:p w14:paraId="55F5654B">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二、供应商资格要求：</w:t>
      </w:r>
    </w:p>
    <w:p w14:paraId="0D99F55D">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1、满足《中华人民共和国政府采购法》第二十二条规定；</w:t>
      </w:r>
    </w:p>
    <w:p w14:paraId="70177D48">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2、落实政府采购政策满足的资格要求：</w:t>
      </w:r>
      <w:r>
        <w:rPr>
          <w:rFonts w:hint="eastAsia" w:ascii="宋体" w:hAnsi="宋体" w:eastAsia="宋体" w:cs="宋体"/>
          <w:sz w:val="24"/>
          <w:szCs w:val="24"/>
          <w:lang w:eastAsia="zh-CN"/>
        </w:rPr>
        <w:t>本项目为专门面向中小微企业采购项目,执行促进中小企业（监狱企业、残疾人福利性企业）发展等政府采购政策。</w:t>
      </w:r>
    </w:p>
    <w:p w14:paraId="5E983126">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3、本项目的特定资格要求：</w:t>
      </w:r>
    </w:p>
    <w:p w14:paraId="4DEFFD68">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3.1</w:t>
      </w:r>
      <w:r>
        <w:rPr>
          <w:rFonts w:hint="eastAsia" w:ascii="宋体" w:hAnsi="宋体" w:eastAsia="宋体" w:cs="宋体"/>
          <w:color w:val="auto"/>
          <w:sz w:val="24"/>
          <w:szCs w:val="24"/>
          <w:highlight w:val="none"/>
          <w:lang w:eastAsia="zh-CN"/>
        </w:rPr>
        <w:t>供应商须具有独立承担民事责任的能力，提供有效的营业执照或其他证明材料</w:t>
      </w:r>
      <w:r>
        <w:rPr>
          <w:rFonts w:hint="eastAsia" w:ascii="宋体" w:hAnsi="宋体" w:eastAsia="宋体" w:cs="宋体"/>
          <w:color w:val="auto"/>
          <w:sz w:val="24"/>
          <w:szCs w:val="24"/>
          <w:highlight w:val="none"/>
        </w:rPr>
        <w:t>；</w:t>
      </w:r>
    </w:p>
    <w:p w14:paraId="0A8FA839">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3.2</w:t>
      </w:r>
      <w:r>
        <w:rPr>
          <w:rFonts w:hint="eastAsia" w:ascii="宋体" w:hAnsi="宋体" w:eastAsia="宋体" w:cs="宋体"/>
          <w:color w:val="auto"/>
          <w:sz w:val="24"/>
          <w:szCs w:val="24"/>
          <w:highlight w:val="none"/>
        </w:rPr>
        <w:t>供应商须具有</w:t>
      </w:r>
      <w:r>
        <w:rPr>
          <w:rFonts w:hint="eastAsia" w:ascii="宋体" w:hAnsi="宋体" w:eastAsia="宋体" w:cs="宋体"/>
          <w:color w:val="auto"/>
          <w:sz w:val="24"/>
          <w:szCs w:val="24"/>
          <w:highlight w:val="none"/>
          <w:lang w:val="en-US" w:eastAsia="zh-CN"/>
        </w:rPr>
        <w:t>建筑工程施工总承包叁级及以上资质</w:t>
      </w:r>
      <w:r>
        <w:rPr>
          <w:rFonts w:hint="eastAsia" w:ascii="宋体" w:hAnsi="宋体" w:eastAsia="宋体" w:cs="宋体"/>
          <w:color w:val="auto"/>
          <w:sz w:val="24"/>
          <w:szCs w:val="24"/>
          <w:highlight w:val="none"/>
        </w:rPr>
        <w:t>并具有有效的安全生产许可证；</w:t>
      </w:r>
    </w:p>
    <w:p w14:paraId="28FF12D2">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3.3</w:t>
      </w:r>
      <w:r>
        <w:rPr>
          <w:rFonts w:hint="eastAsia" w:ascii="宋体" w:hAnsi="宋体" w:eastAsia="宋体" w:cs="宋体"/>
          <w:color w:val="auto"/>
          <w:sz w:val="24"/>
          <w:szCs w:val="24"/>
          <w:highlight w:val="none"/>
          <w:lang w:eastAsia="zh-CN"/>
        </w:rPr>
        <w:t>拟派项目经理须具有建筑工程专业贰级（含贰级）及以上注册建造师资格、具备有效的安全生产考核合格证书，未在其它在建工程项目中担任项目经理，</w:t>
      </w:r>
      <w:r>
        <w:rPr>
          <w:rFonts w:hint="eastAsia" w:ascii="宋体" w:hAnsi="宋体" w:eastAsia="宋体" w:cs="宋体"/>
          <w:color w:val="auto"/>
          <w:sz w:val="24"/>
          <w:szCs w:val="24"/>
          <w:highlight w:val="none"/>
          <w:lang w:val="en-US" w:eastAsia="zh-CN"/>
        </w:rPr>
        <w:t>同时须</w:t>
      </w:r>
      <w:r>
        <w:rPr>
          <w:rFonts w:hint="eastAsia" w:ascii="宋体" w:hAnsi="宋体" w:eastAsia="宋体" w:cs="宋体"/>
          <w:color w:val="auto"/>
          <w:sz w:val="24"/>
          <w:szCs w:val="24"/>
          <w:highlight w:val="none"/>
          <w:lang w:eastAsia="zh-CN"/>
        </w:rPr>
        <w:t>提供在本单位的社会养老保险缴费证明</w:t>
      </w:r>
      <w:r>
        <w:rPr>
          <w:rFonts w:hint="eastAsia" w:ascii="宋体" w:hAnsi="宋体" w:eastAsia="宋体" w:cs="宋体"/>
          <w:color w:val="auto"/>
          <w:sz w:val="24"/>
          <w:szCs w:val="24"/>
          <w:highlight w:val="none"/>
        </w:rPr>
        <w:t>；</w:t>
      </w:r>
    </w:p>
    <w:p w14:paraId="19FEF2E9">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3.4</w:t>
      </w:r>
      <w:r>
        <w:rPr>
          <w:rFonts w:hint="eastAsia" w:ascii="宋体" w:hAnsi="宋体" w:eastAsia="宋体" w:cs="宋体"/>
          <w:color w:val="auto"/>
          <w:sz w:val="24"/>
          <w:szCs w:val="24"/>
          <w:highlight w:val="none"/>
        </w:rPr>
        <w:t>供应商须</w:t>
      </w:r>
      <w:r>
        <w:rPr>
          <w:rFonts w:hint="eastAsia" w:ascii="宋体" w:hAnsi="宋体" w:eastAsia="宋体" w:cs="宋体"/>
          <w:color w:val="auto"/>
          <w:sz w:val="24"/>
          <w:szCs w:val="24"/>
          <w:highlight w:val="none"/>
          <w:lang w:eastAsia="zh-CN"/>
        </w:rPr>
        <w:t>出具无行贿犯罪记录，在中国裁判文书网自行查询或自行承诺（查询/承诺对象为企业、法定代表人、项目经理）【查询日期必须在公告发布之日之后】</w:t>
      </w:r>
      <w:r>
        <w:rPr>
          <w:rFonts w:hint="eastAsia" w:ascii="宋体" w:hAnsi="宋体" w:eastAsia="宋体" w:cs="宋体"/>
          <w:color w:val="auto"/>
          <w:sz w:val="24"/>
          <w:szCs w:val="24"/>
          <w:highlight w:val="none"/>
        </w:rPr>
        <w:t>；</w:t>
      </w:r>
    </w:p>
    <w:p w14:paraId="758548FE">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3.5</w:t>
      </w:r>
      <w:r>
        <w:rPr>
          <w:rFonts w:hint="eastAsia" w:ascii="宋体" w:hAnsi="宋体" w:eastAsia="宋体" w:cs="宋体"/>
          <w:color w:val="auto"/>
          <w:sz w:val="24"/>
          <w:szCs w:val="24"/>
          <w:highlight w:val="none"/>
        </w:rPr>
        <w:t>供应商须</w:t>
      </w:r>
      <w:r>
        <w:rPr>
          <w:rFonts w:hint="eastAsia" w:ascii="宋体" w:hAnsi="宋体" w:eastAsia="宋体" w:cs="宋体"/>
          <w:kern w:val="0"/>
          <w:sz w:val="24"/>
          <w:szCs w:val="24"/>
          <w:highlight w:val="none"/>
          <w:lang w:val="en-US" w:eastAsia="zh-CN" w:bidi="ar"/>
        </w:rPr>
        <w:t>出具本企业无商业贿赂和不正当竞争行为承诺书，格式自拟；</w:t>
      </w:r>
    </w:p>
    <w:p w14:paraId="6F72F07A">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3.6</w:t>
      </w:r>
      <w:r>
        <w:rPr>
          <w:rFonts w:hint="eastAsia" w:ascii="宋体" w:hAnsi="宋体" w:eastAsia="宋体" w:cs="宋体"/>
          <w:color w:val="auto"/>
          <w:sz w:val="24"/>
          <w:szCs w:val="24"/>
          <w:highlight w:val="none"/>
          <w:lang w:eastAsia="zh-CN"/>
        </w:rPr>
        <w:t>根据《关于在政府采购活动中查询及使用信用记录有关问题的通知》(财库[2016]125号)和豫财购【2016】15号的规定，对列入失信被执行人、重大税收违法失信主体、政府采购严重违法失信行为记录名单的供应商，拒绝参与本项目采购活动；【查询结果以开标当日采购人或采购代理机构查询为准，信用信息查询记录和证据将同磋商文件等资料一同归档保存。相关网站有最新规定的，按最新规定执行】。</w:t>
      </w:r>
    </w:p>
    <w:p w14:paraId="4CA3CC8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3.7单位负责人为同一人或者存在直接控股、管理关系的不同供应商，不得参加同一合同项下的采购活动；提供“国家企业信用信息公示系统”中查询打印的相关信息。【查询信息需包含公司基本信息、股东信息及股权变更信息等相关信息，查询时间自本公告发布之日起】</w:t>
      </w:r>
    </w:p>
    <w:p w14:paraId="4D90390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3.8本项目不接受联合体磋商，提供非联合体承诺，格式自拟；</w:t>
      </w:r>
    </w:p>
    <w:p w14:paraId="20FC5D6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auto"/>
          <w:sz w:val="24"/>
          <w:szCs w:val="24"/>
          <w:highlight w:val="none"/>
          <w:lang w:val="en-US" w:eastAsia="zh-CN"/>
        </w:rPr>
        <w:t>3.9本项目实行资格后审，资格审查的具体要求见竞争性磋商文件。</w:t>
      </w:r>
    </w:p>
    <w:p w14:paraId="1212DCBF">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三、获取采购文件：</w:t>
      </w:r>
    </w:p>
    <w:p w14:paraId="05D32CE9">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1.时</w:t>
      </w:r>
      <w:r>
        <w:rPr>
          <w:rFonts w:hint="eastAsia" w:ascii="宋体" w:hAnsi="宋体" w:eastAsia="宋体" w:cs="宋体"/>
          <w:color w:val="auto"/>
          <w:sz w:val="24"/>
          <w:szCs w:val="24"/>
          <w:highlight w:val="none"/>
        </w:rPr>
        <w:t>间：</w:t>
      </w:r>
      <w:r>
        <w:rPr>
          <w:rFonts w:hint="eastAsia" w:ascii="宋体" w:hAnsi="宋体" w:eastAsia="宋体" w:cs="宋体"/>
          <w:color w:val="auto"/>
          <w:sz w:val="24"/>
          <w:szCs w:val="24"/>
          <w:highlight w:val="none"/>
          <w:lang w:val="en-US" w:eastAsia="zh-CN"/>
        </w:rPr>
        <w:t>2026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09</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日至</w:t>
      </w:r>
      <w:r>
        <w:rPr>
          <w:rFonts w:hint="eastAsia" w:ascii="宋体" w:hAnsi="宋体" w:eastAsia="宋体" w:cs="宋体"/>
          <w:color w:val="auto"/>
          <w:sz w:val="24"/>
          <w:szCs w:val="24"/>
          <w:highlight w:val="none"/>
          <w:lang w:val="en-US" w:eastAsia="zh-CN"/>
        </w:rPr>
        <w:t>2026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日，每</w:t>
      </w:r>
      <w:r>
        <w:rPr>
          <w:rFonts w:hint="eastAsia" w:ascii="宋体" w:hAnsi="宋体" w:eastAsia="宋体" w:cs="宋体"/>
          <w:color w:val="auto"/>
          <w:sz w:val="24"/>
          <w:szCs w:val="24"/>
        </w:rPr>
        <w:t>天上午00:00至12:00，下午12:00至23:59（北京时间，法定节假日除外。）</w:t>
      </w:r>
    </w:p>
    <w:p w14:paraId="5C2FDEDF">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2.地点：三门峡市公共资源交易中心网（网址：http</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//gzjy.smx.gov.cn）；</w:t>
      </w:r>
    </w:p>
    <w:p w14:paraId="0AD6839E">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3.方式：供应商凭CA数字证书通过三门峡市公共资源交易中心网（网址：http</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//gzjy.smx.gov.cn/），点击交易平台选择“市场主体登录”，登陆系统后，点击采购业务-业务管理-竞争性磋商文件领取菜单-点击领取按钮-领取.smxzf格式的电子竞争性磋商文件。</w:t>
      </w:r>
    </w:p>
    <w:p w14:paraId="166D4281">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三门峡市公共资源交易平台操作手册：</w:t>
      </w:r>
    </w:p>
    <w:p w14:paraId="69AB44A5">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http://gzjy.smx.gov.cn/fwzn/004003/20200325/2b5a3a5a-f987-405c-993f-88f43e1d1ac3.html</w:t>
      </w:r>
    </w:p>
    <w:p w14:paraId="18EA3482">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办理CA证书：</w:t>
      </w:r>
    </w:p>
    <w:p w14:paraId="41D96526">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http://gzjy.smx.gov.cn/bzzx/008001/20231102/4defc9b5-408e-47f2-9e9f-1f376a06ee1f.html</w:t>
      </w:r>
    </w:p>
    <w:p w14:paraId="076E68A0">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4.售价：0元</w:t>
      </w:r>
    </w:p>
    <w:p w14:paraId="4D42D3EE">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四、响应文件提交：</w:t>
      </w:r>
    </w:p>
    <w:p w14:paraId="73279D38">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1.截止时间：</w:t>
      </w:r>
      <w:r>
        <w:rPr>
          <w:rFonts w:hint="eastAsia" w:ascii="宋体" w:hAnsi="宋体" w:eastAsia="宋体" w:cs="宋体"/>
          <w:color w:val="auto"/>
          <w:sz w:val="24"/>
          <w:szCs w:val="24"/>
          <w:lang w:eastAsia="zh-CN"/>
        </w:rPr>
        <w:t>2026年10月13日09时30分</w:t>
      </w:r>
      <w:r>
        <w:rPr>
          <w:rFonts w:hint="eastAsia" w:ascii="宋体" w:hAnsi="宋体" w:eastAsia="宋体" w:cs="宋体"/>
          <w:color w:val="auto"/>
          <w:sz w:val="24"/>
          <w:szCs w:val="24"/>
        </w:rPr>
        <w:t>（北京时间）</w:t>
      </w:r>
    </w:p>
    <w:p w14:paraId="67E61028">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2.地点：加密电子竞争性磋商响应文件须在磋商截止时间前通过三门峡市公共资源交易中心电子交易平台加密上传。</w:t>
      </w:r>
    </w:p>
    <w:p w14:paraId="07FF1504">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sz w:val="24"/>
          <w:szCs w:val="24"/>
        </w:rPr>
        <w:t>五、响应文件开启：</w:t>
      </w:r>
    </w:p>
    <w:p w14:paraId="1AC0C0E7">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highlight w:val="yellow"/>
        </w:rPr>
      </w:pPr>
      <w:r>
        <w:rPr>
          <w:rFonts w:hint="eastAsia" w:ascii="宋体" w:hAnsi="宋体" w:eastAsia="宋体" w:cs="宋体"/>
          <w:color w:val="auto"/>
          <w:sz w:val="24"/>
          <w:szCs w:val="24"/>
          <w:highlight w:val="none"/>
        </w:rPr>
        <w:t>1.时间：</w:t>
      </w:r>
      <w:r>
        <w:rPr>
          <w:rFonts w:hint="eastAsia" w:ascii="宋体" w:hAnsi="宋体" w:eastAsia="宋体" w:cs="宋体"/>
          <w:color w:val="auto"/>
          <w:sz w:val="24"/>
          <w:szCs w:val="24"/>
          <w:highlight w:val="none"/>
          <w:lang w:eastAsia="zh-CN"/>
        </w:rPr>
        <w:t>2026年10月13日09时30分</w:t>
      </w:r>
      <w:r>
        <w:rPr>
          <w:rFonts w:hint="eastAsia" w:ascii="宋体" w:hAnsi="宋体" w:eastAsia="宋体" w:cs="宋体"/>
          <w:color w:val="auto"/>
          <w:sz w:val="24"/>
          <w:szCs w:val="24"/>
          <w:highlight w:val="none"/>
        </w:rPr>
        <w:t>（北京时间）</w:t>
      </w:r>
    </w:p>
    <w:p w14:paraId="4EA4E8E7">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2.地点：三门峡市公共资源交易中心五楼开标区</w:t>
      </w:r>
    </w:p>
    <w:p w14:paraId="0864367C">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六、发布公告的媒介及公告期限</w:t>
      </w:r>
    </w:p>
    <w:p w14:paraId="418CAEBD">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本次招标公告在《河南省政府采购网》《三门峡市公共资源交易中心网》和《中国招标投标公共服务平台》上发布，招标公告期限为三个工作日。</w:t>
      </w:r>
    </w:p>
    <w:p w14:paraId="26D332B1">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七、其他补充事宜</w:t>
      </w:r>
    </w:p>
    <w:p w14:paraId="5AEAB86C">
      <w:pPr>
        <w:pStyle w:val="14"/>
        <w:pageBreakBefore w:val="0"/>
        <w:overflowPunct/>
        <w:bidi w:val="0"/>
        <w:spacing w:before="0" w:beforeAutospacing="0" w:after="0" w:afterAutospacing="0" w:line="360" w:lineRule="auto"/>
        <w:ind w:firstLine="566"/>
        <w:jc w:val="both"/>
        <w:outlineLvl w:val="9"/>
        <w:rPr>
          <w:rFonts w:hint="eastAsia" w:ascii="宋体" w:hAnsi="宋体" w:eastAsia="宋体" w:cs="宋体"/>
          <w:highlight w:val="none"/>
        </w:rPr>
      </w:pPr>
      <w:r>
        <w:rPr>
          <w:rFonts w:hint="eastAsia" w:ascii="宋体" w:hAnsi="宋体" w:eastAsia="宋体" w:cs="宋体"/>
          <w:highlight w:val="none"/>
        </w:rPr>
        <w:t>1.本项目为不见面开标项目，开标当日，投标人无需到开标现场参加开标会议，投标人应当在投标截止时间前，登陆不见面开标大厅选择登陆三门峡市公共资源电子招投标系统进行登陆（网址为http://120.194.249.36:10094/BidOpening/bidopeninghallaction/hall/login）,在线准时参加开标活动并进行磋商响应文件解密等。每位投标人的解密时间为开标时间起30分钟内完成。因投标人原因未能解密、解密失败或解密超时的将被拒绝。</w:t>
      </w:r>
    </w:p>
    <w:p w14:paraId="1AD07DD8">
      <w:pPr>
        <w:pStyle w:val="14"/>
        <w:pageBreakBefore w:val="0"/>
        <w:overflowPunct/>
        <w:bidi w:val="0"/>
        <w:spacing w:before="0" w:beforeAutospacing="0" w:after="0" w:afterAutospacing="0" w:line="360" w:lineRule="auto"/>
        <w:ind w:firstLine="566"/>
        <w:jc w:val="both"/>
        <w:outlineLvl w:val="9"/>
        <w:rPr>
          <w:rFonts w:hint="eastAsia" w:ascii="宋体" w:hAnsi="宋体" w:eastAsia="宋体" w:cs="宋体"/>
          <w:highlight w:val="none"/>
        </w:rPr>
      </w:pPr>
      <w:r>
        <w:rPr>
          <w:rFonts w:hint="eastAsia" w:ascii="宋体" w:hAnsi="宋体" w:eastAsia="宋体" w:cs="宋体"/>
          <w:highlight w:val="none"/>
          <w:lang w:val="en-US" w:eastAsia="zh-CN"/>
        </w:rPr>
        <w:t>2</w:t>
      </w:r>
      <w:r>
        <w:rPr>
          <w:rFonts w:hint="eastAsia" w:ascii="宋体" w:hAnsi="宋体" w:eastAsia="宋体" w:cs="宋体"/>
          <w:highlight w:val="none"/>
        </w:rPr>
        <w:t>、资格评（预）审部分：资格评审（预）以响应文件为准，其上传资料真实性由供应商自行承担。</w:t>
      </w:r>
    </w:p>
    <w:p w14:paraId="7076457C">
      <w:pPr>
        <w:pStyle w:val="14"/>
        <w:pageBreakBefore w:val="0"/>
        <w:overflowPunct/>
        <w:bidi w:val="0"/>
        <w:spacing w:before="0" w:beforeAutospacing="0" w:after="0" w:afterAutospacing="0" w:line="360" w:lineRule="auto"/>
        <w:ind w:firstLine="566"/>
        <w:jc w:val="both"/>
        <w:outlineLvl w:val="9"/>
        <w:rPr>
          <w:rFonts w:hint="eastAsia" w:ascii="宋体" w:hAnsi="宋体" w:eastAsia="宋体" w:cs="宋体"/>
          <w:highlight w:val="none"/>
        </w:rPr>
      </w:pPr>
      <w:r>
        <w:rPr>
          <w:rFonts w:hint="eastAsia" w:ascii="宋体" w:hAnsi="宋体" w:eastAsia="宋体" w:cs="宋体"/>
          <w:highlight w:val="none"/>
          <w:lang w:val="en-US" w:eastAsia="zh-CN"/>
        </w:rPr>
        <w:t>3</w:t>
      </w:r>
      <w:r>
        <w:rPr>
          <w:rFonts w:hint="eastAsia" w:ascii="宋体" w:hAnsi="宋体" w:eastAsia="宋体" w:cs="宋体"/>
          <w:highlight w:val="none"/>
        </w:rPr>
        <w:t>、评标打分部分：评标打分部分仍按照100分制原则进行，涉及到资格审查、企业荣誉、人员业绩、企业业绩等计分部分时，以供应商自行上传到响应文件中的相应内容为准。</w:t>
      </w:r>
    </w:p>
    <w:p w14:paraId="60DB9293">
      <w:pPr>
        <w:pStyle w:val="14"/>
        <w:pageBreakBefore w:val="0"/>
        <w:overflowPunct/>
        <w:bidi w:val="0"/>
        <w:spacing w:before="0" w:beforeAutospacing="0" w:after="0" w:afterAutospacing="0" w:line="360" w:lineRule="auto"/>
        <w:ind w:firstLine="566"/>
        <w:jc w:val="both"/>
        <w:outlineLvl w:val="9"/>
        <w:rPr>
          <w:rFonts w:hint="eastAsia" w:ascii="宋体" w:hAnsi="宋体" w:eastAsia="宋体" w:cs="宋体"/>
          <w:highlight w:val="none"/>
        </w:rPr>
      </w:pPr>
      <w:r>
        <w:rPr>
          <w:rFonts w:hint="eastAsia" w:ascii="宋体" w:hAnsi="宋体" w:eastAsia="宋体" w:cs="宋体"/>
          <w:highlight w:val="none"/>
          <w:lang w:val="en-US" w:eastAsia="zh-CN"/>
        </w:rPr>
        <w:t>4</w:t>
      </w:r>
      <w:r>
        <w:rPr>
          <w:rFonts w:hint="eastAsia" w:ascii="宋体" w:hAnsi="宋体" w:eastAsia="宋体" w:cs="宋体"/>
          <w:highlight w:val="none"/>
        </w:rPr>
        <w:t>、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w:t>
      </w:r>
    </w:p>
    <w:p w14:paraId="071A7306">
      <w:pPr>
        <w:pStyle w:val="14"/>
        <w:pageBreakBefore w:val="0"/>
        <w:overflowPunct/>
        <w:bidi w:val="0"/>
        <w:spacing w:before="0" w:beforeAutospacing="0" w:after="0" w:afterAutospacing="0" w:line="360" w:lineRule="auto"/>
        <w:ind w:firstLine="566"/>
        <w:jc w:val="both"/>
        <w:outlineLvl w:val="9"/>
        <w:rPr>
          <w:rFonts w:hint="eastAsia" w:ascii="宋体" w:hAnsi="宋体" w:eastAsia="宋体" w:cs="宋体"/>
          <w:highlight w:val="none"/>
        </w:rPr>
      </w:pPr>
      <w:r>
        <w:rPr>
          <w:rFonts w:hint="eastAsia" w:ascii="宋体" w:hAnsi="宋体" w:eastAsia="宋体" w:cs="宋体"/>
          <w:highlight w:val="none"/>
          <w:lang w:val="en-US" w:eastAsia="zh-CN"/>
        </w:rPr>
        <w:t>5</w:t>
      </w:r>
      <w:r>
        <w:rPr>
          <w:rFonts w:hint="eastAsia" w:ascii="宋体" w:hAnsi="宋体" w:eastAsia="宋体" w:cs="宋体"/>
          <w:highlight w:val="none"/>
        </w:rPr>
        <w:t>、我单位（采购人）严格按三财购【2021】9号文要求的时限发布中标结果公告，发出中标通知书，签订采购合同，上传采购合同。</w:t>
      </w:r>
    </w:p>
    <w:p w14:paraId="7B815F28">
      <w:pPr>
        <w:pStyle w:val="14"/>
        <w:pageBreakBefore w:val="0"/>
        <w:overflowPunct/>
        <w:bidi w:val="0"/>
        <w:spacing w:before="0" w:beforeAutospacing="0" w:after="0" w:afterAutospacing="0" w:line="360" w:lineRule="auto"/>
        <w:ind w:firstLine="566"/>
        <w:jc w:val="both"/>
        <w:outlineLvl w:val="9"/>
        <w:rPr>
          <w:rFonts w:hint="eastAsia" w:ascii="宋体" w:hAnsi="宋体" w:eastAsia="宋体" w:cs="宋体"/>
          <w:highlight w:val="none"/>
        </w:rPr>
      </w:pPr>
      <w:r>
        <w:rPr>
          <w:rFonts w:hint="eastAsia" w:ascii="宋体" w:hAnsi="宋体" w:eastAsia="宋体" w:cs="宋体"/>
          <w:highlight w:val="none"/>
          <w:lang w:val="en-US" w:eastAsia="zh-CN"/>
        </w:rPr>
        <w:t>6</w:t>
      </w:r>
      <w:r>
        <w:rPr>
          <w:rFonts w:hint="eastAsia" w:ascii="宋体" w:hAnsi="宋体" w:eastAsia="宋体" w:cs="宋体"/>
          <w:highlight w:val="none"/>
        </w:rPr>
        <w:t>、供应商应仔细阅读操作手册，在本公告中要求的截止时间前完成磋商文件下载等工作。因供应商操作不当等问题造成的无法下载磋商文件、无法磋商等一切后果，由供应商自行承担。</w:t>
      </w:r>
    </w:p>
    <w:p w14:paraId="775F8DF0">
      <w:pPr>
        <w:pStyle w:val="14"/>
        <w:pageBreakBefore w:val="0"/>
        <w:overflowPunct/>
        <w:bidi w:val="0"/>
        <w:spacing w:before="0" w:beforeAutospacing="0" w:after="0" w:afterAutospacing="0" w:line="360" w:lineRule="auto"/>
        <w:ind w:firstLine="566"/>
        <w:jc w:val="both"/>
        <w:outlineLvl w:val="9"/>
        <w:rPr>
          <w:rFonts w:hint="eastAsia" w:ascii="宋体" w:hAnsi="宋体" w:eastAsia="宋体" w:cs="宋体"/>
          <w:highlight w:val="none"/>
        </w:rPr>
      </w:pPr>
      <w:r>
        <w:rPr>
          <w:rFonts w:hint="eastAsia" w:ascii="宋体" w:hAnsi="宋体" w:eastAsia="宋体" w:cs="宋体"/>
          <w:highlight w:val="none"/>
          <w:lang w:val="en-US" w:eastAsia="zh-CN"/>
        </w:rPr>
        <w:t>7</w:t>
      </w:r>
      <w:r>
        <w:rPr>
          <w:rFonts w:hint="eastAsia" w:ascii="宋体" w:hAnsi="宋体" w:eastAsia="宋体" w:cs="宋体"/>
          <w:highlight w:val="none"/>
        </w:rPr>
        <w:t>、供应商递交的响应文件不论中标与否均不予退还。</w:t>
      </w:r>
    </w:p>
    <w:p w14:paraId="0861AF91">
      <w:pPr>
        <w:pStyle w:val="14"/>
        <w:pageBreakBefore w:val="0"/>
        <w:overflowPunct/>
        <w:bidi w:val="0"/>
        <w:spacing w:before="0" w:beforeAutospacing="0" w:after="0" w:afterAutospacing="0" w:line="360" w:lineRule="auto"/>
        <w:ind w:firstLine="566"/>
        <w:jc w:val="both"/>
        <w:outlineLvl w:val="9"/>
        <w:rPr>
          <w:rFonts w:hint="eastAsia" w:ascii="宋体" w:hAnsi="宋体" w:eastAsia="宋体" w:cs="宋体"/>
          <w:highlight w:val="none"/>
        </w:rPr>
      </w:pPr>
      <w:r>
        <w:rPr>
          <w:rFonts w:hint="eastAsia" w:ascii="宋体" w:hAnsi="宋体" w:eastAsia="宋体" w:cs="宋体"/>
          <w:highlight w:val="none"/>
          <w:lang w:val="en-US" w:eastAsia="zh-CN"/>
        </w:rPr>
        <w:t>8</w:t>
      </w:r>
      <w:r>
        <w:rPr>
          <w:rFonts w:hint="eastAsia" w:ascii="宋体" w:hAnsi="宋体" w:eastAsia="宋体" w:cs="宋体"/>
          <w:highlight w:val="none"/>
        </w:rPr>
        <w:t>、采购人不组织供应商踏勘现场。</w:t>
      </w:r>
    </w:p>
    <w:p w14:paraId="55855594">
      <w:pPr>
        <w:pStyle w:val="14"/>
        <w:pageBreakBefore w:val="0"/>
        <w:overflowPunct/>
        <w:bidi w:val="0"/>
        <w:spacing w:before="0" w:beforeAutospacing="0" w:after="0" w:afterAutospacing="0" w:line="360" w:lineRule="auto"/>
        <w:ind w:firstLine="566"/>
        <w:jc w:val="both"/>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9、监督单位：三门峡市城乡一体化示范区财政局</w:t>
      </w:r>
    </w:p>
    <w:p w14:paraId="5042B194">
      <w:pPr>
        <w:pStyle w:val="14"/>
        <w:pageBreakBefore w:val="0"/>
        <w:overflowPunct/>
        <w:bidi w:val="0"/>
        <w:spacing w:before="0" w:beforeAutospacing="0" w:after="0" w:afterAutospacing="0" w:line="360" w:lineRule="auto"/>
        <w:ind w:firstLine="885" w:firstLineChars="369"/>
        <w:jc w:val="both"/>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联系电话：0398-2751080</w:t>
      </w:r>
    </w:p>
    <w:p w14:paraId="0FBF9273">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七、联系方式</w:t>
      </w:r>
    </w:p>
    <w:p w14:paraId="69EEA831">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1.采购人：灵宝市大王镇人民政府</w:t>
      </w:r>
    </w:p>
    <w:p w14:paraId="48ABED92">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    址：灵宝市大王镇干店村行政街</w:t>
      </w:r>
    </w:p>
    <w:p w14:paraId="2502BA72">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 系 人：亢女士</w:t>
      </w:r>
    </w:p>
    <w:p w14:paraId="298EFF70">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联系电话：15939866783</w:t>
      </w:r>
    </w:p>
    <w:p w14:paraId="2292E1F6">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2.采购代理机构信息</w:t>
      </w:r>
    </w:p>
    <w:p w14:paraId="4A92B1E8">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代理机构：汇衡昊远项目管理咨询有限公司</w:t>
      </w:r>
    </w:p>
    <w:p w14:paraId="783846A5">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    址：三门峡市湖滨区虢国西路海洋世纪城11号楼602室（海洋SOHO公寓）</w:t>
      </w:r>
    </w:p>
    <w:p w14:paraId="0B3FE843">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 系 人：郭昌盛</w:t>
      </w:r>
    </w:p>
    <w:p w14:paraId="2956D192">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联系电话：13419811003</w:t>
      </w:r>
    </w:p>
    <w:p w14:paraId="4249CB21">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cs="宋体"/>
          <w:sz w:val="24"/>
          <w:szCs w:val="24"/>
          <w:lang w:val="en-US" w:eastAsia="zh-CN"/>
        </w:rPr>
      </w:pPr>
      <w:r>
        <w:rPr>
          <w:rFonts w:hint="eastAsia" w:ascii="宋体" w:hAnsi="宋体" w:cs="宋体"/>
          <w:sz w:val="24"/>
          <w:szCs w:val="24"/>
          <w:lang w:val="en-US" w:eastAsia="zh-CN"/>
        </w:rPr>
        <w:t>3.项目联系方式</w:t>
      </w:r>
    </w:p>
    <w:p w14:paraId="2346AF78">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cs="宋体"/>
          <w:sz w:val="24"/>
          <w:szCs w:val="24"/>
          <w:lang w:val="en-US" w:eastAsia="zh-CN"/>
        </w:rPr>
      </w:pPr>
      <w:r>
        <w:rPr>
          <w:rFonts w:hint="eastAsia" w:ascii="宋体" w:hAnsi="宋体" w:cs="宋体"/>
          <w:sz w:val="24"/>
          <w:szCs w:val="24"/>
          <w:lang w:val="en-US" w:eastAsia="zh-CN"/>
        </w:rPr>
        <w:t>项目联系人：</w:t>
      </w:r>
      <w:r>
        <w:rPr>
          <w:rFonts w:hint="eastAsia" w:ascii="宋体" w:hAnsi="宋体" w:eastAsia="宋体" w:cs="宋体"/>
          <w:sz w:val="24"/>
          <w:szCs w:val="24"/>
          <w:lang w:val="en-US" w:eastAsia="zh-CN"/>
        </w:rPr>
        <w:t>郭昌盛</w:t>
      </w:r>
    </w:p>
    <w:p w14:paraId="2FBFC205">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default"/>
          <w:lang w:val="en-US" w:eastAsia="zh-CN"/>
        </w:rPr>
      </w:pPr>
      <w:r>
        <w:rPr>
          <w:rFonts w:hint="eastAsia" w:ascii="宋体" w:hAnsi="宋体" w:cs="宋体"/>
          <w:sz w:val="24"/>
          <w:szCs w:val="24"/>
          <w:lang w:val="en-US" w:eastAsia="zh-CN"/>
        </w:rPr>
        <w:t>联系方式：</w:t>
      </w:r>
      <w:r>
        <w:rPr>
          <w:rFonts w:hint="eastAsia" w:ascii="宋体" w:hAnsi="宋体" w:eastAsia="宋体" w:cs="宋体"/>
          <w:sz w:val="24"/>
          <w:szCs w:val="24"/>
          <w:lang w:val="en-US" w:eastAsia="zh-CN"/>
        </w:rPr>
        <w:t>13419811003</w:t>
      </w:r>
    </w:p>
    <w:p w14:paraId="77E906CA">
      <w:pPr>
        <w:bidi w:val="0"/>
        <w:rPr>
          <w:rFonts w:hint="eastAsia"/>
        </w:rPr>
      </w:pPr>
      <w:r>
        <w:rPr>
          <w:rFonts w:hint="eastAsia"/>
        </w:rPr>
        <w:br w:type="page"/>
      </w:r>
      <w:bookmarkStart w:id="2" w:name="_Toc29232"/>
      <w:bookmarkStart w:id="3" w:name="_Toc14693"/>
    </w:p>
    <w:p w14:paraId="4A68B764">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宋体" w:hAnsi="宋体" w:eastAsia="宋体" w:cs="宋体"/>
          <w:b/>
          <w:sz w:val="24"/>
          <w:szCs w:val="24"/>
        </w:rPr>
      </w:pPr>
      <w:r>
        <w:rPr>
          <w:rFonts w:hint="eastAsia" w:ascii="宋体" w:hAnsi="宋体" w:eastAsia="宋体" w:cs="宋体"/>
          <w:b/>
          <w:sz w:val="24"/>
          <w:szCs w:val="24"/>
        </w:rPr>
        <w:t>第二章  供应商须知</w:t>
      </w:r>
      <w:bookmarkEnd w:id="2"/>
    </w:p>
    <w:bookmarkEnd w:id="3"/>
    <w:p w14:paraId="693A3809">
      <w:pPr>
        <w:pStyle w:val="9"/>
        <w:pageBreakBefore w:val="0"/>
        <w:kinsoku/>
        <w:overflowPunct/>
        <w:bidi w:val="0"/>
        <w:spacing w:line="360" w:lineRule="auto"/>
        <w:ind w:right="63"/>
        <w:jc w:val="center"/>
        <w:rPr>
          <w:rFonts w:hint="eastAsia" w:ascii="宋体" w:hAnsi="宋体" w:eastAsia="宋体" w:cs="宋体"/>
          <w:b/>
          <w:bCs/>
        </w:rPr>
      </w:pPr>
      <w:r>
        <w:rPr>
          <w:rFonts w:hint="eastAsia" w:ascii="宋体" w:hAnsi="宋体" w:eastAsia="宋体" w:cs="宋体"/>
          <w:b/>
          <w:bCs/>
          <w:color w:val="000000"/>
          <w:kern w:val="0"/>
          <w:sz w:val="24"/>
          <w:szCs w:val="24"/>
        </w:rPr>
        <w:t>供应商须知前附表</w:t>
      </w:r>
    </w:p>
    <w:tbl>
      <w:tblPr>
        <w:tblStyle w:val="17"/>
        <w:tblW w:w="83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2334"/>
        <w:gridCol w:w="5163"/>
      </w:tblGrid>
      <w:tr w14:paraId="692E4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73CD9BC6">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序号</w:t>
            </w:r>
          </w:p>
        </w:tc>
        <w:tc>
          <w:tcPr>
            <w:tcW w:w="2334" w:type="dxa"/>
            <w:vAlign w:val="center"/>
          </w:tcPr>
          <w:p w14:paraId="2A890314">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条 款 名 称</w:t>
            </w:r>
          </w:p>
        </w:tc>
        <w:tc>
          <w:tcPr>
            <w:tcW w:w="5163" w:type="dxa"/>
            <w:vAlign w:val="center"/>
          </w:tcPr>
          <w:p w14:paraId="6F4E4210">
            <w:pPr>
              <w:pageBreakBefore w:val="0"/>
              <w:kinsoku/>
              <w:overflowPunct/>
              <w:bidi w:val="0"/>
              <w:spacing w:line="360" w:lineRule="auto"/>
              <w:jc w:val="center"/>
              <w:rPr>
                <w:rFonts w:hint="eastAsia" w:ascii="宋体" w:hAnsi="宋体" w:eastAsia="宋体" w:cs="宋体"/>
                <w:sz w:val="24"/>
              </w:rPr>
            </w:pPr>
            <w:r>
              <w:rPr>
                <w:rFonts w:hint="eastAsia" w:ascii="宋体" w:hAnsi="宋体" w:eastAsia="宋体" w:cs="宋体"/>
                <w:sz w:val="24"/>
              </w:rPr>
              <w:t>编 列 内 容</w:t>
            </w:r>
          </w:p>
        </w:tc>
      </w:tr>
      <w:tr w14:paraId="3EB9C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359B937B">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1.1.1</w:t>
            </w:r>
          </w:p>
        </w:tc>
        <w:tc>
          <w:tcPr>
            <w:tcW w:w="2334" w:type="dxa"/>
            <w:vAlign w:val="center"/>
          </w:tcPr>
          <w:p w14:paraId="17BD1DA7">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采购人</w:t>
            </w:r>
          </w:p>
        </w:tc>
        <w:tc>
          <w:tcPr>
            <w:tcW w:w="5163" w:type="dxa"/>
          </w:tcPr>
          <w:p w14:paraId="38E0BB7E">
            <w:pPr>
              <w:pageBreakBefore w:val="0"/>
              <w:kinsoku/>
              <w:overflowPunct/>
              <w:bidi w:val="0"/>
              <w:spacing w:line="360" w:lineRule="auto"/>
              <w:rPr>
                <w:rFonts w:hint="eastAsia" w:ascii="宋体" w:hAnsi="宋体" w:eastAsia="宋体" w:cs="宋体"/>
                <w:sz w:val="24"/>
                <w:lang w:val="en-US" w:eastAsia="zh-CN"/>
              </w:rPr>
            </w:pPr>
            <w:r>
              <w:rPr>
                <w:rFonts w:hint="eastAsia" w:ascii="宋体" w:hAnsi="宋体" w:eastAsia="宋体" w:cs="宋体"/>
                <w:sz w:val="24"/>
                <w:lang w:val="en-US" w:eastAsia="zh-CN"/>
              </w:rPr>
              <w:t>采购人：灵宝市大王镇人民政府</w:t>
            </w:r>
          </w:p>
          <w:p w14:paraId="6BE9A8D9">
            <w:pPr>
              <w:pageBreakBefore w:val="0"/>
              <w:kinsoku/>
              <w:overflowPunct/>
              <w:bidi w:val="0"/>
              <w:spacing w:line="360" w:lineRule="auto"/>
              <w:rPr>
                <w:rFonts w:hint="eastAsia" w:ascii="宋体" w:hAnsi="宋体" w:eastAsia="宋体" w:cs="宋体"/>
                <w:sz w:val="24"/>
                <w:lang w:val="en-US" w:eastAsia="zh-CN"/>
              </w:rPr>
            </w:pPr>
            <w:r>
              <w:rPr>
                <w:rFonts w:hint="eastAsia" w:ascii="宋体" w:hAnsi="宋体" w:eastAsia="宋体" w:cs="宋体"/>
                <w:sz w:val="24"/>
                <w:lang w:val="en-US" w:eastAsia="zh-CN"/>
              </w:rPr>
              <w:t>地    址：灵宝市大王镇干店村行政街</w:t>
            </w:r>
          </w:p>
          <w:p w14:paraId="39F6B678">
            <w:pPr>
              <w:pageBreakBefore w:val="0"/>
              <w:kinsoku/>
              <w:overflowPunct/>
              <w:bidi w:val="0"/>
              <w:spacing w:line="360" w:lineRule="auto"/>
              <w:rPr>
                <w:rFonts w:hint="eastAsia" w:ascii="宋体" w:hAnsi="宋体" w:eastAsia="宋体" w:cs="宋体"/>
                <w:sz w:val="24"/>
                <w:lang w:val="en-US" w:eastAsia="zh-CN"/>
              </w:rPr>
            </w:pPr>
            <w:r>
              <w:rPr>
                <w:rFonts w:hint="eastAsia" w:ascii="宋体" w:hAnsi="宋体" w:eastAsia="宋体" w:cs="宋体"/>
                <w:sz w:val="24"/>
                <w:lang w:val="en-US" w:eastAsia="zh-CN"/>
              </w:rPr>
              <w:t>联 系 人：亢女士</w:t>
            </w:r>
          </w:p>
          <w:p w14:paraId="78FF89DD">
            <w:pPr>
              <w:pageBreakBefore w:val="0"/>
              <w:kinsoku/>
              <w:overflowPunct/>
              <w:bidi w:val="0"/>
              <w:spacing w:line="360" w:lineRule="auto"/>
              <w:rPr>
                <w:rFonts w:hint="eastAsia" w:ascii="宋体" w:hAnsi="宋体" w:eastAsia="宋体" w:cs="宋体"/>
                <w:sz w:val="24"/>
                <w:lang w:val="en-US" w:eastAsia="zh-CN"/>
              </w:rPr>
            </w:pPr>
            <w:r>
              <w:rPr>
                <w:rFonts w:hint="eastAsia" w:ascii="宋体" w:hAnsi="宋体" w:eastAsia="宋体" w:cs="宋体"/>
                <w:sz w:val="24"/>
                <w:lang w:val="en-US" w:eastAsia="zh-CN"/>
              </w:rPr>
              <w:t>联系电话：15939866783</w:t>
            </w:r>
          </w:p>
        </w:tc>
      </w:tr>
      <w:tr w14:paraId="23887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783041BF">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1.1.2</w:t>
            </w:r>
          </w:p>
        </w:tc>
        <w:tc>
          <w:tcPr>
            <w:tcW w:w="2334" w:type="dxa"/>
            <w:vAlign w:val="center"/>
          </w:tcPr>
          <w:p w14:paraId="764FF96F">
            <w:pPr>
              <w:pageBreakBefore w:val="0"/>
              <w:kinsoku/>
              <w:overflowPunct/>
              <w:bidi w:val="0"/>
              <w:spacing w:line="360" w:lineRule="auto"/>
              <w:jc w:val="center"/>
              <w:rPr>
                <w:rFonts w:hint="eastAsia" w:ascii="宋体" w:hAnsi="宋体" w:eastAsia="宋体" w:cs="宋体"/>
                <w:sz w:val="24"/>
                <w:lang w:val="en-US" w:eastAsia="zh-CN"/>
              </w:rPr>
            </w:pPr>
            <w:r>
              <w:rPr>
                <w:rFonts w:hint="eastAsia" w:ascii="宋体" w:hAnsi="宋体" w:eastAsia="宋体" w:cs="宋体"/>
                <w:sz w:val="24"/>
                <w:lang w:val="en-US" w:eastAsia="zh-CN"/>
              </w:rPr>
              <w:t>代理机构</w:t>
            </w:r>
          </w:p>
        </w:tc>
        <w:tc>
          <w:tcPr>
            <w:tcW w:w="5163" w:type="dxa"/>
          </w:tcPr>
          <w:p w14:paraId="2338B363">
            <w:pPr>
              <w:pageBreakBefore w:val="0"/>
              <w:kinsoku/>
              <w:overflowPunct/>
              <w:bidi w:val="0"/>
              <w:spacing w:line="360" w:lineRule="auto"/>
              <w:rPr>
                <w:rFonts w:hint="eastAsia" w:ascii="宋体" w:hAnsi="宋体" w:eastAsia="宋体" w:cs="宋体"/>
                <w:sz w:val="24"/>
                <w:lang w:val="en-US" w:eastAsia="zh-CN"/>
              </w:rPr>
            </w:pPr>
            <w:r>
              <w:rPr>
                <w:rFonts w:hint="eastAsia" w:ascii="宋体" w:hAnsi="宋体" w:eastAsia="宋体" w:cs="宋体"/>
                <w:sz w:val="24"/>
                <w:lang w:val="en-US" w:eastAsia="zh-CN"/>
              </w:rPr>
              <w:t>代理机构：汇衡昊远项目管理咨询有限公司</w:t>
            </w:r>
          </w:p>
          <w:p w14:paraId="1F2189C4">
            <w:pPr>
              <w:pageBreakBefore w:val="0"/>
              <w:kinsoku/>
              <w:overflowPunct/>
              <w:bidi w:val="0"/>
              <w:spacing w:line="360" w:lineRule="auto"/>
              <w:rPr>
                <w:rFonts w:hint="eastAsia" w:ascii="宋体" w:hAnsi="宋体" w:eastAsia="宋体" w:cs="宋体"/>
                <w:sz w:val="24"/>
                <w:lang w:val="en-US" w:eastAsia="zh-CN"/>
              </w:rPr>
            </w:pPr>
            <w:r>
              <w:rPr>
                <w:rFonts w:hint="eastAsia" w:ascii="宋体" w:hAnsi="宋体" w:eastAsia="宋体" w:cs="宋体"/>
                <w:sz w:val="24"/>
                <w:lang w:val="en-US" w:eastAsia="zh-CN"/>
              </w:rPr>
              <w:t>地    址：三门峡市湖滨区虢国西路海洋世纪城11号楼602室（海洋SOHO公寓）</w:t>
            </w:r>
          </w:p>
          <w:p w14:paraId="6B1AE663">
            <w:pPr>
              <w:pageBreakBefore w:val="0"/>
              <w:kinsoku/>
              <w:overflowPunct/>
              <w:bidi w:val="0"/>
              <w:spacing w:line="360" w:lineRule="auto"/>
              <w:rPr>
                <w:rFonts w:hint="eastAsia" w:ascii="宋体" w:hAnsi="宋体" w:eastAsia="宋体" w:cs="宋体"/>
                <w:sz w:val="24"/>
                <w:lang w:val="en-US" w:eastAsia="zh-CN"/>
              </w:rPr>
            </w:pPr>
            <w:r>
              <w:rPr>
                <w:rFonts w:hint="eastAsia" w:ascii="宋体" w:hAnsi="宋体" w:eastAsia="宋体" w:cs="宋体"/>
                <w:sz w:val="24"/>
                <w:lang w:val="en-US" w:eastAsia="zh-CN"/>
              </w:rPr>
              <w:t>联 系 人：郭昌盛</w:t>
            </w:r>
          </w:p>
          <w:p w14:paraId="65BCB6BA">
            <w:pPr>
              <w:pageBreakBefore w:val="0"/>
              <w:kinsoku/>
              <w:overflowPunct/>
              <w:bidi w:val="0"/>
              <w:spacing w:line="360" w:lineRule="auto"/>
              <w:rPr>
                <w:rFonts w:hint="eastAsia" w:ascii="宋体" w:hAnsi="宋体" w:eastAsia="宋体" w:cs="宋体"/>
                <w:sz w:val="24"/>
                <w:lang w:val="en-US" w:eastAsia="zh-CN"/>
              </w:rPr>
            </w:pPr>
            <w:r>
              <w:rPr>
                <w:rFonts w:hint="eastAsia" w:ascii="宋体" w:hAnsi="宋体" w:eastAsia="宋体" w:cs="宋体"/>
                <w:sz w:val="24"/>
                <w:lang w:val="en-US" w:eastAsia="zh-CN"/>
              </w:rPr>
              <w:t>联系电话：13419811003</w:t>
            </w:r>
          </w:p>
        </w:tc>
      </w:tr>
      <w:tr w14:paraId="28A2D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12E2EC5D">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1.1.3</w:t>
            </w:r>
          </w:p>
        </w:tc>
        <w:tc>
          <w:tcPr>
            <w:tcW w:w="2334" w:type="dxa"/>
            <w:vAlign w:val="center"/>
          </w:tcPr>
          <w:p w14:paraId="2DAC8BA7">
            <w:pPr>
              <w:pageBreakBefore w:val="0"/>
              <w:kinsoku/>
              <w:overflowPunct/>
              <w:bidi w:val="0"/>
              <w:spacing w:line="360" w:lineRule="auto"/>
              <w:jc w:val="center"/>
              <w:rPr>
                <w:rFonts w:hint="eastAsia" w:ascii="宋体" w:hAnsi="宋体" w:eastAsia="宋体" w:cs="宋体"/>
                <w:sz w:val="24"/>
              </w:rPr>
            </w:pPr>
            <w:r>
              <w:rPr>
                <w:rFonts w:hint="eastAsia" w:ascii="宋体" w:hAnsi="宋体" w:eastAsia="宋体" w:cs="宋体"/>
                <w:sz w:val="24"/>
              </w:rPr>
              <w:t>项目名称</w:t>
            </w:r>
          </w:p>
        </w:tc>
        <w:tc>
          <w:tcPr>
            <w:tcW w:w="5163" w:type="dxa"/>
            <w:vAlign w:val="center"/>
          </w:tcPr>
          <w:p w14:paraId="006C24FF">
            <w:pPr>
              <w:pageBreakBefore w:val="0"/>
              <w:kinsoku/>
              <w:overflowPunct/>
              <w:autoSpaceDE w:val="0"/>
              <w:autoSpaceDN w:val="0"/>
              <w:bidi w:val="0"/>
              <w:adjustRightInd w:val="0"/>
              <w:spacing w:line="360" w:lineRule="auto"/>
              <w:rPr>
                <w:rFonts w:hint="eastAsia" w:ascii="宋体" w:hAnsi="宋体" w:eastAsia="宋体" w:cs="宋体"/>
                <w:sz w:val="24"/>
                <w:lang w:eastAsia="zh-CN"/>
              </w:rPr>
            </w:pPr>
            <w:r>
              <w:rPr>
                <w:rFonts w:hint="eastAsia" w:ascii="宋体" w:hAnsi="宋体" w:eastAsia="宋体" w:cs="宋体"/>
                <w:sz w:val="24"/>
                <w:szCs w:val="24"/>
                <w:lang w:eastAsia="zh-CN"/>
              </w:rPr>
              <w:t>董家村果蔬种植基地建设项目（二次）</w:t>
            </w:r>
          </w:p>
        </w:tc>
      </w:tr>
      <w:tr w14:paraId="0B1B5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4D0723DC">
            <w:pPr>
              <w:pageBreakBefore w:val="0"/>
              <w:kinsoku/>
              <w:overflowPunct/>
              <w:autoSpaceDE w:val="0"/>
              <w:autoSpaceDN w:val="0"/>
              <w:bidi w:val="0"/>
              <w:adjustRightInd w:val="0"/>
              <w:spacing w:line="360" w:lineRule="auto"/>
              <w:jc w:val="center"/>
              <w:rPr>
                <w:rFonts w:hint="default"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1.1.4</w:t>
            </w:r>
          </w:p>
        </w:tc>
        <w:tc>
          <w:tcPr>
            <w:tcW w:w="2334" w:type="dxa"/>
            <w:vAlign w:val="center"/>
          </w:tcPr>
          <w:p w14:paraId="46F82DBC">
            <w:pPr>
              <w:pageBreakBefore w:val="0"/>
              <w:kinsoku/>
              <w:overflowPunct/>
              <w:bidi w:val="0"/>
              <w:spacing w:line="360" w:lineRule="auto"/>
              <w:jc w:val="center"/>
              <w:rPr>
                <w:rFonts w:hint="eastAsia" w:ascii="宋体" w:hAnsi="宋体" w:eastAsia="宋体" w:cs="宋体"/>
                <w:sz w:val="24"/>
                <w:highlight w:val="none"/>
              </w:rPr>
            </w:pPr>
            <w:r>
              <w:rPr>
                <w:rFonts w:hint="eastAsia" w:ascii="宋体" w:hAnsi="宋体" w:eastAsia="宋体" w:cs="宋体"/>
                <w:sz w:val="24"/>
                <w:szCs w:val="24"/>
                <w:highlight w:val="none"/>
                <w:lang w:eastAsia="zh-CN"/>
              </w:rPr>
              <w:t>项目编号</w:t>
            </w:r>
          </w:p>
        </w:tc>
        <w:tc>
          <w:tcPr>
            <w:tcW w:w="5163" w:type="dxa"/>
            <w:vAlign w:val="center"/>
          </w:tcPr>
          <w:p w14:paraId="532FDF8E">
            <w:pPr>
              <w:pageBreakBefore w:val="0"/>
              <w:kinsoku/>
              <w:overflowPunct/>
              <w:autoSpaceDE w:val="0"/>
              <w:autoSpaceDN w:val="0"/>
              <w:bidi w:val="0"/>
              <w:adjustRightInd w:val="0"/>
              <w:spacing w:line="360"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示范竞磋采购-2026-23、SGZ[2026]324-ZC232</w:t>
            </w:r>
          </w:p>
        </w:tc>
      </w:tr>
      <w:tr w14:paraId="53A1D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58EEE6D7">
            <w:pPr>
              <w:pageBreakBefore w:val="0"/>
              <w:kinsoku/>
              <w:overflowPunct/>
              <w:autoSpaceDE w:val="0"/>
              <w:autoSpaceDN w:val="0"/>
              <w:bidi w:val="0"/>
              <w:adjustRightInd w:val="0"/>
              <w:spacing w:line="360" w:lineRule="auto"/>
              <w:jc w:val="center"/>
              <w:rPr>
                <w:rFonts w:hint="eastAsia" w:ascii="宋体" w:hAnsi="宋体" w:eastAsia="宋体" w:cs="宋体"/>
                <w:kern w:val="0"/>
                <w:sz w:val="24"/>
                <w:lang w:eastAsia="zh-CN"/>
              </w:rPr>
            </w:pPr>
            <w:r>
              <w:rPr>
                <w:rFonts w:hint="eastAsia" w:ascii="宋体" w:hAnsi="宋体" w:eastAsia="宋体" w:cs="宋体"/>
                <w:kern w:val="0"/>
                <w:sz w:val="24"/>
              </w:rPr>
              <w:t>1.1.</w:t>
            </w:r>
            <w:r>
              <w:rPr>
                <w:rFonts w:hint="eastAsia" w:ascii="宋体" w:hAnsi="宋体" w:eastAsia="宋体" w:cs="宋体"/>
                <w:kern w:val="0"/>
                <w:sz w:val="24"/>
                <w:lang w:val="en-US" w:eastAsia="zh-CN"/>
              </w:rPr>
              <w:t>5</w:t>
            </w:r>
          </w:p>
        </w:tc>
        <w:tc>
          <w:tcPr>
            <w:tcW w:w="2334" w:type="dxa"/>
            <w:vAlign w:val="center"/>
          </w:tcPr>
          <w:p w14:paraId="05D6E6C4">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项目地点</w:t>
            </w:r>
          </w:p>
        </w:tc>
        <w:tc>
          <w:tcPr>
            <w:tcW w:w="5163" w:type="dxa"/>
            <w:vAlign w:val="center"/>
          </w:tcPr>
          <w:p w14:paraId="72D34292">
            <w:pPr>
              <w:pageBreakBefore w:val="0"/>
              <w:kinsoku/>
              <w:overflowPunct/>
              <w:autoSpaceDE w:val="0"/>
              <w:autoSpaceDN w:val="0"/>
              <w:bidi w:val="0"/>
              <w:adjustRightInd w:val="0"/>
              <w:spacing w:line="360" w:lineRule="auto"/>
              <w:rPr>
                <w:rFonts w:hint="eastAsia" w:ascii="宋体" w:hAnsi="宋体" w:eastAsia="宋体" w:cs="宋体"/>
                <w:kern w:val="0"/>
                <w:sz w:val="24"/>
                <w:lang w:eastAsia="zh-CN"/>
              </w:rPr>
            </w:pPr>
            <w:r>
              <w:rPr>
                <w:rFonts w:hint="eastAsia" w:ascii="宋体" w:hAnsi="宋体" w:eastAsia="宋体" w:cs="宋体"/>
                <w:sz w:val="24"/>
                <w:lang w:eastAsia="zh-CN"/>
              </w:rPr>
              <w:t>三门峡市大王镇董家村</w:t>
            </w:r>
          </w:p>
        </w:tc>
      </w:tr>
      <w:tr w14:paraId="5ADA4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090FCB5B">
            <w:pPr>
              <w:pageBreakBefore w:val="0"/>
              <w:kinsoku/>
              <w:overflowPunct/>
              <w:autoSpaceDE w:val="0"/>
              <w:autoSpaceDN w:val="0"/>
              <w:bidi w:val="0"/>
              <w:adjustRightInd w:val="0"/>
              <w:spacing w:line="360" w:lineRule="auto"/>
              <w:jc w:val="center"/>
              <w:rPr>
                <w:rFonts w:hint="eastAsia" w:ascii="宋体" w:hAnsi="宋体" w:eastAsia="宋体" w:cs="宋体"/>
                <w:kern w:val="0"/>
                <w:sz w:val="24"/>
                <w:lang w:eastAsia="zh-CN"/>
              </w:rPr>
            </w:pPr>
            <w:r>
              <w:rPr>
                <w:rFonts w:hint="eastAsia" w:ascii="宋体" w:hAnsi="宋体" w:eastAsia="宋体" w:cs="宋体"/>
                <w:kern w:val="0"/>
                <w:sz w:val="24"/>
              </w:rPr>
              <w:t>1.1.</w:t>
            </w:r>
            <w:r>
              <w:rPr>
                <w:rFonts w:hint="eastAsia" w:ascii="宋体" w:hAnsi="宋体" w:eastAsia="宋体" w:cs="宋体"/>
                <w:kern w:val="0"/>
                <w:sz w:val="24"/>
                <w:lang w:val="en-US" w:eastAsia="zh-CN"/>
              </w:rPr>
              <w:t>6</w:t>
            </w:r>
          </w:p>
        </w:tc>
        <w:tc>
          <w:tcPr>
            <w:tcW w:w="2334" w:type="dxa"/>
            <w:vAlign w:val="center"/>
          </w:tcPr>
          <w:p w14:paraId="700F58F1">
            <w:pPr>
              <w:pageBreakBefore w:val="0"/>
              <w:kinsoku/>
              <w:overflowPunct/>
              <w:autoSpaceDE w:val="0"/>
              <w:autoSpaceDN w:val="0"/>
              <w:bidi w:val="0"/>
              <w:adjustRightInd w:val="0"/>
              <w:spacing w:line="360" w:lineRule="auto"/>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项目概况</w:t>
            </w:r>
          </w:p>
        </w:tc>
        <w:tc>
          <w:tcPr>
            <w:tcW w:w="5163" w:type="dxa"/>
            <w:vAlign w:val="center"/>
          </w:tcPr>
          <w:p w14:paraId="58805C43">
            <w:pPr>
              <w:pageBreakBefore w:val="0"/>
              <w:kinsoku/>
              <w:overflowPunct/>
              <w:autoSpaceDE w:val="0"/>
              <w:autoSpaceDN w:val="0"/>
              <w:bidi w:val="0"/>
              <w:adjustRightInd w:val="0"/>
              <w:spacing w:line="360" w:lineRule="auto"/>
              <w:rPr>
                <w:rFonts w:hint="eastAsia" w:ascii="宋体" w:hAnsi="宋体" w:eastAsia="宋体" w:cs="宋体"/>
                <w:sz w:val="24"/>
                <w:highlight w:val="none"/>
                <w:lang w:eastAsia="zh-CN"/>
              </w:rPr>
            </w:pPr>
            <w:r>
              <w:rPr>
                <w:rFonts w:hint="eastAsia" w:ascii="宋体" w:hAnsi="宋体" w:eastAsia="宋体" w:cs="宋体"/>
                <w:sz w:val="24"/>
                <w:highlight w:val="none"/>
                <w:lang w:eastAsia="zh-CN"/>
              </w:rPr>
              <w:t>董家村果蔬种植基地建设项目</w:t>
            </w:r>
            <w:r>
              <w:rPr>
                <w:rFonts w:hint="eastAsia" w:ascii="宋体" w:hAnsi="宋体" w:eastAsia="宋体" w:cs="宋体"/>
                <w:sz w:val="24"/>
                <w:highlight w:val="none"/>
              </w:rPr>
              <w:t>，本工程位于三门峡市大王镇董家村，主要施工内容:田块整治、新建温室大棚4座、水肥一体化设备配套工程、农田配电工程等。具体详见工程量清单</w:t>
            </w:r>
            <w:r>
              <w:rPr>
                <w:rFonts w:hint="eastAsia" w:ascii="宋体" w:hAnsi="宋体" w:eastAsia="宋体" w:cs="宋体"/>
                <w:sz w:val="24"/>
                <w:highlight w:val="none"/>
                <w:lang w:eastAsia="zh-CN"/>
              </w:rPr>
              <w:t>。</w:t>
            </w:r>
          </w:p>
        </w:tc>
      </w:tr>
      <w:tr w14:paraId="3AC9A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32ABB410">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1.2.1</w:t>
            </w:r>
          </w:p>
        </w:tc>
        <w:tc>
          <w:tcPr>
            <w:tcW w:w="2334" w:type="dxa"/>
            <w:vAlign w:val="center"/>
          </w:tcPr>
          <w:p w14:paraId="30EE28EC">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资金来源</w:t>
            </w:r>
          </w:p>
        </w:tc>
        <w:tc>
          <w:tcPr>
            <w:tcW w:w="5163" w:type="dxa"/>
            <w:vAlign w:val="center"/>
          </w:tcPr>
          <w:p w14:paraId="70165BBF">
            <w:pPr>
              <w:pageBreakBefore w:val="0"/>
              <w:kinsoku/>
              <w:overflowPunct/>
              <w:autoSpaceDE w:val="0"/>
              <w:autoSpaceDN w:val="0"/>
              <w:bidi w:val="0"/>
              <w:adjustRightInd w:val="0"/>
              <w:spacing w:line="360" w:lineRule="auto"/>
              <w:rPr>
                <w:rFonts w:hint="eastAsia" w:ascii="宋体" w:hAnsi="宋体" w:eastAsia="宋体" w:cs="宋体"/>
                <w:kern w:val="0"/>
                <w:sz w:val="24"/>
              </w:rPr>
            </w:pPr>
            <w:r>
              <w:rPr>
                <w:rFonts w:hint="eastAsia" w:ascii="宋体" w:hAnsi="宋体" w:eastAsia="宋体" w:cs="宋体"/>
                <w:kern w:val="0"/>
                <w:sz w:val="24"/>
              </w:rPr>
              <w:t>财政资金</w:t>
            </w:r>
          </w:p>
        </w:tc>
      </w:tr>
      <w:tr w14:paraId="0D3F3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3B3BD8A5">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1.2.2</w:t>
            </w:r>
          </w:p>
        </w:tc>
        <w:tc>
          <w:tcPr>
            <w:tcW w:w="2334" w:type="dxa"/>
            <w:vAlign w:val="center"/>
          </w:tcPr>
          <w:p w14:paraId="383AAF9E">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资金落实情况</w:t>
            </w:r>
          </w:p>
        </w:tc>
        <w:tc>
          <w:tcPr>
            <w:tcW w:w="5163" w:type="dxa"/>
            <w:vAlign w:val="center"/>
          </w:tcPr>
          <w:p w14:paraId="063DD5E8">
            <w:pPr>
              <w:pageBreakBefore w:val="0"/>
              <w:kinsoku/>
              <w:overflowPunct/>
              <w:bidi w:val="0"/>
              <w:spacing w:line="360" w:lineRule="auto"/>
              <w:rPr>
                <w:rFonts w:hint="eastAsia" w:ascii="宋体" w:hAnsi="宋体" w:eastAsia="宋体" w:cs="宋体"/>
              </w:rPr>
            </w:pPr>
            <w:r>
              <w:rPr>
                <w:rFonts w:hint="eastAsia" w:ascii="宋体" w:hAnsi="宋体" w:eastAsia="宋体" w:cs="宋体"/>
                <w:kern w:val="0"/>
                <w:sz w:val="24"/>
              </w:rPr>
              <w:t>已落实</w:t>
            </w:r>
          </w:p>
        </w:tc>
      </w:tr>
      <w:tr w14:paraId="6EA68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63B709AB">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1.3.1</w:t>
            </w:r>
          </w:p>
        </w:tc>
        <w:tc>
          <w:tcPr>
            <w:tcW w:w="2334" w:type="dxa"/>
            <w:vAlign w:val="center"/>
          </w:tcPr>
          <w:p w14:paraId="210C3824">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lang w:val="en-US" w:eastAsia="zh-CN"/>
              </w:rPr>
              <w:t>磋商</w:t>
            </w:r>
            <w:r>
              <w:rPr>
                <w:rFonts w:hint="eastAsia" w:ascii="宋体" w:hAnsi="宋体" w:eastAsia="宋体" w:cs="宋体"/>
                <w:kern w:val="0"/>
                <w:sz w:val="24"/>
              </w:rPr>
              <w:t>范围</w:t>
            </w:r>
          </w:p>
        </w:tc>
        <w:tc>
          <w:tcPr>
            <w:tcW w:w="5163" w:type="dxa"/>
            <w:vAlign w:val="center"/>
          </w:tcPr>
          <w:p w14:paraId="211C18EE">
            <w:pPr>
              <w:pageBreakBefore w:val="0"/>
              <w:kinsoku/>
              <w:overflowPunct/>
              <w:autoSpaceDE w:val="0"/>
              <w:autoSpaceDN w:val="0"/>
              <w:bidi w:val="0"/>
              <w:adjustRightInd w:val="0"/>
              <w:spacing w:line="360" w:lineRule="auto"/>
              <w:rPr>
                <w:rFonts w:hint="eastAsia" w:ascii="宋体" w:hAnsi="宋体" w:eastAsia="宋体" w:cs="宋体"/>
                <w:kern w:val="0"/>
                <w:sz w:val="24"/>
                <w:lang w:eastAsia="zh-CN"/>
              </w:rPr>
            </w:pPr>
            <w:r>
              <w:rPr>
                <w:rFonts w:hint="eastAsia" w:ascii="宋体" w:hAnsi="宋体" w:eastAsia="宋体" w:cs="宋体"/>
                <w:kern w:val="0"/>
                <w:sz w:val="24"/>
                <w:lang w:eastAsia="zh-CN"/>
              </w:rPr>
              <w:t>磋商文件、图纸及工程量清单等范围内的全部内容</w:t>
            </w:r>
          </w:p>
        </w:tc>
      </w:tr>
      <w:tr w14:paraId="3E5A3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7B67C3BD">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1.3.2</w:t>
            </w:r>
          </w:p>
        </w:tc>
        <w:tc>
          <w:tcPr>
            <w:tcW w:w="2334" w:type="dxa"/>
            <w:vAlign w:val="center"/>
          </w:tcPr>
          <w:p w14:paraId="35260E15">
            <w:pPr>
              <w:pageBreakBefore w:val="0"/>
              <w:kinsoku/>
              <w:overflowPunct/>
              <w:autoSpaceDE w:val="0"/>
              <w:autoSpaceDN w:val="0"/>
              <w:bidi w:val="0"/>
              <w:adjustRightInd w:val="0"/>
              <w:spacing w:line="360" w:lineRule="auto"/>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计划工期</w:t>
            </w:r>
          </w:p>
        </w:tc>
        <w:tc>
          <w:tcPr>
            <w:tcW w:w="5163" w:type="dxa"/>
            <w:vAlign w:val="center"/>
          </w:tcPr>
          <w:p w14:paraId="585AE840">
            <w:pPr>
              <w:pageBreakBefore w:val="0"/>
              <w:kinsoku/>
              <w:overflowPunct/>
              <w:autoSpaceDE w:val="0"/>
              <w:autoSpaceDN w:val="0"/>
              <w:bidi w:val="0"/>
              <w:adjustRightInd w:val="0"/>
              <w:spacing w:line="360" w:lineRule="auto"/>
              <w:rPr>
                <w:rFonts w:hint="eastAsia" w:ascii="宋体" w:hAnsi="宋体" w:eastAsia="宋体" w:cs="宋体"/>
                <w:kern w:val="0"/>
                <w:sz w:val="24"/>
                <w:highlight w:val="none"/>
                <w:lang w:eastAsia="zh-CN"/>
              </w:rPr>
            </w:pPr>
            <w:r>
              <w:rPr>
                <w:rFonts w:hint="eastAsia" w:ascii="宋体" w:hAnsi="宋体" w:eastAsia="宋体" w:cs="宋体"/>
                <w:kern w:val="0"/>
                <w:sz w:val="24"/>
                <w:szCs w:val="24"/>
                <w:highlight w:val="none"/>
                <w:lang w:val="en-US" w:eastAsia="zh-CN"/>
              </w:rPr>
              <w:t>60日历天</w:t>
            </w:r>
          </w:p>
        </w:tc>
      </w:tr>
      <w:tr w14:paraId="0B3D5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48AD11CF">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1.3.3</w:t>
            </w:r>
          </w:p>
        </w:tc>
        <w:tc>
          <w:tcPr>
            <w:tcW w:w="2334" w:type="dxa"/>
            <w:vAlign w:val="center"/>
          </w:tcPr>
          <w:p w14:paraId="376310CD">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质量要求</w:t>
            </w:r>
          </w:p>
        </w:tc>
        <w:tc>
          <w:tcPr>
            <w:tcW w:w="5163" w:type="dxa"/>
            <w:vAlign w:val="center"/>
          </w:tcPr>
          <w:p w14:paraId="154AB790">
            <w:pPr>
              <w:pageBreakBefore w:val="0"/>
              <w:kinsoku/>
              <w:overflowPunct/>
              <w:autoSpaceDE w:val="0"/>
              <w:autoSpaceDN w:val="0"/>
              <w:bidi w:val="0"/>
              <w:adjustRightInd w:val="0"/>
              <w:spacing w:line="360" w:lineRule="auto"/>
              <w:rPr>
                <w:rFonts w:hint="eastAsia" w:ascii="宋体" w:hAnsi="宋体" w:eastAsia="宋体" w:cs="宋体"/>
                <w:kern w:val="0"/>
                <w:sz w:val="24"/>
                <w:lang w:eastAsia="zh-CN"/>
              </w:rPr>
            </w:pPr>
            <w:r>
              <w:rPr>
                <w:rFonts w:hint="eastAsia" w:ascii="宋体" w:hAnsi="宋体" w:eastAsia="宋体" w:cs="宋体"/>
                <w:sz w:val="24"/>
                <w:szCs w:val="24"/>
                <w:lang w:eastAsia="zh-CN"/>
              </w:rPr>
              <w:t>达到国家现行工程施工质量验收规范合格标准</w:t>
            </w:r>
          </w:p>
        </w:tc>
      </w:tr>
      <w:tr w14:paraId="107B9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7FBE6FCF">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1.3.4</w:t>
            </w:r>
          </w:p>
        </w:tc>
        <w:tc>
          <w:tcPr>
            <w:tcW w:w="2334" w:type="dxa"/>
            <w:vAlign w:val="center"/>
          </w:tcPr>
          <w:p w14:paraId="299CA5E2">
            <w:pPr>
              <w:pageBreakBefore w:val="0"/>
              <w:kinsoku/>
              <w:overflowPunct/>
              <w:autoSpaceDE w:val="0"/>
              <w:autoSpaceDN w:val="0"/>
              <w:bidi w:val="0"/>
              <w:adjustRightInd w:val="0"/>
              <w:spacing w:line="360" w:lineRule="auto"/>
              <w:jc w:val="center"/>
              <w:rPr>
                <w:rFonts w:hint="eastAsia" w:ascii="宋体" w:hAnsi="宋体" w:eastAsia="宋体" w:cs="宋体"/>
                <w:kern w:val="0"/>
                <w:sz w:val="24"/>
                <w:lang w:eastAsia="zh-CN"/>
              </w:rPr>
            </w:pPr>
            <w:r>
              <w:rPr>
                <w:rFonts w:hint="eastAsia" w:ascii="宋体" w:hAnsi="宋体" w:eastAsia="宋体" w:cs="宋体"/>
                <w:kern w:val="0"/>
                <w:sz w:val="24"/>
                <w:lang w:eastAsia="zh-CN"/>
              </w:rPr>
              <w:t>缺陷责任期</w:t>
            </w:r>
          </w:p>
        </w:tc>
        <w:tc>
          <w:tcPr>
            <w:tcW w:w="5163" w:type="dxa"/>
            <w:vAlign w:val="center"/>
          </w:tcPr>
          <w:p w14:paraId="714B6372">
            <w:pPr>
              <w:pageBreakBefore w:val="0"/>
              <w:kinsoku/>
              <w:overflowPunct/>
              <w:autoSpaceDE w:val="0"/>
              <w:autoSpaceDN w:val="0"/>
              <w:bidi w:val="0"/>
              <w:adjustRightInd w:val="0"/>
              <w:spacing w:line="360" w:lineRule="auto"/>
              <w:rPr>
                <w:rFonts w:hint="eastAsia" w:ascii="宋体" w:hAnsi="宋体" w:eastAsia="宋体" w:cs="宋体"/>
                <w:sz w:val="24"/>
                <w:szCs w:val="24"/>
              </w:rPr>
            </w:pPr>
            <w:r>
              <w:rPr>
                <w:rFonts w:hint="eastAsia" w:ascii="宋体" w:hAnsi="宋体" w:eastAsia="宋体" w:cs="宋体"/>
                <w:sz w:val="24"/>
                <w:szCs w:val="24"/>
                <w:lang w:eastAsia="zh-CN"/>
              </w:rPr>
              <w:t>自竣工验收之日起12个月</w:t>
            </w:r>
            <w:r>
              <w:rPr>
                <w:rFonts w:hint="eastAsia" w:ascii="宋体" w:hAnsi="宋体" w:eastAsia="宋体" w:cs="宋体"/>
                <w:sz w:val="24"/>
                <w:szCs w:val="24"/>
              </w:rPr>
              <w:t>。</w:t>
            </w:r>
          </w:p>
        </w:tc>
      </w:tr>
      <w:tr w14:paraId="0A14A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6656330C">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1.4</w:t>
            </w:r>
          </w:p>
        </w:tc>
        <w:tc>
          <w:tcPr>
            <w:tcW w:w="2334" w:type="dxa"/>
            <w:vAlign w:val="center"/>
          </w:tcPr>
          <w:p w14:paraId="6EA42075">
            <w:pPr>
              <w:pageBreakBefore w:val="0"/>
              <w:kinsoku/>
              <w:overflowPunct/>
              <w:bidi w:val="0"/>
              <w:snapToGrid w:val="0"/>
              <w:spacing w:line="360" w:lineRule="auto"/>
              <w:jc w:val="center"/>
              <w:rPr>
                <w:rFonts w:hint="eastAsia" w:ascii="宋体" w:hAnsi="宋体" w:eastAsia="宋体" w:cs="宋体"/>
                <w:sz w:val="24"/>
              </w:rPr>
            </w:pPr>
            <w:r>
              <w:rPr>
                <w:rFonts w:hint="eastAsia" w:ascii="宋体" w:hAnsi="宋体" w:eastAsia="宋体" w:cs="宋体"/>
                <w:sz w:val="24"/>
              </w:rPr>
              <w:t>供应商资格要求</w:t>
            </w:r>
          </w:p>
        </w:tc>
        <w:tc>
          <w:tcPr>
            <w:tcW w:w="5163" w:type="dxa"/>
          </w:tcPr>
          <w:p w14:paraId="70CA9053">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1、满足《中华人民共和国政府采购法》第二十二条规定；</w:t>
            </w:r>
          </w:p>
          <w:p w14:paraId="567375C6">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2、落实政府采购政策满足的资格要求：</w:t>
            </w:r>
            <w:r>
              <w:rPr>
                <w:rFonts w:hint="eastAsia" w:ascii="宋体" w:hAnsi="宋体" w:eastAsia="宋体" w:cs="宋体"/>
                <w:sz w:val="24"/>
                <w:szCs w:val="24"/>
                <w:lang w:eastAsia="zh-CN"/>
              </w:rPr>
              <w:t>本项目为专门面向中小微企业采购项目,执行促进中小企业（监狱企业、残疾人福利性企业）发展等政府采购政策。</w:t>
            </w:r>
          </w:p>
          <w:p w14:paraId="12BCFFDB">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3、本项目的特定资格要求：</w:t>
            </w:r>
          </w:p>
          <w:p w14:paraId="75C484F6">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3.1</w:t>
            </w:r>
            <w:r>
              <w:rPr>
                <w:rFonts w:hint="eastAsia" w:ascii="宋体" w:hAnsi="宋体" w:eastAsia="宋体" w:cs="宋体"/>
                <w:color w:val="auto"/>
                <w:sz w:val="24"/>
                <w:szCs w:val="24"/>
                <w:highlight w:val="none"/>
                <w:lang w:eastAsia="zh-CN"/>
              </w:rPr>
              <w:t>供应商须具有独立承担民事责任的能力，提供有效的营业执照或其他证明材料</w:t>
            </w:r>
            <w:r>
              <w:rPr>
                <w:rFonts w:hint="eastAsia" w:ascii="宋体" w:hAnsi="宋体" w:eastAsia="宋体" w:cs="宋体"/>
                <w:color w:val="auto"/>
                <w:sz w:val="24"/>
                <w:szCs w:val="24"/>
                <w:highlight w:val="none"/>
              </w:rPr>
              <w:t>；</w:t>
            </w:r>
          </w:p>
          <w:p w14:paraId="5F497FBE">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3.2</w:t>
            </w:r>
            <w:r>
              <w:rPr>
                <w:rFonts w:hint="eastAsia" w:ascii="宋体" w:hAnsi="宋体" w:eastAsia="宋体" w:cs="宋体"/>
                <w:color w:val="auto"/>
                <w:sz w:val="24"/>
                <w:szCs w:val="24"/>
                <w:highlight w:val="none"/>
              </w:rPr>
              <w:t>供应商须具有</w:t>
            </w:r>
            <w:r>
              <w:rPr>
                <w:rFonts w:hint="eastAsia" w:ascii="宋体" w:hAnsi="宋体" w:eastAsia="宋体" w:cs="宋体"/>
                <w:color w:val="auto"/>
                <w:sz w:val="24"/>
                <w:szCs w:val="24"/>
                <w:highlight w:val="none"/>
                <w:lang w:val="en-US" w:eastAsia="zh-CN"/>
              </w:rPr>
              <w:t>建筑工程施工总承包叁级及以上资质</w:t>
            </w:r>
            <w:r>
              <w:rPr>
                <w:rFonts w:hint="eastAsia" w:ascii="宋体" w:hAnsi="宋体" w:eastAsia="宋体" w:cs="宋体"/>
                <w:color w:val="auto"/>
                <w:sz w:val="24"/>
                <w:szCs w:val="24"/>
                <w:highlight w:val="none"/>
              </w:rPr>
              <w:t>并具有有效的安全生产许可证；</w:t>
            </w:r>
          </w:p>
          <w:p w14:paraId="7CFF833E">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3.3</w:t>
            </w:r>
            <w:r>
              <w:rPr>
                <w:rFonts w:hint="eastAsia" w:ascii="宋体" w:hAnsi="宋体" w:eastAsia="宋体" w:cs="宋体"/>
                <w:color w:val="auto"/>
                <w:sz w:val="24"/>
                <w:szCs w:val="24"/>
                <w:highlight w:val="none"/>
                <w:lang w:eastAsia="zh-CN"/>
              </w:rPr>
              <w:t>拟派项目经理须具有建筑工程专业贰级（含贰级）及以上注册建造师资格、具备有效的安全生产考核合格证书，未在其它在建工程项目中担任项目经理，</w:t>
            </w:r>
            <w:r>
              <w:rPr>
                <w:rFonts w:hint="eastAsia" w:ascii="宋体" w:hAnsi="宋体" w:eastAsia="宋体" w:cs="宋体"/>
                <w:color w:val="auto"/>
                <w:sz w:val="24"/>
                <w:szCs w:val="24"/>
                <w:highlight w:val="none"/>
                <w:lang w:val="en-US" w:eastAsia="zh-CN"/>
              </w:rPr>
              <w:t>同时须</w:t>
            </w:r>
            <w:r>
              <w:rPr>
                <w:rFonts w:hint="eastAsia" w:ascii="宋体" w:hAnsi="宋体" w:eastAsia="宋体" w:cs="宋体"/>
                <w:color w:val="auto"/>
                <w:sz w:val="24"/>
                <w:szCs w:val="24"/>
                <w:highlight w:val="none"/>
                <w:lang w:eastAsia="zh-CN"/>
              </w:rPr>
              <w:t>提供在本单位的社会养老保险缴费证明</w:t>
            </w:r>
            <w:r>
              <w:rPr>
                <w:rFonts w:hint="eastAsia" w:ascii="宋体" w:hAnsi="宋体" w:eastAsia="宋体" w:cs="宋体"/>
                <w:color w:val="auto"/>
                <w:sz w:val="24"/>
                <w:szCs w:val="24"/>
                <w:highlight w:val="none"/>
              </w:rPr>
              <w:t>；</w:t>
            </w:r>
          </w:p>
          <w:p w14:paraId="2DCE925A">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3.4</w:t>
            </w:r>
            <w:r>
              <w:rPr>
                <w:rFonts w:hint="eastAsia" w:ascii="宋体" w:hAnsi="宋体" w:eastAsia="宋体" w:cs="宋体"/>
                <w:color w:val="auto"/>
                <w:sz w:val="24"/>
                <w:szCs w:val="24"/>
                <w:highlight w:val="none"/>
              </w:rPr>
              <w:t>供应商须</w:t>
            </w:r>
            <w:r>
              <w:rPr>
                <w:rFonts w:hint="eastAsia" w:ascii="宋体" w:hAnsi="宋体" w:eastAsia="宋体" w:cs="宋体"/>
                <w:color w:val="auto"/>
                <w:sz w:val="24"/>
                <w:szCs w:val="24"/>
                <w:highlight w:val="none"/>
                <w:lang w:eastAsia="zh-CN"/>
              </w:rPr>
              <w:t>出具无行贿犯罪记录，在中国裁判文书网自行查询或自行承诺（查询/承诺对象为企业、法定代表人、项目经理）【查询日期必须在公告发布之日之后】</w:t>
            </w:r>
            <w:r>
              <w:rPr>
                <w:rFonts w:hint="eastAsia" w:ascii="宋体" w:hAnsi="宋体" w:eastAsia="宋体" w:cs="宋体"/>
                <w:color w:val="auto"/>
                <w:sz w:val="24"/>
                <w:szCs w:val="24"/>
                <w:highlight w:val="none"/>
              </w:rPr>
              <w:t>；</w:t>
            </w:r>
          </w:p>
          <w:p w14:paraId="42FA8768">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3.5</w:t>
            </w:r>
            <w:r>
              <w:rPr>
                <w:rFonts w:hint="eastAsia" w:ascii="宋体" w:hAnsi="宋体" w:eastAsia="宋体" w:cs="宋体"/>
                <w:color w:val="auto"/>
                <w:sz w:val="24"/>
                <w:szCs w:val="24"/>
                <w:highlight w:val="none"/>
              </w:rPr>
              <w:t>供应商须</w:t>
            </w:r>
            <w:r>
              <w:rPr>
                <w:rFonts w:hint="eastAsia" w:ascii="宋体" w:hAnsi="宋体" w:eastAsia="宋体" w:cs="宋体"/>
                <w:kern w:val="0"/>
                <w:sz w:val="24"/>
                <w:szCs w:val="24"/>
                <w:highlight w:val="none"/>
                <w:lang w:val="en-US" w:eastAsia="zh-CN" w:bidi="ar"/>
              </w:rPr>
              <w:t>出具本企业无商业贿赂和不正当竞争行为承诺书，格式自拟；</w:t>
            </w:r>
          </w:p>
          <w:p w14:paraId="16BE9012">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3.6</w:t>
            </w:r>
            <w:r>
              <w:rPr>
                <w:rFonts w:hint="eastAsia" w:ascii="宋体" w:hAnsi="宋体" w:eastAsia="宋体" w:cs="宋体"/>
                <w:color w:val="auto"/>
                <w:sz w:val="24"/>
                <w:szCs w:val="24"/>
                <w:highlight w:val="none"/>
                <w:lang w:eastAsia="zh-CN"/>
              </w:rPr>
              <w:t>根据《关于在政府采购活动中查询及使用信用记录有关问题的通知》(财库[2016]125号)和豫财购【2016】15号的规定，对列入失信被执行人、重大税收违法失信主体、政府采购严重违法失信行为记录名单的供应商，拒绝参与本项目采购活动；【查询结果以开标当日采购人或采购代理机构查询为准，信用信息查询记录和证据将同磋商文件等资料一同归档保存。相关网站有最新规定的，按最新规定执行】。</w:t>
            </w:r>
          </w:p>
          <w:p w14:paraId="0F092FB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3.7单位负责人为同一人或者存在直接控股、管理关系的不同供应商，不得参加同一合同项下的采购活动；提供“国家企业信用信息公示系统”中查询打印的相关信息。【查询信息需包含公司基本信息、股东信息及股权变更信息等相关信息，查询时间自本公告发布之日起】</w:t>
            </w:r>
          </w:p>
          <w:p w14:paraId="67B7EE9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3.8本项目不接受联合体磋商，提供非联合体承诺，格式自拟；</w:t>
            </w:r>
          </w:p>
          <w:p w14:paraId="33386A05">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kern w:val="0"/>
                <w:sz w:val="24"/>
                <w:szCs w:val="28"/>
              </w:rPr>
            </w:pPr>
            <w:r>
              <w:rPr>
                <w:rFonts w:hint="eastAsia" w:ascii="宋体" w:hAnsi="宋体" w:eastAsia="宋体" w:cs="宋体"/>
                <w:color w:val="auto"/>
                <w:sz w:val="24"/>
                <w:szCs w:val="24"/>
                <w:highlight w:val="none"/>
                <w:lang w:val="en-US" w:eastAsia="zh-CN"/>
              </w:rPr>
              <w:t>3.9本项目实行资格后审，资格审查的具体要求见竞争性磋商文件。</w:t>
            </w:r>
          </w:p>
        </w:tc>
      </w:tr>
      <w:tr w14:paraId="5A481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0B57A352">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1.6.5</w:t>
            </w:r>
          </w:p>
        </w:tc>
        <w:tc>
          <w:tcPr>
            <w:tcW w:w="2334" w:type="dxa"/>
            <w:vAlign w:val="center"/>
          </w:tcPr>
          <w:p w14:paraId="2126CF0B">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是否退还磋商响应文件</w:t>
            </w:r>
          </w:p>
        </w:tc>
        <w:tc>
          <w:tcPr>
            <w:tcW w:w="5163" w:type="dxa"/>
            <w:vAlign w:val="center"/>
          </w:tcPr>
          <w:p w14:paraId="6C74B4BC">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 xml:space="preserve">否 </w:t>
            </w:r>
          </w:p>
        </w:tc>
      </w:tr>
      <w:tr w14:paraId="36EBA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189CE8EE">
            <w:pPr>
              <w:pageBreakBefore w:val="0"/>
              <w:kinsoku/>
              <w:overflowPunct/>
              <w:autoSpaceDE w:val="0"/>
              <w:autoSpaceDN w:val="0"/>
              <w:bidi w:val="0"/>
              <w:adjustRightInd w:val="0"/>
              <w:spacing w:line="360" w:lineRule="auto"/>
              <w:jc w:val="center"/>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2.1</w:t>
            </w:r>
          </w:p>
        </w:tc>
        <w:tc>
          <w:tcPr>
            <w:tcW w:w="2334" w:type="dxa"/>
            <w:vAlign w:val="center"/>
          </w:tcPr>
          <w:p w14:paraId="7169A998">
            <w:pPr>
              <w:pageBreakBefore w:val="0"/>
              <w:widowControl/>
              <w:kinsoku/>
              <w:overflowPunct/>
              <w:bidi w:val="0"/>
              <w:spacing w:line="360" w:lineRule="auto"/>
              <w:jc w:val="center"/>
              <w:rPr>
                <w:rFonts w:hint="eastAsia" w:ascii="宋体" w:hAnsi="宋体" w:eastAsia="宋体" w:cs="宋体"/>
                <w:kern w:val="0"/>
                <w:sz w:val="24"/>
              </w:rPr>
            </w:pPr>
            <w:r>
              <w:rPr>
                <w:rFonts w:hint="eastAsia" w:ascii="宋体" w:hAnsi="宋体" w:eastAsia="宋体" w:cs="宋体"/>
                <w:color w:val="auto"/>
                <w:sz w:val="24"/>
                <w:szCs w:val="24"/>
                <w:highlight w:val="none"/>
              </w:rPr>
              <w:t>踏勘现场</w:t>
            </w:r>
          </w:p>
        </w:tc>
        <w:tc>
          <w:tcPr>
            <w:tcW w:w="5163" w:type="dxa"/>
            <w:vAlign w:val="center"/>
          </w:tcPr>
          <w:p w14:paraId="6C2F2AA5">
            <w:pPr>
              <w:pageBreakBefore w:val="0"/>
              <w:widowControl/>
              <w:kinsoku/>
              <w:overflowPunct/>
              <w:bidi w:val="0"/>
              <w:spacing w:line="360" w:lineRule="auto"/>
              <w:jc w:val="left"/>
              <w:rPr>
                <w:rFonts w:hint="eastAsia" w:ascii="宋体" w:hAnsi="宋体" w:eastAsia="宋体" w:cs="宋体"/>
                <w:sz w:val="24"/>
              </w:rPr>
            </w:pPr>
            <w:r>
              <w:rPr>
                <w:rFonts w:hint="eastAsia" w:ascii="宋体" w:hAnsi="宋体" w:eastAsia="宋体" w:cs="宋体"/>
                <w:color w:val="auto"/>
                <w:sz w:val="24"/>
                <w:szCs w:val="24"/>
                <w:highlight w:val="none"/>
              </w:rPr>
              <w:t>不组织，投标人自行踏勘。</w:t>
            </w:r>
          </w:p>
        </w:tc>
      </w:tr>
      <w:tr w14:paraId="6234E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44304474">
            <w:pPr>
              <w:pageBreakBefore w:val="0"/>
              <w:kinsoku/>
              <w:overflowPunct/>
              <w:autoSpaceDE w:val="0"/>
              <w:autoSpaceDN w:val="0"/>
              <w:bidi w:val="0"/>
              <w:adjustRightInd w:val="0"/>
              <w:spacing w:line="360" w:lineRule="auto"/>
              <w:jc w:val="center"/>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2.2</w:t>
            </w:r>
          </w:p>
        </w:tc>
        <w:tc>
          <w:tcPr>
            <w:tcW w:w="2334" w:type="dxa"/>
            <w:vAlign w:val="center"/>
          </w:tcPr>
          <w:p w14:paraId="2F92B97C">
            <w:pPr>
              <w:pageBreakBefore w:val="0"/>
              <w:widowControl/>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磋商预备会</w:t>
            </w:r>
          </w:p>
        </w:tc>
        <w:tc>
          <w:tcPr>
            <w:tcW w:w="5163" w:type="dxa"/>
            <w:vAlign w:val="center"/>
          </w:tcPr>
          <w:p w14:paraId="60517AFB">
            <w:pPr>
              <w:pageBreakBefore w:val="0"/>
              <w:widowControl/>
              <w:kinsoku/>
              <w:overflowPunct/>
              <w:bidi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不召开</w:t>
            </w:r>
          </w:p>
        </w:tc>
      </w:tr>
      <w:tr w14:paraId="0DC21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1F3079A3">
            <w:pPr>
              <w:pageBreakBefore w:val="0"/>
              <w:kinsoku/>
              <w:overflowPunct/>
              <w:autoSpaceDE w:val="0"/>
              <w:autoSpaceDN w:val="0"/>
              <w:bidi w:val="0"/>
              <w:adjustRightInd w:val="0"/>
              <w:spacing w:line="360" w:lineRule="auto"/>
              <w:jc w:val="center"/>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2.3</w:t>
            </w:r>
          </w:p>
        </w:tc>
        <w:tc>
          <w:tcPr>
            <w:tcW w:w="2334" w:type="dxa"/>
            <w:vAlign w:val="center"/>
          </w:tcPr>
          <w:p w14:paraId="54920FC7">
            <w:pPr>
              <w:pageBreakBefore w:val="0"/>
              <w:widowControl/>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z w:val="24"/>
                <w:szCs w:val="24"/>
                <w:lang w:eastAsia="zh-CN"/>
              </w:rPr>
              <w:t>供应商</w:t>
            </w:r>
            <w:r>
              <w:rPr>
                <w:rFonts w:hint="eastAsia" w:ascii="宋体" w:hAnsi="宋体" w:eastAsia="宋体" w:cs="宋体"/>
                <w:sz w:val="24"/>
                <w:szCs w:val="24"/>
              </w:rPr>
              <w:t>提出问题的截止时间</w:t>
            </w:r>
          </w:p>
        </w:tc>
        <w:tc>
          <w:tcPr>
            <w:tcW w:w="5163" w:type="dxa"/>
            <w:vAlign w:val="center"/>
          </w:tcPr>
          <w:p w14:paraId="166CFEE4">
            <w:pPr>
              <w:pageBreakBefore w:val="0"/>
              <w:widowControl/>
              <w:kinsoku/>
              <w:overflowPunct/>
              <w:bidi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sz w:val="24"/>
                <w:szCs w:val="24"/>
              </w:rPr>
              <w:t>响应性文件递交截止时间5天前</w:t>
            </w:r>
          </w:p>
        </w:tc>
      </w:tr>
      <w:tr w14:paraId="16EFF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00FA69FF">
            <w:pPr>
              <w:pageBreakBefore w:val="0"/>
              <w:kinsoku/>
              <w:overflowPunct/>
              <w:autoSpaceDE w:val="0"/>
              <w:autoSpaceDN w:val="0"/>
              <w:bidi w:val="0"/>
              <w:adjustRightInd w:val="0"/>
              <w:spacing w:line="360" w:lineRule="auto"/>
              <w:jc w:val="center"/>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2.4</w:t>
            </w:r>
          </w:p>
        </w:tc>
        <w:tc>
          <w:tcPr>
            <w:tcW w:w="2334" w:type="dxa"/>
            <w:vAlign w:val="center"/>
          </w:tcPr>
          <w:p w14:paraId="31E09460">
            <w:pPr>
              <w:pageBreakBefore w:val="0"/>
              <w:widowControl/>
              <w:kinsoku/>
              <w:overflowPunct/>
              <w:bidi w:val="0"/>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rPr>
              <w:t>招标人书面澄清的时间</w:t>
            </w:r>
          </w:p>
        </w:tc>
        <w:tc>
          <w:tcPr>
            <w:tcW w:w="5163" w:type="dxa"/>
            <w:vAlign w:val="center"/>
          </w:tcPr>
          <w:p w14:paraId="67E4F554">
            <w:pPr>
              <w:pageBreakBefore w:val="0"/>
              <w:widowControl/>
              <w:kinsoku/>
              <w:overflowPunct/>
              <w:bidi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sz w:val="24"/>
                <w:szCs w:val="24"/>
              </w:rPr>
              <w:t>响应性文件递交截止时间5天前</w:t>
            </w:r>
          </w:p>
        </w:tc>
      </w:tr>
      <w:tr w14:paraId="62835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4843E953">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2.5</w:t>
            </w:r>
          </w:p>
        </w:tc>
        <w:tc>
          <w:tcPr>
            <w:tcW w:w="2334" w:type="dxa"/>
            <w:vAlign w:val="center"/>
          </w:tcPr>
          <w:p w14:paraId="3B7F1619">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磋商有效期</w:t>
            </w:r>
          </w:p>
        </w:tc>
        <w:tc>
          <w:tcPr>
            <w:tcW w:w="5163" w:type="dxa"/>
            <w:vAlign w:val="center"/>
          </w:tcPr>
          <w:p w14:paraId="210009DA">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szCs w:val="24"/>
              </w:rPr>
              <w:t>磋商响应文件递交截止日后60日历天</w:t>
            </w:r>
          </w:p>
        </w:tc>
      </w:tr>
      <w:tr w14:paraId="6A930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44BFC6DB">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2.6</w:t>
            </w:r>
          </w:p>
        </w:tc>
        <w:tc>
          <w:tcPr>
            <w:tcW w:w="2334" w:type="dxa"/>
            <w:vAlign w:val="center"/>
          </w:tcPr>
          <w:p w14:paraId="4E8834B4">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sz w:val="24"/>
              </w:rPr>
              <w:t>电子化磋商响应文件的编制和签署</w:t>
            </w:r>
          </w:p>
        </w:tc>
        <w:tc>
          <w:tcPr>
            <w:tcW w:w="5163" w:type="dxa"/>
          </w:tcPr>
          <w:p w14:paraId="54C0D6D6">
            <w:pPr>
              <w:pageBreakBefore w:val="0"/>
              <w:kinsoku/>
              <w:overflowPunct/>
              <w:bidi w:val="0"/>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1、磋商响应文件应按第六章“磋商响应文件格式”进行编写，如有必要，可以增加附页，作为磋商响应文件的组成部分。</w:t>
            </w:r>
          </w:p>
          <w:p w14:paraId="2CC8A051">
            <w:pPr>
              <w:pageBreakBefore w:val="0"/>
              <w:kinsoku/>
              <w:overflowPunct/>
              <w:bidi w:val="0"/>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2、磋商响应文件应当对竞争性磋商文件有关工期、磋商有效期、质量要求、</w:t>
            </w:r>
            <w:r>
              <w:rPr>
                <w:rFonts w:hint="eastAsia" w:ascii="宋体" w:hAnsi="宋体" w:eastAsia="宋体" w:cs="宋体"/>
                <w:color w:val="000000"/>
                <w:kern w:val="0"/>
                <w:sz w:val="24"/>
                <w:szCs w:val="24"/>
                <w:lang w:eastAsia="zh-CN"/>
              </w:rPr>
              <w:t>技术</w:t>
            </w:r>
            <w:r>
              <w:rPr>
                <w:rFonts w:hint="eastAsia" w:ascii="宋体" w:hAnsi="宋体" w:eastAsia="宋体" w:cs="宋体"/>
                <w:color w:val="000000"/>
                <w:kern w:val="0"/>
                <w:sz w:val="24"/>
                <w:szCs w:val="24"/>
                <w:lang w:val="en-US" w:eastAsia="zh-CN"/>
              </w:rPr>
              <w:t>标</w:t>
            </w:r>
            <w:r>
              <w:rPr>
                <w:rFonts w:hint="eastAsia" w:ascii="宋体" w:hAnsi="宋体" w:eastAsia="宋体" w:cs="宋体"/>
                <w:color w:val="000000"/>
                <w:kern w:val="0"/>
                <w:sz w:val="24"/>
                <w:szCs w:val="24"/>
              </w:rPr>
              <w:t>准和要求、</w:t>
            </w:r>
            <w:r>
              <w:rPr>
                <w:rFonts w:hint="eastAsia" w:ascii="宋体" w:hAnsi="宋体" w:eastAsia="宋体" w:cs="宋体"/>
                <w:color w:val="000000"/>
                <w:kern w:val="0"/>
                <w:sz w:val="24"/>
                <w:szCs w:val="24"/>
                <w:lang w:eastAsia="zh-CN"/>
              </w:rPr>
              <w:t>磋商范围</w:t>
            </w:r>
            <w:r>
              <w:rPr>
                <w:rFonts w:hint="eastAsia" w:ascii="宋体" w:hAnsi="宋体" w:eastAsia="宋体" w:cs="宋体"/>
                <w:color w:val="000000"/>
                <w:kern w:val="0"/>
                <w:sz w:val="24"/>
                <w:szCs w:val="24"/>
              </w:rPr>
              <w:t>等实质性内容作出响应。其中，磋商函附录在满足竞争性磋商文件实质性要求的基础上，可以提出比竞争性磋商文件要求更有利于采购人的承诺。</w:t>
            </w:r>
          </w:p>
          <w:p w14:paraId="220F9500">
            <w:pPr>
              <w:pageBreakBefore w:val="0"/>
              <w:kinsoku/>
              <w:overflowPunct/>
              <w:bidi w:val="0"/>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3、供应商在生成电子化磋商响应文件后，必须对电子化磋商响应文件进行电子签章，未进行签章的视为无效文件。</w:t>
            </w:r>
          </w:p>
          <w:p w14:paraId="12B75426">
            <w:pPr>
              <w:pageBreakBefore w:val="0"/>
              <w:kinsoku/>
              <w:overflowPunct/>
              <w:bidi w:val="0"/>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磋商文件中要求法定代表人或委托代理人签字或盖章的，供应商在进行电子化磋商响应文件签章时，以法定代表人签章为准。电子化磋商响应文件具体制作教材请供应商通过CA证书登录三门峡市公共资源电子化交易系统“交易智库-使用指南”中查看。</w:t>
            </w:r>
          </w:p>
          <w:p w14:paraId="2F9804E8">
            <w:pPr>
              <w:pageBreakBefore w:val="0"/>
              <w:kinsoku/>
              <w:overflowPunct/>
              <w:bidi w:val="0"/>
              <w:spacing w:line="36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电子化响应文件制作软件请点击https</w:t>
            </w:r>
            <w:r>
              <w:rPr>
                <w:rFonts w:hint="eastAsia" w:ascii="宋体" w:hAnsi="宋体" w:eastAsia="宋体" w:cs="宋体"/>
                <w:color w:val="000000"/>
                <w:kern w:val="0"/>
                <w:sz w:val="24"/>
                <w:szCs w:val="24"/>
                <w:lang w:val="en-US" w:eastAsia="zh-CN"/>
              </w:rPr>
              <w:t>:</w:t>
            </w:r>
            <w:r>
              <w:rPr>
                <w:rFonts w:hint="eastAsia" w:ascii="宋体" w:hAnsi="宋体" w:eastAsia="宋体" w:cs="宋体"/>
                <w:color w:val="000000"/>
                <w:kern w:val="0"/>
                <w:sz w:val="24"/>
                <w:szCs w:val="24"/>
              </w:rPr>
              <w:t>//download.bqpoint.com/download/downloaddetail.html?SourceFrom=Ztb&amp;ZtbSoftXiaQuCode=1506&amp;ZtbSoftType=tballinclusive进行下载。</w:t>
            </w:r>
          </w:p>
        </w:tc>
      </w:tr>
      <w:tr w14:paraId="079B0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3F9EAC20">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2.7</w:t>
            </w:r>
          </w:p>
        </w:tc>
        <w:tc>
          <w:tcPr>
            <w:tcW w:w="2334" w:type="dxa"/>
            <w:vAlign w:val="center"/>
          </w:tcPr>
          <w:p w14:paraId="3E5C39E4">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sz w:val="24"/>
              </w:rPr>
              <w:t>电子化磋商响应文件的格式</w:t>
            </w:r>
          </w:p>
        </w:tc>
        <w:tc>
          <w:tcPr>
            <w:tcW w:w="5163" w:type="dxa"/>
          </w:tcPr>
          <w:p w14:paraId="08510E47">
            <w:pPr>
              <w:pageBreakBefore w:val="0"/>
              <w:tabs>
                <w:tab w:val="left" w:pos="0"/>
              </w:tabs>
              <w:kinsoku/>
              <w:overflowPunct/>
              <w:bidi w:val="0"/>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供应商所上传的电子化磋商响应文件，应是通过三门峡市公共资源电子化交易系统磋商响应文件制作系统制作、经过签章和加密后生成的电子版响应文件。生成的电子版响应文件包含用于响应文件上传的主文件（格式后缀为.smxtf）和用于应急补救的响应文件备份文件（格式后缀为.nsmxtf）。备份文件主要用于电子化开标出现技术问题后的补救。</w:t>
            </w:r>
          </w:p>
          <w:p w14:paraId="1E338400">
            <w:pPr>
              <w:pageBreakBefore w:val="0"/>
              <w:tabs>
                <w:tab w:val="left" w:pos="0"/>
              </w:tabs>
              <w:kinsoku/>
              <w:overflowPunct/>
              <w:bidi w:val="0"/>
              <w:spacing w:line="360" w:lineRule="auto"/>
              <w:rPr>
                <w:rFonts w:hint="eastAsia" w:ascii="宋体" w:hAnsi="宋体" w:eastAsia="宋体" w:cs="宋体"/>
              </w:rPr>
            </w:pPr>
            <w:r>
              <w:rPr>
                <w:rFonts w:hint="eastAsia" w:ascii="宋体" w:hAnsi="宋体" w:eastAsia="宋体" w:cs="宋体"/>
                <w:color w:val="000000"/>
                <w:kern w:val="0"/>
                <w:sz w:val="24"/>
                <w:szCs w:val="24"/>
              </w:rPr>
              <w:t>注：供应商投报多个标段的，每个标段需要单独制作电子响应文件。</w:t>
            </w:r>
          </w:p>
        </w:tc>
      </w:tr>
      <w:tr w14:paraId="1A2FE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52AAF668">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2.8</w:t>
            </w:r>
          </w:p>
        </w:tc>
        <w:tc>
          <w:tcPr>
            <w:tcW w:w="2334" w:type="dxa"/>
            <w:vAlign w:val="center"/>
          </w:tcPr>
          <w:p w14:paraId="09E1D96E">
            <w:pPr>
              <w:pageBreakBefore w:val="0"/>
              <w:kinsoku/>
              <w:overflowPunct/>
              <w:autoSpaceDE w:val="0"/>
              <w:autoSpaceDN w:val="0"/>
              <w:bidi w:val="0"/>
              <w:adjustRightInd w:val="0"/>
              <w:spacing w:line="360" w:lineRule="auto"/>
              <w:jc w:val="center"/>
              <w:rPr>
                <w:rFonts w:hint="eastAsia" w:ascii="宋体" w:hAnsi="宋体" w:eastAsia="宋体" w:cs="宋体"/>
                <w:sz w:val="24"/>
              </w:rPr>
            </w:pPr>
            <w:r>
              <w:rPr>
                <w:rFonts w:hint="eastAsia" w:ascii="宋体" w:hAnsi="宋体" w:eastAsia="宋体" w:cs="宋体"/>
                <w:sz w:val="24"/>
              </w:rPr>
              <w:t>电子化磋商响应文件的上传</w:t>
            </w:r>
          </w:p>
        </w:tc>
        <w:tc>
          <w:tcPr>
            <w:tcW w:w="5163" w:type="dxa"/>
          </w:tcPr>
          <w:p w14:paraId="7BDD5AE2">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电子化磋商响应文件应在磋商响应文件递交截止时间前成功上传至三门峡市公共资源电子化交易系统。逾期上传的磋商响应文件将不予接收。电子交易系统将拒绝在磋商响应文件递交截止时间后送交的磋商响应文件。</w:t>
            </w:r>
          </w:p>
          <w:p w14:paraId="68EA41BE">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注：按照电子化投标操作教材制作完成的电子化磋商响应文件无法上传的，供应商应在磋商响应文件递交截止时间前尽早的联系中心技术人员，以便有充分的时间进行处理。</w:t>
            </w:r>
          </w:p>
          <w:p w14:paraId="78E298C5">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技术联系电话：0398-3117080；</w:t>
            </w:r>
          </w:p>
          <w:p w14:paraId="363B1461">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科技信息科</w:t>
            </w:r>
            <w:r>
              <w:rPr>
                <w:rFonts w:hint="eastAsia" w:ascii="宋体" w:hAnsi="宋体" w:eastAsia="宋体" w:cs="宋体"/>
                <w:sz w:val="24"/>
                <w:lang w:eastAsia="zh-CN"/>
              </w:rPr>
              <w:t>：</w:t>
            </w:r>
            <w:r>
              <w:rPr>
                <w:rFonts w:hint="eastAsia" w:ascii="宋体" w:hAnsi="宋体" w:eastAsia="宋体" w:cs="宋体"/>
                <w:sz w:val="24"/>
              </w:rPr>
              <w:t>0398-3117095。</w:t>
            </w:r>
          </w:p>
          <w:p w14:paraId="2559A38B">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供应商应充分考虑到处理技术问题和上传数据等工作所需的时间问题。未在磋商响应文件递交截止时间前成功上传的磋商响应文件，不予接收。</w:t>
            </w:r>
          </w:p>
        </w:tc>
      </w:tr>
      <w:tr w14:paraId="30DA6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63452481">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2.9</w:t>
            </w:r>
          </w:p>
        </w:tc>
        <w:tc>
          <w:tcPr>
            <w:tcW w:w="2334" w:type="dxa"/>
            <w:vAlign w:val="center"/>
          </w:tcPr>
          <w:p w14:paraId="09F82AB0">
            <w:pPr>
              <w:pageBreakBefore w:val="0"/>
              <w:kinsoku/>
              <w:overflowPunct/>
              <w:autoSpaceDE w:val="0"/>
              <w:autoSpaceDN w:val="0"/>
              <w:bidi w:val="0"/>
              <w:adjustRightInd w:val="0"/>
              <w:spacing w:line="360" w:lineRule="auto"/>
              <w:jc w:val="center"/>
              <w:rPr>
                <w:rFonts w:hint="eastAsia" w:ascii="宋体" w:hAnsi="宋体" w:eastAsia="宋体" w:cs="宋体"/>
                <w:color w:val="auto"/>
                <w:sz w:val="24"/>
              </w:rPr>
            </w:pPr>
            <w:r>
              <w:rPr>
                <w:rFonts w:hint="eastAsia" w:ascii="宋体" w:hAnsi="宋体" w:eastAsia="宋体" w:cs="宋体"/>
                <w:color w:val="auto"/>
                <w:kern w:val="0"/>
                <w:sz w:val="24"/>
              </w:rPr>
              <w:t>磋商响应文件递交截止时间</w:t>
            </w:r>
          </w:p>
        </w:tc>
        <w:tc>
          <w:tcPr>
            <w:tcW w:w="5163" w:type="dxa"/>
            <w:vAlign w:val="center"/>
          </w:tcPr>
          <w:p w14:paraId="3588E3A1">
            <w:pPr>
              <w:pageBreakBefore w:val="0"/>
              <w:kinsoku/>
              <w:overflowPunct/>
              <w:bidi w:val="0"/>
              <w:spacing w:line="360" w:lineRule="auto"/>
              <w:jc w:val="left"/>
              <w:rPr>
                <w:rFonts w:hint="eastAsia" w:ascii="宋体" w:hAnsi="宋体" w:eastAsia="宋体" w:cs="宋体"/>
                <w:color w:val="auto"/>
                <w:sz w:val="24"/>
                <w:lang w:eastAsia="zh-CN"/>
              </w:rPr>
            </w:pPr>
            <w:r>
              <w:rPr>
                <w:rFonts w:hint="eastAsia" w:ascii="宋体" w:hAnsi="宋体" w:eastAsia="宋体" w:cs="宋体"/>
                <w:color w:val="auto"/>
                <w:sz w:val="24"/>
                <w:lang w:eastAsia="zh-CN"/>
              </w:rPr>
              <w:t>2026年10月13日09时30分（北京时间）</w:t>
            </w:r>
          </w:p>
        </w:tc>
      </w:tr>
      <w:tr w14:paraId="648C1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40D6EDD9">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2.10</w:t>
            </w:r>
          </w:p>
        </w:tc>
        <w:tc>
          <w:tcPr>
            <w:tcW w:w="2334" w:type="dxa"/>
            <w:vAlign w:val="center"/>
          </w:tcPr>
          <w:p w14:paraId="2CAEE043">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sz w:val="24"/>
              </w:rPr>
              <w:t>电子化项目开标、解密、唱标</w:t>
            </w:r>
          </w:p>
        </w:tc>
        <w:tc>
          <w:tcPr>
            <w:tcW w:w="5163" w:type="dxa"/>
          </w:tcPr>
          <w:p w14:paraId="7D16F19B">
            <w:pPr>
              <w:pageBreakBefore w:val="0"/>
              <w:kinsoku/>
              <w:overflowPunct/>
              <w:bidi w:val="0"/>
              <w:spacing w:line="360" w:lineRule="auto"/>
              <w:jc w:val="left"/>
              <w:rPr>
                <w:rFonts w:hint="eastAsia" w:ascii="宋体" w:hAnsi="宋体" w:eastAsia="宋体" w:cs="宋体"/>
                <w:sz w:val="24"/>
                <w:szCs w:val="24"/>
              </w:rPr>
            </w:pPr>
            <w:r>
              <w:rPr>
                <w:rFonts w:hint="eastAsia" w:ascii="宋体" w:hAnsi="宋体" w:eastAsia="宋体" w:cs="宋体"/>
                <w:sz w:val="24"/>
              </w:rPr>
              <w:t>1、</w:t>
            </w:r>
            <w:r>
              <w:rPr>
                <w:rFonts w:hint="eastAsia" w:ascii="宋体" w:hAnsi="宋体" w:eastAsia="宋体" w:cs="宋体"/>
                <w:sz w:val="24"/>
                <w:szCs w:val="24"/>
              </w:rPr>
              <w:t>本项目为不见面开标项目。开标当日，投标人无需到开标现场参加开标会议，投标人应当在投标截止时间前，登陆不见面开标大厅选择登陆三门峡市公共资源电子招投标系统进行登陆（网址为http://120.194.249.36:10094/BidOpening/bidopeninghallaction/hall/login）。在线准时参加开标活动并进行投标文件解密等。每位投标人的解密时间为开标时间起30分钟内完成。因投标人原因未能解密、解密失败或解密超时的将被拒绝。</w:t>
            </w:r>
          </w:p>
          <w:p w14:paraId="507068F2">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2、电子化磋商响应文件解密异常的处理</w:t>
            </w:r>
          </w:p>
          <w:p w14:paraId="15E0C9C0">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如出现供应商的电子磋商响应文件无法解密等异常情况，供应商应及时致电代理机构说明。磋商响应文件异常，按以下步骤进行处理：</w:t>
            </w:r>
          </w:p>
          <w:p w14:paraId="718EE0AB">
            <w:pPr>
              <w:pageBreakBefore w:val="0"/>
              <w:numPr>
                <w:ilvl w:val="0"/>
                <w:numId w:val="0"/>
              </w:numPr>
              <w:kinsoku/>
              <w:overflowPunct/>
              <w:bidi w:val="0"/>
              <w:spacing w:line="360" w:lineRule="auto"/>
              <w:ind w:left="720" w:leftChars="0" w:hanging="720" w:firstLineChars="0"/>
              <w:rPr>
                <w:rFonts w:hint="eastAsia" w:ascii="宋体" w:hAnsi="宋体" w:eastAsia="宋体" w:cs="宋体"/>
                <w:sz w:val="24"/>
              </w:rPr>
            </w:pPr>
            <w:r>
              <w:rPr>
                <w:rFonts w:hint="eastAsia" w:ascii="宋体" w:hAnsi="宋体" w:eastAsia="宋体" w:cs="宋体"/>
                <w:kern w:val="2"/>
                <w:sz w:val="24"/>
                <w:szCs w:val="22"/>
                <w:lang w:val="en-US" w:eastAsia="zh-CN" w:bidi="ar-SA"/>
              </w:rPr>
              <w:t>1.</w:t>
            </w:r>
            <w:r>
              <w:rPr>
                <w:rFonts w:hint="eastAsia" w:ascii="宋体" w:hAnsi="宋体" w:eastAsia="宋体" w:cs="宋体"/>
                <w:sz w:val="24"/>
              </w:rPr>
              <w:t>首先由技术人员进行问题排查。</w:t>
            </w:r>
          </w:p>
          <w:p w14:paraId="157A1CD0">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2）经技术人员排查后，是供应商自身问题导致磋商响应文件无法解密的，该磋商响应文件将不予接收、解密和唱标；如果是电子化交易系统问题造成磋商响应文件无法解密的，将由技术人员对问题进行处理。如短时间内问题无法解决的，将由代理机构向监督部门申请，经监督部门同意后，暂停开标会议，待问题解决后继续开标。</w:t>
            </w:r>
          </w:p>
          <w:p w14:paraId="6A06A8FF">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3、待所有供应商磋商响应文件解密完成后，由代理机构操作，对所有已解密磋商响应文件进行电子唱标。</w:t>
            </w:r>
          </w:p>
          <w:p w14:paraId="7E5B9F22">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供应商应保证在开标期间电话、电脑、网络能够正常工作。供应商因停电、电脑病毒、网络堵塞等原因，未在规定的解密时间内对磋商响应文件进行解密的，其磋商响应文件不予接收、唱标。</w:t>
            </w:r>
          </w:p>
          <w:p w14:paraId="6FEFCDF0">
            <w:pPr>
              <w:pageBreakBefore w:val="0"/>
              <w:numPr>
                <w:ilvl w:val="0"/>
                <w:numId w:val="1"/>
              </w:numPr>
              <w:kinsoku/>
              <w:overflowPunct/>
              <w:bidi w:val="0"/>
              <w:spacing w:line="360" w:lineRule="auto"/>
              <w:rPr>
                <w:rFonts w:hint="eastAsia" w:ascii="宋体" w:hAnsi="宋体" w:eastAsia="宋体" w:cs="宋体"/>
                <w:sz w:val="24"/>
              </w:rPr>
            </w:pPr>
            <w:r>
              <w:rPr>
                <w:rFonts w:hint="eastAsia" w:ascii="宋体" w:hAnsi="宋体" w:eastAsia="宋体" w:cs="宋体"/>
                <w:sz w:val="24"/>
              </w:rPr>
              <w:t>开标时供应商可登录到交易系统中在开标解密栏中点击“开标一览表”查看各自的报价信息。如对报价信息有异议，应在唱标结束后10分钟内向代理机构提出质疑。代理机构应在监督人员的监督下接受供应商的质疑，并做好书面记录。供应商未在规定时间内提出质疑的，视为认可唱标内容。</w:t>
            </w:r>
          </w:p>
          <w:p w14:paraId="5A81F00E">
            <w:pPr>
              <w:pageBreakBefore w:val="0"/>
              <w:numPr>
                <w:ilvl w:val="0"/>
                <w:numId w:val="0"/>
              </w:numPr>
              <w:kinsoku/>
              <w:overflowPunct/>
              <w:bidi w:val="0"/>
              <w:spacing w:line="360" w:lineRule="auto"/>
              <w:rPr>
                <w:rFonts w:hint="eastAsia" w:ascii="宋体" w:hAnsi="宋体" w:eastAsia="宋体" w:cs="宋体"/>
                <w:sz w:val="24"/>
              </w:rPr>
            </w:pPr>
            <w:r>
              <w:rPr>
                <w:rFonts w:hint="eastAsia" w:ascii="宋体" w:hAnsi="宋体" w:eastAsia="宋体" w:cs="宋体"/>
                <w:sz w:val="24"/>
                <w:lang w:val="en-US" w:eastAsia="zh-CN"/>
              </w:rPr>
              <w:t>5</w:t>
            </w:r>
            <w:r>
              <w:rPr>
                <w:rFonts w:hint="eastAsia" w:ascii="宋体" w:hAnsi="宋体" w:eastAsia="宋体" w:cs="宋体"/>
                <w:sz w:val="24"/>
              </w:rPr>
              <w:t>、评标时，评标委员会对电子化响应文件有质疑的，将通过电子化交易系统对响应人发起质疑，并在监督人员的监督下，用免提模式致电需要答复的响应人对质疑进行回复。响应人的回复文件必须以经过响应人和其法定代表人签章的PDF格式文件为准，并通过电子化交易系统提交至评标委员会。</w:t>
            </w:r>
          </w:p>
          <w:p w14:paraId="6CBFE651">
            <w:pPr>
              <w:pageBreakBefore w:val="0"/>
              <w:numPr>
                <w:ilvl w:val="0"/>
                <w:numId w:val="0"/>
              </w:numPr>
              <w:kinsoku/>
              <w:overflowPunct/>
              <w:bidi w:val="0"/>
              <w:spacing w:line="360" w:lineRule="auto"/>
              <w:rPr>
                <w:rFonts w:hint="eastAsia" w:ascii="宋体" w:hAnsi="宋体" w:eastAsia="宋体" w:cs="宋体"/>
                <w:sz w:val="24"/>
              </w:rPr>
            </w:pPr>
            <w:r>
              <w:rPr>
                <w:rFonts w:hint="eastAsia" w:ascii="宋体" w:hAnsi="宋体" w:eastAsia="宋体" w:cs="宋体"/>
                <w:sz w:val="24"/>
                <w:lang w:val="en-US" w:eastAsia="zh-CN"/>
              </w:rPr>
              <w:t>6</w:t>
            </w:r>
            <w:r>
              <w:rPr>
                <w:rFonts w:hint="eastAsia" w:ascii="宋体" w:hAnsi="宋体" w:eastAsia="宋体" w:cs="宋体"/>
                <w:sz w:val="24"/>
              </w:rPr>
              <w:t>、如评标委员会对需要回复的响应人连续三次致电未接通的，视为响应人放弃回复，评标委员会将自行对需要回复的内容进行认定。</w:t>
            </w:r>
          </w:p>
        </w:tc>
      </w:tr>
      <w:tr w14:paraId="66C2F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12DFE08A">
            <w:pPr>
              <w:pageBreakBefore w:val="0"/>
              <w:kinsoku/>
              <w:overflowPunct/>
              <w:autoSpaceDE w:val="0"/>
              <w:autoSpaceDN w:val="0"/>
              <w:bidi w:val="0"/>
              <w:adjustRightInd w:val="0"/>
              <w:spacing w:line="360" w:lineRule="auto"/>
              <w:jc w:val="center"/>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3</w:t>
            </w:r>
          </w:p>
        </w:tc>
        <w:tc>
          <w:tcPr>
            <w:tcW w:w="2334" w:type="dxa"/>
            <w:vAlign w:val="center"/>
          </w:tcPr>
          <w:p w14:paraId="2C776DAB">
            <w:pPr>
              <w:pageBreakBefore w:val="0"/>
              <w:widowControl/>
              <w:kinsoku/>
              <w:overflowPunct/>
              <w:bidi w:val="0"/>
              <w:adjustRightInd w:val="0"/>
              <w:snapToGrid w:val="0"/>
              <w:spacing w:line="360" w:lineRule="auto"/>
              <w:jc w:val="center"/>
              <w:rPr>
                <w:rFonts w:hint="eastAsia" w:ascii="宋体" w:hAnsi="宋体" w:eastAsia="宋体" w:cs="宋体"/>
                <w:b/>
                <w:bCs/>
                <w:sz w:val="24"/>
              </w:rPr>
            </w:pPr>
            <w:r>
              <w:rPr>
                <w:rFonts w:hint="eastAsia" w:ascii="宋体" w:hAnsi="宋体" w:eastAsia="宋体" w:cs="宋体"/>
                <w:b/>
                <w:bCs/>
                <w:color w:val="000000"/>
                <w:kern w:val="0"/>
                <w:sz w:val="24"/>
                <w:szCs w:val="24"/>
              </w:rPr>
              <w:t>本项目对应的中小企业划分标准所属行业</w:t>
            </w:r>
          </w:p>
        </w:tc>
        <w:tc>
          <w:tcPr>
            <w:tcW w:w="5163" w:type="dxa"/>
            <w:vAlign w:val="center"/>
          </w:tcPr>
          <w:p w14:paraId="58DE3B48">
            <w:pPr>
              <w:pageBreakBefore w:val="0"/>
              <w:widowControl/>
              <w:kinsoku/>
              <w:overflowPunct/>
              <w:bidi w:val="0"/>
              <w:adjustRightInd w:val="0"/>
              <w:snapToGrid w:val="0"/>
              <w:spacing w:line="360" w:lineRule="auto"/>
              <w:jc w:val="left"/>
              <w:rPr>
                <w:rFonts w:hint="eastAsia" w:ascii="宋体" w:hAnsi="宋体" w:eastAsia="宋体" w:cs="宋体"/>
                <w:b/>
                <w:bCs/>
                <w:sz w:val="24"/>
                <w:lang w:val="en-US" w:eastAsia="zh-CN"/>
              </w:rPr>
            </w:pPr>
            <w:r>
              <w:rPr>
                <w:rFonts w:hint="eastAsia" w:ascii="宋体" w:hAnsi="宋体" w:eastAsia="宋体" w:cs="宋体"/>
                <w:b/>
                <w:bCs/>
                <w:color w:val="000000"/>
                <w:kern w:val="0"/>
                <w:sz w:val="24"/>
                <w:szCs w:val="24"/>
                <w:lang w:val="en-US" w:eastAsia="zh-CN"/>
              </w:rPr>
              <w:t>建筑业</w:t>
            </w:r>
          </w:p>
        </w:tc>
      </w:tr>
      <w:tr w14:paraId="50DBE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Merge w:val="restart"/>
            <w:vAlign w:val="center"/>
          </w:tcPr>
          <w:p w14:paraId="20403504">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3.1</w:t>
            </w:r>
          </w:p>
        </w:tc>
        <w:tc>
          <w:tcPr>
            <w:tcW w:w="2334" w:type="dxa"/>
            <w:vMerge w:val="restart"/>
            <w:vAlign w:val="center"/>
          </w:tcPr>
          <w:p w14:paraId="63412944">
            <w:pPr>
              <w:pageBreakBefore w:val="0"/>
              <w:kinsoku/>
              <w:overflowPunct/>
              <w:autoSpaceDE w:val="0"/>
              <w:autoSpaceDN w:val="0"/>
              <w:bidi w:val="0"/>
              <w:adjustRightInd w:val="0"/>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开标时间及地点</w:t>
            </w:r>
          </w:p>
        </w:tc>
        <w:tc>
          <w:tcPr>
            <w:tcW w:w="5163" w:type="dxa"/>
          </w:tcPr>
          <w:p w14:paraId="7249223C">
            <w:pPr>
              <w:pageBreakBefore w:val="0"/>
              <w:kinsoku/>
              <w:overflowPunct/>
              <w:bidi w:val="0"/>
              <w:spacing w:line="360" w:lineRule="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开标时间：</w:t>
            </w:r>
            <w:r>
              <w:rPr>
                <w:rFonts w:hint="eastAsia" w:ascii="宋体" w:hAnsi="宋体" w:eastAsia="宋体" w:cs="宋体"/>
                <w:color w:val="auto"/>
                <w:sz w:val="24"/>
                <w:highlight w:val="none"/>
                <w:lang w:eastAsia="zh-CN"/>
              </w:rPr>
              <w:t>2026年10月13日09时30分</w:t>
            </w:r>
          </w:p>
        </w:tc>
      </w:tr>
      <w:tr w14:paraId="5208B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Merge w:val="continue"/>
            <w:vAlign w:val="center"/>
          </w:tcPr>
          <w:p w14:paraId="2FA28ECC">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p>
        </w:tc>
        <w:tc>
          <w:tcPr>
            <w:tcW w:w="2334" w:type="dxa"/>
            <w:vMerge w:val="continue"/>
            <w:vAlign w:val="center"/>
          </w:tcPr>
          <w:p w14:paraId="0278E0BA">
            <w:pPr>
              <w:pageBreakBefore w:val="0"/>
              <w:kinsoku/>
              <w:overflowPunct/>
              <w:autoSpaceDE w:val="0"/>
              <w:autoSpaceDN w:val="0"/>
              <w:bidi w:val="0"/>
              <w:adjustRightInd w:val="0"/>
              <w:spacing w:line="360" w:lineRule="auto"/>
              <w:jc w:val="center"/>
              <w:rPr>
                <w:rFonts w:hint="eastAsia" w:ascii="宋体" w:hAnsi="宋体" w:eastAsia="宋体" w:cs="宋体"/>
                <w:sz w:val="24"/>
              </w:rPr>
            </w:pPr>
          </w:p>
        </w:tc>
        <w:tc>
          <w:tcPr>
            <w:tcW w:w="5163" w:type="dxa"/>
          </w:tcPr>
          <w:p w14:paraId="52CA64AF">
            <w:pPr>
              <w:pageBreakBefore w:val="0"/>
              <w:kinsoku/>
              <w:overflowPunct/>
              <w:bidi w:val="0"/>
              <w:spacing w:line="360" w:lineRule="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开标地点：三门峡市公共资源交易中心五楼开标区</w:t>
            </w:r>
          </w:p>
        </w:tc>
      </w:tr>
      <w:tr w14:paraId="74DB0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6A895FED">
            <w:pPr>
              <w:pageBreakBefore w:val="0"/>
              <w:kinsoku/>
              <w:overflowPunct/>
              <w:autoSpaceDE w:val="0"/>
              <w:autoSpaceDN w:val="0"/>
              <w:bidi w:val="0"/>
              <w:adjustRightInd w:val="0"/>
              <w:spacing w:line="360" w:lineRule="auto"/>
              <w:jc w:val="center"/>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3.2</w:t>
            </w:r>
          </w:p>
        </w:tc>
        <w:tc>
          <w:tcPr>
            <w:tcW w:w="2334" w:type="dxa"/>
            <w:vAlign w:val="center"/>
          </w:tcPr>
          <w:p w14:paraId="7CE664C6">
            <w:pPr>
              <w:pageBreakBefore w:val="0"/>
              <w:widowControl/>
              <w:kinsoku/>
              <w:overflowPunct/>
              <w:bidi w:val="0"/>
              <w:spacing w:line="360" w:lineRule="auto"/>
              <w:jc w:val="center"/>
              <w:rPr>
                <w:rFonts w:hint="eastAsia" w:ascii="宋体" w:hAnsi="宋体" w:eastAsia="宋体" w:cs="宋体"/>
                <w:sz w:val="24"/>
              </w:rPr>
            </w:pPr>
            <w:r>
              <w:rPr>
                <w:rFonts w:hint="eastAsia" w:ascii="宋体" w:hAnsi="宋体" w:eastAsia="宋体" w:cs="宋体"/>
                <w:color w:val="auto"/>
                <w:kern w:val="44"/>
                <w:sz w:val="24"/>
                <w:szCs w:val="24"/>
                <w:highlight w:val="none"/>
              </w:rPr>
              <w:t>近年完成的类似项目的年份要求</w:t>
            </w:r>
          </w:p>
        </w:tc>
        <w:tc>
          <w:tcPr>
            <w:tcW w:w="5163" w:type="dxa"/>
            <w:vAlign w:val="center"/>
          </w:tcPr>
          <w:p w14:paraId="6B4E1B50">
            <w:pPr>
              <w:pageBreakBefore w:val="0"/>
              <w:widowControl/>
              <w:kinsoku/>
              <w:overflowPunct/>
              <w:bidi w:val="0"/>
              <w:spacing w:line="360" w:lineRule="auto"/>
              <w:jc w:val="left"/>
              <w:rPr>
                <w:rFonts w:hint="eastAsia" w:ascii="宋体" w:hAnsi="宋体" w:eastAsia="宋体" w:cs="宋体"/>
                <w:sz w:val="24"/>
                <w:highlight w:val="none"/>
              </w:rPr>
            </w:pPr>
            <w:r>
              <w:rPr>
                <w:rFonts w:hint="eastAsia" w:ascii="宋体" w:hAnsi="宋体" w:eastAsia="宋体" w:cs="宋体"/>
                <w:color w:val="auto"/>
                <w:kern w:val="44"/>
                <w:sz w:val="24"/>
                <w:szCs w:val="24"/>
                <w:highlight w:val="none"/>
                <w:lang w:eastAsia="zh-CN"/>
              </w:rPr>
              <w:t>2023</w:t>
            </w:r>
            <w:r>
              <w:rPr>
                <w:rFonts w:hint="eastAsia" w:ascii="宋体" w:hAnsi="宋体" w:eastAsia="宋体" w:cs="宋体"/>
                <w:color w:val="auto"/>
                <w:kern w:val="44"/>
                <w:sz w:val="24"/>
                <w:szCs w:val="24"/>
                <w:highlight w:val="none"/>
              </w:rPr>
              <w:t>年</w:t>
            </w:r>
            <w:r>
              <w:rPr>
                <w:rFonts w:hint="eastAsia" w:ascii="宋体" w:hAnsi="宋体" w:eastAsia="宋体" w:cs="宋体"/>
                <w:color w:val="auto"/>
                <w:kern w:val="44"/>
                <w:sz w:val="24"/>
                <w:szCs w:val="24"/>
                <w:highlight w:val="none"/>
                <w:lang w:val="en-US" w:eastAsia="zh-CN"/>
              </w:rPr>
              <w:t>1</w:t>
            </w:r>
            <w:r>
              <w:rPr>
                <w:rFonts w:hint="eastAsia" w:ascii="宋体" w:hAnsi="宋体" w:eastAsia="宋体" w:cs="宋体"/>
                <w:color w:val="auto"/>
                <w:kern w:val="44"/>
                <w:sz w:val="24"/>
                <w:szCs w:val="24"/>
                <w:highlight w:val="none"/>
              </w:rPr>
              <w:t>月1日以来</w:t>
            </w:r>
          </w:p>
        </w:tc>
      </w:tr>
      <w:tr w14:paraId="31D82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1722EC7B">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4</w:t>
            </w:r>
          </w:p>
        </w:tc>
        <w:tc>
          <w:tcPr>
            <w:tcW w:w="2334" w:type="dxa"/>
            <w:vAlign w:val="center"/>
          </w:tcPr>
          <w:p w14:paraId="61365A88">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磋商小组的组建</w:t>
            </w:r>
          </w:p>
        </w:tc>
        <w:tc>
          <w:tcPr>
            <w:tcW w:w="5163" w:type="dxa"/>
          </w:tcPr>
          <w:p w14:paraId="6FB55FAB">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磋商小组共3人组成，其中采购人代表1人；在相关评标专家库中随机抽取有关技术、经济等方面专家2人。</w:t>
            </w:r>
          </w:p>
          <w:p w14:paraId="6B45645D">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color w:val="000000"/>
                <w:kern w:val="0"/>
                <w:sz w:val="24"/>
                <w:szCs w:val="24"/>
              </w:rPr>
              <w:t>根据省政府关于评标专家的有关管理规定，招标人代表（业主代表）无评标劳务费。</w:t>
            </w:r>
          </w:p>
        </w:tc>
      </w:tr>
      <w:tr w14:paraId="59D1B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4F6AA664">
            <w:pPr>
              <w:pageBreakBefore w:val="0"/>
              <w:kinsoku/>
              <w:overflowPunct/>
              <w:autoSpaceDE w:val="0"/>
              <w:autoSpaceDN w:val="0"/>
              <w:bidi w:val="0"/>
              <w:adjustRightInd w:val="0"/>
              <w:spacing w:line="360" w:lineRule="auto"/>
              <w:jc w:val="center"/>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4.1</w:t>
            </w:r>
          </w:p>
        </w:tc>
        <w:tc>
          <w:tcPr>
            <w:tcW w:w="2334" w:type="dxa"/>
            <w:vAlign w:val="center"/>
          </w:tcPr>
          <w:p w14:paraId="50460EA7">
            <w:pPr>
              <w:pageBreakBefore w:val="0"/>
              <w:widowControl/>
              <w:kinsoku/>
              <w:overflowPunct/>
              <w:bidi w:val="0"/>
              <w:spacing w:line="360" w:lineRule="auto"/>
              <w:jc w:val="center"/>
              <w:rPr>
                <w:rFonts w:hint="eastAsia" w:ascii="宋体" w:hAnsi="宋体" w:eastAsia="宋体" w:cs="宋体"/>
                <w:kern w:val="0"/>
                <w:sz w:val="24"/>
              </w:rPr>
            </w:pPr>
            <w:r>
              <w:rPr>
                <w:rFonts w:hint="eastAsia" w:ascii="宋体" w:hAnsi="宋体" w:eastAsia="宋体" w:cs="宋体"/>
                <w:spacing w:val="6"/>
                <w:sz w:val="24"/>
                <w:szCs w:val="24"/>
              </w:rPr>
              <w:t>磋商标准及方法</w:t>
            </w:r>
          </w:p>
        </w:tc>
        <w:tc>
          <w:tcPr>
            <w:tcW w:w="5163" w:type="dxa"/>
            <w:vAlign w:val="center"/>
          </w:tcPr>
          <w:p w14:paraId="4FF8EECD">
            <w:pPr>
              <w:pageBreakBefore w:val="0"/>
              <w:widowControl/>
              <w:kinsoku/>
              <w:overflowPunct/>
              <w:bidi w:val="0"/>
              <w:spacing w:line="360" w:lineRule="auto"/>
              <w:jc w:val="left"/>
              <w:rPr>
                <w:rFonts w:hint="eastAsia" w:ascii="宋体" w:hAnsi="宋体" w:eastAsia="宋体" w:cs="宋体"/>
                <w:color w:val="000000"/>
                <w:kern w:val="0"/>
                <w:sz w:val="24"/>
                <w:szCs w:val="24"/>
              </w:rPr>
            </w:pPr>
            <w:r>
              <w:rPr>
                <w:rFonts w:hint="eastAsia" w:ascii="宋体" w:hAnsi="宋体" w:eastAsia="宋体" w:cs="宋体"/>
                <w:spacing w:val="6"/>
                <w:sz w:val="24"/>
                <w:szCs w:val="24"/>
              </w:rPr>
              <w:t>由磋商小组采用</w:t>
            </w:r>
            <w:r>
              <w:rPr>
                <w:rFonts w:hint="eastAsia" w:ascii="宋体" w:hAnsi="宋体" w:eastAsia="宋体" w:cs="宋体"/>
                <w:spacing w:val="6"/>
                <w:sz w:val="24"/>
                <w:szCs w:val="24"/>
                <w:lang w:eastAsia="zh-CN"/>
              </w:rPr>
              <w:t>综合评分法</w:t>
            </w:r>
            <w:r>
              <w:rPr>
                <w:rFonts w:hint="eastAsia" w:ascii="宋体" w:hAnsi="宋体" w:eastAsia="宋体" w:cs="宋体"/>
                <w:spacing w:val="6"/>
                <w:sz w:val="24"/>
                <w:szCs w:val="24"/>
              </w:rPr>
              <w:t>对提交最后报价的</w:t>
            </w:r>
            <w:r>
              <w:rPr>
                <w:rFonts w:hint="eastAsia" w:ascii="宋体" w:hAnsi="宋体" w:eastAsia="宋体" w:cs="宋体"/>
                <w:spacing w:val="6"/>
                <w:sz w:val="24"/>
                <w:szCs w:val="24"/>
                <w:lang w:eastAsia="zh-CN"/>
              </w:rPr>
              <w:t>供应商</w:t>
            </w:r>
            <w:r>
              <w:rPr>
                <w:rFonts w:hint="eastAsia" w:ascii="宋体" w:hAnsi="宋体" w:eastAsia="宋体" w:cs="宋体"/>
                <w:spacing w:val="6"/>
                <w:sz w:val="24"/>
                <w:szCs w:val="24"/>
              </w:rPr>
              <w:t>的响应文件和最后报价进行综合评分。综合评</w:t>
            </w:r>
            <w:r>
              <w:rPr>
                <w:rFonts w:hint="eastAsia" w:ascii="宋体" w:hAnsi="宋体" w:eastAsia="宋体" w:cs="宋体"/>
                <w:spacing w:val="6"/>
                <w:sz w:val="24"/>
                <w:szCs w:val="24"/>
                <w:lang w:eastAsia="zh-CN"/>
              </w:rPr>
              <w:t>分</w:t>
            </w:r>
            <w:r>
              <w:rPr>
                <w:rFonts w:hint="eastAsia" w:ascii="宋体" w:hAnsi="宋体" w:eastAsia="宋体" w:cs="宋体"/>
                <w:spacing w:val="6"/>
                <w:sz w:val="24"/>
                <w:szCs w:val="24"/>
              </w:rPr>
              <w:t>法，是指响应文件满足竞争性磋商文件全部实质性要求且按评审因素的量化指标评审得分最高的</w:t>
            </w:r>
            <w:r>
              <w:rPr>
                <w:rFonts w:hint="eastAsia" w:ascii="宋体" w:hAnsi="宋体" w:eastAsia="宋体" w:cs="宋体"/>
                <w:spacing w:val="6"/>
                <w:sz w:val="24"/>
                <w:szCs w:val="24"/>
                <w:lang w:eastAsia="zh-CN"/>
              </w:rPr>
              <w:t>供应商</w:t>
            </w:r>
            <w:r>
              <w:rPr>
                <w:rFonts w:hint="eastAsia" w:ascii="宋体" w:hAnsi="宋体" w:eastAsia="宋体" w:cs="宋体"/>
                <w:spacing w:val="6"/>
                <w:sz w:val="24"/>
                <w:szCs w:val="24"/>
              </w:rPr>
              <w:t>为中标单位的磋商方法。</w:t>
            </w:r>
          </w:p>
        </w:tc>
      </w:tr>
      <w:tr w14:paraId="39D15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525AC3A2">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5</w:t>
            </w:r>
          </w:p>
        </w:tc>
        <w:tc>
          <w:tcPr>
            <w:tcW w:w="2334" w:type="dxa"/>
            <w:vAlign w:val="center"/>
          </w:tcPr>
          <w:p w14:paraId="37E3B854">
            <w:pPr>
              <w:pageBreakBefore w:val="0"/>
              <w:kinsoku/>
              <w:overflowPunct/>
              <w:autoSpaceDE w:val="0"/>
              <w:autoSpaceDN w:val="0"/>
              <w:bidi w:val="0"/>
              <w:adjustRightInd w:val="0"/>
              <w:spacing w:line="360" w:lineRule="auto"/>
              <w:jc w:val="center"/>
              <w:rPr>
                <w:rFonts w:hint="eastAsia" w:ascii="宋体" w:hAnsi="宋体" w:eastAsia="宋体" w:cs="宋体"/>
                <w:sz w:val="24"/>
              </w:rPr>
            </w:pPr>
            <w:r>
              <w:rPr>
                <w:rFonts w:hint="eastAsia" w:ascii="宋体" w:hAnsi="宋体" w:eastAsia="宋体" w:cs="宋体"/>
                <w:sz w:val="24"/>
              </w:rPr>
              <w:t>竞争性磋商</w:t>
            </w:r>
          </w:p>
        </w:tc>
        <w:tc>
          <w:tcPr>
            <w:tcW w:w="5163" w:type="dxa"/>
          </w:tcPr>
          <w:p w14:paraId="3D5A7C8E">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1、磋商时，供应商通过交易系统的磋商大厅与磋商小组进行磋商。</w:t>
            </w:r>
          </w:p>
          <w:p w14:paraId="024B718A">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2、磋商小组对电子化磋商响应文件有质疑的，将通过电子化交易系统对供应商发起质疑，并在监督人员的监督下，使用免提电话致电供应商要求其对质疑问题进行答复。供应商应及时对质疑进行在线回复，回复文件以经过供应商和其法定代表人签章的PDF格式文件为准，并通过电子化交易系统提交至磋商小组。</w:t>
            </w:r>
          </w:p>
          <w:p w14:paraId="23C83882">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3、磋商小组对需要答复的供应商连续三次致电未接通的，视为供应商放弃答复，磋商小组将自行对该质疑内容进行认定。</w:t>
            </w:r>
          </w:p>
        </w:tc>
      </w:tr>
      <w:tr w14:paraId="06CD0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552DA7E9">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5.2.1</w:t>
            </w:r>
          </w:p>
        </w:tc>
        <w:tc>
          <w:tcPr>
            <w:tcW w:w="2334" w:type="dxa"/>
            <w:vAlign w:val="center"/>
          </w:tcPr>
          <w:p w14:paraId="66304B7C">
            <w:pPr>
              <w:pageBreakBefore w:val="0"/>
              <w:kinsoku/>
              <w:overflowPunct/>
              <w:autoSpaceDE w:val="0"/>
              <w:autoSpaceDN w:val="0"/>
              <w:bidi w:val="0"/>
              <w:adjustRightInd w:val="0"/>
              <w:spacing w:line="360" w:lineRule="auto"/>
              <w:jc w:val="center"/>
              <w:rPr>
                <w:rFonts w:hint="eastAsia" w:ascii="宋体" w:hAnsi="宋体" w:eastAsia="宋体" w:cs="宋体"/>
                <w:sz w:val="24"/>
              </w:rPr>
            </w:pPr>
            <w:r>
              <w:rPr>
                <w:rFonts w:hint="eastAsia" w:ascii="宋体" w:hAnsi="宋体" w:eastAsia="宋体" w:cs="宋体"/>
                <w:sz w:val="24"/>
              </w:rPr>
              <w:t>资格审查</w:t>
            </w:r>
          </w:p>
        </w:tc>
        <w:tc>
          <w:tcPr>
            <w:tcW w:w="5163" w:type="dxa"/>
          </w:tcPr>
          <w:p w14:paraId="71FD363A">
            <w:pPr>
              <w:pageBreakBefore w:val="0"/>
              <w:kinsoku/>
              <w:overflowPunct/>
              <w:bidi w:val="0"/>
              <w:spacing w:line="360" w:lineRule="auto"/>
              <w:rPr>
                <w:rFonts w:hint="eastAsia" w:ascii="宋体" w:hAnsi="宋体" w:eastAsia="宋体" w:cs="宋体"/>
                <w:sz w:val="24"/>
                <w:szCs w:val="24"/>
              </w:rPr>
            </w:pPr>
            <w:r>
              <w:rPr>
                <w:rFonts w:hint="eastAsia" w:ascii="宋体" w:hAnsi="宋体" w:eastAsia="宋体" w:cs="宋体"/>
                <w:sz w:val="24"/>
                <w:szCs w:val="24"/>
              </w:rPr>
              <w:t>本项目为资格后审，资格审查</w:t>
            </w:r>
            <w:r>
              <w:rPr>
                <w:rFonts w:hint="eastAsia" w:ascii="宋体" w:hAnsi="宋体" w:eastAsia="宋体" w:cs="宋体"/>
                <w:sz w:val="24"/>
                <w:szCs w:val="24"/>
                <w:lang w:val="en-US" w:eastAsia="zh-CN"/>
              </w:rPr>
              <w:t>由</w:t>
            </w:r>
            <w:r>
              <w:rPr>
                <w:rFonts w:hint="eastAsia" w:ascii="宋体" w:hAnsi="宋体" w:eastAsia="宋体" w:cs="宋体"/>
                <w:sz w:val="24"/>
                <w:szCs w:val="24"/>
              </w:rPr>
              <w:t>磋商小组负责。</w:t>
            </w:r>
          </w:p>
          <w:p w14:paraId="2643D7E6">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szCs w:val="24"/>
              </w:rPr>
              <w:t>供应商资格审查内容以</w:t>
            </w:r>
            <w:r>
              <w:rPr>
                <w:rFonts w:hint="eastAsia" w:ascii="宋体" w:hAnsi="宋体" w:eastAsia="宋体" w:cs="宋体"/>
                <w:bCs/>
                <w:sz w:val="24"/>
                <w:szCs w:val="24"/>
              </w:rPr>
              <w:t>供应商在其响应文件“资格审查资料”中上传的信息为准</w:t>
            </w:r>
            <w:r>
              <w:rPr>
                <w:rFonts w:hint="eastAsia" w:ascii="宋体" w:hAnsi="宋体" w:eastAsia="宋体" w:cs="宋体"/>
                <w:sz w:val="24"/>
                <w:szCs w:val="24"/>
              </w:rPr>
              <w:t>。供应商上传的信息资料扫描件必须清晰可辨、真实有效（供应商对其真实性负责）。否则，由此造成的资格审查不合格或应得分而未得分等情况的，由供应商承担责任。</w:t>
            </w:r>
          </w:p>
        </w:tc>
      </w:tr>
      <w:tr w14:paraId="3A8FA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4FEFA4F0">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5.6</w:t>
            </w:r>
          </w:p>
        </w:tc>
        <w:tc>
          <w:tcPr>
            <w:tcW w:w="2334" w:type="dxa"/>
            <w:vAlign w:val="center"/>
          </w:tcPr>
          <w:p w14:paraId="5AB25AB6">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是否授权磋商小组确定成交供应商</w:t>
            </w:r>
          </w:p>
        </w:tc>
        <w:tc>
          <w:tcPr>
            <w:tcW w:w="5163" w:type="dxa"/>
            <w:vAlign w:val="center"/>
          </w:tcPr>
          <w:p w14:paraId="5820EE2C">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否，推荐的成交候选人数：三名</w:t>
            </w:r>
          </w:p>
        </w:tc>
      </w:tr>
      <w:tr w14:paraId="53BB7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67C98AF9">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9</w:t>
            </w:r>
          </w:p>
        </w:tc>
        <w:tc>
          <w:tcPr>
            <w:tcW w:w="7497" w:type="dxa"/>
            <w:gridSpan w:val="2"/>
            <w:vAlign w:val="center"/>
          </w:tcPr>
          <w:p w14:paraId="64DADE95">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kern w:val="0"/>
                <w:sz w:val="24"/>
              </w:rPr>
              <w:t>需要补充的其他内容</w:t>
            </w:r>
          </w:p>
        </w:tc>
      </w:tr>
      <w:tr w14:paraId="73788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587335F8">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9.1</w:t>
            </w:r>
          </w:p>
        </w:tc>
        <w:tc>
          <w:tcPr>
            <w:tcW w:w="2334" w:type="dxa"/>
            <w:vAlign w:val="center"/>
          </w:tcPr>
          <w:p w14:paraId="2B5AB90E">
            <w:pPr>
              <w:pageBreakBefore w:val="0"/>
              <w:kinsoku/>
              <w:overflowPunct/>
              <w:bidi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磋商保证金</w:t>
            </w:r>
          </w:p>
        </w:tc>
        <w:tc>
          <w:tcPr>
            <w:tcW w:w="5163" w:type="dxa"/>
            <w:vAlign w:val="center"/>
          </w:tcPr>
          <w:p w14:paraId="6376D860">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szCs w:val="24"/>
              </w:rPr>
              <w:t>根据《河南省财政厅关于优化政府采购营商环境有关问题的通知》（豫财购【2019】4号）第6条的规定，磋商保证金不再收取。</w:t>
            </w:r>
          </w:p>
        </w:tc>
      </w:tr>
      <w:tr w14:paraId="2E91B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07AC6797">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9.2</w:t>
            </w:r>
          </w:p>
        </w:tc>
        <w:tc>
          <w:tcPr>
            <w:tcW w:w="2334" w:type="dxa"/>
            <w:vAlign w:val="center"/>
          </w:tcPr>
          <w:p w14:paraId="7BCA1BBA">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sz w:val="24"/>
              </w:rPr>
              <w:t>履约保证金</w:t>
            </w:r>
          </w:p>
        </w:tc>
        <w:tc>
          <w:tcPr>
            <w:tcW w:w="5163" w:type="dxa"/>
            <w:vAlign w:val="center"/>
          </w:tcPr>
          <w:p w14:paraId="37766DF4">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color w:val="000000"/>
                <w:kern w:val="0"/>
                <w:sz w:val="24"/>
                <w:szCs w:val="24"/>
              </w:rPr>
              <w:t>采购人与中标单位自行协商</w:t>
            </w:r>
          </w:p>
        </w:tc>
      </w:tr>
      <w:tr w14:paraId="42921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5042834A">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9.3</w:t>
            </w:r>
          </w:p>
        </w:tc>
        <w:tc>
          <w:tcPr>
            <w:tcW w:w="2334" w:type="dxa"/>
            <w:vAlign w:val="center"/>
          </w:tcPr>
          <w:p w14:paraId="38408248">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付款方式</w:t>
            </w:r>
          </w:p>
        </w:tc>
        <w:tc>
          <w:tcPr>
            <w:tcW w:w="5163" w:type="dxa"/>
            <w:vAlign w:val="center"/>
          </w:tcPr>
          <w:p w14:paraId="42B1FC64">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双方在合同中协商约定,但不得违反国家、省、市相关规定。</w:t>
            </w:r>
          </w:p>
        </w:tc>
      </w:tr>
      <w:tr w14:paraId="62C41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61EB41C1">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9.4</w:t>
            </w:r>
          </w:p>
        </w:tc>
        <w:tc>
          <w:tcPr>
            <w:tcW w:w="2334" w:type="dxa"/>
            <w:vAlign w:val="center"/>
          </w:tcPr>
          <w:p w14:paraId="21673A4E">
            <w:pPr>
              <w:pageBreakBefore w:val="0"/>
              <w:kinsoku/>
              <w:overflowPunct/>
              <w:autoSpaceDE w:val="0"/>
              <w:autoSpaceDN w:val="0"/>
              <w:bidi w:val="0"/>
              <w:adjustRightInd w:val="0"/>
              <w:spacing w:line="360" w:lineRule="auto"/>
              <w:jc w:val="center"/>
              <w:rPr>
                <w:rFonts w:hint="eastAsia" w:ascii="宋体" w:hAnsi="宋体" w:eastAsia="宋体" w:cs="宋体"/>
                <w:bCs/>
                <w:kern w:val="0"/>
                <w:sz w:val="24"/>
              </w:rPr>
            </w:pPr>
            <w:r>
              <w:rPr>
                <w:rFonts w:hint="eastAsia" w:ascii="宋体" w:hAnsi="宋体" w:eastAsia="宋体" w:cs="宋体"/>
                <w:bCs/>
                <w:kern w:val="0"/>
                <w:sz w:val="24"/>
              </w:rPr>
              <w:t>采购控制价</w:t>
            </w:r>
          </w:p>
        </w:tc>
        <w:tc>
          <w:tcPr>
            <w:tcW w:w="5163" w:type="dxa"/>
            <w:vAlign w:val="center"/>
          </w:tcPr>
          <w:p w14:paraId="544C2BFF">
            <w:pPr>
              <w:pageBreakBefore w:val="0"/>
              <w:kinsoku/>
              <w:overflowPunct/>
              <w:bidi w:val="0"/>
              <w:spacing w:line="360" w:lineRule="auto"/>
              <w:rPr>
                <w:rFonts w:hint="eastAsia" w:ascii="宋体" w:hAnsi="宋体" w:eastAsia="宋体" w:cs="宋体"/>
                <w:sz w:val="24"/>
                <w:szCs w:val="24"/>
              </w:rPr>
            </w:pPr>
            <w:r>
              <w:rPr>
                <w:rFonts w:hint="eastAsia" w:ascii="宋体" w:hAnsi="宋体" w:eastAsia="宋体" w:cs="宋体"/>
                <w:sz w:val="24"/>
                <w:szCs w:val="24"/>
              </w:rPr>
              <w:t>招标控制价：</w:t>
            </w:r>
            <w:r>
              <w:rPr>
                <w:rFonts w:hint="eastAsia" w:ascii="宋体" w:hAnsi="宋体" w:eastAsia="宋体" w:cs="宋体"/>
                <w:sz w:val="24"/>
                <w:szCs w:val="24"/>
                <w:lang w:eastAsia="zh-CN"/>
              </w:rPr>
              <w:t>1879128.84元</w:t>
            </w:r>
            <w:r>
              <w:rPr>
                <w:rFonts w:hint="eastAsia" w:ascii="宋体" w:hAnsi="宋体" w:eastAsia="宋体" w:cs="宋体"/>
                <w:sz w:val="24"/>
                <w:szCs w:val="24"/>
              </w:rPr>
              <w:t>；</w:t>
            </w:r>
          </w:p>
          <w:p w14:paraId="3AE02ADB">
            <w:pPr>
              <w:pageBreakBefore w:val="0"/>
              <w:kinsoku/>
              <w:overflowPunct/>
              <w:autoSpaceDE w:val="0"/>
              <w:autoSpaceDN w:val="0"/>
              <w:bidi w:val="0"/>
              <w:adjustRightInd w:val="0"/>
              <w:spacing w:line="360" w:lineRule="auto"/>
              <w:jc w:val="left"/>
              <w:rPr>
                <w:rFonts w:hint="eastAsia" w:ascii="宋体" w:hAnsi="宋体" w:eastAsia="宋体" w:cs="宋体"/>
                <w:bCs/>
                <w:kern w:val="0"/>
                <w:sz w:val="24"/>
              </w:rPr>
            </w:pPr>
            <w:r>
              <w:rPr>
                <w:rFonts w:hint="eastAsia" w:ascii="宋体" w:hAnsi="宋体" w:eastAsia="宋体" w:cs="宋体"/>
                <w:bCs/>
                <w:kern w:val="0"/>
                <w:sz w:val="24"/>
              </w:rPr>
              <w:t>招标控制价是招标人控制招标工程造价的最高限价，大于招标控制价的报价视为无效报价其</w:t>
            </w:r>
            <w:r>
              <w:rPr>
                <w:rFonts w:hint="eastAsia" w:ascii="宋体" w:hAnsi="宋体" w:eastAsia="宋体" w:cs="宋体"/>
                <w:bCs/>
                <w:kern w:val="0"/>
                <w:sz w:val="24"/>
                <w:lang w:eastAsia="zh-CN"/>
              </w:rPr>
              <w:t>投标报价</w:t>
            </w:r>
            <w:r>
              <w:rPr>
                <w:rFonts w:hint="eastAsia" w:ascii="宋体" w:hAnsi="宋体" w:eastAsia="宋体" w:cs="宋体"/>
                <w:bCs/>
                <w:kern w:val="0"/>
                <w:sz w:val="24"/>
              </w:rPr>
              <w:t xml:space="preserve">不再进行评审。有效报价是指不超过招标控制价的报价。 </w:t>
            </w:r>
          </w:p>
        </w:tc>
      </w:tr>
      <w:tr w14:paraId="19B79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4D0CD693">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9.5</w:t>
            </w:r>
          </w:p>
        </w:tc>
        <w:tc>
          <w:tcPr>
            <w:tcW w:w="2334" w:type="dxa"/>
            <w:vAlign w:val="center"/>
          </w:tcPr>
          <w:p w14:paraId="6B7D2102">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sz w:val="24"/>
              </w:rPr>
              <w:t>招标代理服务费</w:t>
            </w:r>
          </w:p>
        </w:tc>
        <w:tc>
          <w:tcPr>
            <w:tcW w:w="5163" w:type="dxa"/>
            <w:vAlign w:val="center"/>
          </w:tcPr>
          <w:p w14:paraId="536FD469">
            <w:pPr>
              <w:pageBreakBefore w:val="0"/>
              <w:kinsoku/>
              <w:overflowPunct/>
              <w:bidi w:val="0"/>
              <w:spacing w:line="360" w:lineRule="auto"/>
              <w:rPr>
                <w:rFonts w:hint="eastAsia" w:ascii="宋体" w:hAnsi="宋体" w:eastAsia="宋体" w:cs="宋体"/>
                <w:sz w:val="24"/>
                <w:lang w:val="en-US" w:eastAsia="zh-CN"/>
              </w:rPr>
            </w:pPr>
            <w:r>
              <w:rPr>
                <w:rFonts w:hint="eastAsia" w:ascii="宋体" w:hAnsi="宋体" w:eastAsia="宋体" w:cs="宋体"/>
                <w:sz w:val="24"/>
                <w:lang w:val="en-US" w:eastAsia="zh-CN"/>
              </w:rPr>
              <w:t>1.1收取标准：参考河南省招标代理服务收费指导意见（豫招协[2023]002号）规定的收费标准计算。</w:t>
            </w:r>
          </w:p>
          <w:p w14:paraId="29CA10D6">
            <w:pPr>
              <w:pageBreakBefore w:val="0"/>
              <w:kinsoku/>
              <w:overflowPunct/>
              <w:bidi w:val="0"/>
              <w:spacing w:line="360" w:lineRule="auto"/>
              <w:rPr>
                <w:rFonts w:hint="eastAsia" w:ascii="宋体" w:hAnsi="宋体" w:eastAsia="宋体" w:cs="宋体"/>
                <w:sz w:val="24"/>
                <w:lang w:val="en-US" w:eastAsia="zh-CN"/>
              </w:rPr>
            </w:pPr>
            <w:r>
              <w:rPr>
                <w:rFonts w:hint="eastAsia" w:ascii="宋体" w:hAnsi="宋体" w:eastAsia="宋体" w:cs="宋体"/>
                <w:sz w:val="24"/>
                <w:lang w:val="en-US" w:eastAsia="zh-CN"/>
              </w:rPr>
              <w:t>1.2收取方式：中标人在领取通知书时，以现金或转账的方式一次性向代理机构缴纳代理服务费。</w:t>
            </w:r>
          </w:p>
          <w:p w14:paraId="0A99BAEB">
            <w:pPr>
              <w:pageBreakBefore w:val="0"/>
              <w:kinsoku/>
              <w:overflowPunct/>
              <w:bidi w:val="0"/>
              <w:spacing w:line="360" w:lineRule="auto"/>
              <w:rPr>
                <w:rFonts w:hint="eastAsia" w:ascii="宋体" w:hAnsi="宋体" w:eastAsia="宋体" w:cs="宋体"/>
                <w:sz w:val="24"/>
                <w:lang w:val="en-US" w:eastAsia="zh-CN"/>
              </w:rPr>
            </w:pPr>
            <w:r>
              <w:rPr>
                <w:rFonts w:hint="eastAsia" w:ascii="宋体" w:hAnsi="宋体" w:eastAsia="宋体" w:cs="宋体"/>
                <w:sz w:val="24"/>
                <w:lang w:val="en-US" w:eastAsia="zh-CN"/>
              </w:rPr>
              <w:t>1.3中标人领取通知书时向招标代理机构提交2份纸质投标文件并按以下要求装订：胶装（不得采用活页装订），应有目录，并逐页标注连续页码，需加盖公章。</w:t>
            </w:r>
          </w:p>
        </w:tc>
      </w:tr>
      <w:tr w14:paraId="31C00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016CDF3C">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bookmarkStart w:id="4" w:name="_Toc14871"/>
            <w:bookmarkStart w:id="5" w:name="_Toc466284452"/>
            <w:r>
              <w:rPr>
                <w:rFonts w:hint="eastAsia" w:ascii="宋体" w:hAnsi="宋体" w:eastAsia="宋体" w:cs="宋体"/>
                <w:kern w:val="0"/>
                <w:sz w:val="24"/>
              </w:rPr>
              <w:t>9.6</w:t>
            </w:r>
          </w:p>
        </w:tc>
        <w:tc>
          <w:tcPr>
            <w:tcW w:w="2334" w:type="dxa"/>
            <w:vAlign w:val="center"/>
          </w:tcPr>
          <w:p w14:paraId="77D03677">
            <w:pPr>
              <w:pageBreakBefore w:val="0"/>
              <w:kinsoku/>
              <w:overflowPunct/>
              <w:autoSpaceDE w:val="0"/>
              <w:autoSpaceDN w:val="0"/>
              <w:bidi w:val="0"/>
              <w:adjustRightInd w:val="0"/>
              <w:spacing w:line="360" w:lineRule="auto"/>
              <w:jc w:val="center"/>
              <w:rPr>
                <w:rFonts w:hint="eastAsia" w:ascii="宋体" w:hAnsi="宋体" w:eastAsia="宋体" w:cs="宋体"/>
                <w:kern w:val="0"/>
                <w:sz w:val="24"/>
              </w:rPr>
            </w:pPr>
            <w:r>
              <w:rPr>
                <w:rFonts w:hint="eastAsia" w:ascii="宋体" w:hAnsi="宋体" w:eastAsia="宋体" w:cs="宋体"/>
                <w:kern w:val="0"/>
                <w:sz w:val="24"/>
              </w:rPr>
              <w:t>其他声明</w:t>
            </w:r>
          </w:p>
        </w:tc>
        <w:tc>
          <w:tcPr>
            <w:tcW w:w="5163" w:type="dxa"/>
            <w:vAlign w:val="center"/>
          </w:tcPr>
          <w:p w14:paraId="2E6975B6">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1、本项目为电子化、无纸化交易项目，磋商时不再接受任何纸质资料，供应商按要求在三门峡市公共资源电子化交易系统中提交电子化磋商响应文件即可。为保证您能成功参加竞标，请需仔细阅读磋商文件和三门峡市公共资源交易中心官网业务办理指南；</w:t>
            </w:r>
          </w:p>
          <w:p w14:paraId="21926662">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2、在符合相关法律法规的前提下，磋商文件的解释权归采购人所有。本磋商文件中其他部分内容与供应商须知前附表不一致的，以供应商须知前附表为准。</w:t>
            </w:r>
          </w:p>
          <w:p w14:paraId="51C02675">
            <w:pPr>
              <w:pageBreakBefore w:val="0"/>
              <w:kinsoku/>
              <w:overflowPunct/>
              <w:bidi w:val="0"/>
              <w:spacing w:line="360" w:lineRule="auto"/>
              <w:rPr>
                <w:rFonts w:hint="eastAsia" w:ascii="宋体" w:hAnsi="宋体" w:eastAsia="宋体" w:cs="宋体"/>
                <w:sz w:val="24"/>
              </w:rPr>
            </w:pPr>
            <w:r>
              <w:rPr>
                <w:rFonts w:hint="eastAsia" w:ascii="宋体" w:hAnsi="宋体" w:eastAsia="宋体" w:cs="宋体"/>
                <w:sz w:val="24"/>
              </w:rPr>
              <w:t>3、本竞争性磋商文件未尽事宜，执行国家、省、市相关规定。</w:t>
            </w:r>
          </w:p>
        </w:tc>
      </w:tr>
    </w:tbl>
    <w:p w14:paraId="2249C91D">
      <w:pPr>
        <w:rPr>
          <w:rFonts w:hint="eastAsia" w:ascii="宋体" w:hAnsi="宋体" w:eastAsia="宋体" w:cs="宋体"/>
          <w:b/>
        </w:rPr>
      </w:pPr>
      <w:r>
        <w:rPr>
          <w:rFonts w:hint="eastAsia" w:ascii="宋体" w:hAnsi="宋体" w:eastAsia="宋体" w:cs="宋体"/>
          <w:b/>
        </w:rPr>
        <w:br w:type="page"/>
      </w:r>
    </w:p>
    <w:p w14:paraId="7C7605AF">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6" w:name="_Toc20260"/>
      <w:r>
        <w:rPr>
          <w:rFonts w:hint="eastAsia" w:ascii="宋体" w:hAnsi="宋体" w:eastAsia="宋体" w:cs="宋体"/>
          <w:b/>
          <w:bCs/>
          <w:sz w:val="24"/>
          <w:szCs w:val="24"/>
          <w:lang w:val="en-US" w:eastAsia="zh-CN"/>
        </w:rPr>
        <w:t>1.</w:t>
      </w:r>
      <w:r>
        <w:rPr>
          <w:rFonts w:hint="eastAsia" w:ascii="宋体" w:hAnsi="宋体" w:eastAsia="宋体" w:cs="宋体"/>
          <w:b/>
          <w:bCs/>
          <w:sz w:val="24"/>
          <w:szCs w:val="24"/>
        </w:rPr>
        <w:t>总则</w:t>
      </w:r>
      <w:bookmarkEnd w:id="4"/>
      <w:bookmarkEnd w:id="5"/>
      <w:bookmarkEnd w:id="6"/>
    </w:p>
    <w:p w14:paraId="57397B75">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7" w:name="_Toc20729"/>
      <w:bookmarkStart w:id="8" w:name="_Toc466284453"/>
      <w:bookmarkStart w:id="9" w:name="_Toc380394466"/>
      <w:bookmarkStart w:id="10" w:name="_Toc62"/>
      <w:bookmarkStart w:id="11" w:name="_Toc6286"/>
      <w:bookmarkStart w:id="12" w:name="_Toc277149365"/>
      <w:bookmarkStart w:id="13" w:name="_Toc27981"/>
      <w:bookmarkStart w:id="14" w:name="_Toc278155328"/>
      <w:r>
        <w:rPr>
          <w:rFonts w:hint="eastAsia" w:ascii="宋体" w:hAnsi="宋体" w:eastAsia="宋体" w:cs="宋体"/>
          <w:b/>
          <w:bCs/>
          <w:sz w:val="24"/>
          <w:szCs w:val="24"/>
        </w:rPr>
        <w:t>1.1项目概况</w:t>
      </w:r>
      <w:bookmarkEnd w:id="7"/>
      <w:bookmarkEnd w:id="8"/>
      <w:bookmarkEnd w:id="9"/>
      <w:bookmarkEnd w:id="10"/>
      <w:bookmarkEnd w:id="11"/>
      <w:bookmarkEnd w:id="12"/>
      <w:bookmarkEnd w:id="13"/>
      <w:bookmarkEnd w:id="14"/>
    </w:p>
    <w:p w14:paraId="248220F0">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1.1.1根据《中华人民共和国政府采购法》等有关法律、法规和规章的规定，本磋商项目已具备竞争性磋商条件，现对本项目进行采购。</w:t>
      </w:r>
      <w:bookmarkStart w:id="15" w:name="_Toc269470299"/>
      <w:bookmarkStart w:id="16" w:name="_Toc270604807"/>
      <w:bookmarkStart w:id="17" w:name="_Toc380394470"/>
      <w:bookmarkStart w:id="18" w:name="_Toc466284457"/>
      <w:bookmarkStart w:id="19" w:name="_Toc278155332"/>
      <w:bookmarkStart w:id="20" w:name="_Toc270604580"/>
      <w:bookmarkStart w:id="21" w:name="_Toc277149369"/>
    </w:p>
    <w:p w14:paraId="5515474C">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1.1.2本次磋商项目采购人：见供应商须知前附表。</w:t>
      </w:r>
    </w:p>
    <w:p w14:paraId="533B4294">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1.1.3本次磋商项目代理机构：见供应商须知前附表。</w:t>
      </w:r>
    </w:p>
    <w:p w14:paraId="773A90C0">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1.1.4本次磋商项目名称：见供应商须知前附表。</w:t>
      </w:r>
    </w:p>
    <w:p w14:paraId="1C8750D4">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1.1.5本项目实施地点：见供应商须知前附表。</w:t>
      </w:r>
    </w:p>
    <w:p w14:paraId="1ECEB146">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1.1.6本项目工程概况：见供应商须知前附表。</w:t>
      </w:r>
    </w:p>
    <w:p w14:paraId="4A21AD8E">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22" w:name="_Toc26640"/>
      <w:bookmarkStart w:id="23" w:name="_Toc21477"/>
      <w:bookmarkStart w:id="24" w:name="_Toc269470296"/>
      <w:bookmarkStart w:id="25" w:name="_Toc277149366"/>
      <w:bookmarkStart w:id="26" w:name="_Toc278155329"/>
      <w:bookmarkStart w:id="27" w:name="_Toc425761630"/>
      <w:bookmarkStart w:id="28" w:name="_Toc19001"/>
      <w:bookmarkStart w:id="29" w:name="_Toc270604804"/>
      <w:bookmarkStart w:id="30" w:name="_Toc380394467"/>
      <w:bookmarkStart w:id="31" w:name="_Toc15779"/>
      <w:bookmarkStart w:id="32" w:name="_Toc270604577"/>
      <w:r>
        <w:rPr>
          <w:rFonts w:hint="eastAsia" w:ascii="宋体" w:hAnsi="宋体" w:eastAsia="宋体" w:cs="宋体"/>
          <w:b/>
          <w:bCs/>
          <w:sz w:val="24"/>
          <w:szCs w:val="24"/>
        </w:rPr>
        <w:t>1.2资金来源和落实情况</w:t>
      </w:r>
      <w:bookmarkEnd w:id="22"/>
      <w:bookmarkEnd w:id="23"/>
      <w:bookmarkEnd w:id="24"/>
      <w:bookmarkEnd w:id="25"/>
      <w:bookmarkEnd w:id="26"/>
      <w:bookmarkEnd w:id="27"/>
      <w:bookmarkEnd w:id="28"/>
      <w:bookmarkEnd w:id="29"/>
      <w:bookmarkEnd w:id="30"/>
      <w:bookmarkEnd w:id="31"/>
      <w:bookmarkEnd w:id="32"/>
    </w:p>
    <w:p w14:paraId="3AC0C6EC">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1.2.1本采购项目的资金来源：见供应商须知前附表。</w:t>
      </w:r>
    </w:p>
    <w:p w14:paraId="34EC3326">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1.2.2本采购项目的资金落实情况：见供应商须知前附表。</w:t>
      </w:r>
    </w:p>
    <w:p w14:paraId="4026D786">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33" w:name="_Toc278155330"/>
      <w:bookmarkStart w:id="34" w:name="_Toc269470297"/>
      <w:bookmarkStart w:id="35" w:name="_Toc425761631"/>
      <w:bookmarkStart w:id="36" w:name="_Toc277149367"/>
      <w:bookmarkStart w:id="37" w:name="_Toc285"/>
      <w:bookmarkStart w:id="38" w:name="_Toc380394468"/>
      <w:bookmarkStart w:id="39" w:name="_Toc19528"/>
      <w:bookmarkStart w:id="40" w:name="_Toc22027"/>
      <w:bookmarkStart w:id="41" w:name="_Toc270604578"/>
      <w:bookmarkStart w:id="42" w:name="_Toc270604805"/>
      <w:bookmarkStart w:id="43" w:name="_Toc23999"/>
      <w:r>
        <w:rPr>
          <w:rFonts w:hint="eastAsia" w:ascii="宋体" w:hAnsi="宋体" w:eastAsia="宋体" w:cs="宋体"/>
          <w:b/>
          <w:bCs/>
          <w:sz w:val="24"/>
          <w:szCs w:val="24"/>
        </w:rPr>
        <w:t>1.3</w:t>
      </w:r>
      <w:r>
        <w:rPr>
          <w:rFonts w:hint="eastAsia" w:ascii="宋体" w:hAnsi="宋体" w:eastAsia="宋体" w:cs="宋体"/>
          <w:b/>
          <w:bCs/>
          <w:sz w:val="24"/>
          <w:szCs w:val="24"/>
          <w:lang w:eastAsia="zh-CN"/>
        </w:rPr>
        <w:t>磋商范围</w:t>
      </w:r>
      <w:r>
        <w:rPr>
          <w:rFonts w:hint="eastAsia" w:ascii="宋体" w:hAnsi="宋体" w:eastAsia="宋体" w:cs="宋体"/>
          <w:b/>
          <w:bCs/>
          <w:sz w:val="24"/>
          <w:szCs w:val="24"/>
        </w:rPr>
        <w:t>、工期</w:t>
      </w:r>
      <w:r>
        <w:rPr>
          <w:rFonts w:hint="eastAsia" w:ascii="宋体" w:hAnsi="宋体" w:eastAsia="宋体" w:cs="宋体"/>
          <w:b/>
          <w:bCs/>
          <w:sz w:val="24"/>
          <w:szCs w:val="24"/>
          <w:lang w:eastAsia="zh-CN"/>
        </w:rPr>
        <w:t>、</w:t>
      </w:r>
      <w:r>
        <w:rPr>
          <w:rFonts w:hint="eastAsia" w:ascii="宋体" w:hAnsi="宋体" w:eastAsia="宋体" w:cs="宋体"/>
          <w:b/>
          <w:bCs/>
          <w:sz w:val="24"/>
          <w:szCs w:val="24"/>
        </w:rPr>
        <w:t>质量</w:t>
      </w:r>
      <w:r>
        <w:rPr>
          <w:rFonts w:hint="eastAsia" w:ascii="宋体" w:hAnsi="宋体" w:eastAsia="宋体" w:cs="宋体"/>
          <w:b/>
          <w:bCs/>
          <w:sz w:val="24"/>
          <w:szCs w:val="24"/>
          <w:lang w:eastAsia="zh-CN"/>
        </w:rPr>
        <w:t>、缺陷责任期</w:t>
      </w:r>
      <w:r>
        <w:rPr>
          <w:rFonts w:hint="eastAsia" w:ascii="宋体" w:hAnsi="宋体" w:eastAsia="宋体" w:cs="宋体"/>
          <w:b/>
          <w:bCs/>
          <w:sz w:val="24"/>
          <w:szCs w:val="24"/>
        </w:rPr>
        <w:t>要求</w:t>
      </w:r>
      <w:bookmarkEnd w:id="33"/>
      <w:bookmarkEnd w:id="34"/>
      <w:bookmarkEnd w:id="35"/>
      <w:bookmarkEnd w:id="36"/>
      <w:bookmarkEnd w:id="37"/>
      <w:bookmarkEnd w:id="38"/>
      <w:bookmarkEnd w:id="39"/>
      <w:bookmarkEnd w:id="40"/>
      <w:bookmarkEnd w:id="41"/>
      <w:bookmarkEnd w:id="42"/>
      <w:bookmarkEnd w:id="43"/>
    </w:p>
    <w:p w14:paraId="4986D3C1">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1.3.1本次</w:t>
      </w:r>
      <w:r>
        <w:rPr>
          <w:rFonts w:hint="eastAsia" w:ascii="宋体" w:hAnsi="宋体" w:eastAsia="宋体" w:cs="宋体"/>
          <w:sz w:val="24"/>
          <w:szCs w:val="24"/>
          <w:lang w:eastAsia="zh-CN"/>
        </w:rPr>
        <w:t>磋商范围</w:t>
      </w:r>
      <w:r>
        <w:rPr>
          <w:rFonts w:hint="eastAsia" w:ascii="宋体" w:hAnsi="宋体" w:eastAsia="宋体" w:cs="宋体"/>
          <w:sz w:val="24"/>
          <w:szCs w:val="24"/>
        </w:rPr>
        <w:t>：见供应商须知前附表。</w:t>
      </w:r>
    </w:p>
    <w:p w14:paraId="644162C8">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1.3.2本项目的工期要求：见供应商须知前附表。</w:t>
      </w:r>
    </w:p>
    <w:p w14:paraId="7E8BA089">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1.3.3本项目的质量要求：见供应商须知前附表。</w:t>
      </w:r>
    </w:p>
    <w:p w14:paraId="401EFE90">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1.3.4本项目的</w:t>
      </w:r>
      <w:r>
        <w:rPr>
          <w:rFonts w:hint="eastAsia" w:ascii="宋体" w:hAnsi="宋体" w:eastAsia="宋体" w:cs="宋体"/>
          <w:sz w:val="24"/>
          <w:szCs w:val="24"/>
          <w:lang w:eastAsia="zh-CN"/>
        </w:rPr>
        <w:t>缺陷责任期</w:t>
      </w:r>
      <w:r>
        <w:rPr>
          <w:rFonts w:hint="eastAsia" w:ascii="宋体" w:hAnsi="宋体" w:eastAsia="宋体" w:cs="宋体"/>
          <w:sz w:val="24"/>
          <w:szCs w:val="24"/>
        </w:rPr>
        <w:t>要求：见供应商须知前附表。</w:t>
      </w:r>
    </w:p>
    <w:p w14:paraId="6E0FA4F9">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44" w:name="_Toc269470298"/>
      <w:bookmarkStart w:id="45" w:name="_Toc425761632"/>
      <w:bookmarkStart w:id="46" w:name="_Toc270604579"/>
      <w:bookmarkStart w:id="47" w:name="_Toc270604806"/>
      <w:bookmarkStart w:id="48" w:name="_Toc380394469"/>
      <w:bookmarkStart w:id="49" w:name="_Toc22973"/>
      <w:bookmarkStart w:id="50" w:name="_Toc15861"/>
      <w:bookmarkStart w:id="51" w:name="_Toc2252"/>
      <w:bookmarkStart w:id="52" w:name="_Toc6153"/>
      <w:bookmarkStart w:id="53" w:name="_Toc277149368"/>
      <w:bookmarkStart w:id="54" w:name="_Toc278155331"/>
      <w:r>
        <w:rPr>
          <w:rFonts w:hint="eastAsia" w:ascii="宋体" w:hAnsi="宋体" w:eastAsia="宋体" w:cs="宋体"/>
          <w:b/>
          <w:bCs/>
          <w:sz w:val="24"/>
          <w:szCs w:val="24"/>
        </w:rPr>
        <w:t>1.4供应商资格要求</w:t>
      </w:r>
      <w:bookmarkEnd w:id="44"/>
      <w:r>
        <w:rPr>
          <w:rFonts w:hint="eastAsia" w:ascii="宋体" w:hAnsi="宋体" w:eastAsia="宋体" w:cs="宋体"/>
          <w:b/>
          <w:bCs/>
          <w:sz w:val="24"/>
          <w:szCs w:val="24"/>
        </w:rPr>
        <w:t>：见供应商须知前附表。</w:t>
      </w:r>
      <w:bookmarkEnd w:id="45"/>
      <w:bookmarkEnd w:id="46"/>
      <w:bookmarkEnd w:id="47"/>
      <w:bookmarkEnd w:id="48"/>
      <w:bookmarkEnd w:id="49"/>
      <w:bookmarkEnd w:id="50"/>
      <w:bookmarkEnd w:id="51"/>
      <w:bookmarkEnd w:id="52"/>
      <w:bookmarkEnd w:id="53"/>
      <w:bookmarkEnd w:id="54"/>
    </w:p>
    <w:p w14:paraId="21074704">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1.4.1投标人应具备承担本项目的资质条件、能力和信誉。</w:t>
      </w:r>
    </w:p>
    <w:p w14:paraId="7B90A3B6">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（1）资质条件：见</w:t>
      </w:r>
      <w:r>
        <w:rPr>
          <w:rFonts w:hint="eastAsia" w:ascii="宋体" w:hAnsi="宋体" w:eastAsia="宋体" w:cs="宋体"/>
          <w:sz w:val="24"/>
          <w:szCs w:val="24"/>
          <w:lang w:eastAsia="zh-CN"/>
        </w:rPr>
        <w:t>供应商须知前附表</w:t>
      </w:r>
      <w:r>
        <w:rPr>
          <w:rFonts w:hint="eastAsia" w:ascii="宋体" w:hAnsi="宋体" w:eastAsia="宋体" w:cs="宋体"/>
          <w:sz w:val="24"/>
          <w:szCs w:val="24"/>
        </w:rPr>
        <w:t>；</w:t>
      </w:r>
    </w:p>
    <w:p w14:paraId="7B071CB0">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（2）项目经理资格：见</w:t>
      </w:r>
      <w:r>
        <w:rPr>
          <w:rFonts w:hint="eastAsia" w:ascii="宋体" w:hAnsi="宋体" w:eastAsia="宋体" w:cs="宋体"/>
          <w:sz w:val="24"/>
          <w:szCs w:val="24"/>
          <w:lang w:eastAsia="zh-CN"/>
        </w:rPr>
        <w:t>供应商须知前附表</w:t>
      </w:r>
      <w:r>
        <w:rPr>
          <w:rFonts w:hint="eastAsia" w:ascii="宋体" w:hAnsi="宋体" w:eastAsia="宋体" w:cs="宋体"/>
          <w:sz w:val="24"/>
          <w:szCs w:val="24"/>
        </w:rPr>
        <w:t>；</w:t>
      </w:r>
    </w:p>
    <w:p w14:paraId="698C52A0">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（3）信誉要求：见</w:t>
      </w:r>
      <w:r>
        <w:rPr>
          <w:rFonts w:hint="eastAsia" w:ascii="宋体" w:hAnsi="宋体" w:eastAsia="宋体" w:cs="宋体"/>
          <w:sz w:val="24"/>
          <w:szCs w:val="24"/>
          <w:lang w:eastAsia="zh-CN"/>
        </w:rPr>
        <w:t>供应商须知前附表</w:t>
      </w:r>
      <w:r>
        <w:rPr>
          <w:rFonts w:hint="eastAsia" w:ascii="宋体" w:hAnsi="宋体" w:eastAsia="宋体" w:cs="宋体"/>
          <w:sz w:val="24"/>
          <w:szCs w:val="24"/>
        </w:rPr>
        <w:t>；</w:t>
      </w:r>
    </w:p>
    <w:p w14:paraId="53291D45">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（4）其他要求：见</w:t>
      </w:r>
      <w:r>
        <w:rPr>
          <w:rFonts w:hint="eastAsia" w:ascii="宋体" w:hAnsi="宋体" w:eastAsia="宋体" w:cs="宋体"/>
          <w:sz w:val="24"/>
          <w:szCs w:val="24"/>
          <w:lang w:eastAsia="zh-CN"/>
        </w:rPr>
        <w:t>供应商须知前附表</w:t>
      </w:r>
      <w:r>
        <w:rPr>
          <w:rFonts w:hint="eastAsia" w:ascii="宋体" w:hAnsi="宋体" w:eastAsia="宋体" w:cs="宋体"/>
          <w:sz w:val="24"/>
          <w:szCs w:val="24"/>
        </w:rPr>
        <w:t>。</w:t>
      </w:r>
    </w:p>
    <w:p w14:paraId="3F9F6945">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1.4.2本项目不接受联合体投标。</w:t>
      </w:r>
    </w:p>
    <w:p w14:paraId="0B71DF5E">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1.4.3投标人不得存在下列情形之一：</w:t>
      </w:r>
    </w:p>
    <w:p w14:paraId="5AC0541F">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 xml:space="preserve">（1）为招标人不具有独立法人资格的附属机构（单位）； </w:t>
      </w:r>
    </w:p>
    <w:p w14:paraId="7F2BF82F">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（2）为</w:t>
      </w:r>
      <w:r>
        <w:rPr>
          <w:rFonts w:hint="eastAsia" w:ascii="宋体" w:hAnsi="宋体" w:eastAsia="宋体" w:cs="宋体"/>
          <w:sz w:val="24"/>
          <w:szCs w:val="24"/>
          <w:lang w:eastAsia="zh-CN"/>
        </w:rPr>
        <w:t>本项目</w:t>
      </w:r>
      <w:r>
        <w:rPr>
          <w:rFonts w:hint="eastAsia" w:ascii="宋体" w:hAnsi="宋体" w:eastAsia="宋体" w:cs="宋体"/>
          <w:sz w:val="24"/>
          <w:szCs w:val="24"/>
        </w:rPr>
        <w:t>前期准备提供设计或咨询服务的，但设计施工总承包的除外；</w:t>
      </w:r>
    </w:p>
    <w:p w14:paraId="383291CD">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（3）为</w:t>
      </w:r>
      <w:r>
        <w:rPr>
          <w:rFonts w:hint="eastAsia" w:ascii="宋体" w:hAnsi="宋体" w:eastAsia="宋体" w:cs="宋体"/>
          <w:sz w:val="24"/>
          <w:szCs w:val="24"/>
          <w:lang w:eastAsia="zh-CN"/>
        </w:rPr>
        <w:t>本项目</w:t>
      </w:r>
      <w:r>
        <w:rPr>
          <w:rFonts w:hint="eastAsia" w:ascii="宋体" w:hAnsi="宋体" w:eastAsia="宋体" w:cs="宋体"/>
          <w:sz w:val="24"/>
          <w:szCs w:val="24"/>
        </w:rPr>
        <w:t>的监理人；</w:t>
      </w:r>
    </w:p>
    <w:p w14:paraId="335715D6">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（4）为</w:t>
      </w:r>
      <w:r>
        <w:rPr>
          <w:rFonts w:hint="eastAsia" w:ascii="宋体" w:hAnsi="宋体" w:eastAsia="宋体" w:cs="宋体"/>
          <w:sz w:val="24"/>
          <w:szCs w:val="24"/>
          <w:lang w:eastAsia="zh-CN"/>
        </w:rPr>
        <w:t>本项目</w:t>
      </w:r>
      <w:r>
        <w:rPr>
          <w:rFonts w:hint="eastAsia" w:ascii="宋体" w:hAnsi="宋体" w:eastAsia="宋体" w:cs="宋体"/>
          <w:sz w:val="24"/>
          <w:szCs w:val="24"/>
        </w:rPr>
        <w:t>的代建人；</w:t>
      </w:r>
    </w:p>
    <w:p w14:paraId="7C2DACFD">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（5）为</w:t>
      </w:r>
      <w:r>
        <w:rPr>
          <w:rFonts w:hint="eastAsia" w:ascii="宋体" w:hAnsi="宋体" w:eastAsia="宋体" w:cs="宋体"/>
          <w:sz w:val="24"/>
          <w:szCs w:val="24"/>
          <w:lang w:eastAsia="zh-CN"/>
        </w:rPr>
        <w:t>本项目</w:t>
      </w:r>
      <w:r>
        <w:rPr>
          <w:rFonts w:hint="eastAsia" w:ascii="宋体" w:hAnsi="宋体" w:eastAsia="宋体" w:cs="宋体"/>
          <w:sz w:val="24"/>
          <w:szCs w:val="24"/>
        </w:rPr>
        <w:t>提供招标代理服务的；</w:t>
      </w:r>
    </w:p>
    <w:p w14:paraId="435B78D2">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（6）与</w:t>
      </w:r>
      <w:r>
        <w:rPr>
          <w:rFonts w:hint="eastAsia" w:ascii="宋体" w:hAnsi="宋体" w:eastAsia="宋体" w:cs="宋体"/>
          <w:sz w:val="24"/>
          <w:szCs w:val="24"/>
          <w:lang w:eastAsia="zh-CN"/>
        </w:rPr>
        <w:t>本项目</w:t>
      </w:r>
      <w:r>
        <w:rPr>
          <w:rFonts w:hint="eastAsia" w:ascii="宋体" w:hAnsi="宋体" w:eastAsia="宋体" w:cs="宋体"/>
          <w:sz w:val="24"/>
          <w:szCs w:val="24"/>
        </w:rPr>
        <w:t>的监理人或代建人或招标代理机构同为一个法定代表人的；</w:t>
      </w:r>
    </w:p>
    <w:p w14:paraId="477DAF98">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（7）与</w:t>
      </w:r>
      <w:r>
        <w:rPr>
          <w:rFonts w:hint="eastAsia" w:ascii="宋体" w:hAnsi="宋体" w:eastAsia="宋体" w:cs="宋体"/>
          <w:sz w:val="24"/>
          <w:szCs w:val="24"/>
          <w:lang w:eastAsia="zh-CN"/>
        </w:rPr>
        <w:t>本项目</w:t>
      </w:r>
      <w:r>
        <w:rPr>
          <w:rFonts w:hint="eastAsia" w:ascii="宋体" w:hAnsi="宋体" w:eastAsia="宋体" w:cs="宋体"/>
          <w:sz w:val="24"/>
          <w:szCs w:val="24"/>
        </w:rPr>
        <w:t>的监理人或代建人或招标代理机构相互控股或参股的；</w:t>
      </w:r>
    </w:p>
    <w:p w14:paraId="4B39D49E">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（8）与</w:t>
      </w:r>
      <w:r>
        <w:rPr>
          <w:rFonts w:hint="eastAsia" w:ascii="宋体" w:hAnsi="宋体" w:eastAsia="宋体" w:cs="宋体"/>
          <w:sz w:val="24"/>
          <w:szCs w:val="24"/>
          <w:lang w:eastAsia="zh-CN"/>
        </w:rPr>
        <w:t>本项目</w:t>
      </w:r>
      <w:r>
        <w:rPr>
          <w:rFonts w:hint="eastAsia" w:ascii="宋体" w:hAnsi="宋体" w:eastAsia="宋体" w:cs="宋体"/>
          <w:sz w:val="24"/>
          <w:szCs w:val="24"/>
        </w:rPr>
        <w:t>的监理人或代建人或招标代理机构相互任职或工作的；</w:t>
      </w:r>
    </w:p>
    <w:p w14:paraId="67A4D9F2">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（9）被责令停业的；</w:t>
      </w:r>
    </w:p>
    <w:p w14:paraId="0F213352">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（10）被暂停或取消投标资格的；</w:t>
      </w:r>
    </w:p>
    <w:p w14:paraId="3CDF4879">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（11）财产被接管或冻结的；</w:t>
      </w:r>
    </w:p>
    <w:p w14:paraId="1440DBE2">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（12）在最近三年内有骗取中标或严重违约或重大工程质量问题的。</w:t>
      </w:r>
    </w:p>
    <w:p w14:paraId="28874221">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55" w:name="_Toc18062"/>
      <w:bookmarkStart w:id="56" w:name="_Toc25040"/>
      <w:bookmarkStart w:id="57" w:name="_Toc976"/>
      <w:bookmarkStart w:id="58" w:name="_Toc10549"/>
      <w:r>
        <w:rPr>
          <w:rFonts w:hint="eastAsia" w:ascii="宋体" w:hAnsi="宋体" w:eastAsia="宋体" w:cs="宋体"/>
          <w:b/>
          <w:bCs/>
          <w:sz w:val="24"/>
          <w:szCs w:val="24"/>
        </w:rPr>
        <w:t>1.5费用承担</w:t>
      </w:r>
      <w:bookmarkEnd w:id="15"/>
      <w:bookmarkEnd w:id="16"/>
      <w:bookmarkEnd w:id="17"/>
      <w:bookmarkEnd w:id="18"/>
      <w:bookmarkEnd w:id="19"/>
      <w:bookmarkEnd w:id="20"/>
      <w:bookmarkEnd w:id="21"/>
      <w:bookmarkEnd w:id="55"/>
      <w:bookmarkEnd w:id="56"/>
      <w:bookmarkEnd w:id="57"/>
      <w:bookmarkEnd w:id="58"/>
    </w:p>
    <w:p w14:paraId="28375E12">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1.5.1供应商准备和参加磋商活动发生的一切费用自理。</w:t>
      </w:r>
    </w:p>
    <w:p w14:paraId="11E81805">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59" w:name="_Toc859"/>
      <w:bookmarkStart w:id="60" w:name="_Toc1107"/>
      <w:bookmarkStart w:id="61" w:name="_Toc270604581"/>
      <w:bookmarkStart w:id="62" w:name="_Toc269470300"/>
      <w:bookmarkStart w:id="63" w:name="_Toc7894"/>
      <w:bookmarkStart w:id="64" w:name="_Toc270604808"/>
      <w:bookmarkStart w:id="65" w:name="_Toc278155333"/>
      <w:bookmarkStart w:id="66" w:name="_Toc23515"/>
      <w:bookmarkStart w:id="67" w:name="_Toc466284458"/>
      <w:bookmarkStart w:id="68" w:name="_Toc277149370"/>
      <w:bookmarkStart w:id="69" w:name="_Toc380394471"/>
      <w:r>
        <w:rPr>
          <w:rFonts w:hint="eastAsia" w:ascii="宋体" w:hAnsi="宋体" w:eastAsia="宋体" w:cs="宋体"/>
          <w:b/>
          <w:bCs/>
          <w:sz w:val="24"/>
          <w:szCs w:val="24"/>
        </w:rPr>
        <w:t>1.6保密</w:t>
      </w:r>
      <w:bookmarkEnd w:id="59"/>
      <w:bookmarkEnd w:id="60"/>
      <w:bookmarkEnd w:id="61"/>
      <w:bookmarkEnd w:id="62"/>
      <w:bookmarkEnd w:id="63"/>
      <w:bookmarkEnd w:id="64"/>
      <w:bookmarkEnd w:id="65"/>
      <w:bookmarkEnd w:id="66"/>
      <w:bookmarkEnd w:id="67"/>
      <w:bookmarkEnd w:id="68"/>
      <w:bookmarkEnd w:id="69"/>
    </w:p>
    <w:p w14:paraId="6BABAEE7">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1.6.1磋商期间，直到授予成交的供应商合同止，凡是与磋商响应文件审查、澄清、评价、比较以及推荐成交候选人等方面的情况，均不得向供应商或其他无关的人员透露。</w:t>
      </w:r>
    </w:p>
    <w:p w14:paraId="0166FB5D">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1.6.2在磋商过程中，供应商如向磋商小组成员施加任何影响，都将会导致其磋商被拒绝。</w:t>
      </w:r>
    </w:p>
    <w:p w14:paraId="52D51D76">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1.6.3为保证成交结果的公正性，磋商期间直至授予成交供应商合同时，磋商小组成员不得与供应商私下交换意见。在磋商结束后，凡与磋商情况有接触的任何人不得也不应将磋商情况扩散出磋商小组成员之外。</w:t>
      </w:r>
    </w:p>
    <w:p w14:paraId="41939E2C">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1.6.</w:t>
      </w:r>
      <w:r>
        <w:rPr>
          <w:rFonts w:hint="eastAsia" w:ascii="宋体" w:hAnsi="宋体" w:eastAsia="宋体" w:cs="宋体"/>
          <w:sz w:val="24"/>
          <w:szCs w:val="24"/>
          <w:lang w:val="en-US" w:eastAsia="zh-CN"/>
        </w:rPr>
        <w:t>4</w:t>
      </w:r>
      <w:r>
        <w:rPr>
          <w:rFonts w:hint="eastAsia" w:ascii="宋体" w:hAnsi="宋体" w:eastAsia="宋体" w:cs="宋体"/>
          <w:sz w:val="24"/>
          <w:szCs w:val="24"/>
        </w:rPr>
        <w:t>参加本项目采购的供应商如对本次评审推荐的拟成交供应商有异议或发现违规违纪行为，请以书面形式向采购人、采购代理机构递交质疑函原件（不接受邮寄、电报、电传、传真、电子数据交换和电子邮件），超过法律规定时间将不再受理。</w:t>
      </w:r>
    </w:p>
    <w:p w14:paraId="16148FD7">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1.6.</w:t>
      </w:r>
      <w:r>
        <w:rPr>
          <w:rFonts w:hint="eastAsia" w:ascii="宋体" w:hAnsi="宋体" w:eastAsia="宋体" w:cs="宋体"/>
          <w:sz w:val="24"/>
          <w:szCs w:val="24"/>
          <w:lang w:val="en-US" w:eastAsia="zh-CN"/>
        </w:rPr>
        <w:t>5</w:t>
      </w:r>
      <w:r>
        <w:rPr>
          <w:rFonts w:hint="eastAsia" w:ascii="宋体" w:hAnsi="宋体" w:eastAsia="宋体" w:cs="宋体"/>
          <w:sz w:val="24"/>
          <w:szCs w:val="24"/>
        </w:rPr>
        <w:t>供应商递交的磋商文件不论中标与否均不予退还。</w:t>
      </w:r>
    </w:p>
    <w:p w14:paraId="050CAB7E">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70" w:name="_Toc25505"/>
      <w:bookmarkStart w:id="71" w:name="_Toc270604809"/>
      <w:bookmarkStart w:id="72" w:name="_Toc278155334"/>
      <w:bookmarkStart w:id="73" w:name="_Toc277149371"/>
      <w:bookmarkStart w:id="74" w:name="_Toc270604582"/>
      <w:bookmarkStart w:id="75" w:name="_Toc29602"/>
      <w:bookmarkStart w:id="76" w:name="_Toc269470301"/>
      <w:bookmarkStart w:id="77" w:name="_Toc17801"/>
      <w:bookmarkStart w:id="78" w:name="_Toc380394472"/>
      <w:bookmarkStart w:id="79" w:name="_Toc28471"/>
      <w:bookmarkStart w:id="80" w:name="_Toc466284459"/>
      <w:r>
        <w:rPr>
          <w:rFonts w:hint="eastAsia" w:ascii="宋体" w:hAnsi="宋体" w:eastAsia="宋体" w:cs="宋体"/>
          <w:b/>
          <w:bCs/>
          <w:sz w:val="24"/>
          <w:szCs w:val="24"/>
        </w:rPr>
        <w:t>1.7语言文字</w:t>
      </w:r>
      <w:bookmarkEnd w:id="70"/>
      <w:bookmarkEnd w:id="71"/>
      <w:bookmarkEnd w:id="72"/>
      <w:bookmarkEnd w:id="73"/>
      <w:bookmarkEnd w:id="74"/>
      <w:bookmarkEnd w:id="75"/>
      <w:bookmarkEnd w:id="76"/>
      <w:bookmarkEnd w:id="77"/>
      <w:bookmarkEnd w:id="78"/>
      <w:bookmarkEnd w:id="79"/>
      <w:bookmarkEnd w:id="80"/>
    </w:p>
    <w:p w14:paraId="49B329A5">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1.7.1除专用术语外，与采购有关的语言均使用中文。必要时专用术语应附有中文注释。</w:t>
      </w:r>
    </w:p>
    <w:p w14:paraId="15938BD3">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81" w:name="_Toc270604810"/>
      <w:bookmarkStart w:id="82" w:name="_Toc380394473"/>
      <w:bookmarkStart w:id="83" w:name="_Toc277149372"/>
      <w:bookmarkStart w:id="84" w:name="_Toc21514"/>
      <w:bookmarkStart w:id="85" w:name="_Toc9357"/>
      <w:bookmarkStart w:id="86" w:name="_Toc9268"/>
      <w:bookmarkStart w:id="87" w:name="_Toc278155335"/>
      <w:bookmarkStart w:id="88" w:name="_Toc466284460"/>
      <w:bookmarkStart w:id="89" w:name="_Toc270604583"/>
      <w:bookmarkStart w:id="90" w:name="_Toc20169"/>
      <w:bookmarkStart w:id="91" w:name="_Toc269470302"/>
      <w:r>
        <w:rPr>
          <w:rFonts w:hint="eastAsia" w:ascii="宋体" w:hAnsi="宋体" w:eastAsia="宋体" w:cs="宋体"/>
          <w:b/>
          <w:bCs/>
          <w:sz w:val="24"/>
          <w:szCs w:val="24"/>
        </w:rPr>
        <w:t>1.8计量单位</w:t>
      </w:r>
      <w:bookmarkEnd w:id="81"/>
      <w:bookmarkEnd w:id="82"/>
      <w:bookmarkEnd w:id="83"/>
      <w:bookmarkEnd w:id="84"/>
      <w:bookmarkEnd w:id="85"/>
      <w:bookmarkEnd w:id="86"/>
      <w:bookmarkEnd w:id="87"/>
      <w:bookmarkEnd w:id="88"/>
      <w:bookmarkEnd w:id="89"/>
      <w:bookmarkEnd w:id="90"/>
      <w:bookmarkEnd w:id="91"/>
    </w:p>
    <w:p w14:paraId="25938EF9">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1.8.1所有计量均采用中华人民共和国法定计量单位。</w:t>
      </w:r>
    </w:p>
    <w:p w14:paraId="56DA8CDE">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92" w:name="_Toc27455"/>
      <w:bookmarkStart w:id="93" w:name="_Toc380394474"/>
      <w:bookmarkStart w:id="94" w:name="_Toc25935"/>
      <w:bookmarkStart w:id="95" w:name="_Toc270604811"/>
      <w:bookmarkStart w:id="96" w:name="_Toc278155336"/>
      <w:bookmarkStart w:id="97" w:name="_Toc270604584"/>
      <w:bookmarkStart w:id="98" w:name="_Toc9488"/>
      <w:bookmarkStart w:id="99" w:name="_Toc277149373"/>
      <w:bookmarkStart w:id="100" w:name="_Toc269470303"/>
      <w:bookmarkStart w:id="101" w:name="_Toc466284461"/>
      <w:bookmarkStart w:id="102" w:name="_Toc22287"/>
      <w:r>
        <w:rPr>
          <w:rFonts w:hint="eastAsia" w:ascii="宋体" w:hAnsi="宋体" w:eastAsia="宋体" w:cs="宋体"/>
          <w:b/>
          <w:bCs/>
          <w:sz w:val="24"/>
          <w:szCs w:val="24"/>
        </w:rPr>
        <w:t>1.9踏勘现场</w:t>
      </w:r>
      <w:bookmarkEnd w:id="92"/>
      <w:bookmarkEnd w:id="93"/>
      <w:bookmarkEnd w:id="94"/>
      <w:bookmarkEnd w:id="95"/>
      <w:bookmarkEnd w:id="96"/>
      <w:bookmarkEnd w:id="97"/>
      <w:bookmarkEnd w:id="98"/>
      <w:bookmarkEnd w:id="99"/>
      <w:bookmarkEnd w:id="100"/>
      <w:bookmarkEnd w:id="101"/>
      <w:bookmarkEnd w:id="102"/>
    </w:p>
    <w:p w14:paraId="17E7B228">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1.9.1</w:t>
      </w:r>
      <w:r>
        <w:rPr>
          <w:rFonts w:hint="eastAsia" w:ascii="宋体" w:hAnsi="宋体" w:eastAsia="宋体" w:cs="宋体"/>
          <w:color w:val="auto"/>
          <w:sz w:val="24"/>
          <w:szCs w:val="24"/>
          <w:highlight w:val="none"/>
        </w:rPr>
        <w:t>不组织，投标人自行踏勘。</w:t>
      </w:r>
      <w:r>
        <w:rPr>
          <w:rFonts w:hint="eastAsia" w:ascii="宋体" w:hAnsi="宋体" w:eastAsia="宋体" w:cs="宋体"/>
          <w:sz w:val="24"/>
          <w:szCs w:val="24"/>
        </w:rPr>
        <w:t>供应商踏勘现场，所发生的费用自理。</w:t>
      </w:r>
    </w:p>
    <w:p w14:paraId="33B0B7DA">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1.9.2除采购人的原因外，供应商自行承担在踏勘现场中所发生的人员伤亡和财产损失。</w:t>
      </w:r>
    </w:p>
    <w:p w14:paraId="7ED829FA">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lang w:eastAsia="zh-CN"/>
        </w:rPr>
      </w:pPr>
      <w:r>
        <w:rPr>
          <w:rFonts w:hint="eastAsia" w:ascii="宋体" w:hAnsi="宋体" w:eastAsia="宋体" w:cs="宋体"/>
          <w:sz w:val="24"/>
          <w:szCs w:val="24"/>
        </w:rPr>
        <w:t>1.9.3采购人在踏勘现场中介绍的项目场地和相关的周边环境情况，供应商在编制磋商响应文件时参考</w:t>
      </w:r>
      <w:r>
        <w:rPr>
          <w:rFonts w:hint="eastAsia" w:ascii="宋体" w:hAnsi="宋体" w:eastAsia="宋体" w:cs="宋体"/>
          <w:sz w:val="24"/>
          <w:szCs w:val="24"/>
          <w:lang w:eastAsia="zh-CN"/>
        </w:rPr>
        <w:t>。</w:t>
      </w:r>
    </w:p>
    <w:p w14:paraId="7EEC40F7">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1.9.4采购人不对供应商据此作出的判断和决策负责。</w:t>
      </w:r>
    </w:p>
    <w:p w14:paraId="0736A652">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03" w:name="_Toc270604585"/>
      <w:bookmarkStart w:id="104" w:name="_Toc19570"/>
      <w:bookmarkStart w:id="105" w:name="_Toc1086"/>
      <w:bookmarkStart w:id="106" w:name="_Toc278155337"/>
      <w:bookmarkStart w:id="107" w:name="_Toc380394475"/>
      <w:bookmarkStart w:id="108" w:name="_Toc1914"/>
      <w:bookmarkStart w:id="109" w:name="_Toc466284462"/>
      <w:bookmarkStart w:id="110" w:name="_Toc269470304"/>
      <w:bookmarkStart w:id="111" w:name="_Toc270604812"/>
      <w:bookmarkStart w:id="112" w:name="_Toc277149374"/>
      <w:bookmarkStart w:id="113" w:name="_Toc29208"/>
      <w:r>
        <w:rPr>
          <w:rFonts w:hint="eastAsia" w:ascii="宋体" w:hAnsi="宋体" w:eastAsia="宋体" w:cs="宋体"/>
          <w:b/>
          <w:bCs/>
          <w:sz w:val="24"/>
          <w:szCs w:val="24"/>
        </w:rPr>
        <w:t>1.10磋商预备会</w:t>
      </w:r>
      <w:bookmarkEnd w:id="103"/>
      <w:bookmarkEnd w:id="104"/>
      <w:bookmarkEnd w:id="105"/>
      <w:bookmarkEnd w:id="106"/>
      <w:bookmarkEnd w:id="107"/>
      <w:bookmarkEnd w:id="108"/>
      <w:bookmarkEnd w:id="109"/>
      <w:bookmarkEnd w:id="110"/>
      <w:bookmarkEnd w:id="111"/>
      <w:bookmarkEnd w:id="112"/>
      <w:bookmarkEnd w:id="113"/>
    </w:p>
    <w:p w14:paraId="650BBD91">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1.10.1本次竞争性磋商不召开磋商预备会，供应商如有疑问，应通过交易系统提出问题，采购人通过发布公告的形式通知所有参加磋商的供应商。该部分内容为竞争性磋商文件的组成部分。</w:t>
      </w:r>
    </w:p>
    <w:p w14:paraId="2142C4B9">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14" w:name="_Toc380394476"/>
      <w:bookmarkStart w:id="115" w:name="_Toc31773"/>
      <w:bookmarkStart w:id="116" w:name="_Toc278155338"/>
      <w:bookmarkStart w:id="117" w:name="_Toc466284463"/>
      <w:bookmarkStart w:id="118" w:name="_Toc26014"/>
      <w:bookmarkStart w:id="119" w:name="_Toc277149375"/>
      <w:bookmarkStart w:id="120" w:name="_Toc270604813"/>
      <w:bookmarkStart w:id="121" w:name="_Toc5818"/>
      <w:bookmarkStart w:id="122" w:name="_Toc5553"/>
      <w:bookmarkStart w:id="123" w:name="_Toc270604586"/>
      <w:bookmarkStart w:id="124" w:name="_Toc269470305"/>
      <w:r>
        <w:rPr>
          <w:rFonts w:hint="eastAsia" w:ascii="宋体" w:hAnsi="宋体" w:eastAsia="宋体" w:cs="宋体"/>
          <w:b/>
          <w:bCs/>
          <w:sz w:val="24"/>
          <w:szCs w:val="24"/>
        </w:rPr>
        <w:t>1.11分包</w:t>
      </w:r>
      <w:bookmarkEnd w:id="114"/>
      <w:bookmarkEnd w:id="115"/>
      <w:bookmarkEnd w:id="116"/>
      <w:bookmarkEnd w:id="117"/>
      <w:bookmarkEnd w:id="118"/>
      <w:bookmarkEnd w:id="119"/>
      <w:bookmarkEnd w:id="120"/>
      <w:bookmarkEnd w:id="121"/>
      <w:bookmarkEnd w:id="122"/>
      <w:bookmarkEnd w:id="123"/>
      <w:bookmarkEnd w:id="124"/>
    </w:p>
    <w:p w14:paraId="77C6C743">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1.11.1本项目不允许分包。</w:t>
      </w:r>
    </w:p>
    <w:p w14:paraId="272C8FC3">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25" w:name="_Toc27093"/>
      <w:bookmarkStart w:id="126" w:name="_Toc16608"/>
      <w:bookmarkStart w:id="127" w:name="_Toc438797950"/>
      <w:bookmarkStart w:id="128" w:name="_Toc391284747"/>
      <w:bookmarkStart w:id="129" w:name="_Toc381"/>
      <w:bookmarkStart w:id="130" w:name="_Toc438797185"/>
      <w:bookmarkStart w:id="131" w:name="_Toc277149383"/>
      <w:bookmarkStart w:id="132" w:name="_Toc270604594"/>
      <w:bookmarkStart w:id="133" w:name="_Toc270604821"/>
      <w:bookmarkStart w:id="134" w:name="_Toc278155346"/>
      <w:bookmarkStart w:id="135" w:name="_Toc269470313"/>
      <w:bookmarkStart w:id="136" w:name="_Toc380394484"/>
      <w:bookmarkStart w:id="137" w:name="_Toc466284471"/>
      <w:r>
        <w:rPr>
          <w:rFonts w:hint="eastAsia" w:ascii="宋体" w:hAnsi="宋体" w:eastAsia="宋体" w:cs="宋体"/>
          <w:b/>
          <w:bCs/>
          <w:sz w:val="24"/>
          <w:szCs w:val="24"/>
          <w:lang w:val="en-US" w:eastAsia="zh-CN"/>
        </w:rPr>
        <w:t>2.</w:t>
      </w:r>
      <w:r>
        <w:rPr>
          <w:rFonts w:hint="eastAsia" w:ascii="宋体" w:hAnsi="宋体" w:eastAsia="宋体" w:cs="宋体"/>
          <w:b/>
          <w:bCs/>
          <w:sz w:val="24"/>
          <w:szCs w:val="24"/>
        </w:rPr>
        <w:t>竞争性磋商文件</w:t>
      </w:r>
      <w:bookmarkEnd w:id="125"/>
      <w:bookmarkEnd w:id="126"/>
      <w:bookmarkEnd w:id="127"/>
      <w:bookmarkEnd w:id="128"/>
      <w:bookmarkEnd w:id="129"/>
      <w:bookmarkEnd w:id="130"/>
    </w:p>
    <w:p w14:paraId="1EF8CBA0">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38" w:name="_Toc438797186"/>
      <w:bookmarkStart w:id="139" w:name="_Toc438797951"/>
      <w:bookmarkStart w:id="140" w:name="_Toc391284748"/>
      <w:r>
        <w:rPr>
          <w:rFonts w:hint="eastAsia" w:ascii="宋体" w:hAnsi="宋体" w:eastAsia="宋体" w:cs="宋体"/>
          <w:b/>
          <w:bCs/>
          <w:sz w:val="24"/>
          <w:szCs w:val="24"/>
        </w:rPr>
        <w:t>2.1竞争性磋商文件的组成</w:t>
      </w:r>
      <w:bookmarkEnd w:id="138"/>
      <w:bookmarkEnd w:id="139"/>
      <w:bookmarkEnd w:id="140"/>
    </w:p>
    <w:p w14:paraId="015884C2">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本竞争性磋商文件包括：</w:t>
      </w:r>
    </w:p>
    <w:p w14:paraId="12A896B1">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第一章  竞争性磋商公告；</w:t>
      </w:r>
    </w:p>
    <w:p w14:paraId="2CC271AA">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第二章  供应商须知；</w:t>
      </w:r>
    </w:p>
    <w:p w14:paraId="5CA27FCF">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第三章  评分办法；</w:t>
      </w:r>
    </w:p>
    <w:p w14:paraId="2A5C2E70">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 xml:space="preserve">第四章  </w:t>
      </w:r>
      <w:r>
        <w:rPr>
          <w:rFonts w:hint="eastAsia" w:ascii="宋体" w:hAnsi="宋体" w:eastAsia="宋体" w:cs="宋体"/>
          <w:sz w:val="24"/>
          <w:szCs w:val="24"/>
          <w:lang w:eastAsia="zh-CN"/>
        </w:rPr>
        <w:t>技术部分</w:t>
      </w:r>
      <w:r>
        <w:rPr>
          <w:rFonts w:hint="eastAsia" w:ascii="宋体" w:hAnsi="宋体" w:eastAsia="宋体" w:cs="宋体"/>
          <w:sz w:val="24"/>
          <w:szCs w:val="24"/>
        </w:rPr>
        <w:t>准和要求；</w:t>
      </w:r>
    </w:p>
    <w:p w14:paraId="32B5D111">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第五章  合同条款及格式；</w:t>
      </w:r>
    </w:p>
    <w:p w14:paraId="6A14D2BF">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第六章  磋商响应文件格式；</w:t>
      </w:r>
    </w:p>
    <w:p w14:paraId="7E678C89">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根据本章第1.10 款、第2.2 款和第2.3 款对竞争性磋商文件所作的澄清、修改，构成竞争性磋商文件的组成部分。</w:t>
      </w:r>
    </w:p>
    <w:p w14:paraId="3A7A465B">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41" w:name="_Toc438797187"/>
      <w:bookmarkStart w:id="142" w:name="_Toc391284749"/>
      <w:bookmarkStart w:id="143" w:name="_Toc438797952"/>
      <w:r>
        <w:rPr>
          <w:rFonts w:hint="eastAsia" w:ascii="宋体" w:hAnsi="宋体" w:eastAsia="宋体" w:cs="宋体"/>
          <w:b/>
          <w:bCs/>
          <w:sz w:val="24"/>
          <w:szCs w:val="24"/>
        </w:rPr>
        <w:t>2.2竞争性磋商文件的澄清</w:t>
      </w:r>
      <w:bookmarkEnd w:id="141"/>
      <w:bookmarkEnd w:id="142"/>
      <w:bookmarkEnd w:id="143"/>
    </w:p>
    <w:p w14:paraId="7F90D151">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2.2.1供应商应仔细阅读和检查竞争性磋商文件的全部内容。如发现缺页或附件不全，应及时向采购人提出，以便补齐。如有疑问，应在提交磋商响应文件截止时间五日前在电子交易系统中提出，要求采购人对竞争性磋商文件予以澄清，否则，将视为对本竞争性磋商文件要求无任何异议。</w:t>
      </w:r>
    </w:p>
    <w:p w14:paraId="7BC92CE0">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2.2.2竞争性磋商文件的澄清将在供应商须知前附表规定的时间在电子交易系统中以澄清公告的形式告知所有潜在供应商，但不指明澄清问题的来源。</w:t>
      </w:r>
    </w:p>
    <w:p w14:paraId="7C857DB3">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44" w:name="_Toc391284750"/>
      <w:bookmarkStart w:id="145" w:name="_Toc438797188"/>
      <w:bookmarkStart w:id="146" w:name="_Toc438797953"/>
      <w:r>
        <w:rPr>
          <w:rFonts w:hint="eastAsia" w:ascii="宋体" w:hAnsi="宋体" w:eastAsia="宋体" w:cs="宋体"/>
          <w:b/>
          <w:bCs/>
          <w:sz w:val="24"/>
          <w:szCs w:val="24"/>
        </w:rPr>
        <w:t>2.3竞争性磋商文件的修改</w:t>
      </w:r>
      <w:bookmarkEnd w:id="144"/>
      <w:bookmarkEnd w:id="145"/>
      <w:bookmarkEnd w:id="146"/>
    </w:p>
    <w:p w14:paraId="78944CEF">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2.3.1在竞标截止时间5天前，采购人可以在电子交易系统中修改竞争性磋商文件，并以公告的形式告知所有潜在供应商。如果修改竞争性磋商文件的时间距竞标截止时间不足5天，相应延长竞标截止时间。</w:t>
      </w:r>
    </w:p>
    <w:p w14:paraId="7B037898">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2.3.2采购人一旦对竞争性磋商文件作出了澄清、修改，即刻发生效力，采购人有关的补充文件，将作为竞争性磋商文件的组成部分。无论潜在的竞（投）标人是否实际收到该澄清和修改文件，磋商文件澄清、修改均对其具有约束力。同时，采购人和供应商的权利及义务将受到新的截止期的约束。</w:t>
      </w:r>
    </w:p>
    <w:p w14:paraId="4C2F23F6">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2.3.4修改（更正）或补充文件将作为竞争性磋商文件的组成部分，对所有供应商具有约束力。当竞争性磋商文件与修改（更正）或补充文件相矛盾时，以最后发出的修改（更正）或补充文件为准。</w:t>
      </w:r>
    </w:p>
    <w:p w14:paraId="0B375EF2">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2.4磋商报价</w:t>
      </w:r>
      <w:bookmarkEnd w:id="131"/>
      <w:bookmarkEnd w:id="132"/>
      <w:bookmarkEnd w:id="133"/>
      <w:bookmarkEnd w:id="134"/>
      <w:bookmarkEnd w:id="135"/>
      <w:bookmarkEnd w:id="136"/>
      <w:bookmarkEnd w:id="137"/>
    </w:p>
    <w:p w14:paraId="36FBCCDF">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bookmarkStart w:id="147" w:name="_Toc399229080"/>
      <w:bookmarkStart w:id="148" w:name="_Toc269470314"/>
      <w:bookmarkStart w:id="149" w:name="_Toc373158159"/>
      <w:bookmarkStart w:id="150" w:name="_Toc425761648"/>
      <w:bookmarkStart w:id="151" w:name="_Toc380394485"/>
      <w:bookmarkStart w:id="152" w:name="_Toc380394486"/>
      <w:bookmarkStart w:id="153" w:name="_Toc466284472"/>
      <w:r>
        <w:rPr>
          <w:rFonts w:hint="eastAsia" w:ascii="宋体" w:hAnsi="宋体" w:eastAsia="宋体" w:cs="宋体"/>
          <w:sz w:val="24"/>
          <w:szCs w:val="24"/>
        </w:rPr>
        <w:t>本项目磋商报价根据市场环境和生产要素价格变化情况及企业自身情况自主报价，但总价不得低于本项目实际成本。</w:t>
      </w:r>
    </w:p>
    <w:p w14:paraId="45E06967">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报价编制依据参本工程招标控制价编制依据。</w:t>
      </w:r>
    </w:p>
    <w:bookmarkEnd w:id="147"/>
    <w:bookmarkEnd w:id="148"/>
    <w:bookmarkEnd w:id="149"/>
    <w:bookmarkEnd w:id="150"/>
    <w:bookmarkEnd w:id="151"/>
    <w:p w14:paraId="68D8319B">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2.5磋商有效期</w:t>
      </w:r>
      <w:bookmarkEnd w:id="152"/>
      <w:bookmarkEnd w:id="153"/>
    </w:p>
    <w:p w14:paraId="183A57BE">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在供应商须知前附表规定的磋商有效期内，供应商不得要求撤销或修改其磋商响应文件。</w:t>
      </w:r>
    </w:p>
    <w:p w14:paraId="3D87A811">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54" w:name="_Toc270604596"/>
      <w:bookmarkStart w:id="155" w:name="_Toc269470318"/>
      <w:bookmarkStart w:id="156" w:name="_Toc466284473"/>
      <w:bookmarkStart w:id="157" w:name="_Toc270604823"/>
      <w:bookmarkStart w:id="158" w:name="_Toc278155348"/>
      <w:bookmarkStart w:id="159" w:name="_Toc380394487"/>
      <w:bookmarkStart w:id="160" w:name="_Toc277149385"/>
      <w:r>
        <w:rPr>
          <w:rFonts w:hint="eastAsia" w:ascii="宋体" w:hAnsi="宋体" w:eastAsia="宋体" w:cs="宋体"/>
          <w:b/>
          <w:bCs/>
          <w:sz w:val="24"/>
          <w:szCs w:val="24"/>
        </w:rPr>
        <w:t>2.6磋商响应文件的编制</w:t>
      </w:r>
      <w:bookmarkEnd w:id="154"/>
      <w:bookmarkEnd w:id="155"/>
      <w:bookmarkEnd w:id="156"/>
      <w:bookmarkEnd w:id="157"/>
      <w:bookmarkEnd w:id="158"/>
      <w:bookmarkEnd w:id="159"/>
      <w:bookmarkEnd w:id="160"/>
      <w:r>
        <w:rPr>
          <w:rFonts w:hint="eastAsia" w:ascii="宋体" w:hAnsi="宋体" w:eastAsia="宋体" w:cs="宋体"/>
          <w:b/>
          <w:bCs/>
          <w:sz w:val="24"/>
          <w:szCs w:val="24"/>
        </w:rPr>
        <w:t>和签署</w:t>
      </w:r>
    </w:p>
    <w:p w14:paraId="0AD7A21A">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2.6.1磋商响应文件应按第六章“磋商响应文件格式”进行编写，如有必要，可以增加附页，作为磋商响应文件的组成部分。</w:t>
      </w:r>
    </w:p>
    <w:p w14:paraId="4536DC33">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2.6.2磋商响应文件应当对竞争性磋商文件有关工期、磋商有效期、质量要求、</w:t>
      </w:r>
      <w:r>
        <w:rPr>
          <w:rFonts w:hint="eastAsia" w:ascii="宋体" w:hAnsi="宋体" w:eastAsia="宋体" w:cs="宋体"/>
          <w:sz w:val="24"/>
          <w:szCs w:val="24"/>
          <w:lang w:eastAsia="zh-CN"/>
        </w:rPr>
        <w:t>技术部分</w:t>
      </w:r>
      <w:r>
        <w:rPr>
          <w:rFonts w:hint="eastAsia" w:ascii="宋体" w:hAnsi="宋体" w:eastAsia="宋体" w:cs="宋体"/>
          <w:sz w:val="24"/>
          <w:szCs w:val="24"/>
        </w:rPr>
        <w:t>准和要求、</w:t>
      </w:r>
      <w:r>
        <w:rPr>
          <w:rFonts w:hint="eastAsia" w:ascii="宋体" w:hAnsi="宋体" w:eastAsia="宋体" w:cs="宋体"/>
          <w:sz w:val="24"/>
          <w:szCs w:val="24"/>
          <w:lang w:eastAsia="zh-CN"/>
        </w:rPr>
        <w:t>磋商范围</w:t>
      </w:r>
      <w:r>
        <w:rPr>
          <w:rFonts w:hint="eastAsia" w:ascii="宋体" w:hAnsi="宋体" w:eastAsia="宋体" w:cs="宋体"/>
          <w:sz w:val="24"/>
          <w:szCs w:val="24"/>
        </w:rPr>
        <w:t>等实质性内容作出响应。其中，磋商函附录在满足竞争性磋商文件实质性要求的基础上，可以提出比竞争性磋商文件要求更有利于采购人的承诺。</w:t>
      </w:r>
    </w:p>
    <w:p w14:paraId="0DA1C9E6">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2.6.3供应商在生成电子化磋商响应文件后，必须对电子化磋商响应文件进行电子签章，未进行签章的视为无效文件。</w:t>
      </w:r>
    </w:p>
    <w:p w14:paraId="3AD5D780">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2.6.4磋商文件中要求法定代表人或委托代理人签字或盖章的，供应商在进行电子化磋商响应文件签章时，以法定代表人签章为准。电子化磋商响应文件具体制作教材请供应商通过CA证书登录三门峡市公共资源电子化交易系统“交易智库-使用指南”中认真查看。</w:t>
      </w:r>
    </w:p>
    <w:p w14:paraId="7A6428BB">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电子化响应文件制作软件请点击https://download.bqpoint.com/download/downloaddetailfree.html?SourceFrom=Ztb&amp;ZtbSoftXiaQuCode=1506&amp;ZtbSoftType=tballinclusive进行下载。</w:t>
      </w:r>
    </w:p>
    <w:p w14:paraId="2849F726">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2.7电子化磋商响应文件的格式</w:t>
      </w:r>
    </w:p>
    <w:p w14:paraId="4BCDAE87">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bookmarkStart w:id="161" w:name="_Toc503885615"/>
      <w:bookmarkStart w:id="162" w:name="_Toc428276593"/>
      <w:bookmarkStart w:id="163" w:name="_Toc503886951"/>
      <w:bookmarkStart w:id="164" w:name="_Toc503112358"/>
      <w:r>
        <w:rPr>
          <w:rFonts w:hint="eastAsia" w:ascii="宋体" w:hAnsi="宋体" w:eastAsia="宋体" w:cs="宋体"/>
          <w:sz w:val="24"/>
          <w:szCs w:val="24"/>
        </w:rPr>
        <w:t>2.7.1供应商所上传的电子化磋商响应文件，应是通过三门峡市公共资源电子化交易系统磋商响应文件制作系统制作、经过签章和加密后生成的电子版响应文件。生成的电子版响应文件包含用于响应文件上传的主文件（格式后缀为.smxtf）和用于应急补救的响应文件备份文件（格式后缀为.nsmxtf）。备份文件主要用于电子化开标出现技术问题后的补救。</w:t>
      </w:r>
    </w:p>
    <w:p w14:paraId="415C668A">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注：供应商投报多个标段的，每个标段需要单独制作电子响应文件。</w:t>
      </w:r>
    </w:p>
    <w:p w14:paraId="13A96652">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2.8电子化磋商响应文件的上传</w:t>
      </w:r>
    </w:p>
    <w:p w14:paraId="32A0B163">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2.8.1电子化磋商响应文件应在磋商响应文件递交截止时间前成功上传至三门峡市公共资源电子化交易系统。逾期上传的磋商响应文件将不予接收。电子交易系统将拒绝在磋商响应文件递交截止时间后送交的磋商响应文件。</w:t>
      </w:r>
    </w:p>
    <w:p w14:paraId="2883F254">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2.8.2按照电子化投标操作教材制作完成的电子化磋商响应文件无法上传的，供应商应在磋商响应文件递交截止时间前尽早的联系中心技术人员，以便有充分的时间进行处理。</w:t>
      </w:r>
    </w:p>
    <w:p w14:paraId="597601D3">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技术联系电话：0398-3117080；科技信息科</w:t>
      </w:r>
      <w:r>
        <w:rPr>
          <w:rFonts w:hint="eastAsia" w:ascii="宋体" w:hAnsi="宋体" w:eastAsia="宋体" w:cs="宋体"/>
          <w:sz w:val="24"/>
          <w:szCs w:val="24"/>
          <w:lang w:eastAsia="zh-CN"/>
        </w:rPr>
        <w:t>：</w:t>
      </w:r>
      <w:r>
        <w:rPr>
          <w:rFonts w:hint="eastAsia" w:ascii="宋体" w:hAnsi="宋体" w:eastAsia="宋体" w:cs="宋体"/>
          <w:sz w:val="24"/>
          <w:szCs w:val="24"/>
        </w:rPr>
        <w:t>0398-3117095。</w:t>
      </w:r>
    </w:p>
    <w:p w14:paraId="3F0E3B89">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供应商应充分考虑到处理技术问题和上传数据等工作所需的时间问题，未在磋商响应文件递交截止时间前成功上传的磋商响应文件，不予接收。</w:t>
      </w:r>
    </w:p>
    <w:p w14:paraId="208E7D11">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2.9磋商响应文件的修改或撤回</w:t>
      </w:r>
    </w:p>
    <w:bookmarkEnd w:id="161"/>
    <w:bookmarkEnd w:id="162"/>
    <w:bookmarkEnd w:id="163"/>
    <w:bookmarkEnd w:id="164"/>
    <w:p w14:paraId="5ECEF36D">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2.9.1在</w:t>
      </w:r>
      <w:r>
        <w:rPr>
          <w:rFonts w:hint="eastAsia" w:ascii="宋体" w:hAnsi="宋体" w:eastAsia="宋体" w:cs="宋体"/>
          <w:sz w:val="24"/>
          <w:szCs w:val="24"/>
          <w:lang w:eastAsia="zh-CN"/>
        </w:rPr>
        <w:t>供应商须知前附表</w:t>
      </w:r>
      <w:r>
        <w:rPr>
          <w:rFonts w:hint="eastAsia" w:ascii="宋体" w:hAnsi="宋体" w:eastAsia="宋体" w:cs="宋体"/>
          <w:sz w:val="24"/>
          <w:szCs w:val="24"/>
        </w:rPr>
        <w:t>规定的磋商响应文件递交截止时间前，供应商可以修改或撤回已递交的磋商响应文件。</w:t>
      </w:r>
    </w:p>
    <w:p w14:paraId="7E1200C0">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65" w:name="_Toc466284478"/>
      <w:bookmarkStart w:id="166" w:name="_Toc380394492"/>
      <w:bookmarkStart w:id="167" w:name="_Toc270604601"/>
      <w:r>
        <w:rPr>
          <w:rFonts w:hint="eastAsia" w:ascii="宋体" w:hAnsi="宋体" w:eastAsia="宋体" w:cs="宋体"/>
          <w:b/>
          <w:bCs/>
          <w:sz w:val="24"/>
          <w:szCs w:val="24"/>
        </w:rPr>
        <w:t>2.10电子化项目开标、解密、唱标</w:t>
      </w:r>
    </w:p>
    <w:p w14:paraId="44BEC451">
      <w:pPr>
        <w:keepNext w:val="0"/>
        <w:keepLines w:val="0"/>
        <w:pageBreakBefore w:val="0"/>
        <w:widowControl w:val="0"/>
        <w:tabs>
          <w:tab w:val="left" w:pos="540"/>
        </w:tabs>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2.10.1本项目为不见面开标项目，开标当日供应商不得到开标现场参加开标会议。供应商应当在响应文件提交截止时间前，登陆不见面开标大厅</w:t>
      </w:r>
      <w:r>
        <w:rPr>
          <w:rFonts w:hint="eastAsia" w:ascii="宋体" w:hAnsi="宋体" w:eastAsia="宋体" w:cs="宋体"/>
          <w:kern w:val="2"/>
          <w:sz w:val="24"/>
          <w:szCs w:val="24"/>
          <w:highlight w:val="none"/>
          <w:lang w:val="en-US" w:eastAsia="zh-CN" w:bidi="ar"/>
        </w:rPr>
        <w:t>（网址为http://120.194.249.36:10094/BidOpening/bidopeninghallaction/hall/login）</w:t>
      </w:r>
      <w:r>
        <w:rPr>
          <w:rFonts w:hint="eastAsia" w:ascii="宋体" w:hAnsi="宋体" w:eastAsia="宋体" w:cs="宋体"/>
          <w:sz w:val="24"/>
          <w:szCs w:val="24"/>
        </w:rPr>
        <w:t>，选择登陆三门峡市公共资源电子招投标系统进行登陆,在线准时参加开标活动，并进行响应性文件解密等。每位供应商的解密时间为开标时间起30分钟内完成。因供应商原因未能解密、解密失败或解密超时的，其投标将被拒绝。</w:t>
      </w:r>
    </w:p>
    <w:p w14:paraId="2282ACEF">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2.10.2电子化磋商响应文件解密异常的处理</w:t>
      </w:r>
    </w:p>
    <w:p w14:paraId="703A0291">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如出现供应商的电子磋商响应文件无法解密等异常情况，供应商应及时致电代理机构说明。磋商响应文件异常，按以下步骤进行处理：</w:t>
      </w:r>
    </w:p>
    <w:p w14:paraId="0422A7CE">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（1）首先由技术人员进行问题排查。</w:t>
      </w:r>
    </w:p>
    <w:p w14:paraId="651266E3">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经技术人员排查后，是供应商自身问题导致磋商响应文件无法解密的，该磋商响应文件将不予接收、解密和唱标；如果是电子化交易系统问题造成磋商响应文件无法解密的，将由技术人员对问题进行处理。如短时间内问题无法解决的，将由代理机构向监督部门申请，经监督部门同意后，暂停开标会议，待问题解决后继续开标。</w:t>
      </w:r>
    </w:p>
    <w:p w14:paraId="5BB320CB">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2.10.3待所有供应商磋商响应文件解密完成后，由代理机构操作，对所有已解密磋商响应文件进行电子唱标。</w:t>
      </w:r>
    </w:p>
    <w:p w14:paraId="58E77404">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供应商应保证在开标期间电话、电脑、网络能够正常工作，供应商因停电、电脑病毒、网络堵塞等原因，未在规定的解密时间内对磋商响应文件进行解密的，其磋商响应文件不予接收、唱标。</w:t>
      </w:r>
    </w:p>
    <w:p w14:paraId="3C0C7090">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2.10.4开标时供应商可登录到交易系统中在开标解密栏中点击“开标一览表”查看各自的报价信息。如对报价信息有异议，应在唱标结束后10分钟内向代理机构提出质疑。代理机构应在监督人员的监督下接受供应商的质疑，并做好书面记录。供应商未在规定时间内提出质疑的，视为认可唱标内容。</w:t>
      </w:r>
    </w:p>
    <w:bookmarkEnd w:id="165"/>
    <w:bookmarkEnd w:id="166"/>
    <w:bookmarkEnd w:id="167"/>
    <w:p w14:paraId="1C44ACDF">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68" w:name="_Toc21850"/>
      <w:r>
        <w:rPr>
          <w:rFonts w:hint="eastAsia" w:ascii="宋体" w:hAnsi="宋体" w:eastAsia="宋体" w:cs="宋体"/>
          <w:b/>
          <w:bCs/>
          <w:sz w:val="24"/>
          <w:szCs w:val="24"/>
          <w:lang w:val="en-US" w:eastAsia="zh-CN"/>
        </w:rPr>
        <w:t>3.</w:t>
      </w:r>
      <w:r>
        <w:rPr>
          <w:rFonts w:hint="eastAsia" w:ascii="宋体" w:hAnsi="宋体" w:eastAsia="宋体" w:cs="宋体"/>
          <w:b/>
          <w:bCs/>
          <w:sz w:val="24"/>
          <w:szCs w:val="24"/>
        </w:rPr>
        <w:t>开标时间和地点</w:t>
      </w:r>
      <w:bookmarkEnd w:id="168"/>
    </w:p>
    <w:p w14:paraId="47F68DE6">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采购人在</w:t>
      </w:r>
      <w:r>
        <w:rPr>
          <w:rFonts w:hint="eastAsia" w:ascii="宋体" w:hAnsi="宋体" w:eastAsia="宋体" w:cs="宋体"/>
          <w:sz w:val="24"/>
          <w:szCs w:val="24"/>
          <w:lang w:eastAsia="zh-CN"/>
        </w:rPr>
        <w:t>供应商须知前附表</w:t>
      </w:r>
      <w:r>
        <w:rPr>
          <w:rFonts w:hint="eastAsia" w:ascii="宋体" w:hAnsi="宋体" w:eastAsia="宋体" w:cs="宋体"/>
          <w:sz w:val="24"/>
          <w:szCs w:val="24"/>
        </w:rPr>
        <w:t>规定的开标时间和开标地点举行开标会议。</w:t>
      </w:r>
    </w:p>
    <w:p w14:paraId="640256E7">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69" w:name="_Toc17432"/>
      <w:r>
        <w:rPr>
          <w:rFonts w:hint="eastAsia" w:ascii="宋体" w:hAnsi="宋体" w:eastAsia="宋体" w:cs="宋体"/>
          <w:b/>
          <w:bCs/>
          <w:sz w:val="24"/>
          <w:szCs w:val="24"/>
          <w:lang w:val="en-US" w:eastAsia="zh-CN"/>
        </w:rPr>
        <w:t>4.</w:t>
      </w:r>
      <w:r>
        <w:rPr>
          <w:rFonts w:hint="eastAsia" w:ascii="宋体" w:hAnsi="宋体" w:eastAsia="宋体" w:cs="宋体"/>
          <w:b/>
          <w:bCs/>
          <w:sz w:val="24"/>
          <w:szCs w:val="24"/>
        </w:rPr>
        <w:t>磋商小组的组建</w:t>
      </w:r>
      <w:bookmarkEnd w:id="169"/>
    </w:p>
    <w:p w14:paraId="1524301E">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本项目磋商由采购人依法组建的磋商小组负责。磋商小组共3人组成，其中采购人代表1人；在相关评标专家库中随机抽取有关技术、经济等方面专家2人。</w:t>
      </w:r>
    </w:p>
    <w:p w14:paraId="34ADF333">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磋商专家由采购人代表于项目开标后，在相关监督部门的现场监督下，从相应评标专家库中随机抽取。</w:t>
      </w:r>
    </w:p>
    <w:p w14:paraId="58D201F0">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磋商小组成员有下列情形之一的，应当回避：</w:t>
      </w:r>
    </w:p>
    <w:p w14:paraId="4CB2AEDB">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(1)采购人或供应商的主要负责人的近亲属；</w:t>
      </w:r>
    </w:p>
    <w:p w14:paraId="7AEA48B8">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(2)项目主管部门或者行政监督部门的人员：</w:t>
      </w:r>
    </w:p>
    <w:p w14:paraId="4CC7DC81">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(3)与供应商有经济利益关系，可能影响对竞标公正评审的；</w:t>
      </w:r>
    </w:p>
    <w:p w14:paraId="5CBBD349">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(4)曾因在招标、评标以及其他与招投标有关活动中从事违法行为而受过行政处罚或刑事处罚的。</w:t>
      </w:r>
    </w:p>
    <w:p w14:paraId="74B7C3BA">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70" w:name="_Toc6345"/>
      <w:r>
        <w:rPr>
          <w:rFonts w:hint="eastAsia" w:ascii="宋体" w:hAnsi="宋体" w:eastAsia="宋体" w:cs="宋体"/>
          <w:b/>
          <w:bCs/>
          <w:sz w:val="24"/>
          <w:szCs w:val="24"/>
          <w:lang w:val="en-US" w:eastAsia="zh-CN"/>
        </w:rPr>
        <w:t>5.</w:t>
      </w:r>
      <w:r>
        <w:rPr>
          <w:rFonts w:hint="eastAsia" w:ascii="宋体" w:hAnsi="宋体" w:eastAsia="宋体" w:cs="宋体"/>
          <w:b/>
          <w:bCs/>
          <w:sz w:val="24"/>
          <w:szCs w:val="24"/>
        </w:rPr>
        <w:t>竞争性磋商</w:t>
      </w:r>
      <w:bookmarkEnd w:id="170"/>
    </w:p>
    <w:p w14:paraId="1384E8C2">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71" w:name="_Toc269470330"/>
      <w:r>
        <w:rPr>
          <w:rFonts w:hint="eastAsia" w:ascii="宋体" w:hAnsi="宋体" w:eastAsia="宋体" w:cs="宋体"/>
          <w:b/>
          <w:bCs/>
          <w:sz w:val="24"/>
          <w:szCs w:val="24"/>
        </w:rPr>
        <w:t>5.1磋商程序及原则</w:t>
      </w:r>
    </w:p>
    <w:p w14:paraId="6423DF1A">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5.1.1磋商时，磋商小组按顺序依次与供应商通过交易系统的磋商大厅进行磋商。</w:t>
      </w:r>
    </w:p>
    <w:p w14:paraId="2473EAE1">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5.1.2磋商小组对电子化磋商响应文件有质疑的，将通过电子化交易系统对供应商发起质疑，并在监督人员的监督下，使用免提电话致电供应商要求其对质疑问题进行答复。供应商应及时对质疑进行在线回复，回复文件以经过供应商和其法定代表人签章的PDF格式文件为准，并通过电子化交易系统提交至磋商小组。</w:t>
      </w:r>
    </w:p>
    <w:p w14:paraId="66C48170">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5.1.3磋商小组对需要答复的供应商连续三次致电未接通的，视为供应商放弃答复，磋商小组将自行对该质疑内容进行认定。</w:t>
      </w:r>
    </w:p>
    <w:p w14:paraId="05CD4F07">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5.1.4本次竞争性磋商，采用初步评审后的多轮磋商最后报价制。</w:t>
      </w:r>
    </w:p>
    <w:p w14:paraId="516B4368">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5.2初步评审</w:t>
      </w:r>
    </w:p>
    <w:p w14:paraId="642B9376">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5.2.1在初步评审阶段，磋商小组将审查以下各项是否响应磋商文件要求，不符合磋商文件要求的响应文件将不得进入磋商阶段，其响应文件按废标处理：</w:t>
      </w:r>
    </w:p>
    <w:p w14:paraId="706FD064">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1）供应商资格审查不合格的（本项目实行资格后审，各供应商在磋商响应文件“供应商的资格证明文件”中提供的所有证件、证明作为供应商资格审查的依据，供应商对其真实性负责。提供不全或不符合磋商文件要求的，视为资格审查不合格，其磋商响应文件作废）。</w:t>
      </w:r>
    </w:p>
    <w:p w14:paraId="2050FFDB">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（2）磋商响应文件未按磋商文件要求签字、盖章的；</w:t>
      </w:r>
    </w:p>
    <w:p w14:paraId="291C0BEB">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（3）磋商响应文件没有实质性响应本项目磋商文件要求的；</w:t>
      </w:r>
    </w:p>
    <w:p w14:paraId="7A7E888C">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（4）磋商响应文件中有采购人不能接受的其它条件的；</w:t>
      </w:r>
    </w:p>
    <w:p w14:paraId="296BB7C8">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（5）法律、法规规定为废标的其他情形；</w:t>
      </w:r>
    </w:p>
    <w:p w14:paraId="1F9B530D">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5.2.2在初步评审阶段,磋商小组还需对供应商的磋商报价进行审核。修正原则如下</w:t>
      </w:r>
      <w:r>
        <w:rPr>
          <w:rFonts w:hint="eastAsia" w:ascii="宋体" w:hAnsi="宋体" w:eastAsia="宋体" w:cs="宋体"/>
          <w:sz w:val="24"/>
          <w:szCs w:val="24"/>
          <w:lang w:eastAsia="zh-CN"/>
        </w:rPr>
        <w:t>：</w:t>
      </w:r>
      <w:r>
        <w:rPr>
          <w:rFonts w:hint="eastAsia" w:ascii="宋体" w:hAnsi="宋体" w:eastAsia="宋体" w:cs="宋体"/>
          <w:sz w:val="24"/>
          <w:szCs w:val="24"/>
        </w:rPr>
        <w:t>如果大写表示的金额和小写表示的金额不一致时，以大写表示的金额为准。</w:t>
      </w:r>
    </w:p>
    <w:p w14:paraId="7272FF32">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72" w:name="_Toc109550798"/>
      <w:bookmarkStart w:id="173" w:name="_Toc90712538"/>
      <w:bookmarkStart w:id="174" w:name="_Toc109537522"/>
      <w:bookmarkStart w:id="175" w:name="_Toc90713357"/>
      <w:r>
        <w:rPr>
          <w:rFonts w:hint="eastAsia" w:ascii="宋体" w:hAnsi="宋体" w:eastAsia="宋体" w:cs="宋体"/>
          <w:b/>
          <w:bCs/>
          <w:sz w:val="24"/>
          <w:szCs w:val="24"/>
        </w:rPr>
        <w:t>5.3详细磋商</w:t>
      </w:r>
    </w:p>
    <w:bookmarkEnd w:id="171"/>
    <w:bookmarkEnd w:id="172"/>
    <w:bookmarkEnd w:id="173"/>
    <w:bookmarkEnd w:id="174"/>
    <w:bookmarkEnd w:id="175"/>
    <w:p w14:paraId="1E8D21C2">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磋商小组通过电子交易系统按顺序与通过初步评审的供应商逐家进行磋商。磋商中，磋商双方可以就本项目所涉及的价格、技术、优惠服务承诺等进行实质性磋商，但磋商的任何一方不得透露与磋商有关的其他供应商的技术资料、价格和其他信息。</w:t>
      </w:r>
    </w:p>
    <w:p w14:paraId="4E10B519">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供应商应派熟悉本项目采购业务的代表参加磋商。参加磋商的代表应对磋商小组提出的涉及本项目采购相关的问题进行答复，如不能答复或答复不完善的，经磋商小组确认，取消该供应商的最后报价资格；</w:t>
      </w:r>
    </w:p>
    <w:p w14:paraId="61EE5D20">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磋商小组将允许供应商修改其磋商响应文件中不构成重大偏离的微小的、非正规的、不一致的或不规则的地方，但这些修改不能影响任何供应商的名次相应排列。</w:t>
      </w:r>
    </w:p>
    <w:p w14:paraId="7CCDFB91">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76" w:name="_Toc270604832"/>
      <w:bookmarkStart w:id="177" w:name="_Toc194667286"/>
      <w:bookmarkStart w:id="178" w:name="_Toc270604605"/>
      <w:r>
        <w:rPr>
          <w:rFonts w:hint="eastAsia" w:ascii="宋体" w:hAnsi="宋体" w:eastAsia="宋体" w:cs="宋体"/>
          <w:b/>
          <w:bCs/>
          <w:sz w:val="24"/>
          <w:szCs w:val="24"/>
        </w:rPr>
        <w:t>5.4磋商响应文件的澄清</w:t>
      </w:r>
      <w:bookmarkEnd w:id="176"/>
      <w:bookmarkEnd w:id="177"/>
      <w:bookmarkEnd w:id="178"/>
    </w:p>
    <w:p w14:paraId="3C488112">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为有助于对磋商响应文件的审查、评价和比较，磋商小组可分别要求供应商对磋商响应文件中含义不清的内容进行澄清。有关澄清、说明或者更正不得超出响应文件的范围或者改变响应文件的实质性内容。</w:t>
      </w:r>
    </w:p>
    <w:p w14:paraId="73B7EDA3">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5.5磋商报价</w:t>
      </w:r>
    </w:p>
    <w:p w14:paraId="3CC09701">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磋商文件能够详细列明采购项目的技术、服务要求后，磋商小组要求所有实质性响应的供应商在规定时间内提交最后报价。通过初步评审的供应商有均等的最后报价机会，供应商应在磋商小组规定的时间内完成报价。在未对磋商文件作出实质性变动的情况下，供应商提交的最后报价不得高于其前一次报价。</w:t>
      </w:r>
    </w:p>
    <w:p w14:paraId="44F990F2">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最后报价是供应商响应文件的有效组成部分，未按要求进行最后报价的，其响应文件将被否决。</w:t>
      </w:r>
    </w:p>
    <w:p w14:paraId="25AF8C69">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经磋商确定最终采购需求和提交最后报价后，由磋商小组采用综合评分法对提交最后报价的供应商的响应文件和最后报价进行综合评分。</w:t>
      </w:r>
    </w:p>
    <w:p w14:paraId="7A911E4B">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评审活动遵循公平、公正、科学和择优的原则进行。磋商文件及其评分办法没有规定的方法、评审因素、标准和程序，不得作为评标依据。</w:t>
      </w:r>
    </w:p>
    <w:p w14:paraId="0FB97157">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79" w:name="_Toc1215"/>
      <w:bookmarkStart w:id="180" w:name="_Toc6574"/>
      <w:bookmarkStart w:id="181" w:name="_Toc277149394"/>
      <w:bookmarkStart w:id="182" w:name="_Toc194667287"/>
      <w:bookmarkStart w:id="183" w:name="_Toc380394496"/>
      <w:bookmarkStart w:id="184" w:name="_Toc13642"/>
      <w:bookmarkStart w:id="185" w:name="_Toc278155357"/>
      <w:bookmarkStart w:id="186" w:name="_Toc466284482"/>
      <w:bookmarkStart w:id="187" w:name="_Toc270604833"/>
      <w:bookmarkStart w:id="188" w:name="_Toc270604606"/>
      <w:r>
        <w:rPr>
          <w:rFonts w:hint="eastAsia" w:ascii="宋体" w:hAnsi="宋体" w:eastAsia="宋体" w:cs="宋体"/>
          <w:b/>
          <w:bCs/>
          <w:sz w:val="24"/>
          <w:szCs w:val="24"/>
        </w:rPr>
        <w:t>5.6成交方法和原则</w:t>
      </w:r>
      <w:bookmarkEnd w:id="179"/>
      <w:bookmarkEnd w:id="180"/>
      <w:bookmarkEnd w:id="181"/>
      <w:bookmarkEnd w:id="182"/>
      <w:bookmarkEnd w:id="183"/>
      <w:bookmarkEnd w:id="184"/>
      <w:bookmarkEnd w:id="185"/>
      <w:bookmarkEnd w:id="186"/>
      <w:bookmarkEnd w:id="187"/>
      <w:bookmarkEnd w:id="188"/>
    </w:p>
    <w:p w14:paraId="3C3BF095">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磋商小组应当根据综合评分由高到低的顺序推荐3名成交候选供应商，出具磋商评审报告，并在报告上全体签字。</w:t>
      </w:r>
    </w:p>
    <w:p w14:paraId="110A797A">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最终得分相同的，按照最后报价由低到高的顺序推荐。最终得分和最后报价均相同的，按照技术指标优劣顺序推荐。</w:t>
      </w:r>
    </w:p>
    <w:p w14:paraId="492B3A77">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89" w:name="_Toc22567"/>
      <w:r>
        <w:rPr>
          <w:rFonts w:hint="eastAsia" w:ascii="宋体" w:hAnsi="宋体" w:eastAsia="宋体" w:cs="宋体"/>
          <w:b/>
          <w:bCs/>
          <w:sz w:val="24"/>
          <w:szCs w:val="24"/>
          <w:lang w:val="en-US" w:eastAsia="zh-CN"/>
        </w:rPr>
        <w:t>6.</w:t>
      </w:r>
      <w:r>
        <w:rPr>
          <w:rFonts w:hint="eastAsia" w:ascii="宋体" w:hAnsi="宋体" w:eastAsia="宋体" w:cs="宋体"/>
          <w:b/>
          <w:bCs/>
          <w:sz w:val="24"/>
          <w:szCs w:val="24"/>
        </w:rPr>
        <w:t>定标</w:t>
      </w:r>
      <w:bookmarkEnd w:id="189"/>
    </w:p>
    <w:p w14:paraId="02841AD2">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1E2633F9">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190" w:name="_Toc270604607"/>
      <w:bookmarkStart w:id="191" w:name="_Toc466284483"/>
      <w:bookmarkStart w:id="192" w:name="_Toc380394497"/>
      <w:bookmarkStart w:id="193" w:name="_Toc16682"/>
      <w:bookmarkStart w:id="194" w:name="_Toc4929"/>
      <w:r>
        <w:rPr>
          <w:rFonts w:hint="eastAsia" w:ascii="宋体" w:hAnsi="宋体" w:eastAsia="宋体" w:cs="宋体"/>
          <w:b/>
          <w:bCs/>
          <w:sz w:val="24"/>
          <w:szCs w:val="24"/>
          <w:lang w:val="en-US" w:eastAsia="zh-CN"/>
        </w:rPr>
        <w:t>7.</w:t>
      </w:r>
      <w:r>
        <w:rPr>
          <w:rFonts w:hint="eastAsia" w:ascii="宋体" w:hAnsi="宋体" w:eastAsia="宋体" w:cs="宋体"/>
          <w:b/>
          <w:bCs/>
          <w:sz w:val="24"/>
          <w:szCs w:val="24"/>
        </w:rPr>
        <w:t>合同授予</w:t>
      </w:r>
      <w:bookmarkEnd w:id="190"/>
      <w:bookmarkEnd w:id="191"/>
      <w:bookmarkEnd w:id="192"/>
      <w:bookmarkEnd w:id="193"/>
      <w:bookmarkEnd w:id="194"/>
      <w:bookmarkStart w:id="195" w:name="_Toc1750"/>
      <w:bookmarkStart w:id="196" w:name="_Toc269470332"/>
      <w:bookmarkStart w:id="197" w:name="_Toc270604835"/>
      <w:bookmarkStart w:id="198" w:name="_Toc278155359"/>
      <w:bookmarkStart w:id="199" w:name="_Toc277149396"/>
      <w:bookmarkStart w:id="200" w:name="_Toc30341"/>
      <w:bookmarkStart w:id="201" w:name="_Toc1125"/>
      <w:bookmarkStart w:id="202" w:name="_Toc466284484"/>
      <w:bookmarkStart w:id="203" w:name="_Toc270604608"/>
      <w:bookmarkStart w:id="204" w:name="_Toc380394498"/>
      <w:bookmarkStart w:id="205" w:name="_Toc12923"/>
    </w:p>
    <w:p w14:paraId="5BE72356">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7.1成交通知</w:t>
      </w:r>
      <w:bookmarkEnd w:id="195"/>
      <w:bookmarkEnd w:id="196"/>
      <w:bookmarkEnd w:id="197"/>
      <w:bookmarkEnd w:id="198"/>
      <w:bookmarkEnd w:id="199"/>
      <w:bookmarkEnd w:id="200"/>
      <w:bookmarkEnd w:id="201"/>
      <w:bookmarkEnd w:id="202"/>
      <w:bookmarkEnd w:id="203"/>
      <w:bookmarkEnd w:id="204"/>
      <w:bookmarkEnd w:id="205"/>
    </w:p>
    <w:p w14:paraId="72DE7B00">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bookmarkStart w:id="206" w:name="_Toc269470333"/>
      <w:r>
        <w:rPr>
          <w:rFonts w:hint="eastAsia" w:ascii="宋体" w:hAnsi="宋体" w:eastAsia="宋体" w:cs="宋体"/>
          <w:sz w:val="24"/>
          <w:szCs w:val="24"/>
        </w:rPr>
        <w:t>采购人或者采购代理机构应当在成交供应商确定后2个工作日内，在省级以上财政部门指定的政府采购信息发布媒体上公告成交结果，同时向成交供应商发出成交通知书，并将磋商文件随成交结果同时公告。</w:t>
      </w:r>
      <w:bookmarkEnd w:id="206"/>
      <w:bookmarkStart w:id="207" w:name="_Toc32369"/>
      <w:bookmarkStart w:id="208" w:name="_Toc2284"/>
      <w:bookmarkStart w:id="209" w:name="_Toc270604836"/>
      <w:bookmarkStart w:id="210" w:name="_Toc269470334"/>
      <w:bookmarkStart w:id="211" w:name="_Toc277149397"/>
      <w:bookmarkStart w:id="212" w:name="_Toc13418"/>
      <w:bookmarkStart w:id="213" w:name="_Toc466284485"/>
      <w:bookmarkStart w:id="214" w:name="_Toc380394499"/>
      <w:bookmarkStart w:id="215" w:name="_Toc270604609"/>
      <w:bookmarkStart w:id="216" w:name="_Toc278155360"/>
      <w:bookmarkStart w:id="217" w:name="_Toc25290"/>
    </w:p>
    <w:p w14:paraId="21E7D174">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7.2签订合同</w:t>
      </w:r>
      <w:bookmarkEnd w:id="207"/>
      <w:bookmarkEnd w:id="208"/>
      <w:bookmarkEnd w:id="209"/>
      <w:bookmarkEnd w:id="210"/>
      <w:bookmarkEnd w:id="211"/>
      <w:bookmarkEnd w:id="212"/>
      <w:bookmarkEnd w:id="213"/>
      <w:bookmarkEnd w:id="214"/>
      <w:bookmarkEnd w:id="215"/>
      <w:bookmarkEnd w:id="216"/>
      <w:bookmarkEnd w:id="217"/>
      <w:bookmarkStart w:id="218" w:name="_Toc269470335"/>
    </w:p>
    <w:p w14:paraId="37BA3C28">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7.2.1成交供应商的最后报价为成交价，成交价即为合同价。</w:t>
      </w:r>
    </w:p>
    <w:p w14:paraId="226C7E17">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7.2.2采购人和成交供应商应当自成交通知书发出之日起30天内，根据竞争性磋商文件、成交供应商的磋商响应文件及在磋商过程中对磋商响应文件作出的澄清、解释订立书面合同。成交供应商无正当理由拒签合同的，采购人取消其成交资格，并对由此给采购人造成的损失予以赔偿。</w:t>
      </w:r>
    </w:p>
    <w:p w14:paraId="2C38D691">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7.2.3采购人与成交供应商必须按国家、省、市相关规定签订合同。</w:t>
      </w:r>
    </w:p>
    <w:bookmarkEnd w:id="218"/>
    <w:p w14:paraId="541B4093">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219" w:name="_Toc380394500"/>
      <w:bookmarkStart w:id="220" w:name="_Toc11376"/>
      <w:bookmarkStart w:id="221" w:name="_Toc269470338"/>
      <w:bookmarkStart w:id="222" w:name="_Toc466284486"/>
      <w:bookmarkStart w:id="223" w:name="_Toc23592"/>
      <w:bookmarkStart w:id="224" w:name="_Toc270604610"/>
      <w:r>
        <w:rPr>
          <w:rFonts w:hint="eastAsia" w:ascii="宋体" w:hAnsi="宋体" w:eastAsia="宋体" w:cs="宋体"/>
          <w:b/>
          <w:bCs/>
          <w:sz w:val="24"/>
          <w:szCs w:val="24"/>
          <w:lang w:val="en-US" w:eastAsia="zh-CN"/>
        </w:rPr>
        <w:t>8.</w:t>
      </w:r>
      <w:r>
        <w:rPr>
          <w:rFonts w:hint="eastAsia" w:ascii="宋体" w:hAnsi="宋体" w:eastAsia="宋体" w:cs="宋体"/>
          <w:b/>
          <w:bCs/>
          <w:sz w:val="24"/>
          <w:szCs w:val="24"/>
        </w:rPr>
        <w:t>纪律和监督</w:t>
      </w:r>
      <w:bookmarkEnd w:id="219"/>
      <w:bookmarkEnd w:id="220"/>
      <w:bookmarkEnd w:id="221"/>
      <w:bookmarkEnd w:id="222"/>
      <w:bookmarkEnd w:id="223"/>
      <w:bookmarkEnd w:id="224"/>
      <w:bookmarkStart w:id="225" w:name="_Toc20824"/>
      <w:bookmarkStart w:id="226" w:name="_Toc278155362"/>
      <w:bookmarkStart w:id="227" w:name="_Toc466284487"/>
      <w:bookmarkStart w:id="228" w:name="_Toc380394501"/>
      <w:bookmarkStart w:id="229" w:name="_Toc270604838"/>
      <w:bookmarkStart w:id="230" w:name="_Toc270604611"/>
      <w:bookmarkStart w:id="231" w:name="_Toc3777"/>
      <w:bookmarkStart w:id="232" w:name="_Toc277149399"/>
      <w:bookmarkStart w:id="233" w:name="_Toc269470339"/>
      <w:bookmarkStart w:id="234" w:name="_Toc92"/>
      <w:bookmarkStart w:id="235" w:name="_Toc16390"/>
    </w:p>
    <w:p w14:paraId="393BBDC3">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8.1对采购人的纪律要求</w:t>
      </w:r>
      <w:bookmarkEnd w:id="225"/>
      <w:bookmarkEnd w:id="226"/>
      <w:bookmarkEnd w:id="227"/>
      <w:bookmarkEnd w:id="228"/>
      <w:bookmarkEnd w:id="229"/>
      <w:bookmarkEnd w:id="230"/>
      <w:bookmarkEnd w:id="231"/>
      <w:bookmarkEnd w:id="232"/>
      <w:bookmarkEnd w:id="233"/>
      <w:bookmarkEnd w:id="234"/>
      <w:bookmarkEnd w:id="235"/>
    </w:p>
    <w:p w14:paraId="4884A244">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采购人不得泄漏竞争性磋商中应当保密的情况和资料，不得与供应商串通损害国家利益、社会公共利益或者他人合法权益。</w:t>
      </w:r>
      <w:bookmarkStart w:id="236" w:name="_Toc7499"/>
      <w:bookmarkStart w:id="237" w:name="_Toc8749"/>
      <w:bookmarkStart w:id="238" w:name="_Toc277149400"/>
      <w:bookmarkStart w:id="239" w:name="_Toc466284488"/>
      <w:bookmarkStart w:id="240" w:name="_Toc380394502"/>
      <w:bookmarkStart w:id="241" w:name="_Toc269470340"/>
      <w:bookmarkStart w:id="242" w:name="_Toc270604612"/>
      <w:bookmarkStart w:id="243" w:name="_Toc278155363"/>
      <w:bookmarkStart w:id="244" w:name="_Toc270604839"/>
      <w:bookmarkStart w:id="245" w:name="_Toc11732"/>
      <w:bookmarkStart w:id="246" w:name="_Toc5855"/>
    </w:p>
    <w:p w14:paraId="0AF11825">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8.2对供应商的纪律要求</w:t>
      </w:r>
      <w:bookmarkEnd w:id="236"/>
      <w:bookmarkEnd w:id="237"/>
      <w:bookmarkEnd w:id="238"/>
      <w:bookmarkEnd w:id="239"/>
      <w:bookmarkEnd w:id="240"/>
      <w:bookmarkEnd w:id="241"/>
      <w:bookmarkEnd w:id="242"/>
      <w:bookmarkEnd w:id="243"/>
      <w:bookmarkEnd w:id="244"/>
      <w:bookmarkEnd w:id="245"/>
      <w:bookmarkEnd w:id="246"/>
    </w:p>
    <w:p w14:paraId="1E4804A6">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供应商不得相互串通磋商或者与采购人串通磋商，不得向采购人或者磋商小组成员行贿谋取成交，不得以他人名义竞标或者以其他方式弄虚作假骗取成交；供应商不得以任何方式干扰、影响磋商工作。</w:t>
      </w:r>
    </w:p>
    <w:p w14:paraId="1B93744D">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bookmarkStart w:id="247" w:name="_Toc269470341"/>
      <w:bookmarkStart w:id="248" w:name="_Toc15433"/>
      <w:bookmarkStart w:id="249" w:name="_Toc9495"/>
      <w:bookmarkStart w:id="250" w:name="_Toc466284489"/>
      <w:bookmarkStart w:id="251" w:name="_Toc277149401"/>
      <w:bookmarkStart w:id="252" w:name="_Toc16836"/>
      <w:bookmarkStart w:id="253" w:name="_Toc380394503"/>
      <w:bookmarkStart w:id="254" w:name="_Toc11311"/>
      <w:bookmarkStart w:id="255" w:name="_Toc278155364"/>
      <w:bookmarkStart w:id="256" w:name="_Toc270604613"/>
      <w:bookmarkStart w:id="257" w:name="_Toc270604840"/>
      <w:r>
        <w:rPr>
          <w:rFonts w:hint="eastAsia" w:ascii="宋体" w:hAnsi="宋体" w:eastAsia="宋体" w:cs="宋体"/>
          <w:b/>
          <w:bCs/>
          <w:sz w:val="24"/>
          <w:szCs w:val="24"/>
        </w:rPr>
        <w:t>8.3对磋商小组成员的纪律要求</w:t>
      </w:r>
      <w:bookmarkEnd w:id="247"/>
      <w:bookmarkEnd w:id="248"/>
      <w:bookmarkEnd w:id="249"/>
      <w:bookmarkEnd w:id="250"/>
      <w:bookmarkEnd w:id="251"/>
      <w:bookmarkEnd w:id="252"/>
      <w:bookmarkEnd w:id="253"/>
      <w:bookmarkEnd w:id="254"/>
      <w:bookmarkEnd w:id="255"/>
      <w:bookmarkEnd w:id="256"/>
      <w:bookmarkEnd w:id="257"/>
    </w:p>
    <w:p w14:paraId="00E55803">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磋商小组成员不得收受他人的财物或者其他好处，不得向他人透漏对磋商响应文件的评审和比较、成交候选人的推荐情况以及与磋商有关的其他情况。在磋商活动中，磋商小组成员不得擅离职守，影响磋商程序正常进行。</w:t>
      </w:r>
      <w:bookmarkStart w:id="258" w:name="_Toc12167"/>
      <w:bookmarkStart w:id="259" w:name="_Toc269470342"/>
      <w:bookmarkStart w:id="260" w:name="_Toc466284490"/>
      <w:bookmarkStart w:id="261" w:name="_Toc270604841"/>
      <w:bookmarkStart w:id="262" w:name="_Toc14297"/>
      <w:bookmarkStart w:id="263" w:name="_Toc278155365"/>
      <w:bookmarkStart w:id="264" w:name="_Toc277149402"/>
      <w:bookmarkStart w:id="265" w:name="_Toc270604614"/>
      <w:bookmarkStart w:id="266" w:name="_Toc22679"/>
      <w:bookmarkStart w:id="267" w:name="_Toc380394504"/>
      <w:bookmarkStart w:id="268" w:name="_Toc29118"/>
    </w:p>
    <w:p w14:paraId="37B5CC7B">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8.4对与磋商活动有关的工作人员的纪律要求</w:t>
      </w:r>
      <w:bookmarkEnd w:id="258"/>
      <w:bookmarkEnd w:id="259"/>
      <w:bookmarkEnd w:id="260"/>
      <w:bookmarkEnd w:id="261"/>
      <w:bookmarkEnd w:id="262"/>
      <w:bookmarkEnd w:id="263"/>
      <w:bookmarkEnd w:id="264"/>
      <w:bookmarkEnd w:id="265"/>
      <w:bookmarkEnd w:id="266"/>
      <w:bookmarkEnd w:id="267"/>
      <w:bookmarkEnd w:id="268"/>
    </w:p>
    <w:p w14:paraId="508AD4BA">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与磋商活动有关的工作人员不得收受他人的财物或者其他好处，不得向他人透漏对磋商响应文件的评审和比较、成交候选人的推荐情况以及与磋商有关的其他情况。在磋商活动中，与磋商活动有关的工作人员不得擅离职守，影响磋商程序正常进行。</w:t>
      </w:r>
      <w:bookmarkStart w:id="269" w:name="_Toc14035"/>
      <w:bookmarkStart w:id="270" w:name="_Toc278155366"/>
      <w:bookmarkStart w:id="271" w:name="_Toc380394505"/>
      <w:bookmarkStart w:id="272" w:name="_Toc28616"/>
      <w:bookmarkStart w:id="273" w:name="_Toc270604615"/>
      <w:bookmarkStart w:id="274" w:name="_Toc269470343"/>
      <w:bookmarkStart w:id="275" w:name="_Toc13721"/>
      <w:bookmarkStart w:id="276" w:name="_Toc28497"/>
      <w:bookmarkStart w:id="277" w:name="_Toc277149403"/>
      <w:bookmarkStart w:id="278" w:name="_Toc466284491"/>
      <w:bookmarkStart w:id="279" w:name="_Toc270604842"/>
    </w:p>
    <w:p w14:paraId="0D1A8E71">
      <w:pPr>
        <w:keepNext w:val="0"/>
        <w:keepLines w:val="0"/>
        <w:pageBreakBefore w:val="0"/>
        <w:tabs>
          <w:tab w:val="left" w:pos="540"/>
        </w:tabs>
        <w:kinsoku/>
        <w:wordWrap/>
        <w:overflowPunct/>
        <w:topLinePunct w:val="0"/>
        <w:bidi w:val="0"/>
        <w:spacing w:line="360" w:lineRule="auto"/>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8.5投诉</w:t>
      </w:r>
      <w:bookmarkEnd w:id="269"/>
      <w:bookmarkEnd w:id="270"/>
      <w:bookmarkEnd w:id="271"/>
      <w:bookmarkEnd w:id="272"/>
      <w:bookmarkEnd w:id="273"/>
      <w:bookmarkEnd w:id="274"/>
      <w:bookmarkEnd w:id="275"/>
      <w:bookmarkEnd w:id="276"/>
      <w:bookmarkEnd w:id="277"/>
      <w:bookmarkEnd w:id="278"/>
      <w:bookmarkEnd w:id="279"/>
    </w:p>
    <w:p w14:paraId="1A03F565">
      <w:pPr>
        <w:keepNext w:val="0"/>
        <w:keepLines w:val="0"/>
        <w:pageBreakBefore w:val="0"/>
        <w:tabs>
          <w:tab w:val="left" w:pos="540"/>
        </w:tabs>
        <w:kinsoku/>
        <w:wordWrap/>
        <w:overflowPunct/>
        <w:topLinePunct w:val="0"/>
        <w:bidi w:val="0"/>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供应商和其他利害关系人认为本次竞争性磋商违反法律、法规和规章规定的，有权向有关行政监督部门投诉。</w:t>
      </w:r>
    </w:p>
    <w:p w14:paraId="08096141">
      <w:pPr>
        <w:keepNext w:val="0"/>
        <w:keepLines w:val="0"/>
        <w:pageBreakBefore w:val="0"/>
        <w:numPr>
          <w:ilvl w:val="0"/>
          <w:numId w:val="0"/>
        </w:numPr>
        <w:tabs>
          <w:tab w:val="left" w:pos="0"/>
        </w:tabs>
        <w:kinsoku/>
        <w:wordWrap/>
        <w:overflowPunct/>
        <w:topLinePunct w:val="0"/>
        <w:bidi w:val="0"/>
        <w:spacing w:line="360" w:lineRule="auto"/>
        <w:ind w:left="-5" w:leftChars="0" w:firstLine="482" w:firstLineChars="200"/>
        <w:textAlignment w:val="auto"/>
        <w:outlineLvl w:val="9"/>
        <w:rPr>
          <w:rFonts w:hint="eastAsia" w:ascii="宋体" w:hAnsi="宋体" w:eastAsia="宋体" w:cs="宋体"/>
          <w:b/>
          <w:sz w:val="24"/>
          <w:szCs w:val="24"/>
        </w:rPr>
      </w:pPr>
      <w:bookmarkStart w:id="280" w:name="_Toc269470344"/>
      <w:bookmarkStart w:id="281" w:name="_Toc270604616"/>
      <w:bookmarkStart w:id="282" w:name="_Toc380394506"/>
      <w:bookmarkStart w:id="283" w:name="_Toc19619"/>
      <w:bookmarkStart w:id="284" w:name="_Toc28446"/>
      <w:bookmarkStart w:id="285" w:name="_Toc466284492"/>
      <w:r>
        <w:rPr>
          <w:rFonts w:hint="eastAsia" w:ascii="宋体" w:hAnsi="宋体" w:eastAsia="宋体" w:cs="宋体"/>
          <w:b/>
          <w:kern w:val="2"/>
          <w:sz w:val="24"/>
          <w:szCs w:val="24"/>
          <w:lang w:val="en-US" w:eastAsia="zh-CN" w:bidi="ar-SA"/>
        </w:rPr>
        <w:t>9.</w:t>
      </w:r>
      <w:r>
        <w:rPr>
          <w:rFonts w:hint="eastAsia" w:ascii="宋体" w:hAnsi="宋体" w:eastAsia="宋体" w:cs="宋体"/>
          <w:b/>
          <w:sz w:val="24"/>
          <w:szCs w:val="24"/>
        </w:rPr>
        <w:t>需要补充的其他内容</w:t>
      </w:r>
      <w:bookmarkEnd w:id="280"/>
      <w:bookmarkEnd w:id="281"/>
      <w:bookmarkEnd w:id="282"/>
      <w:bookmarkEnd w:id="283"/>
      <w:bookmarkEnd w:id="284"/>
      <w:bookmarkEnd w:id="285"/>
    </w:p>
    <w:p w14:paraId="4443C57C">
      <w:pPr>
        <w:keepNext w:val="0"/>
        <w:keepLines w:val="0"/>
        <w:pageBreakBefore w:val="0"/>
        <w:kinsoku/>
        <w:wordWrap/>
        <w:overflowPunct/>
        <w:topLinePunct w:val="0"/>
        <w:bidi w:val="0"/>
        <w:spacing w:line="360" w:lineRule="auto"/>
        <w:ind w:left="-5" w:firstLine="480" w:firstLineChars="200"/>
        <w:textAlignment w:val="auto"/>
        <w:outlineLvl w:val="9"/>
        <w:rPr>
          <w:rFonts w:hint="eastAsia" w:ascii="宋体" w:hAnsi="宋体" w:eastAsia="宋体" w:cs="宋体"/>
          <w:sz w:val="24"/>
        </w:rPr>
      </w:pPr>
      <w:r>
        <w:rPr>
          <w:rFonts w:hint="eastAsia" w:ascii="宋体" w:hAnsi="宋体" w:eastAsia="宋体" w:cs="宋体"/>
          <w:sz w:val="24"/>
          <w:szCs w:val="24"/>
        </w:rPr>
        <w:t>需要补充的其他内容：见供应商须知前附表。</w:t>
      </w:r>
    </w:p>
    <w:p w14:paraId="2AE01291">
      <w:pPr>
        <w:pageBreakBefore w:val="0"/>
        <w:kinsoku/>
        <w:overflowPunct/>
        <w:bidi w:val="0"/>
        <w:spacing w:line="360" w:lineRule="auto"/>
        <w:jc w:val="center"/>
        <w:rPr>
          <w:rFonts w:hint="eastAsia" w:ascii="宋体" w:hAnsi="宋体" w:eastAsia="宋体" w:cs="宋体"/>
        </w:rPr>
      </w:pPr>
      <w:r>
        <w:rPr>
          <w:rFonts w:hint="eastAsia" w:ascii="宋体" w:hAnsi="宋体" w:eastAsia="宋体" w:cs="宋体"/>
        </w:rPr>
        <w:br w:type="page"/>
      </w:r>
      <w:bookmarkStart w:id="286" w:name="_Toc10506"/>
    </w:p>
    <w:p w14:paraId="3AE9AE29">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b/>
          <w:bCs/>
          <w:color w:val="000000"/>
          <w:sz w:val="24"/>
          <w:szCs w:val="24"/>
        </w:rPr>
      </w:pPr>
      <w:bookmarkStart w:id="287" w:name="_Toc31788"/>
      <w:r>
        <w:rPr>
          <w:rFonts w:hint="eastAsia" w:ascii="宋体" w:hAnsi="宋体" w:eastAsia="宋体" w:cs="宋体"/>
          <w:b/>
          <w:sz w:val="24"/>
          <w:szCs w:val="24"/>
        </w:rPr>
        <w:t>第三章  工程量清单</w:t>
      </w:r>
      <w:bookmarkEnd w:id="286"/>
      <w:bookmarkEnd w:id="287"/>
    </w:p>
    <w:p w14:paraId="654A985D">
      <w:pPr>
        <w:pageBreakBefore w:val="0"/>
        <w:kinsoku/>
        <w:overflowPunct/>
        <w:bidi w:val="0"/>
        <w:spacing w:line="360" w:lineRule="auto"/>
        <w:ind w:left="420" w:hanging="420" w:hangingChars="175"/>
        <w:jc w:val="center"/>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图纸及工程量</w:t>
      </w:r>
      <w:r>
        <w:rPr>
          <w:rFonts w:hint="eastAsia" w:ascii="宋体" w:hAnsi="宋体" w:eastAsia="宋体" w:cs="宋体"/>
          <w:sz w:val="24"/>
          <w:szCs w:val="24"/>
        </w:rPr>
        <w:t>清单</w:t>
      </w:r>
      <w:r>
        <w:rPr>
          <w:rFonts w:hint="eastAsia" w:ascii="宋体" w:hAnsi="宋体" w:eastAsia="宋体" w:cs="宋体"/>
          <w:sz w:val="24"/>
          <w:szCs w:val="24"/>
          <w:lang w:val="en-US" w:eastAsia="zh-CN"/>
        </w:rPr>
        <w:t>在三门峡公共资源交易中心系统中下载</w:t>
      </w:r>
      <w:r>
        <w:rPr>
          <w:rFonts w:hint="eastAsia" w:ascii="宋体" w:hAnsi="宋体" w:eastAsia="宋体" w:cs="宋体"/>
          <w:sz w:val="24"/>
          <w:szCs w:val="24"/>
        </w:rPr>
        <w:t>)</w:t>
      </w:r>
    </w:p>
    <w:p w14:paraId="59711B4E">
      <w:pPr>
        <w:pageBreakBefore w:val="0"/>
        <w:widowControl/>
        <w:kinsoku/>
        <w:overflowPunct/>
        <w:bidi w:val="0"/>
        <w:adjustRightInd w:val="0"/>
        <w:snapToGrid w:val="0"/>
        <w:spacing w:after="156" w:afterLines="50" w:line="360" w:lineRule="auto"/>
        <w:jc w:val="center"/>
        <w:rPr>
          <w:rFonts w:hint="eastAsia" w:ascii="宋体" w:hAnsi="宋体" w:eastAsia="宋体" w:cs="宋体"/>
          <w:b/>
          <w:bCs/>
          <w:kern w:val="0"/>
          <w:sz w:val="28"/>
          <w:szCs w:val="28"/>
        </w:rPr>
      </w:pPr>
      <w:r>
        <w:rPr>
          <w:rFonts w:hint="eastAsia" w:ascii="宋体" w:hAnsi="宋体" w:eastAsia="宋体" w:cs="宋体"/>
          <w:b/>
          <w:bCs/>
          <w:kern w:val="0"/>
          <w:sz w:val="28"/>
          <w:szCs w:val="28"/>
        </w:rPr>
        <w:br w:type="page"/>
      </w:r>
      <w:bookmarkStart w:id="288" w:name="_Toc25128"/>
    </w:p>
    <w:p w14:paraId="0B06675A">
      <w:pPr>
        <w:keepNext w:val="0"/>
        <w:keepLines w:val="0"/>
        <w:pageBreakBefore w:val="0"/>
        <w:widowControl/>
        <w:kinsoku/>
        <w:wordWrap/>
        <w:overflowPunct/>
        <w:topLinePunct w:val="0"/>
        <w:autoSpaceDE/>
        <w:autoSpaceDN/>
        <w:bidi w:val="0"/>
        <w:adjustRightInd w:val="0"/>
        <w:snapToGrid w:val="0"/>
        <w:spacing w:after="156" w:afterLines="50" w:line="360" w:lineRule="auto"/>
        <w:jc w:val="center"/>
        <w:textAlignment w:val="auto"/>
        <w:outlineLvl w:val="0"/>
        <w:rPr>
          <w:rFonts w:hint="eastAsia" w:ascii="宋体" w:hAnsi="宋体" w:eastAsia="宋体" w:cs="宋体"/>
          <w:bCs/>
          <w:color w:val="000000"/>
          <w:kern w:val="0"/>
          <w:sz w:val="24"/>
          <w:szCs w:val="24"/>
        </w:rPr>
      </w:pPr>
      <w:bookmarkStart w:id="289" w:name="_Toc5987"/>
      <w:r>
        <w:rPr>
          <w:rFonts w:hint="eastAsia" w:ascii="宋体" w:hAnsi="宋体" w:eastAsia="宋体" w:cs="宋体"/>
          <w:b/>
          <w:sz w:val="24"/>
          <w:szCs w:val="24"/>
        </w:rPr>
        <w:t>第四章  磋商办法</w:t>
      </w:r>
      <w:bookmarkEnd w:id="288"/>
      <w:bookmarkEnd w:id="289"/>
    </w:p>
    <w:p w14:paraId="347B52A8">
      <w:pPr>
        <w:pageBreakBefore w:val="0"/>
        <w:kinsoku/>
        <w:overflowPunct/>
        <w:bidi w:val="0"/>
        <w:spacing w:after="156" w:afterLines="50" w:line="360" w:lineRule="auto"/>
        <w:jc w:val="center"/>
        <w:rPr>
          <w:rFonts w:hint="eastAsia" w:ascii="宋体" w:hAnsi="宋体" w:eastAsia="宋体" w:cs="宋体"/>
          <w:color w:val="auto"/>
          <w:sz w:val="24"/>
          <w:szCs w:val="24"/>
          <w:highlight w:val="none"/>
        </w:rPr>
      </w:pPr>
      <w:r>
        <w:rPr>
          <w:rFonts w:hint="eastAsia" w:ascii="宋体" w:hAnsi="宋体" w:eastAsia="宋体" w:cs="宋体"/>
          <w:b/>
          <w:color w:val="000000"/>
          <w:kern w:val="0"/>
          <w:sz w:val="24"/>
          <w:szCs w:val="24"/>
        </w:rPr>
        <w:t>磋商办法前附表</w:t>
      </w:r>
    </w:p>
    <w:tbl>
      <w:tblPr>
        <w:tblStyle w:val="17"/>
        <w:tblW w:w="89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
        <w:gridCol w:w="1095"/>
        <w:gridCol w:w="2063"/>
        <w:gridCol w:w="4879"/>
      </w:tblGrid>
      <w:tr w14:paraId="686D8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15" w:type="dxa"/>
            <w:gridSpan w:val="2"/>
            <w:noWrap w:val="0"/>
            <w:vAlign w:val="center"/>
          </w:tcPr>
          <w:p w14:paraId="1B797B4A">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条款号</w:t>
            </w:r>
          </w:p>
        </w:tc>
        <w:tc>
          <w:tcPr>
            <w:tcW w:w="2063" w:type="dxa"/>
            <w:noWrap w:val="0"/>
            <w:vAlign w:val="center"/>
          </w:tcPr>
          <w:p w14:paraId="3CE31EC8">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评审因素</w:t>
            </w:r>
          </w:p>
        </w:tc>
        <w:tc>
          <w:tcPr>
            <w:tcW w:w="4879" w:type="dxa"/>
            <w:noWrap w:val="0"/>
            <w:vAlign w:val="center"/>
          </w:tcPr>
          <w:p w14:paraId="00B657B1">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评审标准</w:t>
            </w:r>
          </w:p>
        </w:tc>
      </w:tr>
      <w:tr w14:paraId="504F9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920" w:type="dxa"/>
            <w:vMerge w:val="restart"/>
            <w:noWrap w:val="0"/>
            <w:vAlign w:val="center"/>
          </w:tcPr>
          <w:p w14:paraId="0180184A">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w:t>
            </w:r>
          </w:p>
        </w:tc>
        <w:tc>
          <w:tcPr>
            <w:tcW w:w="1095" w:type="dxa"/>
            <w:vMerge w:val="restart"/>
            <w:noWrap w:val="0"/>
            <w:vAlign w:val="center"/>
          </w:tcPr>
          <w:p w14:paraId="34D2FC50">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符合性</w:t>
            </w:r>
            <w:r>
              <w:rPr>
                <w:rFonts w:hint="eastAsia" w:ascii="宋体" w:hAnsi="宋体" w:eastAsia="宋体" w:cs="宋体"/>
                <w:color w:val="auto"/>
                <w:sz w:val="24"/>
                <w:szCs w:val="24"/>
                <w:highlight w:val="none"/>
              </w:rPr>
              <w:t>评审</w:t>
            </w:r>
          </w:p>
          <w:p w14:paraId="2AD381BF">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标准</w:t>
            </w:r>
          </w:p>
        </w:tc>
        <w:tc>
          <w:tcPr>
            <w:tcW w:w="2063" w:type="dxa"/>
            <w:noWrap w:val="0"/>
            <w:vAlign w:val="center"/>
          </w:tcPr>
          <w:p w14:paraId="7937643B">
            <w:pPr>
              <w:pageBreakBefore w:val="0"/>
              <w:suppressAutoHyphens/>
              <w:kinsoku/>
              <w:overflowPunct/>
              <w:bidi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z w:val="24"/>
                <w:szCs w:val="24"/>
              </w:rPr>
              <w:t>供应商名称</w:t>
            </w:r>
          </w:p>
        </w:tc>
        <w:tc>
          <w:tcPr>
            <w:tcW w:w="4879" w:type="dxa"/>
            <w:noWrap w:val="0"/>
            <w:vAlign w:val="center"/>
          </w:tcPr>
          <w:p w14:paraId="4FBEA21E">
            <w:pPr>
              <w:pageBreakBefore w:val="0"/>
              <w:suppressAutoHyphens/>
              <w:kinsoku/>
              <w:overflowPunct/>
              <w:bidi w:val="0"/>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sz w:val="24"/>
                <w:szCs w:val="24"/>
              </w:rPr>
              <w:t>与营业执照一致</w:t>
            </w:r>
          </w:p>
        </w:tc>
      </w:tr>
      <w:tr w14:paraId="407B1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20" w:type="dxa"/>
            <w:vMerge w:val="continue"/>
            <w:noWrap w:val="0"/>
            <w:vAlign w:val="center"/>
          </w:tcPr>
          <w:p w14:paraId="309450B0">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04AB7572">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1A45E4A4">
            <w:pPr>
              <w:pageBreakBefore w:val="0"/>
              <w:suppressAutoHyphens/>
              <w:kinsoku/>
              <w:overflowPunct/>
              <w:bidi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z w:val="24"/>
                <w:szCs w:val="24"/>
              </w:rPr>
              <w:t>盖章、签字</w:t>
            </w:r>
          </w:p>
        </w:tc>
        <w:tc>
          <w:tcPr>
            <w:tcW w:w="4879" w:type="dxa"/>
            <w:noWrap w:val="0"/>
            <w:vAlign w:val="center"/>
          </w:tcPr>
          <w:p w14:paraId="05C171B3">
            <w:pPr>
              <w:pageBreakBefore w:val="0"/>
              <w:suppressAutoHyphens/>
              <w:kinsoku/>
              <w:overflowPunct/>
              <w:bidi w:val="0"/>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符合竞争性磋商文件要求的签字、盖章（竞争性磋商文件中要求法定代表人或授权委托人签字或盖章的，响应人在进行电子化投标文件签章时，以签盖法定代表人电子签章为准）</w:t>
            </w:r>
          </w:p>
        </w:tc>
      </w:tr>
      <w:tr w14:paraId="3E414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20" w:type="dxa"/>
            <w:vMerge w:val="continue"/>
            <w:noWrap w:val="0"/>
            <w:vAlign w:val="center"/>
          </w:tcPr>
          <w:p w14:paraId="4B95D3EE">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01B82B37">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210F1D3C">
            <w:pPr>
              <w:pageBreakBefore w:val="0"/>
              <w:suppressAutoHyphens/>
              <w:kinsoku/>
              <w:overflowPunct/>
              <w:bidi w:val="0"/>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报价唯一</w:t>
            </w:r>
          </w:p>
        </w:tc>
        <w:tc>
          <w:tcPr>
            <w:tcW w:w="4879" w:type="dxa"/>
            <w:noWrap w:val="0"/>
            <w:vAlign w:val="center"/>
          </w:tcPr>
          <w:p w14:paraId="1A9AA5F6">
            <w:pPr>
              <w:pageBreakBefore w:val="0"/>
              <w:suppressAutoHyphens/>
              <w:kinsoku/>
              <w:overflowPunct/>
              <w:bidi w:val="0"/>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只能有一个有效报价，且不超过最高限价</w:t>
            </w:r>
          </w:p>
        </w:tc>
      </w:tr>
      <w:tr w14:paraId="29C18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20" w:type="dxa"/>
            <w:vMerge w:val="restart"/>
            <w:noWrap w:val="0"/>
            <w:vAlign w:val="center"/>
          </w:tcPr>
          <w:p w14:paraId="6259E179">
            <w:pPr>
              <w:pageBreakBefore w:val="0"/>
              <w:kinsoku/>
              <w:overflowPunct/>
              <w:bidi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2.1.2</w:t>
            </w:r>
          </w:p>
        </w:tc>
        <w:tc>
          <w:tcPr>
            <w:tcW w:w="1095" w:type="dxa"/>
            <w:vMerge w:val="restart"/>
            <w:noWrap w:val="0"/>
            <w:vAlign w:val="center"/>
          </w:tcPr>
          <w:p w14:paraId="3FE4CFCC">
            <w:pPr>
              <w:pageBreakBefore w:val="0"/>
              <w:kinsoku/>
              <w:overflowPunct/>
              <w:bidi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资格</w:t>
            </w:r>
            <w:r>
              <w:rPr>
                <w:rFonts w:hint="eastAsia" w:ascii="宋体" w:hAnsi="宋体" w:eastAsia="宋体" w:cs="宋体"/>
                <w:color w:val="auto"/>
                <w:sz w:val="24"/>
                <w:szCs w:val="24"/>
                <w:highlight w:val="none"/>
                <w:lang w:eastAsia="zh-CN"/>
              </w:rPr>
              <w:t>性</w:t>
            </w:r>
          </w:p>
          <w:p w14:paraId="62F0ED8F">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w:t>
            </w:r>
          </w:p>
          <w:p w14:paraId="60897C31">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标准</w:t>
            </w:r>
          </w:p>
        </w:tc>
        <w:tc>
          <w:tcPr>
            <w:tcW w:w="2063" w:type="dxa"/>
            <w:noWrap w:val="0"/>
            <w:vAlign w:val="center"/>
          </w:tcPr>
          <w:p w14:paraId="50E82F34">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满足《中华人民共和国政府采购法》第二十二条规定</w:t>
            </w:r>
          </w:p>
        </w:tc>
        <w:tc>
          <w:tcPr>
            <w:tcW w:w="4879" w:type="dxa"/>
            <w:noWrap w:val="0"/>
            <w:vAlign w:val="center"/>
          </w:tcPr>
          <w:p w14:paraId="6BA7D06C">
            <w:pPr>
              <w:pageBreakBefore w:val="0"/>
              <w:kinsoku/>
              <w:overflowPunct/>
              <w:bidi w:val="0"/>
              <w:spacing w:line="360" w:lineRule="auto"/>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kern w:val="0"/>
                <w:sz w:val="24"/>
                <w:szCs w:val="24"/>
                <w:highlight w:val="none"/>
              </w:rPr>
              <w:t>满足《中华人民共和国政府采购法》第二十二条规定</w:t>
            </w:r>
            <w:r>
              <w:rPr>
                <w:rFonts w:hint="eastAsia" w:ascii="宋体" w:hAnsi="宋体" w:eastAsia="宋体" w:cs="宋体"/>
                <w:color w:val="auto"/>
                <w:kern w:val="0"/>
                <w:sz w:val="24"/>
                <w:szCs w:val="24"/>
                <w:highlight w:val="none"/>
                <w:lang w:val="en-US" w:eastAsia="zh-CN"/>
              </w:rPr>
              <w:t>(提供承诺函)</w:t>
            </w:r>
          </w:p>
        </w:tc>
      </w:tr>
      <w:tr w14:paraId="0239A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20" w:type="dxa"/>
            <w:vMerge w:val="continue"/>
            <w:noWrap w:val="0"/>
            <w:vAlign w:val="center"/>
          </w:tcPr>
          <w:p w14:paraId="40DBB247">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1F77678F">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18206497">
            <w:pPr>
              <w:pageBreakBefore w:val="0"/>
              <w:kinsoku/>
              <w:overflowPunct/>
              <w:bidi w:val="0"/>
              <w:spacing w:line="360" w:lineRule="auto"/>
              <w:jc w:val="center"/>
              <w:rPr>
                <w:rFonts w:hint="eastAsia" w:ascii="宋体" w:hAnsi="宋体" w:eastAsia="宋体" w:cs="宋体"/>
                <w:b/>
                <w:bCs/>
                <w:color w:val="auto"/>
                <w:sz w:val="24"/>
                <w:szCs w:val="24"/>
                <w:highlight w:val="none"/>
                <w:lang w:eastAsia="zh-CN"/>
              </w:rPr>
            </w:pPr>
            <w:r>
              <w:rPr>
                <w:rFonts w:hint="eastAsia" w:ascii="宋体" w:hAnsi="宋体" w:eastAsia="宋体" w:cs="宋体"/>
                <w:kern w:val="0"/>
                <w:sz w:val="24"/>
                <w:szCs w:val="24"/>
                <w:highlight w:val="none"/>
              </w:rPr>
              <w:t>本项目专门面向中小企业</w:t>
            </w:r>
            <w:r>
              <w:rPr>
                <w:rFonts w:hint="eastAsia" w:ascii="宋体" w:hAnsi="宋体" w:eastAsia="宋体" w:cs="宋体"/>
                <w:kern w:val="0"/>
                <w:sz w:val="24"/>
                <w:szCs w:val="24"/>
                <w:highlight w:val="none"/>
                <w:lang w:eastAsia="zh-CN"/>
              </w:rPr>
              <w:t>采购</w:t>
            </w:r>
          </w:p>
        </w:tc>
        <w:tc>
          <w:tcPr>
            <w:tcW w:w="4879" w:type="dxa"/>
            <w:noWrap w:val="0"/>
            <w:vAlign w:val="center"/>
          </w:tcPr>
          <w:p w14:paraId="31B1A62F">
            <w:pPr>
              <w:pageBreakBefore w:val="0"/>
              <w:kinsoku/>
              <w:overflowPunct/>
              <w:bidi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val="0"/>
                <w:bCs w:val="0"/>
                <w:color w:val="auto"/>
                <w:sz w:val="24"/>
                <w:szCs w:val="24"/>
                <w:highlight w:val="none"/>
              </w:rPr>
              <w:t>本项目为专门面向中小微企业采购项目,执行促进中小企业（监狱企业、残疾人福利性企业）发展等政府采购政策。</w:t>
            </w:r>
          </w:p>
        </w:tc>
      </w:tr>
      <w:tr w14:paraId="0FC45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20" w:type="dxa"/>
            <w:vMerge w:val="continue"/>
            <w:noWrap w:val="0"/>
            <w:vAlign w:val="center"/>
          </w:tcPr>
          <w:p w14:paraId="3203F68F">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39F1EA2F">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1B5F89D1">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营业执照</w:t>
            </w:r>
          </w:p>
        </w:tc>
        <w:tc>
          <w:tcPr>
            <w:tcW w:w="4879" w:type="dxa"/>
            <w:noWrap w:val="0"/>
            <w:vAlign w:val="center"/>
          </w:tcPr>
          <w:p w14:paraId="6B7F2B9D">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供应商须具有独立承担民事责任的能力（提供有效的企业营业执照或其他证明材料）</w:t>
            </w:r>
            <w:r>
              <w:rPr>
                <w:rFonts w:hint="eastAsia" w:ascii="宋体" w:hAnsi="宋体" w:eastAsia="宋体" w:cs="宋体"/>
                <w:color w:val="auto"/>
                <w:sz w:val="24"/>
                <w:szCs w:val="24"/>
                <w:highlight w:val="none"/>
              </w:rPr>
              <w:t>；</w:t>
            </w:r>
          </w:p>
        </w:tc>
      </w:tr>
      <w:tr w14:paraId="7A9AB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20" w:type="dxa"/>
            <w:vMerge w:val="continue"/>
            <w:noWrap w:val="0"/>
            <w:vAlign w:val="center"/>
          </w:tcPr>
          <w:p w14:paraId="26694D85">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1C13588D">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1A6D5238">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资质等级</w:t>
            </w:r>
          </w:p>
        </w:tc>
        <w:tc>
          <w:tcPr>
            <w:tcW w:w="4879" w:type="dxa"/>
            <w:noWrap w:val="0"/>
            <w:vAlign w:val="center"/>
          </w:tcPr>
          <w:p w14:paraId="21641CED">
            <w:pPr>
              <w:pageBreakBefore w:val="0"/>
              <w:kinsoku/>
              <w:overflowPunct/>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供应商须具有</w:t>
            </w:r>
            <w:r>
              <w:rPr>
                <w:rFonts w:hint="eastAsia" w:ascii="宋体" w:hAnsi="宋体" w:eastAsia="宋体" w:cs="宋体"/>
                <w:color w:val="auto"/>
                <w:sz w:val="24"/>
                <w:szCs w:val="24"/>
                <w:highlight w:val="none"/>
                <w:lang w:val="en-US" w:eastAsia="zh-CN"/>
              </w:rPr>
              <w:t>建筑工程施工总承包叁级及以上资质</w:t>
            </w:r>
            <w:r>
              <w:rPr>
                <w:rFonts w:hint="eastAsia" w:ascii="宋体" w:hAnsi="宋体" w:eastAsia="宋体" w:cs="宋体"/>
                <w:color w:val="auto"/>
                <w:sz w:val="24"/>
                <w:szCs w:val="24"/>
                <w:highlight w:val="none"/>
              </w:rPr>
              <w:t>并具有有效的安全生产许可证；</w:t>
            </w:r>
          </w:p>
        </w:tc>
      </w:tr>
      <w:tr w14:paraId="2EF06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0" w:type="dxa"/>
            <w:vMerge w:val="continue"/>
            <w:noWrap w:val="0"/>
            <w:vAlign w:val="center"/>
          </w:tcPr>
          <w:p w14:paraId="0E246365">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12AED141">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7D62789D">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项目经理</w:t>
            </w:r>
          </w:p>
        </w:tc>
        <w:tc>
          <w:tcPr>
            <w:tcW w:w="4879" w:type="dxa"/>
            <w:noWrap w:val="0"/>
            <w:vAlign w:val="center"/>
          </w:tcPr>
          <w:p w14:paraId="1A79FEBA">
            <w:pPr>
              <w:pageBreakBefore w:val="0"/>
              <w:kinsoku/>
              <w:overflowPunct/>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拟派项目经理须具有建筑工程专业贰级（含贰级）及以上注册建造师资格、具备有效的安全生产考核合格证书，未在其它在建工程项目中担任项目经理，</w:t>
            </w:r>
            <w:r>
              <w:rPr>
                <w:rFonts w:hint="eastAsia" w:ascii="宋体" w:hAnsi="宋体" w:eastAsia="宋体" w:cs="宋体"/>
                <w:color w:val="auto"/>
                <w:sz w:val="24"/>
                <w:szCs w:val="24"/>
                <w:highlight w:val="none"/>
                <w:lang w:val="en-US" w:eastAsia="zh-CN"/>
              </w:rPr>
              <w:t>同时须</w:t>
            </w:r>
            <w:r>
              <w:rPr>
                <w:rFonts w:hint="eastAsia" w:ascii="宋体" w:hAnsi="宋体" w:eastAsia="宋体" w:cs="宋体"/>
                <w:color w:val="auto"/>
                <w:sz w:val="24"/>
                <w:szCs w:val="24"/>
                <w:highlight w:val="none"/>
                <w:lang w:eastAsia="zh-CN"/>
              </w:rPr>
              <w:t>提供在本单位的社会养老保险缴费证明</w:t>
            </w:r>
            <w:r>
              <w:rPr>
                <w:rFonts w:hint="eastAsia" w:ascii="宋体" w:hAnsi="宋体" w:eastAsia="宋体" w:cs="宋体"/>
                <w:color w:val="auto"/>
                <w:sz w:val="24"/>
                <w:szCs w:val="24"/>
                <w:highlight w:val="none"/>
              </w:rPr>
              <w:t>；</w:t>
            </w:r>
          </w:p>
        </w:tc>
      </w:tr>
      <w:tr w14:paraId="2806A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920" w:type="dxa"/>
            <w:vMerge w:val="continue"/>
            <w:noWrap w:val="0"/>
            <w:vAlign w:val="center"/>
          </w:tcPr>
          <w:p w14:paraId="08D5DC88">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5544E3DE">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75308142">
            <w:pPr>
              <w:pageBreakBefore w:val="0"/>
              <w:kinsoku/>
              <w:overflowPunct/>
              <w:bidi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无行贿犯罪记录</w:t>
            </w:r>
          </w:p>
        </w:tc>
        <w:tc>
          <w:tcPr>
            <w:tcW w:w="4879" w:type="dxa"/>
            <w:noWrap w:val="0"/>
            <w:vAlign w:val="center"/>
          </w:tcPr>
          <w:p w14:paraId="15FB059E">
            <w:pPr>
              <w:pageBreakBefore w:val="0"/>
              <w:kinsoku/>
              <w:overflowPunct/>
              <w:bidi w:val="0"/>
              <w:spacing w:line="360" w:lineRule="auto"/>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供应商须</w:t>
            </w:r>
            <w:r>
              <w:rPr>
                <w:rFonts w:hint="eastAsia" w:ascii="宋体" w:hAnsi="宋体" w:eastAsia="宋体" w:cs="宋体"/>
                <w:color w:val="auto"/>
                <w:sz w:val="24"/>
                <w:szCs w:val="24"/>
                <w:highlight w:val="none"/>
                <w:lang w:eastAsia="zh-CN"/>
              </w:rPr>
              <w:t>出具无行贿犯罪记录，在中国裁判文书网自行查询或自行承诺（查询/承诺对象为企业、法定代表人、项目经理）【查询日期必须在公告发布之日之后】</w:t>
            </w:r>
            <w:r>
              <w:rPr>
                <w:rFonts w:hint="eastAsia" w:ascii="宋体" w:hAnsi="宋体" w:eastAsia="宋体" w:cs="宋体"/>
                <w:color w:val="auto"/>
                <w:sz w:val="24"/>
                <w:szCs w:val="24"/>
                <w:highlight w:val="none"/>
              </w:rPr>
              <w:t>；</w:t>
            </w:r>
          </w:p>
        </w:tc>
      </w:tr>
      <w:tr w14:paraId="1FF6C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20" w:type="dxa"/>
            <w:vMerge w:val="continue"/>
            <w:noWrap w:val="0"/>
            <w:vAlign w:val="center"/>
          </w:tcPr>
          <w:p w14:paraId="7335E8E3">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0F1FE13A">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53885405">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无商业贿赂和不正当竞争行为</w:t>
            </w:r>
          </w:p>
        </w:tc>
        <w:tc>
          <w:tcPr>
            <w:tcW w:w="4879" w:type="dxa"/>
            <w:noWrap w:val="0"/>
            <w:vAlign w:val="center"/>
          </w:tcPr>
          <w:p w14:paraId="3C12C487">
            <w:pPr>
              <w:pageBreakBefore w:val="0"/>
              <w:kinsoku/>
              <w:overflowPunct/>
              <w:bidi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供应商须</w:t>
            </w:r>
            <w:r>
              <w:rPr>
                <w:rFonts w:hint="eastAsia" w:ascii="宋体" w:hAnsi="宋体" w:eastAsia="宋体" w:cs="宋体"/>
                <w:kern w:val="0"/>
                <w:sz w:val="24"/>
                <w:szCs w:val="24"/>
                <w:highlight w:val="none"/>
                <w:lang w:val="en-US" w:eastAsia="zh-CN" w:bidi="ar"/>
              </w:rPr>
              <w:t>出具本企业无商业贿赂和不正当竞争行为承诺书，格式自拟；</w:t>
            </w:r>
          </w:p>
        </w:tc>
      </w:tr>
      <w:tr w14:paraId="011CC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0" w:hRule="atLeast"/>
          <w:jc w:val="center"/>
        </w:trPr>
        <w:tc>
          <w:tcPr>
            <w:tcW w:w="920" w:type="dxa"/>
            <w:vMerge w:val="continue"/>
            <w:noWrap w:val="0"/>
            <w:vAlign w:val="center"/>
          </w:tcPr>
          <w:p w14:paraId="4A70BFD5">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718ECC33">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50464A0B">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信用查询</w:t>
            </w:r>
          </w:p>
        </w:tc>
        <w:tc>
          <w:tcPr>
            <w:tcW w:w="4879" w:type="dxa"/>
            <w:noWrap w:val="0"/>
            <w:vAlign w:val="center"/>
          </w:tcPr>
          <w:p w14:paraId="3349F6CC">
            <w:pPr>
              <w:pageBreakBefore w:val="0"/>
              <w:kinsoku/>
              <w:overflowPunct/>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根据《关于在政府采购活动中查询及使用信用记录有关问题的通知》(财库[2016]125号)和豫财购【2016】15号的规定，对列入失信被执行人、重大税收违法失信主体、政府采购严重违法失信行为记录名单的供应商，拒绝参与本项目采购活动；【查询结果以开标当日采购人或采购代理机构查询为准，信用信息查询记录和证据将同磋商文件等资料一同归档保存。相关网站有最新规定的，按最新规定执行】。</w:t>
            </w:r>
          </w:p>
        </w:tc>
      </w:tr>
      <w:tr w14:paraId="54C5D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20" w:type="dxa"/>
            <w:vMerge w:val="continue"/>
            <w:noWrap w:val="0"/>
            <w:vAlign w:val="center"/>
          </w:tcPr>
          <w:p w14:paraId="5E7B6CD6">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4FE4EF17">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3FB72746">
            <w:pPr>
              <w:pageBreakBefore w:val="0"/>
              <w:widowControl/>
              <w:kinsoku/>
              <w:overflowPunct/>
              <w:bidi w:val="0"/>
              <w:adjustRightInd w:val="0"/>
              <w:snapToGrid w:val="0"/>
              <w:spacing w:line="360" w:lineRule="auto"/>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关联关系</w:t>
            </w:r>
          </w:p>
        </w:tc>
        <w:tc>
          <w:tcPr>
            <w:tcW w:w="4879" w:type="dxa"/>
            <w:noWrap w:val="0"/>
            <w:vAlign w:val="center"/>
          </w:tcPr>
          <w:p w14:paraId="59C04129">
            <w:pPr>
              <w:pageBreakBefore w:val="0"/>
              <w:widowControl/>
              <w:kinsoku/>
              <w:overflowPunct/>
              <w:bidi w:val="0"/>
              <w:adjustRightInd w:val="0"/>
              <w:snapToGrid w:val="0"/>
              <w:spacing w:line="360" w:lineRule="auto"/>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单位负责人为同一人或者存在直接控股、管理关系的不同供应商，不得参加同一合同项下的采购活动；提供“国家企业信用信息公示系统”中查询打印的相关信息。【查询信息需包含公司基本信息、股东信息及股权变更信息等相关信息，查询时间自本公告发布之日起】。</w:t>
            </w:r>
          </w:p>
        </w:tc>
      </w:tr>
      <w:tr w14:paraId="5DAEA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20" w:type="dxa"/>
            <w:vMerge w:val="continue"/>
            <w:noWrap w:val="0"/>
            <w:vAlign w:val="center"/>
          </w:tcPr>
          <w:p w14:paraId="7441036A">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336F7EFC">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19EFEAD3">
            <w:pPr>
              <w:pageBreakBefore w:val="0"/>
              <w:widowControl/>
              <w:kinsoku/>
              <w:overflowPunct/>
              <w:bidi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kern w:val="0"/>
                <w:sz w:val="24"/>
                <w:szCs w:val="24"/>
              </w:rPr>
              <w:t>本项目不接受联合体投标</w:t>
            </w:r>
          </w:p>
        </w:tc>
        <w:tc>
          <w:tcPr>
            <w:tcW w:w="4879" w:type="dxa"/>
            <w:noWrap w:val="0"/>
            <w:vAlign w:val="center"/>
          </w:tcPr>
          <w:p w14:paraId="0E924129">
            <w:pPr>
              <w:pageBreakBefore w:val="0"/>
              <w:widowControl/>
              <w:kinsoku/>
              <w:overflowPunct/>
              <w:bidi w:val="0"/>
              <w:adjustRightInd w:val="0"/>
              <w:snapToGrid w:val="0"/>
              <w:spacing w:line="360" w:lineRule="auto"/>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本项目不接受联合体磋商，提供非联合体承诺，格式自拟；</w:t>
            </w:r>
          </w:p>
        </w:tc>
      </w:tr>
      <w:tr w14:paraId="09064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20" w:type="dxa"/>
            <w:vMerge w:val="restart"/>
            <w:noWrap w:val="0"/>
            <w:vAlign w:val="center"/>
          </w:tcPr>
          <w:p w14:paraId="0FB16325">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2.1.3</w:t>
            </w:r>
          </w:p>
        </w:tc>
        <w:tc>
          <w:tcPr>
            <w:tcW w:w="1095" w:type="dxa"/>
            <w:vMerge w:val="restart"/>
            <w:noWrap w:val="0"/>
            <w:vAlign w:val="center"/>
          </w:tcPr>
          <w:p w14:paraId="769A10B5">
            <w:pPr>
              <w:pageBreakBefore w:val="0"/>
              <w:kinsoku/>
              <w:overflowPunct/>
              <w:bidi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实质响应性</w:t>
            </w:r>
          </w:p>
          <w:p w14:paraId="267864CB">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w:t>
            </w:r>
          </w:p>
          <w:p w14:paraId="2ACABD97">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标准</w:t>
            </w:r>
          </w:p>
        </w:tc>
        <w:tc>
          <w:tcPr>
            <w:tcW w:w="2063" w:type="dxa"/>
            <w:noWrap w:val="0"/>
            <w:vAlign w:val="center"/>
          </w:tcPr>
          <w:p w14:paraId="2DB7027D">
            <w:pPr>
              <w:pageBreakBefore w:val="0"/>
              <w:suppressAutoHyphens/>
              <w:kinsoku/>
              <w:overflowPunct/>
              <w:bidi w:val="0"/>
              <w:adjustRightInd w:val="0"/>
              <w:snapToGrid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000000" w:themeColor="text1"/>
                <w:sz w:val="24"/>
                <w:szCs w:val="24"/>
                <w14:textFill>
                  <w14:solidFill>
                    <w14:schemeClr w14:val="tx1"/>
                  </w14:solidFill>
                </w14:textFill>
              </w:rPr>
              <w:t>计划工期</w:t>
            </w:r>
          </w:p>
        </w:tc>
        <w:tc>
          <w:tcPr>
            <w:tcW w:w="4879" w:type="dxa"/>
            <w:noWrap w:val="0"/>
            <w:vAlign w:val="center"/>
          </w:tcPr>
          <w:p w14:paraId="5489007B">
            <w:pPr>
              <w:pageBreakBefore w:val="0"/>
              <w:suppressAutoHyphens/>
              <w:kinsoku/>
              <w:overflowPunct/>
              <w:bidi w:val="0"/>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sz w:val="24"/>
                <w:szCs w:val="24"/>
                <w:lang w:val="en-US" w:eastAsia="zh-CN"/>
              </w:rPr>
              <w:t>60日历天</w:t>
            </w:r>
          </w:p>
        </w:tc>
      </w:tr>
      <w:tr w14:paraId="70AD2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920" w:type="dxa"/>
            <w:vMerge w:val="continue"/>
            <w:noWrap w:val="0"/>
            <w:vAlign w:val="center"/>
          </w:tcPr>
          <w:p w14:paraId="286EAD20">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1BFFD80E">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72352329">
            <w:pPr>
              <w:pageBreakBefore w:val="0"/>
              <w:suppressAutoHyphens/>
              <w:kinsoku/>
              <w:overflowPunct/>
              <w:bidi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z w:val="24"/>
                <w:szCs w:val="24"/>
              </w:rPr>
              <w:t>质量要求</w:t>
            </w:r>
          </w:p>
        </w:tc>
        <w:tc>
          <w:tcPr>
            <w:tcW w:w="4879" w:type="dxa"/>
            <w:noWrap w:val="0"/>
            <w:vAlign w:val="center"/>
          </w:tcPr>
          <w:p w14:paraId="2F3DF625">
            <w:pPr>
              <w:pageBreakBefore w:val="0"/>
              <w:suppressAutoHyphens/>
              <w:kinsoku/>
              <w:overflowPunct/>
              <w:bidi w:val="0"/>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达到国家现行建设工程施工验收规范及合格标准</w:t>
            </w:r>
          </w:p>
        </w:tc>
      </w:tr>
      <w:tr w14:paraId="7082A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20" w:type="dxa"/>
            <w:vMerge w:val="continue"/>
            <w:noWrap w:val="0"/>
            <w:vAlign w:val="center"/>
          </w:tcPr>
          <w:p w14:paraId="6B5095A6">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2DD03EAD">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54A2D17D">
            <w:pPr>
              <w:pageBreakBefore w:val="0"/>
              <w:suppressAutoHyphens/>
              <w:kinsoku/>
              <w:overflowPunct/>
              <w:bidi w:val="0"/>
              <w:adjustRightInd w:val="0"/>
              <w:snapToGrid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sz w:val="24"/>
                <w:szCs w:val="24"/>
                <w:lang w:eastAsia="zh-CN"/>
              </w:rPr>
              <w:t>缺陷责任期</w:t>
            </w:r>
          </w:p>
        </w:tc>
        <w:tc>
          <w:tcPr>
            <w:tcW w:w="4879" w:type="dxa"/>
            <w:noWrap w:val="0"/>
            <w:vAlign w:val="center"/>
          </w:tcPr>
          <w:p w14:paraId="5DB2D424">
            <w:pPr>
              <w:pageBreakBefore w:val="0"/>
              <w:suppressAutoHyphens/>
              <w:kinsoku/>
              <w:overflowPunct/>
              <w:bidi w:val="0"/>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自竣工验收之日起12个月</w:t>
            </w:r>
          </w:p>
        </w:tc>
      </w:tr>
      <w:tr w14:paraId="32863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20" w:type="dxa"/>
            <w:vMerge w:val="continue"/>
            <w:noWrap w:val="0"/>
            <w:vAlign w:val="center"/>
          </w:tcPr>
          <w:p w14:paraId="1B4A8AEB">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337C2037">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3F470119">
            <w:pPr>
              <w:pageBreakBefore w:val="0"/>
              <w:suppressAutoHyphens/>
              <w:kinsoku/>
              <w:overflowPunct/>
              <w:bidi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z w:val="24"/>
                <w:szCs w:val="24"/>
              </w:rPr>
              <w:t>磋商有效期</w:t>
            </w:r>
          </w:p>
        </w:tc>
        <w:tc>
          <w:tcPr>
            <w:tcW w:w="4879" w:type="dxa"/>
            <w:noWrap w:val="0"/>
            <w:vAlign w:val="center"/>
          </w:tcPr>
          <w:p w14:paraId="50C3F3F8">
            <w:pPr>
              <w:pageBreakBefore w:val="0"/>
              <w:suppressAutoHyphens/>
              <w:kinsoku/>
              <w:overflowPunct/>
              <w:bidi w:val="0"/>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sz w:val="24"/>
                <w:szCs w:val="24"/>
              </w:rPr>
              <w:t>磋商响应文件递交截止日后60日历天</w:t>
            </w:r>
          </w:p>
        </w:tc>
      </w:tr>
      <w:tr w14:paraId="61AC3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0" w:type="dxa"/>
            <w:vMerge w:val="continue"/>
            <w:noWrap w:val="0"/>
            <w:vAlign w:val="center"/>
          </w:tcPr>
          <w:p w14:paraId="21762367">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7D2A3934">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24F37CB9">
            <w:pPr>
              <w:pageBreakBefore w:val="0"/>
              <w:suppressAutoHyphens/>
              <w:kinsoku/>
              <w:overflowPunct/>
              <w:bidi w:val="0"/>
              <w:adjustRightInd w:val="0"/>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已标价工程量清单</w:t>
            </w:r>
          </w:p>
        </w:tc>
        <w:tc>
          <w:tcPr>
            <w:tcW w:w="4879" w:type="dxa"/>
            <w:noWrap w:val="0"/>
            <w:vAlign w:val="center"/>
          </w:tcPr>
          <w:p w14:paraId="66CA48C8">
            <w:pPr>
              <w:pageBreakBefore w:val="0"/>
              <w:suppressAutoHyphens/>
              <w:kinsoku/>
              <w:overflowPunct/>
              <w:bidi w:val="0"/>
              <w:adjustRightInd w:val="0"/>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符合“工程量清单”给出的范围及数量，供应商不得擅自修改工程量清单上的工程项目和数量，否则按照无效响应文件处理。</w:t>
            </w:r>
          </w:p>
        </w:tc>
      </w:tr>
      <w:tr w14:paraId="4F87B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0" w:type="dxa"/>
            <w:vMerge w:val="continue"/>
            <w:noWrap w:val="0"/>
            <w:vAlign w:val="center"/>
          </w:tcPr>
          <w:p w14:paraId="512C9E0B">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23C166BE">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581AB445">
            <w:pPr>
              <w:pageBreakBefore w:val="0"/>
              <w:suppressAutoHyphens/>
              <w:kinsoku/>
              <w:overflowPunct/>
              <w:bidi w:val="0"/>
              <w:adjustRightInd w:val="0"/>
              <w:snapToGrid w:val="0"/>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报价</w:t>
            </w:r>
          </w:p>
        </w:tc>
        <w:tc>
          <w:tcPr>
            <w:tcW w:w="4879" w:type="dxa"/>
            <w:noWrap w:val="0"/>
            <w:vAlign w:val="center"/>
          </w:tcPr>
          <w:p w14:paraId="1031B944">
            <w:pPr>
              <w:pageBreakBefore w:val="0"/>
              <w:suppressAutoHyphens/>
              <w:kinsoku/>
              <w:overflowPunct/>
              <w:bidi w:val="0"/>
              <w:adjustRightInd w:val="0"/>
              <w:snapToGrid w:val="0"/>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供应商总报价不得高于采购人公布的最高限价数额，否则按照无效响应文件处理。</w:t>
            </w:r>
          </w:p>
        </w:tc>
      </w:tr>
      <w:tr w14:paraId="3F146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015" w:type="dxa"/>
            <w:gridSpan w:val="2"/>
            <w:noWrap w:val="0"/>
            <w:vAlign w:val="center"/>
          </w:tcPr>
          <w:p w14:paraId="4F1B9C11">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条款号</w:t>
            </w:r>
          </w:p>
        </w:tc>
        <w:tc>
          <w:tcPr>
            <w:tcW w:w="2063" w:type="dxa"/>
            <w:noWrap w:val="0"/>
            <w:vAlign w:val="center"/>
          </w:tcPr>
          <w:p w14:paraId="0AE7C94B">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条款内容</w:t>
            </w:r>
          </w:p>
        </w:tc>
        <w:tc>
          <w:tcPr>
            <w:tcW w:w="4879" w:type="dxa"/>
            <w:noWrap w:val="0"/>
            <w:vAlign w:val="center"/>
          </w:tcPr>
          <w:p w14:paraId="117A4674">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编列内容</w:t>
            </w:r>
          </w:p>
        </w:tc>
      </w:tr>
      <w:tr w14:paraId="7622E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jc w:val="center"/>
        </w:trPr>
        <w:tc>
          <w:tcPr>
            <w:tcW w:w="2015" w:type="dxa"/>
            <w:gridSpan w:val="2"/>
            <w:noWrap w:val="0"/>
            <w:vAlign w:val="center"/>
          </w:tcPr>
          <w:p w14:paraId="3B4FA975">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w:t>
            </w:r>
          </w:p>
        </w:tc>
        <w:tc>
          <w:tcPr>
            <w:tcW w:w="2063" w:type="dxa"/>
            <w:noWrap w:val="0"/>
            <w:vAlign w:val="center"/>
          </w:tcPr>
          <w:p w14:paraId="4C5402EA">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分值构成</w:t>
            </w:r>
          </w:p>
          <w:p w14:paraId="1744566C">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（总分100分）</w:t>
            </w:r>
          </w:p>
        </w:tc>
        <w:tc>
          <w:tcPr>
            <w:tcW w:w="4879" w:type="dxa"/>
            <w:noWrap w:val="0"/>
            <w:vAlign w:val="center"/>
          </w:tcPr>
          <w:p w14:paraId="0020340A">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技术部分</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50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分</w:t>
            </w:r>
          </w:p>
          <w:p w14:paraId="1227020A">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投标报价</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30  </w:t>
            </w:r>
            <w:r>
              <w:rPr>
                <w:rFonts w:hint="eastAsia" w:ascii="宋体" w:hAnsi="宋体" w:eastAsia="宋体" w:cs="宋体"/>
                <w:color w:val="auto"/>
                <w:sz w:val="24"/>
                <w:szCs w:val="24"/>
                <w:highlight w:val="none"/>
              </w:rPr>
              <w:t>分</w:t>
            </w:r>
          </w:p>
          <w:p w14:paraId="172E6A72">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商务部分</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20  </w:t>
            </w:r>
            <w:r>
              <w:rPr>
                <w:rFonts w:hint="eastAsia" w:ascii="宋体" w:hAnsi="宋体" w:eastAsia="宋体" w:cs="宋体"/>
                <w:color w:val="auto"/>
                <w:sz w:val="24"/>
                <w:szCs w:val="24"/>
                <w:highlight w:val="none"/>
              </w:rPr>
              <w:t>分</w:t>
            </w:r>
          </w:p>
        </w:tc>
      </w:tr>
      <w:tr w14:paraId="189E3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2015" w:type="dxa"/>
            <w:gridSpan w:val="2"/>
            <w:noWrap w:val="0"/>
            <w:vAlign w:val="center"/>
          </w:tcPr>
          <w:p w14:paraId="1FDECAEA">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条款号</w:t>
            </w:r>
          </w:p>
        </w:tc>
        <w:tc>
          <w:tcPr>
            <w:tcW w:w="2063" w:type="dxa"/>
            <w:noWrap w:val="0"/>
            <w:vAlign w:val="center"/>
          </w:tcPr>
          <w:p w14:paraId="73604D8C">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评分因素</w:t>
            </w:r>
          </w:p>
        </w:tc>
        <w:tc>
          <w:tcPr>
            <w:tcW w:w="4879" w:type="dxa"/>
            <w:noWrap w:val="0"/>
            <w:vAlign w:val="center"/>
          </w:tcPr>
          <w:p w14:paraId="3FAB0992">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评分标准</w:t>
            </w:r>
          </w:p>
        </w:tc>
      </w:tr>
      <w:tr w14:paraId="26925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restart"/>
            <w:noWrap w:val="0"/>
            <w:vAlign w:val="center"/>
          </w:tcPr>
          <w:p w14:paraId="1CFFAC71">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2.2.2</w:t>
            </w:r>
          </w:p>
          <w:p w14:paraId="23E597E7">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095" w:type="dxa"/>
            <w:vMerge w:val="restart"/>
            <w:noWrap w:val="0"/>
            <w:vAlign w:val="center"/>
          </w:tcPr>
          <w:p w14:paraId="3BC7EE10">
            <w:pPr>
              <w:pageBreakBefore w:val="0"/>
              <w:kinsoku/>
              <w:overflowPunct/>
              <w:bidi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技术部分</w:t>
            </w:r>
          </w:p>
          <w:p w14:paraId="34B86027">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评分标准</w:t>
            </w:r>
          </w:p>
          <w:p w14:paraId="75BD3890">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（50分）</w:t>
            </w:r>
          </w:p>
        </w:tc>
        <w:tc>
          <w:tcPr>
            <w:tcW w:w="2063" w:type="dxa"/>
            <w:vMerge w:val="restart"/>
            <w:noWrap w:val="0"/>
            <w:vAlign w:val="center"/>
          </w:tcPr>
          <w:p w14:paraId="19596E1D">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内容完整性</w:t>
            </w:r>
          </w:p>
          <w:p w14:paraId="11D02455">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4879" w:type="dxa"/>
            <w:noWrap w:val="0"/>
            <w:vAlign w:val="center"/>
          </w:tcPr>
          <w:p w14:paraId="36207E67">
            <w:pPr>
              <w:pageBreakBefore w:val="0"/>
              <w:kinsoku/>
              <w:overflowPunct/>
              <w:bidi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技术部分</w:t>
            </w:r>
            <w:r>
              <w:rPr>
                <w:rFonts w:hint="eastAsia" w:ascii="宋体" w:hAnsi="宋体" w:eastAsia="宋体" w:cs="宋体"/>
                <w:color w:val="auto"/>
                <w:sz w:val="24"/>
                <w:szCs w:val="24"/>
                <w:highlight w:val="none"/>
              </w:rPr>
              <w:t>的主要内容具有完整性，符合竞争性磋商文件的要求，得</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r>
      <w:tr w14:paraId="75F2F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408AD41F">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0A3AF5F5">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continue"/>
            <w:noWrap w:val="0"/>
            <w:vAlign w:val="center"/>
          </w:tcPr>
          <w:p w14:paraId="163B6473">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4879" w:type="dxa"/>
            <w:noWrap w:val="0"/>
            <w:vAlign w:val="center"/>
          </w:tcPr>
          <w:p w14:paraId="5C09202F">
            <w:pPr>
              <w:pageBreakBefore w:val="0"/>
              <w:kinsoku/>
              <w:overflowPunct/>
              <w:bidi w:val="0"/>
              <w:spacing w:line="360" w:lineRule="auto"/>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技术部分</w:t>
            </w:r>
            <w:r>
              <w:rPr>
                <w:rFonts w:hint="eastAsia" w:ascii="宋体" w:hAnsi="宋体" w:eastAsia="宋体" w:cs="宋体"/>
                <w:color w:val="auto"/>
                <w:sz w:val="24"/>
                <w:szCs w:val="24"/>
                <w:highlight w:val="none"/>
              </w:rPr>
              <w:t>的主要内容具有</w:t>
            </w:r>
            <w:r>
              <w:rPr>
                <w:rFonts w:hint="eastAsia" w:ascii="宋体" w:hAnsi="宋体" w:eastAsia="宋体" w:cs="宋体"/>
                <w:color w:val="auto"/>
                <w:sz w:val="24"/>
                <w:szCs w:val="24"/>
                <w:highlight w:val="none"/>
                <w:lang w:val="en-US" w:eastAsia="zh-CN"/>
              </w:rPr>
              <w:t>较强</w:t>
            </w:r>
            <w:r>
              <w:rPr>
                <w:rFonts w:hint="eastAsia" w:ascii="宋体" w:hAnsi="宋体" w:eastAsia="宋体" w:cs="宋体"/>
                <w:color w:val="auto"/>
                <w:sz w:val="24"/>
                <w:szCs w:val="24"/>
                <w:highlight w:val="none"/>
              </w:rPr>
              <w:t>完整性，</w:t>
            </w:r>
            <w:r>
              <w:rPr>
                <w:rFonts w:hint="eastAsia" w:ascii="宋体" w:hAnsi="宋体" w:eastAsia="宋体" w:cs="宋体"/>
                <w:color w:val="auto"/>
                <w:sz w:val="24"/>
                <w:szCs w:val="24"/>
                <w:highlight w:val="none"/>
                <w:lang w:val="en-US" w:eastAsia="zh-CN"/>
              </w:rPr>
              <w:t>但不够完善，基本</w:t>
            </w:r>
            <w:r>
              <w:rPr>
                <w:rFonts w:hint="eastAsia" w:ascii="宋体" w:hAnsi="宋体" w:eastAsia="宋体" w:cs="宋体"/>
                <w:color w:val="auto"/>
                <w:sz w:val="24"/>
                <w:szCs w:val="24"/>
                <w:highlight w:val="none"/>
              </w:rPr>
              <w:t>符合竞争性磋商文件的要求，得</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tc>
      </w:tr>
      <w:tr w14:paraId="393B7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57F77990">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5687100B">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continue"/>
            <w:noWrap w:val="0"/>
            <w:vAlign w:val="center"/>
          </w:tcPr>
          <w:p w14:paraId="50E72B8E">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4879" w:type="dxa"/>
            <w:noWrap w:val="0"/>
            <w:vAlign w:val="center"/>
          </w:tcPr>
          <w:p w14:paraId="69A99405">
            <w:pPr>
              <w:pageBreakBefore w:val="0"/>
              <w:kinsoku/>
              <w:overflowPunct/>
              <w:bidi w:val="0"/>
              <w:spacing w:line="360" w:lineRule="auto"/>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技术部分</w:t>
            </w:r>
            <w:r>
              <w:rPr>
                <w:rFonts w:hint="eastAsia" w:ascii="宋体" w:hAnsi="宋体" w:eastAsia="宋体" w:cs="宋体"/>
                <w:color w:val="auto"/>
                <w:sz w:val="24"/>
                <w:szCs w:val="24"/>
                <w:highlight w:val="none"/>
                <w:lang w:val="en-US" w:eastAsia="zh-CN"/>
              </w:rPr>
              <w:t>主要内容不够完整，</w:t>
            </w:r>
            <w:r>
              <w:rPr>
                <w:rFonts w:hint="eastAsia" w:ascii="宋体" w:hAnsi="宋体" w:eastAsia="宋体" w:cs="宋体"/>
                <w:color w:val="auto"/>
                <w:sz w:val="24"/>
                <w:szCs w:val="24"/>
                <w:highlight w:val="none"/>
              </w:rPr>
              <w:t>符合竞争性磋商文件要求，</w:t>
            </w:r>
            <w:r>
              <w:rPr>
                <w:rFonts w:hint="eastAsia" w:ascii="宋体" w:hAnsi="宋体" w:eastAsia="宋体" w:cs="宋体"/>
                <w:color w:val="auto"/>
                <w:sz w:val="24"/>
                <w:szCs w:val="24"/>
                <w:highlight w:val="none"/>
                <w:lang w:val="en-US" w:eastAsia="zh-CN"/>
              </w:rPr>
              <w:t>得1分</w:t>
            </w:r>
          </w:p>
        </w:tc>
      </w:tr>
      <w:tr w14:paraId="7B0A2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66EF6998">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63D152F9">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restart"/>
            <w:noWrap w:val="0"/>
            <w:vAlign w:val="center"/>
          </w:tcPr>
          <w:p w14:paraId="27657420">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主要施工方案与技术措施</w:t>
            </w:r>
          </w:p>
          <w:p w14:paraId="2CE91A6C">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（5分）</w:t>
            </w:r>
          </w:p>
          <w:p w14:paraId="4F57A90D">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4879" w:type="dxa"/>
            <w:noWrap w:val="0"/>
            <w:vAlign w:val="center"/>
          </w:tcPr>
          <w:p w14:paraId="394E336A">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施工方案（含工程特点、施工重点与难点及绿色施工）总体安排合理，运用先进、合理的施工工艺、施工机械；对施工难点有先进和合理的建议。5分</w:t>
            </w:r>
          </w:p>
        </w:tc>
      </w:tr>
      <w:tr w14:paraId="7C4B1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15A5BF96">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135D8FD1">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continue"/>
            <w:noWrap w:val="0"/>
            <w:vAlign w:val="center"/>
          </w:tcPr>
          <w:p w14:paraId="2C9491DC">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4879" w:type="dxa"/>
            <w:noWrap w:val="0"/>
            <w:vAlign w:val="center"/>
          </w:tcPr>
          <w:p w14:paraId="6FD1165D">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施工方案（含工程特点、施工重点与难点及绿色施工）总体安排合理，施工工艺、施工机械合理、可行；对施工难点有合理的建议。3分</w:t>
            </w:r>
          </w:p>
        </w:tc>
      </w:tr>
      <w:tr w14:paraId="342AC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79607E1A">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57226B5D">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restart"/>
            <w:noWrap w:val="0"/>
            <w:vAlign w:val="center"/>
          </w:tcPr>
          <w:p w14:paraId="1A07585D">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质量管理体系与措施</w:t>
            </w:r>
          </w:p>
          <w:p w14:paraId="41EFFD9E">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4879" w:type="dxa"/>
            <w:noWrap w:val="0"/>
            <w:vAlign w:val="center"/>
          </w:tcPr>
          <w:p w14:paraId="55C4C426">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组织机构形式合理，有完善的指挥系统、质量监控系统、联络协调系统，对项目提出先进、可行、具体的保证措施。</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r>
      <w:tr w14:paraId="652A0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16319F16">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3DC324CD">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continue"/>
            <w:noWrap w:val="0"/>
            <w:vAlign w:val="center"/>
          </w:tcPr>
          <w:p w14:paraId="413B8176">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4879" w:type="dxa"/>
            <w:noWrap w:val="0"/>
            <w:vAlign w:val="center"/>
          </w:tcPr>
          <w:p w14:paraId="6A777256">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组织机构形式基本合理，指挥系统、质量监控系统、联络协调系统，具体措施可行。质量保证措施经济、安全、基本可行。</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tc>
      </w:tr>
      <w:tr w14:paraId="2BE04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27764AFC">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49934183">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restart"/>
            <w:noWrap w:val="0"/>
            <w:vAlign w:val="center"/>
          </w:tcPr>
          <w:p w14:paraId="7B13385D">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安全管理体系与措施</w:t>
            </w:r>
          </w:p>
          <w:p w14:paraId="532BCA0D">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4879" w:type="dxa"/>
            <w:noWrap w:val="0"/>
            <w:vAlign w:val="center"/>
          </w:tcPr>
          <w:p w14:paraId="667F0A5C">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安全生产保障体系健全，安全管理制度完善，安全管理目标具体，全员安全责任制明确，现场安全管理组织机构。根据工程特点、施工工艺，现场重大危险源辨识全面，明确有相应的安全管理措施。安全技术方案措施科学合理、先进可行。</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r>
      <w:tr w14:paraId="3A482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019595BB">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1933E711">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continue"/>
            <w:noWrap w:val="0"/>
            <w:vAlign w:val="center"/>
          </w:tcPr>
          <w:p w14:paraId="7004BD56">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4879" w:type="dxa"/>
            <w:noWrap w:val="0"/>
            <w:vAlign w:val="center"/>
          </w:tcPr>
          <w:p w14:paraId="2711C635">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施工安全生产保障体系、安全责任制和安全管理制度，现场安全管理机构。根据工程特点、施工工艺，正确识别现场重大危险源并有相应的安全防护管理措施。制定相关专项施工方案（或方案计划），安全技术方案、措施基本可行。</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tc>
      </w:tr>
      <w:tr w14:paraId="46E11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05796BFC">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61CA67FA">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restart"/>
            <w:noWrap w:val="0"/>
            <w:vAlign w:val="center"/>
          </w:tcPr>
          <w:p w14:paraId="69B74F29">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文明施工、环境保护管理体系及施工现场扬尘治理措施</w:t>
            </w:r>
          </w:p>
          <w:p w14:paraId="49695DCE">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4879" w:type="dxa"/>
            <w:noWrap w:val="0"/>
            <w:vAlign w:val="center"/>
          </w:tcPr>
          <w:p w14:paraId="1C3FAF52">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创安全文明标准化目标明确，有针对项目实际情况，科学可行的创建计划和符合相关标准、规范、规程的创建保证措施和安全文明措施费用投入使用计划，现场施工区、生活区、办公区等设置科学规范，符合有关文明施工、健康卫生的规定。施工现场扬尘治理措施符合河南省《城市房屋建筑和市政基础设施工程及道路扬尘污染防治标准》（DBJ41/174）的规定，防治方案科学、先进。</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r>
      <w:tr w14:paraId="3B290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2245DF57">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6F3D483D">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continue"/>
            <w:noWrap w:val="0"/>
            <w:vAlign w:val="center"/>
          </w:tcPr>
          <w:p w14:paraId="2477CBB4">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4879" w:type="dxa"/>
            <w:noWrap w:val="0"/>
            <w:vAlign w:val="center"/>
          </w:tcPr>
          <w:p w14:paraId="0D37F17C">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安全文明标准化创建目标计划和创建措施，有安全文明措施费用投入使用计划，现场施工区、生活区、办公区等设置符合有关文明施工、健康卫生的规定。施工现场扬尘治理措施基本达到河南省《城市房屋建筑和市政基础设施工程及道路扬尘污染防治标准》（DBJ41/174）的规定，有防治方案。</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tc>
      </w:tr>
      <w:tr w14:paraId="767CA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202F756E">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5102628E">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restart"/>
            <w:noWrap w:val="0"/>
            <w:vAlign w:val="center"/>
          </w:tcPr>
          <w:p w14:paraId="13F21C56">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工期保证措施</w:t>
            </w:r>
          </w:p>
          <w:p w14:paraId="58D18854">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4879" w:type="dxa"/>
            <w:noWrap w:val="0"/>
            <w:vAlign w:val="center"/>
          </w:tcPr>
          <w:p w14:paraId="66A9F739">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工期承诺满足竞争性磋商文件要求，工期保证措施合理且有针对性，有具体的违约责任承诺。</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r>
      <w:tr w14:paraId="1F0D2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4B5F0362">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3998C7C2">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continue"/>
            <w:noWrap w:val="0"/>
            <w:vAlign w:val="center"/>
          </w:tcPr>
          <w:p w14:paraId="56FFEDEF">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4879" w:type="dxa"/>
            <w:noWrap w:val="0"/>
            <w:vAlign w:val="center"/>
          </w:tcPr>
          <w:p w14:paraId="63303A17">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工期承诺满足竞争性磋商文件要求，工期保证措施基本合理，有具体的违约责任承诺。</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tc>
      </w:tr>
      <w:tr w14:paraId="45CB8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920" w:type="dxa"/>
            <w:vMerge w:val="continue"/>
            <w:noWrap w:val="0"/>
            <w:vAlign w:val="center"/>
          </w:tcPr>
          <w:p w14:paraId="42B59134">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77F23DD0">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restart"/>
            <w:noWrap w:val="0"/>
            <w:vAlign w:val="center"/>
          </w:tcPr>
          <w:p w14:paraId="217E4A7D">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拟投入资源配备计划</w:t>
            </w:r>
          </w:p>
          <w:p w14:paraId="48396317">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4879" w:type="dxa"/>
            <w:noWrap w:val="0"/>
            <w:vAlign w:val="top"/>
          </w:tcPr>
          <w:p w14:paraId="087D41F7">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1、机械：投入计划与进度计划呼应，采用先进机械设备且配置合理、先进，满足安全技术规范和施工进度需要；</w:t>
            </w:r>
          </w:p>
          <w:p w14:paraId="0CF87A6D">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2、劳动力：投入计划与进度计划呼应，较好满足施工需要，调配投入计划合理、准确；</w:t>
            </w:r>
          </w:p>
          <w:p w14:paraId="7EE1E5CA">
            <w:pPr>
              <w:pageBreakBefore w:val="0"/>
              <w:kinsoku/>
              <w:overflowPunct/>
              <w:bidi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3、主要物资计划：主要物资投入计划与进度计划呼应，较好满足施工需要，调配投入计划合理、准确。</w:t>
            </w:r>
            <w:r>
              <w:rPr>
                <w:rFonts w:hint="eastAsia" w:ascii="宋体" w:hAnsi="宋体" w:eastAsia="宋体" w:cs="宋体"/>
                <w:color w:val="auto"/>
                <w:sz w:val="24"/>
                <w:szCs w:val="24"/>
                <w:highlight w:val="none"/>
                <w:lang w:val="en-US" w:eastAsia="zh-CN"/>
              </w:rPr>
              <w:t>5分</w:t>
            </w:r>
          </w:p>
        </w:tc>
      </w:tr>
      <w:tr w14:paraId="75B17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5" w:hRule="atLeast"/>
          <w:jc w:val="center"/>
        </w:trPr>
        <w:tc>
          <w:tcPr>
            <w:tcW w:w="920" w:type="dxa"/>
            <w:vMerge w:val="continue"/>
            <w:noWrap w:val="0"/>
            <w:vAlign w:val="center"/>
          </w:tcPr>
          <w:p w14:paraId="1E476760">
            <w:pPr>
              <w:pageBreakBefore w:val="0"/>
              <w:kinsoku/>
              <w:overflowPunct/>
              <w:bidi w:val="0"/>
              <w:spacing w:line="360" w:lineRule="auto"/>
              <w:jc w:val="left"/>
            </w:pPr>
          </w:p>
        </w:tc>
        <w:tc>
          <w:tcPr>
            <w:tcW w:w="1095" w:type="dxa"/>
            <w:vMerge w:val="continue"/>
            <w:noWrap w:val="0"/>
            <w:vAlign w:val="center"/>
          </w:tcPr>
          <w:p w14:paraId="61208429">
            <w:pPr>
              <w:pageBreakBefore w:val="0"/>
              <w:kinsoku/>
              <w:overflowPunct/>
              <w:bidi w:val="0"/>
              <w:spacing w:line="360" w:lineRule="auto"/>
              <w:jc w:val="left"/>
            </w:pPr>
          </w:p>
        </w:tc>
        <w:tc>
          <w:tcPr>
            <w:tcW w:w="2063" w:type="dxa"/>
            <w:vMerge w:val="continue"/>
            <w:noWrap w:val="0"/>
            <w:vAlign w:val="center"/>
          </w:tcPr>
          <w:p w14:paraId="77D567B7">
            <w:pPr>
              <w:pageBreakBefore w:val="0"/>
              <w:kinsoku/>
              <w:overflowPunct/>
              <w:bidi w:val="0"/>
              <w:spacing w:line="360" w:lineRule="auto"/>
              <w:jc w:val="left"/>
            </w:pPr>
          </w:p>
        </w:tc>
        <w:tc>
          <w:tcPr>
            <w:tcW w:w="4879" w:type="dxa"/>
            <w:noWrap w:val="0"/>
            <w:vAlign w:val="top"/>
          </w:tcPr>
          <w:p w14:paraId="3EFA936D">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1、机械：投入计划与进度计划呼应，机械设备配置基本合理，满足安全技术规范和施工进度需要；</w:t>
            </w:r>
          </w:p>
          <w:p w14:paraId="052D5211">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2、劳动力：投入计划与进度计划呼应，基本满足施工需要，调配投入计划基本合理；</w:t>
            </w:r>
          </w:p>
          <w:p w14:paraId="6641191F">
            <w:pPr>
              <w:pageBreakBefore w:val="0"/>
              <w:kinsoku/>
              <w:overflowPunct/>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3、主要物资计划：主要物资投入计划与进度计划呼应，基本满足施工需要，调配投入计划基本合理。</w:t>
            </w:r>
            <w:r>
              <w:rPr>
                <w:rFonts w:hint="eastAsia" w:ascii="宋体" w:hAnsi="宋体" w:eastAsia="宋体" w:cs="宋体"/>
                <w:color w:val="auto"/>
                <w:sz w:val="24"/>
                <w:szCs w:val="24"/>
                <w:highlight w:val="none"/>
                <w:lang w:val="en-US" w:eastAsia="zh-CN"/>
              </w:rPr>
              <w:t>3分</w:t>
            </w:r>
          </w:p>
        </w:tc>
      </w:tr>
      <w:tr w14:paraId="0D0DD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26280F77">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1B55AB48">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restart"/>
            <w:noWrap w:val="0"/>
            <w:vAlign w:val="center"/>
          </w:tcPr>
          <w:p w14:paraId="18FF15B9">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施工进度表与网络计划图</w:t>
            </w:r>
          </w:p>
          <w:p w14:paraId="1D4D4894">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4879" w:type="dxa"/>
            <w:noWrap w:val="0"/>
            <w:vAlign w:val="center"/>
          </w:tcPr>
          <w:p w14:paraId="339BA9C9">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关键线路清晰、准确、完整、计划编制合理、可行、满足竞争性磋商文件对工期的要求。</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r>
      <w:tr w14:paraId="5F986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0EBACCF1">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46962CA6">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continue"/>
            <w:noWrap w:val="0"/>
            <w:vAlign w:val="center"/>
          </w:tcPr>
          <w:p w14:paraId="49E16CD2">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4879" w:type="dxa"/>
            <w:noWrap w:val="0"/>
            <w:vAlign w:val="center"/>
          </w:tcPr>
          <w:p w14:paraId="6CFA0111">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关键线路基本准确，计划编制基本可行。</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tc>
      </w:tr>
      <w:tr w14:paraId="0C3AE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36727D7A">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0D8EC9EA">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restart"/>
            <w:noWrap w:val="0"/>
            <w:vAlign w:val="center"/>
          </w:tcPr>
          <w:p w14:paraId="2941B931">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施工总平面图布置</w:t>
            </w:r>
          </w:p>
          <w:p w14:paraId="2D04B622">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4879" w:type="dxa"/>
            <w:noWrap w:val="0"/>
            <w:vAlign w:val="center"/>
          </w:tcPr>
          <w:p w14:paraId="4A5E3005">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总体布置有针对性、合理、能较好满足施工需要，符合安全、文明施工要求；材料堆放有序。</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r>
      <w:tr w14:paraId="7FE85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59182303">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08D2CE11">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continue"/>
            <w:noWrap w:val="0"/>
            <w:vAlign w:val="center"/>
          </w:tcPr>
          <w:p w14:paraId="3D264D08">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4879" w:type="dxa"/>
            <w:noWrap w:val="0"/>
            <w:vAlign w:val="center"/>
          </w:tcPr>
          <w:p w14:paraId="0800DD6E">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总体布置基本合理、基本满足施工需要。</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tc>
      </w:tr>
      <w:tr w14:paraId="198B1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130D1820">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4B80A801">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restart"/>
            <w:noWrap w:val="0"/>
            <w:vAlign w:val="center"/>
          </w:tcPr>
          <w:p w14:paraId="73B19542">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采用新工艺、新技术、新设备、新材料、BIM等的程度</w:t>
            </w:r>
          </w:p>
          <w:p w14:paraId="7D6DE753">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4879" w:type="dxa"/>
            <w:noWrap w:val="0"/>
            <w:vAlign w:val="center"/>
          </w:tcPr>
          <w:p w14:paraId="24D07D3D">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采用新工艺、新技术、新设备、新材料、BIM等的程度满足设计要求，符合施工需要和相应</w:t>
            </w:r>
            <w:r>
              <w:rPr>
                <w:rFonts w:hint="eastAsia" w:ascii="宋体" w:hAnsi="宋体" w:eastAsia="宋体" w:cs="宋体"/>
                <w:color w:val="auto"/>
                <w:sz w:val="24"/>
                <w:szCs w:val="24"/>
                <w:highlight w:val="none"/>
                <w:lang w:eastAsia="zh-CN"/>
              </w:rPr>
              <w:t>技术部分</w:t>
            </w:r>
            <w:r>
              <w:rPr>
                <w:rFonts w:hint="eastAsia" w:ascii="宋体" w:hAnsi="宋体" w:eastAsia="宋体" w:cs="宋体"/>
                <w:color w:val="auto"/>
                <w:sz w:val="24"/>
                <w:szCs w:val="24"/>
                <w:highlight w:val="none"/>
              </w:rPr>
              <w:t>准等规定，经济适用。</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r>
      <w:tr w14:paraId="4A8E7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20" w:type="dxa"/>
            <w:vMerge w:val="continue"/>
            <w:noWrap w:val="0"/>
            <w:vAlign w:val="center"/>
          </w:tcPr>
          <w:p w14:paraId="41D7E8D6">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01084B11">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vMerge w:val="continue"/>
            <w:noWrap w:val="0"/>
            <w:vAlign w:val="center"/>
          </w:tcPr>
          <w:p w14:paraId="63B85C66">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4879" w:type="dxa"/>
            <w:noWrap w:val="0"/>
            <w:vAlign w:val="center"/>
          </w:tcPr>
          <w:p w14:paraId="45035766">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采用新工艺、新技术、新设备、新材料、BIM等的程度满足设计要求， 基本符合施工要求和相应</w:t>
            </w:r>
            <w:r>
              <w:rPr>
                <w:rFonts w:hint="eastAsia" w:ascii="宋体" w:hAnsi="宋体" w:eastAsia="宋体" w:cs="宋体"/>
                <w:color w:val="auto"/>
                <w:sz w:val="24"/>
                <w:szCs w:val="24"/>
                <w:highlight w:val="none"/>
                <w:lang w:eastAsia="zh-CN"/>
              </w:rPr>
              <w:t>技术部分</w:t>
            </w:r>
            <w:r>
              <w:rPr>
                <w:rFonts w:hint="eastAsia" w:ascii="宋体" w:hAnsi="宋体" w:eastAsia="宋体" w:cs="宋体"/>
                <w:color w:val="auto"/>
                <w:sz w:val="24"/>
                <w:szCs w:val="24"/>
                <w:highlight w:val="none"/>
              </w:rPr>
              <w:t>准等规定。</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tc>
      </w:tr>
      <w:tr w14:paraId="77BEF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920" w:type="dxa"/>
            <w:vMerge w:val="continue"/>
            <w:noWrap w:val="0"/>
            <w:vAlign w:val="center"/>
          </w:tcPr>
          <w:p w14:paraId="57CFB0AD">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3EC0F3F9">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6942" w:type="dxa"/>
            <w:gridSpan w:val="2"/>
            <w:noWrap w:val="0"/>
            <w:vAlign w:val="center"/>
          </w:tcPr>
          <w:p w14:paraId="1E313DFF">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以上项目若有缺项的，该项为0分；不缺项的，不低于最低分。</w:t>
            </w:r>
          </w:p>
        </w:tc>
      </w:tr>
      <w:tr w14:paraId="2DB0E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20" w:type="dxa"/>
            <w:noWrap w:val="0"/>
            <w:vAlign w:val="center"/>
          </w:tcPr>
          <w:p w14:paraId="0F1F1AE7">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2.2.2</w:t>
            </w:r>
          </w:p>
          <w:p w14:paraId="2F92B56E">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095" w:type="dxa"/>
            <w:noWrap w:val="0"/>
            <w:vAlign w:val="center"/>
          </w:tcPr>
          <w:p w14:paraId="7CA37D52">
            <w:pPr>
              <w:pageBreakBefore w:val="0"/>
              <w:kinsoku/>
              <w:overflowPunct/>
              <w:bidi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投标报价</w:t>
            </w:r>
          </w:p>
          <w:p w14:paraId="1D91154E">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评分标准</w:t>
            </w:r>
          </w:p>
          <w:p w14:paraId="51DBBD9C">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（30分）</w:t>
            </w:r>
          </w:p>
        </w:tc>
        <w:tc>
          <w:tcPr>
            <w:tcW w:w="2063" w:type="dxa"/>
            <w:noWrap w:val="0"/>
            <w:vAlign w:val="center"/>
          </w:tcPr>
          <w:p w14:paraId="2EA374D0">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磋商报价</w:t>
            </w:r>
          </w:p>
        </w:tc>
        <w:tc>
          <w:tcPr>
            <w:tcW w:w="4879" w:type="dxa"/>
            <w:noWrap w:val="0"/>
            <w:vAlign w:val="center"/>
          </w:tcPr>
          <w:p w14:paraId="32BB9DD6">
            <w:pPr>
              <w:pageBreakBefore w:val="0"/>
              <w:kinsoku/>
              <w:overflowPunct/>
              <w:bidi w:val="0"/>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磋商报价高于招标控制价为无效标；</w:t>
            </w:r>
          </w:p>
          <w:p w14:paraId="680DB045">
            <w:pPr>
              <w:pageBreakBefore w:val="0"/>
              <w:kinsoku/>
              <w:overflowPunct/>
              <w:bidi w:val="0"/>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采用低价优先法计算，即满足磋商文件要求且最后报价最低的</w:t>
            </w:r>
            <w:r>
              <w:rPr>
                <w:rFonts w:hint="eastAsia" w:ascii="宋体" w:hAnsi="宋体" w:eastAsia="宋体" w:cs="宋体"/>
                <w:color w:val="000000"/>
                <w:sz w:val="24"/>
                <w:szCs w:val="24"/>
                <w:highlight w:val="none"/>
                <w:lang w:eastAsia="zh-CN"/>
              </w:rPr>
              <w:t>供应商</w:t>
            </w:r>
            <w:r>
              <w:rPr>
                <w:rFonts w:hint="eastAsia" w:ascii="宋体" w:hAnsi="宋体" w:eastAsia="宋体" w:cs="宋体"/>
                <w:color w:val="000000"/>
                <w:sz w:val="24"/>
                <w:szCs w:val="24"/>
                <w:highlight w:val="none"/>
              </w:rPr>
              <w:t>的价格为磋商基准价，其价格分为满分，其他</w:t>
            </w:r>
            <w:r>
              <w:rPr>
                <w:rFonts w:hint="eastAsia" w:ascii="宋体" w:hAnsi="宋体" w:eastAsia="宋体" w:cs="宋体"/>
                <w:color w:val="000000"/>
                <w:sz w:val="24"/>
                <w:szCs w:val="24"/>
                <w:highlight w:val="none"/>
                <w:lang w:eastAsia="zh-CN"/>
              </w:rPr>
              <w:t>供应商</w:t>
            </w:r>
            <w:r>
              <w:rPr>
                <w:rFonts w:hint="eastAsia" w:ascii="宋体" w:hAnsi="宋体" w:eastAsia="宋体" w:cs="宋体"/>
                <w:color w:val="000000"/>
                <w:sz w:val="24"/>
                <w:szCs w:val="24"/>
                <w:highlight w:val="none"/>
              </w:rPr>
              <w:t>的价格分按下列公式计算：</w:t>
            </w:r>
          </w:p>
          <w:p w14:paraId="26718E98">
            <w:pPr>
              <w:pageBreakBefore w:val="0"/>
              <w:kinsoku/>
              <w:overflowPunct/>
              <w:bidi w:val="0"/>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磋商报价得分=（磋商基准价/最后磋商报价）×30%×100</w:t>
            </w:r>
          </w:p>
          <w:p w14:paraId="305294DF">
            <w:pPr>
              <w:pageBreakBefore w:val="0"/>
              <w:widowControl/>
              <w:kinsoku/>
              <w:overflowPunct/>
              <w:autoSpaceDE w:val="0"/>
              <w:autoSpaceDN w:val="0"/>
              <w:bidi w:val="0"/>
              <w:adjustRightInd w:val="0"/>
              <w:spacing w:line="360" w:lineRule="auto"/>
              <w:jc w:val="left"/>
              <w:rPr>
                <w:rFonts w:hint="eastAsia" w:ascii="宋体" w:hAnsi="宋体" w:eastAsia="宋体" w:cs="宋体"/>
                <w:kern w:val="0"/>
                <w:sz w:val="24"/>
                <w:szCs w:val="21"/>
                <w:lang w:bidi="ar"/>
              </w:rPr>
            </w:pPr>
            <w:r>
              <w:rPr>
                <w:rFonts w:hint="eastAsia" w:ascii="宋体" w:hAnsi="宋体" w:eastAsia="宋体" w:cs="宋体"/>
                <w:kern w:val="0"/>
                <w:sz w:val="24"/>
                <w:szCs w:val="21"/>
                <w:lang w:bidi="ar"/>
              </w:rPr>
              <w:t>注：</w:t>
            </w:r>
            <w:r>
              <w:rPr>
                <w:rFonts w:hint="eastAsia" w:ascii="宋体" w:hAnsi="宋体" w:eastAsia="宋体" w:cs="宋体"/>
                <w:kern w:val="0"/>
                <w:sz w:val="24"/>
                <w:szCs w:val="21"/>
                <w:lang w:val="en-US" w:eastAsia="zh-CN" w:bidi="ar"/>
              </w:rPr>
              <w:t>1、</w:t>
            </w:r>
            <w:r>
              <w:rPr>
                <w:rFonts w:hint="eastAsia" w:ascii="宋体" w:hAnsi="宋体" w:eastAsia="宋体" w:cs="宋体"/>
                <w:kern w:val="0"/>
                <w:sz w:val="24"/>
                <w:szCs w:val="21"/>
                <w:lang w:bidi="ar"/>
              </w:rPr>
              <w:t>超出采购人最高投标限价的投标报价为无效报价；经磋商小组全体认定属于低价恶意竞标的，供应商应予以做出合理解释，若供应商未作出合理解释或供应商作出的解释未通过磋商小组全体认定，其投标作无效标处理。</w:t>
            </w:r>
          </w:p>
          <w:p w14:paraId="32E82A71">
            <w:pPr>
              <w:pageBreakBefore w:val="0"/>
              <w:widowControl/>
              <w:kinsoku/>
              <w:overflowPunct/>
              <w:autoSpaceDE w:val="0"/>
              <w:autoSpaceDN w:val="0"/>
              <w:bidi w:val="0"/>
              <w:adjustRightInd w:val="0"/>
              <w:spacing w:line="360" w:lineRule="auto"/>
              <w:ind w:firstLine="480" w:firstLineChars="200"/>
              <w:jc w:val="left"/>
              <w:rPr>
                <w:rFonts w:hint="eastAsia" w:ascii="宋体" w:hAnsi="宋体" w:eastAsia="宋体" w:cs="宋体"/>
                <w:kern w:val="0"/>
                <w:sz w:val="24"/>
                <w:szCs w:val="21"/>
                <w:lang w:val="en-US" w:eastAsia="zh-CN" w:bidi="ar"/>
              </w:rPr>
            </w:pPr>
            <w:r>
              <w:rPr>
                <w:rFonts w:hint="eastAsia" w:ascii="宋体" w:hAnsi="宋体" w:eastAsia="宋体" w:cs="宋体"/>
                <w:kern w:val="0"/>
                <w:sz w:val="24"/>
                <w:szCs w:val="21"/>
                <w:lang w:val="en-US" w:eastAsia="zh-CN" w:bidi="ar"/>
              </w:rPr>
              <w:t>2、政府采购评审中出现下列情形之一的，评审委员会应当启动异常低价投标（响应）审查程序：</w:t>
            </w:r>
          </w:p>
          <w:p w14:paraId="1EE20D85">
            <w:pPr>
              <w:pageBreakBefore w:val="0"/>
              <w:widowControl/>
              <w:numPr>
                <w:ilvl w:val="0"/>
                <w:numId w:val="0"/>
              </w:numPr>
              <w:kinsoku/>
              <w:overflowPunct/>
              <w:autoSpaceDE w:val="0"/>
              <w:autoSpaceDN w:val="0"/>
              <w:bidi w:val="0"/>
              <w:adjustRightInd w:val="0"/>
              <w:spacing w:line="360" w:lineRule="auto"/>
              <w:ind w:left="0" w:leftChars="0" w:firstLine="480" w:firstLineChars="200"/>
              <w:jc w:val="left"/>
              <w:rPr>
                <w:rFonts w:hint="eastAsia" w:ascii="宋体" w:hAnsi="宋体" w:eastAsia="宋体" w:cs="宋体"/>
                <w:kern w:val="0"/>
                <w:sz w:val="24"/>
                <w:szCs w:val="21"/>
                <w:lang w:val="en-US" w:eastAsia="zh-CN" w:bidi="ar"/>
              </w:rPr>
            </w:pPr>
            <w:r>
              <w:rPr>
                <w:rFonts w:hint="eastAsia" w:ascii="宋体" w:hAnsi="宋体" w:eastAsia="宋体" w:cs="宋体"/>
                <w:kern w:val="0"/>
                <w:sz w:val="24"/>
                <w:szCs w:val="21"/>
                <w:lang w:val="en-US" w:eastAsia="zh-CN" w:bidi="ar"/>
              </w:rPr>
              <w:t>①投标（响应）报价低于全部通过符合性审查供应商投标（响应）报价平均值50%的，即投标（响应）报价&lt;全部通过符合性审查供应商投标（响应）报价平均值×50%；</w:t>
            </w:r>
          </w:p>
          <w:p w14:paraId="70DF4EBD">
            <w:pPr>
              <w:pageBreakBefore w:val="0"/>
              <w:widowControl/>
              <w:numPr>
                <w:ilvl w:val="0"/>
                <w:numId w:val="0"/>
              </w:numPr>
              <w:kinsoku/>
              <w:overflowPunct/>
              <w:autoSpaceDE w:val="0"/>
              <w:autoSpaceDN w:val="0"/>
              <w:bidi w:val="0"/>
              <w:adjustRightInd w:val="0"/>
              <w:spacing w:line="360" w:lineRule="auto"/>
              <w:ind w:left="0" w:leftChars="0" w:firstLine="480" w:firstLineChars="200"/>
              <w:jc w:val="left"/>
              <w:rPr>
                <w:rFonts w:hint="eastAsia" w:ascii="宋体" w:hAnsi="宋体" w:eastAsia="宋体" w:cs="宋体"/>
                <w:kern w:val="0"/>
                <w:sz w:val="24"/>
                <w:szCs w:val="21"/>
                <w:lang w:val="en-US" w:eastAsia="zh-CN" w:bidi="ar"/>
              </w:rPr>
            </w:pPr>
            <w:r>
              <w:rPr>
                <w:rFonts w:hint="eastAsia" w:ascii="宋体" w:hAnsi="宋体" w:eastAsia="宋体" w:cs="宋体"/>
                <w:kern w:val="0"/>
                <w:sz w:val="24"/>
                <w:szCs w:val="21"/>
                <w:lang w:val="en-US" w:eastAsia="zh-CN" w:bidi="ar"/>
              </w:rPr>
              <w:t>②投标（响应）报价低于通过符合性审查的次低报价供应商投标（响应）报价50%的，即投标（响应）报价&lt;通过符合性审查的次低报价供应商投标（响应）报价×50%；</w:t>
            </w:r>
          </w:p>
          <w:p w14:paraId="51DB8EBD">
            <w:pPr>
              <w:pageBreakBefore w:val="0"/>
              <w:widowControl/>
              <w:numPr>
                <w:ilvl w:val="0"/>
                <w:numId w:val="0"/>
              </w:numPr>
              <w:kinsoku/>
              <w:overflowPunct/>
              <w:autoSpaceDE w:val="0"/>
              <w:autoSpaceDN w:val="0"/>
              <w:bidi w:val="0"/>
              <w:adjustRightInd w:val="0"/>
              <w:spacing w:line="360" w:lineRule="auto"/>
              <w:ind w:left="0" w:leftChars="0" w:firstLine="480" w:firstLineChars="200"/>
              <w:jc w:val="left"/>
              <w:rPr>
                <w:rFonts w:hint="eastAsia" w:ascii="宋体" w:hAnsi="宋体" w:eastAsia="宋体" w:cs="宋体"/>
                <w:kern w:val="0"/>
                <w:sz w:val="24"/>
                <w:szCs w:val="21"/>
                <w:lang w:val="en-US" w:eastAsia="zh-CN" w:bidi="ar"/>
              </w:rPr>
            </w:pPr>
            <w:r>
              <w:rPr>
                <w:rFonts w:hint="eastAsia" w:ascii="宋体" w:hAnsi="宋体" w:eastAsia="宋体" w:cs="宋体"/>
                <w:kern w:val="0"/>
                <w:sz w:val="24"/>
                <w:szCs w:val="21"/>
                <w:lang w:val="en-US" w:eastAsia="zh-CN" w:bidi="ar"/>
              </w:rPr>
              <w:t>③投标（响应）报价低于采购项目最高限价45%的，即投标（响应）报价&lt;采购项目最高限价×45%；</w:t>
            </w:r>
          </w:p>
          <w:p w14:paraId="585A8A92">
            <w:pPr>
              <w:pageBreakBefore w:val="0"/>
              <w:widowControl/>
              <w:numPr>
                <w:ilvl w:val="0"/>
                <w:numId w:val="0"/>
              </w:numPr>
              <w:kinsoku/>
              <w:overflowPunct/>
              <w:autoSpaceDE w:val="0"/>
              <w:autoSpaceDN w:val="0"/>
              <w:bidi w:val="0"/>
              <w:adjustRightInd w:val="0"/>
              <w:spacing w:line="360" w:lineRule="auto"/>
              <w:ind w:left="0" w:leftChars="0" w:firstLine="480" w:firstLineChars="200"/>
              <w:jc w:val="left"/>
              <w:rPr>
                <w:rFonts w:hint="eastAsia" w:ascii="宋体" w:hAnsi="宋体" w:eastAsia="宋体" w:cs="宋体"/>
                <w:kern w:val="0"/>
                <w:sz w:val="24"/>
                <w:szCs w:val="21"/>
                <w:lang w:val="en-US" w:eastAsia="zh-CN" w:bidi="ar"/>
              </w:rPr>
            </w:pPr>
            <w:r>
              <w:rPr>
                <w:rFonts w:hint="eastAsia" w:ascii="宋体" w:hAnsi="宋体" w:eastAsia="宋体" w:cs="宋体"/>
                <w:kern w:val="0"/>
                <w:sz w:val="24"/>
                <w:szCs w:val="21"/>
                <w:lang w:val="en-US" w:eastAsia="zh-CN" w:bidi="ar"/>
              </w:rPr>
              <w:t>④评审委员会基于专业判断，认为供应商报价过低，有可能影响产品质量或者不能诚信履约的其他情形。</w:t>
            </w:r>
          </w:p>
          <w:p w14:paraId="22D95E7F">
            <w:pPr>
              <w:pageBreakBefore w:val="0"/>
              <w:widowControl/>
              <w:numPr>
                <w:ilvl w:val="0"/>
                <w:numId w:val="0"/>
              </w:numPr>
              <w:kinsoku/>
              <w:overflowPunct/>
              <w:autoSpaceDE w:val="0"/>
              <w:autoSpaceDN w:val="0"/>
              <w:bidi w:val="0"/>
              <w:adjustRightInd w:val="0"/>
              <w:spacing w:line="360" w:lineRule="auto"/>
              <w:ind w:left="0" w:leftChars="0" w:firstLine="480"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kern w:val="0"/>
                <w:sz w:val="24"/>
                <w:szCs w:val="21"/>
                <w:lang w:val="en-US" w:eastAsia="zh-CN" w:bidi="ar"/>
              </w:rPr>
              <w:t>3、</w:t>
            </w:r>
            <w:r>
              <w:rPr>
                <w:rFonts w:hint="eastAsia" w:ascii="宋体" w:hAnsi="宋体" w:eastAsia="宋体" w:cs="宋体"/>
                <w:b/>
                <w:bCs/>
                <w:color w:val="auto"/>
                <w:kern w:val="0"/>
                <w:sz w:val="24"/>
                <w:szCs w:val="24"/>
                <w:highlight w:val="none"/>
              </w:rPr>
              <w:t>专门面向中小企业采购的项目或者采购包，不再执行价格评审优惠的扶持政策。</w:t>
            </w:r>
          </w:p>
        </w:tc>
      </w:tr>
      <w:tr w14:paraId="11440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jc w:val="center"/>
        </w:trPr>
        <w:tc>
          <w:tcPr>
            <w:tcW w:w="920" w:type="dxa"/>
            <w:vMerge w:val="restart"/>
            <w:noWrap w:val="0"/>
            <w:vAlign w:val="center"/>
          </w:tcPr>
          <w:p w14:paraId="0092B538">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2.2.2</w:t>
            </w:r>
          </w:p>
          <w:p w14:paraId="3151D2E0">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095" w:type="dxa"/>
            <w:vMerge w:val="restart"/>
            <w:noWrap w:val="0"/>
            <w:vAlign w:val="center"/>
          </w:tcPr>
          <w:p w14:paraId="4100BF84">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商务部分</w:t>
            </w:r>
            <w:r>
              <w:rPr>
                <w:rFonts w:hint="eastAsia" w:ascii="宋体" w:hAnsi="宋体" w:eastAsia="宋体" w:cs="宋体"/>
                <w:color w:val="auto"/>
                <w:sz w:val="24"/>
                <w:szCs w:val="24"/>
                <w:highlight w:val="none"/>
              </w:rPr>
              <w:t>评分标准</w:t>
            </w:r>
          </w:p>
          <w:p w14:paraId="64FD01B7">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（20分）</w:t>
            </w:r>
          </w:p>
        </w:tc>
        <w:tc>
          <w:tcPr>
            <w:tcW w:w="2063" w:type="dxa"/>
            <w:noWrap w:val="0"/>
            <w:vAlign w:val="center"/>
          </w:tcPr>
          <w:p w14:paraId="0EDBA15D">
            <w:pPr>
              <w:pageBreakBefore w:val="0"/>
              <w:kinsoku/>
              <w:overflowPunct/>
              <w:bidi w:val="0"/>
              <w:spacing w:line="360"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企业业绩</w:t>
            </w:r>
          </w:p>
          <w:p w14:paraId="5945308C">
            <w:pPr>
              <w:pageBreakBefore w:val="0"/>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分）</w:t>
            </w:r>
          </w:p>
        </w:tc>
        <w:tc>
          <w:tcPr>
            <w:tcW w:w="4879" w:type="dxa"/>
            <w:noWrap w:val="0"/>
            <w:vAlign w:val="center"/>
          </w:tcPr>
          <w:p w14:paraId="0979FB02">
            <w:pPr>
              <w:pageBreakBefore w:val="0"/>
              <w:kinsoku/>
              <w:overflowPunct/>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自</w:t>
            </w:r>
            <w:r>
              <w:rPr>
                <w:rFonts w:hint="eastAsia" w:ascii="宋体" w:hAnsi="宋体" w:eastAsia="宋体" w:cs="宋体"/>
                <w:color w:val="auto"/>
                <w:sz w:val="24"/>
                <w:szCs w:val="24"/>
                <w:highlight w:val="none"/>
                <w:lang w:eastAsia="zh-CN"/>
              </w:rPr>
              <w:t>2023</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月1日以来完成过类似工程业绩的，每提供一项得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分，最多得</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分（需提供中标通知书、施工合同）</w:t>
            </w:r>
          </w:p>
        </w:tc>
      </w:tr>
      <w:tr w14:paraId="35A28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jc w:val="center"/>
        </w:trPr>
        <w:tc>
          <w:tcPr>
            <w:tcW w:w="920" w:type="dxa"/>
            <w:vMerge w:val="continue"/>
            <w:noWrap w:val="0"/>
            <w:vAlign w:val="center"/>
          </w:tcPr>
          <w:p w14:paraId="6590F9B1">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76816332">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3CAE1272">
            <w:pPr>
              <w:pageBreakBefore w:val="0"/>
              <w:widowControl/>
              <w:kinsoku/>
              <w:overflowPunct/>
              <w:bidi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项目经理业绩</w:t>
            </w:r>
          </w:p>
          <w:p w14:paraId="0347FA86">
            <w:pPr>
              <w:pageBreakBefore w:val="0"/>
              <w:widowControl/>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z w:val="24"/>
                <w:szCs w:val="24"/>
              </w:rPr>
              <w:t>（</w:t>
            </w:r>
            <w:r>
              <w:rPr>
                <w:rFonts w:hint="eastAsia" w:ascii="宋体" w:hAnsi="宋体" w:eastAsia="宋体" w:cs="宋体"/>
                <w:sz w:val="24"/>
                <w:szCs w:val="24"/>
                <w:lang w:val="en-US" w:eastAsia="zh-CN"/>
              </w:rPr>
              <w:t>4分</w:t>
            </w:r>
            <w:r>
              <w:rPr>
                <w:rFonts w:hint="eastAsia" w:ascii="宋体" w:hAnsi="宋体" w:eastAsia="宋体" w:cs="宋体"/>
                <w:sz w:val="24"/>
                <w:szCs w:val="24"/>
              </w:rPr>
              <w:t>）</w:t>
            </w:r>
          </w:p>
        </w:tc>
        <w:tc>
          <w:tcPr>
            <w:tcW w:w="4879" w:type="dxa"/>
            <w:noWrap w:val="0"/>
            <w:vAlign w:val="center"/>
          </w:tcPr>
          <w:p w14:paraId="3F634D52">
            <w:pPr>
              <w:pageBreakBefore w:val="0"/>
              <w:widowControl/>
              <w:kinsoku/>
              <w:overflowPunct/>
              <w:bidi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spacing w:val="6"/>
                <w:kern w:val="0"/>
                <w:sz w:val="24"/>
              </w:rPr>
              <w:t>供应商</w:t>
            </w:r>
            <w:r>
              <w:rPr>
                <w:rFonts w:hint="eastAsia" w:ascii="宋体" w:hAnsi="宋体" w:eastAsia="宋体" w:cs="宋体"/>
                <w:spacing w:val="6"/>
                <w:kern w:val="0"/>
                <w:sz w:val="24"/>
                <w:lang w:eastAsia="zh-CN"/>
              </w:rPr>
              <w:t>2023</w:t>
            </w:r>
            <w:r>
              <w:rPr>
                <w:rFonts w:hint="eastAsia" w:ascii="宋体" w:hAnsi="宋体" w:eastAsia="宋体" w:cs="宋体"/>
                <w:spacing w:val="6"/>
                <w:kern w:val="0"/>
                <w:sz w:val="24"/>
              </w:rPr>
              <w:t>年1月1日</w:t>
            </w:r>
            <w:r>
              <w:rPr>
                <w:rFonts w:hint="eastAsia" w:ascii="宋体" w:hAnsi="宋体" w:eastAsia="宋体" w:cs="宋体"/>
                <w:sz w:val="24"/>
                <w:szCs w:val="24"/>
              </w:rPr>
              <w:t>以来类似项目业绩，每提供一份得</w:t>
            </w:r>
            <w:r>
              <w:rPr>
                <w:rFonts w:hint="eastAsia" w:ascii="宋体" w:hAnsi="宋体" w:eastAsia="宋体" w:cs="宋体"/>
                <w:sz w:val="24"/>
                <w:szCs w:val="24"/>
                <w:lang w:val="en-US" w:eastAsia="zh-CN"/>
              </w:rPr>
              <w:t>2</w:t>
            </w:r>
            <w:r>
              <w:rPr>
                <w:rFonts w:hint="eastAsia" w:ascii="宋体" w:hAnsi="宋体" w:eastAsia="宋体" w:cs="宋体"/>
                <w:sz w:val="24"/>
                <w:szCs w:val="24"/>
              </w:rPr>
              <w:t>分，（需提供中标通知书</w:t>
            </w:r>
            <w:r>
              <w:rPr>
                <w:rFonts w:hint="eastAsia" w:ascii="宋体" w:hAnsi="宋体" w:eastAsia="宋体" w:cs="宋体"/>
                <w:sz w:val="24"/>
                <w:szCs w:val="24"/>
                <w:lang w:val="en-US" w:eastAsia="zh-CN"/>
              </w:rPr>
              <w:t>、</w:t>
            </w:r>
            <w:r>
              <w:rPr>
                <w:rFonts w:hint="eastAsia" w:ascii="宋体" w:hAnsi="宋体" w:eastAsia="宋体" w:cs="宋体"/>
                <w:sz w:val="24"/>
                <w:szCs w:val="24"/>
              </w:rPr>
              <w:t>施工合同）满分</w:t>
            </w:r>
            <w:r>
              <w:rPr>
                <w:rFonts w:hint="eastAsia" w:ascii="宋体" w:hAnsi="宋体" w:eastAsia="宋体" w:cs="宋体"/>
                <w:sz w:val="24"/>
                <w:szCs w:val="24"/>
                <w:lang w:val="en-US" w:eastAsia="zh-CN"/>
              </w:rPr>
              <w:t>4</w:t>
            </w:r>
            <w:r>
              <w:rPr>
                <w:rFonts w:hint="eastAsia" w:ascii="宋体" w:hAnsi="宋体" w:eastAsia="宋体" w:cs="宋体"/>
                <w:sz w:val="24"/>
                <w:szCs w:val="24"/>
              </w:rPr>
              <w:t>分，缺项不得分.（项目经理业绩与企业业绩不重复计分）</w:t>
            </w:r>
          </w:p>
        </w:tc>
      </w:tr>
      <w:tr w14:paraId="46382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0" w:hRule="atLeast"/>
          <w:jc w:val="center"/>
        </w:trPr>
        <w:tc>
          <w:tcPr>
            <w:tcW w:w="920" w:type="dxa"/>
            <w:vMerge w:val="continue"/>
            <w:noWrap w:val="0"/>
            <w:vAlign w:val="center"/>
          </w:tcPr>
          <w:p w14:paraId="784E5A99">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48F28C50">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246C18FF">
            <w:pPr>
              <w:pageBreakBefore w:val="0"/>
              <w:widowControl/>
              <w:kinsoku/>
              <w:overflowPunct/>
              <w:bidi w:val="0"/>
              <w:spacing w:line="360" w:lineRule="auto"/>
              <w:jc w:val="center"/>
              <w:rPr>
                <w:rFonts w:hint="eastAsia" w:ascii="宋体" w:hAnsi="宋体" w:eastAsia="宋体" w:cs="宋体"/>
                <w:spacing w:val="6"/>
                <w:kern w:val="0"/>
                <w:sz w:val="24"/>
              </w:rPr>
            </w:pPr>
            <w:r>
              <w:rPr>
                <w:rFonts w:hint="eastAsia" w:ascii="宋体" w:hAnsi="宋体" w:eastAsia="宋体" w:cs="宋体"/>
                <w:spacing w:val="6"/>
                <w:kern w:val="0"/>
                <w:sz w:val="24"/>
              </w:rPr>
              <w:t>优惠承诺</w:t>
            </w:r>
          </w:p>
          <w:p w14:paraId="3B34DE03">
            <w:pPr>
              <w:pageBreakBefore w:val="0"/>
              <w:widowControl/>
              <w:kinsoku/>
              <w:overflowPunct/>
              <w:bidi w:val="0"/>
              <w:spacing w:line="360" w:lineRule="auto"/>
              <w:jc w:val="center"/>
              <w:rPr>
                <w:rFonts w:hint="eastAsia" w:ascii="宋体" w:hAnsi="宋体" w:eastAsia="宋体" w:cs="宋体"/>
                <w:bCs/>
                <w:color w:val="auto"/>
                <w:sz w:val="24"/>
                <w:szCs w:val="24"/>
                <w:highlight w:val="none"/>
              </w:rPr>
            </w:pPr>
            <w:r>
              <w:rPr>
                <w:rFonts w:hint="eastAsia" w:ascii="宋体" w:hAnsi="宋体" w:eastAsia="宋体" w:cs="宋体"/>
                <w:spacing w:val="6"/>
                <w:kern w:val="0"/>
                <w:sz w:val="24"/>
              </w:rPr>
              <w:t>（</w:t>
            </w:r>
            <w:r>
              <w:rPr>
                <w:rFonts w:hint="eastAsia" w:ascii="宋体" w:hAnsi="宋体" w:eastAsia="宋体" w:cs="宋体"/>
                <w:spacing w:val="6"/>
                <w:kern w:val="0"/>
                <w:sz w:val="24"/>
                <w:lang w:val="en-US" w:eastAsia="zh-CN"/>
              </w:rPr>
              <w:t>5</w:t>
            </w:r>
            <w:r>
              <w:rPr>
                <w:rFonts w:hint="eastAsia" w:ascii="宋体" w:hAnsi="宋体" w:eastAsia="宋体" w:cs="宋体"/>
                <w:spacing w:val="6"/>
                <w:kern w:val="0"/>
                <w:sz w:val="24"/>
              </w:rPr>
              <w:t>分）</w:t>
            </w:r>
          </w:p>
        </w:tc>
        <w:tc>
          <w:tcPr>
            <w:tcW w:w="4879" w:type="dxa"/>
            <w:noWrap w:val="0"/>
            <w:vAlign w:val="center"/>
          </w:tcPr>
          <w:p w14:paraId="467BEC01">
            <w:pPr>
              <w:pageBreakBefore w:val="0"/>
              <w:widowControl/>
              <w:kinsoku/>
              <w:overflowPunct/>
              <w:bidi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优惠承诺符合工程实际情况，确保依法依规，优惠合理，详实可行的得</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p w14:paraId="2F277DB0">
            <w:pPr>
              <w:pageBreakBefore w:val="0"/>
              <w:widowControl/>
              <w:kinsoku/>
              <w:overflowPunct/>
              <w:bidi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优惠承诺符合工程实际情况，确保依法依规，优惠基本合理，基本详实可行的得</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p w14:paraId="6EB3FC52">
            <w:pPr>
              <w:pageBreakBefore w:val="0"/>
              <w:widowControl/>
              <w:kinsoku/>
              <w:overflowPunct/>
              <w:bidi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优惠承诺一般的得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分。</w:t>
            </w:r>
          </w:p>
        </w:tc>
      </w:tr>
      <w:tr w14:paraId="2FFA1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jc w:val="center"/>
        </w:trPr>
        <w:tc>
          <w:tcPr>
            <w:tcW w:w="920" w:type="dxa"/>
            <w:vMerge w:val="continue"/>
            <w:noWrap w:val="0"/>
            <w:vAlign w:val="center"/>
          </w:tcPr>
          <w:p w14:paraId="47EA69E5">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0496B6FA">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2063" w:type="dxa"/>
            <w:noWrap w:val="0"/>
            <w:vAlign w:val="center"/>
          </w:tcPr>
          <w:p w14:paraId="67518ACD">
            <w:pPr>
              <w:pageBreakBefore w:val="0"/>
              <w:widowControl/>
              <w:kinsoku/>
              <w:overflowPunct/>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pacing w:val="6"/>
                <w:kern w:val="0"/>
                <w:sz w:val="24"/>
              </w:rPr>
              <w:t>履职尽责承诺（</w:t>
            </w:r>
            <w:r>
              <w:rPr>
                <w:rFonts w:hint="eastAsia" w:ascii="宋体" w:hAnsi="宋体" w:eastAsia="宋体" w:cs="宋体"/>
                <w:spacing w:val="6"/>
                <w:kern w:val="0"/>
                <w:sz w:val="24"/>
                <w:lang w:val="en-US" w:eastAsia="zh-CN"/>
              </w:rPr>
              <w:t>5</w:t>
            </w:r>
            <w:r>
              <w:rPr>
                <w:rFonts w:hint="eastAsia" w:ascii="宋体" w:hAnsi="宋体" w:eastAsia="宋体" w:cs="宋体"/>
                <w:spacing w:val="6"/>
                <w:kern w:val="0"/>
                <w:sz w:val="24"/>
              </w:rPr>
              <w:t>分）</w:t>
            </w:r>
          </w:p>
        </w:tc>
        <w:tc>
          <w:tcPr>
            <w:tcW w:w="4879" w:type="dxa"/>
            <w:noWrap w:val="0"/>
            <w:vAlign w:val="center"/>
          </w:tcPr>
          <w:p w14:paraId="45DA486A">
            <w:pPr>
              <w:pageBreakBefore w:val="0"/>
              <w:widowControl/>
              <w:kinsoku/>
              <w:overflowPunct/>
              <w:bidi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具有全面、详实、可行、合法有效的书面保证技术措施落实到位的承诺和落实不到位的处理承诺，其中包括各关键岗位人员（项目经理、技术负责人及相关技术人员等）的在岗、更换等履职尽责承诺，提供承包商履约保证得5分。</w:t>
            </w:r>
          </w:p>
          <w:p w14:paraId="32F6C88C">
            <w:pPr>
              <w:pageBreakBefore w:val="0"/>
              <w:widowControl/>
              <w:kinsoku/>
              <w:overflowPunct/>
              <w:bidi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具有可行、合法有效的书面保证技术措施落实到位的承诺和落实不到位的处理承诺，其中包括各关键岗位人员（项目经理、技术负责人及相关技术人员等）的在岗、更换等履职尽责承诺，提供承包商履约保证得3分。</w:t>
            </w:r>
          </w:p>
          <w:p w14:paraId="78BFF0D0">
            <w:pPr>
              <w:pageBreakBefore w:val="0"/>
              <w:widowControl/>
              <w:kinsoku/>
              <w:overflowPunct/>
              <w:bidi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3、履职尽责承诺一般的得1分。</w:t>
            </w:r>
          </w:p>
        </w:tc>
      </w:tr>
      <w:tr w14:paraId="62FC4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20" w:type="dxa"/>
            <w:vMerge w:val="continue"/>
            <w:noWrap w:val="0"/>
            <w:vAlign w:val="center"/>
          </w:tcPr>
          <w:p w14:paraId="06FF6A48">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1095" w:type="dxa"/>
            <w:vMerge w:val="continue"/>
            <w:noWrap w:val="0"/>
            <w:vAlign w:val="center"/>
          </w:tcPr>
          <w:p w14:paraId="3696D07A">
            <w:pPr>
              <w:pageBreakBefore w:val="0"/>
              <w:kinsoku/>
              <w:overflowPunct/>
              <w:bidi w:val="0"/>
              <w:spacing w:line="360" w:lineRule="auto"/>
              <w:jc w:val="center"/>
              <w:rPr>
                <w:rFonts w:hint="eastAsia" w:ascii="宋体" w:hAnsi="宋体" w:eastAsia="宋体" w:cs="宋体"/>
                <w:color w:val="auto"/>
                <w:sz w:val="24"/>
                <w:szCs w:val="24"/>
                <w:highlight w:val="none"/>
              </w:rPr>
            </w:pPr>
          </w:p>
        </w:tc>
        <w:tc>
          <w:tcPr>
            <w:tcW w:w="6942" w:type="dxa"/>
            <w:gridSpan w:val="2"/>
            <w:noWrap w:val="0"/>
            <w:vAlign w:val="center"/>
          </w:tcPr>
          <w:p w14:paraId="41662E36">
            <w:pPr>
              <w:pageBreakBefore w:val="0"/>
              <w:tabs>
                <w:tab w:val="left" w:pos="1661"/>
              </w:tabs>
              <w:kinsoku/>
              <w:overflowPunct/>
              <w:bidi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以上项目若有缺项的，该项为0分；不缺项的，不低于最低分。</w:t>
            </w:r>
          </w:p>
        </w:tc>
      </w:tr>
    </w:tbl>
    <w:p w14:paraId="7BD4AFA9">
      <w:pPr>
        <w:pageBreakBefore w:val="0"/>
        <w:kinsoku/>
        <w:overflowPunct/>
        <w:bidi w:val="0"/>
        <w:spacing w:line="360" w:lineRule="auto"/>
        <w:rPr>
          <w:rFonts w:hint="eastAsia" w:ascii="宋体" w:hAnsi="宋体" w:eastAsia="宋体" w:cs="宋体"/>
        </w:rPr>
      </w:pPr>
    </w:p>
    <w:p w14:paraId="79D92393">
      <w:pPr>
        <w:pageBreakBefore w:val="0"/>
        <w:kinsoku/>
        <w:wordWrap/>
        <w:overflowPunct/>
        <w:topLinePunct w:val="0"/>
        <w:autoSpaceDE/>
        <w:autoSpaceDN/>
        <w:bidi w:val="0"/>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1.评标方法</w:t>
      </w:r>
    </w:p>
    <w:p w14:paraId="14CE122C">
      <w:pPr>
        <w:pageBreakBefore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本次评标采用综合评</w:t>
      </w:r>
      <w:r>
        <w:rPr>
          <w:rFonts w:hint="eastAsia" w:ascii="宋体" w:hAnsi="宋体" w:eastAsia="宋体" w:cs="宋体"/>
          <w:color w:val="auto"/>
          <w:sz w:val="24"/>
          <w:szCs w:val="24"/>
          <w:highlight w:val="none"/>
          <w:lang w:eastAsia="zh-CN"/>
        </w:rPr>
        <w:t>分</w:t>
      </w:r>
      <w:r>
        <w:rPr>
          <w:rFonts w:hint="eastAsia" w:ascii="宋体" w:hAnsi="宋体" w:eastAsia="宋体" w:cs="宋体"/>
          <w:color w:val="auto"/>
          <w:sz w:val="24"/>
          <w:szCs w:val="24"/>
          <w:highlight w:val="none"/>
        </w:rPr>
        <w:t>法。磋商小组对满足磋商文件实质性要求的磋商响应文件，按照本章第2.2款规定的评分标准进行打分，并按得分由高到低顺序推荐成交候选人，并经磋商小组推荐排名第一的成交候选人为成交人，但磋商报价低于其成本的除外。评审得分相同的，按照最后报价由低到高的顺序确定，评审得分且最后报价相同的，按照技术指标优劣顺序确定成交候选人。</w:t>
      </w:r>
    </w:p>
    <w:p w14:paraId="68616375">
      <w:pPr>
        <w:keepNext w:val="0"/>
        <w:keepLines w:val="0"/>
        <w:pageBreakBefore w:val="0"/>
        <w:kinsoku/>
        <w:wordWrap/>
        <w:overflowPunct/>
        <w:topLinePunct w:val="0"/>
        <w:autoSpaceDE/>
        <w:autoSpaceDN/>
        <w:bidi w:val="0"/>
        <w:snapToGrid/>
        <w:spacing w:before="0" w:after="0" w:afterAutospacing="0" w:line="360" w:lineRule="auto"/>
        <w:ind w:firstLine="480" w:firstLineChars="200"/>
        <w:jc w:val="left"/>
        <w:textAlignment w:val="auto"/>
        <w:outlineLvl w:val="9"/>
        <w:rPr>
          <w:rFonts w:hint="eastAsia" w:ascii="宋体" w:hAnsi="宋体" w:eastAsia="宋体" w:cs="宋体"/>
          <w:color w:val="auto"/>
          <w:sz w:val="24"/>
          <w:szCs w:val="24"/>
          <w:highlight w:val="none"/>
        </w:rPr>
      </w:pPr>
      <w:bookmarkStart w:id="290" w:name="_Toc152042378"/>
      <w:bookmarkStart w:id="291" w:name="_Toc247085759"/>
      <w:bookmarkStart w:id="292" w:name="_Toc246996987"/>
      <w:bookmarkStart w:id="293" w:name="_Toc152045601"/>
      <w:bookmarkStart w:id="294" w:name="_Toc179632619"/>
      <w:bookmarkStart w:id="295" w:name="_Toc296602489"/>
      <w:bookmarkStart w:id="296" w:name="_Toc144974568"/>
      <w:bookmarkStart w:id="297" w:name="_Toc246996244"/>
      <w:r>
        <w:rPr>
          <w:rFonts w:hint="eastAsia" w:ascii="宋体" w:hAnsi="宋体" w:eastAsia="宋体" w:cs="宋体"/>
          <w:color w:val="auto"/>
          <w:sz w:val="24"/>
          <w:szCs w:val="24"/>
          <w:highlight w:val="none"/>
        </w:rPr>
        <w:t>2.评审标准</w:t>
      </w:r>
      <w:bookmarkEnd w:id="290"/>
      <w:bookmarkEnd w:id="291"/>
      <w:bookmarkEnd w:id="292"/>
      <w:bookmarkEnd w:id="293"/>
      <w:bookmarkEnd w:id="294"/>
      <w:bookmarkEnd w:id="295"/>
      <w:bookmarkEnd w:id="296"/>
      <w:bookmarkEnd w:id="297"/>
      <w:bookmarkStart w:id="298" w:name="_Toc296602490"/>
      <w:bookmarkStart w:id="299" w:name="_Toc246996988"/>
      <w:bookmarkStart w:id="300" w:name="_Toc152045602"/>
      <w:bookmarkStart w:id="301" w:name="_Toc246996245"/>
      <w:bookmarkStart w:id="302" w:name="_Toc144974569"/>
      <w:bookmarkStart w:id="303" w:name="_Toc247085760"/>
      <w:bookmarkStart w:id="304" w:name="_Toc152042379"/>
      <w:bookmarkStart w:id="305" w:name="_Toc179632620"/>
    </w:p>
    <w:p w14:paraId="75E1228A">
      <w:pPr>
        <w:keepNext w:val="0"/>
        <w:keepLines w:val="0"/>
        <w:pageBreakBefore w:val="0"/>
        <w:kinsoku/>
        <w:wordWrap/>
        <w:overflowPunct/>
        <w:topLinePunct w:val="0"/>
        <w:autoSpaceDE/>
        <w:autoSpaceDN/>
        <w:bidi w:val="0"/>
        <w:snapToGrid/>
        <w:spacing w:before="0" w:after="0" w:afterAutospacing="0"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2.1初步评审标准</w:t>
      </w:r>
      <w:bookmarkEnd w:id="298"/>
      <w:bookmarkEnd w:id="299"/>
      <w:bookmarkEnd w:id="300"/>
      <w:bookmarkEnd w:id="301"/>
      <w:bookmarkEnd w:id="302"/>
      <w:bookmarkEnd w:id="303"/>
      <w:bookmarkEnd w:id="304"/>
      <w:bookmarkEnd w:id="305"/>
    </w:p>
    <w:p w14:paraId="67502D86">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w:t>
      </w:r>
      <w:r>
        <w:rPr>
          <w:rFonts w:hint="eastAsia" w:ascii="宋体" w:hAnsi="宋体" w:eastAsia="宋体" w:cs="宋体"/>
          <w:color w:val="auto"/>
          <w:sz w:val="24"/>
          <w:szCs w:val="24"/>
          <w:highlight w:val="none"/>
          <w:lang w:eastAsia="zh-CN"/>
        </w:rPr>
        <w:t>符合性</w:t>
      </w:r>
      <w:r>
        <w:rPr>
          <w:rFonts w:hint="eastAsia" w:ascii="宋体" w:hAnsi="宋体" w:eastAsia="宋体" w:cs="宋体"/>
          <w:color w:val="auto"/>
          <w:sz w:val="24"/>
          <w:szCs w:val="24"/>
          <w:highlight w:val="none"/>
        </w:rPr>
        <w:t>评审标准：见</w:t>
      </w:r>
      <w:r>
        <w:rPr>
          <w:rFonts w:hint="eastAsia" w:ascii="宋体" w:hAnsi="宋体" w:eastAsia="宋体" w:cs="宋体"/>
          <w:color w:val="auto"/>
          <w:sz w:val="24"/>
          <w:szCs w:val="24"/>
          <w:highlight w:val="none"/>
          <w:lang w:eastAsia="zh-CN"/>
        </w:rPr>
        <w:t>磋商办法前附表</w:t>
      </w:r>
      <w:r>
        <w:rPr>
          <w:rFonts w:hint="eastAsia" w:ascii="宋体" w:hAnsi="宋体" w:eastAsia="宋体" w:cs="宋体"/>
          <w:color w:val="auto"/>
          <w:sz w:val="24"/>
          <w:szCs w:val="24"/>
          <w:highlight w:val="none"/>
        </w:rPr>
        <w:t>。</w:t>
      </w:r>
    </w:p>
    <w:p w14:paraId="737A73B4">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2.1.2资格</w:t>
      </w:r>
      <w:r>
        <w:rPr>
          <w:rFonts w:hint="eastAsia" w:ascii="宋体" w:hAnsi="宋体" w:eastAsia="宋体" w:cs="宋体"/>
          <w:color w:val="auto"/>
          <w:sz w:val="24"/>
          <w:szCs w:val="24"/>
          <w:highlight w:val="none"/>
          <w:lang w:eastAsia="zh-CN"/>
        </w:rPr>
        <w:t>性</w:t>
      </w:r>
      <w:r>
        <w:rPr>
          <w:rFonts w:hint="eastAsia" w:ascii="宋体" w:hAnsi="宋体" w:eastAsia="宋体" w:cs="宋体"/>
          <w:color w:val="auto"/>
          <w:sz w:val="24"/>
          <w:szCs w:val="24"/>
          <w:highlight w:val="none"/>
        </w:rPr>
        <w:t>评审标准：见</w:t>
      </w:r>
      <w:r>
        <w:rPr>
          <w:rFonts w:hint="eastAsia" w:ascii="宋体" w:hAnsi="宋体" w:eastAsia="宋体" w:cs="宋体"/>
          <w:color w:val="auto"/>
          <w:sz w:val="24"/>
          <w:szCs w:val="24"/>
          <w:highlight w:val="none"/>
          <w:lang w:eastAsia="zh-CN"/>
        </w:rPr>
        <w:t>磋商办法前附表</w:t>
      </w:r>
      <w:r>
        <w:rPr>
          <w:rFonts w:hint="eastAsia" w:ascii="宋体" w:hAnsi="宋体" w:eastAsia="宋体" w:cs="宋体"/>
          <w:color w:val="auto"/>
          <w:sz w:val="24"/>
          <w:szCs w:val="24"/>
          <w:highlight w:val="none"/>
        </w:rPr>
        <w:t>。</w:t>
      </w:r>
    </w:p>
    <w:p w14:paraId="3BAC2FD5">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2.1.3</w:t>
      </w:r>
      <w:r>
        <w:rPr>
          <w:rFonts w:hint="eastAsia" w:ascii="宋体" w:hAnsi="宋体" w:eastAsia="宋体" w:cs="宋体"/>
          <w:color w:val="auto"/>
          <w:sz w:val="24"/>
          <w:szCs w:val="24"/>
          <w:highlight w:val="none"/>
          <w:lang w:eastAsia="zh-CN"/>
        </w:rPr>
        <w:t>实质</w:t>
      </w:r>
      <w:r>
        <w:rPr>
          <w:rFonts w:hint="eastAsia" w:ascii="宋体" w:hAnsi="宋体" w:eastAsia="宋体" w:cs="宋体"/>
          <w:color w:val="auto"/>
          <w:sz w:val="24"/>
          <w:szCs w:val="24"/>
          <w:highlight w:val="none"/>
        </w:rPr>
        <w:t>响应性评审标准：见</w:t>
      </w:r>
      <w:r>
        <w:rPr>
          <w:rFonts w:hint="eastAsia" w:ascii="宋体" w:hAnsi="宋体" w:eastAsia="宋体" w:cs="宋体"/>
          <w:color w:val="auto"/>
          <w:sz w:val="24"/>
          <w:szCs w:val="24"/>
          <w:highlight w:val="none"/>
          <w:lang w:eastAsia="zh-CN"/>
        </w:rPr>
        <w:t>磋商办法前附表</w:t>
      </w:r>
      <w:r>
        <w:rPr>
          <w:rFonts w:hint="eastAsia" w:ascii="宋体" w:hAnsi="宋体" w:eastAsia="宋体" w:cs="宋体"/>
          <w:color w:val="auto"/>
          <w:sz w:val="24"/>
          <w:szCs w:val="24"/>
          <w:highlight w:val="none"/>
        </w:rPr>
        <w:t>。</w:t>
      </w:r>
    </w:p>
    <w:p w14:paraId="084FAB66">
      <w:pPr>
        <w:keepNext w:val="0"/>
        <w:keepLines w:val="0"/>
        <w:pageBreakBefore w:val="0"/>
        <w:kinsoku/>
        <w:wordWrap/>
        <w:overflowPunct/>
        <w:topLinePunct w:val="0"/>
        <w:autoSpaceDE/>
        <w:autoSpaceDN/>
        <w:bidi w:val="0"/>
        <w:snapToGrid/>
        <w:spacing w:before="0" w:after="0" w:afterAutospacing="0" w:line="360" w:lineRule="auto"/>
        <w:ind w:firstLine="480" w:firstLineChars="200"/>
        <w:jc w:val="left"/>
        <w:textAlignment w:val="auto"/>
        <w:outlineLvl w:val="9"/>
        <w:rPr>
          <w:rFonts w:hint="eastAsia" w:ascii="宋体" w:hAnsi="宋体" w:eastAsia="宋体" w:cs="宋体"/>
          <w:color w:val="auto"/>
          <w:sz w:val="24"/>
          <w:szCs w:val="24"/>
          <w:highlight w:val="none"/>
        </w:rPr>
      </w:pPr>
      <w:bookmarkStart w:id="306" w:name="_Toc246996989"/>
      <w:bookmarkStart w:id="307" w:name="_Toc152045603"/>
      <w:bookmarkStart w:id="308" w:name="_Toc179632621"/>
      <w:bookmarkStart w:id="309" w:name="_Toc152042380"/>
      <w:bookmarkStart w:id="310" w:name="_Toc246996246"/>
      <w:bookmarkStart w:id="311" w:name="_Toc296602491"/>
      <w:bookmarkStart w:id="312" w:name="_Toc144974570"/>
      <w:bookmarkStart w:id="313" w:name="_Toc247085761"/>
      <w:r>
        <w:rPr>
          <w:rFonts w:hint="eastAsia" w:ascii="宋体" w:hAnsi="宋体" w:eastAsia="宋体" w:cs="宋体"/>
          <w:color w:val="auto"/>
          <w:sz w:val="24"/>
          <w:szCs w:val="24"/>
          <w:highlight w:val="none"/>
        </w:rPr>
        <w:t>2.2分值构成与评分标准</w:t>
      </w:r>
      <w:bookmarkEnd w:id="306"/>
      <w:bookmarkEnd w:id="307"/>
      <w:bookmarkEnd w:id="308"/>
      <w:bookmarkEnd w:id="309"/>
      <w:bookmarkEnd w:id="310"/>
      <w:bookmarkEnd w:id="311"/>
      <w:bookmarkEnd w:id="312"/>
      <w:bookmarkEnd w:id="313"/>
    </w:p>
    <w:p w14:paraId="322AB32C">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2.2.1分值构成</w:t>
      </w:r>
    </w:p>
    <w:p w14:paraId="630FCFE4">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技术部分</w:t>
      </w:r>
      <w:r>
        <w:rPr>
          <w:rFonts w:hint="eastAsia" w:ascii="宋体" w:hAnsi="宋体" w:eastAsia="宋体" w:cs="宋体"/>
          <w:color w:val="auto"/>
          <w:sz w:val="24"/>
          <w:szCs w:val="24"/>
          <w:highlight w:val="none"/>
        </w:rPr>
        <w:t>：见</w:t>
      </w:r>
      <w:r>
        <w:rPr>
          <w:rFonts w:hint="eastAsia" w:ascii="宋体" w:hAnsi="宋体" w:eastAsia="宋体" w:cs="宋体"/>
          <w:color w:val="auto"/>
          <w:sz w:val="24"/>
          <w:szCs w:val="24"/>
          <w:highlight w:val="none"/>
          <w:lang w:eastAsia="zh-CN"/>
        </w:rPr>
        <w:t>磋商办法前附表</w:t>
      </w:r>
      <w:r>
        <w:rPr>
          <w:rFonts w:hint="eastAsia" w:ascii="宋体" w:hAnsi="宋体" w:eastAsia="宋体" w:cs="宋体"/>
          <w:color w:val="auto"/>
          <w:sz w:val="24"/>
          <w:szCs w:val="24"/>
          <w:highlight w:val="none"/>
        </w:rPr>
        <w:t>；</w:t>
      </w:r>
    </w:p>
    <w:p w14:paraId="2EECC3BF">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投标报价</w:t>
      </w:r>
      <w:r>
        <w:rPr>
          <w:rFonts w:hint="eastAsia" w:ascii="宋体" w:hAnsi="宋体" w:eastAsia="宋体" w:cs="宋体"/>
          <w:color w:val="auto"/>
          <w:sz w:val="24"/>
          <w:szCs w:val="24"/>
          <w:highlight w:val="none"/>
        </w:rPr>
        <w:t>：见</w:t>
      </w:r>
      <w:r>
        <w:rPr>
          <w:rFonts w:hint="eastAsia" w:ascii="宋体" w:hAnsi="宋体" w:eastAsia="宋体" w:cs="宋体"/>
          <w:color w:val="auto"/>
          <w:sz w:val="24"/>
          <w:szCs w:val="24"/>
          <w:highlight w:val="none"/>
          <w:lang w:eastAsia="zh-CN"/>
        </w:rPr>
        <w:t>磋商办法前附表</w:t>
      </w:r>
      <w:r>
        <w:rPr>
          <w:rFonts w:hint="eastAsia" w:ascii="宋体" w:hAnsi="宋体" w:eastAsia="宋体" w:cs="宋体"/>
          <w:color w:val="auto"/>
          <w:sz w:val="24"/>
          <w:szCs w:val="24"/>
          <w:highlight w:val="none"/>
        </w:rPr>
        <w:t>；</w:t>
      </w:r>
    </w:p>
    <w:p w14:paraId="5AE628D1">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eastAsia="zh-CN"/>
        </w:rPr>
        <w:t>商务部分</w:t>
      </w:r>
      <w:r>
        <w:rPr>
          <w:rFonts w:hint="eastAsia" w:ascii="宋体" w:hAnsi="宋体" w:eastAsia="宋体" w:cs="宋体"/>
          <w:color w:val="auto"/>
          <w:sz w:val="24"/>
          <w:szCs w:val="24"/>
          <w:highlight w:val="none"/>
        </w:rPr>
        <w:t>：见</w:t>
      </w:r>
      <w:r>
        <w:rPr>
          <w:rFonts w:hint="eastAsia" w:ascii="宋体" w:hAnsi="宋体" w:eastAsia="宋体" w:cs="宋体"/>
          <w:color w:val="auto"/>
          <w:sz w:val="24"/>
          <w:szCs w:val="24"/>
          <w:highlight w:val="none"/>
          <w:lang w:eastAsia="zh-CN"/>
        </w:rPr>
        <w:t>磋商办法前附表</w:t>
      </w:r>
      <w:r>
        <w:rPr>
          <w:rFonts w:hint="eastAsia" w:ascii="宋体" w:hAnsi="宋体" w:eastAsia="宋体" w:cs="宋体"/>
          <w:color w:val="auto"/>
          <w:sz w:val="24"/>
          <w:szCs w:val="24"/>
          <w:highlight w:val="none"/>
        </w:rPr>
        <w:t>。</w:t>
      </w:r>
    </w:p>
    <w:p w14:paraId="0906A058">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2.2.2 评分标准</w:t>
      </w:r>
    </w:p>
    <w:p w14:paraId="000FE4A7">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技术部分</w:t>
      </w:r>
      <w:r>
        <w:rPr>
          <w:rFonts w:hint="eastAsia" w:ascii="宋体" w:hAnsi="宋体" w:eastAsia="宋体" w:cs="宋体"/>
          <w:color w:val="auto"/>
          <w:sz w:val="24"/>
          <w:szCs w:val="24"/>
          <w:highlight w:val="none"/>
        </w:rPr>
        <w:t>评分标准：见</w:t>
      </w:r>
      <w:r>
        <w:rPr>
          <w:rFonts w:hint="eastAsia" w:ascii="宋体" w:hAnsi="宋体" w:eastAsia="宋体" w:cs="宋体"/>
          <w:color w:val="auto"/>
          <w:sz w:val="24"/>
          <w:szCs w:val="24"/>
          <w:highlight w:val="none"/>
          <w:lang w:eastAsia="zh-CN"/>
        </w:rPr>
        <w:t>磋商办法前附表</w:t>
      </w:r>
      <w:r>
        <w:rPr>
          <w:rFonts w:hint="eastAsia" w:ascii="宋体" w:hAnsi="宋体" w:eastAsia="宋体" w:cs="宋体"/>
          <w:color w:val="auto"/>
          <w:sz w:val="24"/>
          <w:szCs w:val="24"/>
          <w:highlight w:val="none"/>
        </w:rPr>
        <w:t>；</w:t>
      </w:r>
    </w:p>
    <w:p w14:paraId="0FE22D9D">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投标报价</w:t>
      </w:r>
      <w:r>
        <w:rPr>
          <w:rFonts w:hint="eastAsia" w:ascii="宋体" w:hAnsi="宋体" w:eastAsia="宋体" w:cs="宋体"/>
          <w:color w:val="auto"/>
          <w:sz w:val="24"/>
          <w:szCs w:val="24"/>
          <w:highlight w:val="none"/>
        </w:rPr>
        <w:t>评分标准：见</w:t>
      </w:r>
      <w:r>
        <w:rPr>
          <w:rFonts w:hint="eastAsia" w:ascii="宋体" w:hAnsi="宋体" w:eastAsia="宋体" w:cs="宋体"/>
          <w:color w:val="auto"/>
          <w:sz w:val="24"/>
          <w:szCs w:val="24"/>
          <w:highlight w:val="none"/>
          <w:lang w:eastAsia="zh-CN"/>
        </w:rPr>
        <w:t>磋商办法前附表</w:t>
      </w:r>
      <w:r>
        <w:rPr>
          <w:rFonts w:hint="eastAsia" w:ascii="宋体" w:hAnsi="宋体" w:eastAsia="宋体" w:cs="宋体"/>
          <w:color w:val="auto"/>
          <w:sz w:val="24"/>
          <w:szCs w:val="24"/>
          <w:highlight w:val="none"/>
        </w:rPr>
        <w:t>；</w:t>
      </w:r>
    </w:p>
    <w:p w14:paraId="0045E3F1">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eastAsia="zh-CN"/>
        </w:rPr>
        <w:t>商务部分</w:t>
      </w:r>
      <w:r>
        <w:rPr>
          <w:rFonts w:hint="eastAsia" w:ascii="宋体" w:hAnsi="宋体" w:eastAsia="宋体" w:cs="宋体"/>
          <w:color w:val="auto"/>
          <w:sz w:val="24"/>
          <w:szCs w:val="24"/>
          <w:highlight w:val="none"/>
        </w:rPr>
        <w:t>评分标准：见</w:t>
      </w:r>
      <w:r>
        <w:rPr>
          <w:rFonts w:hint="eastAsia" w:ascii="宋体" w:hAnsi="宋体" w:eastAsia="宋体" w:cs="宋体"/>
          <w:color w:val="auto"/>
          <w:sz w:val="24"/>
          <w:szCs w:val="24"/>
          <w:highlight w:val="none"/>
          <w:lang w:eastAsia="zh-CN"/>
        </w:rPr>
        <w:t>磋商办法前附表</w:t>
      </w:r>
      <w:r>
        <w:rPr>
          <w:rFonts w:hint="eastAsia" w:ascii="宋体" w:hAnsi="宋体" w:eastAsia="宋体" w:cs="宋体"/>
          <w:color w:val="auto"/>
          <w:sz w:val="24"/>
          <w:szCs w:val="24"/>
          <w:highlight w:val="none"/>
        </w:rPr>
        <w:t>。</w:t>
      </w:r>
      <w:bookmarkStart w:id="314" w:name="_Toc247085762"/>
      <w:bookmarkStart w:id="315" w:name="_Toc144974571"/>
      <w:bookmarkStart w:id="316" w:name="_Toc246996990"/>
      <w:bookmarkStart w:id="317" w:name="_Toc152045604"/>
      <w:bookmarkStart w:id="318" w:name="_Toc296602492"/>
      <w:bookmarkStart w:id="319" w:name="_Toc246996247"/>
      <w:bookmarkStart w:id="320" w:name="_Toc152042381"/>
      <w:bookmarkStart w:id="321" w:name="_Toc179632622"/>
    </w:p>
    <w:p w14:paraId="673D7CDA">
      <w:pPr>
        <w:keepNext w:val="0"/>
        <w:keepLines w:val="0"/>
        <w:pageBreakBefore w:val="0"/>
        <w:kinsoku/>
        <w:wordWrap/>
        <w:overflowPunct/>
        <w:topLinePunct w:val="0"/>
        <w:autoSpaceDE/>
        <w:autoSpaceDN/>
        <w:bidi w:val="0"/>
        <w:snapToGrid/>
        <w:spacing w:line="360" w:lineRule="auto"/>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3.评标程序</w:t>
      </w:r>
      <w:bookmarkEnd w:id="314"/>
      <w:bookmarkEnd w:id="315"/>
      <w:bookmarkEnd w:id="316"/>
      <w:bookmarkEnd w:id="317"/>
      <w:bookmarkEnd w:id="318"/>
      <w:bookmarkEnd w:id="319"/>
      <w:bookmarkEnd w:id="320"/>
      <w:bookmarkEnd w:id="321"/>
    </w:p>
    <w:p w14:paraId="36A8AF58">
      <w:pPr>
        <w:keepNext w:val="0"/>
        <w:keepLines w:val="0"/>
        <w:pageBreakBefore w:val="0"/>
        <w:kinsoku/>
        <w:wordWrap/>
        <w:overflowPunct/>
        <w:topLinePunct w:val="0"/>
        <w:autoSpaceDE/>
        <w:autoSpaceDN/>
        <w:bidi w:val="0"/>
        <w:snapToGrid/>
        <w:spacing w:before="0" w:after="0" w:afterAutospacing="0" w:line="360" w:lineRule="auto"/>
        <w:ind w:firstLine="480" w:firstLineChars="200"/>
        <w:jc w:val="left"/>
        <w:textAlignment w:val="auto"/>
        <w:outlineLvl w:val="9"/>
        <w:rPr>
          <w:rFonts w:hint="eastAsia" w:ascii="宋体" w:hAnsi="宋体" w:eastAsia="宋体" w:cs="宋体"/>
          <w:color w:val="auto"/>
          <w:sz w:val="24"/>
          <w:szCs w:val="24"/>
          <w:highlight w:val="none"/>
        </w:rPr>
      </w:pPr>
      <w:bookmarkStart w:id="322" w:name="_Toc152045605"/>
      <w:bookmarkStart w:id="323" w:name="_Toc247085763"/>
      <w:bookmarkStart w:id="324" w:name="_Toc144974572"/>
      <w:bookmarkStart w:id="325" w:name="_Toc246996991"/>
      <w:bookmarkStart w:id="326" w:name="_Toc246996248"/>
      <w:bookmarkStart w:id="327" w:name="_Toc179632623"/>
      <w:bookmarkStart w:id="328" w:name="_Toc152042382"/>
      <w:bookmarkStart w:id="329" w:name="_Toc296602493"/>
      <w:r>
        <w:rPr>
          <w:rFonts w:hint="eastAsia" w:ascii="宋体" w:hAnsi="宋体" w:eastAsia="宋体" w:cs="宋体"/>
          <w:color w:val="auto"/>
          <w:sz w:val="24"/>
          <w:szCs w:val="24"/>
          <w:highlight w:val="none"/>
        </w:rPr>
        <w:t>3.1初步评审</w:t>
      </w:r>
      <w:bookmarkEnd w:id="322"/>
      <w:bookmarkEnd w:id="323"/>
      <w:bookmarkEnd w:id="324"/>
      <w:bookmarkEnd w:id="325"/>
      <w:bookmarkEnd w:id="326"/>
      <w:bookmarkEnd w:id="327"/>
      <w:bookmarkEnd w:id="328"/>
      <w:bookmarkEnd w:id="329"/>
    </w:p>
    <w:p w14:paraId="7ED49D8B">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3.1.1磋商小组依据本章第2.1款规定的标准对磋商响应文件进行初步评审。有一项不符合评审标准的，磋商小组应当否决其投标。</w:t>
      </w:r>
    </w:p>
    <w:p w14:paraId="274F6B49">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3.1.2投标人有以下情形之一的，磋商小组应当否决其投标：</w:t>
      </w:r>
    </w:p>
    <w:p w14:paraId="66FBFC97">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（1）串通投标或弄虚作假或有其他违法行为的；</w:t>
      </w:r>
    </w:p>
    <w:p w14:paraId="62137ED0">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）不按磋商小组要求澄清、说明或补正的。</w:t>
      </w:r>
    </w:p>
    <w:p w14:paraId="126D9FD7">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3.1.3投标报价有算术错误的，磋商小组按以下原则对投标报价进行修正，修正的价格经投标人书面确认后具有约束力。投标人不接受修正价格的，磋商小组应当否决其投标。</w:t>
      </w:r>
    </w:p>
    <w:p w14:paraId="75D53F6D">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（1）磋商响应文件中的大写金额与小写金额不一致的，以大写金额为准；</w:t>
      </w:r>
    </w:p>
    <w:p w14:paraId="7AE945E6">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（2）总价金额与依据单价计算出的结果不一致的，以单价金额为准修正总价，但单价金额小数点有明显错误的除外。</w:t>
      </w:r>
    </w:p>
    <w:p w14:paraId="141A065C">
      <w:pPr>
        <w:keepNext w:val="0"/>
        <w:keepLines w:val="0"/>
        <w:pageBreakBefore w:val="0"/>
        <w:kinsoku/>
        <w:wordWrap/>
        <w:overflowPunct/>
        <w:topLinePunct w:val="0"/>
        <w:autoSpaceDE/>
        <w:autoSpaceDN/>
        <w:bidi w:val="0"/>
        <w:snapToGrid/>
        <w:spacing w:before="0" w:after="0" w:afterAutospacing="0" w:line="360" w:lineRule="auto"/>
        <w:ind w:firstLine="480" w:firstLineChars="200"/>
        <w:jc w:val="left"/>
        <w:textAlignment w:val="auto"/>
        <w:outlineLvl w:val="9"/>
        <w:rPr>
          <w:rFonts w:hint="eastAsia" w:ascii="宋体" w:hAnsi="宋体" w:eastAsia="宋体" w:cs="宋体"/>
          <w:color w:val="auto"/>
          <w:sz w:val="24"/>
          <w:szCs w:val="24"/>
          <w:highlight w:val="none"/>
        </w:rPr>
      </w:pPr>
      <w:bookmarkStart w:id="330" w:name="_Toc144974573"/>
      <w:bookmarkStart w:id="331" w:name="_Toc296602494"/>
      <w:bookmarkStart w:id="332" w:name="_Toc246996992"/>
      <w:bookmarkStart w:id="333" w:name="_Toc179632624"/>
      <w:bookmarkStart w:id="334" w:name="_Toc152042384"/>
      <w:bookmarkStart w:id="335" w:name="_Toc247085764"/>
      <w:bookmarkStart w:id="336" w:name="_Toc152045606"/>
      <w:bookmarkStart w:id="337" w:name="_Toc246996249"/>
      <w:r>
        <w:rPr>
          <w:rFonts w:hint="eastAsia" w:ascii="宋体" w:hAnsi="宋体" w:eastAsia="宋体" w:cs="宋体"/>
          <w:color w:val="auto"/>
          <w:sz w:val="24"/>
          <w:szCs w:val="24"/>
          <w:highlight w:val="none"/>
        </w:rPr>
        <w:t>3.2详细评审</w:t>
      </w:r>
      <w:bookmarkEnd w:id="330"/>
      <w:bookmarkEnd w:id="331"/>
      <w:bookmarkEnd w:id="332"/>
      <w:bookmarkEnd w:id="333"/>
      <w:bookmarkEnd w:id="334"/>
      <w:bookmarkEnd w:id="335"/>
      <w:bookmarkEnd w:id="336"/>
      <w:bookmarkEnd w:id="337"/>
    </w:p>
    <w:p w14:paraId="68D53DB3">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3.2.1磋商小组按本章第2.2款规定的量化因素和分值进行打分，并计算出综合评估得分。</w:t>
      </w:r>
    </w:p>
    <w:p w14:paraId="04CBCD27">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（1）按本章第2.2.2（1）目规定的评审因素和分值对</w:t>
      </w:r>
      <w:r>
        <w:rPr>
          <w:rFonts w:hint="eastAsia" w:ascii="宋体" w:hAnsi="宋体" w:eastAsia="宋体" w:cs="宋体"/>
          <w:color w:val="auto"/>
          <w:sz w:val="24"/>
          <w:szCs w:val="24"/>
          <w:highlight w:val="none"/>
          <w:lang w:eastAsia="zh-CN"/>
        </w:rPr>
        <w:t>技术部分</w:t>
      </w:r>
      <w:r>
        <w:rPr>
          <w:rFonts w:hint="eastAsia" w:ascii="宋体" w:hAnsi="宋体" w:eastAsia="宋体" w:cs="宋体"/>
          <w:color w:val="auto"/>
          <w:sz w:val="24"/>
          <w:szCs w:val="24"/>
          <w:highlight w:val="none"/>
        </w:rPr>
        <w:t>计算出得分；</w:t>
      </w:r>
    </w:p>
    <w:p w14:paraId="472981A5">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（2）按本章第2.2.2（2）目规定的评审因素和分值对</w:t>
      </w:r>
      <w:r>
        <w:rPr>
          <w:rFonts w:hint="eastAsia" w:ascii="宋体" w:hAnsi="宋体" w:eastAsia="宋体" w:cs="宋体"/>
          <w:color w:val="auto"/>
          <w:sz w:val="24"/>
          <w:szCs w:val="24"/>
          <w:highlight w:val="none"/>
          <w:lang w:eastAsia="zh-CN"/>
        </w:rPr>
        <w:t>投标报价</w:t>
      </w:r>
      <w:r>
        <w:rPr>
          <w:rFonts w:hint="eastAsia" w:ascii="宋体" w:hAnsi="宋体" w:eastAsia="宋体" w:cs="宋体"/>
          <w:color w:val="auto"/>
          <w:sz w:val="24"/>
          <w:szCs w:val="24"/>
          <w:highlight w:val="none"/>
        </w:rPr>
        <w:t>计算出得分；</w:t>
      </w:r>
    </w:p>
    <w:p w14:paraId="29157AD1">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（3）按本章第2.2.2（3）目规定的评审因素和分值对</w:t>
      </w:r>
      <w:r>
        <w:rPr>
          <w:rFonts w:hint="eastAsia" w:ascii="宋体" w:hAnsi="宋体" w:eastAsia="宋体" w:cs="宋体"/>
          <w:color w:val="auto"/>
          <w:sz w:val="24"/>
          <w:szCs w:val="24"/>
          <w:highlight w:val="none"/>
          <w:lang w:eastAsia="zh-CN"/>
        </w:rPr>
        <w:t>商务部分</w:t>
      </w:r>
      <w:r>
        <w:rPr>
          <w:rFonts w:hint="eastAsia" w:ascii="宋体" w:hAnsi="宋体" w:eastAsia="宋体" w:cs="宋体"/>
          <w:color w:val="auto"/>
          <w:sz w:val="24"/>
          <w:szCs w:val="24"/>
          <w:highlight w:val="none"/>
        </w:rPr>
        <w:t>计算出得分；</w:t>
      </w:r>
    </w:p>
    <w:p w14:paraId="79C4BDDF">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3.2.2评分分值计算过程中保留小数点后三位，最后投标人得分汇总时保留小数点后两位，小数点后第三位“四舍五入”。</w:t>
      </w:r>
    </w:p>
    <w:p w14:paraId="6F8C9FBA">
      <w:pPr>
        <w:keepNext w:val="0"/>
        <w:keepLines w:val="0"/>
        <w:pageBreakBefore w:val="0"/>
        <w:tabs>
          <w:tab w:val="center" w:pos="4677"/>
        </w:tabs>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3.2.3投标人得分=</w:t>
      </w:r>
      <w:r>
        <w:rPr>
          <w:rFonts w:hint="eastAsia" w:ascii="宋体" w:hAnsi="宋体" w:eastAsia="宋体" w:cs="宋体"/>
          <w:color w:val="auto"/>
          <w:sz w:val="24"/>
          <w:szCs w:val="24"/>
          <w:highlight w:val="none"/>
          <w:lang w:eastAsia="zh-CN"/>
        </w:rPr>
        <w:t>技术部分</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投标报价</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商务部分</w:t>
      </w:r>
      <w:r>
        <w:rPr>
          <w:rFonts w:hint="eastAsia" w:ascii="宋体" w:hAnsi="宋体" w:eastAsia="宋体" w:cs="宋体"/>
          <w:color w:val="auto"/>
          <w:sz w:val="24"/>
          <w:szCs w:val="24"/>
          <w:highlight w:val="none"/>
        </w:rPr>
        <w:t>。</w:t>
      </w:r>
    </w:p>
    <w:p w14:paraId="205393EF">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3.2.4在磋商小组完成对</w:t>
      </w:r>
      <w:r>
        <w:rPr>
          <w:rFonts w:hint="eastAsia" w:ascii="宋体" w:hAnsi="宋体" w:eastAsia="宋体" w:cs="宋体"/>
          <w:color w:val="auto"/>
          <w:sz w:val="24"/>
          <w:szCs w:val="24"/>
          <w:highlight w:val="none"/>
          <w:lang w:eastAsia="zh-CN"/>
        </w:rPr>
        <w:t>技术部分</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投标报价</w:t>
      </w:r>
      <w:r>
        <w:rPr>
          <w:rFonts w:hint="eastAsia" w:ascii="宋体" w:hAnsi="宋体" w:eastAsia="宋体" w:cs="宋体"/>
          <w:color w:val="auto"/>
          <w:sz w:val="24"/>
          <w:szCs w:val="24"/>
          <w:highlight w:val="none"/>
        </w:rPr>
        <w:t>和</w:t>
      </w:r>
      <w:r>
        <w:rPr>
          <w:rFonts w:hint="eastAsia" w:ascii="宋体" w:hAnsi="宋体" w:eastAsia="宋体" w:cs="宋体"/>
          <w:color w:val="auto"/>
          <w:sz w:val="24"/>
          <w:szCs w:val="24"/>
          <w:highlight w:val="none"/>
          <w:lang w:eastAsia="zh-CN"/>
        </w:rPr>
        <w:t>商务部分</w:t>
      </w:r>
      <w:r>
        <w:rPr>
          <w:rFonts w:hint="eastAsia" w:ascii="宋体" w:hAnsi="宋体" w:eastAsia="宋体" w:cs="宋体"/>
          <w:color w:val="auto"/>
          <w:sz w:val="24"/>
          <w:szCs w:val="24"/>
          <w:highlight w:val="none"/>
        </w:rPr>
        <w:t>的汇总后取平均值，作为该投标人的最终得分。</w:t>
      </w:r>
    </w:p>
    <w:p w14:paraId="06FB2BEB">
      <w:pPr>
        <w:keepNext w:val="0"/>
        <w:keepLines w:val="0"/>
        <w:pageBreakBefore w:val="0"/>
        <w:tabs>
          <w:tab w:val="center" w:pos="4677"/>
        </w:tabs>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3.2.5磋商小组发现投标人的报价明显低于其他投标报价，使得其投标报价可能低于其个别成本的，应当要求该投标人做出书面说明并提供相应的证明材料。投标人不能合理说明或者不能提供相应证明材料的，磋商小组应当认定该投标人以低于成本报价竞标，否决其投标。</w:t>
      </w:r>
    </w:p>
    <w:p w14:paraId="46C7FCFF">
      <w:pPr>
        <w:keepNext w:val="0"/>
        <w:keepLines w:val="0"/>
        <w:pageBreakBefore w:val="0"/>
        <w:kinsoku/>
        <w:wordWrap/>
        <w:overflowPunct/>
        <w:topLinePunct w:val="0"/>
        <w:autoSpaceDE/>
        <w:autoSpaceDN/>
        <w:bidi w:val="0"/>
        <w:snapToGrid/>
        <w:spacing w:before="0" w:after="0" w:afterAutospacing="0" w:line="360" w:lineRule="auto"/>
        <w:ind w:firstLine="480" w:firstLineChars="200"/>
        <w:jc w:val="left"/>
        <w:textAlignment w:val="auto"/>
        <w:outlineLvl w:val="9"/>
        <w:rPr>
          <w:rFonts w:hint="eastAsia" w:ascii="宋体" w:hAnsi="宋体" w:eastAsia="宋体" w:cs="宋体"/>
          <w:color w:val="auto"/>
          <w:sz w:val="24"/>
          <w:szCs w:val="24"/>
          <w:highlight w:val="none"/>
        </w:rPr>
      </w:pPr>
      <w:bookmarkStart w:id="338" w:name="_Toc144974575"/>
      <w:bookmarkStart w:id="339" w:name="_Toc246996993"/>
      <w:bookmarkStart w:id="340" w:name="_Toc152045607"/>
      <w:bookmarkStart w:id="341" w:name="_Toc247085765"/>
      <w:bookmarkStart w:id="342" w:name="_Toc179632625"/>
      <w:bookmarkStart w:id="343" w:name="_Toc152042385"/>
      <w:bookmarkStart w:id="344" w:name="_Toc246996250"/>
      <w:bookmarkStart w:id="345" w:name="_Toc296602495"/>
      <w:r>
        <w:rPr>
          <w:rFonts w:hint="eastAsia" w:ascii="宋体" w:hAnsi="宋体" w:eastAsia="宋体" w:cs="宋体"/>
          <w:color w:val="auto"/>
          <w:sz w:val="24"/>
          <w:szCs w:val="24"/>
          <w:highlight w:val="none"/>
        </w:rPr>
        <w:t>3.3磋商响应文件的澄清</w:t>
      </w:r>
      <w:bookmarkEnd w:id="338"/>
      <w:r>
        <w:rPr>
          <w:rFonts w:hint="eastAsia" w:ascii="宋体" w:hAnsi="宋体" w:eastAsia="宋体" w:cs="宋体"/>
          <w:color w:val="auto"/>
          <w:sz w:val="24"/>
          <w:szCs w:val="24"/>
          <w:highlight w:val="none"/>
        </w:rPr>
        <w:t>和补正</w:t>
      </w:r>
      <w:bookmarkEnd w:id="339"/>
      <w:bookmarkEnd w:id="340"/>
      <w:bookmarkEnd w:id="341"/>
      <w:bookmarkEnd w:id="342"/>
      <w:bookmarkEnd w:id="343"/>
      <w:bookmarkEnd w:id="344"/>
      <w:bookmarkEnd w:id="345"/>
    </w:p>
    <w:p w14:paraId="2ECE6153">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3.3.1在评标过程中，磋商小组可以书面形式要求投标人对所提交磋商响应文件中不明确的内容进行书面澄清或说明，或者对细微偏差进行补正。磋商小组不接受投标人主动提出的澄清、说明或补正。</w:t>
      </w:r>
    </w:p>
    <w:p w14:paraId="5C1F70EC">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3.3.2澄清、说明和补正不得改变磋商响应文件的实质性内容。投标人的书面澄清、说明和补正属于磋商响应文件的组成部分。</w:t>
      </w:r>
    </w:p>
    <w:p w14:paraId="79BC325A">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3.3.3磋商小组对投标人提交的澄清、说明或补正有疑问的，可以要求投标人进一步澄清、说明或补正，直至满足磋商小组的要求。</w:t>
      </w:r>
    </w:p>
    <w:p w14:paraId="3D3609D0">
      <w:pPr>
        <w:keepNext w:val="0"/>
        <w:keepLines w:val="0"/>
        <w:pageBreakBefore w:val="0"/>
        <w:kinsoku/>
        <w:wordWrap/>
        <w:overflowPunct/>
        <w:topLinePunct w:val="0"/>
        <w:autoSpaceDE/>
        <w:autoSpaceDN/>
        <w:bidi w:val="0"/>
        <w:snapToGrid/>
        <w:spacing w:before="0" w:after="0" w:afterAutospacing="0" w:line="360" w:lineRule="auto"/>
        <w:ind w:firstLine="480" w:firstLineChars="200"/>
        <w:jc w:val="left"/>
        <w:textAlignment w:val="auto"/>
        <w:outlineLvl w:val="9"/>
        <w:rPr>
          <w:rFonts w:hint="eastAsia" w:ascii="宋体" w:hAnsi="宋体" w:eastAsia="宋体" w:cs="宋体"/>
          <w:color w:val="auto"/>
          <w:sz w:val="24"/>
          <w:szCs w:val="24"/>
          <w:highlight w:val="none"/>
          <w:lang w:val="en-US" w:eastAsia="zh-CN"/>
        </w:rPr>
      </w:pPr>
      <w:bookmarkStart w:id="346" w:name="_Toc247085766"/>
      <w:bookmarkStart w:id="347" w:name="_Toc246996994"/>
      <w:bookmarkStart w:id="348" w:name="_Toc152042386"/>
      <w:bookmarkStart w:id="349" w:name="_Toc179632626"/>
      <w:bookmarkStart w:id="350" w:name="_Toc144974576"/>
      <w:bookmarkStart w:id="351" w:name="_Toc152045608"/>
      <w:bookmarkStart w:id="352" w:name="_Toc246996251"/>
      <w:bookmarkStart w:id="353" w:name="_Toc296602496"/>
      <w:r>
        <w:rPr>
          <w:rFonts w:hint="eastAsia" w:ascii="宋体" w:hAnsi="宋体" w:eastAsia="宋体" w:cs="宋体"/>
          <w:color w:val="auto"/>
          <w:sz w:val="24"/>
          <w:szCs w:val="24"/>
          <w:highlight w:val="none"/>
        </w:rPr>
        <w:t>3.4评标结</w:t>
      </w:r>
      <w:r>
        <w:rPr>
          <w:rFonts w:hint="eastAsia" w:ascii="宋体" w:hAnsi="宋体" w:eastAsia="宋体" w:cs="宋体"/>
          <w:color w:val="auto"/>
          <w:sz w:val="24"/>
          <w:szCs w:val="24"/>
          <w:highlight w:val="none"/>
          <w:lang w:val="en-US" w:eastAsia="zh-CN"/>
        </w:rPr>
        <w:t>果</w:t>
      </w:r>
      <w:bookmarkEnd w:id="346"/>
      <w:bookmarkEnd w:id="347"/>
      <w:bookmarkEnd w:id="348"/>
      <w:bookmarkEnd w:id="349"/>
      <w:bookmarkEnd w:id="350"/>
      <w:bookmarkEnd w:id="351"/>
      <w:bookmarkEnd w:id="352"/>
      <w:bookmarkEnd w:id="353"/>
    </w:p>
    <w:p w14:paraId="48DFEBB0">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3.4.1磋商小组按照得分由高到低的顺序推荐成交候选人</w:t>
      </w:r>
      <w:r>
        <w:rPr>
          <w:rFonts w:hint="eastAsia" w:ascii="宋体" w:hAnsi="宋体" w:eastAsia="宋体" w:cs="宋体"/>
          <w:color w:val="auto"/>
          <w:sz w:val="24"/>
          <w:szCs w:val="24"/>
          <w:highlight w:val="none"/>
          <w:lang w:val="en-US" w:eastAsia="zh-CN"/>
        </w:rPr>
        <w:t>3名</w:t>
      </w:r>
      <w:r>
        <w:rPr>
          <w:rFonts w:hint="eastAsia" w:ascii="宋体" w:hAnsi="宋体" w:eastAsia="宋体" w:cs="宋体"/>
          <w:color w:val="auto"/>
          <w:sz w:val="24"/>
          <w:szCs w:val="24"/>
          <w:highlight w:val="none"/>
        </w:rPr>
        <w:t>。</w:t>
      </w:r>
    </w:p>
    <w:p w14:paraId="14F66B9A">
      <w:pPr>
        <w:keepNext w:val="0"/>
        <w:keepLines w:val="0"/>
        <w:pageBreakBefore w:val="0"/>
        <w:kinsoku/>
        <w:wordWrap/>
        <w:overflowPunct/>
        <w:topLinePunct w:val="0"/>
        <w:autoSpaceDE/>
        <w:autoSpaceDN/>
        <w:bidi w:val="0"/>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3.4.2磋商小组完成评标后，应当向招标人提交书面评标报告。</w:t>
      </w:r>
    </w:p>
    <w:p w14:paraId="03EBB98C">
      <w:pPr>
        <w:keepNext w:val="0"/>
        <w:keepLines w:val="0"/>
        <w:pageBreakBefore w:val="0"/>
        <w:kinsoku/>
        <w:wordWrap/>
        <w:overflowPunct/>
        <w:topLinePunct w:val="0"/>
        <w:autoSpaceDE/>
        <w:autoSpaceDN/>
        <w:bidi w:val="0"/>
        <w:snapToGrid/>
        <w:textAlignment w:val="auto"/>
        <w:outlineLvl w:val="9"/>
        <w:rPr>
          <w:rFonts w:hint="eastAsia" w:ascii="宋体" w:hAnsi="宋体" w:eastAsia="宋体" w:cs="宋体"/>
          <w:bCs/>
          <w:sz w:val="24"/>
        </w:rPr>
      </w:pPr>
      <w:r>
        <w:rPr>
          <w:rFonts w:hint="eastAsia" w:ascii="宋体" w:hAnsi="宋体" w:eastAsia="宋体" w:cs="宋体"/>
          <w:bCs/>
          <w:sz w:val="24"/>
        </w:rPr>
        <w:br w:type="page"/>
      </w:r>
    </w:p>
    <w:p w14:paraId="2E334C9D">
      <w:pPr>
        <w:pageBreakBefore w:val="0"/>
        <w:kinsoku/>
        <w:overflowPunct/>
        <w:bidi w:val="0"/>
        <w:spacing w:line="360" w:lineRule="auto"/>
        <w:jc w:val="center"/>
        <w:outlineLvl w:val="0"/>
        <w:rPr>
          <w:rFonts w:hint="eastAsia" w:ascii="宋体" w:hAnsi="宋体" w:eastAsia="宋体" w:cs="宋体"/>
          <w:b/>
          <w:sz w:val="24"/>
          <w:szCs w:val="24"/>
        </w:rPr>
      </w:pPr>
      <w:bookmarkStart w:id="354" w:name="_Toc6248"/>
      <w:bookmarkStart w:id="355" w:name="_Toc12328"/>
      <w:r>
        <w:rPr>
          <w:rFonts w:hint="eastAsia" w:ascii="宋体" w:hAnsi="宋体" w:eastAsia="宋体" w:cs="宋体"/>
          <w:b/>
          <w:sz w:val="24"/>
          <w:szCs w:val="24"/>
        </w:rPr>
        <w:t>第五章  合同条款及格式</w:t>
      </w:r>
      <w:bookmarkEnd w:id="354"/>
      <w:bookmarkEnd w:id="355"/>
    </w:p>
    <w:p w14:paraId="25751BE2">
      <w:pPr>
        <w:ind w:firstLine="840" w:firstLineChars="300"/>
        <w:rPr>
          <w:rFonts w:hint="eastAsia" w:ascii="宋体" w:hAnsi="宋体" w:eastAsia="宋体" w:cs="宋体"/>
          <w:bCs/>
          <w:sz w:val="28"/>
          <w:szCs w:val="28"/>
        </w:rPr>
      </w:pPr>
      <w:bookmarkStart w:id="356" w:name="_Toc374977598"/>
      <w:bookmarkStart w:id="357" w:name="_Toc28703"/>
      <w:bookmarkStart w:id="358" w:name="_Toc382132891"/>
      <w:bookmarkStart w:id="359" w:name="_Toc4324"/>
      <w:bookmarkStart w:id="360" w:name="_Toc382220026"/>
      <w:r>
        <w:rPr>
          <w:rFonts w:hint="eastAsia" w:ascii="宋体" w:hAnsi="宋体" w:eastAsia="宋体" w:cs="宋体"/>
          <w:bCs/>
          <w:sz w:val="28"/>
          <w:szCs w:val="28"/>
        </w:rPr>
        <w:t>（本合同格式仅供参考，具体条款以签订合同为准）</w:t>
      </w:r>
    </w:p>
    <w:p w14:paraId="1545B055">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b/>
          <w:bCs/>
          <w:color w:val="000000"/>
          <w:sz w:val="28"/>
          <w:szCs w:val="28"/>
        </w:rPr>
      </w:pPr>
      <w:r>
        <w:rPr>
          <w:rFonts w:hint="eastAsia" w:ascii="宋体" w:hAnsi="宋体" w:eastAsia="宋体" w:cs="宋体"/>
          <w:b/>
          <w:bCs/>
          <w:sz w:val="28"/>
          <w:szCs w:val="28"/>
        </w:rPr>
        <w:t>第一部分  合同协议书</w:t>
      </w:r>
      <w:bookmarkEnd w:id="356"/>
      <w:bookmarkEnd w:id="357"/>
      <w:bookmarkEnd w:id="358"/>
      <w:bookmarkEnd w:id="359"/>
      <w:bookmarkEnd w:id="360"/>
    </w:p>
    <w:p w14:paraId="2AD0F2C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9"/>
        <w:rPr>
          <w:rFonts w:hint="eastAsia" w:ascii="宋体" w:hAnsi="宋体" w:eastAsia="宋体" w:cs="宋体"/>
          <w:b/>
          <w:bCs/>
          <w:color w:val="000000"/>
          <w:sz w:val="24"/>
          <w:szCs w:val="24"/>
          <w:u w:val="single"/>
        </w:rPr>
      </w:pPr>
      <w:r>
        <w:rPr>
          <w:rFonts w:hint="eastAsia" w:ascii="宋体" w:hAnsi="宋体" w:eastAsia="宋体" w:cs="宋体"/>
          <w:b/>
          <w:bCs/>
          <w:color w:val="000000"/>
          <w:sz w:val="24"/>
          <w:szCs w:val="24"/>
        </w:rPr>
        <w:t>发包人（全称）：</w:t>
      </w:r>
      <w:r>
        <w:rPr>
          <w:rFonts w:hint="eastAsia" w:ascii="宋体" w:hAnsi="宋体" w:eastAsia="宋体" w:cs="宋体"/>
          <w:b/>
          <w:sz w:val="24"/>
          <w:szCs w:val="24"/>
          <w:u w:val="single"/>
        </w:rPr>
        <w:t xml:space="preserve">               </w:t>
      </w:r>
    </w:p>
    <w:p w14:paraId="7D75EFB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9"/>
        <w:rPr>
          <w:rFonts w:hint="eastAsia" w:ascii="宋体" w:hAnsi="宋体" w:eastAsia="宋体" w:cs="宋体"/>
          <w:b/>
          <w:bCs/>
          <w:color w:val="000000"/>
          <w:sz w:val="24"/>
          <w:szCs w:val="24"/>
          <w:u w:val="single"/>
        </w:rPr>
      </w:pPr>
      <w:r>
        <w:rPr>
          <w:rFonts w:hint="eastAsia" w:ascii="宋体" w:hAnsi="宋体" w:eastAsia="宋体" w:cs="宋体"/>
          <w:b/>
          <w:bCs/>
          <w:color w:val="000000"/>
          <w:sz w:val="24"/>
          <w:szCs w:val="24"/>
        </w:rPr>
        <w:t>承包人（全称）：</w:t>
      </w:r>
      <w:r>
        <w:rPr>
          <w:rFonts w:hint="eastAsia" w:ascii="宋体" w:hAnsi="宋体" w:eastAsia="宋体" w:cs="宋体"/>
          <w:b/>
          <w:bCs/>
          <w:color w:val="000000"/>
          <w:sz w:val="24"/>
          <w:szCs w:val="24"/>
          <w:u w:val="single"/>
        </w:rPr>
        <w:t xml:space="preserve">                </w:t>
      </w:r>
    </w:p>
    <w:p w14:paraId="588A0F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根据《中华人民共和国民法典》、《中华人民共和国建筑法》及有关法律规定，遵循平等、自愿、公平和诚实信用的原则，双方就</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施工及有关事项协商一致，共同达成如下协议：</w:t>
      </w:r>
    </w:p>
    <w:p w14:paraId="7C3D06E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9"/>
        <w:rPr>
          <w:rFonts w:hint="eastAsia" w:ascii="宋体" w:hAnsi="宋体" w:eastAsia="宋体" w:cs="宋体"/>
          <w:b/>
          <w:bCs/>
          <w:color w:val="000000"/>
          <w:sz w:val="24"/>
          <w:szCs w:val="24"/>
        </w:rPr>
      </w:pPr>
      <w:bookmarkStart w:id="361" w:name="_Toc351203481"/>
      <w:r>
        <w:rPr>
          <w:rFonts w:hint="eastAsia" w:ascii="宋体" w:hAnsi="宋体" w:eastAsia="宋体" w:cs="宋体"/>
          <w:b/>
          <w:bCs/>
          <w:color w:val="000000"/>
          <w:sz w:val="24"/>
          <w:szCs w:val="24"/>
        </w:rPr>
        <w:t>一、工程概况</w:t>
      </w:r>
      <w:bookmarkEnd w:id="361"/>
    </w:p>
    <w:p w14:paraId="6E1361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sz w:val="24"/>
          <w:szCs w:val="24"/>
          <w:u w:val="single"/>
        </w:rPr>
      </w:pPr>
      <w:r>
        <w:rPr>
          <w:rFonts w:hint="eastAsia" w:ascii="宋体" w:hAnsi="宋体" w:eastAsia="宋体" w:cs="宋体"/>
          <w:color w:val="000000"/>
          <w:sz w:val="24"/>
          <w:szCs w:val="24"/>
        </w:rPr>
        <w:t>1.工程名称：</w:t>
      </w:r>
      <w:r>
        <w:rPr>
          <w:rFonts w:hint="eastAsia" w:ascii="宋体" w:hAnsi="宋体" w:eastAsia="宋体" w:cs="宋体"/>
          <w:sz w:val="24"/>
          <w:szCs w:val="24"/>
          <w:u w:val="single"/>
        </w:rPr>
        <w:t xml:space="preserve">                      </w:t>
      </w:r>
    </w:p>
    <w:p w14:paraId="3C862C0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2.工程地点：</w:t>
      </w:r>
      <w:r>
        <w:rPr>
          <w:rFonts w:hint="eastAsia" w:ascii="宋体" w:hAnsi="宋体" w:eastAsia="宋体" w:cs="宋体"/>
          <w:sz w:val="24"/>
          <w:szCs w:val="24"/>
          <w:u w:val="single"/>
        </w:rPr>
        <w:t xml:space="preserve">                      </w:t>
      </w:r>
    </w:p>
    <w:p w14:paraId="0CC252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3.工程立项批准文号：</w:t>
      </w:r>
    </w:p>
    <w:p w14:paraId="31B649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4.资金来源：财政资金 </w:t>
      </w:r>
    </w:p>
    <w:p w14:paraId="6C944F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5.工程内容：详见磋商文件、工程量清单全部内容等；</w:t>
      </w:r>
    </w:p>
    <w:p w14:paraId="7D337A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群体工程应附《承包人承揽工程项目一览表》（附件1）。</w:t>
      </w:r>
    </w:p>
    <w:p w14:paraId="0274370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6.工程承包范围：具体以工程量清单为准。</w:t>
      </w:r>
    </w:p>
    <w:p w14:paraId="512A322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9"/>
        <w:rPr>
          <w:rFonts w:hint="eastAsia" w:ascii="宋体" w:hAnsi="宋体" w:eastAsia="宋体" w:cs="宋体"/>
          <w:b/>
          <w:bCs/>
          <w:color w:val="000000"/>
          <w:sz w:val="24"/>
          <w:szCs w:val="24"/>
        </w:rPr>
      </w:pPr>
      <w:bookmarkStart w:id="362" w:name="_Toc351203482"/>
      <w:r>
        <w:rPr>
          <w:rFonts w:hint="eastAsia" w:ascii="宋体" w:hAnsi="宋体" w:eastAsia="宋体" w:cs="宋体"/>
          <w:b/>
          <w:bCs/>
          <w:color w:val="000000"/>
          <w:sz w:val="24"/>
          <w:szCs w:val="24"/>
        </w:rPr>
        <w:t>二、合同工期</w:t>
      </w:r>
      <w:bookmarkEnd w:id="362"/>
    </w:p>
    <w:p w14:paraId="5886EC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计划开工日期：</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年</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月</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日。</w:t>
      </w:r>
    </w:p>
    <w:p w14:paraId="35C111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计划竣工日期：</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年</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月</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日。</w:t>
      </w:r>
    </w:p>
    <w:p w14:paraId="398EF0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工期总日历天数：</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日历天 ，工期总日历天数与根据前述计划开竣工日期计算的工期天数不一致的，以工期总日历天数为准。</w:t>
      </w:r>
    </w:p>
    <w:p w14:paraId="303A746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9"/>
        <w:rPr>
          <w:rFonts w:hint="eastAsia" w:ascii="宋体" w:hAnsi="宋体" w:eastAsia="宋体" w:cs="宋体"/>
          <w:b/>
          <w:bCs/>
          <w:color w:val="000000"/>
          <w:sz w:val="24"/>
          <w:szCs w:val="24"/>
        </w:rPr>
      </w:pPr>
      <w:bookmarkStart w:id="363" w:name="_Toc351203483"/>
      <w:r>
        <w:rPr>
          <w:rFonts w:hint="eastAsia" w:ascii="宋体" w:hAnsi="宋体" w:eastAsia="宋体" w:cs="宋体"/>
          <w:b/>
          <w:bCs/>
          <w:color w:val="000000"/>
          <w:sz w:val="24"/>
          <w:szCs w:val="24"/>
        </w:rPr>
        <w:t>三、质量标准</w:t>
      </w:r>
      <w:bookmarkEnd w:id="363"/>
    </w:p>
    <w:p w14:paraId="1F2310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符合国家或行业规定的合格标准</w:t>
      </w:r>
    </w:p>
    <w:p w14:paraId="5F80F27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9"/>
        <w:rPr>
          <w:rFonts w:hint="eastAsia" w:ascii="宋体" w:hAnsi="宋体" w:eastAsia="宋体" w:cs="宋体"/>
          <w:color w:val="000000"/>
          <w:sz w:val="24"/>
          <w:szCs w:val="24"/>
        </w:rPr>
      </w:pPr>
      <w:r>
        <w:rPr>
          <w:rFonts w:hint="eastAsia" w:ascii="宋体" w:hAnsi="宋体" w:eastAsia="宋体" w:cs="宋体"/>
          <w:b/>
          <w:bCs/>
          <w:color w:val="000000"/>
          <w:sz w:val="24"/>
          <w:szCs w:val="24"/>
        </w:rPr>
        <w:t>四、签约合同价与合同价格形式</w:t>
      </w:r>
      <w:r>
        <w:rPr>
          <w:rFonts w:hint="eastAsia" w:ascii="宋体" w:hAnsi="宋体" w:eastAsia="宋体" w:cs="宋体"/>
          <w:color w:val="000000"/>
          <w:sz w:val="24"/>
          <w:szCs w:val="24"/>
        </w:rPr>
        <w:tab/>
      </w:r>
    </w:p>
    <w:p w14:paraId="3BCAA4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1.签约合同价为：</w:t>
      </w:r>
    </w:p>
    <w:p w14:paraId="7027E9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人民币（大写：</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）(小写：</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元)；</w:t>
      </w:r>
    </w:p>
    <w:p w14:paraId="73AF2F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其中：</w:t>
      </w:r>
    </w:p>
    <w:p w14:paraId="6DBB9E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（1）安全文明施工费：</w:t>
      </w:r>
    </w:p>
    <w:p w14:paraId="527100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人民币（大写：</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）(小写：</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元)；</w:t>
      </w:r>
    </w:p>
    <w:p w14:paraId="574D68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（2）材料和工程设备暂估价金额：</w:t>
      </w:r>
    </w:p>
    <w:p w14:paraId="1096EE7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人民币（大写：</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）(小写：</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元)；</w:t>
      </w:r>
    </w:p>
    <w:p w14:paraId="1B1156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（3）专业工程暂估价金额：</w:t>
      </w:r>
    </w:p>
    <w:p w14:paraId="7B470D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人民币（大写：</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）(小写：</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元)；</w:t>
      </w:r>
    </w:p>
    <w:p w14:paraId="65DA5A8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（4）暂列金额：</w:t>
      </w:r>
    </w:p>
    <w:p w14:paraId="614561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人民币（大写：</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）(小写：</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元)。</w:t>
      </w:r>
    </w:p>
    <w:p w14:paraId="690BF06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2.合同价格形式：</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固定单价合同  </w:t>
      </w:r>
      <w:r>
        <w:rPr>
          <w:rFonts w:hint="eastAsia" w:ascii="宋体" w:hAnsi="宋体" w:eastAsia="宋体" w:cs="宋体"/>
          <w:color w:val="000000"/>
          <w:sz w:val="24"/>
          <w:szCs w:val="24"/>
        </w:rPr>
        <w:t>。</w:t>
      </w:r>
    </w:p>
    <w:p w14:paraId="6D67512B">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五、项目经理</w:t>
      </w:r>
    </w:p>
    <w:p w14:paraId="2CDB56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承包人项目经理：</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color w:val="000000"/>
          <w:sz w:val="24"/>
          <w:szCs w:val="24"/>
        </w:rPr>
        <w:t>。</w:t>
      </w:r>
    </w:p>
    <w:p w14:paraId="0F6CDF77">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六、合同文件构成</w:t>
      </w:r>
    </w:p>
    <w:p w14:paraId="237503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本协议书与下列文件一起构成合同文件：</w:t>
      </w:r>
    </w:p>
    <w:p w14:paraId="19D3C0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（1）成交通知书（如果有）；</w:t>
      </w:r>
    </w:p>
    <w:p w14:paraId="675908E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（2）响应函及其附录（如果有）； </w:t>
      </w:r>
    </w:p>
    <w:p w14:paraId="09B7EE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（3）专用合同条款及其附件；</w:t>
      </w:r>
    </w:p>
    <w:p w14:paraId="14DDDE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（4）通用合同条款；</w:t>
      </w:r>
    </w:p>
    <w:p w14:paraId="4A16A7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（5）</w:t>
      </w:r>
      <w:r>
        <w:rPr>
          <w:rFonts w:hint="eastAsia" w:ascii="宋体" w:hAnsi="宋体" w:eastAsia="宋体" w:cs="宋体"/>
          <w:color w:val="000000"/>
          <w:sz w:val="24"/>
          <w:szCs w:val="24"/>
          <w:lang w:eastAsia="zh-CN"/>
        </w:rPr>
        <w:t>技术部分</w:t>
      </w:r>
      <w:r>
        <w:rPr>
          <w:rFonts w:hint="eastAsia" w:ascii="宋体" w:hAnsi="宋体" w:eastAsia="宋体" w:cs="宋体"/>
          <w:color w:val="000000"/>
          <w:sz w:val="24"/>
          <w:szCs w:val="24"/>
        </w:rPr>
        <w:t>准和要求；</w:t>
      </w:r>
    </w:p>
    <w:p w14:paraId="391DA3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（6）已标价工程量清单或预算书；</w:t>
      </w:r>
    </w:p>
    <w:p w14:paraId="33906E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（7）其他合同文件。</w:t>
      </w:r>
    </w:p>
    <w:p w14:paraId="7820DD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在合同订立及履行过程中形成的与合同有关的文件均构成合同文件组成部分。</w:t>
      </w:r>
    </w:p>
    <w:p w14:paraId="1873170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上述各项合同文件包括合同当事人就该项合同文件所作出的补充和修改，属于同一类内容的文件，应以最新签署的为准。专用合同条款及其附件须经合同当事人签字或盖章。</w:t>
      </w:r>
    </w:p>
    <w:p w14:paraId="088DBF20">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七、承诺</w:t>
      </w:r>
    </w:p>
    <w:p w14:paraId="0BF7A0B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1.发包人承诺按照法律规定履行项目审批手续、筹集工程建设资金并按照合同约定的期限和方式支付合同价款。</w:t>
      </w:r>
    </w:p>
    <w:p w14:paraId="7A015B8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2.承包人承诺按照法律规定及合同约定组织完成工程施工，确保工程质量和安全，不进行转包及违法分包，并在缺陷责任期及</w:t>
      </w:r>
      <w:r>
        <w:rPr>
          <w:rFonts w:hint="eastAsia" w:ascii="宋体" w:hAnsi="宋体" w:eastAsia="宋体" w:cs="宋体"/>
          <w:color w:val="000000"/>
          <w:sz w:val="24"/>
          <w:szCs w:val="24"/>
          <w:lang w:eastAsia="zh-CN"/>
        </w:rPr>
        <w:t>缺陷责任期</w:t>
      </w:r>
      <w:r>
        <w:rPr>
          <w:rFonts w:hint="eastAsia" w:ascii="宋体" w:hAnsi="宋体" w:eastAsia="宋体" w:cs="宋体"/>
          <w:color w:val="000000"/>
          <w:sz w:val="24"/>
          <w:szCs w:val="24"/>
        </w:rPr>
        <w:t>内承担相应的工程维修责任。</w:t>
      </w:r>
    </w:p>
    <w:p w14:paraId="39C50C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3.发包人和承包人通过招投标形式签订合同的，双方理解并承诺不再就同一工程另行签订与合同实质性内容相背离的协议。</w:t>
      </w:r>
    </w:p>
    <w:p w14:paraId="00ACEE7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9"/>
        <w:rPr>
          <w:rFonts w:hint="eastAsia" w:ascii="宋体" w:hAnsi="宋体" w:eastAsia="宋体" w:cs="宋体"/>
          <w:color w:val="000000"/>
          <w:sz w:val="24"/>
          <w:szCs w:val="24"/>
        </w:rPr>
      </w:pPr>
      <w:r>
        <w:rPr>
          <w:rFonts w:hint="eastAsia" w:ascii="宋体" w:hAnsi="宋体" w:eastAsia="宋体" w:cs="宋体"/>
          <w:b/>
          <w:color w:val="000000"/>
          <w:sz w:val="24"/>
          <w:szCs w:val="24"/>
        </w:rPr>
        <w:t>八、词语含义</w:t>
      </w:r>
    </w:p>
    <w:p w14:paraId="2F89CE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本协议书中词语含义与第二部分通用合同条款中赋予的含义相同。</w:t>
      </w:r>
    </w:p>
    <w:p w14:paraId="61B7B69A">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九、签订时间</w:t>
      </w:r>
    </w:p>
    <w:p w14:paraId="77E36A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本合同于</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日签订。</w:t>
      </w:r>
    </w:p>
    <w:p w14:paraId="3CA70AD2">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十、签订地点</w:t>
      </w:r>
    </w:p>
    <w:p w14:paraId="3A4C1C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本合同在</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签订。</w:t>
      </w:r>
    </w:p>
    <w:p w14:paraId="0A398860">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十一、补充协议</w:t>
      </w:r>
    </w:p>
    <w:p w14:paraId="4826114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color w:val="000000"/>
          <w:sz w:val="24"/>
          <w:szCs w:val="24"/>
        </w:rPr>
      </w:pPr>
      <w:r>
        <w:rPr>
          <w:rFonts w:hint="eastAsia" w:ascii="宋体" w:hAnsi="宋体" w:eastAsia="宋体" w:cs="宋体"/>
          <w:color w:val="000000"/>
          <w:sz w:val="24"/>
          <w:szCs w:val="24"/>
        </w:rPr>
        <w:t>合同未尽事宜，合同当事人另行签订补充协议，补充协议是合同的组成部分。</w:t>
      </w:r>
    </w:p>
    <w:p w14:paraId="25969CE8">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十二、合同生效</w:t>
      </w:r>
    </w:p>
    <w:p w14:paraId="7A139F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本合同自</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生效。</w:t>
      </w:r>
    </w:p>
    <w:p w14:paraId="31616123">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十三、合同份数</w:t>
      </w:r>
    </w:p>
    <w:p w14:paraId="1B6C29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本合同一式</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份，均具有同等法律效力，发包人执</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份，承包人执</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份。</w:t>
      </w:r>
    </w:p>
    <w:p w14:paraId="44EEF95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outlineLvl w:val="9"/>
        <w:rPr>
          <w:rFonts w:hint="eastAsia" w:ascii="宋体" w:hAnsi="宋体" w:eastAsia="宋体" w:cs="宋体"/>
          <w:color w:val="000000"/>
          <w:sz w:val="24"/>
          <w:szCs w:val="24"/>
        </w:rPr>
      </w:pPr>
    </w:p>
    <w:p w14:paraId="10AC83A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发</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包</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人：(单位公章)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承</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包</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人：(单位公章)</w:t>
      </w:r>
    </w:p>
    <w:p w14:paraId="518FA66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法定代表人或其委托代理人：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法定代表人或其委托代理人：</w:t>
      </w:r>
    </w:p>
    <w:p w14:paraId="6F81467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（签字）                                 （签字）</w:t>
      </w:r>
    </w:p>
    <w:p w14:paraId="53E60B6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地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址：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地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址：</w:t>
      </w:r>
    </w:p>
    <w:p w14:paraId="1A23B32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邮政编码：</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邮政编码：</w:t>
      </w:r>
    </w:p>
    <w:p w14:paraId="5125BB6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电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话：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电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话：</w:t>
      </w:r>
    </w:p>
    <w:p w14:paraId="4FB3803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开户银行：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开户银行：</w:t>
      </w:r>
    </w:p>
    <w:p w14:paraId="5E5F43D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账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号：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账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号：</w:t>
      </w:r>
    </w:p>
    <w:p w14:paraId="57D6737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日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期：                                 日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期：</w:t>
      </w:r>
    </w:p>
    <w:p w14:paraId="7076854E">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b/>
          <w:bCs/>
          <w:sz w:val="24"/>
          <w:szCs w:val="24"/>
        </w:rPr>
      </w:pPr>
      <w:r>
        <w:rPr>
          <w:rFonts w:hint="eastAsia" w:ascii="宋体" w:hAnsi="宋体" w:eastAsia="宋体" w:cs="宋体"/>
          <w:b/>
          <w:color w:val="000000"/>
          <w:sz w:val="24"/>
          <w:szCs w:val="24"/>
        </w:rPr>
        <w:br w:type="page"/>
      </w:r>
      <w:r>
        <w:rPr>
          <w:rFonts w:hint="eastAsia" w:ascii="宋体" w:hAnsi="宋体" w:eastAsia="宋体" w:cs="宋体"/>
          <w:b/>
          <w:bCs/>
          <w:sz w:val="28"/>
          <w:szCs w:val="28"/>
        </w:rPr>
        <w:t>第二部分  通用条款</w:t>
      </w:r>
    </w:p>
    <w:p w14:paraId="10F36DFF">
      <w:pPr>
        <w:keepNext w:val="0"/>
        <w:keepLines w:val="0"/>
        <w:pageBreakBefore w:val="0"/>
        <w:widowControl w:val="0"/>
        <w:kinsoku/>
        <w:wordWrap/>
        <w:overflowPunct/>
        <w:topLinePunct w:val="0"/>
        <w:autoSpaceDE/>
        <w:autoSpaceDN/>
        <w:bidi w:val="0"/>
        <w:adjustRightInd/>
        <w:snapToGrid/>
        <w:spacing w:before="312" w:beforeLines="100"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本合同通用条款全部采用中华人民共和国住房和城乡建设部、国家工商行政管理局制定的《建设工程施工合同（示范文本）》（GF-2017-0201）第二部分《通用条款》。</w:t>
      </w:r>
    </w:p>
    <w:p w14:paraId="378728A3">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b/>
          <w:color w:val="000000"/>
          <w:sz w:val="24"/>
          <w:szCs w:val="24"/>
        </w:rPr>
      </w:pPr>
      <w:r>
        <w:rPr>
          <w:rFonts w:hint="eastAsia" w:ascii="宋体" w:hAnsi="宋体" w:eastAsia="宋体" w:cs="宋体"/>
          <w:color w:val="000000"/>
          <w:sz w:val="24"/>
          <w:szCs w:val="24"/>
        </w:rPr>
        <w:br w:type="page"/>
      </w:r>
      <w:r>
        <w:rPr>
          <w:rFonts w:hint="eastAsia" w:ascii="宋体" w:hAnsi="宋体" w:eastAsia="宋体" w:cs="宋体"/>
          <w:b/>
          <w:color w:val="000000"/>
          <w:sz w:val="24"/>
          <w:szCs w:val="24"/>
        </w:rPr>
        <w:t>第三部分  专用合同条款</w:t>
      </w:r>
    </w:p>
    <w:p w14:paraId="526C0422">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具体条款以签订合同专用条款为准</w:t>
      </w:r>
    </w:p>
    <w:p w14:paraId="40E9D48C">
      <w:pPr>
        <w:keepNext w:val="0"/>
        <w:keepLines w:val="0"/>
        <w:pageBreakBefore w:val="0"/>
        <w:widowControl/>
        <w:kinsoku/>
        <w:wordWrap/>
        <w:overflowPunct/>
        <w:topLinePunct w:val="0"/>
        <w:autoSpaceDE/>
        <w:autoSpaceDN/>
        <w:bidi w:val="0"/>
        <w:adjustRightInd w:val="0"/>
        <w:snapToGrid w:val="0"/>
        <w:spacing w:after="200" w:line="360" w:lineRule="auto"/>
        <w:jc w:val="center"/>
        <w:textAlignment w:val="auto"/>
        <w:outlineLvl w:val="0"/>
        <w:rPr>
          <w:rFonts w:hint="eastAsia" w:ascii="宋体" w:hAnsi="宋体" w:eastAsia="宋体" w:cs="宋体"/>
          <w:bCs/>
          <w:color w:val="000000"/>
          <w:kern w:val="0"/>
          <w:sz w:val="24"/>
          <w:szCs w:val="24"/>
        </w:rPr>
      </w:pPr>
      <w:r>
        <w:rPr>
          <w:rFonts w:hint="eastAsia" w:ascii="宋体" w:hAnsi="宋体" w:eastAsia="宋体" w:cs="宋体"/>
          <w:b/>
          <w:bCs/>
          <w:color w:val="000000"/>
          <w:kern w:val="0"/>
          <w:sz w:val="32"/>
          <w:szCs w:val="32"/>
        </w:rPr>
        <w:br w:type="page"/>
      </w:r>
      <w:bookmarkStart w:id="364" w:name="_Toc8491"/>
      <w:bookmarkStart w:id="365" w:name="_Toc9421"/>
      <w:r>
        <w:rPr>
          <w:rFonts w:hint="eastAsia" w:ascii="宋体" w:hAnsi="宋体" w:eastAsia="宋体" w:cs="宋体"/>
          <w:b/>
          <w:sz w:val="24"/>
          <w:szCs w:val="24"/>
        </w:rPr>
        <w:t>第六章  磋商响应文件格式</w:t>
      </w:r>
      <w:bookmarkEnd w:id="364"/>
      <w:bookmarkEnd w:id="365"/>
    </w:p>
    <w:p w14:paraId="21D54737">
      <w:pPr>
        <w:pStyle w:val="9"/>
        <w:pageBreakBefore w:val="0"/>
        <w:kinsoku/>
        <w:overflowPunct/>
        <w:bidi w:val="0"/>
        <w:spacing w:line="360" w:lineRule="auto"/>
        <w:ind w:left="63" w:right="63" w:firstLine="211"/>
        <w:rPr>
          <w:rFonts w:hint="eastAsia" w:ascii="宋体" w:hAnsi="宋体" w:eastAsia="宋体" w:cs="宋体"/>
        </w:rPr>
      </w:pPr>
    </w:p>
    <w:p w14:paraId="49011D65">
      <w:pPr>
        <w:pageBreakBefore w:val="0"/>
        <w:widowControl/>
        <w:kinsoku/>
        <w:overflowPunct/>
        <w:bidi w:val="0"/>
        <w:spacing w:after="200" w:line="360" w:lineRule="auto"/>
        <w:jc w:val="center"/>
        <w:rPr>
          <w:rFonts w:hint="eastAsia" w:ascii="宋体" w:hAnsi="宋体" w:eastAsia="宋体" w:cs="宋体"/>
          <w:bCs/>
          <w:color w:val="000000"/>
          <w:kern w:val="0"/>
          <w:sz w:val="44"/>
          <w:szCs w:val="44"/>
        </w:rPr>
      </w:pPr>
      <w:r>
        <w:rPr>
          <w:rFonts w:hint="eastAsia" w:ascii="宋体" w:hAnsi="宋体" w:eastAsia="宋体" w:cs="宋体"/>
          <w:bCs/>
          <w:color w:val="000000"/>
          <w:kern w:val="0"/>
          <w:sz w:val="44"/>
          <w:szCs w:val="44"/>
          <w:u w:val="single"/>
        </w:rPr>
        <w:t xml:space="preserve">                       </w:t>
      </w:r>
      <w:r>
        <w:rPr>
          <w:rFonts w:hint="eastAsia" w:ascii="宋体" w:hAnsi="宋体" w:eastAsia="宋体" w:cs="宋体"/>
          <w:bCs/>
          <w:color w:val="000000"/>
          <w:kern w:val="0"/>
          <w:sz w:val="44"/>
          <w:szCs w:val="44"/>
        </w:rPr>
        <w:t>（项目名称）</w:t>
      </w:r>
    </w:p>
    <w:p w14:paraId="70AAC307">
      <w:pPr>
        <w:pageBreakBefore w:val="0"/>
        <w:widowControl/>
        <w:kinsoku/>
        <w:overflowPunct/>
        <w:bidi w:val="0"/>
        <w:adjustRightInd w:val="0"/>
        <w:snapToGrid w:val="0"/>
        <w:spacing w:after="200" w:line="360" w:lineRule="auto"/>
        <w:jc w:val="center"/>
        <w:rPr>
          <w:rFonts w:hint="eastAsia" w:ascii="宋体" w:hAnsi="宋体" w:eastAsia="宋体" w:cs="宋体"/>
          <w:bCs/>
          <w:color w:val="000000"/>
          <w:kern w:val="0"/>
          <w:sz w:val="32"/>
          <w:szCs w:val="32"/>
        </w:rPr>
      </w:pPr>
    </w:p>
    <w:p w14:paraId="1C30C144">
      <w:pPr>
        <w:pageBreakBefore w:val="0"/>
        <w:widowControl/>
        <w:kinsoku/>
        <w:overflowPunct/>
        <w:bidi w:val="0"/>
        <w:adjustRightInd w:val="0"/>
        <w:snapToGrid w:val="0"/>
        <w:spacing w:after="200" w:line="360" w:lineRule="auto"/>
        <w:jc w:val="center"/>
        <w:rPr>
          <w:rFonts w:hint="eastAsia" w:ascii="宋体" w:hAnsi="宋体" w:eastAsia="宋体" w:cs="宋体"/>
          <w:bCs/>
          <w:color w:val="000000"/>
          <w:kern w:val="0"/>
          <w:sz w:val="32"/>
          <w:szCs w:val="32"/>
        </w:rPr>
      </w:pPr>
    </w:p>
    <w:p w14:paraId="1B93A21E">
      <w:pPr>
        <w:pageBreakBefore w:val="0"/>
        <w:kinsoku/>
        <w:overflowPunct/>
        <w:bidi w:val="0"/>
        <w:spacing w:line="360" w:lineRule="auto"/>
        <w:rPr>
          <w:rFonts w:hint="eastAsia" w:ascii="宋体" w:hAnsi="宋体" w:eastAsia="宋体" w:cs="宋体"/>
          <w:bCs/>
          <w:color w:val="000000"/>
          <w:sz w:val="32"/>
          <w:szCs w:val="32"/>
        </w:rPr>
      </w:pPr>
    </w:p>
    <w:p w14:paraId="67C80F9D">
      <w:pPr>
        <w:pageBreakBefore w:val="0"/>
        <w:kinsoku/>
        <w:overflowPunct/>
        <w:bidi w:val="0"/>
        <w:spacing w:line="360" w:lineRule="auto"/>
        <w:rPr>
          <w:rFonts w:hint="eastAsia" w:ascii="宋体" w:hAnsi="宋体" w:eastAsia="宋体" w:cs="宋体"/>
        </w:rPr>
      </w:pPr>
    </w:p>
    <w:p w14:paraId="68A38E40">
      <w:pPr>
        <w:pageBreakBefore w:val="0"/>
        <w:widowControl/>
        <w:kinsoku/>
        <w:overflowPunct/>
        <w:bidi w:val="0"/>
        <w:adjustRightInd w:val="0"/>
        <w:snapToGrid w:val="0"/>
        <w:spacing w:after="200" w:line="360" w:lineRule="auto"/>
        <w:jc w:val="center"/>
        <w:rPr>
          <w:rFonts w:hint="eastAsia" w:ascii="宋体" w:hAnsi="宋体" w:eastAsia="宋体" w:cs="宋体"/>
          <w:bCs/>
          <w:color w:val="000000"/>
          <w:kern w:val="0"/>
          <w:sz w:val="72"/>
          <w:szCs w:val="72"/>
        </w:rPr>
      </w:pPr>
      <w:r>
        <w:rPr>
          <w:rFonts w:hint="eastAsia" w:ascii="宋体" w:hAnsi="宋体" w:eastAsia="宋体" w:cs="宋体"/>
          <w:bCs/>
          <w:color w:val="000000"/>
          <w:kern w:val="0"/>
          <w:sz w:val="72"/>
          <w:szCs w:val="72"/>
        </w:rPr>
        <w:t>竞争性磋商响应文件</w:t>
      </w:r>
    </w:p>
    <w:p w14:paraId="7FC86453">
      <w:pPr>
        <w:pageBreakBefore w:val="0"/>
        <w:widowControl/>
        <w:kinsoku/>
        <w:overflowPunct/>
        <w:bidi w:val="0"/>
        <w:adjustRightInd w:val="0"/>
        <w:snapToGrid w:val="0"/>
        <w:spacing w:after="200" w:line="360" w:lineRule="auto"/>
        <w:jc w:val="center"/>
        <w:rPr>
          <w:rFonts w:hint="eastAsia" w:ascii="宋体" w:hAnsi="宋体" w:eastAsia="宋体" w:cs="宋体"/>
          <w:bCs/>
          <w:color w:val="000000"/>
          <w:kern w:val="0"/>
          <w:sz w:val="32"/>
          <w:szCs w:val="32"/>
        </w:rPr>
      </w:pPr>
      <w:r>
        <w:rPr>
          <w:rFonts w:hint="eastAsia" w:ascii="宋体" w:hAnsi="宋体" w:eastAsia="宋体" w:cs="宋体"/>
          <w:bCs/>
          <w:color w:val="000000"/>
          <w:kern w:val="0"/>
          <w:sz w:val="32"/>
          <w:szCs w:val="32"/>
        </w:rPr>
        <w:t>项目编号：</w:t>
      </w:r>
    </w:p>
    <w:p w14:paraId="2F02C665">
      <w:pPr>
        <w:pageBreakBefore w:val="0"/>
        <w:widowControl/>
        <w:kinsoku/>
        <w:overflowPunct/>
        <w:bidi w:val="0"/>
        <w:adjustRightInd w:val="0"/>
        <w:snapToGrid w:val="0"/>
        <w:spacing w:after="200" w:line="360" w:lineRule="auto"/>
        <w:jc w:val="left"/>
        <w:rPr>
          <w:rFonts w:hint="eastAsia" w:ascii="宋体" w:hAnsi="宋体" w:eastAsia="宋体" w:cs="宋体"/>
          <w:bCs/>
          <w:color w:val="000000"/>
          <w:kern w:val="0"/>
          <w:sz w:val="32"/>
          <w:szCs w:val="32"/>
        </w:rPr>
      </w:pPr>
    </w:p>
    <w:p w14:paraId="0A45D4E7">
      <w:pPr>
        <w:pageBreakBefore w:val="0"/>
        <w:widowControl/>
        <w:kinsoku/>
        <w:overflowPunct/>
        <w:bidi w:val="0"/>
        <w:adjustRightInd w:val="0"/>
        <w:snapToGrid w:val="0"/>
        <w:spacing w:after="200" w:line="360" w:lineRule="auto"/>
        <w:jc w:val="left"/>
        <w:rPr>
          <w:rFonts w:hint="eastAsia" w:ascii="宋体" w:hAnsi="宋体" w:eastAsia="宋体" w:cs="宋体"/>
          <w:bCs/>
          <w:color w:val="000000"/>
          <w:kern w:val="0"/>
          <w:sz w:val="32"/>
          <w:szCs w:val="32"/>
        </w:rPr>
      </w:pPr>
    </w:p>
    <w:p w14:paraId="2E5E83EB">
      <w:pPr>
        <w:pageBreakBefore w:val="0"/>
        <w:kinsoku/>
        <w:overflowPunct/>
        <w:bidi w:val="0"/>
        <w:spacing w:line="360" w:lineRule="auto"/>
        <w:ind w:firstLine="1680" w:firstLineChars="525"/>
        <w:rPr>
          <w:rFonts w:hint="eastAsia" w:ascii="宋体" w:hAnsi="宋体" w:eastAsia="宋体" w:cs="宋体"/>
          <w:sz w:val="32"/>
          <w:szCs w:val="32"/>
          <w:u w:val="single"/>
        </w:rPr>
      </w:pPr>
      <w:r>
        <w:rPr>
          <w:rFonts w:hint="eastAsia" w:ascii="宋体" w:hAnsi="宋体" w:eastAsia="宋体" w:cs="宋体"/>
          <w:sz w:val="32"/>
          <w:szCs w:val="32"/>
        </w:rPr>
        <w:t>供应商名称：</w:t>
      </w:r>
      <w:r>
        <w:rPr>
          <w:rFonts w:hint="eastAsia" w:ascii="宋体" w:hAnsi="宋体" w:eastAsia="宋体" w:cs="宋体"/>
          <w:sz w:val="32"/>
          <w:szCs w:val="32"/>
          <w:u w:val="single"/>
        </w:rPr>
        <w:t xml:space="preserve">             </w:t>
      </w:r>
      <w:r>
        <w:rPr>
          <w:rFonts w:hint="eastAsia" w:ascii="宋体" w:hAnsi="宋体" w:eastAsia="宋体" w:cs="宋体"/>
          <w:sz w:val="32"/>
          <w:szCs w:val="32"/>
        </w:rPr>
        <w:t>（盖单位章）</w:t>
      </w:r>
    </w:p>
    <w:p w14:paraId="7045CCE7">
      <w:pPr>
        <w:pageBreakBefore w:val="0"/>
        <w:kinsoku/>
        <w:overflowPunct/>
        <w:bidi w:val="0"/>
        <w:spacing w:line="360" w:lineRule="auto"/>
        <w:ind w:firstLine="1680" w:firstLineChars="525"/>
        <w:rPr>
          <w:rFonts w:hint="eastAsia" w:ascii="宋体" w:hAnsi="宋体" w:eastAsia="宋体" w:cs="宋体"/>
          <w:sz w:val="32"/>
          <w:szCs w:val="32"/>
          <w:u w:val="single"/>
        </w:rPr>
      </w:pPr>
      <w:r>
        <w:rPr>
          <w:rFonts w:hint="eastAsia" w:ascii="宋体" w:hAnsi="宋体" w:eastAsia="宋体" w:cs="宋体"/>
          <w:sz w:val="32"/>
          <w:szCs w:val="32"/>
        </w:rPr>
        <w:t>法定代表人：</w:t>
      </w:r>
      <w:r>
        <w:rPr>
          <w:rFonts w:hint="eastAsia" w:ascii="宋体" w:hAnsi="宋体" w:eastAsia="宋体" w:cs="宋体"/>
          <w:sz w:val="32"/>
          <w:szCs w:val="32"/>
          <w:u w:val="single"/>
        </w:rPr>
        <w:t xml:space="preserve">           </w:t>
      </w:r>
      <w:r>
        <w:rPr>
          <w:rFonts w:hint="eastAsia" w:ascii="宋体" w:hAnsi="宋体" w:eastAsia="宋体" w:cs="宋体"/>
          <w:sz w:val="32"/>
          <w:szCs w:val="32"/>
          <w:u w:val="single"/>
          <w:lang w:val="en-US" w:eastAsia="zh-CN"/>
        </w:rPr>
        <w:t xml:space="preserve"> </w:t>
      </w:r>
      <w:r>
        <w:rPr>
          <w:rFonts w:hint="eastAsia" w:ascii="宋体" w:hAnsi="宋体" w:eastAsia="宋体" w:cs="宋体"/>
          <w:sz w:val="32"/>
          <w:szCs w:val="32"/>
          <w:u w:val="single"/>
        </w:rPr>
        <w:t xml:space="preserve"> </w:t>
      </w:r>
      <w:r>
        <w:rPr>
          <w:rFonts w:hint="eastAsia" w:ascii="宋体" w:hAnsi="宋体" w:eastAsia="宋体" w:cs="宋体"/>
          <w:sz w:val="32"/>
          <w:szCs w:val="32"/>
        </w:rPr>
        <w:t>（电子签章）</w:t>
      </w:r>
    </w:p>
    <w:p w14:paraId="7E3E508F">
      <w:pPr>
        <w:pageBreakBefore w:val="0"/>
        <w:kinsoku/>
        <w:overflowPunct/>
        <w:bidi w:val="0"/>
        <w:spacing w:line="360" w:lineRule="auto"/>
        <w:jc w:val="center"/>
        <w:rPr>
          <w:rFonts w:hint="eastAsia" w:ascii="宋体" w:hAnsi="宋体" w:eastAsia="宋体" w:cs="宋体"/>
          <w:sz w:val="32"/>
          <w:szCs w:val="32"/>
        </w:rPr>
      </w:pPr>
      <w:r>
        <w:rPr>
          <w:rFonts w:hint="eastAsia" w:ascii="宋体" w:hAnsi="宋体" w:eastAsia="宋体" w:cs="宋体"/>
          <w:sz w:val="32"/>
          <w:szCs w:val="32"/>
        </w:rPr>
        <w:t>年     月     日</w:t>
      </w:r>
    </w:p>
    <w:p w14:paraId="3070A500">
      <w:pPr>
        <w:rPr>
          <w:rFonts w:hint="eastAsia" w:ascii="宋体" w:hAnsi="宋体" w:eastAsia="宋体" w:cs="宋体"/>
          <w:b/>
          <w:bCs/>
          <w:color w:val="000000"/>
          <w:kern w:val="0"/>
          <w:sz w:val="32"/>
          <w:szCs w:val="32"/>
        </w:rPr>
      </w:pPr>
      <w:r>
        <w:rPr>
          <w:rFonts w:hint="eastAsia" w:ascii="宋体" w:hAnsi="宋体" w:eastAsia="宋体" w:cs="宋体"/>
          <w:b/>
          <w:bCs/>
          <w:color w:val="000000"/>
          <w:kern w:val="0"/>
          <w:sz w:val="32"/>
          <w:szCs w:val="32"/>
        </w:rPr>
        <w:br w:type="page"/>
      </w:r>
    </w:p>
    <w:p w14:paraId="16783D3B">
      <w:pPr>
        <w:pageBreakBefore w:val="0"/>
        <w:widowControl/>
        <w:kinsoku/>
        <w:overflowPunct/>
        <w:bidi w:val="0"/>
        <w:adjustRightInd w:val="0"/>
        <w:snapToGrid w:val="0"/>
        <w:spacing w:after="200" w:line="360" w:lineRule="auto"/>
        <w:jc w:val="center"/>
        <w:rPr>
          <w:rFonts w:hint="eastAsia" w:ascii="宋体" w:hAnsi="宋体" w:eastAsia="宋体" w:cs="宋体"/>
          <w:b/>
          <w:bCs/>
          <w:color w:val="000000"/>
          <w:kern w:val="0"/>
          <w:sz w:val="32"/>
          <w:szCs w:val="32"/>
        </w:rPr>
      </w:pPr>
      <w:r>
        <w:rPr>
          <w:rFonts w:hint="eastAsia" w:ascii="宋体" w:hAnsi="宋体" w:eastAsia="宋体" w:cs="宋体"/>
          <w:b/>
          <w:bCs/>
          <w:color w:val="000000"/>
          <w:kern w:val="0"/>
          <w:sz w:val="32"/>
          <w:szCs w:val="32"/>
        </w:rPr>
        <w:t>目  录</w:t>
      </w:r>
    </w:p>
    <w:p w14:paraId="27F23D03">
      <w:pPr>
        <w:pageBreakBefore w:val="0"/>
        <w:widowControl/>
        <w:kinsoku/>
        <w:overflowPunct/>
        <w:bidi w:val="0"/>
        <w:adjustRightInd w:val="0"/>
        <w:snapToGrid w:val="0"/>
        <w:spacing w:after="200" w:line="360" w:lineRule="auto"/>
        <w:jc w:val="center"/>
        <w:rPr>
          <w:rFonts w:hint="eastAsia" w:ascii="宋体" w:hAnsi="宋体" w:eastAsia="宋体" w:cs="宋体"/>
          <w:color w:val="000000"/>
          <w:kern w:val="0"/>
          <w:sz w:val="24"/>
        </w:rPr>
      </w:pPr>
      <w:r>
        <w:rPr>
          <w:rFonts w:hint="eastAsia" w:ascii="宋体" w:hAnsi="宋体" w:eastAsia="宋体" w:cs="宋体"/>
          <w:color w:val="000000"/>
          <w:kern w:val="0"/>
          <w:sz w:val="32"/>
          <w:szCs w:val="32"/>
        </w:rPr>
        <w:t>（自拟）</w:t>
      </w:r>
    </w:p>
    <w:p w14:paraId="79786DE2">
      <w:pPr>
        <w:keepNext w:val="0"/>
        <w:keepLines w:val="0"/>
        <w:pageBreakBefore w:val="0"/>
        <w:widowControl/>
        <w:kinsoku/>
        <w:wordWrap/>
        <w:overflowPunct/>
        <w:topLinePunct w:val="0"/>
        <w:autoSpaceDE/>
        <w:autoSpaceDN/>
        <w:bidi w:val="0"/>
        <w:adjustRightInd w:val="0"/>
        <w:snapToGrid w:val="0"/>
        <w:spacing w:after="200" w:line="288" w:lineRule="auto"/>
        <w:jc w:val="center"/>
        <w:textAlignment w:val="auto"/>
        <w:outlineLvl w:val="1"/>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8"/>
          <w:szCs w:val="28"/>
        </w:rPr>
        <w:br w:type="page"/>
      </w:r>
      <w:bookmarkStart w:id="366" w:name="_Toc24785"/>
      <w:r>
        <w:rPr>
          <w:rFonts w:hint="eastAsia" w:ascii="宋体" w:hAnsi="宋体" w:eastAsia="宋体" w:cs="宋体"/>
          <w:b/>
          <w:sz w:val="24"/>
          <w:szCs w:val="24"/>
        </w:rPr>
        <w:t>一、磋商函及磋商函附表</w:t>
      </w:r>
      <w:bookmarkEnd w:id="366"/>
    </w:p>
    <w:p w14:paraId="1F1D841F">
      <w:pPr>
        <w:keepNext w:val="0"/>
        <w:keepLines w:val="0"/>
        <w:pageBreakBefore w:val="0"/>
        <w:widowControl/>
        <w:kinsoku/>
        <w:wordWrap/>
        <w:overflowPunct/>
        <w:topLinePunct w:val="0"/>
        <w:autoSpaceDE/>
        <w:autoSpaceDN/>
        <w:bidi w:val="0"/>
        <w:adjustRightInd w:val="0"/>
        <w:snapToGrid w:val="0"/>
        <w:spacing w:after="200" w:line="288" w:lineRule="auto"/>
        <w:jc w:val="center"/>
        <w:textAlignment w:val="auto"/>
        <w:outlineLvl w:val="2"/>
        <w:rPr>
          <w:rFonts w:hint="eastAsia" w:ascii="宋体" w:hAnsi="宋体" w:eastAsia="宋体" w:cs="宋体"/>
          <w:b/>
          <w:bCs/>
          <w:sz w:val="24"/>
          <w:szCs w:val="24"/>
        </w:rPr>
      </w:pPr>
      <w:r>
        <w:rPr>
          <w:rFonts w:hint="eastAsia" w:ascii="宋体" w:hAnsi="宋体" w:eastAsia="宋体" w:cs="宋体"/>
          <w:b/>
          <w:bCs/>
          <w:sz w:val="24"/>
          <w:szCs w:val="24"/>
        </w:rPr>
        <w:t>（一）磋商函</w:t>
      </w:r>
    </w:p>
    <w:p w14:paraId="267FEA89">
      <w:pPr>
        <w:keepNext w:val="0"/>
        <w:keepLines w:val="0"/>
        <w:pageBreakBefore w:val="0"/>
        <w:kinsoku/>
        <w:overflowPunct/>
        <w:topLinePunct w:val="0"/>
        <w:autoSpaceDE/>
        <w:autoSpaceDN/>
        <w:bidi w:val="0"/>
        <w:spacing w:line="288" w:lineRule="auto"/>
        <w:textAlignment w:val="auto"/>
        <w:rPr>
          <w:rFonts w:hint="eastAsia" w:ascii="宋体" w:hAnsi="宋体" w:eastAsia="宋体" w:cs="宋体"/>
          <w:sz w:val="24"/>
        </w:rPr>
      </w:pPr>
      <w:r>
        <w:rPr>
          <w:rFonts w:hint="eastAsia" w:ascii="宋体" w:hAnsi="宋体" w:eastAsia="宋体" w:cs="宋体"/>
          <w:sz w:val="24"/>
        </w:rPr>
        <w:t>致：</w:t>
      </w:r>
      <w:r>
        <w:rPr>
          <w:rFonts w:hint="eastAsia" w:ascii="宋体" w:hAnsi="宋体" w:eastAsia="宋体" w:cs="宋体"/>
          <w:kern w:val="2"/>
          <w:sz w:val="24"/>
          <w:szCs w:val="22"/>
          <w:highlight w:val="none"/>
          <w:u w:val="single"/>
          <w:lang w:val="en-US" w:eastAsia="zh-CN" w:bidi="ar"/>
        </w:rPr>
        <w:t xml:space="preserve">                  </w:t>
      </w:r>
      <w:r>
        <w:rPr>
          <w:rFonts w:hint="eastAsia" w:ascii="宋体" w:hAnsi="宋体" w:eastAsia="宋体" w:cs="宋体"/>
          <w:sz w:val="24"/>
          <w:u w:val="single"/>
        </w:rPr>
        <w:t>（采购人）</w:t>
      </w:r>
    </w:p>
    <w:p w14:paraId="3EA0D902">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left"/>
        <w:textAlignment w:val="auto"/>
        <w:rPr>
          <w:rFonts w:hint="eastAsia" w:ascii="宋体" w:hAnsi="宋体" w:eastAsia="宋体" w:cs="宋体"/>
          <w:sz w:val="24"/>
          <w:u w:val="single"/>
        </w:rPr>
      </w:pPr>
      <w:r>
        <w:rPr>
          <w:rFonts w:hint="eastAsia" w:ascii="宋体" w:hAnsi="宋体" w:eastAsia="宋体" w:cs="宋体"/>
          <w:sz w:val="24"/>
        </w:rPr>
        <w:t>1．根据已收到的</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（项目名称）</w:t>
      </w:r>
      <w:r>
        <w:rPr>
          <w:rFonts w:hint="eastAsia" w:ascii="宋体" w:hAnsi="宋体" w:eastAsia="宋体" w:cs="宋体"/>
          <w:sz w:val="24"/>
        </w:rPr>
        <w:t>的竞争性磋商文件，遵照《中华人民共和国政府采购法》等有关规定，经考察和认真研究本项目竞争性磋商文件及其它有关文件后，我方愿意遵守竞争性磋商文件中的各项规定，严格按照“</w:t>
      </w:r>
      <w:r>
        <w:rPr>
          <w:rFonts w:hint="eastAsia" w:ascii="宋体" w:hAnsi="宋体" w:eastAsia="宋体" w:cs="宋体"/>
          <w:sz w:val="24"/>
          <w:lang w:eastAsia="zh-CN"/>
        </w:rPr>
        <w:t>技术部分</w:t>
      </w:r>
      <w:r>
        <w:rPr>
          <w:rFonts w:hint="eastAsia" w:ascii="宋体" w:hAnsi="宋体" w:eastAsia="宋体" w:cs="宋体"/>
          <w:sz w:val="24"/>
        </w:rPr>
        <w:t>准和要求”进行施工，完成合同全部工程，报价为：</w:t>
      </w:r>
      <w:r>
        <w:rPr>
          <w:rFonts w:hint="eastAsia" w:ascii="宋体" w:hAnsi="宋体" w:eastAsia="宋体" w:cs="宋体"/>
          <w:kern w:val="2"/>
          <w:sz w:val="24"/>
          <w:szCs w:val="24"/>
          <w:highlight w:val="none"/>
          <w:lang w:val="en-US" w:eastAsia="zh-CN" w:bidi="ar"/>
        </w:rPr>
        <w:t>人民币（大写）</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（小写：</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元）</w:t>
      </w:r>
      <w:r>
        <w:rPr>
          <w:rFonts w:hint="eastAsia" w:ascii="宋体" w:hAnsi="宋体" w:eastAsia="宋体" w:cs="宋体"/>
          <w:sz w:val="24"/>
        </w:rPr>
        <w:t>；工期：</w:t>
      </w:r>
      <w:r>
        <w:rPr>
          <w:rFonts w:hint="eastAsia" w:ascii="宋体" w:hAnsi="宋体" w:eastAsia="宋体" w:cs="宋体"/>
          <w:sz w:val="24"/>
          <w:u w:val="single"/>
        </w:rPr>
        <w:t xml:space="preserve">       </w:t>
      </w:r>
      <w:r>
        <w:rPr>
          <w:rFonts w:hint="eastAsia" w:ascii="宋体" w:hAnsi="宋体" w:eastAsia="宋体" w:cs="宋体"/>
          <w:sz w:val="24"/>
        </w:rPr>
        <w:t>日历天，质量要求：</w:t>
      </w:r>
      <w:r>
        <w:rPr>
          <w:rFonts w:hint="eastAsia" w:ascii="宋体" w:hAnsi="宋体" w:eastAsia="宋体" w:cs="宋体"/>
          <w:sz w:val="24"/>
          <w:u w:val="single"/>
        </w:rPr>
        <w:t xml:space="preserve">           </w:t>
      </w:r>
      <w:r>
        <w:rPr>
          <w:rFonts w:hint="eastAsia" w:ascii="宋体" w:hAnsi="宋体" w:eastAsia="宋体" w:cs="宋体"/>
          <w:sz w:val="24"/>
        </w:rPr>
        <w:t>，</w:t>
      </w:r>
      <w:r>
        <w:rPr>
          <w:rFonts w:hint="eastAsia" w:ascii="宋体" w:hAnsi="宋体" w:eastAsia="宋体" w:cs="宋体"/>
          <w:sz w:val="24"/>
          <w:lang w:val="en-US" w:eastAsia="zh-CN"/>
        </w:rPr>
        <w:t>缺陷责任期：</w:t>
      </w:r>
      <w:r>
        <w:rPr>
          <w:rFonts w:hint="eastAsia" w:ascii="宋体" w:hAnsi="宋体" w:eastAsia="宋体" w:cs="宋体"/>
          <w:sz w:val="24"/>
          <w:u w:val="single"/>
          <w:lang w:val="en-US" w:eastAsia="zh-CN"/>
        </w:rPr>
        <w:t xml:space="preserve">          </w:t>
      </w:r>
      <w:r>
        <w:rPr>
          <w:rFonts w:hint="eastAsia" w:ascii="宋体" w:hAnsi="宋体" w:eastAsia="宋体" w:cs="宋体"/>
          <w:sz w:val="24"/>
        </w:rPr>
        <w:t>并承担其任何质量缺陷等问题所造成的全部损失。</w:t>
      </w:r>
    </w:p>
    <w:p w14:paraId="190F50FC">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rPr>
      </w:pPr>
      <w:r>
        <w:rPr>
          <w:rFonts w:hint="eastAsia" w:ascii="宋体" w:hAnsi="宋体" w:eastAsia="宋体" w:cs="宋体"/>
          <w:sz w:val="24"/>
        </w:rPr>
        <w:t>2．我方已详细检查全部竞争性磋商文件包括澄清文件、补充通知（如有的话）及有关附件，并完全理解我方必须放弃提出含糊不清或误解的权力。</w:t>
      </w:r>
    </w:p>
    <w:p w14:paraId="0B8D1B32">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rPr>
      </w:pPr>
      <w:r>
        <w:rPr>
          <w:rFonts w:hint="eastAsia" w:ascii="宋体" w:hAnsi="宋体" w:eastAsia="宋体" w:cs="宋体"/>
          <w:sz w:val="24"/>
        </w:rPr>
        <w:t>3．我方在此承诺，我方若能成交，保证在我方投报工期内，全面履行竞争性磋商文件中规定的职责和义务。</w:t>
      </w:r>
    </w:p>
    <w:p w14:paraId="32DA58A3">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rPr>
      </w:pPr>
      <w:r>
        <w:rPr>
          <w:rFonts w:hint="eastAsia" w:ascii="宋体" w:hAnsi="宋体" w:eastAsia="宋体" w:cs="宋体"/>
          <w:sz w:val="24"/>
        </w:rPr>
        <w:t>4．如果我方中标，我方保证按合同条款中规定的内容执行；我方保证质量</w:t>
      </w:r>
      <w:r>
        <w:rPr>
          <w:rFonts w:hint="eastAsia" w:ascii="宋体" w:hAnsi="宋体" w:eastAsia="宋体" w:cs="宋体"/>
          <w:sz w:val="24"/>
          <w:lang w:eastAsia="zh-CN"/>
        </w:rPr>
        <w:t>达到国家现行工程施工质量验收规范合格标准</w:t>
      </w:r>
      <w:r>
        <w:rPr>
          <w:rFonts w:hint="eastAsia" w:ascii="宋体" w:hAnsi="宋体" w:eastAsia="宋体" w:cs="宋体"/>
          <w:sz w:val="24"/>
        </w:rPr>
        <w:t>，并按竞争性磋商文件和有关规定提交一切资料。</w:t>
      </w:r>
    </w:p>
    <w:p w14:paraId="050EEDE4">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rPr>
      </w:pPr>
      <w:r>
        <w:rPr>
          <w:rFonts w:hint="eastAsia" w:ascii="宋体" w:hAnsi="宋体" w:eastAsia="宋体" w:cs="宋体"/>
          <w:sz w:val="24"/>
        </w:rPr>
        <w:t>5．我方同意从磋商响应文件递交截止日后60日历天的磋商有效期内，我方将严格遵守磋商响应文件的承诺，本磋商响应文件对我方具有约束力，并可随时被接受中标。</w:t>
      </w:r>
    </w:p>
    <w:p w14:paraId="62240F6E">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rPr>
      </w:pPr>
      <w:r>
        <w:rPr>
          <w:rFonts w:hint="eastAsia" w:ascii="宋体" w:hAnsi="宋体" w:eastAsia="宋体" w:cs="宋体"/>
          <w:sz w:val="24"/>
        </w:rPr>
        <w:t>6．除磋商响应文件所提交的资料外，我方同意随时接受贵方的检查、询问，并根据评标需要补充贵方要求提交的资料。</w:t>
      </w:r>
    </w:p>
    <w:p w14:paraId="4A332AEC">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rPr>
      </w:pPr>
      <w:r>
        <w:rPr>
          <w:rFonts w:hint="eastAsia" w:ascii="宋体" w:hAnsi="宋体" w:eastAsia="宋体" w:cs="宋体"/>
          <w:sz w:val="24"/>
        </w:rPr>
        <w:t>7．如果我方成交后，我方没有任何正当理由而拒签合同，同时我方愿意补偿该项工作因我方延误所造成的经济损失。</w:t>
      </w:r>
    </w:p>
    <w:p w14:paraId="5458BCDB">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rPr>
      </w:pPr>
      <w:r>
        <w:rPr>
          <w:rFonts w:hint="eastAsia" w:ascii="宋体" w:hAnsi="宋体" w:eastAsia="宋体" w:cs="宋体"/>
          <w:sz w:val="24"/>
        </w:rPr>
        <w:t>8．我方愿接受合同条款中规定的合同价款计算和调整方式。</w:t>
      </w:r>
    </w:p>
    <w:p w14:paraId="1B1BF846">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rPr>
      </w:pPr>
      <w:r>
        <w:rPr>
          <w:rFonts w:hint="eastAsia" w:ascii="宋体" w:hAnsi="宋体" w:eastAsia="宋体" w:cs="宋体"/>
          <w:sz w:val="24"/>
        </w:rPr>
        <w:t>9．</w:t>
      </w:r>
      <w:bookmarkStart w:id="398" w:name="_GoBack"/>
      <w:bookmarkEnd w:id="398"/>
      <w:r>
        <w:rPr>
          <w:rFonts w:hint="eastAsia" w:ascii="宋体" w:hAnsi="宋体" w:eastAsia="宋体" w:cs="宋体"/>
          <w:sz w:val="24"/>
        </w:rPr>
        <w:t>除非另外达成协议并生效，贵方的成交通知书和本磋商响应文件将成为约束我方的合同文件组成部分。</w:t>
      </w:r>
    </w:p>
    <w:p w14:paraId="6A2E54D1">
      <w:pPr>
        <w:keepNext w:val="0"/>
        <w:keepLines w:val="0"/>
        <w:pageBreakBefore w:val="0"/>
        <w:kinsoku/>
        <w:overflowPunct/>
        <w:topLinePunct w:val="0"/>
        <w:autoSpaceDE/>
        <w:autoSpaceDN/>
        <w:bidi w:val="0"/>
        <w:spacing w:line="288" w:lineRule="auto"/>
        <w:ind w:firstLine="420" w:firstLineChars="175"/>
        <w:jc w:val="right"/>
        <w:textAlignment w:val="auto"/>
        <w:rPr>
          <w:rFonts w:hint="eastAsia" w:ascii="宋体" w:hAnsi="宋体" w:eastAsia="宋体" w:cs="宋体"/>
          <w:sz w:val="24"/>
        </w:rPr>
      </w:pPr>
    </w:p>
    <w:p w14:paraId="0A919F30">
      <w:pPr>
        <w:keepNext w:val="0"/>
        <w:keepLines w:val="0"/>
        <w:pageBreakBefore w:val="0"/>
        <w:kinsoku/>
        <w:wordWrap w:val="0"/>
        <w:overflowPunct/>
        <w:topLinePunct w:val="0"/>
        <w:autoSpaceDE/>
        <w:autoSpaceDN/>
        <w:bidi w:val="0"/>
        <w:spacing w:line="360" w:lineRule="auto"/>
        <w:ind w:firstLine="420" w:firstLineChars="175"/>
        <w:jc w:val="both"/>
        <w:textAlignment w:val="auto"/>
        <w:rPr>
          <w:rFonts w:hint="eastAsia" w:ascii="宋体" w:hAnsi="宋体" w:eastAsia="宋体" w:cs="宋体"/>
          <w:sz w:val="24"/>
        </w:rPr>
      </w:pPr>
      <w:r>
        <w:rPr>
          <w:rFonts w:hint="eastAsia" w:ascii="宋体" w:hAnsi="宋体" w:eastAsia="宋体" w:cs="宋体"/>
          <w:sz w:val="24"/>
        </w:rPr>
        <w:t>供应商名称：</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r>
        <w:rPr>
          <w:rFonts w:hint="eastAsia" w:ascii="宋体" w:hAnsi="宋体" w:eastAsia="宋体" w:cs="宋体"/>
          <w:sz w:val="24"/>
        </w:rPr>
        <w:t>（盖单位章）</w:t>
      </w:r>
    </w:p>
    <w:p w14:paraId="1B22D84F">
      <w:pPr>
        <w:keepNext w:val="0"/>
        <w:keepLines w:val="0"/>
        <w:pageBreakBefore w:val="0"/>
        <w:kinsoku/>
        <w:wordWrap w:val="0"/>
        <w:overflowPunct/>
        <w:topLinePunct w:val="0"/>
        <w:autoSpaceDE/>
        <w:autoSpaceDN/>
        <w:bidi w:val="0"/>
        <w:spacing w:line="360" w:lineRule="auto"/>
        <w:ind w:firstLine="420" w:firstLineChars="175"/>
        <w:jc w:val="both"/>
        <w:textAlignment w:val="auto"/>
        <w:rPr>
          <w:rFonts w:hint="eastAsia" w:ascii="宋体" w:hAnsi="宋体" w:eastAsia="宋体" w:cs="宋体"/>
          <w:sz w:val="24"/>
          <w:u w:val="single"/>
        </w:rPr>
      </w:pPr>
      <w:r>
        <w:rPr>
          <w:rFonts w:hint="eastAsia" w:ascii="宋体" w:hAnsi="宋体" w:eastAsia="宋体" w:cs="宋体"/>
          <w:sz w:val="24"/>
        </w:rPr>
        <w:t>法定代表人：</w:t>
      </w:r>
      <w:r>
        <w:rPr>
          <w:rFonts w:hint="eastAsia" w:ascii="宋体" w:hAnsi="宋体" w:eastAsia="宋体" w:cs="宋体"/>
          <w:sz w:val="24"/>
          <w:u w:val="single"/>
        </w:rPr>
        <w:t xml:space="preserve">                   </w:t>
      </w:r>
      <w:r>
        <w:rPr>
          <w:rFonts w:hint="eastAsia" w:ascii="宋体" w:hAnsi="宋体" w:eastAsia="宋体" w:cs="宋体"/>
          <w:sz w:val="24"/>
        </w:rPr>
        <w:t>（电子签章）</w:t>
      </w:r>
    </w:p>
    <w:p w14:paraId="42213A2D">
      <w:pPr>
        <w:keepNext w:val="0"/>
        <w:keepLines w:val="0"/>
        <w:pageBreakBefore w:val="0"/>
        <w:widowControl/>
        <w:kinsoku/>
        <w:wordWrap w:val="0"/>
        <w:overflowPunct/>
        <w:topLinePunct w:val="0"/>
        <w:autoSpaceDE/>
        <w:autoSpaceDN/>
        <w:bidi w:val="0"/>
        <w:adjustRightInd w:val="0"/>
        <w:snapToGrid w:val="0"/>
        <w:spacing w:line="360" w:lineRule="auto"/>
        <w:ind w:firstLine="420" w:firstLineChars="175"/>
        <w:jc w:val="both"/>
        <w:textAlignment w:val="auto"/>
        <w:rPr>
          <w:rFonts w:hint="eastAsia" w:ascii="宋体" w:hAnsi="宋体" w:eastAsia="宋体" w:cs="宋体"/>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rPr>
        <w:t>日</w:t>
      </w:r>
    </w:p>
    <w:p w14:paraId="2A18274E">
      <w:pPr>
        <w:keepNext w:val="0"/>
        <w:keepLines w:val="0"/>
        <w:pageBreakBefore w:val="0"/>
        <w:kinsoku/>
        <w:overflowPunct/>
        <w:topLinePunct w:val="0"/>
        <w:autoSpaceDE/>
        <w:autoSpaceDN/>
        <w:bidi w:val="0"/>
        <w:spacing w:line="288" w:lineRule="auto"/>
        <w:textAlignment w:val="auto"/>
        <w:rPr>
          <w:rFonts w:hint="eastAsia" w:ascii="宋体" w:hAnsi="宋体" w:eastAsia="宋体" w:cs="宋体"/>
        </w:rPr>
      </w:pPr>
    </w:p>
    <w:p w14:paraId="146DC9FD">
      <w:pPr>
        <w:keepNext w:val="0"/>
        <w:keepLines w:val="0"/>
        <w:pageBreakBefore w:val="0"/>
        <w:widowControl/>
        <w:kinsoku/>
        <w:overflowPunct/>
        <w:topLinePunct w:val="0"/>
        <w:autoSpaceDE/>
        <w:autoSpaceDN/>
        <w:bidi w:val="0"/>
        <w:adjustRightInd w:val="0"/>
        <w:snapToGrid w:val="0"/>
        <w:spacing w:line="288" w:lineRule="auto"/>
        <w:jc w:val="left"/>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注：对本磋商函的任何修改将被视为非实质性响应磋商，从而导致该磋商被拒绝。</w:t>
      </w:r>
    </w:p>
    <w:p w14:paraId="325B9DE2">
      <w:pPr>
        <w:keepNext w:val="0"/>
        <w:keepLines w:val="0"/>
        <w:pageBreakBefore w:val="0"/>
        <w:widowControl/>
        <w:kinsoku/>
        <w:wordWrap/>
        <w:overflowPunct/>
        <w:topLinePunct w:val="0"/>
        <w:autoSpaceDE/>
        <w:autoSpaceDN/>
        <w:bidi w:val="0"/>
        <w:adjustRightInd/>
        <w:snapToGrid/>
        <w:spacing w:after="200" w:line="360" w:lineRule="auto"/>
        <w:jc w:val="center"/>
        <w:textAlignment w:val="auto"/>
        <w:outlineLvl w:val="2"/>
        <w:rPr>
          <w:rFonts w:hint="eastAsia" w:ascii="宋体" w:hAnsi="宋体" w:eastAsia="宋体" w:cs="宋体"/>
          <w:b/>
          <w:bCs/>
          <w:color w:val="000000"/>
          <w:kern w:val="0"/>
          <w:sz w:val="24"/>
          <w:szCs w:val="24"/>
          <w:lang w:bidi="en-US"/>
        </w:rPr>
      </w:pPr>
      <w:r>
        <w:rPr>
          <w:rFonts w:hint="eastAsia" w:ascii="宋体" w:hAnsi="宋体" w:eastAsia="宋体" w:cs="宋体"/>
          <w:b/>
          <w:bCs/>
          <w:color w:val="000000"/>
          <w:kern w:val="0"/>
          <w:sz w:val="28"/>
          <w:szCs w:val="28"/>
        </w:rPr>
        <w:br w:type="page"/>
      </w:r>
      <w:bookmarkStart w:id="367" w:name="_Toc246996358"/>
      <w:bookmarkStart w:id="368" w:name="_Toc179632810"/>
      <w:bookmarkStart w:id="369" w:name="_Toc152045790"/>
      <w:bookmarkStart w:id="370" w:name="_Toc246997101"/>
      <w:bookmarkStart w:id="371" w:name="_Toc152042579"/>
      <w:bookmarkStart w:id="372" w:name="_Toc144974859"/>
      <w:bookmarkStart w:id="373" w:name="_Toc27200"/>
      <w:bookmarkStart w:id="374" w:name="_Toc394651923"/>
      <w:bookmarkStart w:id="375" w:name="_Toc247085876"/>
      <w:r>
        <w:rPr>
          <w:rFonts w:hint="eastAsia" w:ascii="宋体" w:hAnsi="宋体" w:eastAsia="宋体" w:cs="宋体"/>
          <w:b/>
          <w:bCs/>
          <w:color w:val="000000"/>
          <w:kern w:val="0"/>
          <w:sz w:val="24"/>
          <w:szCs w:val="24"/>
          <w:lang w:bidi="en-US"/>
        </w:rPr>
        <w:t>（二）</w:t>
      </w:r>
      <w:bookmarkEnd w:id="367"/>
      <w:bookmarkEnd w:id="368"/>
      <w:bookmarkEnd w:id="369"/>
      <w:bookmarkEnd w:id="370"/>
      <w:bookmarkEnd w:id="371"/>
      <w:bookmarkEnd w:id="372"/>
      <w:bookmarkEnd w:id="373"/>
      <w:bookmarkEnd w:id="374"/>
      <w:bookmarkEnd w:id="375"/>
      <w:r>
        <w:rPr>
          <w:rFonts w:hint="eastAsia" w:ascii="宋体" w:hAnsi="宋体" w:eastAsia="宋体" w:cs="宋体"/>
          <w:b/>
          <w:bCs/>
          <w:color w:val="000000"/>
          <w:kern w:val="0"/>
          <w:sz w:val="24"/>
          <w:szCs w:val="24"/>
          <w:lang w:bidi="en-US"/>
        </w:rPr>
        <w:t>磋商函附表</w:t>
      </w:r>
    </w:p>
    <w:tbl>
      <w:tblPr>
        <w:tblStyle w:val="17"/>
        <w:tblW w:w="499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3"/>
        <w:gridCol w:w="1700"/>
        <w:gridCol w:w="899"/>
        <w:gridCol w:w="1184"/>
        <w:gridCol w:w="1224"/>
        <w:gridCol w:w="2047"/>
      </w:tblGrid>
      <w:tr w14:paraId="23550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854" w:type="pct"/>
            <w:vAlign w:val="center"/>
          </w:tcPr>
          <w:p w14:paraId="7FAABC4C">
            <w:pPr>
              <w:pageBreakBefore w:val="0"/>
              <w:suppressAutoHyphens/>
              <w:kinsoku/>
              <w:overflowPunct/>
              <w:bidi w:val="0"/>
              <w:adjustRightInd w:val="0"/>
              <w:snapToGrid w:val="0"/>
              <w:spacing w:line="360" w:lineRule="auto"/>
              <w:jc w:val="center"/>
              <w:rPr>
                <w:rFonts w:hint="eastAsia" w:ascii="宋体" w:hAnsi="宋体" w:eastAsia="宋体" w:cs="宋体"/>
                <w:color w:val="000000"/>
                <w:kern w:val="1"/>
                <w:sz w:val="24"/>
                <w:szCs w:val="24"/>
              </w:rPr>
            </w:pPr>
            <w:r>
              <w:rPr>
                <w:rFonts w:hint="eastAsia" w:ascii="宋体" w:hAnsi="宋体" w:eastAsia="宋体" w:cs="宋体"/>
                <w:color w:val="000000"/>
                <w:kern w:val="1"/>
                <w:sz w:val="24"/>
                <w:szCs w:val="24"/>
              </w:rPr>
              <w:t>项目名称</w:t>
            </w:r>
          </w:p>
        </w:tc>
        <w:tc>
          <w:tcPr>
            <w:tcW w:w="4145" w:type="pct"/>
            <w:gridSpan w:val="5"/>
            <w:vAlign w:val="center"/>
          </w:tcPr>
          <w:p w14:paraId="2FB757A3">
            <w:pPr>
              <w:pageBreakBefore w:val="0"/>
              <w:widowControl/>
              <w:kinsoku/>
              <w:overflowPunct/>
              <w:bidi w:val="0"/>
              <w:spacing w:after="200" w:line="360" w:lineRule="auto"/>
              <w:jc w:val="center"/>
              <w:rPr>
                <w:rFonts w:hint="eastAsia" w:ascii="宋体" w:hAnsi="宋体" w:eastAsia="宋体" w:cs="宋体"/>
                <w:b/>
                <w:color w:val="000000"/>
                <w:kern w:val="1"/>
                <w:sz w:val="24"/>
                <w:szCs w:val="24"/>
              </w:rPr>
            </w:pPr>
          </w:p>
        </w:tc>
      </w:tr>
      <w:tr w14:paraId="363FB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854" w:type="pct"/>
            <w:vAlign w:val="center"/>
          </w:tcPr>
          <w:p w14:paraId="7CE7F013">
            <w:pPr>
              <w:pageBreakBefore w:val="0"/>
              <w:suppressAutoHyphens/>
              <w:kinsoku/>
              <w:overflowPunct/>
              <w:bidi w:val="0"/>
              <w:adjustRightInd w:val="0"/>
              <w:snapToGrid w:val="0"/>
              <w:spacing w:line="360" w:lineRule="auto"/>
              <w:jc w:val="center"/>
              <w:rPr>
                <w:rFonts w:hint="eastAsia" w:ascii="宋体" w:hAnsi="宋体" w:eastAsia="宋体" w:cs="宋体"/>
                <w:color w:val="000000"/>
                <w:kern w:val="1"/>
                <w:sz w:val="24"/>
                <w:szCs w:val="24"/>
              </w:rPr>
            </w:pPr>
            <w:r>
              <w:rPr>
                <w:rFonts w:hint="eastAsia" w:ascii="宋体" w:hAnsi="宋体" w:eastAsia="宋体" w:cs="宋体"/>
                <w:color w:val="000000"/>
                <w:kern w:val="1"/>
                <w:sz w:val="24"/>
                <w:szCs w:val="24"/>
              </w:rPr>
              <w:t>供应商名称</w:t>
            </w:r>
          </w:p>
        </w:tc>
        <w:tc>
          <w:tcPr>
            <w:tcW w:w="4145" w:type="pct"/>
            <w:gridSpan w:val="5"/>
            <w:vAlign w:val="center"/>
          </w:tcPr>
          <w:p w14:paraId="3AE30F19">
            <w:pPr>
              <w:pageBreakBefore w:val="0"/>
              <w:widowControl/>
              <w:kinsoku/>
              <w:overflowPunct/>
              <w:bidi w:val="0"/>
              <w:spacing w:after="200" w:line="360" w:lineRule="auto"/>
              <w:jc w:val="center"/>
              <w:rPr>
                <w:rFonts w:hint="eastAsia" w:ascii="宋体" w:hAnsi="宋体" w:eastAsia="宋体" w:cs="宋体"/>
                <w:b/>
                <w:color w:val="000000"/>
                <w:kern w:val="1"/>
                <w:sz w:val="24"/>
                <w:szCs w:val="24"/>
              </w:rPr>
            </w:pPr>
          </w:p>
        </w:tc>
      </w:tr>
      <w:tr w14:paraId="7365C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854" w:type="pct"/>
            <w:vAlign w:val="center"/>
          </w:tcPr>
          <w:p w14:paraId="2817A9A1">
            <w:pPr>
              <w:pageBreakBefore w:val="0"/>
              <w:suppressAutoHyphens/>
              <w:kinsoku/>
              <w:overflowPunct/>
              <w:bidi w:val="0"/>
              <w:adjustRightInd w:val="0"/>
              <w:snapToGrid w:val="0"/>
              <w:spacing w:line="360" w:lineRule="auto"/>
              <w:jc w:val="center"/>
              <w:rPr>
                <w:rFonts w:hint="eastAsia" w:ascii="宋体" w:hAnsi="宋体" w:eastAsia="宋体" w:cs="宋体"/>
                <w:color w:val="000000"/>
                <w:kern w:val="1"/>
                <w:sz w:val="24"/>
                <w:szCs w:val="24"/>
              </w:rPr>
            </w:pPr>
            <w:r>
              <w:rPr>
                <w:rFonts w:hint="eastAsia" w:ascii="宋体" w:hAnsi="宋体" w:eastAsia="宋体" w:cs="宋体"/>
                <w:color w:val="000000"/>
                <w:kern w:val="1"/>
                <w:sz w:val="24"/>
                <w:szCs w:val="24"/>
              </w:rPr>
              <w:t>项目经理</w:t>
            </w:r>
          </w:p>
        </w:tc>
        <w:tc>
          <w:tcPr>
            <w:tcW w:w="999" w:type="pct"/>
            <w:vAlign w:val="center"/>
          </w:tcPr>
          <w:p w14:paraId="380EB491">
            <w:pPr>
              <w:pageBreakBefore w:val="0"/>
              <w:suppressAutoHyphens/>
              <w:kinsoku/>
              <w:overflowPunct/>
              <w:bidi w:val="0"/>
              <w:adjustRightInd w:val="0"/>
              <w:snapToGrid w:val="0"/>
              <w:spacing w:line="360" w:lineRule="auto"/>
              <w:jc w:val="center"/>
              <w:rPr>
                <w:rFonts w:hint="eastAsia" w:ascii="宋体" w:hAnsi="宋体" w:eastAsia="宋体" w:cs="宋体"/>
                <w:color w:val="000000"/>
                <w:kern w:val="1"/>
                <w:sz w:val="24"/>
                <w:szCs w:val="24"/>
              </w:rPr>
            </w:pPr>
          </w:p>
        </w:tc>
        <w:tc>
          <w:tcPr>
            <w:tcW w:w="528" w:type="pct"/>
            <w:vAlign w:val="center"/>
          </w:tcPr>
          <w:p w14:paraId="245605BD">
            <w:pPr>
              <w:pageBreakBefore w:val="0"/>
              <w:suppressAutoHyphens/>
              <w:kinsoku/>
              <w:overflowPunct/>
              <w:bidi w:val="0"/>
              <w:adjustRightInd w:val="0"/>
              <w:snapToGrid w:val="0"/>
              <w:spacing w:line="360" w:lineRule="auto"/>
              <w:jc w:val="center"/>
              <w:rPr>
                <w:rFonts w:hint="eastAsia" w:ascii="宋体" w:hAnsi="宋体" w:eastAsia="宋体" w:cs="宋体"/>
                <w:color w:val="000000"/>
                <w:kern w:val="1"/>
                <w:sz w:val="24"/>
                <w:szCs w:val="24"/>
              </w:rPr>
            </w:pPr>
            <w:r>
              <w:rPr>
                <w:rFonts w:hint="eastAsia" w:ascii="宋体" w:hAnsi="宋体" w:eastAsia="宋体" w:cs="宋体"/>
                <w:color w:val="000000"/>
                <w:kern w:val="1"/>
                <w:sz w:val="24"/>
                <w:szCs w:val="24"/>
              </w:rPr>
              <w:t>级别</w:t>
            </w:r>
          </w:p>
        </w:tc>
        <w:tc>
          <w:tcPr>
            <w:tcW w:w="695" w:type="pct"/>
            <w:vAlign w:val="center"/>
          </w:tcPr>
          <w:p w14:paraId="501E0453">
            <w:pPr>
              <w:pageBreakBefore w:val="0"/>
              <w:suppressAutoHyphens/>
              <w:kinsoku/>
              <w:overflowPunct/>
              <w:bidi w:val="0"/>
              <w:adjustRightInd w:val="0"/>
              <w:snapToGrid w:val="0"/>
              <w:spacing w:line="360" w:lineRule="auto"/>
              <w:jc w:val="center"/>
              <w:rPr>
                <w:rFonts w:hint="eastAsia" w:ascii="宋体" w:hAnsi="宋体" w:eastAsia="宋体" w:cs="宋体"/>
                <w:color w:val="000000"/>
                <w:kern w:val="1"/>
                <w:sz w:val="24"/>
                <w:szCs w:val="24"/>
              </w:rPr>
            </w:pPr>
          </w:p>
        </w:tc>
        <w:tc>
          <w:tcPr>
            <w:tcW w:w="719" w:type="pct"/>
            <w:vAlign w:val="center"/>
          </w:tcPr>
          <w:p w14:paraId="3B2912FD">
            <w:pPr>
              <w:pageBreakBefore w:val="0"/>
              <w:suppressAutoHyphens/>
              <w:kinsoku/>
              <w:overflowPunct/>
              <w:bidi w:val="0"/>
              <w:adjustRightInd w:val="0"/>
              <w:snapToGrid w:val="0"/>
              <w:spacing w:line="360" w:lineRule="auto"/>
              <w:jc w:val="center"/>
              <w:rPr>
                <w:rFonts w:hint="eastAsia" w:ascii="宋体" w:hAnsi="宋体" w:eastAsia="宋体" w:cs="宋体"/>
                <w:color w:val="000000"/>
                <w:kern w:val="1"/>
                <w:sz w:val="24"/>
                <w:szCs w:val="24"/>
              </w:rPr>
            </w:pPr>
            <w:r>
              <w:rPr>
                <w:rFonts w:hint="eastAsia" w:ascii="宋体" w:hAnsi="宋体" w:eastAsia="宋体" w:cs="宋体"/>
                <w:color w:val="000000"/>
                <w:kern w:val="1"/>
                <w:sz w:val="24"/>
                <w:szCs w:val="24"/>
              </w:rPr>
              <w:t>证书编号</w:t>
            </w:r>
          </w:p>
        </w:tc>
        <w:tc>
          <w:tcPr>
            <w:tcW w:w="1202" w:type="pct"/>
            <w:vAlign w:val="center"/>
          </w:tcPr>
          <w:p w14:paraId="1AB8BAA1">
            <w:pPr>
              <w:pageBreakBefore w:val="0"/>
              <w:widowControl/>
              <w:kinsoku/>
              <w:overflowPunct/>
              <w:bidi w:val="0"/>
              <w:spacing w:after="200" w:line="360" w:lineRule="auto"/>
              <w:jc w:val="center"/>
              <w:rPr>
                <w:rFonts w:hint="eastAsia" w:ascii="宋体" w:hAnsi="宋体" w:eastAsia="宋体" w:cs="宋体"/>
                <w:b/>
                <w:color w:val="000000"/>
                <w:kern w:val="1"/>
                <w:sz w:val="24"/>
                <w:szCs w:val="24"/>
              </w:rPr>
            </w:pPr>
          </w:p>
        </w:tc>
      </w:tr>
      <w:tr w14:paraId="10414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854" w:type="pct"/>
            <w:vAlign w:val="center"/>
          </w:tcPr>
          <w:p w14:paraId="36038905">
            <w:pPr>
              <w:pageBreakBefore w:val="0"/>
              <w:suppressAutoHyphens/>
              <w:kinsoku/>
              <w:overflowPunct/>
              <w:bidi w:val="0"/>
              <w:adjustRightInd w:val="0"/>
              <w:snapToGrid w:val="0"/>
              <w:spacing w:line="360" w:lineRule="auto"/>
              <w:jc w:val="center"/>
              <w:rPr>
                <w:rFonts w:hint="eastAsia" w:ascii="宋体" w:hAnsi="宋体" w:eastAsia="宋体" w:cs="宋体"/>
                <w:color w:val="000000"/>
                <w:kern w:val="1"/>
                <w:sz w:val="24"/>
                <w:szCs w:val="24"/>
              </w:rPr>
            </w:pPr>
            <w:r>
              <w:rPr>
                <w:rFonts w:hint="eastAsia" w:ascii="宋体" w:hAnsi="宋体" w:eastAsia="宋体" w:cs="宋体"/>
                <w:color w:val="000000"/>
                <w:kern w:val="1"/>
                <w:sz w:val="24"/>
                <w:szCs w:val="24"/>
              </w:rPr>
              <w:t>项目联系人</w:t>
            </w:r>
          </w:p>
        </w:tc>
        <w:tc>
          <w:tcPr>
            <w:tcW w:w="2223" w:type="pct"/>
            <w:gridSpan w:val="3"/>
            <w:vAlign w:val="center"/>
          </w:tcPr>
          <w:p w14:paraId="78EBA478">
            <w:pPr>
              <w:pageBreakBefore w:val="0"/>
              <w:widowControl/>
              <w:kinsoku/>
              <w:overflowPunct/>
              <w:bidi w:val="0"/>
              <w:spacing w:after="200" w:line="360" w:lineRule="auto"/>
              <w:jc w:val="center"/>
              <w:rPr>
                <w:rFonts w:hint="eastAsia" w:ascii="宋体" w:hAnsi="宋体" w:eastAsia="宋体" w:cs="宋体"/>
                <w:b/>
                <w:color w:val="000000"/>
                <w:kern w:val="1"/>
                <w:sz w:val="24"/>
                <w:szCs w:val="24"/>
              </w:rPr>
            </w:pPr>
          </w:p>
        </w:tc>
        <w:tc>
          <w:tcPr>
            <w:tcW w:w="719" w:type="pct"/>
            <w:vAlign w:val="center"/>
          </w:tcPr>
          <w:p w14:paraId="4FBC5085">
            <w:pPr>
              <w:pageBreakBefore w:val="0"/>
              <w:suppressAutoHyphens/>
              <w:kinsoku/>
              <w:overflowPunct/>
              <w:bidi w:val="0"/>
              <w:adjustRightInd w:val="0"/>
              <w:snapToGrid w:val="0"/>
              <w:spacing w:line="360" w:lineRule="auto"/>
              <w:jc w:val="center"/>
              <w:rPr>
                <w:rFonts w:hint="eastAsia" w:ascii="宋体" w:hAnsi="宋体" w:eastAsia="宋体" w:cs="宋体"/>
                <w:color w:val="000000"/>
                <w:kern w:val="1"/>
                <w:sz w:val="24"/>
                <w:szCs w:val="24"/>
              </w:rPr>
            </w:pPr>
            <w:r>
              <w:rPr>
                <w:rFonts w:hint="eastAsia" w:ascii="宋体" w:hAnsi="宋体" w:eastAsia="宋体" w:cs="宋体"/>
                <w:color w:val="000000"/>
                <w:kern w:val="1"/>
                <w:sz w:val="24"/>
                <w:szCs w:val="24"/>
              </w:rPr>
              <w:t>联系电话</w:t>
            </w:r>
          </w:p>
        </w:tc>
        <w:tc>
          <w:tcPr>
            <w:tcW w:w="1202" w:type="pct"/>
            <w:vAlign w:val="center"/>
          </w:tcPr>
          <w:p w14:paraId="2AF4C543">
            <w:pPr>
              <w:pageBreakBefore w:val="0"/>
              <w:widowControl/>
              <w:kinsoku/>
              <w:overflowPunct/>
              <w:bidi w:val="0"/>
              <w:spacing w:after="200" w:line="360" w:lineRule="auto"/>
              <w:jc w:val="center"/>
              <w:rPr>
                <w:rFonts w:hint="eastAsia" w:ascii="宋体" w:hAnsi="宋体" w:eastAsia="宋体" w:cs="宋体"/>
                <w:b/>
                <w:color w:val="000000"/>
                <w:kern w:val="1"/>
                <w:sz w:val="24"/>
                <w:szCs w:val="24"/>
              </w:rPr>
            </w:pPr>
          </w:p>
        </w:tc>
      </w:tr>
      <w:tr w14:paraId="7054F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854" w:type="pct"/>
            <w:vAlign w:val="center"/>
          </w:tcPr>
          <w:p w14:paraId="2FDB4FE3">
            <w:pPr>
              <w:pageBreakBefore w:val="0"/>
              <w:suppressAutoHyphens/>
              <w:kinsoku/>
              <w:overflowPunct/>
              <w:bidi w:val="0"/>
              <w:adjustRightInd w:val="0"/>
              <w:snapToGrid w:val="0"/>
              <w:spacing w:line="360" w:lineRule="auto"/>
              <w:jc w:val="center"/>
              <w:rPr>
                <w:rFonts w:hint="eastAsia" w:ascii="宋体" w:hAnsi="宋体" w:eastAsia="宋体" w:cs="宋体"/>
                <w:color w:val="000000"/>
                <w:kern w:val="1"/>
                <w:sz w:val="24"/>
                <w:szCs w:val="24"/>
              </w:rPr>
            </w:pPr>
            <w:r>
              <w:rPr>
                <w:rFonts w:hint="eastAsia" w:ascii="宋体" w:hAnsi="宋体" w:eastAsia="宋体" w:cs="宋体"/>
                <w:color w:val="000000"/>
                <w:kern w:val="1"/>
                <w:sz w:val="24"/>
                <w:szCs w:val="24"/>
              </w:rPr>
              <w:t>磋商总报价</w:t>
            </w:r>
          </w:p>
        </w:tc>
        <w:tc>
          <w:tcPr>
            <w:tcW w:w="4145" w:type="pct"/>
            <w:gridSpan w:val="5"/>
            <w:vAlign w:val="center"/>
          </w:tcPr>
          <w:p w14:paraId="19EE46EC">
            <w:pPr>
              <w:pageBreakBefore w:val="0"/>
              <w:suppressAutoHyphens/>
              <w:kinsoku/>
              <w:overflowPunct/>
              <w:bidi w:val="0"/>
              <w:spacing w:line="360" w:lineRule="auto"/>
              <w:jc w:val="left"/>
              <w:rPr>
                <w:rFonts w:hint="eastAsia" w:ascii="宋体" w:hAnsi="宋体" w:eastAsia="宋体" w:cs="宋体"/>
                <w:color w:val="000000"/>
                <w:kern w:val="1"/>
                <w:sz w:val="24"/>
                <w:szCs w:val="24"/>
              </w:rPr>
            </w:pPr>
            <w:r>
              <w:rPr>
                <w:rFonts w:hint="eastAsia" w:ascii="宋体" w:hAnsi="宋体" w:eastAsia="宋体" w:cs="Times New Roman"/>
                <w:color w:val="auto"/>
                <w:sz w:val="24"/>
                <w:szCs w:val="24"/>
                <w:highlight w:val="none"/>
              </w:rPr>
              <w:t xml:space="preserve">大写：    ；小写：  </w:t>
            </w:r>
            <w:r>
              <w:rPr>
                <w:rFonts w:hint="eastAsia" w:ascii="宋体" w:hAnsi="宋体" w:eastAsia="宋体" w:cs="Times New Roman"/>
                <w:color w:val="auto"/>
                <w:sz w:val="24"/>
                <w:szCs w:val="24"/>
                <w:highlight w:val="none"/>
                <w:lang w:val="en-US" w:eastAsia="zh-CN"/>
              </w:rPr>
              <w:t xml:space="preserve">  </w:t>
            </w:r>
            <w:r>
              <w:rPr>
                <w:rFonts w:hint="eastAsia" w:ascii="宋体" w:hAnsi="宋体" w:eastAsia="宋体" w:cs="Times New Roman"/>
                <w:color w:val="auto"/>
                <w:sz w:val="24"/>
                <w:szCs w:val="24"/>
                <w:highlight w:val="none"/>
              </w:rPr>
              <w:t>元</w:t>
            </w:r>
          </w:p>
        </w:tc>
      </w:tr>
      <w:tr w14:paraId="36DA8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854" w:type="pct"/>
            <w:vAlign w:val="center"/>
          </w:tcPr>
          <w:p w14:paraId="11B9DF7D">
            <w:pPr>
              <w:pageBreakBefore w:val="0"/>
              <w:suppressAutoHyphens/>
              <w:kinsoku/>
              <w:overflowPunct/>
              <w:bidi w:val="0"/>
              <w:adjustRightInd w:val="0"/>
              <w:snapToGrid w:val="0"/>
              <w:spacing w:line="360" w:lineRule="auto"/>
              <w:jc w:val="center"/>
              <w:rPr>
                <w:rFonts w:hint="eastAsia" w:ascii="宋体" w:hAnsi="宋体" w:eastAsia="宋体" w:cs="宋体"/>
                <w:color w:val="000000"/>
                <w:kern w:val="1"/>
                <w:sz w:val="24"/>
                <w:szCs w:val="24"/>
              </w:rPr>
            </w:pPr>
            <w:r>
              <w:rPr>
                <w:rFonts w:hint="eastAsia" w:ascii="宋体" w:hAnsi="宋体" w:eastAsia="宋体" w:cs="宋体"/>
                <w:color w:val="000000"/>
                <w:kern w:val="1"/>
                <w:sz w:val="24"/>
                <w:szCs w:val="24"/>
              </w:rPr>
              <w:t>计划工期</w:t>
            </w:r>
          </w:p>
        </w:tc>
        <w:tc>
          <w:tcPr>
            <w:tcW w:w="4145" w:type="pct"/>
            <w:gridSpan w:val="5"/>
            <w:vAlign w:val="center"/>
          </w:tcPr>
          <w:p w14:paraId="4DED0EA9">
            <w:pPr>
              <w:pageBreakBefore w:val="0"/>
              <w:suppressAutoHyphens/>
              <w:kinsoku/>
              <w:overflowPunct/>
              <w:bidi w:val="0"/>
              <w:spacing w:line="360" w:lineRule="auto"/>
              <w:rPr>
                <w:rFonts w:hint="eastAsia" w:ascii="宋体" w:hAnsi="宋体" w:eastAsia="宋体" w:cs="宋体"/>
                <w:color w:val="000000"/>
                <w:kern w:val="1"/>
                <w:sz w:val="24"/>
                <w:szCs w:val="24"/>
              </w:rPr>
            </w:pPr>
          </w:p>
        </w:tc>
      </w:tr>
      <w:tr w14:paraId="3A5D0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854" w:type="pct"/>
            <w:vAlign w:val="center"/>
          </w:tcPr>
          <w:p w14:paraId="58B878DC">
            <w:pPr>
              <w:pageBreakBefore w:val="0"/>
              <w:suppressAutoHyphens/>
              <w:kinsoku/>
              <w:overflowPunct/>
              <w:bidi w:val="0"/>
              <w:adjustRightInd w:val="0"/>
              <w:snapToGrid w:val="0"/>
              <w:spacing w:line="360" w:lineRule="auto"/>
              <w:jc w:val="center"/>
              <w:rPr>
                <w:rFonts w:hint="eastAsia" w:ascii="宋体" w:hAnsi="宋体" w:eastAsia="宋体" w:cs="宋体"/>
                <w:color w:val="000000"/>
                <w:kern w:val="1"/>
                <w:sz w:val="24"/>
                <w:szCs w:val="24"/>
              </w:rPr>
            </w:pPr>
            <w:r>
              <w:rPr>
                <w:rFonts w:hint="eastAsia" w:ascii="宋体" w:hAnsi="宋体" w:eastAsia="宋体" w:cs="宋体"/>
                <w:color w:val="000000"/>
                <w:kern w:val="1"/>
                <w:sz w:val="24"/>
                <w:szCs w:val="24"/>
              </w:rPr>
              <w:t>质量要求</w:t>
            </w:r>
          </w:p>
        </w:tc>
        <w:tc>
          <w:tcPr>
            <w:tcW w:w="4145" w:type="pct"/>
            <w:gridSpan w:val="5"/>
            <w:vAlign w:val="center"/>
          </w:tcPr>
          <w:p w14:paraId="3C011834">
            <w:pPr>
              <w:pageBreakBefore w:val="0"/>
              <w:widowControl/>
              <w:kinsoku/>
              <w:overflowPunct/>
              <w:bidi w:val="0"/>
              <w:spacing w:after="200" w:line="360" w:lineRule="auto"/>
              <w:jc w:val="left"/>
              <w:rPr>
                <w:rFonts w:hint="eastAsia" w:ascii="宋体" w:hAnsi="宋体" w:eastAsia="宋体" w:cs="宋体"/>
                <w:b/>
                <w:color w:val="000000"/>
                <w:kern w:val="1"/>
                <w:sz w:val="24"/>
                <w:szCs w:val="24"/>
              </w:rPr>
            </w:pPr>
          </w:p>
        </w:tc>
      </w:tr>
      <w:tr w14:paraId="34425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854" w:type="pct"/>
            <w:vAlign w:val="center"/>
          </w:tcPr>
          <w:p w14:paraId="41DD1790">
            <w:pPr>
              <w:pageBreakBefore w:val="0"/>
              <w:suppressAutoHyphens/>
              <w:kinsoku/>
              <w:overflowPunct/>
              <w:bidi w:val="0"/>
              <w:adjustRightInd w:val="0"/>
              <w:snapToGrid w:val="0"/>
              <w:spacing w:line="360" w:lineRule="auto"/>
              <w:jc w:val="center"/>
              <w:rPr>
                <w:rFonts w:hint="eastAsia" w:ascii="宋体" w:hAnsi="宋体" w:eastAsia="宋体" w:cs="宋体"/>
                <w:color w:val="000000"/>
                <w:kern w:val="1"/>
                <w:sz w:val="24"/>
                <w:szCs w:val="24"/>
                <w:lang w:eastAsia="zh-CN"/>
              </w:rPr>
            </w:pPr>
            <w:r>
              <w:rPr>
                <w:rFonts w:hint="eastAsia" w:ascii="宋体" w:hAnsi="宋体" w:eastAsia="宋体" w:cs="宋体"/>
                <w:color w:val="000000"/>
                <w:kern w:val="1"/>
                <w:sz w:val="24"/>
                <w:szCs w:val="24"/>
                <w:lang w:eastAsia="zh-CN"/>
              </w:rPr>
              <w:t>缺陷责任期</w:t>
            </w:r>
          </w:p>
        </w:tc>
        <w:tc>
          <w:tcPr>
            <w:tcW w:w="4145" w:type="pct"/>
            <w:gridSpan w:val="5"/>
            <w:vAlign w:val="center"/>
          </w:tcPr>
          <w:p w14:paraId="52BE0B1B">
            <w:pPr>
              <w:pageBreakBefore w:val="0"/>
              <w:widowControl/>
              <w:kinsoku/>
              <w:overflowPunct/>
              <w:bidi w:val="0"/>
              <w:spacing w:after="200" w:line="360" w:lineRule="auto"/>
              <w:rPr>
                <w:rFonts w:hint="eastAsia" w:ascii="宋体" w:hAnsi="宋体" w:eastAsia="宋体" w:cs="宋体"/>
                <w:b/>
                <w:color w:val="000000"/>
                <w:kern w:val="1"/>
                <w:sz w:val="24"/>
                <w:szCs w:val="24"/>
              </w:rPr>
            </w:pPr>
          </w:p>
        </w:tc>
      </w:tr>
      <w:tr w14:paraId="28D76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854" w:type="pct"/>
            <w:vAlign w:val="center"/>
          </w:tcPr>
          <w:p w14:paraId="1F7175F7">
            <w:pPr>
              <w:pageBreakBefore w:val="0"/>
              <w:suppressAutoHyphens/>
              <w:kinsoku/>
              <w:overflowPunct/>
              <w:bidi w:val="0"/>
              <w:adjustRightInd w:val="0"/>
              <w:snapToGrid w:val="0"/>
              <w:spacing w:line="360" w:lineRule="auto"/>
              <w:jc w:val="center"/>
              <w:rPr>
                <w:rFonts w:hint="eastAsia" w:ascii="宋体" w:hAnsi="宋体" w:eastAsia="宋体" w:cs="宋体"/>
                <w:color w:val="000000"/>
                <w:kern w:val="1"/>
                <w:sz w:val="24"/>
                <w:szCs w:val="24"/>
              </w:rPr>
            </w:pPr>
            <w:r>
              <w:rPr>
                <w:rFonts w:hint="eastAsia" w:ascii="宋体" w:hAnsi="宋体" w:eastAsia="宋体" w:cs="宋体"/>
                <w:color w:val="000000"/>
                <w:kern w:val="1"/>
                <w:sz w:val="24"/>
                <w:szCs w:val="24"/>
              </w:rPr>
              <w:t>磋商有效期</w:t>
            </w:r>
          </w:p>
        </w:tc>
        <w:tc>
          <w:tcPr>
            <w:tcW w:w="4145" w:type="pct"/>
            <w:gridSpan w:val="5"/>
            <w:vAlign w:val="center"/>
          </w:tcPr>
          <w:p w14:paraId="23A27D22">
            <w:pPr>
              <w:pageBreakBefore w:val="0"/>
              <w:widowControl/>
              <w:kinsoku/>
              <w:overflowPunct/>
              <w:bidi w:val="0"/>
              <w:spacing w:after="200" w:line="360" w:lineRule="auto"/>
              <w:jc w:val="left"/>
              <w:rPr>
                <w:rFonts w:hint="eastAsia" w:ascii="宋体" w:hAnsi="宋体" w:eastAsia="宋体" w:cs="宋体"/>
                <w:b/>
                <w:color w:val="000000"/>
                <w:kern w:val="1"/>
                <w:sz w:val="24"/>
                <w:szCs w:val="24"/>
              </w:rPr>
            </w:pPr>
          </w:p>
        </w:tc>
      </w:tr>
      <w:tr w14:paraId="50D43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4" w:hRule="atLeast"/>
        </w:trPr>
        <w:tc>
          <w:tcPr>
            <w:tcW w:w="854" w:type="pct"/>
            <w:vAlign w:val="center"/>
          </w:tcPr>
          <w:p w14:paraId="2331E72F">
            <w:pPr>
              <w:pageBreakBefore w:val="0"/>
              <w:kinsoku/>
              <w:overflowPunct/>
              <w:bidi w:val="0"/>
              <w:spacing w:line="360" w:lineRule="auto"/>
              <w:jc w:val="center"/>
              <w:rPr>
                <w:rFonts w:hint="eastAsia" w:ascii="宋体" w:hAnsi="宋体" w:eastAsia="宋体" w:cs="宋体"/>
                <w:color w:val="000000"/>
                <w:kern w:val="1"/>
                <w:sz w:val="24"/>
                <w:szCs w:val="24"/>
              </w:rPr>
            </w:pPr>
            <w:r>
              <w:rPr>
                <w:rFonts w:hint="eastAsia" w:ascii="宋体" w:hAnsi="宋体" w:eastAsia="宋体" w:cs="宋体"/>
                <w:color w:val="000000"/>
                <w:kern w:val="1"/>
                <w:sz w:val="24"/>
                <w:szCs w:val="24"/>
              </w:rPr>
              <w:t>需要说明的问题</w:t>
            </w:r>
          </w:p>
        </w:tc>
        <w:tc>
          <w:tcPr>
            <w:tcW w:w="4145" w:type="pct"/>
            <w:gridSpan w:val="5"/>
            <w:vAlign w:val="center"/>
          </w:tcPr>
          <w:p w14:paraId="664214CD">
            <w:pPr>
              <w:pageBreakBefore w:val="0"/>
              <w:kinsoku/>
              <w:overflowPunct/>
              <w:bidi w:val="0"/>
              <w:spacing w:line="360" w:lineRule="auto"/>
              <w:rPr>
                <w:rFonts w:hint="eastAsia" w:ascii="宋体" w:hAnsi="宋体" w:eastAsia="宋体" w:cs="宋体"/>
                <w:b/>
                <w:color w:val="000000"/>
                <w:kern w:val="1"/>
                <w:sz w:val="24"/>
                <w:szCs w:val="24"/>
              </w:rPr>
            </w:pPr>
          </w:p>
        </w:tc>
      </w:tr>
    </w:tbl>
    <w:p w14:paraId="1B7464D3">
      <w:pPr>
        <w:pageBreakBefore w:val="0"/>
        <w:widowControl/>
        <w:kinsoku/>
        <w:overflowPunct/>
        <w:bidi w:val="0"/>
        <w:spacing w:after="200" w:line="360" w:lineRule="auto"/>
        <w:jc w:val="left"/>
        <w:rPr>
          <w:rFonts w:hint="eastAsia" w:ascii="宋体" w:hAnsi="宋体" w:eastAsia="宋体" w:cs="宋体"/>
          <w:color w:val="000000"/>
          <w:kern w:val="0"/>
          <w:sz w:val="28"/>
          <w:szCs w:val="28"/>
          <w:lang w:bidi="en-US"/>
        </w:rPr>
      </w:pPr>
    </w:p>
    <w:p w14:paraId="21581574">
      <w:pPr>
        <w:keepNext w:val="0"/>
        <w:keepLines w:val="0"/>
        <w:pageBreakBefore w:val="0"/>
        <w:kinsoku/>
        <w:wordWrap w:val="0"/>
        <w:overflowPunct/>
        <w:topLinePunct w:val="0"/>
        <w:autoSpaceDE/>
        <w:autoSpaceDN/>
        <w:bidi w:val="0"/>
        <w:spacing w:line="360" w:lineRule="auto"/>
        <w:ind w:firstLine="420" w:firstLineChars="175"/>
        <w:jc w:val="both"/>
        <w:textAlignment w:val="auto"/>
        <w:rPr>
          <w:rFonts w:hint="eastAsia" w:ascii="宋体" w:hAnsi="宋体" w:eastAsia="宋体" w:cs="宋体"/>
          <w:sz w:val="24"/>
        </w:rPr>
      </w:pPr>
      <w:r>
        <w:rPr>
          <w:rFonts w:hint="eastAsia" w:ascii="宋体" w:hAnsi="宋体" w:eastAsia="宋体" w:cs="宋体"/>
          <w:sz w:val="24"/>
        </w:rPr>
        <w:t>供应商名称：</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r>
        <w:rPr>
          <w:rFonts w:hint="eastAsia" w:ascii="宋体" w:hAnsi="宋体" w:eastAsia="宋体" w:cs="宋体"/>
          <w:sz w:val="24"/>
        </w:rPr>
        <w:t>（盖单位章）</w:t>
      </w:r>
    </w:p>
    <w:p w14:paraId="03C3EE04">
      <w:pPr>
        <w:keepNext w:val="0"/>
        <w:keepLines w:val="0"/>
        <w:pageBreakBefore w:val="0"/>
        <w:kinsoku/>
        <w:wordWrap w:val="0"/>
        <w:overflowPunct/>
        <w:topLinePunct w:val="0"/>
        <w:autoSpaceDE/>
        <w:autoSpaceDN/>
        <w:bidi w:val="0"/>
        <w:spacing w:line="360" w:lineRule="auto"/>
        <w:ind w:firstLine="420" w:firstLineChars="175"/>
        <w:jc w:val="both"/>
        <w:textAlignment w:val="auto"/>
        <w:rPr>
          <w:rFonts w:hint="eastAsia" w:ascii="宋体" w:hAnsi="宋体" w:eastAsia="宋体" w:cs="宋体"/>
          <w:sz w:val="24"/>
          <w:u w:val="single"/>
        </w:rPr>
      </w:pPr>
      <w:r>
        <w:rPr>
          <w:rFonts w:hint="eastAsia" w:ascii="宋体" w:hAnsi="宋体" w:eastAsia="宋体" w:cs="宋体"/>
          <w:sz w:val="24"/>
        </w:rPr>
        <w:t>法定代表人：</w:t>
      </w:r>
      <w:r>
        <w:rPr>
          <w:rFonts w:hint="eastAsia" w:ascii="宋体" w:hAnsi="宋体" w:eastAsia="宋体" w:cs="宋体"/>
          <w:sz w:val="24"/>
          <w:u w:val="single"/>
        </w:rPr>
        <w:t xml:space="preserve">                   </w:t>
      </w:r>
      <w:r>
        <w:rPr>
          <w:rFonts w:hint="eastAsia" w:ascii="宋体" w:hAnsi="宋体" w:eastAsia="宋体" w:cs="宋体"/>
          <w:sz w:val="24"/>
        </w:rPr>
        <w:t>（电子签章）</w:t>
      </w:r>
    </w:p>
    <w:p w14:paraId="21859DCC">
      <w:pPr>
        <w:keepNext w:val="0"/>
        <w:keepLines w:val="0"/>
        <w:pageBreakBefore w:val="0"/>
        <w:widowControl/>
        <w:kinsoku/>
        <w:wordWrap w:val="0"/>
        <w:overflowPunct/>
        <w:topLinePunct w:val="0"/>
        <w:autoSpaceDE/>
        <w:autoSpaceDN/>
        <w:bidi w:val="0"/>
        <w:adjustRightInd w:val="0"/>
        <w:snapToGrid w:val="0"/>
        <w:spacing w:line="360" w:lineRule="auto"/>
        <w:ind w:firstLine="420" w:firstLineChars="175"/>
        <w:jc w:val="both"/>
        <w:textAlignment w:val="auto"/>
        <w:rPr>
          <w:rFonts w:hint="eastAsia" w:ascii="宋体" w:hAnsi="宋体" w:eastAsia="宋体" w:cs="宋体"/>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rPr>
        <w:t>日</w:t>
      </w:r>
    </w:p>
    <w:p w14:paraId="3E013261">
      <w:pP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br w:type="page"/>
      </w:r>
    </w:p>
    <w:p w14:paraId="0CC4712E">
      <w:pPr>
        <w:keepNext w:val="0"/>
        <w:keepLines w:val="0"/>
        <w:pageBreakBefore w:val="0"/>
        <w:widowControl/>
        <w:kinsoku/>
        <w:wordWrap/>
        <w:overflowPunct/>
        <w:topLinePunct w:val="0"/>
        <w:autoSpaceDE/>
        <w:autoSpaceDN/>
        <w:bidi w:val="0"/>
        <w:adjustRightInd w:val="0"/>
        <w:snapToGrid w:val="0"/>
        <w:spacing w:after="200" w:line="288" w:lineRule="auto"/>
        <w:jc w:val="center"/>
        <w:textAlignment w:val="auto"/>
        <w:outlineLvl w:val="1"/>
        <w:rPr>
          <w:rFonts w:hint="eastAsia" w:ascii="宋体" w:hAnsi="宋体" w:eastAsia="宋体" w:cs="宋体"/>
          <w:b/>
          <w:sz w:val="24"/>
          <w:szCs w:val="24"/>
        </w:rPr>
      </w:pPr>
      <w:bookmarkStart w:id="376" w:name="_Toc476231086"/>
      <w:bookmarkStart w:id="377" w:name="_Toc470786259"/>
      <w:bookmarkStart w:id="378" w:name="_Toc30552"/>
      <w:r>
        <w:rPr>
          <w:rFonts w:hint="eastAsia" w:ascii="宋体" w:hAnsi="宋体" w:eastAsia="宋体" w:cs="宋体"/>
          <w:b/>
          <w:sz w:val="24"/>
          <w:szCs w:val="24"/>
        </w:rPr>
        <w:t>二、</w:t>
      </w:r>
      <w:bookmarkEnd w:id="376"/>
      <w:bookmarkEnd w:id="377"/>
      <w:r>
        <w:rPr>
          <w:rFonts w:hint="eastAsia" w:ascii="宋体" w:hAnsi="宋体" w:eastAsia="宋体" w:cs="宋体"/>
          <w:b/>
          <w:sz w:val="24"/>
          <w:szCs w:val="24"/>
        </w:rPr>
        <w:t>法定代表人身份证明及授权委托书</w:t>
      </w:r>
      <w:bookmarkEnd w:id="378"/>
    </w:p>
    <w:p w14:paraId="7714D158">
      <w:pPr>
        <w:keepNext w:val="0"/>
        <w:keepLines w:val="0"/>
        <w:pageBreakBefore w:val="0"/>
        <w:widowControl/>
        <w:kinsoku/>
        <w:wordWrap/>
        <w:overflowPunct/>
        <w:topLinePunct w:val="0"/>
        <w:autoSpaceDE/>
        <w:autoSpaceDN/>
        <w:bidi w:val="0"/>
        <w:adjustRightInd/>
        <w:snapToGrid/>
        <w:spacing w:after="200" w:line="360" w:lineRule="auto"/>
        <w:jc w:val="center"/>
        <w:textAlignment w:val="auto"/>
        <w:outlineLvl w:val="2"/>
        <w:rPr>
          <w:rFonts w:hint="eastAsia" w:ascii="宋体" w:hAnsi="宋体" w:eastAsia="宋体" w:cs="宋体"/>
          <w:b/>
          <w:bCs/>
          <w:color w:val="000000"/>
          <w:kern w:val="0"/>
          <w:sz w:val="24"/>
          <w:szCs w:val="24"/>
          <w:lang w:bidi="en-US"/>
        </w:rPr>
      </w:pPr>
      <w:bookmarkStart w:id="379" w:name="_Toc28381"/>
      <w:bookmarkStart w:id="380" w:name="_Toc5955"/>
      <w:bookmarkStart w:id="381" w:name="_Toc28907"/>
      <w:bookmarkStart w:id="382" w:name="_Toc5843"/>
      <w:bookmarkStart w:id="383" w:name="_Toc32393"/>
      <w:r>
        <w:rPr>
          <w:rFonts w:hint="eastAsia" w:ascii="宋体" w:hAnsi="宋体" w:eastAsia="宋体" w:cs="宋体"/>
          <w:b/>
          <w:bCs/>
          <w:color w:val="000000"/>
          <w:kern w:val="0"/>
          <w:sz w:val="24"/>
          <w:szCs w:val="24"/>
          <w:lang w:bidi="en-US"/>
        </w:rPr>
        <w:t>（一）法定代表人身份证明</w:t>
      </w:r>
      <w:bookmarkEnd w:id="379"/>
      <w:bookmarkEnd w:id="380"/>
      <w:bookmarkEnd w:id="381"/>
      <w:bookmarkEnd w:id="382"/>
      <w:bookmarkEnd w:id="383"/>
    </w:p>
    <w:p w14:paraId="5A930711">
      <w:pPr>
        <w:keepNext w:val="0"/>
        <w:keepLines w:val="0"/>
        <w:pageBreakBefore w:val="0"/>
        <w:widowControl/>
        <w:kinsoku/>
        <w:wordWrap/>
        <w:overflowPunct/>
        <w:topLinePunct w:val="0"/>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供应商名称：</w:t>
      </w:r>
      <w:r>
        <w:rPr>
          <w:rFonts w:hint="eastAsia" w:ascii="宋体" w:hAnsi="宋体" w:eastAsia="宋体" w:cs="宋体"/>
          <w:color w:val="000000"/>
          <w:kern w:val="0"/>
          <w:sz w:val="24"/>
          <w:szCs w:val="24"/>
          <w:u w:val="single"/>
        </w:rPr>
        <w:t xml:space="preserve">                             </w:t>
      </w:r>
    </w:p>
    <w:p w14:paraId="0D2F3F4D">
      <w:pPr>
        <w:keepNext w:val="0"/>
        <w:keepLines w:val="0"/>
        <w:pageBreakBefore w:val="0"/>
        <w:widowControl/>
        <w:kinsoku/>
        <w:wordWrap/>
        <w:overflowPunct/>
        <w:topLinePunct w:val="0"/>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单位性质：</w:t>
      </w:r>
      <w:r>
        <w:rPr>
          <w:rFonts w:hint="eastAsia" w:ascii="宋体" w:hAnsi="宋体" w:eastAsia="宋体" w:cs="宋体"/>
          <w:color w:val="000000"/>
          <w:kern w:val="0"/>
          <w:sz w:val="24"/>
          <w:szCs w:val="24"/>
          <w:u w:val="single"/>
        </w:rPr>
        <w:t xml:space="preserve">                               </w:t>
      </w:r>
    </w:p>
    <w:p w14:paraId="7509F47F">
      <w:pPr>
        <w:keepNext w:val="0"/>
        <w:keepLines w:val="0"/>
        <w:pageBreakBefore w:val="0"/>
        <w:widowControl/>
        <w:kinsoku/>
        <w:wordWrap/>
        <w:overflowPunct/>
        <w:topLinePunct w:val="0"/>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地址：</w:t>
      </w:r>
      <w:r>
        <w:rPr>
          <w:rFonts w:hint="eastAsia" w:ascii="宋体" w:hAnsi="宋体" w:eastAsia="宋体" w:cs="宋体"/>
          <w:color w:val="000000"/>
          <w:kern w:val="0"/>
          <w:sz w:val="24"/>
          <w:szCs w:val="24"/>
          <w:u w:val="single"/>
        </w:rPr>
        <w:t xml:space="preserve">                                   </w:t>
      </w:r>
    </w:p>
    <w:p w14:paraId="77414DEB">
      <w:pPr>
        <w:keepNext w:val="0"/>
        <w:keepLines w:val="0"/>
        <w:pageBreakBefore w:val="0"/>
        <w:widowControl/>
        <w:kinsoku/>
        <w:wordWrap/>
        <w:overflowPunct/>
        <w:topLinePunct w:val="0"/>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成立时间：</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年</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月</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日</w:t>
      </w:r>
    </w:p>
    <w:p w14:paraId="25443544">
      <w:pPr>
        <w:keepNext w:val="0"/>
        <w:keepLines w:val="0"/>
        <w:pageBreakBefore w:val="0"/>
        <w:widowControl/>
        <w:kinsoku/>
        <w:wordWrap/>
        <w:overflowPunct/>
        <w:topLinePunct w:val="0"/>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经营期限：</w:t>
      </w:r>
      <w:r>
        <w:rPr>
          <w:rFonts w:hint="eastAsia" w:ascii="宋体" w:hAnsi="宋体" w:eastAsia="宋体" w:cs="宋体"/>
          <w:color w:val="000000"/>
          <w:kern w:val="0"/>
          <w:sz w:val="24"/>
          <w:szCs w:val="24"/>
          <w:u w:val="single"/>
        </w:rPr>
        <w:t xml:space="preserve">                               </w:t>
      </w:r>
    </w:p>
    <w:p w14:paraId="19217937">
      <w:pPr>
        <w:keepNext w:val="0"/>
        <w:keepLines w:val="0"/>
        <w:pageBreakBefore w:val="0"/>
        <w:widowControl/>
        <w:kinsoku/>
        <w:wordWrap/>
        <w:overflowPunct/>
        <w:topLinePunct w:val="0"/>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u w:val="single"/>
        </w:rPr>
      </w:pPr>
      <w:r>
        <w:rPr>
          <w:rFonts w:hint="eastAsia" w:ascii="宋体" w:hAnsi="宋体" w:eastAsia="宋体" w:cs="宋体"/>
          <w:color w:val="000000"/>
          <w:kern w:val="0"/>
          <w:sz w:val="24"/>
          <w:szCs w:val="24"/>
        </w:rPr>
        <w:t>姓名：</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 xml:space="preserve"> 性别：</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年龄：</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职务：</w:t>
      </w:r>
      <w:r>
        <w:rPr>
          <w:rFonts w:hint="eastAsia" w:ascii="宋体" w:hAnsi="宋体" w:eastAsia="宋体" w:cs="宋体"/>
          <w:color w:val="000000"/>
          <w:kern w:val="0"/>
          <w:sz w:val="24"/>
          <w:szCs w:val="24"/>
          <w:u w:val="single"/>
        </w:rPr>
        <w:t xml:space="preserve">          </w:t>
      </w:r>
    </w:p>
    <w:p w14:paraId="4D90BD14">
      <w:pPr>
        <w:keepNext w:val="0"/>
        <w:keepLines w:val="0"/>
        <w:pageBreakBefore w:val="0"/>
        <w:widowControl/>
        <w:kinsoku/>
        <w:wordWrap/>
        <w:overflowPunct/>
        <w:topLinePunct w:val="0"/>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系</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 xml:space="preserve"> （供应商名称）的法定代表人。</w:t>
      </w:r>
    </w:p>
    <w:p w14:paraId="22DCB974">
      <w:pPr>
        <w:keepNext w:val="0"/>
        <w:keepLines w:val="0"/>
        <w:pageBreakBefore w:val="0"/>
        <w:widowControl/>
        <w:kinsoku/>
        <w:wordWrap/>
        <w:overflowPunct/>
        <w:topLinePunct w:val="0"/>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特此证明。</w:t>
      </w:r>
    </w:p>
    <w:p w14:paraId="25BB6677">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rPr>
      </w:pPr>
    </w:p>
    <w:p w14:paraId="66711D3C">
      <w:pPr>
        <w:keepNext w:val="0"/>
        <w:keepLines w:val="0"/>
        <w:pageBreakBefore w:val="0"/>
        <w:widowControl/>
        <w:kinsoku/>
        <w:wordWrap/>
        <w:overflowPunct/>
        <w:topLinePunct w:val="0"/>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xml:space="preserve">附：法定代表人身份证复印件。 </w:t>
      </w:r>
    </w:p>
    <w:p w14:paraId="1141B517">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000000"/>
          <w:szCs w:val="24"/>
        </w:rPr>
      </w:pPr>
    </w:p>
    <w:p w14:paraId="4B22F88B">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rPr>
      </w:pPr>
    </w:p>
    <w:p w14:paraId="549B1650">
      <w:pPr>
        <w:keepNext w:val="0"/>
        <w:keepLines w:val="0"/>
        <w:pageBreakBefore w:val="0"/>
        <w:widowControl/>
        <w:kinsoku/>
        <w:wordWrap/>
        <w:overflowPunct/>
        <w:topLinePunct w:val="0"/>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供应商名称：</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(盖单位章)</w:t>
      </w:r>
    </w:p>
    <w:p w14:paraId="78594938">
      <w:pPr>
        <w:keepNext w:val="0"/>
        <w:keepLines w:val="0"/>
        <w:pageBreakBefore w:val="0"/>
        <w:widowControl/>
        <w:kinsoku/>
        <w:wordWrap/>
        <w:overflowPunct/>
        <w:topLinePunct w:val="0"/>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8"/>
          <w:szCs w:val="28"/>
        </w:rPr>
      </w:pPr>
      <w:r>
        <w:rPr>
          <w:rFonts w:hint="eastAsia" w:ascii="宋体" w:hAnsi="宋体" w:eastAsia="宋体" w:cs="宋体"/>
          <w:color w:val="000000"/>
          <w:kern w:val="0"/>
          <w:sz w:val="24"/>
          <w:szCs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689F3769">
      <w:pPr>
        <w:pageBreakBefore w:val="0"/>
        <w:widowControl/>
        <w:kinsoku/>
        <w:overflowPunct/>
        <w:bidi w:val="0"/>
        <w:adjustRightInd w:val="0"/>
        <w:snapToGrid w:val="0"/>
        <w:spacing w:after="200" w:line="360" w:lineRule="auto"/>
        <w:ind w:left="4740" w:leftChars="2257"/>
        <w:jc w:val="left"/>
        <w:rPr>
          <w:rFonts w:hint="eastAsia" w:ascii="宋体" w:hAnsi="宋体" w:eastAsia="宋体" w:cs="宋体"/>
          <w:color w:val="000000"/>
          <w:kern w:val="0"/>
          <w:sz w:val="28"/>
          <w:szCs w:val="28"/>
        </w:rPr>
      </w:pPr>
    </w:p>
    <w:p w14:paraId="2AE9E401">
      <w:pPr>
        <w:keepNext w:val="0"/>
        <w:keepLines w:val="0"/>
        <w:pageBreakBefore w:val="0"/>
        <w:widowControl/>
        <w:kinsoku/>
        <w:wordWrap/>
        <w:overflowPunct/>
        <w:topLinePunct w:val="0"/>
        <w:autoSpaceDE/>
        <w:autoSpaceDN/>
        <w:bidi w:val="0"/>
        <w:adjustRightInd/>
        <w:snapToGrid/>
        <w:spacing w:after="200" w:line="360" w:lineRule="auto"/>
        <w:jc w:val="center"/>
        <w:textAlignment w:val="auto"/>
        <w:outlineLvl w:val="2"/>
        <w:rPr>
          <w:rFonts w:hint="eastAsia" w:ascii="宋体" w:hAnsi="宋体" w:eastAsia="宋体" w:cs="宋体"/>
          <w:b/>
          <w:color w:val="000000"/>
          <w:kern w:val="0"/>
          <w:sz w:val="24"/>
          <w:szCs w:val="24"/>
        </w:rPr>
      </w:pPr>
      <w:bookmarkStart w:id="384" w:name="_Toc12633"/>
      <w:bookmarkStart w:id="385" w:name="_Toc29611"/>
      <w:bookmarkStart w:id="386" w:name="_Toc22161"/>
      <w:r>
        <w:rPr>
          <w:rFonts w:hint="eastAsia" w:ascii="宋体" w:hAnsi="宋体" w:eastAsia="宋体" w:cs="宋体"/>
          <w:b/>
          <w:color w:val="000000"/>
          <w:kern w:val="0"/>
          <w:sz w:val="28"/>
          <w:szCs w:val="28"/>
        </w:rPr>
        <w:br w:type="page"/>
      </w:r>
      <w:r>
        <w:rPr>
          <w:rFonts w:hint="eastAsia" w:ascii="宋体" w:hAnsi="宋体" w:eastAsia="宋体" w:cs="宋体"/>
          <w:b/>
          <w:color w:val="000000"/>
          <w:kern w:val="0"/>
          <w:sz w:val="24"/>
          <w:szCs w:val="24"/>
        </w:rPr>
        <w:t>（二）授权委托书</w:t>
      </w:r>
      <w:bookmarkEnd w:id="384"/>
      <w:bookmarkEnd w:id="385"/>
      <w:bookmarkEnd w:id="386"/>
    </w:p>
    <w:p w14:paraId="18997F01">
      <w:pPr>
        <w:keepNext w:val="0"/>
        <w:keepLines w:val="0"/>
        <w:pageBreakBefore w:val="0"/>
        <w:widowControl/>
        <w:kinsoku/>
        <w:wordWrap/>
        <w:overflowPunct/>
        <w:topLine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本人</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（姓名）系</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（供应商名称）的法定代表人，现委托</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（姓名）为我方代理人。代理人根据授权，以我方名义签署、澄清、说明、补正、递交、撤回、修改</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（项目名称）磋商响应文件、签订合同和处理有关事宜，其法律后果由我方承担。</w:t>
      </w:r>
    </w:p>
    <w:p w14:paraId="0D379BCF">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委托期限：</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w:t>
      </w:r>
    </w:p>
    <w:p w14:paraId="765A6BD7">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代理人无转委托权。</w:t>
      </w:r>
    </w:p>
    <w:p w14:paraId="749A41C8">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附：法定代表人及委托代理人身份证正反面扫描件。</w:t>
      </w:r>
    </w:p>
    <w:p w14:paraId="45212F9D">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p>
    <w:p w14:paraId="613E64FD">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供应商名称：</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lang w:val="en-US" w:eastAsia="zh-CN"/>
        </w:rPr>
        <w:t xml:space="preserve">    </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（盖单位章）</w:t>
      </w:r>
    </w:p>
    <w:p w14:paraId="7E7FFDD2">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法定代表人：</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（电子签章）</w:t>
      </w:r>
    </w:p>
    <w:p w14:paraId="7F561090">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身份证号码：</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sz w:val="24"/>
          <w:szCs w:val="24"/>
          <w:u w:val="single"/>
        </w:rPr>
        <w:t xml:space="preserve">         </w:t>
      </w:r>
    </w:p>
    <w:p w14:paraId="6496FD2F">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委托代理人：</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（法人电子签章）</w:t>
      </w:r>
    </w:p>
    <w:p w14:paraId="66BC8B6E">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single"/>
        </w:rPr>
      </w:pPr>
      <w:r>
        <w:rPr>
          <w:rFonts w:hint="eastAsia" w:ascii="宋体" w:hAnsi="宋体" w:eastAsia="宋体" w:cs="宋体"/>
          <w:color w:val="000000"/>
          <w:kern w:val="0"/>
          <w:sz w:val="24"/>
          <w:szCs w:val="24"/>
        </w:rPr>
        <w:t>身份证号码：</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sz w:val="24"/>
          <w:szCs w:val="24"/>
          <w:u w:val="single"/>
        </w:rPr>
        <w:t xml:space="preserve">         </w:t>
      </w:r>
    </w:p>
    <w:p w14:paraId="74EDD4FC">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single"/>
          <w:lang w:val="en-US" w:eastAsia="zh-CN"/>
        </w:rPr>
      </w:pPr>
      <w:r>
        <w:rPr>
          <w:rFonts w:hint="eastAsia" w:ascii="宋体" w:hAnsi="宋体" w:eastAsia="宋体" w:cs="宋体"/>
          <w:color w:val="000000"/>
          <w:sz w:val="24"/>
          <w:szCs w:val="24"/>
          <w:u w:val="none"/>
          <w:lang w:val="en-US" w:eastAsia="zh-CN"/>
        </w:rPr>
        <w:t>联系电话：</w:t>
      </w:r>
      <w:r>
        <w:rPr>
          <w:rFonts w:hint="eastAsia" w:ascii="宋体" w:hAnsi="宋体" w:eastAsia="宋体" w:cs="宋体"/>
          <w:color w:val="000000"/>
          <w:sz w:val="24"/>
          <w:szCs w:val="24"/>
          <w:u w:val="single"/>
          <w:lang w:val="en-US" w:eastAsia="zh-CN"/>
        </w:rPr>
        <w:t xml:space="preserve">                            </w:t>
      </w:r>
    </w:p>
    <w:p w14:paraId="6CA83DFC">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sz w:val="24"/>
          <w:szCs w:val="24"/>
          <w:u w:val="single"/>
        </w:rPr>
        <w:t xml:space="preserve">      </w:t>
      </w:r>
      <w:r>
        <w:rPr>
          <w:rFonts w:hint="eastAsia" w:ascii="宋体" w:hAnsi="宋体" w:eastAsia="宋体" w:cs="宋体"/>
          <w:color w:val="000000"/>
          <w:kern w:val="0"/>
          <w:sz w:val="24"/>
          <w:szCs w:val="24"/>
        </w:rPr>
        <w:t>年</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lang w:val="en-US" w:eastAsia="zh-CN"/>
        </w:rPr>
        <w:t xml:space="preserve">  </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月</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lang w:val="en-US" w:eastAsia="zh-CN"/>
        </w:rPr>
        <w:t xml:space="preserve">  </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日</w:t>
      </w:r>
    </w:p>
    <w:p w14:paraId="199C08C8">
      <w:pPr>
        <w:keepNext w:val="0"/>
        <w:keepLines w:val="0"/>
        <w:pageBreakBefore w:val="0"/>
        <w:kinsoku/>
        <w:wordWrap/>
        <w:overflowPunct/>
        <w:autoSpaceDE/>
        <w:autoSpaceDN/>
        <w:bidi w:val="0"/>
        <w:spacing w:line="360" w:lineRule="auto"/>
        <w:ind w:firstLine="560" w:firstLineChars="200"/>
        <w:textAlignment w:val="auto"/>
        <w:rPr>
          <w:rFonts w:hint="eastAsia" w:ascii="宋体" w:hAnsi="宋体" w:eastAsia="宋体" w:cs="宋体"/>
          <w:color w:val="000000"/>
          <w:kern w:val="0"/>
          <w:sz w:val="28"/>
          <w:szCs w:val="28"/>
        </w:rPr>
      </w:pPr>
    </w:p>
    <w:p w14:paraId="14ADA976">
      <w:pPr>
        <w:keepNext w:val="0"/>
        <w:keepLines w:val="0"/>
        <w:pageBreakBefore w:val="0"/>
        <w:widowControl/>
        <w:kinsoku/>
        <w:wordWrap/>
        <w:overflowPunct/>
        <w:autoSpaceDE/>
        <w:autoSpaceDN/>
        <w:bidi w:val="0"/>
        <w:adjustRightInd w:val="0"/>
        <w:snapToGrid w:val="0"/>
        <w:spacing w:after="200" w:line="360" w:lineRule="auto"/>
        <w:ind w:firstLine="482" w:firstLineChars="200"/>
        <w:jc w:val="left"/>
        <w:textAlignment w:val="auto"/>
        <w:rPr>
          <w:rFonts w:hint="eastAsia" w:ascii="宋体" w:hAnsi="宋体" w:eastAsia="宋体" w:cs="宋体"/>
          <w:color w:val="000000"/>
          <w:kern w:val="0"/>
          <w:sz w:val="28"/>
          <w:szCs w:val="28"/>
        </w:rPr>
      </w:pPr>
      <w:r>
        <w:rPr>
          <w:rFonts w:hint="eastAsia" w:ascii="宋体" w:hAnsi="宋体" w:eastAsia="宋体" w:cs="宋体"/>
          <w:b/>
          <w:bCs/>
          <w:color w:val="000000"/>
          <w:kern w:val="0"/>
          <w:sz w:val="24"/>
        </w:rPr>
        <w:t>注：因磋商响应文件中授权委托书授权代理人无法手写签字，可以以印刷体代替（印刷体为电脑打出的字体）。</w:t>
      </w:r>
    </w:p>
    <w:p w14:paraId="5E9475F7">
      <w:pPr>
        <w:keepNext w:val="0"/>
        <w:keepLines w:val="0"/>
        <w:pageBreakBefore w:val="0"/>
        <w:widowControl/>
        <w:kinsoku/>
        <w:wordWrap/>
        <w:overflowPunct/>
        <w:topLinePunct w:val="0"/>
        <w:autoSpaceDE/>
        <w:autoSpaceDN/>
        <w:bidi w:val="0"/>
        <w:adjustRightInd w:val="0"/>
        <w:snapToGrid w:val="0"/>
        <w:spacing w:after="200" w:line="360" w:lineRule="auto"/>
        <w:jc w:val="center"/>
        <w:textAlignment w:val="auto"/>
        <w:outlineLvl w:val="1"/>
        <w:rPr>
          <w:rFonts w:hint="eastAsia" w:ascii="宋体" w:hAnsi="宋体" w:eastAsia="宋体" w:cs="宋体"/>
          <w:color w:val="000000"/>
          <w:sz w:val="24"/>
          <w:szCs w:val="24"/>
          <w:u w:val="none"/>
          <w:lang w:val="en-US" w:eastAsia="zh-CN"/>
        </w:rPr>
      </w:pPr>
      <w:r>
        <w:rPr>
          <w:rFonts w:hint="eastAsia" w:ascii="宋体" w:hAnsi="宋体" w:eastAsia="宋体" w:cs="宋体"/>
          <w:color w:val="000000"/>
          <w:kern w:val="0"/>
          <w:sz w:val="28"/>
          <w:szCs w:val="28"/>
        </w:rPr>
        <w:br w:type="page"/>
      </w:r>
      <w:bookmarkStart w:id="387" w:name="_Toc26393"/>
      <w:r>
        <w:rPr>
          <w:rFonts w:hint="eastAsia" w:ascii="宋体" w:hAnsi="宋体" w:eastAsia="宋体" w:cs="宋体"/>
          <w:b/>
          <w:sz w:val="24"/>
          <w:szCs w:val="24"/>
          <w:lang w:val="en-US" w:eastAsia="zh-CN"/>
        </w:rPr>
        <w:t>三、磋商承诺函</w:t>
      </w:r>
      <w:bookmarkEnd w:id="387"/>
    </w:p>
    <w:p w14:paraId="40895262">
      <w:pPr>
        <w:keepNext w:val="0"/>
        <w:keepLines w:val="0"/>
        <w:pageBreakBefore w:val="0"/>
        <w:widowControl/>
        <w:kinsoku/>
        <w:wordWrap/>
        <w:overflowPunct/>
        <w:autoSpaceDE/>
        <w:autoSpaceDN/>
        <w:bidi w:val="0"/>
        <w:adjustRightInd w:val="0"/>
        <w:snapToGrid w:val="0"/>
        <w:spacing w:after="200" w:line="360" w:lineRule="auto"/>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致（采购人）：</w:t>
      </w:r>
      <w:r>
        <w:rPr>
          <w:rFonts w:hint="eastAsia" w:ascii="宋体" w:hAnsi="宋体" w:eastAsia="宋体" w:cs="宋体"/>
          <w:color w:val="000000"/>
          <w:sz w:val="24"/>
          <w:szCs w:val="24"/>
          <w:u w:val="single"/>
          <w:lang w:val="en-US" w:eastAsia="zh-CN"/>
        </w:rPr>
        <w:t xml:space="preserve">                        </w:t>
      </w:r>
    </w:p>
    <w:p w14:paraId="34B85A68">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我公司作为本次采购项目的供应商，根据磋商文件要求，现郑重承诺如下：</w:t>
      </w:r>
    </w:p>
    <w:p w14:paraId="0C6333FE">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一、具备《中华人民共和国政府采购法》第二十二条第一款和本项目规定的条件：</w:t>
      </w:r>
    </w:p>
    <w:p w14:paraId="6F556D4E">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（一）具有独立承担民事责任的能力；</w:t>
      </w:r>
    </w:p>
    <w:p w14:paraId="09B24CF8">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（二）具有良好的商业信誉和健全的财务会计制度；</w:t>
      </w:r>
    </w:p>
    <w:p w14:paraId="4C3F1999">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（三）具有履行合同所必需的设备和专业技术能力；</w:t>
      </w:r>
    </w:p>
    <w:p w14:paraId="47F242AB">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（四）有依法缴纳税收和社会保障资金的良好记录；</w:t>
      </w:r>
    </w:p>
    <w:p w14:paraId="08B4B63C">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（五）参加政府采购活动前三年内，在经营活动中没有重大违法记录；</w:t>
      </w:r>
    </w:p>
    <w:p w14:paraId="66DD00E5">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（六）法律、行政法规规定的其他条件；</w:t>
      </w:r>
    </w:p>
    <w:p w14:paraId="6E58381D">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（七）根据采购项目提出的特殊条件。</w:t>
      </w:r>
    </w:p>
    <w:p w14:paraId="21C6D8B3">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二、完全接受和满足本项目磋商文件中规定的实质性要求，如对磋商文件有异议，已经在磋商截止时间届满前依法进行维权救济，不存在对磋商文件有异议的同时又参加投标以求侥幸中标或者为实现其他非法目的的行为。</w:t>
      </w:r>
    </w:p>
    <w:p w14:paraId="22D9D63B">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三、参加本次磋商采购活动，不存在与单位负责人为同一人或者存在直接控股、管理关系的其他供应商参与同一合同项下的政府采购活动的行为。</w:t>
      </w:r>
    </w:p>
    <w:p w14:paraId="17FCC1C9">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四、参加本次磋商采购活动，不存在为采购项目提供整体设计、规范编制或者项目管理、监理、检测等服务的行为。</w:t>
      </w:r>
    </w:p>
    <w:p w14:paraId="70EEF7AD">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五、参加本次磋商采购活动，不存在和其他供应商在同一合同项下的采购项目中，同时委托同一个自然人、同一家庭的人员、同一单位的人员作为代理人的行为。</w:t>
      </w:r>
    </w:p>
    <w:p w14:paraId="22D45B97">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六、供应商参加本次政府采购活动要求在近三年内供应商和其法定代表人没有行贿犯罪行为。</w:t>
      </w:r>
    </w:p>
    <w:p w14:paraId="2EC7ABE2">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七、参加本次磋商采购活动，不存在联合体投标。</w:t>
      </w:r>
    </w:p>
    <w:p w14:paraId="7F6EA2C3">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八、磋商响应文件中提供的能够给予我公司带来优惠、好处的任何材料资料和技术、服务、商务等响应承诺情况都是真实的、有效的、合法的。</w:t>
      </w:r>
    </w:p>
    <w:p w14:paraId="6EDF82C9">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九、供应商认为需要承诺的其他事项：</w:t>
      </w:r>
    </w:p>
    <w:p w14:paraId="066F85ED">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1、</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；2、</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；3、</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w:t>
      </w:r>
    </w:p>
    <w:p w14:paraId="6B0079C5">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十、存在以下行为之一的愿意接受相关部门的处理：</w:t>
      </w:r>
    </w:p>
    <w:p w14:paraId="52E57CB2">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（一）磋商有效期内撤销磋商响应文件的；</w:t>
      </w:r>
    </w:p>
    <w:p w14:paraId="7E5B4CB7">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（二）在采购人确定中标人以前放弃中标候选资格的；</w:t>
      </w:r>
    </w:p>
    <w:p w14:paraId="21CFD23B">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（三）由于中标人的原因未能按照磋商文件的规定与采购人签订合同；</w:t>
      </w:r>
    </w:p>
    <w:p w14:paraId="516763A4">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（四）在磋商响应文件中提供虚假材料谋取中标；</w:t>
      </w:r>
    </w:p>
    <w:p w14:paraId="1708F987">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（五）与采购人、其他供应商或者采购代理机构恶意串通的；</w:t>
      </w:r>
    </w:p>
    <w:p w14:paraId="085D6B36">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（六）磋商有效期内，供应商在政府采购活动中有违法、违规、违纪行为。</w:t>
      </w:r>
    </w:p>
    <w:p w14:paraId="6769DA8A">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由此产生的一切法律后果和责任由我公司承担。我公司声明放弃对此提出任何异议和追索的权利。</w:t>
      </w:r>
    </w:p>
    <w:p w14:paraId="2CB31AE4">
      <w:pPr>
        <w:keepNext w:val="0"/>
        <w:keepLines w:val="0"/>
        <w:pageBreakBefore w:val="0"/>
        <w:widowControl/>
        <w:kinsoku/>
        <w:wordWrap/>
        <w:overflowPunct/>
        <w:autoSpaceDE/>
        <w:autoSpaceDN/>
        <w:bidi w:val="0"/>
        <w:adjustRightInd w:val="0"/>
        <w:snapToGrid w:val="0"/>
        <w:spacing w:after="200" w:line="360" w:lineRule="auto"/>
        <w:ind w:firstLine="480" w:firstLineChars="200"/>
        <w:jc w:val="left"/>
        <w:textAlignment w:val="auto"/>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eastAsia="zh-CN"/>
        </w:rPr>
        <w:t>本公司对上述承诺的内容事项真实性负责。如经查实上述承诺的内容事项存在虚假，我公司愿意接受以提供虚假材料谋取中标追究法律责任。</w:t>
      </w:r>
    </w:p>
    <w:p w14:paraId="5784D66D">
      <w:pPr>
        <w:keepNext w:val="0"/>
        <w:keepLines w:val="0"/>
        <w:pageBreakBefore w:val="0"/>
        <w:kinsoku/>
        <w:wordWrap w:val="0"/>
        <w:overflowPunct/>
        <w:topLinePunct w:val="0"/>
        <w:autoSpaceDE/>
        <w:autoSpaceDN/>
        <w:bidi w:val="0"/>
        <w:spacing w:line="360" w:lineRule="auto"/>
        <w:ind w:firstLine="420" w:firstLineChars="175"/>
        <w:jc w:val="both"/>
        <w:textAlignment w:val="auto"/>
        <w:rPr>
          <w:rFonts w:hint="eastAsia" w:ascii="宋体" w:hAnsi="宋体" w:eastAsia="宋体" w:cs="宋体"/>
          <w:sz w:val="24"/>
        </w:rPr>
      </w:pPr>
      <w:r>
        <w:rPr>
          <w:rFonts w:hint="eastAsia" w:ascii="宋体" w:hAnsi="宋体" w:eastAsia="宋体" w:cs="宋体"/>
          <w:sz w:val="24"/>
        </w:rPr>
        <w:t>供应商名称：</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r>
        <w:rPr>
          <w:rFonts w:hint="eastAsia" w:ascii="宋体" w:hAnsi="宋体" w:eastAsia="宋体" w:cs="宋体"/>
          <w:sz w:val="24"/>
        </w:rPr>
        <w:t>（盖单位章）</w:t>
      </w:r>
    </w:p>
    <w:p w14:paraId="2D91A075">
      <w:pPr>
        <w:keepNext w:val="0"/>
        <w:keepLines w:val="0"/>
        <w:pageBreakBefore w:val="0"/>
        <w:kinsoku/>
        <w:wordWrap w:val="0"/>
        <w:overflowPunct/>
        <w:topLinePunct w:val="0"/>
        <w:autoSpaceDE/>
        <w:autoSpaceDN/>
        <w:bidi w:val="0"/>
        <w:spacing w:line="360" w:lineRule="auto"/>
        <w:ind w:firstLine="420" w:firstLineChars="175"/>
        <w:jc w:val="both"/>
        <w:textAlignment w:val="auto"/>
        <w:rPr>
          <w:rFonts w:hint="eastAsia" w:ascii="宋体" w:hAnsi="宋体" w:eastAsia="宋体" w:cs="宋体"/>
          <w:sz w:val="24"/>
          <w:u w:val="single"/>
        </w:rPr>
      </w:pPr>
      <w:r>
        <w:rPr>
          <w:rFonts w:hint="eastAsia" w:ascii="宋体" w:hAnsi="宋体" w:eastAsia="宋体" w:cs="宋体"/>
          <w:sz w:val="24"/>
        </w:rPr>
        <w:t>法定代表人：</w:t>
      </w:r>
      <w:r>
        <w:rPr>
          <w:rFonts w:hint="eastAsia" w:ascii="宋体" w:hAnsi="宋体" w:eastAsia="宋体" w:cs="宋体"/>
          <w:sz w:val="24"/>
          <w:u w:val="single"/>
        </w:rPr>
        <w:t xml:space="preserve">                   </w:t>
      </w:r>
      <w:r>
        <w:rPr>
          <w:rFonts w:hint="eastAsia" w:ascii="宋体" w:hAnsi="宋体" w:eastAsia="宋体" w:cs="宋体"/>
          <w:sz w:val="24"/>
        </w:rPr>
        <w:t>（电子签章）</w:t>
      </w:r>
    </w:p>
    <w:p w14:paraId="7A894F73">
      <w:pPr>
        <w:keepNext w:val="0"/>
        <w:keepLines w:val="0"/>
        <w:pageBreakBefore w:val="0"/>
        <w:widowControl/>
        <w:kinsoku/>
        <w:wordWrap w:val="0"/>
        <w:overflowPunct/>
        <w:topLinePunct w:val="0"/>
        <w:autoSpaceDE/>
        <w:autoSpaceDN/>
        <w:bidi w:val="0"/>
        <w:adjustRightInd w:val="0"/>
        <w:snapToGrid w:val="0"/>
        <w:spacing w:line="360" w:lineRule="auto"/>
        <w:ind w:firstLine="420" w:firstLineChars="175"/>
        <w:jc w:val="both"/>
        <w:textAlignment w:val="auto"/>
        <w:rPr>
          <w:rFonts w:hint="eastAsia" w:ascii="宋体" w:hAnsi="宋体" w:eastAsia="宋体" w:cs="宋体"/>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rPr>
        <w:t>日</w:t>
      </w:r>
    </w:p>
    <w:p w14:paraId="796EC3F6">
      <w:pPr>
        <w:rPr>
          <w:rFonts w:hint="eastAsia" w:ascii="宋体" w:hAnsi="宋体" w:eastAsia="宋体" w:cs="宋体"/>
          <w:b/>
          <w:sz w:val="24"/>
          <w:szCs w:val="24"/>
        </w:rPr>
      </w:pPr>
      <w:bookmarkStart w:id="388" w:name="_Toc22452"/>
      <w:r>
        <w:rPr>
          <w:rFonts w:hint="eastAsia" w:ascii="宋体" w:hAnsi="宋体" w:eastAsia="宋体" w:cs="宋体"/>
          <w:b/>
          <w:sz w:val="24"/>
          <w:szCs w:val="24"/>
        </w:rPr>
        <w:br w:type="page"/>
      </w:r>
    </w:p>
    <w:p w14:paraId="56F1941F">
      <w:pPr>
        <w:keepNext w:val="0"/>
        <w:keepLines w:val="0"/>
        <w:pageBreakBefore w:val="0"/>
        <w:widowControl/>
        <w:kinsoku/>
        <w:wordWrap/>
        <w:overflowPunct/>
        <w:topLinePunct w:val="0"/>
        <w:autoSpaceDE/>
        <w:autoSpaceDN/>
        <w:bidi w:val="0"/>
        <w:adjustRightInd w:val="0"/>
        <w:snapToGrid w:val="0"/>
        <w:spacing w:after="200" w:line="360" w:lineRule="auto"/>
        <w:jc w:val="center"/>
        <w:textAlignment w:val="auto"/>
        <w:outlineLvl w:val="1"/>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四、已标价工程量清单</w:t>
      </w:r>
      <w:bookmarkEnd w:id="388"/>
    </w:p>
    <w:p w14:paraId="17352410">
      <w:pPr>
        <w:pageBreakBefore w:val="0"/>
        <w:widowControl/>
        <w:kinsoku/>
        <w:overflowPunct/>
        <w:bidi w:val="0"/>
        <w:spacing w:after="200" w:line="360" w:lineRule="auto"/>
        <w:jc w:val="center"/>
        <w:rPr>
          <w:rFonts w:hint="eastAsia" w:ascii="宋体" w:hAnsi="宋体" w:eastAsia="宋体" w:cs="宋体"/>
          <w:bCs/>
          <w:color w:val="000000"/>
          <w:kern w:val="0"/>
          <w:sz w:val="30"/>
          <w:szCs w:val="30"/>
        </w:rPr>
      </w:pPr>
      <w:r>
        <w:rPr>
          <w:rFonts w:hint="eastAsia" w:ascii="宋体" w:hAnsi="宋体" w:eastAsia="宋体" w:cs="宋体"/>
          <w:bCs/>
          <w:color w:val="000000"/>
          <w:kern w:val="0"/>
          <w:sz w:val="30"/>
          <w:szCs w:val="30"/>
        </w:rPr>
        <w:br w:type="page"/>
      </w:r>
      <w:bookmarkStart w:id="389" w:name="_Toc22768"/>
    </w:p>
    <w:p w14:paraId="30C7C763">
      <w:pPr>
        <w:keepNext w:val="0"/>
        <w:keepLines w:val="0"/>
        <w:pageBreakBefore w:val="0"/>
        <w:widowControl/>
        <w:kinsoku/>
        <w:wordWrap/>
        <w:overflowPunct/>
        <w:topLinePunct w:val="0"/>
        <w:autoSpaceDE/>
        <w:autoSpaceDN/>
        <w:bidi w:val="0"/>
        <w:adjustRightInd w:val="0"/>
        <w:snapToGrid w:val="0"/>
        <w:spacing w:after="200" w:line="360" w:lineRule="auto"/>
        <w:jc w:val="center"/>
        <w:textAlignment w:val="auto"/>
        <w:outlineLvl w:val="1"/>
        <w:rPr>
          <w:rFonts w:hint="eastAsia" w:ascii="宋体" w:hAnsi="宋体" w:eastAsia="宋体" w:cs="宋体"/>
          <w:b/>
          <w:sz w:val="24"/>
          <w:szCs w:val="24"/>
          <w:lang w:val="en-US" w:eastAsia="zh-CN"/>
        </w:rPr>
      </w:pPr>
      <w:bookmarkStart w:id="390" w:name="_Toc11244"/>
      <w:r>
        <w:rPr>
          <w:rFonts w:hint="eastAsia" w:ascii="宋体" w:hAnsi="宋体" w:eastAsia="宋体" w:cs="宋体"/>
          <w:b/>
          <w:sz w:val="24"/>
          <w:szCs w:val="24"/>
          <w:lang w:val="en-US" w:eastAsia="zh-CN"/>
        </w:rPr>
        <w:t>五、</w:t>
      </w:r>
      <w:bookmarkEnd w:id="390"/>
      <w:r>
        <w:rPr>
          <w:rFonts w:hint="eastAsia" w:ascii="宋体" w:hAnsi="宋体" w:eastAsia="宋体" w:cs="宋体"/>
          <w:b/>
          <w:sz w:val="24"/>
          <w:szCs w:val="24"/>
          <w:lang w:val="en-US" w:eastAsia="zh-CN"/>
        </w:rPr>
        <w:t>施工组织设计</w:t>
      </w:r>
    </w:p>
    <w:p w14:paraId="115C7094">
      <w:pPr>
        <w:rPr>
          <w:rFonts w:hint="eastAsia" w:ascii="宋体" w:hAnsi="宋体" w:eastAsia="宋体" w:cs="宋体"/>
          <w:sz w:val="24"/>
          <w:szCs w:val="24"/>
        </w:rPr>
      </w:pPr>
      <w:r>
        <w:rPr>
          <w:rFonts w:hint="eastAsia" w:ascii="宋体" w:hAnsi="宋体" w:eastAsia="宋体" w:cs="宋体"/>
          <w:sz w:val="24"/>
          <w:szCs w:val="24"/>
        </w:rPr>
        <w:br w:type="page"/>
      </w:r>
    </w:p>
    <w:p w14:paraId="5CEAD013">
      <w:pPr>
        <w:keepNext w:val="0"/>
        <w:keepLines w:val="0"/>
        <w:pageBreakBefore w:val="0"/>
        <w:widowControl/>
        <w:kinsoku/>
        <w:wordWrap/>
        <w:overflowPunct/>
        <w:topLinePunct w:val="0"/>
        <w:autoSpaceDE/>
        <w:autoSpaceDN/>
        <w:bidi w:val="0"/>
        <w:adjustRightInd w:val="0"/>
        <w:snapToGrid w:val="0"/>
        <w:spacing w:after="200" w:line="360" w:lineRule="auto"/>
        <w:jc w:val="center"/>
        <w:textAlignment w:val="auto"/>
        <w:outlineLvl w:val="1"/>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六、项目管理机构</w:t>
      </w:r>
      <w:bookmarkEnd w:id="389"/>
    </w:p>
    <w:p w14:paraId="28562CCC">
      <w:pPr>
        <w:pStyle w:val="44"/>
        <w:widowControl/>
        <w:numPr>
          <w:ilvl w:val="2"/>
          <w:numId w:val="0"/>
        </w:numPr>
        <w:kinsoku/>
        <w:wordWrap/>
        <w:overflowPunct/>
        <w:bidi w:val="0"/>
        <w:spacing w:line="360" w:lineRule="auto"/>
        <w:ind w:left="-420" w:leftChars="0" w:right="0" w:rightChars="0"/>
        <w:jc w:val="center"/>
        <w:rPr>
          <w:rFonts w:hint="eastAsia" w:ascii="宋体" w:hAnsi="宋体" w:eastAsia="宋体" w:cs="宋体"/>
          <w:b/>
          <w:bCs/>
          <w:highlight w:val="none"/>
          <w:lang w:val="en-US" w:eastAsia="zh-CN"/>
        </w:rPr>
      </w:pPr>
      <w:bookmarkStart w:id="391" w:name="_Toc144974872"/>
      <w:bookmarkStart w:id="392" w:name="_Toc27221"/>
      <w:r>
        <w:rPr>
          <w:rFonts w:hint="eastAsia" w:ascii="宋体" w:hAnsi="宋体" w:eastAsia="宋体" w:cs="宋体"/>
          <w:b/>
          <w:bCs/>
          <w:highlight w:val="none"/>
          <w:lang w:val="en-US" w:eastAsia="zh-CN"/>
        </w:rPr>
        <w:t>（一）项目管理机构组成表</w:t>
      </w:r>
      <w:bookmarkEnd w:id="391"/>
    </w:p>
    <w:tbl>
      <w:tblPr>
        <w:tblStyle w:val="17"/>
        <w:tblW w:w="79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1"/>
        <w:gridCol w:w="911"/>
        <w:gridCol w:w="911"/>
        <w:gridCol w:w="1541"/>
        <w:gridCol w:w="911"/>
        <w:gridCol w:w="911"/>
        <w:gridCol w:w="912"/>
        <w:gridCol w:w="911"/>
      </w:tblGrid>
      <w:tr w14:paraId="2195C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911" w:type="dxa"/>
            <w:vMerge w:val="restart"/>
            <w:tcBorders>
              <w:top w:val="single" w:color="auto" w:sz="4" w:space="0"/>
              <w:left w:val="single" w:color="auto" w:sz="4" w:space="0"/>
              <w:bottom w:val="single" w:color="auto" w:sz="4" w:space="0"/>
              <w:right w:val="single" w:color="auto" w:sz="4" w:space="0"/>
            </w:tcBorders>
            <w:noWrap w:val="0"/>
            <w:vAlign w:val="center"/>
          </w:tcPr>
          <w:p w14:paraId="0FC8B0F5">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r>
              <w:rPr>
                <w:rFonts w:hint="eastAsia" w:ascii="宋体" w:hAnsi="宋体" w:eastAsia="宋体" w:cs="宋体"/>
                <w:kern w:val="2"/>
                <w:sz w:val="24"/>
                <w:szCs w:val="24"/>
                <w:highlight w:val="none"/>
                <w:vertAlign w:val="baseline"/>
                <w:lang w:val="en-US" w:eastAsia="zh-CN" w:bidi="ar"/>
              </w:rPr>
              <w:t>职务</w:t>
            </w:r>
          </w:p>
        </w:tc>
        <w:tc>
          <w:tcPr>
            <w:tcW w:w="911" w:type="dxa"/>
            <w:vMerge w:val="restart"/>
            <w:tcBorders>
              <w:top w:val="single" w:color="auto" w:sz="4" w:space="0"/>
              <w:left w:val="nil"/>
              <w:bottom w:val="single" w:color="auto" w:sz="4" w:space="0"/>
              <w:right w:val="single" w:color="auto" w:sz="4" w:space="0"/>
            </w:tcBorders>
            <w:noWrap w:val="0"/>
            <w:vAlign w:val="center"/>
          </w:tcPr>
          <w:p w14:paraId="4A3A20ED">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r>
              <w:rPr>
                <w:rFonts w:hint="eastAsia" w:ascii="宋体" w:hAnsi="宋体" w:eastAsia="宋体" w:cs="宋体"/>
                <w:kern w:val="2"/>
                <w:sz w:val="24"/>
                <w:szCs w:val="24"/>
                <w:highlight w:val="none"/>
                <w:vertAlign w:val="baseline"/>
                <w:lang w:val="en-US" w:eastAsia="zh-CN" w:bidi="ar"/>
              </w:rPr>
              <w:t>姓名</w:t>
            </w:r>
          </w:p>
        </w:tc>
        <w:tc>
          <w:tcPr>
            <w:tcW w:w="911" w:type="dxa"/>
            <w:vMerge w:val="restart"/>
            <w:tcBorders>
              <w:top w:val="single" w:color="auto" w:sz="4" w:space="0"/>
              <w:left w:val="nil"/>
              <w:bottom w:val="single" w:color="auto" w:sz="4" w:space="0"/>
              <w:right w:val="single" w:color="auto" w:sz="4" w:space="0"/>
            </w:tcBorders>
            <w:noWrap w:val="0"/>
            <w:vAlign w:val="center"/>
          </w:tcPr>
          <w:p w14:paraId="1470CF41">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r>
              <w:rPr>
                <w:rFonts w:hint="eastAsia" w:ascii="宋体" w:hAnsi="宋体" w:eastAsia="宋体" w:cs="宋体"/>
                <w:kern w:val="2"/>
                <w:sz w:val="24"/>
                <w:szCs w:val="24"/>
                <w:highlight w:val="none"/>
                <w:vertAlign w:val="baseline"/>
                <w:lang w:val="en-US" w:eastAsia="zh-CN" w:bidi="ar"/>
              </w:rPr>
              <w:t>职称</w:t>
            </w:r>
          </w:p>
        </w:tc>
        <w:tc>
          <w:tcPr>
            <w:tcW w:w="4275" w:type="dxa"/>
            <w:gridSpan w:val="4"/>
            <w:tcBorders>
              <w:top w:val="single" w:color="auto" w:sz="4" w:space="0"/>
              <w:left w:val="nil"/>
              <w:bottom w:val="single" w:color="auto" w:sz="4" w:space="0"/>
              <w:right w:val="single" w:color="auto" w:sz="4" w:space="0"/>
            </w:tcBorders>
            <w:noWrap w:val="0"/>
            <w:vAlign w:val="center"/>
          </w:tcPr>
          <w:p w14:paraId="40E6C0FD">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kern w:val="2"/>
                <w:sz w:val="24"/>
                <w:szCs w:val="24"/>
                <w:highlight w:val="none"/>
                <w:vertAlign w:val="baseline"/>
                <w:lang w:val="en-US" w:eastAsia="zh-CN" w:bidi="ar"/>
              </w:rPr>
            </w:pPr>
            <w:r>
              <w:rPr>
                <w:rFonts w:hint="eastAsia" w:ascii="宋体" w:hAnsi="宋体" w:eastAsia="宋体" w:cs="宋体"/>
                <w:kern w:val="2"/>
                <w:sz w:val="24"/>
                <w:szCs w:val="24"/>
                <w:highlight w:val="none"/>
                <w:vertAlign w:val="baseline"/>
                <w:lang w:val="en-US" w:eastAsia="zh-CN" w:bidi="ar"/>
              </w:rPr>
              <w:t>执业或职业资格证明</w:t>
            </w:r>
          </w:p>
        </w:tc>
        <w:tc>
          <w:tcPr>
            <w:tcW w:w="911" w:type="dxa"/>
            <w:tcBorders>
              <w:top w:val="single" w:color="auto" w:sz="4" w:space="0"/>
              <w:left w:val="nil"/>
              <w:bottom w:val="single" w:color="auto" w:sz="4" w:space="0"/>
              <w:right w:val="single" w:color="auto" w:sz="4" w:space="0"/>
            </w:tcBorders>
            <w:noWrap w:val="0"/>
            <w:vAlign w:val="center"/>
          </w:tcPr>
          <w:p w14:paraId="55F3B736">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r>
              <w:rPr>
                <w:rFonts w:hint="eastAsia" w:ascii="宋体" w:hAnsi="宋体" w:eastAsia="宋体" w:cs="宋体"/>
                <w:kern w:val="2"/>
                <w:sz w:val="24"/>
                <w:szCs w:val="24"/>
                <w:highlight w:val="none"/>
                <w:vertAlign w:val="baseline"/>
                <w:lang w:val="en-US" w:eastAsia="zh-CN" w:bidi="ar"/>
              </w:rPr>
              <w:t>备注</w:t>
            </w:r>
          </w:p>
        </w:tc>
      </w:tr>
      <w:tr w14:paraId="79555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911" w:type="dxa"/>
            <w:vMerge w:val="continue"/>
            <w:tcBorders>
              <w:top w:val="single" w:color="auto" w:sz="4" w:space="0"/>
              <w:left w:val="single" w:color="auto" w:sz="4" w:space="0"/>
              <w:bottom w:val="single" w:color="auto" w:sz="4" w:space="0"/>
              <w:right w:val="single" w:color="auto" w:sz="4" w:space="0"/>
            </w:tcBorders>
            <w:noWrap w:val="0"/>
            <w:vAlign w:val="center"/>
          </w:tcPr>
          <w:p w14:paraId="15488609">
            <w:pPr>
              <w:keepNext w:val="0"/>
              <w:keepLines w:val="0"/>
              <w:suppressLineNumbers w:val="0"/>
              <w:kinsoku/>
              <w:wordWrap/>
              <w:overflowPunct/>
              <w:bidi w:val="0"/>
              <w:spacing w:before="0" w:beforeAutospacing="0" w:after="0" w:afterAutospacing="0" w:line="360" w:lineRule="auto"/>
              <w:ind w:left="0" w:right="0"/>
              <w:rPr>
                <w:rFonts w:hint="default" w:ascii="Times New Roman" w:hAnsi="Times New Roman" w:cs="Times New Roman"/>
                <w:sz w:val="20"/>
                <w:szCs w:val="20"/>
                <w:highlight w:val="none"/>
              </w:rPr>
            </w:pPr>
          </w:p>
        </w:tc>
        <w:tc>
          <w:tcPr>
            <w:tcW w:w="911" w:type="dxa"/>
            <w:vMerge w:val="continue"/>
            <w:tcBorders>
              <w:top w:val="single" w:color="auto" w:sz="4" w:space="0"/>
              <w:left w:val="nil"/>
              <w:bottom w:val="single" w:color="auto" w:sz="4" w:space="0"/>
              <w:right w:val="single" w:color="auto" w:sz="4" w:space="0"/>
            </w:tcBorders>
            <w:noWrap w:val="0"/>
            <w:vAlign w:val="center"/>
          </w:tcPr>
          <w:p w14:paraId="1CDFDB78">
            <w:pPr>
              <w:keepNext w:val="0"/>
              <w:keepLines w:val="0"/>
              <w:suppressLineNumbers w:val="0"/>
              <w:kinsoku/>
              <w:wordWrap/>
              <w:overflowPunct/>
              <w:bidi w:val="0"/>
              <w:spacing w:before="0" w:beforeAutospacing="0" w:after="0" w:afterAutospacing="0" w:line="360" w:lineRule="auto"/>
              <w:ind w:left="0" w:right="0"/>
              <w:rPr>
                <w:rFonts w:hint="default" w:ascii="Times New Roman" w:hAnsi="Times New Roman" w:cs="Times New Roman"/>
                <w:sz w:val="20"/>
                <w:szCs w:val="20"/>
                <w:highlight w:val="none"/>
              </w:rPr>
            </w:pPr>
          </w:p>
        </w:tc>
        <w:tc>
          <w:tcPr>
            <w:tcW w:w="911" w:type="dxa"/>
            <w:vMerge w:val="continue"/>
            <w:tcBorders>
              <w:top w:val="single" w:color="auto" w:sz="4" w:space="0"/>
              <w:left w:val="nil"/>
              <w:bottom w:val="single" w:color="auto" w:sz="4" w:space="0"/>
              <w:right w:val="single" w:color="auto" w:sz="4" w:space="0"/>
            </w:tcBorders>
            <w:noWrap w:val="0"/>
            <w:vAlign w:val="center"/>
          </w:tcPr>
          <w:p w14:paraId="61A4D984">
            <w:pPr>
              <w:keepNext w:val="0"/>
              <w:keepLines w:val="0"/>
              <w:suppressLineNumbers w:val="0"/>
              <w:kinsoku/>
              <w:wordWrap/>
              <w:overflowPunct/>
              <w:bidi w:val="0"/>
              <w:spacing w:before="0" w:beforeAutospacing="0" w:after="0" w:afterAutospacing="0" w:line="360" w:lineRule="auto"/>
              <w:ind w:left="0" w:right="0"/>
              <w:rPr>
                <w:rFonts w:hint="default" w:ascii="Times New Roman" w:hAnsi="Times New Roman" w:cs="Times New Roman"/>
                <w:sz w:val="20"/>
                <w:szCs w:val="20"/>
                <w:highlight w:val="none"/>
              </w:rPr>
            </w:pPr>
          </w:p>
        </w:tc>
        <w:tc>
          <w:tcPr>
            <w:tcW w:w="1541" w:type="dxa"/>
            <w:tcBorders>
              <w:top w:val="single" w:color="auto" w:sz="4" w:space="0"/>
              <w:left w:val="nil"/>
              <w:bottom w:val="single" w:color="auto" w:sz="4" w:space="0"/>
              <w:right w:val="single" w:color="auto" w:sz="4" w:space="0"/>
            </w:tcBorders>
            <w:noWrap w:val="0"/>
            <w:vAlign w:val="center"/>
          </w:tcPr>
          <w:p w14:paraId="5108534C">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r>
              <w:rPr>
                <w:rFonts w:hint="eastAsia" w:ascii="宋体" w:hAnsi="宋体" w:eastAsia="宋体" w:cs="宋体"/>
                <w:kern w:val="2"/>
                <w:sz w:val="24"/>
                <w:szCs w:val="24"/>
                <w:highlight w:val="none"/>
                <w:vertAlign w:val="baseline"/>
                <w:lang w:val="en-US" w:eastAsia="zh-CN" w:bidi="ar"/>
              </w:rPr>
              <w:t>证书名称</w:t>
            </w:r>
          </w:p>
        </w:tc>
        <w:tc>
          <w:tcPr>
            <w:tcW w:w="911" w:type="dxa"/>
            <w:tcBorders>
              <w:top w:val="single" w:color="auto" w:sz="4" w:space="0"/>
              <w:left w:val="nil"/>
              <w:bottom w:val="single" w:color="auto" w:sz="4" w:space="0"/>
              <w:right w:val="single" w:color="auto" w:sz="4" w:space="0"/>
            </w:tcBorders>
            <w:noWrap w:val="0"/>
            <w:vAlign w:val="center"/>
          </w:tcPr>
          <w:p w14:paraId="667A4F0B">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r>
              <w:rPr>
                <w:rFonts w:hint="eastAsia" w:ascii="宋体" w:hAnsi="宋体" w:eastAsia="宋体" w:cs="宋体"/>
                <w:kern w:val="2"/>
                <w:sz w:val="24"/>
                <w:szCs w:val="24"/>
                <w:highlight w:val="none"/>
                <w:vertAlign w:val="baseline"/>
                <w:lang w:val="en-US" w:eastAsia="zh-CN" w:bidi="ar"/>
              </w:rPr>
              <w:t>级别</w:t>
            </w:r>
          </w:p>
        </w:tc>
        <w:tc>
          <w:tcPr>
            <w:tcW w:w="911" w:type="dxa"/>
            <w:tcBorders>
              <w:top w:val="single" w:color="auto" w:sz="4" w:space="0"/>
              <w:left w:val="nil"/>
              <w:bottom w:val="single" w:color="auto" w:sz="4" w:space="0"/>
              <w:right w:val="single" w:color="auto" w:sz="4" w:space="0"/>
            </w:tcBorders>
            <w:noWrap w:val="0"/>
            <w:vAlign w:val="center"/>
          </w:tcPr>
          <w:p w14:paraId="34DAF019">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r>
              <w:rPr>
                <w:rFonts w:hint="eastAsia" w:ascii="宋体" w:hAnsi="宋体" w:eastAsia="宋体" w:cs="宋体"/>
                <w:kern w:val="2"/>
                <w:sz w:val="24"/>
                <w:szCs w:val="24"/>
                <w:highlight w:val="none"/>
                <w:vertAlign w:val="baseline"/>
                <w:lang w:val="en-US" w:eastAsia="zh-CN" w:bidi="ar"/>
              </w:rPr>
              <w:t>证号</w:t>
            </w:r>
          </w:p>
        </w:tc>
        <w:tc>
          <w:tcPr>
            <w:tcW w:w="912" w:type="dxa"/>
            <w:tcBorders>
              <w:top w:val="single" w:color="auto" w:sz="4" w:space="0"/>
              <w:left w:val="nil"/>
              <w:bottom w:val="single" w:color="auto" w:sz="4" w:space="0"/>
              <w:right w:val="single" w:color="auto" w:sz="4" w:space="0"/>
            </w:tcBorders>
            <w:noWrap w:val="0"/>
            <w:vAlign w:val="center"/>
          </w:tcPr>
          <w:p w14:paraId="01A07D2C">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r>
              <w:rPr>
                <w:rFonts w:hint="eastAsia" w:ascii="宋体" w:hAnsi="宋体" w:eastAsia="宋体" w:cs="宋体"/>
                <w:kern w:val="2"/>
                <w:sz w:val="24"/>
                <w:szCs w:val="24"/>
                <w:highlight w:val="none"/>
                <w:vertAlign w:val="baseline"/>
                <w:lang w:val="en-US" w:eastAsia="zh-CN" w:bidi="ar"/>
              </w:rPr>
              <w:t>专业</w:t>
            </w:r>
          </w:p>
        </w:tc>
        <w:tc>
          <w:tcPr>
            <w:tcW w:w="911" w:type="dxa"/>
            <w:tcBorders>
              <w:top w:val="single" w:color="auto" w:sz="4" w:space="0"/>
              <w:left w:val="nil"/>
              <w:bottom w:val="single" w:color="auto" w:sz="4" w:space="0"/>
              <w:right w:val="single" w:color="auto" w:sz="4" w:space="0"/>
            </w:tcBorders>
            <w:noWrap w:val="0"/>
            <w:vAlign w:val="center"/>
          </w:tcPr>
          <w:p w14:paraId="098E5792">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r>
      <w:tr w14:paraId="58177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911" w:type="dxa"/>
            <w:tcBorders>
              <w:top w:val="single" w:color="auto" w:sz="4" w:space="0"/>
              <w:left w:val="single" w:color="auto" w:sz="4" w:space="0"/>
              <w:bottom w:val="single" w:color="auto" w:sz="4" w:space="0"/>
              <w:right w:val="single" w:color="auto" w:sz="4" w:space="0"/>
            </w:tcBorders>
            <w:noWrap w:val="0"/>
            <w:vAlign w:val="center"/>
          </w:tcPr>
          <w:p w14:paraId="69C78AF3">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center"/>
          </w:tcPr>
          <w:p w14:paraId="1D3C66FA">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center"/>
          </w:tcPr>
          <w:p w14:paraId="6C30EC7A">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1541" w:type="dxa"/>
            <w:tcBorders>
              <w:top w:val="single" w:color="auto" w:sz="4" w:space="0"/>
              <w:left w:val="nil"/>
              <w:bottom w:val="single" w:color="auto" w:sz="4" w:space="0"/>
              <w:right w:val="single" w:color="auto" w:sz="4" w:space="0"/>
            </w:tcBorders>
            <w:noWrap w:val="0"/>
            <w:vAlign w:val="center"/>
          </w:tcPr>
          <w:p w14:paraId="7F915874">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center"/>
          </w:tcPr>
          <w:p w14:paraId="6081ADD9">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center"/>
          </w:tcPr>
          <w:p w14:paraId="0F884039">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2" w:type="dxa"/>
            <w:tcBorders>
              <w:top w:val="single" w:color="auto" w:sz="4" w:space="0"/>
              <w:left w:val="nil"/>
              <w:bottom w:val="single" w:color="auto" w:sz="4" w:space="0"/>
              <w:right w:val="single" w:color="auto" w:sz="4" w:space="0"/>
            </w:tcBorders>
            <w:noWrap w:val="0"/>
            <w:vAlign w:val="center"/>
          </w:tcPr>
          <w:p w14:paraId="4D796841">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center"/>
          </w:tcPr>
          <w:p w14:paraId="44680086">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r>
      <w:tr w14:paraId="1CB7A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911" w:type="dxa"/>
            <w:tcBorders>
              <w:top w:val="single" w:color="auto" w:sz="4" w:space="0"/>
              <w:left w:val="single" w:color="auto" w:sz="4" w:space="0"/>
              <w:bottom w:val="single" w:color="auto" w:sz="4" w:space="0"/>
              <w:right w:val="single" w:color="auto" w:sz="4" w:space="0"/>
            </w:tcBorders>
            <w:noWrap w:val="0"/>
            <w:vAlign w:val="top"/>
          </w:tcPr>
          <w:p w14:paraId="54E93E5E">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0A5F7176">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2C49DDC2">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1541" w:type="dxa"/>
            <w:tcBorders>
              <w:top w:val="single" w:color="auto" w:sz="4" w:space="0"/>
              <w:left w:val="nil"/>
              <w:bottom w:val="single" w:color="auto" w:sz="4" w:space="0"/>
              <w:right w:val="single" w:color="auto" w:sz="4" w:space="0"/>
            </w:tcBorders>
            <w:noWrap w:val="0"/>
            <w:vAlign w:val="top"/>
          </w:tcPr>
          <w:p w14:paraId="2B77F783">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4B6DF261">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2E8D88CD">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2" w:type="dxa"/>
            <w:tcBorders>
              <w:top w:val="single" w:color="auto" w:sz="4" w:space="0"/>
              <w:left w:val="nil"/>
              <w:bottom w:val="single" w:color="auto" w:sz="4" w:space="0"/>
              <w:right w:val="single" w:color="auto" w:sz="4" w:space="0"/>
            </w:tcBorders>
            <w:noWrap w:val="0"/>
            <w:vAlign w:val="top"/>
          </w:tcPr>
          <w:p w14:paraId="44315EC2">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76C58D9C">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r>
      <w:tr w14:paraId="0746B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911" w:type="dxa"/>
            <w:tcBorders>
              <w:top w:val="single" w:color="auto" w:sz="4" w:space="0"/>
              <w:left w:val="single" w:color="auto" w:sz="4" w:space="0"/>
              <w:bottom w:val="single" w:color="auto" w:sz="4" w:space="0"/>
              <w:right w:val="single" w:color="auto" w:sz="4" w:space="0"/>
            </w:tcBorders>
            <w:noWrap w:val="0"/>
            <w:vAlign w:val="top"/>
          </w:tcPr>
          <w:p w14:paraId="551400A6">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3842CDB7">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2DC08467">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1541" w:type="dxa"/>
            <w:tcBorders>
              <w:top w:val="single" w:color="auto" w:sz="4" w:space="0"/>
              <w:left w:val="nil"/>
              <w:bottom w:val="single" w:color="auto" w:sz="4" w:space="0"/>
              <w:right w:val="single" w:color="auto" w:sz="4" w:space="0"/>
            </w:tcBorders>
            <w:noWrap w:val="0"/>
            <w:vAlign w:val="top"/>
          </w:tcPr>
          <w:p w14:paraId="06495591">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75D2D035">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1424243E">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2" w:type="dxa"/>
            <w:tcBorders>
              <w:top w:val="single" w:color="auto" w:sz="4" w:space="0"/>
              <w:left w:val="nil"/>
              <w:bottom w:val="single" w:color="auto" w:sz="4" w:space="0"/>
              <w:right w:val="single" w:color="auto" w:sz="4" w:space="0"/>
            </w:tcBorders>
            <w:noWrap w:val="0"/>
            <w:vAlign w:val="top"/>
          </w:tcPr>
          <w:p w14:paraId="2D3376A3">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19FA5724">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r>
      <w:tr w14:paraId="0AFF2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911" w:type="dxa"/>
            <w:tcBorders>
              <w:top w:val="single" w:color="auto" w:sz="4" w:space="0"/>
              <w:left w:val="single" w:color="auto" w:sz="4" w:space="0"/>
              <w:bottom w:val="single" w:color="auto" w:sz="4" w:space="0"/>
              <w:right w:val="single" w:color="auto" w:sz="4" w:space="0"/>
            </w:tcBorders>
            <w:noWrap w:val="0"/>
            <w:vAlign w:val="top"/>
          </w:tcPr>
          <w:p w14:paraId="2D8ACD87">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3DB87F8C">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53E238E0">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1541" w:type="dxa"/>
            <w:tcBorders>
              <w:top w:val="single" w:color="auto" w:sz="4" w:space="0"/>
              <w:left w:val="nil"/>
              <w:bottom w:val="single" w:color="auto" w:sz="4" w:space="0"/>
              <w:right w:val="single" w:color="auto" w:sz="4" w:space="0"/>
            </w:tcBorders>
            <w:noWrap w:val="0"/>
            <w:vAlign w:val="top"/>
          </w:tcPr>
          <w:p w14:paraId="4EB436C6">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132ACB65">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174C944A">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2" w:type="dxa"/>
            <w:tcBorders>
              <w:top w:val="single" w:color="auto" w:sz="4" w:space="0"/>
              <w:left w:val="nil"/>
              <w:bottom w:val="single" w:color="auto" w:sz="4" w:space="0"/>
              <w:right w:val="single" w:color="auto" w:sz="4" w:space="0"/>
            </w:tcBorders>
            <w:noWrap w:val="0"/>
            <w:vAlign w:val="top"/>
          </w:tcPr>
          <w:p w14:paraId="0CD7DCC2">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11C0383A">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r>
      <w:tr w14:paraId="20EFB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911" w:type="dxa"/>
            <w:tcBorders>
              <w:top w:val="single" w:color="auto" w:sz="4" w:space="0"/>
              <w:left w:val="single" w:color="auto" w:sz="4" w:space="0"/>
              <w:bottom w:val="single" w:color="auto" w:sz="4" w:space="0"/>
              <w:right w:val="single" w:color="auto" w:sz="4" w:space="0"/>
            </w:tcBorders>
            <w:noWrap w:val="0"/>
            <w:vAlign w:val="top"/>
          </w:tcPr>
          <w:p w14:paraId="009A7ABA">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7328963F">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77B9CDA0">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1541" w:type="dxa"/>
            <w:tcBorders>
              <w:top w:val="single" w:color="auto" w:sz="4" w:space="0"/>
              <w:left w:val="nil"/>
              <w:bottom w:val="single" w:color="auto" w:sz="4" w:space="0"/>
              <w:right w:val="single" w:color="auto" w:sz="4" w:space="0"/>
            </w:tcBorders>
            <w:noWrap w:val="0"/>
            <w:vAlign w:val="top"/>
          </w:tcPr>
          <w:p w14:paraId="67A00FC6">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77A8976C">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6B90F4C9">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2" w:type="dxa"/>
            <w:tcBorders>
              <w:top w:val="single" w:color="auto" w:sz="4" w:space="0"/>
              <w:left w:val="nil"/>
              <w:bottom w:val="single" w:color="auto" w:sz="4" w:space="0"/>
              <w:right w:val="single" w:color="auto" w:sz="4" w:space="0"/>
            </w:tcBorders>
            <w:noWrap w:val="0"/>
            <w:vAlign w:val="top"/>
          </w:tcPr>
          <w:p w14:paraId="3C0ACB6D">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4775ABA1">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r>
      <w:tr w14:paraId="7B1BD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911" w:type="dxa"/>
            <w:tcBorders>
              <w:top w:val="single" w:color="auto" w:sz="4" w:space="0"/>
              <w:left w:val="single" w:color="auto" w:sz="4" w:space="0"/>
              <w:bottom w:val="single" w:color="auto" w:sz="4" w:space="0"/>
              <w:right w:val="single" w:color="auto" w:sz="4" w:space="0"/>
            </w:tcBorders>
            <w:noWrap w:val="0"/>
            <w:vAlign w:val="top"/>
          </w:tcPr>
          <w:p w14:paraId="180569F4">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3E3A8AEE">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26072802">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1541" w:type="dxa"/>
            <w:tcBorders>
              <w:top w:val="single" w:color="auto" w:sz="4" w:space="0"/>
              <w:left w:val="nil"/>
              <w:bottom w:val="single" w:color="auto" w:sz="4" w:space="0"/>
              <w:right w:val="single" w:color="auto" w:sz="4" w:space="0"/>
            </w:tcBorders>
            <w:noWrap w:val="0"/>
            <w:vAlign w:val="top"/>
          </w:tcPr>
          <w:p w14:paraId="15F8D22F">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5A437EA2">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721FEB56">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2" w:type="dxa"/>
            <w:tcBorders>
              <w:top w:val="single" w:color="auto" w:sz="4" w:space="0"/>
              <w:left w:val="nil"/>
              <w:bottom w:val="single" w:color="auto" w:sz="4" w:space="0"/>
              <w:right w:val="single" w:color="auto" w:sz="4" w:space="0"/>
            </w:tcBorders>
            <w:noWrap w:val="0"/>
            <w:vAlign w:val="top"/>
          </w:tcPr>
          <w:p w14:paraId="59821308">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0E6EAA1E">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r>
      <w:tr w14:paraId="39BA4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911" w:type="dxa"/>
            <w:tcBorders>
              <w:top w:val="single" w:color="auto" w:sz="4" w:space="0"/>
              <w:left w:val="single" w:color="auto" w:sz="4" w:space="0"/>
              <w:bottom w:val="single" w:color="auto" w:sz="4" w:space="0"/>
              <w:right w:val="single" w:color="auto" w:sz="4" w:space="0"/>
            </w:tcBorders>
            <w:noWrap w:val="0"/>
            <w:vAlign w:val="top"/>
          </w:tcPr>
          <w:p w14:paraId="69466643">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37676F84">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3DF05123">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1541" w:type="dxa"/>
            <w:tcBorders>
              <w:top w:val="single" w:color="auto" w:sz="4" w:space="0"/>
              <w:left w:val="nil"/>
              <w:bottom w:val="single" w:color="auto" w:sz="4" w:space="0"/>
              <w:right w:val="single" w:color="auto" w:sz="4" w:space="0"/>
            </w:tcBorders>
            <w:noWrap w:val="0"/>
            <w:vAlign w:val="top"/>
          </w:tcPr>
          <w:p w14:paraId="45E9561C">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7BB4F252">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394D662D">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2" w:type="dxa"/>
            <w:tcBorders>
              <w:top w:val="single" w:color="auto" w:sz="4" w:space="0"/>
              <w:left w:val="nil"/>
              <w:bottom w:val="single" w:color="auto" w:sz="4" w:space="0"/>
              <w:right w:val="single" w:color="auto" w:sz="4" w:space="0"/>
            </w:tcBorders>
            <w:noWrap w:val="0"/>
            <w:vAlign w:val="top"/>
          </w:tcPr>
          <w:p w14:paraId="30AEC691">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5F0B8675">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r>
      <w:tr w14:paraId="0B89C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911" w:type="dxa"/>
            <w:tcBorders>
              <w:top w:val="single" w:color="auto" w:sz="4" w:space="0"/>
              <w:left w:val="single" w:color="auto" w:sz="4" w:space="0"/>
              <w:bottom w:val="single" w:color="auto" w:sz="4" w:space="0"/>
              <w:right w:val="single" w:color="auto" w:sz="4" w:space="0"/>
            </w:tcBorders>
            <w:noWrap w:val="0"/>
            <w:vAlign w:val="top"/>
          </w:tcPr>
          <w:p w14:paraId="4535A892">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62435912">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3CE6BEB7">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1541" w:type="dxa"/>
            <w:tcBorders>
              <w:top w:val="single" w:color="auto" w:sz="4" w:space="0"/>
              <w:left w:val="nil"/>
              <w:bottom w:val="single" w:color="auto" w:sz="4" w:space="0"/>
              <w:right w:val="single" w:color="auto" w:sz="4" w:space="0"/>
            </w:tcBorders>
            <w:noWrap w:val="0"/>
            <w:vAlign w:val="top"/>
          </w:tcPr>
          <w:p w14:paraId="2C962C93">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08213EFE">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7805706C">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2" w:type="dxa"/>
            <w:tcBorders>
              <w:top w:val="single" w:color="auto" w:sz="4" w:space="0"/>
              <w:left w:val="nil"/>
              <w:bottom w:val="single" w:color="auto" w:sz="4" w:space="0"/>
              <w:right w:val="single" w:color="auto" w:sz="4" w:space="0"/>
            </w:tcBorders>
            <w:noWrap w:val="0"/>
            <w:vAlign w:val="top"/>
          </w:tcPr>
          <w:p w14:paraId="574158E6">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5EF16A64">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r>
      <w:tr w14:paraId="18B56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911" w:type="dxa"/>
            <w:tcBorders>
              <w:top w:val="single" w:color="auto" w:sz="4" w:space="0"/>
              <w:left w:val="single" w:color="auto" w:sz="4" w:space="0"/>
              <w:bottom w:val="single" w:color="auto" w:sz="4" w:space="0"/>
              <w:right w:val="single" w:color="auto" w:sz="4" w:space="0"/>
            </w:tcBorders>
            <w:noWrap w:val="0"/>
            <w:vAlign w:val="top"/>
          </w:tcPr>
          <w:p w14:paraId="027370EB">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49A2964F">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0AC49B7C">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1541" w:type="dxa"/>
            <w:tcBorders>
              <w:top w:val="single" w:color="auto" w:sz="4" w:space="0"/>
              <w:left w:val="nil"/>
              <w:bottom w:val="single" w:color="auto" w:sz="4" w:space="0"/>
              <w:right w:val="single" w:color="auto" w:sz="4" w:space="0"/>
            </w:tcBorders>
            <w:noWrap w:val="0"/>
            <w:vAlign w:val="top"/>
          </w:tcPr>
          <w:p w14:paraId="5040A156">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2C1F5E3E">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4339B624">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2" w:type="dxa"/>
            <w:tcBorders>
              <w:top w:val="single" w:color="auto" w:sz="4" w:space="0"/>
              <w:left w:val="nil"/>
              <w:bottom w:val="single" w:color="auto" w:sz="4" w:space="0"/>
              <w:right w:val="single" w:color="auto" w:sz="4" w:space="0"/>
            </w:tcBorders>
            <w:noWrap w:val="0"/>
            <w:vAlign w:val="top"/>
          </w:tcPr>
          <w:p w14:paraId="252F8A48">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02377317">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r>
      <w:tr w14:paraId="59AC1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911" w:type="dxa"/>
            <w:tcBorders>
              <w:top w:val="single" w:color="auto" w:sz="4" w:space="0"/>
              <w:left w:val="single" w:color="auto" w:sz="4" w:space="0"/>
              <w:bottom w:val="single" w:color="auto" w:sz="4" w:space="0"/>
              <w:right w:val="single" w:color="auto" w:sz="4" w:space="0"/>
            </w:tcBorders>
            <w:noWrap w:val="0"/>
            <w:vAlign w:val="top"/>
          </w:tcPr>
          <w:p w14:paraId="24E9384F">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257FF784">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68C7BA94">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1541" w:type="dxa"/>
            <w:tcBorders>
              <w:top w:val="single" w:color="auto" w:sz="4" w:space="0"/>
              <w:left w:val="nil"/>
              <w:bottom w:val="single" w:color="auto" w:sz="4" w:space="0"/>
              <w:right w:val="single" w:color="auto" w:sz="4" w:space="0"/>
            </w:tcBorders>
            <w:noWrap w:val="0"/>
            <w:vAlign w:val="top"/>
          </w:tcPr>
          <w:p w14:paraId="6BE9EA04">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29D87C70">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09EAB0FC">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2" w:type="dxa"/>
            <w:tcBorders>
              <w:top w:val="single" w:color="auto" w:sz="4" w:space="0"/>
              <w:left w:val="nil"/>
              <w:bottom w:val="single" w:color="auto" w:sz="4" w:space="0"/>
              <w:right w:val="single" w:color="auto" w:sz="4" w:space="0"/>
            </w:tcBorders>
            <w:noWrap w:val="0"/>
            <w:vAlign w:val="top"/>
          </w:tcPr>
          <w:p w14:paraId="4249BEC9">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c>
          <w:tcPr>
            <w:tcW w:w="911" w:type="dxa"/>
            <w:tcBorders>
              <w:top w:val="single" w:color="auto" w:sz="4" w:space="0"/>
              <w:left w:val="nil"/>
              <w:bottom w:val="single" w:color="auto" w:sz="4" w:space="0"/>
              <w:right w:val="single" w:color="auto" w:sz="4" w:space="0"/>
            </w:tcBorders>
            <w:noWrap w:val="0"/>
            <w:vAlign w:val="top"/>
          </w:tcPr>
          <w:p w14:paraId="115B9155">
            <w:pPr>
              <w:keepNext w:val="0"/>
              <w:keepLines w:val="0"/>
              <w:widowControl w:val="0"/>
              <w:suppressLineNumbers w:val="0"/>
              <w:kinsoku/>
              <w:wordWrap/>
              <w:overflowPunct/>
              <w:bidi w:val="0"/>
              <w:adjustRightInd w:val="0"/>
              <w:spacing w:before="0" w:beforeAutospacing="0" w:after="0" w:afterAutospacing="0" w:line="360" w:lineRule="auto"/>
              <w:ind w:left="0" w:right="0"/>
              <w:jc w:val="center"/>
              <w:textAlignment w:val="baseline"/>
              <w:rPr>
                <w:rFonts w:hint="eastAsia" w:ascii="宋体" w:hAnsi="宋体" w:eastAsia="宋体" w:cs="宋体"/>
                <w:sz w:val="24"/>
                <w:szCs w:val="24"/>
                <w:highlight w:val="none"/>
                <w:vertAlign w:val="baseline"/>
                <w:lang w:val="en-US"/>
              </w:rPr>
            </w:pPr>
          </w:p>
        </w:tc>
      </w:tr>
    </w:tbl>
    <w:p w14:paraId="44810BDA">
      <w:pPr>
        <w:keepNext w:val="0"/>
        <w:keepLines w:val="0"/>
        <w:widowControl w:val="0"/>
        <w:suppressLineNumbers w:val="0"/>
        <w:kinsoku/>
        <w:wordWrap/>
        <w:overflowPunct/>
        <w:topLinePunct/>
        <w:bidi w:val="0"/>
        <w:spacing w:before="0" w:beforeAutospacing="0" w:after="0" w:afterAutospacing="0" w:line="360" w:lineRule="auto"/>
        <w:ind w:left="0" w:right="0"/>
        <w:jc w:val="both"/>
        <w:rPr>
          <w:rFonts w:hint="eastAsia" w:ascii="宋体" w:hAnsi="宋体" w:eastAsia="宋体" w:cs="宋体"/>
          <w:kern w:val="2"/>
          <w:sz w:val="21"/>
          <w:szCs w:val="22"/>
          <w:highlight w:val="none"/>
          <w:lang w:val="en-US" w:eastAsia="zh-CN" w:bidi="ar"/>
        </w:rPr>
      </w:pPr>
      <w:r>
        <w:rPr>
          <w:rFonts w:hint="eastAsia" w:ascii="宋体" w:hAnsi="宋体" w:eastAsia="宋体" w:cs="宋体"/>
          <w:kern w:val="2"/>
          <w:sz w:val="21"/>
          <w:szCs w:val="22"/>
          <w:highlight w:val="none"/>
          <w:lang w:val="en-US" w:eastAsia="zh-CN" w:bidi="ar"/>
        </w:rPr>
        <w:t xml:space="preserve"> </w:t>
      </w:r>
    </w:p>
    <w:p w14:paraId="5F1C3426">
      <w:pPr>
        <w:rPr>
          <w:rFonts w:hint="eastAsia" w:ascii="宋体" w:hAnsi="宋体" w:eastAsia="宋体" w:cs="宋体"/>
          <w:kern w:val="2"/>
          <w:sz w:val="21"/>
          <w:szCs w:val="22"/>
          <w:highlight w:val="none"/>
          <w:lang w:val="en-US" w:eastAsia="zh-CN" w:bidi="ar"/>
        </w:rPr>
      </w:pPr>
      <w:r>
        <w:rPr>
          <w:rFonts w:hint="eastAsia" w:ascii="宋体" w:hAnsi="宋体" w:eastAsia="宋体" w:cs="宋体"/>
          <w:kern w:val="2"/>
          <w:sz w:val="21"/>
          <w:szCs w:val="22"/>
          <w:highlight w:val="none"/>
          <w:lang w:val="en-US" w:eastAsia="zh-CN" w:bidi="ar"/>
        </w:rPr>
        <w:br w:type="page"/>
      </w:r>
    </w:p>
    <w:p w14:paraId="37A2245E">
      <w:pPr>
        <w:pStyle w:val="44"/>
        <w:widowControl/>
        <w:numPr>
          <w:ilvl w:val="2"/>
          <w:numId w:val="0"/>
        </w:numPr>
        <w:kinsoku/>
        <w:wordWrap/>
        <w:overflowPunct/>
        <w:bidi w:val="0"/>
        <w:spacing w:line="360" w:lineRule="auto"/>
        <w:ind w:left="-420" w:leftChars="0" w:right="0" w:rightChars="0"/>
        <w:jc w:val="center"/>
        <w:rPr>
          <w:rFonts w:hint="eastAsia" w:ascii="宋体" w:hAnsi="宋体" w:eastAsia="宋体" w:cs="宋体"/>
          <w:b/>
          <w:bCs/>
          <w:highlight w:val="none"/>
          <w:lang w:val="en-US"/>
        </w:rPr>
      </w:pPr>
      <w:r>
        <w:rPr>
          <w:rFonts w:hint="eastAsia" w:ascii="宋体" w:hAnsi="宋体" w:eastAsia="宋体" w:cs="宋体"/>
          <w:b/>
          <w:bCs/>
          <w:highlight w:val="none"/>
          <w:lang w:eastAsia="zh-CN"/>
        </w:rPr>
        <w:t>（二）主要人员简历表</w:t>
      </w:r>
    </w:p>
    <w:p w14:paraId="447AC1E2">
      <w:pPr>
        <w:keepNext w:val="0"/>
        <w:keepLines w:val="0"/>
        <w:widowControl w:val="0"/>
        <w:suppressLineNumbers w:val="0"/>
        <w:kinsoku/>
        <w:wordWrap/>
        <w:overflowPunct/>
        <w:bidi w:val="0"/>
        <w:spacing w:before="0" w:beforeAutospacing="0" w:after="0" w:afterAutospacing="0" w:line="360" w:lineRule="auto"/>
        <w:ind w:left="0" w:right="0" w:firstLine="360" w:firstLineChars="150"/>
        <w:jc w:val="both"/>
        <w:rPr>
          <w:rFonts w:hint="eastAsia" w:ascii="宋体" w:hAnsi="宋体" w:eastAsia="宋体" w:cs="宋体"/>
          <w:sz w:val="24"/>
          <w:szCs w:val="24"/>
          <w:highlight w:val="none"/>
          <w:lang w:val="en-US"/>
        </w:rPr>
      </w:pPr>
      <w:bookmarkStart w:id="393" w:name="_Toc152045807"/>
      <w:bookmarkEnd w:id="393"/>
      <w:bookmarkStart w:id="394" w:name="_Toc144974875"/>
      <w:bookmarkEnd w:id="394"/>
      <w:bookmarkStart w:id="395" w:name="_Toc152042596"/>
      <w:bookmarkEnd w:id="395"/>
      <w:r>
        <w:rPr>
          <w:rFonts w:hint="eastAsia" w:ascii="宋体" w:hAnsi="宋体" w:eastAsia="宋体" w:cs="宋体"/>
          <w:kern w:val="2"/>
          <w:sz w:val="24"/>
          <w:szCs w:val="24"/>
          <w:highlight w:val="none"/>
          <w:lang w:val="en-US" w:eastAsia="zh-CN" w:bidi="ar"/>
        </w:rPr>
        <w:t>“主要人员简历表”中的项目经理应附身份证、注册建造师证书、安全生产考核合格证书（B证）、职称证（如有）、学历证（如有）等扫描件及无在建工程承诺书，技术负责人应附身份证、职称证等扫描件；其他主要人员应附职称证（执业证或上岗证书）、身份证等扫描件。</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1035"/>
        <w:gridCol w:w="1135"/>
        <w:gridCol w:w="1275"/>
        <w:gridCol w:w="1989"/>
        <w:gridCol w:w="1982"/>
      </w:tblGrid>
      <w:tr w14:paraId="7E731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tcBorders>
              <w:top w:val="single" w:color="auto" w:sz="4" w:space="0"/>
              <w:left w:val="single" w:color="auto" w:sz="4" w:space="0"/>
              <w:bottom w:val="single" w:color="auto" w:sz="4" w:space="0"/>
              <w:right w:val="single" w:color="auto" w:sz="4" w:space="0"/>
            </w:tcBorders>
            <w:noWrap w:val="0"/>
            <w:vAlign w:val="center"/>
          </w:tcPr>
          <w:p w14:paraId="5F7B6B1A">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姓  名</w:t>
            </w:r>
          </w:p>
        </w:tc>
        <w:tc>
          <w:tcPr>
            <w:tcW w:w="1035" w:type="dxa"/>
            <w:tcBorders>
              <w:top w:val="single" w:color="auto" w:sz="4" w:space="0"/>
              <w:left w:val="nil"/>
              <w:bottom w:val="single" w:color="auto" w:sz="4" w:space="0"/>
              <w:right w:val="single" w:color="auto" w:sz="4" w:space="0"/>
            </w:tcBorders>
            <w:noWrap w:val="0"/>
            <w:vAlign w:val="center"/>
          </w:tcPr>
          <w:p w14:paraId="03CD0899">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135" w:type="dxa"/>
            <w:tcBorders>
              <w:top w:val="single" w:color="auto" w:sz="4" w:space="0"/>
              <w:left w:val="nil"/>
              <w:bottom w:val="single" w:color="auto" w:sz="4" w:space="0"/>
              <w:right w:val="single" w:color="auto" w:sz="4" w:space="0"/>
            </w:tcBorders>
            <w:noWrap w:val="0"/>
            <w:vAlign w:val="center"/>
          </w:tcPr>
          <w:p w14:paraId="05E3B3BA">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年  龄</w:t>
            </w:r>
          </w:p>
        </w:tc>
        <w:tc>
          <w:tcPr>
            <w:tcW w:w="1275" w:type="dxa"/>
            <w:tcBorders>
              <w:top w:val="single" w:color="auto" w:sz="4" w:space="0"/>
              <w:left w:val="nil"/>
              <w:bottom w:val="single" w:color="auto" w:sz="4" w:space="0"/>
              <w:right w:val="single" w:color="auto" w:sz="4" w:space="0"/>
            </w:tcBorders>
            <w:noWrap w:val="0"/>
            <w:vAlign w:val="center"/>
          </w:tcPr>
          <w:p w14:paraId="7C8CE490">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9" w:type="dxa"/>
            <w:tcBorders>
              <w:top w:val="single" w:color="auto" w:sz="4" w:space="0"/>
              <w:left w:val="nil"/>
              <w:bottom w:val="single" w:color="auto" w:sz="4" w:space="0"/>
              <w:right w:val="single" w:color="auto" w:sz="4" w:space="0"/>
            </w:tcBorders>
            <w:noWrap w:val="0"/>
            <w:vAlign w:val="center"/>
          </w:tcPr>
          <w:p w14:paraId="23BFE171">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学历</w:t>
            </w:r>
          </w:p>
        </w:tc>
        <w:tc>
          <w:tcPr>
            <w:tcW w:w="1982" w:type="dxa"/>
            <w:tcBorders>
              <w:top w:val="single" w:color="auto" w:sz="4" w:space="0"/>
              <w:left w:val="nil"/>
              <w:bottom w:val="single" w:color="auto" w:sz="4" w:space="0"/>
              <w:right w:val="single" w:color="auto" w:sz="4" w:space="0"/>
            </w:tcBorders>
            <w:noWrap w:val="0"/>
            <w:vAlign w:val="center"/>
          </w:tcPr>
          <w:p w14:paraId="4E356E0F">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r>
      <w:tr w14:paraId="15350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tcBorders>
              <w:top w:val="single" w:color="auto" w:sz="4" w:space="0"/>
              <w:left w:val="single" w:color="auto" w:sz="4" w:space="0"/>
              <w:bottom w:val="single" w:color="auto" w:sz="4" w:space="0"/>
              <w:right w:val="single" w:color="auto" w:sz="4" w:space="0"/>
            </w:tcBorders>
            <w:noWrap w:val="0"/>
            <w:vAlign w:val="center"/>
          </w:tcPr>
          <w:p w14:paraId="16501775">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职  称</w:t>
            </w:r>
          </w:p>
        </w:tc>
        <w:tc>
          <w:tcPr>
            <w:tcW w:w="1035" w:type="dxa"/>
            <w:tcBorders>
              <w:top w:val="single" w:color="auto" w:sz="4" w:space="0"/>
              <w:left w:val="nil"/>
              <w:bottom w:val="single" w:color="auto" w:sz="4" w:space="0"/>
              <w:right w:val="single" w:color="auto" w:sz="4" w:space="0"/>
            </w:tcBorders>
            <w:noWrap w:val="0"/>
            <w:vAlign w:val="center"/>
          </w:tcPr>
          <w:p w14:paraId="5CEA5D2F">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135" w:type="dxa"/>
            <w:tcBorders>
              <w:top w:val="single" w:color="auto" w:sz="4" w:space="0"/>
              <w:left w:val="nil"/>
              <w:bottom w:val="single" w:color="auto" w:sz="4" w:space="0"/>
              <w:right w:val="single" w:color="auto" w:sz="4" w:space="0"/>
            </w:tcBorders>
            <w:noWrap w:val="0"/>
            <w:vAlign w:val="center"/>
          </w:tcPr>
          <w:p w14:paraId="4EFE0B25">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职  务</w:t>
            </w:r>
          </w:p>
        </w:tc>
        <w:tc>
          <w:tcPr>
            <w:tcW w:w="1275" w:type="dxa"/>
            <w:tcBorders>
              <w:top w:val="single" w:color="auto" w:sz="4" w:space="0"/>
              <w:left w:val="nil"/>
              <w:bottom w:val="single" w:color="auto" w:sz="4" w:space="0"/>
              <w:right w:val="single" w:color="auto" w:sz="4" w:space="0"/>
            </w:tcBorders>
            <w:noWrap w:val="0"/>
            <w:vAlign w:val="center"/>
          </w:tcPr>
          <w:p w14:paraId="6D1A2E4C">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9" w:type="dxa"/>
            <w:tcBorders>
              <w:top w:val="single" w:color="auto" w:sz="4" w:space="0"/>
              <w:left w:val="nil"/>
              <w:bottom w:val="single" w:color="auto" w:sz="4" w:space="0"/>
              <w:right w:val="single" w:color="auto" w:sz="4" w:space="0"/>
            </w:tcBorders>
            <w:noWrap w:val="0"/>
            <w:vAlign w:val="center"/>
          </w:tcPr>
          <w:p w14:paraId="460EE225">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拟在本工程任职</w:t>
            </w:r>
          </w:p>
        </w:tc>
        <w:tc>
          <w:tcPr>
            <w:tcW w:w="1982" w:type="dxa"/>
            <w:tcBorders>
              <w:top w:val="single" w:color="auto" w:sz="4" w:space="0"/>
              <w:left w:val="nil"/>
              <w:bottom w:val="single" w:color="auto" w:sz="4" w:space="0"/>
              <w:right w:val="single" w:color="auto" w:sz="4" w:space="0"/>
            </w:tcBorders>
            <w:noWrap w:val="0"/>
            <w:vAlign w:val="center"/>
          </w:tcPr>
          <w:p w14:paraId="570A6042">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r>
      <w:tr w14:paraId="5BA8B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tcBorders>
              <w:top w:val="single" w:color="auto" w:sz="4" w:space="0"/>
              <w:left w:val="single" w:color="auto" w:sz="4" w:space="0"/>
              <w:bottom w:val="single" w:color="auto" w:sz="4" w:space="0"/>
              <w:right w:val="single" w:color="auto" w:sz="4" w:space="0"/>
            </w:tcBorders>
            <w:noWrap w:val="0"/>
            <w:vAlign w:val="center"/>
          </w:tcPr>
          <w:p w14:paraId="47FDEF80">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毕业学校</w:t>
            </w:r>
          </w:p>
        </w:tc>
        <w:tc>
          <w:tcPr>
            <w:tcW w:w="7416" w:type="dxa"/>
            <w:gridSpan w:val="5"/>
            <w:tcBorders>
              <w:top w:val="single" w:color="auto" w:sz="4" w:space="0"/>
              <w:left w:val="nil"/>
              <w:bottom w:val="single" w:color="auto" w:sz="4" w:space="0"/>
              <w:right w:val="single" w:color="auto" w:sz="4" w:space="0"/>
            </w:tcBorders>
            <w:noWrap w:val="0"/>
            <w:vAlign w:val="center"/>
          </w:tcPr>
          <w:p w14:paraId="1F8C9FD3">
            <w:pPr>
              <w:keepNext w:val="0"/>
              <w:keepLines w:val="0"/>
              <w:widowControl w:val="0"/>
              <w:suppressLineNumbers w:val="0"/>
              <w:kinsoku/>
              <w:wordWrap/>
              <w:overflowPunct/>
              <w:bidi w:val="0"/>
              <w:spacing w:before="0" w:beforeAutospacing="0" w:after="0" w:afterAutospacing="0" w:line="360" w:lineRule="auto"/>
              <w:ind w:left="0" w:right="0" w:firstLine="1440" w:firstLineChars="600"/>
              <w:jc w:val="both"/>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年毕业于                  学校            专业</w:t>
            </w:r>
          </w:p>
        </w:tc>
      </w:tr>
      <w:tr w14:paraId="01285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08" w:type="dxa"/>
            <w:gridSpan w:val="6"/>
            <w:tcBorders>
              <w:top w:val="single" w:color="auto" w:sz="4" w:space="0"/>
              <w:left w:val="single" w:color="auto" w:sz="4" w:space="0"/>
              <w:bottom w:val="single" w:color="auto" w:sz="4" w:space="0"/>
              <w:right w:val="single" w:color="auto" w:sz="4" w:space="0"/>
            </w:tcBorders>
            <w:noWrap w:val="0"/>
            <w:vAlign w:val="center"/>
          </w:tcPr>
          <w:p w14:paraId="4DDE9936">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主要工作经历</w:t>
            </w:r>
          </w:p>
        </w:tc>
      </w:tr>
      <w:tr w14:paraId="608A0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tcBorders>
              <w:top w:val="single" w:color="auto" w:sz="4" w:space="0"/>
              <w:left w:val="single" w:color="auto" w:sz="4" w:space="0"/>
              <w:bottom w:val="single" w:color="auto" w:sz="4" w:space="0"/>
              <w:right w:val="single" w:color="auto" w:sz="4" w:space="0"/>
            </w:tcBorders>
            <w:noWrap w:val="0"/>
            <w:vAlign w:val="center"/>
          </w:tcPr>
          <w:p w14:paraId="1C1C19F3">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时  间</w:t>
            </w:r>
          </w:p>
        </w:tc>
        <w:tc>
          <w:tcPr>
            <w:tcW w:w="3445" w:type="dxa"/>
            <w:gridSpan w:val="3"/>
            <w:tcBorders>
              <w:top w:val="single" w:color="auto" w:sz="4" w:space="0"/>
              <w:left w:val="nil"/>
              <w:bottom w:val="single" w:color="auto" w:sz="4" w:space="0"/>
              <w:right w:val="single" w:color="auto" w:sz="4" w:space="0"/>
            </w:tcBorders>
            <w:noWrap w:val="0"/>
            <w:vAlign w:val="center"/>
          </w:tcPr>
          <w:p w14:paraId="0D0BF150">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参加过的类似项目名称</w:t>
            </w:r>
          </w:p>
        </w:tc>
        <w:tc>
          <w:tcPr>
            <w:tcW w:w="1989" w:type="dxa"/>
            <w:tcBorders>
              <w:top w:val="single" w:color="auto" w:sz="4" w:space="0"/>
              <w:left w:val="nil"/>
              <w:bottom w:val="single" w:color="auto" w:sz="4" w:space="0"/>
              <w:right w:val="single" w:color="auto" w:sz="4" w:space="0"/>
            </w:tcBorders>
            <w:noWrap w:val="0"/>
            <w:vAlign w:val="center"/>
          </w:tcPr>
          <w:p w14:paraId="49B0C0C9">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担任职务</w:t>
            </w:r>
          </w:p>
        </w:tc>
        <w:tc>
          <w:tcPr>
            <w:tcW w:w="1982" w:type="dxa"/>
            <w:tcBorders>
              <w:top w:val="single" w:color="auto" w:sz="4" w:space="0"/>
              <w:left w:val="nil"/>
              <w:bottom w:val="single" w:color="auto" w:sz="4" w:space="0"/>
              <w:right w:val="single" w:color="auto" w:sz="4" w:space="0"/>
            </w:tcBorders>
            <w:noWrap w:val="0"/>
            <w:vAlign w:val="center"/>
          </w:tcPr>
          <w:p w14:paraId="2351E1D3">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发包人及联系电话</w:t>
            </w:r>
          </w:p>
        </w:tc>
      </w:tr>
      <w:tr w14:paraId="7BB6D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tcBorders>
              <w:top w:val="single" w:color="auto" w:sz="4" w:space="0"/>
              <w:left w:val="single" w:color="auto" w:sz="4" w:space="0"/>
              <w:bottom w:val="single" w:color="auto" w:sz="4" w:space="0"/>
              <w:right w:val="single" w:color="auto" w:sz="4" w:space="0"/>
            </w:tcBorders>
            <w:noWrap w:val="0"/>
            <w:vAlign w:val="center"/>
          </w:tcPr>
          <w:p w14:paraId="10BC5EBB">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035" w:type="dxa"/>
            <w:tcBorders>
              <w:top w:val="single" w:color="auto" w:sz="4" w:space="0"/>
              <w:left w:val="nil"/>
              <w:bottom w:val="single" w:color="auto" w:sz="4" w:space="0"/>
              <w:right w:val="single" w:color="auto" w:sz="4" w:space="0"/>
            </w:tcBorders>
            <w:noWrap w:val="0"/>
            <w:vAlign w:val="center"/>
          </w:tcPr>
          <w:p w14:paraId="5E35A212">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135" w:type="dxa"/>
            <w:tcBorders>
              <w:top w:val="single" w:color="auto" w:sz="4" w:space="0"/>
              <w:left w:val="nil"/>
              <w:bottom w:val="single" w:color="auto" w:sz="4" w:space="0"/>
              <w:right w:val="single" w:color="auto" w:sz="4" w:space="0"/>
            </w:tcBorders>
            <w:noWrap w:val="0"/>
            <w:vAlign w:val="center"/>
          </w:tcPr>
          <w:p w14:paraId="66F0DA73">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275" w:type="dxa"/>
            <w:tcBorders>
              <w:top w:val="single" w:color="auto" w:sz="4" w:space="0"/>
              <w:left w:val="nil"/>
              <w:bottom w:val="single" w:color="auto" w:sz="4" w:space="0"/>
              <w:right w:val="single" w:color="auto" w:sz="4" w:space="0"/>
            </w:tcBorders>
            <w:noWrap w:val="0"/>
            <w:vAlign w:val="center"/>
          </w:tcPr>
          <w:p w14:paraId="749ECCE7">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9" w:type="dxa"/>
            <w:tcBorders>
              <w:top w:val="single" w:color="auto" w:sz="4" w:space="0"/>
              <w:left w:val="nil"/>
              <w:bottom w:val="single" w:color="auto" w:sz="4" w:space="0"/>
              <w:right w:val="single" w:color="auto" w:sz="4" w:space="0"/>
            </w:tcBorders>
            <w:noWrap w:val="0"/>
            <w:vAlign w:val="center"/>
          </w:tcPr>
          <w:p w14:paraId="4FA011A8">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2" w:type="dxa"/>
            <w:tcBorders>
              <w:top w:val="single" w:color="auto" w:sz="4" w:space="0"/>
              <w:left w:val="nil"/>
              <w:bottom w:val="single" w:color="auto" w:sz="4" w:space="0"/>
              <w:right w:val="single" w:color="auto" w:sz="4" w:space="0"/>
            </w:tcBorders>
            <w:noWrap w:val="0"/>
            <w:vAlign w:val="center"/>
          </w:tcPr>
          <w:p w14:paraId="170868C6">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r>
      <w:tr w14:paraId="32C99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tcBorders>
              <w:top w:val="single" w:color="auto" w:sz="4" w:space="0"/>
              <w:left w:val="single" w:color="auto" w:sz="4" w:space="0"/>
              <w:bottom w:val="single" w:color="auto" w:sz="4" w:space="0"/>
              <w:right w:val="single" w:color="auto" w:sz="4" w:space="0"/>
            </w:tcBorders>
            <w:noWrap w:val="0"/>
            <w:vAlign w:val="center"/>
          </w:tcPr>
          <w:p w14:paraId="213D12DA">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035" w:type="dxa"/>
            <w:tcBorders>
              <w:top w:val="single" w:color="auto" w:sz="4" w:space="0"/>
              <w:left w:val="nil"/>
              <w:bottom w:val="single" w:color="auto" w:sz="4" w:space="0"/>
              <w:right w:val="single" w:color="auto" w:sz="4" w:space="0"/>
            </w:tcBorders>
            <w:noWrap w:val="0"/>
            <w:vAlign w:val="center"/>
          </w:tcPr>
          <w:p w14:paraId="4A675296">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135" w:type="dxa"/>
            <w:tcBorders>
              <w:top w:val="single" w:color="auto" w:sz="4" w:space="0"/>
              <w:left w:val="nil"/>
              <w:bottom w:val="single" w:color="auto" w:sz="4" w:space="0"/>
              <w:right w:val="single" w:color="auto" w:sz="4" w:space="0"/>
            </w:tcBorders>
            <w:noWrap w:val="0"/>
            <w:vAlign w:val="center"/>
          </w:tcPr>
          <w:p w14:paraId="333EEF1C">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275" w:type="dxa"/>
            <w:tcBorders>
              <w:top w:val="single" w:color="auto" w:sz="4" w:space="0"/>
              <w:left w:val="nil"/>
              <w:bottom w:val="single" w:color="auto" w:sz="4" w:space="0"/>
              <w:right w:val="single" w:color="auto" w:sz="4" w:space="0"/>
            </w:tcBorders>
            <w:noWrap w:val="0"/>
            <w:vAlign w:val="center"/>
          </w:tcPr>
          <w:p w14:paraId="2F084E22">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9" w:type="dxa"/>
            <w:tcBorders>
              <w:top w:val="single" w:color="auto" w:sz="4" w:space="0"/>
              <w:left w:val="nil"/>
              <w:bottom w:val="single" w:color="auto" w:sz="4" w:space="0"/>
              <w:right w:val="single" w:color="auto" w:sz="4" w:space="0"/>
            </w:tcBorders>
            <w:noWrap w:val="0"/>
            <w:vAlign w:val="center"/>
          </w:tcPr>
          <w:p w14:paraId="3A72F96B">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2" w:type="dxa"/>
            <w:tcBorders>
              <w:top w:val="single" w:color="auto" w:sz="4" w:space="0"/>
              <w:left w:val="nil"/>
              <w:bottom w:val="single" w:color="auto" w:sz="4" w:space="0"/>
              <w:right w:val="single" w:color="auto" w:sz="4" w:space="0"/>
            </w:tcBorders>
            <w:noWrap w:val="0"/>
            <w:vAlign w:val="center"/>
          </w:tcPr>
          <w:p w14:paraId="284B2F48">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r>
      <w:tr w14:paraId="5E1BE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tcBorders>
              <w:top w:val="single" w:color="auto" w:sz="4" w:space="0"/>
              <w:left w:val="single" w:color="auto" w:sz="4" w:space="0"/>
              <w:bottom w:val="single" w:color="auto" w:sz="4" w:space="0"/>
              <w:right w:val="single" w:color="auto" w:sz="4" w:space="0"/>
            </w:tcBorders>
            <w:noWrap w:val="0"/>
            <w:vAlign w:val="center"/>
          </w:tcPr>
          <w:p w14:paraId="01CDB8FA">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035" w:type="dxa"/>
            <w:tcBorders>
              <w:top w:val="single" w:color="auto" w:sz="4" w:space="0"/>
              <w:left w:val="nil"/>
              <w:bottom w:val="single" w:color="auto" w:sz="4" w:space="0"/>
              <w:right w:val="single" w:color="auto" w:sz="4" w:space="0"/>
            </w:tcBorders>
            <w:noWrap w:val="0"/>
            <w:vAlign w:val="center"/>
          </w:tcPr>
          <w:p w14:paraId="595847B8">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135" w:type="dxa"/>
            <w:tcBorders>
              <w:top w:val="single" w:color="auto" w:sz="4" w:space="0"/>
              <w:left w:val="nil"/>
              <w:bottom w:val="single" w:color="auto" w:sz="4" w:space="0"/>
              <w:right w:val="single" w:color="auto" w:sz="4" w:space="0"/>
            </w:tcBorders>
            <w:noWrap w:val="0"/>
            <w:vAlign w:val="center"/>
          </w:tcPr>
          <w:p w14:paraId="281277C1">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275" w:type="dxa"/>
            <w:tcBorders>
              <w:top w:val="single" w:color="auto" w:sz="4" w:space="0"/>
              <w:left w:val="nil"/>
              <w:bottom w:val="single" w:color="auto" w:sz="4" w:space="0"/>
              <w:right w:val="single" w:color="auto" w:sz="4" w:space="0"/>
            </w:tcBorders>
            <w:noWrap w:val="0"/>
            <w:vAlign w:val="center"/>
          </w:tcPr>
          <w:p w14:paraId="64E6FAF9">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9" w:type="dxa"/>
            <w:tcBorders>
              <w:top w:val="single" w:color="auto" w:sz="4" w:space="0"/>
              <w:left w:val="nil"/>
              <w:bottom w:val="single" w:color="auto" w:sz="4" w:space="0"/>
              <w:right w:val="single" w:color="auto" w:sz="4" w:space="0"/>
            </w:tcBorders>
            <w:noWrap w:val="0"/>
            <w:vAlign w:val="center"/>
          </w:tcPr>
          <w:p w14:paraId="61BDBA71">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2" w:type="dxa"/>
            <w:tcBorders>
              <w:top w:val="single" w:color="auto" w:sz="4" w:space="0"/>
              <w:left w:val="nil"/>
              <w:bottom w:val="single" w:color="auto" w:sz="4" w:space="0"/>
              <w:right w:val="single" w:color="auto" w:sz="4" w:space="0"/>
            </w:tcBorders>
            <w:noWrap w:val="0"/>
            <w:vAlign w:val="center"/>
          </w:tcPr>
          <w:p w14:paraId="41F96CCB">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r>
      <w:tr w14:paraId="20737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tcBorders>
              <w:top w:val="single" w:color="auto" w:sz="4" w:space="0"/>
              <w:left w:val="single" w:color="auto" w:sz="4" w:space="0"/>
              <w:bottom w:val="single" w:color="auto" w:sz="4" w:space="0"/>
              <w:right w:val="single" w:color="auto" w:sz="4" w:space="0"/>
            </w:tcBorders>
            <w:noWrap w:val="0"/>
            <w:vAlign w:val="center"/>
          </w:tcPr>
          <w:p w14:paraId="141C9A7F">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035" w:type="dxa"/>
            <w:tcBorders>
              <w:top w:val="single" w:color="auto" w:sz="4" w:space="0"/>
              <w:left w:val="nil"/>
              <w:bottom w:val="single" w:color="auto" w:sz="4" w:space="0"/>
              <w:right w:val="single" w:color="auto" w:sz="4" w:space="0"/>
            </w:tcBorders>
            <w:noWrap w:val="0"/>
            <w:vAlign w:val="center"/>
          </w:tcPr>
          <w:p w14:paraId="1646DD83">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135" w:type="dxa"/>
            <w:tcBorders>
              <w:top w:val="single" w:color="auto" w:sz="4" w:space="0"/>
              <w:left w:val="nil"/>
              <w:bottom w:val="single" w:color="auto" w:sz="4" w:space="0"/>
              <w:right w:val="single" w:color="auto" w:sz="4" w:space="0"/>
            </w:tcBorders>
            <w:noWrap w:val="0"/>
            <w:vAlign w:val="center"/>
          </w:tcPr>
          <w:p w14:paraId="59B15DB3">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275" w:type="dxa"/>
            <w:tcBorders>
              <w:top w:val="single" w:color="auto" w:sz="4" w:space="0"/>
              <w:left w:val="nil"/>
              <w:bottom w:val="single" w:color="auto" w:sz="4" w:space="0"/>
              <w:right w:val="single" w:color="auto" w:sz="4" w:space="0"/>
            </w:tcBorders>
            <w:noWrap w:val="0"/>
            <w:vAlign w:val="center"/>
          </w:tcPr>
          <w:p w14:paraId="04686B31">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9" w:type="dxa"/>
            <w:tcBorders>
              <w:top w:val="single" w:color="auto" w:sz="4" w:space="0"/>
              <w:left w:val="nil"/>
              <w:bottom w:val="single" w:color="auto" w:sz="4" w:space="0"/>
              <w:right w:val="single" w:color="auto" w:sz="4" w:space="0"/>
            </w:tcBorders>
            <w:noWrap w:val="0"/>
            <w:vAlign w:val="center"/>
          </w:tcPr>
          <w:p w14:paraId="70FAA03E">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2" w:type="dxa"/>
            <w:tcBorders>
              <w:top w:val="single" w:color="auto" w:sz="4" w:space="0"/>
              <w:left w:val="nil"/>
              <w:bottom w:val="single" w:color="auto" w:sz="4" w:space="0"/>
              <w:right w:val="single" w:color="auto" w:sz="4" w:space="0"/>
            </w:tcBorders>
            <w:noWrap w:val="0"/>
            <w:vAlign w:val="center"/>
          </w:tcPr>
          <w:p w14:paraId="47385000">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r>
      <w:tr w14:paraId="5BE1B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tcBorders>
              <w:top w:val="single" w:color="auto" w:sz="4" w:space="0"/>
              <w:left w:val="single" w:color="auto" w:sz="4" w:space="0"/>
              <w:bottom w:val="single" w:color="auto" w:sz="4" w:space="0"/>
              <w:right w:val="single" w:color="auto" w:sz="4" w:space="0"/>
            </w:tcBorders>
            <w:noWrap w:val="0"/>
            <w:vAlign w:val="center"/>
          </w:tcPr>
          <w:p w14:paraId="6A8EDA2B">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035" w:type="dxa"/>
            <w:tcBorders>
              <w:top w:val="single" w:color="auto" w:sz="4" w:space="0"/>
              <w:left w:val="nil"/>
              <w:bottom w:val="single" w:color="auto" w:sz="4" w:space="0"/>
              <w:right w:val="single" w:color="auto" w:sz="4" w:space="0"/>
            </w:tcBorders>
            <w:noWrap w:val="0"/>
            <w:vAlign w:val="center"/>
          </w:tcPr>
          <w:p w14:paraId="5DE61427">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135" w:type="dxa"/>
            <w:tcBorders>
              <w:top w:val="single" w:color="auto" w:sz="4" w:space="0"/>
              <w:left w:val="nil"/>
              <w:bottom w:val="single" w:color="auto" w:sz="4" w:space="0"/>
              <w:right w:val="single" w:color="auto" w:sz="4" w:space="0"/>
            </w:tcBorders>
            <w:noWrap w:val="0"/>
            <w:vAlign w:val="center"/>
          </w:tcPr>
          <w:p w14:paraId="4B440C7A">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275" w:type="dxa"/>
            <w:tcBorders>
              <w:top w:val="single" w:color="auto" w:sz="4" w:space="0"/>
              <w:left w:val="nil"/>
              <w:bottom w:val="single" w:color="auto" w:sz="4" w:space="0"/>
              <w:right w:val="single" w:color="auto" w:sz="4" w:space="0"/>
            </w:tcBorders>
            <w:noWrap w:val="0"/>
            <w:vAlign w:val="center"/>
          </w:tcPr>
          <w:p w14:paraId="1ABEA638">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9" w:type="dxa"/>
            <w:tcBorders>
              <w:top w:val="single" w:color="auto" w:sz="4" w:space="0"/>
              <w:left w:val="nil"/>
              <w:bottom w:val="single" w:color="auto" w:sz="4" w:space="0"/>
              <w:right w:val="single" w:color="auto" w:sz="4" w:space="0"/>
            </w:tcBorders>
            <w:noWrap w:val="0"/>
            <w:vAlign w:val="center"/>
          </w:tcPr>
          <w:p w14:paraId="4B8C7AA1">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2" w:type="dxa"/>
            <w:tcBorders>
              <w:top w:val="single" w:color="auto" w:sz="4" w:space="0"/>
              <w:left w:val="nil"/>
              <w:bottom w:val="single" w:color="auto" w:sz="4" w:space="0"/>
              <w:right w:val="single" w:color="auto" w:sz="4" w:space="0"/>
            </w:tcBorders>
            <w:noWrap w:val="0"/>
            <w:vAlign w:val="center"/>
          </w:tcPr>
          <w:p w14:paraId="197FF55A">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r>
      <w:tr w14:paraId="1E93A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tcBorders>
              <w:top w:val="single" w:color="auto" w:sz="4" w:space="0"/>
              <w:left w:val="single" w:color="auto" w:sz="4" w:space="0"/>
              <w:bottom w:val="single" w:color="auto" w:sz="4" w:space="0"/>
              <w:right w:val="single" w:color="auto" w:sz="4" w:space="0"/>
            </w:tcBorders>
            <w:noWrap w:val="0"/>
            <w:vAlign w:val="center"/>
          </w:tcPr>
          <w:p w14:paraId="3901D695">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035" w:type="dxa"/>
            <w:tcBorders>
              <w:top w:val="single" w:color="auto" w:sz="4" w:space="0"/>
              <w:left w:val="nil"/>
              <w:bottom w:val="single" w:color="auto" w:sz="4" w:space="0"/>
              <w:right w:val="single" w:color="auto" w:sz="4" w:space="0"/>
            </w:tcBorders>
            <w:noWrap w:val="0"/>
            <w:vAlign w:val="center"/>
          </w:tcPr>
          <w:p w14:paraId="3429F8A4">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135" w:type="dxa"/>
            <w:tcBorders>
              <w:top w:val="single" w:color="auto" w:sz="4" w:space="0"/>
              <w:left w:val="nil"/>
              <w:bottom w:val="single" w:color="auto" w:sz="4" w:space="0"/>
              <w:right w:val="single" w:color="auto" w:sz="4" w:space="0"/>
            </w:tcBorders>
            <w:noWrap w:val="0"/>
            <w:vAlign w:val="center"/>
          </w:tcPr>
          <w:p w14:paraId="6591BF09">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275" w:type="dxa"/>
            <w:tcBorders>
              <w:top w:val="single" w:color="auto" w:sz="4" w:space="0"/>
              <w:left w:val="nil"/>
              <w:bottom w:val="single" w:color="auto" w:sz="4" w:space="0"/>
              <w:right w:val="single" w:color="auto" w:sz="4" w:space="0"/>
            </w:tcBorders>
            <w:noWrap w:val="0"/>
            <w:vAlign w:val="center"/>
          </w:tcPr>
          <w:p w14:paraId="481B1967">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9" w:type="dxa"/>
            <w:tcBorders>
              <w:top w:val="single" w:color="auto" w:sz="4" w:space="0"/>
              <w:left w:val="nil"/>
              <w:bottom w:val="single" w:color="auto" w:sz="4" w:space="0"/>
              <w:right w:val="single" w:color="auto" w:sz="4" w:space="0"/>
            </w:tcBorders>
            <w:noWrap w:val="0"/>
            <w:vAlign w:val="center"/>
          </w:tcPr>
          <w:p w14:paraId="26ADFEF8">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2" w:type="dxa"/>
            <w:tcBorders>
              <w:top w:val="single" w:color="auto" w:sz="4" w:space="0"/>
              <w:left w:val="nil"/>
              <w:bottom w:val="single" w:color="auto" w:sz="4" w:space="0"/>
              <w:right w:val="single" w:color="auto" w:sz="4" w:space="0"/>
            </w:tcBorders>
            <w:noWrap w:val="0"/>
            <w:vAlign w:val="center"/>
          </w:tcPr>
          <w:p w14:paraId="7C6CB01B">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r>
      <w:tr w14:paraId="3AAB3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tcBorders>
              <w:top w:val="single" w:color="auto" w:sz="4" w:space="0"/>
              <w:left w:val="single" w:color="auto" w:sz="4" w:space="0"/>
              <w:bottom w:val="single" w:color="auto" w:sz="4" w:space="0"/>
              <w:right w:val="single" w:color="auto" w:sz="4" w:space="0"/>
            </w:tcBorders>
            <w:noWrap w:val="0"/>
            <w:vAlign w:val="center"/>
          </w:tcPr>
          <w:p w14:paraId="28EC19E5">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035" w:type="dxa"/>
            <w:tcBorders>
              <w:top w:val="single" w:color="auto" w:sz="4" w:space="0"/>
              <w:left w:val="nil"/>
              <w:bottom w:val="single" w:color="auto" w:sz="4" w:space="0"/>
              <w:right w:val="single" w:color="auto" w:sz="4" w:space="0"/>
            </w:tcBorders>
            <w:noWrap w:val="0"/>
            <w:vAlign w:val="center"/>
          </w:tcPr>
          <w:p w14:paraId="18766477">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135" w:type="dxa"/>
            <w:tcBorders>
              <w:top w:val="single" w:color="auto" w:sz="4" w:space="0"/>
              <w:left w:val="nil"/>
              <w:bottom w:val="single" w:color="auto" w:sz="4" w:space="0"/>
              <w:right w:val="single" w:color="auto" w:sz="4" w:space="0"/>
            </w:tcBorders>
            <w:noWrap w:val="0"/>
            <w:vAlign w:val="center"/>
          </w:tcPr>
          <w:p w14:paraId="4A4853C1">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275" w:type="dxa"/>
            <w:tcBorders>
              <w:top w:val="single" w:color="auto" w:sz="4" w:space="0"/>
              <w:left w:val="nil"/>
              <w:bottom w:val="single" w:color="auto" w:sz="4" w:space="0"/>
              <w:right w:val="single" w:color="auto" w:sz="4" w:space="0"/>
            </w:tcBorders>
            <w:noWrap w:val="0"/>
            <w:vAlign w:val="center"/>
          </w:tcPr>
          <w:p w14:paraId="3BFF8CDE">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9" w:type="dxa"/>
            <w:tcBorders>
              <w:top w:val="single" w:color="auto" w:sz="4" w:space="0"/>
              <w:left w:val="nil"/>
              <w:bottom w:val="single" w:color="auto" w:sz="4" w:space="0"/>
              <w:right w:val="single" w:color="auto" w:sz="4" w:space="0"/>
            </w:tcBorders>
            <w:noWrap w:val="0"/>
            <w:vAlign w:val="center"/>
          </w:tcPr>
          <w:p w14:paraId="2E3B549A">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2" w:type="dxa"/>
            <w:tcBorders>
              <w:top w:val="single" w:color="auto" w:sz="4" w:space="0"/>
              <w:left w:val="nil"/>
              <w:bottom w:val="single" w:color="auto" w:sz="4" w:space="0"/>
              <w:right w:val="single" w:color="auto" w:sz="4" w:space="0"/>
            </w:tcBorders>
            <w:noWrap w:val="0"/>
            <w:vAlign w:val="center"/>
          </w:tcPr>
          <w:p w14:paraId="00E5D721">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r>
      <w:tr w14:paraId="170B3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tcBorders>
              <w:top w:val="single" w:color="auto" w:sz="4" w:space="0"/>
              <w:left w:val="single" w:color="auto" w:sz="4" w:space="0"/>
              <w:bottom w:val="single" w:color="auto" w:sz="4" w:space="0"/>
              <w:right w:val="single" w:color="auto" w:sz="4" w:space="0"/>
            </w:tcBorders>
            <w:noWrap w:val="0"/>
            <w:vAlign w:val="center"/>
          </w:tcPr>
          <w:p w14:paraId="0565BAA9">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035" w:type="dxa"/>
            <w:tcBorders>
              <w:top w:val="single" w:color="auto" w:sz="4" w:space="0"/>
              <w:left w:val="nil"/>
              <w:bottom w:val="single" w:color="auto" w:sz="4" w:space="0"/>
              <w:right w:val="single" w:color="auto" w:sz="4" w:space="0"/>
            </w:tcBorders>
            <w:noWrap w:val="0"/>
            <w:vAlign w:val="center"/>
          </w:tcPr>
          <w:p w14:paraId="0C8707AD">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135" w:type="dxa"/>
            <w:tcBorders>
              <w:top w:val="single" w:color="auto" w:sz="4" w:space="0"/>
              <w:left w:val="nil"/>
              <w:bottom w:val="single" w:color="auto" w:sz="4" w:space="0"/>
              <w:right w:val="single" w:color="auto" w:sz="4" w:space="0"/>
            </w:tcBorders>
            <w:noWrap w:val="0"/>
            <w:vAlign w:val="center"/>
          </w:tcPr>
          <w:p w14:paraId="49E2AAB9">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275" w:type="dxa"/>
            <w:tcBorders>
              <w:top w:val="single" w:color="auto" w:sz="4" w:space="0"/>
              <w:left w:val="nil"/>
              <w:bottom w:val="single" w:color="auto" w:sz="4" w:space="0"/>
              <w:right w:val="single" w:color="auto" w:sz="4" w:space="0"/>
            </w:tcBorders>
            <w:noWrap w:val="0"/>
            <w:vAlign w:val="center"/>
          </w:tcPr>
          <w:p w14:paraId="41EF06DE">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9" w:type="dxa"/>
            <w:tcBorders>
              <w:top w:val="single" w:color="auto" w:sz="4" w:space="0"/>
              <w:left w:val="nil"/>
              <w:bottom w:val="single" w:color="auto" w:sz="4" w:space="0"/>
              <w:right w:val="single" w:color="auto" w:sz="4" w:space="0"/>
            </w:tcBorders>
            <w:noWrap w:val="0"/>
            <w:vAlign w:val="center"/>
          </w:tcPr>
          <w:p w14:paraId="7121B0FD">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c>
          <w:tcPr>
            <w:tcW w:w="1982" w:type="dxa"/>
            <w:tcBorders>
              <w:top w:val="single" w:color="auto" w:sz="4" w:space="0"/>
              <w:left w:val="nil"/>
              <w:bottom w:val="single" w:color="auto" w:sz="4" w:space="0"/>
              <w:right w:val="single" w:color="auto" w:sz="4" w:space="0"/>
            </w:tcBorders>
            <w:noWrap w:val="0"/>
            <w:vAlign w:val="center"/>
          </w:tcPr>
          <w:p w14:paraId="536CCE70">
            <w:pPr>
              <w:keepNext w:val="0"/>
              <w:keepLines w:val="0"/>
              <w:widowControl w:val="0"/>
              <w:suppressLineNumbers w:val="0"/>
              <w:kinsoku/>
              <w:wordWrap/>
              <w:overflowPunct/>
              <w:bidi w:val="0"/>
              <w:spacing w:before="0" w:beforeAutospacing="0" w:after="0" w:afterAutospacing="0" w:line="360" w:lineRule="auto"/>
              <w:ind w:left="0" w:right="0"/>
              <w:jc w:val="center"/>
              <w:rPr>
                <w:rFonts w:hint="eastAsia" w:ascii="宋体" w:hAnsi="宋体" w:eastAsia="宋体" w:cs="宋体"/>
                <w:sz w:val="24"/>
                <w:szCs w:val="24"/>
                <w:highlight w:val="none"/>
                <w:lang w:val="en-US"/>
              </w:rPr>
            </w:pPr>
          </w:p>
        </w:tc>
      </w:tr>
    </w:tbl>
    <w:p w14:paraId="50C8850D">
      <w:pPr>
        <w:rPr>
          <w:rFonts w:hint="eastAsia" w:ascii="宋体" w:hAnsi="宋体" w:eastAsia="宋体" w:cs="宋体"/>
          <w:highlight w:val="none"/>
          <w:lang w:val="en-US"/>
        </w:rPr>
      </w:pPr>
      <w:r>
        <w:rPr>
          <w:rFonts w:hint="eastAsia" w:ascii="宋体" w:hAnsi="宋体" w:eastAsia="宋体" w:cs="宋体"/>
          <w:highlight w:val="none"/>
          <w:lang w:val="en-US"/>
        </w:rPr>
        <w:br w:type="page"/>
      </w:r>
    </w:p>
    <w:p w14:paraId="31B96B5E">
      <w:pPr>
        <w:keepNext w:val="0"/>
        <w:keepLines w:val="0"/>
        <w:pageBreakBefore w:val="0"/>
        <w:widowControl/>
        <w:kinsoku/>
        <w:wordWrap/>
        <w:overflowPunct/>
        <w:topLinePunct w:val="0"/>
        <w:autoSpaceDE/>
        <w:autoSpaceDN/>
        <w:bidi w:val="0"/>
        <w:adjustRightInd w:val="0"/>
        <w:snapToGrid w:val="0"/>
        <w:spacing w:after="200" w:line="360" w:lineRule="auto"/>
        <w:jc w:val="center"/>
        <w:textAlignment w:val="auto"/>
        <w:outlineLvl w:val="1"/>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七、资格审查资料</w:t>
      </w:r>
      <w:bookmarkEnd w:id="392"/>
    </w:p>
    <w:tbl>
      <w:tblPr>
        <w:tblStyle w:val="17"/>
        <w:tblW w:w="4999" w:type="pct"/>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677"/>
        <w:gridCol w:w="870"/>
        <w:gridCol w:w="923"/>
        <w:gridCol w:w="813"/>
        <w:gridCol w:w="409"/>
        <w:gridCol w:w="303"/>
        <w:gridCol w:w="1046"/>
        <w:gridCol w:w="474"/>
        <w:gridCol w:w="833"/>
        <w:gridCol w:w="966"/>
      </w:tblGrid>
      <w:tr w14:paraId="3DF31A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008" w:type="pct"/>
            <w:vAlign w:val="center"/>
          </w:tcPr>
          <w:p w14:paraId="6208407C">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供应商名称</w:t>
            </w:r>
          </w:p>
        </w:tc>
        <w:tc>
          <w:tcPr>
            <w:tcW w:w="3991" w:type="pct"/>
            <w:gridSpan w:val="9"/>
            <w:vAlign w:val="center"/>
          </w:tcPr>
          <w:p w14:paraId="2E265837">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r>
      <w:tr w14:paraId="5FD1E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008" w:type="pct"/>
            <w:vAlign w:val="center"/>
          </w:tcPr>
          <w:p w14:paraId="4B89A1B1">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注册地址</w:t>
            </w:r>
          </w:p>
        </w:tc>
        <w:tc>
          <w:tcPr>
            <w:tcW w:w="1995" w:type="pct"/>
            <w:gridSpan w:val="5"/>
            <w:vAlign w:val="center"/>
          </w:tcPr>
          <w:p w14:paraId="26D71532">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629" w:type="pct"/>
            <w:vAlign w:val="center"/>
          </w:tcPr>
          <w:p w14:paraId="519B88CA">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邮政编码</w:t>
            </w:r>
          </w:p>
        </w:tc>
        <w:tc>
          <w:tcPr>
            <w:tcW w:w="1367" w:type="pct"/>
            <w:gridSpan w:val="3"/>
            <w:vAlign w:val="center"/>
          </w:tcPr>
          <w:p w14:paraId="3BAC8E1D">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r>
      <w:tr w14:paraId="4F739D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1008" w:type="pct"/>
            <w:vMerge w:val="restart"/>
            <w:vAlign w:val="center"/>
          </w:tcPr>
          <w:p w14:paraId="3B209F76">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联系方式</w:t>
            </w:r>
          </w:p>
        </w:tc>
        <w:tc>
          <w:tcPr>
            <w:tcW w:w="523" w:type="pct"/>
            <w:vAlign w:val="center"/>
          </w:tcPr>
          <w:p w14:paraId="55FE3C0C">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联系人</w:t>
            </w:r>
          </w:p>
        </w:tc>
        <w:tc>
          <w:tcPr>
            <w:tcW w:w="1471" w:type="pct"/>
            <w:gridSpan w:val="4"/>
            <w:vAlign w:val="center"/>
          </w:tcPr>
          <w:p w14:paraId="32C91141">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629" w:type="pct"/>
            <w:vAlign w:val="center"/>
          </w:tcPr>
          <w:p w14:paraId="7E66835A">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电 话</w:t>
            </w:r>
          </w:p>
        </w:tc>
        <w:tc>
          <w:tcPr>
            <w:tcW w:w="1367" w:type="pct"/>
            <w:gridSpan w:val="3"/>
            <w:vAlign w:val="center"/>
          </w:tcPr>
          <w:p w14:paraId="07A976B6">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r>
      <w:tr w14:paraId="457CA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2" w:hRule="atLeast"/>
        </w:trPr>
        <w:tc>
          <w:tcPr>
            <w:tcW w:w="1008" w:type="pct"/>
            <w:vMerge w:val="continue"/>
            <w:tcBorders>
              <w:top w:val="nil"/>
            </w:tcBorders>
            <w:vAlign w:val="center"/>
          </w:tcPr>
          <w:p w14:paraId="7FCB20C4">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523" w:type="pct"/>
            <w:vAlign w:val="center"/>
          </w:tcPr>
          <w:p w14:paraId="1D15E8DC">
            <w:pPr>
              <w:pageBreakBefore w:val="0"/>
              <w:tabs>
                <w:tab w:val="left" w:pos="427"/>
              </w:tabs>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传</w:t>
            </w:r>
            <w:r>
              <w:rPr>
                <w:rFonts w:hint="eastAsia" w:ascii="宋体" w:hAnsi="宋体" w:eastAsia="宋体" w:cs="宋体"/>
                <w:kern w:val="0"/>
                <w:sz w:val="24"/>
                <w:szCs w:val="24"/>
                <w:lang w:val="zh-CN" w:bidi="zh-CN"/>
              </w:rPr>
              <w:tab/>
            </w:r>
            <w:r>
              <w:rPr>
                <w:rFonts w:hint="eastAsia" w:ascii="宋体" w:hAnsi="宋体" w:eastAsia="宋体" w:cs="宋体"/>
                <w:kern w:val="0"/>
                <w:sz w:val="24"/>
                <w:szCs w:val="24"/>
                <w:lang w:val="zh-CN" w:bidi="zh-CN"/>
              </w:rPr>
              <w:t>真</w:t>
            </w:r>
          </w:p>
        </w:tc>
        <w:tc>
          <w:tcPr>
            <w:tcW w:w="1471" w:type="pct"/>
            <w:gridSpan w:val="4"/>
            <w:vAlign w:val="center"/>
          </w:tcPr>
          <w:p w14:paraId="614641EF">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629" w:type="pct"/>
            <w:vAlign w:val="center"/>
          </w:tcPr>
          <w:p w14:paraId="56DEAF4A">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网 址</w:t>
            </w:r>
          </w:p>
        </w:tc>
        <w:tc>
          <w:tcPr>
            <w:tcW w:w="1367" w:type="pct"/>
            <w:gridSpan w:val="3"/>
            <w:vAlign w:val="center"/>
          </w:tcPr>
          <w:p w14:paraId="32C7C7FC">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r>
      <w:tr w14:paraId="54F99F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1008" w:type="pct"/>
            <w:vAlign w:val="center"/>
          </w:tcPr>
          <w:p w14:paraId="37DBF1F8">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组织结构</w:t>
            </w:r>
          </w:p>
        </w:tc>
        <w:tc>
          <w:tcPr>
            <w:tcW w:w="3991" w:type="pct"/>
            <w:gridSpan w:val="9"/>
            <w:vAlign w:val="center"/>
          </w:tcPr>
          <w:p w14:paraId="6BAAB259">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r>
      <w:tr w14:paraId="17919E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trPr>
        <w:tc>
          <w:tcPr>
            <w:tcW w:w="1008" w:type="pct"/>
            <w:vAlign w:val="center"/>
          </w:tcPr>
          <w:p w14:paraId="5CD12E93">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法定代表人</w:t>
            </w:r>
          </w:p>
        </w:tc>
        <w:tc>
          <w:tcPr>
            <w:tcW w:w="523" w:type="pct"/>
            <w:vAlign w:val="center"/>
          </w:tcPr>
          <w:p w14:paraId="074C3EEA">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姓名</w:t>
            </w:r>
          </w:p>
        </w:tc>
        <w:tc>
          <w:tcPr>
            <w:tcW w:w="554" w:type="pct"/>
            <w:vAlign w:val="center"/>
          </w:tcPr>
          <w:p w14:paraId="3C418C3B">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735" w:type="pct"/>
            <w:gridSpan w:val="2"/>
            <w:vAlign w:val="center"/>
          </w:tcPr>
          <w:p w14:paraId="0731F780">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技术职称</w:t>
            </w:r>
          </w:p>
        </w:tc>
        <w:tc>
          <w:tcPr>
            <w:tcW w:w="1096" w:type="pct"/>
            <w:gridSpan w:val="3"/>
            <w:vAlign w:val="center"/>
          </w:tcPr>
          <w:p w14:paraId="346D08BB">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501" w:type="pct"/>
            <w:vAlign w:val="center"/>
          </w:tcPr>
          <w:p w14:paraId="4C42E9CE">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电话</w:t>
            </w:r>
          </w:p>
        </w:tc>
        <w:tc>
          <w:tcPr>
            <w:tcW w:w="579" w:type="pct"/>
            <w:vAlign w:val="center"/>
          </w:tcPr>
          <w:p w14:paraId="48A1FF29">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r>
      <w:tr w14:paraId="15BB0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1" w:hRule="atLeast"/>
        </w:trPr>
        <w:tc>
          <w:tcPr>
            <w:tcW w:w="1008" w:type="pct"/>
            <w:vAlign w:val="center"/>
          </w:tcPr>
          <w:p w14:paraId="3246AA2C">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技术负责人</w:t>
            </w:r>
          </w:p>
        </w:tc>
        <w:tc>
          <w:tcPr>
            <w:tcW w:w="523" w:type="pct"/>
            <w:vAlign w:val="center"/>
          </w:tcPr>
          <w:p w14:paraId="630063C6">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姓名</w:t>
            </w:r>
          </w:p>
        </w:tc>
        <w:tc>
          <w:tcPr>
            <w:tcW w:w="554" w:type="pct"/>
            <w:vAlign w:val="center"/>
          </w:tcPr>
          <w:p w14:paraId="5D1F10F0">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735" w:type="pct"/>
            <w:gridSpan w:val="2"/>
            <w:vAlign w:val="center"/>
          </w:tcPr>
          <w:p w14:paraId="725DE917">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技术职称</w:t>
            </w:r>
          </w:p>
        </w:tc>
        <w:tc>
          <w:tcPr>
            <w:tcW w:w="1096" w:type="pct"/>
            <w:gridSpan w:val="3"/>
            <w:vAlign w:val="center"/>
          </w:tcPr>
          <w:p w14:paraId="27A479AA">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501" w:type="pct"/>
            <w:vAlign w:val="center"/>
          </w:tcPr>
          <w:p w14:paraId="141CE965">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电话</w:t>
            </w:r>
          </w:p>
        </w:tc>
        <w:tc>
          <w:tcPr>
            <w:tcW w:w="579" w:type="pct"/>
            <w:vAlign w:val="center"/>
          </w:tcPr>
          <w:p w14:paraId="2A74FED1">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r>
      <w:tr w14:paraId="7058F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008" w:type="pct"/>
            <w:vAlign w:val="center"/>
          </w:tcPr>
          <w:p w14:paraId="096425FC">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成立时间</w:t>
            </w:r>
          </w:p>
        </w:tc>
        <w:tc>
          <w:tcPr>
            <w:tcW w:w="1078" w:type="pct"/>
            <w:gridSpan w:val="2"/>
            <w:vAlign w:val="center"/>
          </w:tcPr>
          <w:p w14:paraId="4CB8B3AB">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2913" w:type="pct"/>
            <w:gridSpan w:val="7"/>
            <w:vAlign w:val="center"/>
          </w:tcPr>
          <w:p w14:paraId="01171F7C">
            <w:pPr>
              <w:pageBreakBefore w:val="0"/>
              <w:kinsoku/>
              <w:overflowPunct/>
              <w:autoSpaceDE w:val="0"/>
              <w:autoSpaceDN w:val="0"/>
              <w:bidi w:val="0"/>
              <w:adjustRightInd w:val="0"/>
              <w:snapToGrid w:val="0"/>
              <w:spacing w:line="360" w:lineRule="auto"/>
              <w:jc w:val="both"/>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员工总人数：</w:t>
            </w:r>
          </w:p>
        </w:tc>
      </w:tr>
      <w:tr w14:paraId="4723B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8" w:hRule="atLeast"/>
        </w:trPr>
        <w:tc>
          <w:tcPr>
            <w:tcW w:w="1008" w:type="pct"/>
            <w:vAlign w:val="center"/>
          </w:tcPr>
          <w:p w14:paraId="0CFA1410">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企业资质等级</w:t>
            </w:r>
          </w:p>
        </w:tc>
        <w:tc>
          <w:tcPr>
            <w:tcW w:w="1078" w:type="pct"/>
            <w:gridSpan w:val="2"/>
            <w:vAlign w:val="center"/>
          </w:tcPr>
          <w:p w14:paraId="527B1C76">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489" w:type="pct"/>
            <w:vMerge w:val="restart"/>
            <w:vAlign w:val="center"/>
          </w:tcPr>
          <w:p w14:paraId="75EC8AA3">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其中</w:t>
            </w:r>
          </w:p>
        </w:tc>
        <w:tc>
          <w:tcPr>
            <w:tcW w:w="1342" w:type="pct"/>
            <w:gridSpan w:val="4"/>
            <w:vAlign w:val="center"/>
          </w:tcPr>
          <w:p w14:paraId="2F82992F">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项目经理</w:t>
            </w:r>
          </w:p>
        </w:tc>
        <w:tc>
          <w:tcPr>
            <w:tcW w:w="1081" w:type="pct"/>
            <w:gridSpan w:val="2"/>
            <w:vAlign w:val="center"/>
          </w:tcPr>
          <w:p w14:paraId="70EDE520">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r>
      <w:tr w14:paraId="3CAD4B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008" w:type="pct"/>
            <w:vAlign w:val="center"/>
          </w:tcPr>
          <w:p w14:paraId="7CCBB554">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营业执照号</w:t>
            </w:r>
          </w:p>
        </w:tc>
        <w:tc>
          <w:tcPr>
            <w:tcW w:w="1078" w:type="pct"/>
            <w:gridSpan w:val="2"/>
            <w:vAlign w:val="center"/>
          </w:tcPr>
          <w:p w14:paraId="5F5C7FFE">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489" w:type="pct"/>
            <w:vMerge w:val="continue"/>
            <w:tcBorders>
              <w:top w:val="nil"/>
            </w:tcBorders>
            <w:vAlign w:val="center"/>
          </w:tcPr>
          <w:p w14:paraId="34DDF52B">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1342" w:type="pct"/>
            <w:gridSpan w:val="4"/>
            <w:vAlign w:val="center"/>
          </w:tcPr>
          <w:p w14:paraId="0576587F">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高级职称人员</w:t>
            </w:r>
          </w:p>
        </w:tc>
        <w:tc>
          <w:tcPr>
            <w:tcW w:w="1081" w:type="pct"/>
            <w:gridSpan w:val="2"/>
            <w:vAlign w:val="center"/>
          </w:tcPr>
          <w:p w14:paraId="6C2222F8">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r>
      <w:tr w14:paraId="3C7CF6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1008" w:type="pct"/>
            <w:vAlign w:val="center"/>
          </w:tcPr>
          <w:p w14:paraId="5C74D3B0">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注册资金</w:t>
            </w:r>
          </w:p>
        </w:tc>
        <w:tc>
          <w:tcPr>
            <w:tcW w:w="1078" w:type="pct"/>
            <w:gridSpan w:val="2"/>
            <w:vAlign w:val="center"/>
          </w:tcPr>
          <w:p w14:paraId="5A7EBB5C">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489" w:type="pct"/>
            <w:vMerge w:val="continue"/>
            <w:tcBorders>
              <w:top w:val="nil"/>
            </w:tcBorders>
            <w:vAlign w:val="center"/>
          </w:tcPr>
          <w:p w14:paraId="76EB0830">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1342" w:type="pct"/>
            <w:gridSpan w:val="4"/>
            <w:vAlign w:val="center"/>
          </w:tcPr>
          <w:p w14:paraId="432D35E5">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中级职称人员</w:t>
            </w:r>
          </w:p>
        </w:tc>
        <w:tc>
          <w:tcPr>
            <w:tcW w:w="1081" w:type="pct"/>
            <w:gridSpan w:val="2"/>
            <w:vAlign w:val="center"/>
          </w:tcPr>
          <w:p w14:paraId="373B1189">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r>
      <w:tr w14:paraId="34FACE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1008" w:type="pct"/>
            <w:vAlign w:val="center"/>
          </w:tcPr>
          <w:p w14:paraId="0E5F5637">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开户银行</w:t>
            </w:r>
          </w:p>
        </w:tc>
        <w:tc>
          <w:tcPr>
            <w:tcW w:w="1078" w:type="pct"/>
            <w:gridSpan w:val="2"/>
            <w:vAlign w:val="center"/>
          </w:tcPr>
          <w:p w14:paraId="5A8600F0">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489" w:type="pct"/>
            <w:vMerge w:val="continue"/>
            <w:tcBorders>
              <w:top w:val="nil"/>
            </w:tcBorders>
            <w:vAlign w:val="center"/>
          </w:tcPr>
          <w:p w14:paraId="096BCE2B">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1342" w:type="pct"/>
            <w:gridSpan w:val="4"/>
            <w:vAlign w:val="center"/>
          </w:tcPr>
          <w:p w14:paraId="6F9A5869">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初级职称人员</w:t>
            </w:r>
          </w:p>
        </w:tc>
        <w:tc>
          <w:tcPr>
            <w:tcW w:w="1081" w:type="pct"/>
            <w:gridSpan w:val="2"/>
            <w:vAlign w:val="center"/>
          </w:tcPr>
          <w:p w14:paraId="0F567107">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r>
      <w:tr w14:paraId="5B6304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1008" w:type="pct"/>
            <w:vAlign w:val="center"/>
          </w:tcPr>
          <w:p w14:paraId="006A299A">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账号</w:t>
            </w:r>
          </w:p>
        </w:tc>
        <w:tc>
          <w:tcPr>
            <w:tcW w:w="1078" w:type="pct"/>
            <w:gridSpan w:val="2"/>
            <w:vAlign w:val="center"/>
          </w:tcPr>
          <w:p w14:paraId="529EB20D">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489" w:type="pct"/>
            <w:vMerge w:val="continue"/>
            <w:tcBorders>
              <w:top w:val="nil"/>
            </w:tcBorders>
            <w:vAlign w:val="center"/>
          </w:tcPr>
          <w:p w14:paraId="7958EFB7">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c>
          <w:tcPr>
            <w:tcW w:w="1342" w:type="pct"/>
            <w:gridSpan w:val="4"/>
            <w:vAlign w:val="center"/>
          </w:tcPr>
          <w:p w14:paraId="52838FD4">
            <w:pPr>
              <w:pageBreakBefore w:val="0"/>
              <w:tabs>
                <w:tab w:val="left" w:pos="528"/>
              </w:tabs>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技</w:t>
            </w:r>
            <w:r>
              <w:rPr>
                <w:rFonts w:hint="eastAsia" w:ascii="宋体" w:hAnsi="宋体" w:eastAsia="宋体" w:cs="宋体"/>
                <w:kern w:val="0"/>
                <w:sz w:val="24"/>
                <w:szCs w:val="24"/>
                <w:lang w:val="zh-CN" w:bidi="zh-CN"/>
              </w:rPr>
              <w:tab/>
            </w:r>
            <w:r>
              <w:rPr>
                <w:rFonts w:hint="eastAsia" w:ascii="宋体" w:hAnsi="宋体" w:eastAsia="宋体" w:cs="宋体"/>
                <w:kern w:val="0"/>
                <w:sz w:val="24"/>
                <w:szCs w:val="24"/>
                <w:lang w:val="zh-CN" w:bidi="zh-CN"/>
              </w:rPr>
              <w:t>工</w:t>
            </w:r>
          </w:p>
        </w:tc>
        <w:tc>
          <w:tcPr>
            <w:tcW w:w="1081" w:type="pct"/>
            <w:gridSpan w:val="2"/>
            <w:vAlign w:val="center"/>
          </w:tcPr>
          <w:p w14:paraId="039FD8C9">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r>
      <w:tr w14:paraId="4BD19F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9" w:hRule="atLeast"/>
        </w:trPr>
        <w:tc>
          <w:tcPr>
            <w:tcW w:w="1008" w:type="pct"/>
            <w:vAlign w:val="center"/>
          </w:tcPr>
          <w:p w14:paraId="652C7E7B">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经营范围</w:t>
            </w:r>
          </w:p>
        </w:tc>
        <w:tc>
          <w:tcPr>
            <w:tcW w:w="3991" w:type="pct"/>
            <w:gridSpan w:val="9"/>
            <w:vAlign w:val="center"/>
          </w:tcPr>
          <w:p w14:paraId="5026781B">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r>
      <w:tr w14:paraId="12C5D1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1008" w:type="pct"/>
            <w:vAlign w:val="center"/>
          </w:tcPr>
          <w:p w14:paraId="7B48EFFA">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备注</w:t>
            </w:r>
          </w:p>
        </w:tc>
        <w:tc>
          <w:tcPr>
            <w:tcW w:w="3991" w:type="pct"/>
            <w:gridSpan w:val="9"/>
            <w:vAlign w:val="center"/>
          </w:tcPr>
          <w:p w14:paraId="737B5399">
            <w:pPr>
              <w:pageBreakBefore w:val="0"/>
              <w:kinsoku/>
              <w:overflowPunct/>
              <w:autoSpaceDE w:val="0"/>
              <w:autoSpaceDN w:val="0"/>
              <w:bidi w:val="0"/>
              <w:adjustRightInd w:val="0"/>
              <w:snapToGrid w:val="0"/>
              <w:spacing w:line="360" w:lineRule="auto"/>
              <w:jc w:val="center"/>
              <w:rPr>
                <w:rFonts w:hint="eastAsia" w:ascii="宋体" w:hAnsi="宋体" w:eastAsia="宋体" w:cs="宋体"/>
                <w:kern w:val="0"/>
                <w:sz w:val="24"/>
                <w:szCs w:val="24"/>
                <w:lang w:val="zh-CN" w:bidi="zh-CN"/>
              </w:rPr>
            </w:pPr>
          </w:p>
        </w:tc>
      </w:tr>
    </w:tbl>
    <w:p w14:paraId="659F4F49">
      <w:pPr>
        <w:pageBreakBefore w:val="0"/>
        <w:kinsoku/>
        <w:overflowPunct/>
        <w:bidi w:val="0"/>
        <w:spacing w:line="360" w:lineRule="auto"/>
        <w:rPr>
          <w:rFonts w:hint="eastAsia" w:ascii="宋体" w:hAnsi="宋体" w:eastAsia="宋体" w:cs="宋体"/>
          <w:sz w:val="24"/>
          <w:szCs w:val="24"/>
        </w:rPr>
      </w:pPr>
    </w:p>
    <w:p w14:paraId="3C1D045D">
      <w:pPr>
        <w:pageBreakBefore w:val="0"/>
        <w:kinsoku/>
        <w:overflowPunct/>
        <w:bidi w:val="0"/>
        <w:spacing w:line="360" w:lineRule="auto"/>
        <w:rPr>
          <w:rFonts w:hint="eastAsia" w:ascii="宋体" w:hAnsi="宋体" w:eastAsia="宋体" w:cs="宋体"/>
          <w:sz w:val="24"/>
          <w:szCs w:val="24"/>
        </w:rPr>
      </w:pPr>
      <w:r>
        <w:rPr>
          <w:rFonts w:hint="eastAsia" w:ascii="宋体" w:hAnsi="宋体" w:eastAsia="宋体" w:cs="宋体"/>
          <w:b/>
          <w:kern w:val="0"/>
          <w:sz w:val="24"/>
          <w:szCs w:val="24"/>
          <w:lang w:val="zh-CN" w:bidi="zh-CN"/>
        </w:rPr>
        <w:t>后附供应商资格要求中：营业执照等相关证件的扫描件</w:t>
      </w:r>
    </w:p>
    <w:p w14:paraId="33D77188">
      <w:pPr>
        <w:rPr>
          <w:rFonts w:hint="eastAsia" w:ascii="宋体" w:hAnsi="宋体" w:eastAsia="宋体" w:cs="宋体"/>
          <w:sz w:val="24"/>
          <w:szCs w:val="24"/>
        </w:rPr>
      </w:pPr>
      <w:r>
        <w:rPr>
          <w:rFonts w:hint="eastAsia" w:ascii="宋体" w:hAnsi="宋体" w:eastAsia="宋体" w:cs="宋体"/>
          <w:sz w:val="24"/>
          <w:szCs w:val="24"/>
        </w:rPr>
        <w:br w:type="page"/>
      </w:r>
    </w:p>
    <w:p w14:paraId="56BF7AB0">
      <w:pPr>
        <w:pageBreakBefore w:val="0"/>
        <w:kinsoku/>
        <w:overflowPunct/>
        <w:bidi w:val="0"/>
        <w:spacing w:line="360" w:lineRule="auto"/>
        <w:jc w:val="center"/>
        <w:outlineLvl w:val="1"/>
        <w:rPr>
          <w:rFonts w:hint="eastAsia" w:ascii="宋体" w:hAnsi="宋体" w:eastAsia="宋体" w:cs="宋体"/>
          <w:b/>
          <w:sz w:val="24"/>
          <w:szCs w:val="24"/>
        </w:rPr>
      </w:pPr>
      <w:bookmarkStart w:id="396" w:name="_Toc28656"/>
      <w:r>
        <w:rPr>
          <w:rFonts w:hint="eastAsia" w:ascii="宋体" w:hAnsi="宋体" w:eastAsia="宋体" w:cs="宋体"/>
          <w:b/>
          <w:sz w:val="24"/>
          <w:szCs w:val="24"/>
        </w:rPr>
        <w:t>八、</w:t>
      </w:r>
      <w:bookmarkEnd w:id="396"/>
      <w:r>
        <w:rPr>
          <w:rFonts w:hint="eastAsia" w:ascii="宋体" w:hAnsi="宋体" w:eastAsia="宋体" w:cs="宋体"/>
          <w:b/>
          <w:sz w:val="24"/>
          <w:szCs w:val="24"/>
          <w:lang w:eastAsia="zh-CN"/>
        </w:rPr>
        <w:t>供应商</w:t>
      </w:r>
      <w:r>
        <w:rPr>
          <w:rFonts w:hint="eastAsia" w:ascii="宋体" w:hAnsi="宋体" w:eastAsia="宋体" w:cs="宋体"/>
          <w:b/>
          <w:sz w:val="24"/>
          <w:szCs w:val="24"/>
        </w:rPr>
        <w:t>认为有利于</w:t>
      </w:r>
      <w:r>
        <w:rPr>
          <w:rFonts w:hint="eastAsia" w:ascii="宋体" w:hAnsi="宋体" w:eastAsia="宋体" w:cs="宋体"/>
          <w:b/>
          <w:sz w:val="24"/>
          <w:szCs w:val="24"/>
          <w:lang w:eastAsia="zh-CN"/>
        </w:rPr>
        <w:t>磋商</w:t>
      </w:r>
      <w:r>
        <w:rPr>
          <w:rFonts w:hint="eastAsia" w:ascii="宋体" w:hAnsi="宋体" w:eastAsia="宋体" w:cs="宋体"/>
          <w:b/>
          <w:sz w:val="24"/>
          <w:szCs w:val="24"/>
        </w:rPr>
        <w:t>的其他证明资料</w:t>
      </w:r>
    </w:p>
    <w:p w14:paraId="2F192720">
      <w:pPr>
        <w:pageBreakBefore w:val="0"/>
        <w:widowControl/>
        <w:kinsoku/>
        <w:overflowPunct/>
        <w:bidi w:val="0"/>
        <w:adjustRightInd w:val="0"/>
        <w:snapToGrid w:val="0"/>
        <w:spacing w:after="200" w:line="360" w:lineRule="auto"/>
        <w:ind w:firstLine="480" w:firstLineChars="200"/>
        <w:jc w:val="left"/>
        <w:rPr>
          <w:rFonts w:hint="eastAsia" w:ascii="宋体" w:hAnsi="宋体" w:eastAsia="宋体" w:cs="宋体"/>
          <w:color w:val="000000"/>
          <w:kern w:val="0"/>
          <w:sz w:val="24"/>
          <w:szCs w:val="24"/>
        </w:rPr>
      </w:pPr>
    </w:p>
    <w:p w14:paraId="1502AA01">
      <w:pPr>
        <w:pageBreakBefore w:val="0"/>
        <w:kinsoku/>
        <w:overflowPunct/>
        <w:bidi w:val="0"/>
        <w:spacing w:line="36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br w:type="page"/>
      </w:r>
      <w:r>
        <w:rPr>
          <w:rFonts w:hint="eastAsia" w:ascii="宋体" w:hAnsi="宋体" w:eastAsia="宋体" w:cs="宋体"/>
          <w:color w:val="000000"/>
          <w:kern w:val="0"/>
          <w:sz w:val="24"/>
          <w:szCs w:val="24"/>
        </w:rPr>
        <w:t>附件1：</w:t>
      </w:r>
    </w:p>
    <w:p w14:paraId="0B83850E">
      <w:pPr>
        <w:pageBreakBefore w:val="0"/>
        <w:kinsoku/>
        <w:overflowPunct/>
        <w:bidi w:val="0"/>
        <w:spacing w:line="360" w:lineRule="auto"/>
        <w:jc w:val="center"/>
        <w:rPr>
          <w:rFonts w:hint="eastAsia" w:ascii="宋体" w:hAnsi="宋体" w:eastAsia="宋体" w:cs="宋体"/>
          <w:b/>
          <w:bCs w:val="0"/>
          <w:kern w:val="0"/>
          <w:sz w:val="24"/>
          <w:szCs w:val="24"/>
        </w:rPr>
      </w:pPr>
      <w:r>
        <w:rPr>
          <w:rFonts w:hint="eastAsia" w:ascii="宋体" w:hAnsi="宋体" w:eastAsia="宋体" w:cs="宋体"/>
          <w:b/>
          <w:bCs w:val="0"/>
          <w:kern w:val="0"/>
          <w:sz w:val="24"/>
          <w:szCs w:val="24"/>
        </w:rPr>
        <w:t>中小企业声明函（工程）</w:t>
      </w:r>
    </w:p>
    <w:p w14:paraId="4A60E3BB">
      <w:pPr>
        <w:pageBreakBefore w:val="0"/>
        <w:kinsoku/>
        <w:overflowPunct/>
        <w:bidi w:val="0"/>
        <w:spacing w:before="312" w:beforeLines="100" w:line="360" w:lineRule="auto"/>
        <w:ind w:firstLine="638" w:firstLineChars="266"/>
        <w:jc w:val="left"/>
        <w:rPr>
          <w:rFonts w:hint="eastAsia" w:ascii="宋体" w:hAnsi="宋体" w:eastAsia="宋体" w:cs="宋体"/>
          <w:sz w:val="24"/>
          <w:szCs w:val="24"/>
        </w:rPr>
      </w:pPr>
      <w:r>
        <w:rPr>
          <w:rFonts w:hint="eastAsia" w:ascii="宋体" w:hAnsi="宋体" w:eastAsia="宋体" w:cs="宋体"/>
          <w:sz w:val="24"/>
          <w:szCs w:val="24"/>
        </w:rPr>
        <w:t>本公司（联合体）郑重声明，根据《政府采购促进中小企业发展管理办法》（财库﹝2020﹞46 号）的规定，本公司参加</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（单位名称）</w:t>
      </w:r>
      <w:r>
        <w:rPr>
          <w:rFonts w:hint="eastAsia" w:ascii="宋体" w:hAnsi="宋体" w:eastAsia="宋体" w:cs="宋体"/>
          <w:sz w:val="24"/>
          <w:szCs w:val="24"/>
        </w:rPr>
        <w:t>的</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（项目名称）</w:t>
      </w:r>
      <w:r>
        <w:rPr>
          <w:rFonts w:hint="eastAsia" w:ascii="宋体" w:hAnsi="宋体" w:eastAsia="宋体" w:cs="宋体"/>
          <w:sz w:val="24"/>
          <w:szCs w:val="24"/>
        </w:rPr>
        <w:t>采购活动，工程的施工单位全部为符合政策要求的中小企业。相关企业的具体情况如下：</w:t>
      </w:r>
    </w:p>
    <w:p w14:paraId="55796DBB">
      <w:pPr>
        <w:pageBreakBefore w:val="0"/>
        <w:kinsoku/>
        <w:overflowPunct/>
        <w:bidi w:val="0"/>
        <w:spacing w:line="360" w:lineRule="auto"/>
        <w:ind w:firstLine="638" w:firstLineChars="266"/>
        <w:jc w:val="left"/>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highlight w:val="none"/>
          <w:u w:val="single"/>
        </w:rPr>
        <w:t>（采购文件中明确的所属行业）</w:t>
      </w:r>
      <w:r>
        <w:rPr>
          <w:rFonts w:hint="eastAsia" w:ascii="宋体" w:hAnsi="宋体" w:eastAsia="宋体" w:cs="宋体"/>
          <w:sz w:val="24"/>
          <w:szCs w:val="24"/>
        </w:rPr>
        <w:t>；承建（承接）企业为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人，营业收入为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万元，资产总额为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万元，属于</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（中型企业/小型企业/微型企业）；</w:t>
      </w:r>
    </w:p>
    <w:p w14:paraId="1637E6D2">
      <w:pPr>
        <w:pageBreakBefore w:val="0"/>
        <w:kinsoku/>
        <w:overflowPunct/>
        <w:bidi w:val="0"/>
        <w:spacing w:line="360" w:lineRule="auto"/>
        <w:ind w:firstLine="638" w:firstLineChars="266"/>
        <w:jc w:val="left"/>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highlight w:val="none"/>
          <w:u w:val="single"/>
        </w:rPr>
        <w:t>（采购文件中明确的所属行业）</w:t>
      </w:r>
      <w:r>
        <w:rPr>
          <w:rFonts w:hint="eastAsia" w:ascii="宋体" w:hAnsi="宋体" w:eastAsia="宋体" w:cs="宋体"/>
          <w:sz w:val="24"/>
          <w:szCs w:val="24"/>
        </w:rPr>
        <w:t>；承建（承接）企业为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人，营业收入为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万元，资产总额为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万元，属于</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（中型企业/小型企业/微型企业）；</w:t>
      </w:r>
    </w:p>
    <w:p w14:paraId="3CDF03E1">
      <w:pPr>
        <w:pageBreakBefore w:val="0"/>
        <w:kinsoku/>
        <w:overflowPunct/>
        <w:bidi w:val="0"/>
        <w:spacing w:line="360" w:lineRule="auto"/>
        <w:ind w:firstLine="638" w:firstLineChars="266"/>
        <w:jc w:val="left"/>
        <w:rPr>
          <w:rFonts w:hint="eastAsia" w:ascii="宋体" w:hAnsi="宋体" w:eastAsia="宋体" w:cs="宋体"/>
          <w:sz w:val="24"/>
          <w:szCs w:val="24"/>
        </w:rPr>
      </w:pPr>
      <w:r>
        <w:rPr>
          <w:rFonts w:hint="eastAsia" w:ascii="宋体" w:hAnsi="宋体" w:eastAsia="宋体" w:cs="宋体"/>
          <w:sz w:val="24"/>
          <w:szCs w:val="24"/>
        </w:rPr>
        <w:t>……</w:t>
      </w:r>
    </w:p>
    <w:p w14:paraId="2BFF50F9">
      <w:pPr>
        <w:pageBreakBefore w:val="0"/>
        <w:kinsoku/>
        <w:overflowPunct/>
        <w:bidi w:val="0"/>
        <w:spacing w:line="360" w:lineRule="auto"/>
        <w:ind w:firstLine="638" w:firstLineChars="266"/>
        <w:jc w:val="left"/>
        <w:rPr>
          <w:rFonts w:hint="eastAsia" w:ascii="宋体" w:hAnsi="宋体" w:eastAsia="宋体" w:cs="宋体"/>
          <w:sz w:val="24"/>
          <w:szCs w:val="24"/>
        </w:rPr>
      </w:pPr>
      <w:r>
        <w:rPr>
          <w:rFonts w:hint="eastAsia" w:ascii="宋体" w:hAnsi="宋体" w:eastAsia="宋体" w:cs="宋体"/>
          <w:sz w:val="24"/>
          <w:szCs w:val="24"/>
        </w:rPr>
        <w:t>以上企业，不属于大企业的分支机构，不存在控股股东为大企业的情形，也不存在与大企业的负责人为同一人的情形。</w:t>
      </w:r>
    </w:p>
    <w:p w14:paraId="55987B86">
      <w:pPr>
        <w:pageBreakBefore w:val="0"/>
        <w:kinsoku/>
        <w:overflowPunct/>
        <w:bidi w:val="0"/>
        <w:spacing w:line="360" w:lineRule="auto"/>
        <w:ind w:firstLine="638" w:firstLineChars="266"/>
        <w:jc w:val="left"/>
        <w:rPr>
          <w:rFonts w:hint="eastAsia" w:ascii="宋体" w:hAnsi="宋体" w:eastAsia="宋体" w:cs="宋体"/>
          <w:sz w:val="24"/>
          <w:szCs w:val="24"/>
        </w:rPr>
      </w:pPr>
      <w:r>
        <w:rPr>
          <w:rFonts w:hint="eastAsia" w:ascii="宋体" w:hAnsi="宋体" w:eastAsia="宋体" w:cs="宋体"/>
          <w:sz w:val="24"/>
          <w:szCs w:val="24"/>
        </w:rPr>
        <w:t>本企业对上述声明内容的真实性负责。如有虚假，将依法承担相应责任。</w:t>
      </w:r>
    </w:p>
    <w:p w14:paraId="7F3B9BA5">
      <w:pPr>
        <w:pageBreakBefore w:val="0"/>
        <w:kinsoku/>
        <w:overflowPunct/>
        <w:bidi w:val="0"/>
        <w:spacing w:line="360" w:lineRule="auto"/>
        <w:ind w:firstLine="638" w:firstLineChars="266"/>
        <w:jc w:val="left"/>
        <w:rPr>
          <w:rFonts w:hint="eastAsia" w:ascii="宋体" w:hAnsi="宋体" w:eastAsia="宋体" w:cs="宋体"/>
          <w:sz w:val="24"/>
          <w:szCs w:val="24"/>
        </w:rPr>
      </w:pPr>
    </w:p>
    <w:p w14:paraId="1B545B42">
      <w:pPr>
        <w:pageBreakBefore w:val="0"/>
        <w:kinsoku/>
        <w:overflowPunct/>
        <w:bidi w:val="0"/>
        <w:spacing w:line="360" w:lineRule="auto"/>
        <w:ind w:firstLine="638" w:firstLineChars="266"/>
        <w:jc w:val="left"/>
        <w:rPr>
          <w:rFonts w:hint="eastAsia" w:ascii="宋体" w:hAnsi="宋体" w:eastAsia="宋体" w:cs="宋体"/>
          <w:sz w:val="24"/>
          <w:szCs w:val="24"/>
        </w:rPr>
      </w:pPr>
      <w:r>
        <w:rPr>
          <w:rFonts w:hint="eastAsia" w:ascii="宋体" w:hAnsi="宋体" w:eastAsia="宋体" w:cs="宋体"/>
          <w:sz w:val="24"/>
          <w:szCs w:val="24"/>
        </w:rPr>
        <w:t>企业名称（盖公章）：</w:t>
      </w:r>
    </w:p>
    <w:p w14:paraId="44D9D61B">
      <w:pPr>
        <w:pageBreakBefore w:val="0"/>
        <w:kinsoku/>
        <w:overflowPunct/>
        <w:bidi w:val="0"/>
        <w:spacing w:line="360" w:lineRule="auto"/>
        <w:ind w:firstLine="638" w:firstLineChars="266"/>
        <w:jc w:val="left"/>
        <w:rPr>
          <w:rFonts w:hint="eastAsia" w:ascii="宋体" w:hAnsi="宋体" w:eastAsia="宋体" w:cs="宋体"/>
          <w:sz w:val="24"/>
          <w:szCs w:val="24"/>
        </w:rPr>
      </w:pPr>
      <w:r>
        <w:rPr>
          <w:rFonts w:hint="eastAsia" w:ascii="宋体" w:hAnsi="宋体" w:eastAsia="宋体" w:cs="宋体"/>
          <w:sz w:val="24"/>
          <w:szCs w:val="24"/>
        </w:rPr>
        <w:t>日期：</w:t>
      </w:r>
    </w:p>
    <w:p w14:paraId="206FC95F">
      <w:pPr>
        <w:pStyle w:val="9"/>
        <w:pageBreakBefore w:val="0"/>
        <w:kinsoku/>
        <w:overflowPunct/>
        <w:bidi w:val="0"/>
        <w:spacing w:line="360" w:lineRule="auto"/>
        <w:ind w:left="63" w:right="63" w:firstLine="241"/>
        <w:rPr>
          <w:rFonts w:hint="eastAsia" w:ascii="宋体" w:hAnsi="宋体" w:eastAsia="宋体" w:cs="宋体"/>
          <w:sz w:val="24"/>
          <w:szCs w:val="24"/>
        </w:rPr>
      </w:pPr>
    </w:p>
    <w:p w14:paraId="3AB14D04">
      <w:pPr>
        <w:pageBreakBefore w:val="0"/>
        <w:kinsoku/>
        <w:overflowPunct/>
        <w:bidi w:val="0"/>
        <w:spacing w:line="360" w:lineRule="auto"/>
        <w:ind w:left="420"/>
        <w:rPr>
          <w:rFonts w:hint="eastAsia" w:ascii="宋体" w:hAnsi="宋体" w:eastAsia="宋体" w:cs="宋体"/>
          <w:sz w:val="24"/>
          <w:szCs w:val="24"/>
        </w:rPr>
      </w:pPr>
    </w:p>
    <w:p w14:paraId="4B8136FC">
      <w:pPr>
        <w:pageBreakBefore w:val="0"/>
        <w:kinsoku/>
        <w:overflowPunct/>
        <w:bidi w:val="0"/>
        <w:spacing w:line="360" w:lineRule="auto"/>
        <w:ind w:firstLine="641" w:firstLineChars="266"/>
        <w:jc w:val="left"/>
        <w:rPr>
          <w:rFonts w:hint="eastAsia" w:ascii="宋体" w:hAnsi="宋体" w:eastAsia="宋体" w:cs="宋体"/>
          <w:b/>
          <w:bCs/>
          <w:sz w:val="24"/>
          <w:szCs w:val="24"/>
        </w:rPr>
      </w:pPr>
      <w:r>
        <w:rPr>
          <w:rFonts w:hint="eastAsia" w:ascii="宋体" w:hAnsi="宋体" w:eastAsia="宋体" w:cs="宋体"/>
          <w:b/>
          <w:bCs/>
          <w:sz w:val="24"/>
          <w:szCs w:val="24"/>
        </w:rPr>
        <w:t>注：1、从业人员、营业收入、资产总额填报上一年度数据，无上一年度数据的新成立企业可不填报。</w:t>
      </w:r>
    </w:p>
    <w:p w14:paraId="43AF92A0">
      <w:pPr>
        <w:pageBreakBefore w:val="0"/>
        <w:kinsoku/>
        <w:overflowPunct/>
        <w:bidi w:val="0"/>
        <w:spacing w:line="360" w:lineRule="auto"/>
        <w:ind w:firstLine="361" w:firstLineChars="150"/>
        <w:jc w:val="left"/>
        <w:rPr>
          <w:rFonts w:hint="eastAsia" w:ascii="宋体" w:hAnsi="宋体" w:eastAsia="宋体" w:cs="宋体"/>
          <w:sz w:val="24"/>
          <w:szCs w:val="20"/>
        </w:rPr>
      </w:pPr>
      <w:r>
        <w:rPr>
          <w:rFonts w:hint="eastAsia" w:ascii="宋体" w:hAnsi="宋体" w:eastAsia="宋体" w:cs="宋体"/>
          <w:b/>
          <w:bCs/>
          <w:sz w:val="24"/>
          <w:szCs w:val="20"/>
        </w:rPr>
        <w:t>2、中小企业划分标准见工业和信息化部国家统计局国家发展和改革委员财政部《关于印发中小企业划型标准规定的通知》（工信部联企业【2011】300号）。</w:t>
      </w:r>
    </w:p>
    <w:p w14:paraId="2B978664">
      <w:pPr>
        <w:rPr>
          <w:rFonts w:hint="eastAsia" w:ascii="宋体" w:hAnsi="宋体" w:eastAsia="宋体" w:cs="宋体"/>
          <w:sz w:val="24"/>
          <w:szCs w:val="24"/>
        </w:rPr>
      </w:pPr>
      <w:r>
        <w:rPr>
          <w:rFonts w:hint="eastAsia" w:ascii="宋体" w:hAnsi="宋体" w:eastAsia="宋体" w:cs="宋体"/>
          <w:sz w:val="24"/>
          <w:szCs w:val="24"/>
        </w:rPr>
        <w:br w:type="page"/>
      </w:r>
    </w:p>
    <w:p w14:paraId="34711059">
      <w:pPr>
        <w:pageBreakBefore w:val="0"/>
        <w:kinsoku/>
        <w:overflowPunct/>
        <w:bidi w:val="0"/>
        <w:spacing w:line="360" w:lineRule="auto"/>
        <w:jc w:val="left"/>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eastAsia="zh-CN"/>
        </w:rPr>
        <w:t>附件</w:t>
      </w:r>
      <w:r>
        <w:rPr>
          <w:rFonts w:hint="eastAsia" w:ascii="宋体" w:hAnsi="宋体" w:eastAsia="宋体" w:cs="宋体"/>
          <w:color w:val="000000"/>
          <w:kern w:val="0"/>
          <w:sz w:val="24"/>
          <w:szCs w:val="24"/>
          <w:lang w:val="en-US" w:eastAsia="zh-CN"/>
        </w:rPr>
        <w:t>2：</w:t>
      </w:r>
    </w:p>
    <w:p w14:paraId="6117B12D">
      <w:pPr>
        <w:pageBreakBefore w:val="0"/>
        <w:kinsoku/>
        <w:overflowPunct/>
        <w:bidi w:val="0"/>
        <w:spacing w:line="360" w:lineRule="auto"/>
        <w:jc w:val="center"/>
        <w:rPr>
          <w:rFonts w:hint="eastAsia" w:ascii="宋体" w:hAnsi="宋体" w:eastAsia="宋体" w:cs="宋体"/>
          <w:b/>
          <w:bCs w:val="0"/>
          <w:kern w:val="0"/>
          <w:sz w:val="24"/>
          <w:szCs w:val="24"/>
        </w:rPr>
      </w:pPr>
      <w:r>
        <w:rPr>
          <w:rFonts w:hint="eastAsia" w:ascii="宋体" w:hAnsi="宋体" w:eastAsia="宋体" w:cs="宋体"/>
          <w:b/>
          <w:bCs w:val="0"/>
          <w:kern w:val="0"/>
          <w:sz w:val="24"/>
          <w:szCs w:val="24"/>
        </w:rPr>
        <w:t>残疾人福利性单位声明函</w:t>
      </w:r>
    </w:p>
    <w:p w14:paraId="77C61407">
      <w:pPr>
        <w:widowControl/>
        <w:adjustRightInd w:val="0"/>
        <w:snapToGrid w:val="0"/>
        <w:spacing w:line="360" w:lineRule="auto"/>
        <w:jc w:val="center"/>
        <w:rPr>
          <w:rFonts w:ascii="宋体" w:hAnsi="宋体" w:eastAsia="宋体" w:cs="宋体"/>
          <w:b/>
          <w:bCs/>
          <w:iCs/>
          <w:kern w:val="0"/>
          <w:sz w:val="24"/>
          <w:szCs w:val="24"/>
        </w:rPr>
      </w:pPr>
      <w:r>
        <w:rPr>
          <w:rFonts w:hint="eastAsia" w:ascii="宋体" w:hAnsi="宋体" w:eastAsia="宋体" w:cs="宋体"/>
          <w:b/>
          <w:bCs/>
          <w:iCs/>
          <w:kern w:val="0"/>
          <w:sz w:val="24"/>
          <w:szCs w:val="24"/>
        </w:rPr>
        <w:t>（属于残疾人福利性单位的填写，不属于的无需填写此项内容）</w:t>
      </w:r>
    </w:p>
    <w:p w14:paraId="406D8F5D">
      <w:pPr>
        <w:widowControl/>
        <w:adjustRightInd w:val="0"/>
        <w:snapToGrid w:val="0"/>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或者提供其他残疾人福利性单位制造的货物（不包括使用非残疾人福利性单位注册商标的货物）。</w:t>
      </w:r>
    </w:p>
    <w:p w14:paraId="10CB49AB">
      <w:pPr>
        <w:widowControl/>
        <w:adjustRightInd w:val="0"/>
        <w:snapToGrid w:val="0"/>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本单位对上述声明的真实性负责。如有虚假，将依法承担相应责任。</w:t>
      </w:r>
    </w:p>
    <w:p w14:paraId="38417BAA">
      <w:pPr>
        <w:widowControl/>
        <w:adjustRightInd w:val="0"/>
        <w:snapToGrid w:val="0"/>
        <w:spacing w:line="360" w:lineRule="auto"/>
        <w:ind w:firstLine="480" w:firstLineChars="200"/>
        <w:jc w:val="left"/>
        <w:rPr>
          <w:rFonts w:ascii="宋体" w:hAnsi="宋体" w:eastAsia="宋体" w:cs="宋体"/>
          <w:kern w:val="0"/>
          <w:sz w:val="24"/>
          <w:szCs w:val="24"/>
        </w:rPr>
      </w:pPr>
    </w:p>
    <w:p w14:paraId="3DB92180">
      <w:pPr>
        <w:keepNext w:val="0"/>
        <w:keepLines w:val="0"/>
        <w:pageBreakBefore w:val="0"/>
        <w:widowControl/>
        <w:kinsoku/>
        <w:wordWrap/>
        <w:overflowPunct/>
        <w:topLinePunct w:val="0"/>
        <w:autoSpaceDE/>
        <w:autoSpaceDN/>
        <w:bidi w:val="0"/>
        <w:adjustRightInd w:val="0"/>
        <w:snapToGrid w:val="0"/>
        <w:spacing w:line="360" w:lineRule="auto"/>
        <w:ind w:firstLine="2400" w:firstLineChars="1000"/>
        <w:jc w:val="left"/>
        <w:textAlignment w:val="auto"/>
        <w:rPr>
          <w:rFonts w:ascii="宋体" w:hAnsi="宋体" w:eastAsia="宋体" w:cs="宋体"/>
          <w:kern w:val="0"/>
          <w:sz w:val="24"/>
          <w:szCs w:val="20"/>
          <w:u w:val="single"/>
        </w:rPr>
      </w:pPr>
      <w:r>
        <w:rPr>
          <w:rFonts w:hint="eastAsia" w:ascii="宋体" w:hAnsi="宋体" w:eastAsia="宋体" w:cs="宋体"/>
          <w:kern w:val="0"/>
          <w:sz w:val="24"/>
          <w:szCs w:val="20"/>
        </w:rPr>
        <w:t>供应商（电子签章）：</w:t>
      </w:r>
      <w:r>
        <w:rPr>
          <w:rFonts w:hint="eastAsia" w:ascii="宋体" w:hAnsi="宋体" w:eastAsia="宋体" w:cs="宋体"/>
          <w:kern w:val="0"/>
          <w:sz w:val="24"/>
          <w:szCs w:val="20"/>
          <w:u w:val="single"/>
        </w:rPr>
        <w:t xml:space="preserve">                     </w:t>
      </w:r>
    </w:p>
    <w:p w14:paraId="46C9127C">
      <w:pPr>
        <w:keepNext w:val="0"/>
        <w:keepLines w:val="0"/>
        <w:pageBreakBefore w:val="0"/>
        <w:widowControl/>
        <w:kinsoku/>
        <w:wordWrap/>
        <w:overflowPunct/>
        <w:topLinePunct w:val="0"/>
        <w:autoSpaceDE/>
        <w:autoSpaceDN/>
        <w:bidi w:val="0"/>
        <w:adjustRightInd w:val="0"/>
        <w:snapToGrid w:val="0"/>
        <w:spacing w:line="360" w:lineRule="auto"/>
        <w:ind w:firstLine="2400" w:firstLineChars="1000"/>
        <w:jc w:val="left"/>
        <w:textAlignment w:val="auto"/>
        <w:rPr>
          <w:rFonts w:ascii="宋体" w:hAnsi="宋体" w:eastAsia="宋体" w:cs="宋体"/>
          <w:kern w:val="0"/>
          <w:sz w:val="24"/>
          <w:szCs w:val="20"/>
          <w:u w:val="single"/>
        </w:rPr>
      </w:pPr>
      <w:r>
        <w:rPr>
          <w:rFonts w:hint="eastAsia" w:ascii="宋体" w:hAnsi="宋体" w:eastAsia="宋体" w:cs="宋体"/>
          <w:kern w:val="0"/>
          <w:sz w:val="24"/>
          <w:szCs w:val="20"/>
        </w:rPr>
        <w:t>法定代表人（电子签章）：</w:t>
      </w:r>
      <w:r>
        <w:rPr>
          <w:rFonts w:hint="eastAsia" w:ascii="宋体" w:hAnsi="宋体" w:eastAsia="宋体" w:cs="宋体"/>
          <w:kern w:val="0"/>
          <w:sz w:val="24"/>
          <w:szCs w:val="20"/>
          <w:u w:val="single"/>
        </w:rPr>
        <w:t xml:space="preserve">                   </w:t>
      </w:r>
    </w:p>
    <w:p w14:paraId="3C733B8F">
      <w:pPr>
        <w:keepNext w:val="0"/>
        <w:keepLines w:val="0"/>
        <w:pageBreakBefore w:val="0"/>
        <w:widowControl/>
        <w:kinsoku/>
        <w:wordWrap/>
        <w:overflowPunct/>
        <w:topLinePunct w:val="0"/>
        <w:autoSpaceDE/>
        <w:autoSpaceDN/>
        <w:bidi w:val="0"/>
        <w:adjustRightInd w:val="0"/>
        <w:snapToGrid w:val="0"/>
        <w:spacing w:line="360" w:lineRule="auto"/>
        <w:ind w:firstLine="2400" w:firstLineChars="1000"/>
        <w:jc w:val="both"/>
        <w:textAlignment w:val="auto"/>
        <w:rPr>
          <w:rFonts w:ascii="宋体" w:hAnsi="宋体" w:eastAsia="宋体" w:cs="宋体"/>
          <w:kern w:val="0"/>
          <w:sz w:val="30"/>
          <w:szCs w:val="30"/>
        </w:rPr>
      </w:pPr>
      <w:r>
        <w:rPr>
          <w:rFonts w:hint="eastAsia" w:ascii="宋体" w:hAnsi="宋体" w:eastAsia="宋体" w:cs="宋体"/>
          <w:kern w:val="0"/>
          <w:sz w:val="24"/>
          <w:szCs w:val="20"/>
        </w:rPr>
        <w:t>日期：</w:t>
      </w:r>
      <w:r>
        <w:rPr>
          <w:rFonts w:hint="eastAsia" w:ascii="宋体" w:hAnsi="宋体" w:eastAsia="宋体" w:cs="宋体"/>
          <w:kern w:val="0"/>
          <w:sz w:val="24"/>
          <w:szCs w:val="20"/>
          <w:u w:val="single"/>
        </w:rPr>
        <w:t xml:space="preserve">        </w:t>
      </w:r>
      <w:r>
        <w:rPr>
          <w:rFonts w:hint="eastAsia" w:ascii="宋体" w:hAnsi="宋体" w:eastAsia="宋体" w:cs="宋体"/>
          <w:kern w:val="0"/>
          <w:sz w:val="24"/>
          <w:szCs w:val="20"/>
        </w:rPr>
        <w:t>年</w:t>
      </w:r>
      <w:r>
        <w:rPr>
          <w:rFonts w:hint="eastAsia" w:ascii="宋体" w:hAnsi="宋体" w:eastAsia="宋体" w:cs="宋体"/>
          <w:kern w:val="0"/>
          <w:sz w:val="24"/>
          <w:szCs w:val="20"/>
          <w:u w:val="single"/>
        </w:rPr>
        <w:t xml:space="preserve">       </w:t>
      </w:r>
      <w:r>
        <w:rPr>
          <w:rFonts w:hint="eastAsia" w:ascii="宋体" w:hAnsi="宋体" w:eastAsia="宋体" w:cs="宋体"/>
          <w:kern w:val="0"/>
          <w:sz w:val="24"/>
          <w:szCs w:val="20"/>
        </w:rPr>
        <w:t>月</w:t>
      </w:r>
      <w:r>
        <w:rPr>
          <w:rFonts w:hint="eastAsia" w:ascii="宋体" w:hAnsi="宋体" w:eastAsia="宋体" w:cs="宋体"/>
          <w:kern w:val="0"/>
          <w:sz w:val="24"/>
          <w:szCs w:val="20"/>
          <w:u w:val="single"/>
        </w:rPr>
        <w:t xml:space="preserve">       </w:t>
      </w:r>
      <w:r>
        <w:rPr>
          <w:rFonts w:hint="eastAsia" w:ascii="宋体" w:hAnsi="宋体" w:eastAsia="宋体" w:cs="宋体"/>
          <w:kern w:val="0"/>
          <w:sz w:val="24"/>
          <w:szCs w:val="20"/>
        </w:rPr>
        <w:t>日</w:t>
      </w:r>
    </w:p>
    <w:p w14:paraId="38931D24">
      <w:pPr>
        <w:widowControl/>
        <w:adjustRightInd w:val="0"/>
        <w:snapToGrid w:val="0"/>
        <w:spacing w:line="360" w:lineRule="auto"/>
        <w:jc w:val="right"/>
        <w:rPr>
          <w:rFonts w:ascii="宋体" w:hAnsi="宋体" w:eastAsia="宋体" w:cs="宋体"/>
          <w:kern w:val="0"/>
          <w:sz w:val="30"/>
          <w:szCs w:val="30"/>
        </w:rPr>
      </w:pPr>
    </w:p>
    <w:p w14:paraId="64CC6C5B">
      <w:pPr>
        <w:keepNext w:val="0"/>
        <w:keepLines w:val="0"/>
        <w:pageBreakBefore w:val="0"/>
        <w:kinsoku/>
        <w:wordWrap/>
        <w:overflowPunct/>
        <w:topLinePunct w:val="0"/>
        <w:autoSpaceDE/>
        <w:autoSpaceDN/>
        <w:bidi w:val="0"/>
        <w:adjustRightInd w:val="0"/>
        <w:snapToGrid w:val="0"/>
        <w:spacing w:line="360" w:lineRule="auto"/>
        <w:ind w:firstLine="402" w:firstLineChars="200"/>
        <w:textAlignment w:val="auto"/>
        <w:rPr>
          <w:rFonts w:ascii="宋体" w:hAnsi="宋体" w:eastAsia="宋体" w:cs="宋体"/>
          <w:kern w:val="0"/>
          <w:sz w:val="20"/>
          <w:szCs w:val="24"/>
        </w:rPr>
      </w:pPr>
      <w:r>
        <w:rPr>
          <w:rFonts w:hint="eastAsia" w:ascii="宋体" w:hAnsi="宋体" w:eastAsia="宋体" w:cs="宋体"/>
          <w:b/>
          <w:kern w:val="0"/>
          <w:sz w:val="20"/>
          <w:szCs w:val="24"/>
        </w:rPr>
        <w:t>（注：如果供应商</w:t>
      </w:r>
      <w:r>
        <w:rPr>
          <w:rFonts w:hint="eastAsia" w:ascii="宋体" w:hAnsi="宋体" w:eastAsia="宋体" w:cs="宋体"/>
          <w:b/>
          <w:spacing w:val="10"/>
          <w:kern w:val="0"/>
          <w:sz w:val="20"/>
          <w:szCs w:val="24"/>
        </w:rPr>
        <w:t>不是残疾人福利性单位</w:t>
      </w:r>
      <w:r>
        <w:rPr>
          <w:rFonts w:hint="eastAsia" w:ascii="宋体" w:hAnsi="宋体" w:eastAsia="宋体" w:cs="宋体"/>
          <w:b/>
          <w:kern w:val="0"/>
          <w:sz w:val="20"/>
          <w:szCs w:val="24"/>
        </w:rPr>
        <w:t>，则不需要填写《残疾人福利性单位声明函》。否则，因此导致虚假投标的后果由供应商自行承担。）</w:t>
      </w:r>
    </w:p>
    <w:p w14:paraId="69939F89">
      <w:pPr>
        <w:keepNext w:val="0"/>
        <w:keepLines w:val="0"/>
        <w:pageBreakBefore w:val="0"/>
        <w:widowControl/>
        <w:kinsoku/>
        <w:wordWrap/>
        <w:overflowPunct/>
        <w:topLinePunct w:val="0"/>
        <w:autoSpaceDE/>
        <w:autoSpaceDN/>
        <w:bidi w:val="0"/>
        <w:adjustRightInd w:val="0"/>
        <w:snapToGrid w:val="0"/>
        <w:spacing w:line="360" w:lineRule="auto"/>
        <w:ind w:firstLine="440" w:firstLineChars="200"/>
        <w:jc w:val="left"/>
        <w:textAlignment w:val="auto"/>
        <w:rPr>
          <w:rFonts w:ascii="宋体" w:hAnsi="宋体" w:eastAsia="宋体" w:cs="宋体"/>
          <w:kern w:val="0"/>
          <w:sz w:val="22"/>
          <w:szCs w:val="24"/>
        </w:rPr>
      </w:pPr>
      <w:r>
        <w:rPr>
          <w:rFonts w:hint="eastAsia" w:ascii="宋体" w:hAnsi="宋体" w:eastAsia="宋体" w:cs="宋体"/>
          <w:kern w:val="0"/>
          <w:sz w:val="22"/>
          <w:szCs w:val="24"/>
        </w:rPr>
        <w:t>《财政部民政部中国残疾人联合会关于促进残疾人就业政府采购政策的通知》（财库2017〔141〕号）的规定：</w:t>
      </w:r>
    </w:p>
    <w:p w14:paraId="5AC1385C">
      <w:pPr>
        <w:keepNext w:val="0"/>
        <w:keepLines w:val="0"/>
        <w:pageBreakBefore w:val="0"/>
        <w:widowControl/>
        <w:kinsoku/>
        <w:wordWrap/>
        <w:overflowPunct/>
        <w:topLinePunct w:val="0"/>
        <w:autoSpaceDE/>
        <w:autoSpaceDN/>
        <w:bidi w:val="0"/>
        <w:adjustRightInd w:val="0"/>
        <w:snapToGrid w:val="0"/>
        <w:spacing w:line="360" w:lineRule="auto"/>
        <w:ind w:firstLine="440" w:firstLineChars="200"/>
        <w:jc w:val="left"/>
        <w:textAlignment w:val="auto"/>
        <w:rPr>
          <w:rFonts w:ascii="宋体" w:hAnsi="宋体" w:eastAsia="宋体" w:cs="宋体"/>
          <w:kern w:val="0"/>
          <w:sz w:val="22"/>
          <w:szCs w:val="24"/>
        </w:rPr>
      </w:pPr>
      <w:r>
        <w:rPr>
          <w:rFonts w:hint="eastAsia" w:ascii="宋体" w:hAnsi="宋体" w:eastAsia="宋体" w:cs="宋体"/>
          <w:kern w:val="0"/>
          <w:sz w:val="22"/>
          <w:szCs w:val="24"/>
        </w:rPr>
        <w:t>1. 享受政府采购支持政策的残疾人福利性单位应当同时满足以下条件：</w:t>
      </w:r>
    </w:p>
    <w:p w14:paraId="4237898E">
      <w:pPr>
        <w:keepNext w:val="0"/>
        <w:keepLines w:val="0"/>
        <w:pageBreakBefore w:val="0"/>
        <w:widowControl/>
        <w:kinsoku/>
        <w:wordWrap/>
        <w:overflowPunct/>
        <w:topLinePunct w:val="0"/>
        <w:autoSpaceDE/>
        <w:autoSpaceDN/>
        <w:bidi w:val="0"/>
        <w:adjustRightInd w:val="0"/>
        <w:snapToGrid w:val="0"/>
        <w:spacing w:line="360" w:lineRule="auto"/>
        <w:ind w:firstLine="440" w:firstLineChars="200"/>
        <w:jc w:val="left"/>
        <w:textAlignment w:val="auto"/>
        <w:rPr>
          <w:rFonts w:ascii="宋体" w:hAnsi="宋体" w:eastAsia="宋体" w:cs="宋体"/>
          <w:kern w:val="0"/>
          <w:sz w:val="22"/>
          <w:szCs w:val="24"/>
        </w:rPr>
      </w:pPr>
      <w:r>
        <w:rPr>
          <w:rFonts w:hint="eastAsia" w:ascii="宋体" w:hAnsi="宋体" w:eastAsia="宋体" w:cs="宋体"/>
          <w:kern w:val="0"/>
          <w:sz w:val="22"/>
          <w:szCs w:val="24"/>
        </w:rPr>
        <w:t>（1）安置的残疾人占本单位在职职工人数的比例不低于25%（含25%），并且安置的残疾人人数不少于10人（含10人）；</w:t>
      </w:r>
    </w:p>
    <w:p w14:paraId="6319845C">
      <w:pPr>
        <w:keepNext w:val="0"/>
        <w:keepLines w:val="0"/>
        <w:pageBreakBefore w:val="0"/>
        <w:widowControl/>
        <w:kinsoku/>
        <w:wordWrap/>
        <w:overflowPunct/>
        <w:topLinePunct w:val="0"/>
        <w:autoSpaceDE/>
        <w:autoSpaceDN/>
        <w:bidi w:val="0"/>
        <w:adjustRightInd w:val="0"/>
        <w:snapToGrid w:val="0"/>
        <w:spacing w:line="360" w:lineRule="auto"/>
        <w:ind w:firstLine="440" w:firstLineChars="200"/>
        <w:jc w:val="left"/>
        <w:textAlignment w:val="auto"/>
        <w:rPr>
          <w:rFonts w:ascii="宋体" w:hAnsi="宋体" w:eastAsia="宋体" w:cs="宋体"/>
          <w:kern w:val="0"/>
          <w:sz w:val="22"/>
          <w:szCs w:val="24"/>
        </w:rPr>
      </w:pPr>
      <w:r>
        <w:rPr>
          <w:rFonts w:hint="eastAsia" w:ascii="宋体" w:hAnsi="宋体" w:eastAsia="宋体" w:cs="宋体"/>
          <w:kern w:val="0"/>
          <w:sz w:val="22"/>
          <w:szCs w:val="24"/>
        </w:rPr>
        <w:t>（2）依法与安置的每位残疾人签订了一年以上（含一年）的劳动合同或服务协议；</w:t>
      </w:r>
    </w:p>
    <w:p w14:paraId="0D97A34A">
      <w:pPr>
        <w:keepNext w:val="0"/>
        <w:keepLines w:val="0"/>
        <w:pageBreakBefore w:val="0"/>
        <w:widowControl/>
        <w:kinsoku/>
        <w:wordWrap/>
        <w:overflowPunct/>
        <w:topLinePunct w:val="0"/>
        <w:autoSpaceDE/>
        <w:autoSpaceDN/>
        <w:bidi w:val="0"/>
        <w:adjustRightInd w:val="0"/>
        <w:snapToGrid w:val="0"/>
        <w:spacing w:line="360" w:lineRule="auto"/>
        <w:ind w:firstLine="440" w:firstLineChars="200"/>
        <w:jc w:val="left"/>
        <w:textAlignment w:val="auto"/>
        <w:rPr>
          <w:rFonts w:ascii="宋体" w:hAnsi="宋体" w:eastAsia="宋体" w:cs="宋体"/>
          <w:kern w:val="0"/>
          <w:sz w:val="22"/>
          <w:szCs w:val="24"/>
        </w:rPr>
      </w:pPr>
      <w:r>
        <w:rPr>
          <w:rFonts w:hint="eastAsia" w:ascii="宋体" w:hAnsi="宋体" w:eastAsia="宋体" w:cs="宋体"/>
          <w:kern w:val="0"/>
          <w:sz w:val="22"/>
          <w:szCs w:val="24"/>
        </w:rPr>
        <w:t>（3）为安置的每位残疾人按月足额缴纳了基本养老保险、基本医疗保险、失业保险、工伤保险和生育保险等社会保险费；</w:t>
      </w:r>
    </w:p>
    <w:p w14:paraId="14E0118A">
      <w:pPr>
        <w:keepNext w:val="0"/>
        <w:keepLines w:val="0"/>
        <w:pageBreakBefore w:val="0"/>
        <w:widowControl/>
        <w:kinsoku/>
        <w:wordWrap/>
        <w:overflowPunct/>
        <w:topLinePunct w:val="0"/>
        <w:autoSpaceDE/>
        <w:autoSpaceDN/>
        <w:bidi w:val="0"/>
        <w:adjustRightInd w:val="0"/>
        <w:snapToGrid w:val="0"/>
        <w:spacing w:line="360" w:lineRule="auto"/>
        <w:ind w:firstLine="440" w:firstLineChars="200"/>
        <w:jc w:val="left"/>
        <w:textAlignment w:val="auto"/>
        <w:rPr>
          <w:rFonts w:ascii="宋体" w:hAnsi="宋体" w:eastAsia="宋体" w:cs="宋体"/>
          <w:kern w:val="0"/>
          <w:sz w:val="22"/>
          <w:szCs w:val="24"/>
        </w:rPr>
      </w:pPr>
      <w:r>
        <w:rPr>
          <w:rFonts w:hint="eastAsia" w:ascii="宋体" w:hAnsi="宋体" w:eastAsia="宋体" w:cs="宋体"/>
          <w:kern w:val="0"/>
          <w:sz w:val="22"/>
          <w:szCs w:val="24"/>
        </w:rPr>
        <w:t>（4）通过银行等金融机构向安置的每位残疾人，按月支付了不低于单位所在区县适用的经省级人民政府批准的月最低工资标准的工资；</w:t>
      </w:r>
    </w:p>
    <w:p w14:paraId="258B6930">
      <w:pPr>
        <w:keepNext w:val="0"/>
        <w:keepLines w:val="0"/>
        <w:pageBreakBefore w:val="0"/>
        <w:widowControl/>
        <w:kinsoku/>
        <w:wordWrap/>
        <w:overflowPunct/>
        <w:topLinePunct w:val="0"/>
        <w:autoSpaceDE/>
        <w:autoSpaceDN/>
        <w:bidi w:val="0"/>
        <w:adjustRightInd w:val="0"/>
        <w:snapToGrid w:val="0"/>
        <w:spacing w:line="360" w:lineRule="auto"/>
        <w:ind w:firstLine="440" w:firstLineChars="200"/>
        <w:jc w:val="left"/>
        <w:textAlignment w:val="auto"/>
        <w:rPr>
          <w:rFonts w:ascii="宋体" w:hAnsi="宋体" w:eastAsia="宋体" w:cs="宋体"/>
          <w:kern w:val="0"/>
          <w:sz w:val="22"/>
          <w:szCs w:val="24"/>
        </w:rPr>
      </w:pPr>
      <w:r>
        <w:rPr>
          <w:rFonts w:hint="eastAsia" w:ascii="宋体" w:hAnsi="宋体" w:eastAsia="宋体" w:cs="宋体"/>
          <w:kern w:val="0"/>
          <w:sz w:val="22"/>
          <w:szCs w:val="24"/>
        </w:rPr>
        <w:t>（5）提供本单位制造的货物、承担的工程或者服务（以下简称产品），或者提供其他残疾人福利性单位制造的货物（不包括使用非残疾人福利性单位注册商标的货物）。</w:t>
      </w:r>
    </w:p>
    <w:p w14:paraId="3535FDC2">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ascii="宋体" w:hAnsi="宋体" w:eastAsia="宋体" w:cs="宋体"/>
          <w:kern w:val="0"/>
          <w:sz w:val="20"/>
          <w:szCs w:val="24"/>
        </w:rPr>
      </w:pPr>
      <w:r>
        <w:rPr>
          <w:rFonts w:hint="eastAsia" w:ascii="宋体" w:hAnsi="宋体" w:eastAsia="宋体" w:cs="宋体"/>
          <w:szCs w:val="24"/>
        </w:rPr>
        <w:t>2. 成交人为残疾人福利性单位的，采购人或者其委托的采购代理机构应当随成交、成交结果同时公告其《残疾人福利性单位声明函》，接受社会监督。</w:t>
      </w:r>
    </w:p>
    <w:p w14:paraId="460155FD">
      <w:pPr>
        <w:adjustRightInd w:val="0"/>
        <w:snapToGrid w:val="0"/>
        <w:spacing w:line="360" w:lineRule="auto"/>
        <w:ind w:firstLine="240" w:firstLineChars="100"/>
        <w:jc w:val="center"/>
        <w:rPr>
          <w:rFonts w:hint="eastAsia" w:ascii="宋体" w:hAnsi="宋体" w:eastAsia="宋体" w:cs="宋体"/>
          <w:kern w:val="0"/>
          <w:sz w:val="24"/>
          <w:szCs w:val="24"/>
        </w:rPr>
      </w:pPr>
      <w:r>
        <w:rPr>
          <w:rFonts w:hint="eastAsia" w:ascii="宋体" w:hAnsi="宋体" w:eastAsia="宋体" w:cs="宋体"/>
          <w:kern w:val="0"/>
          <w:sz w:val="24"/>
          <w:szCs w:val="24"/>
        </w:rPr>
        <w:br w:type="page"/>
      </w:r>
    </w:p>
    <w:p w14:paraId="76A4F456">
      <w:pPr>
        <w:pageBreakBefore w:val="0"/>
        <w:kinsoku/>
        <w:overflowPunct/>
        <w:bidi w:val="0"/>
        <w:spacing w:line="360" w:lineRule="auto"/>
        <w:jc w:val="left"/>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eastAsia="zh-CN"/>
        </w:rPr>
        <w:t>附件</w:t>
      </w:r>
      <w:r>
        <w:rPr>
          <w:rFonts w:hint="eastAsia" w:ascii="宋体" w:hAnsi="宋体" w:eastAsia="宋体" w:cs="宋体"/>
          <w:color w:val="000000"/>
          <w:kern w:val="0"/>
          <w:sz w:val="24"/>
          <w:szCs w:val="24"/>
          <w:lang w:val="en-US" w:eastAsia="zh-CN"/>
        </w:rPr>
        <w:t>3：</w:t>
      </w:r>
    </w:p>
    <w:p w14:paraId="0B1F4A87">
      <w:pPr>
        <w:pageBreakBefore w:val="0"/>
        <w:kinsoku/>
        <w:overflowPunct/>
        <w:bidi w:val="0"/>
        <w:spacing w:line="360" w:lineRule="auto"/>
        <w:jc w:val="center"/>
        <w:rPr>
          <w:rFonts w:hint="eastAsia" w:ascii="宋体" w:hAnsi="宋体" w:eastAsia="宋体" w:cs="宋体"/>
          <w:b/>
          <w:bCs w:val="0"/>
          <w:kern w:val="0"/>
          <w:sz w:val="24"/>
          <w:szCs w:val="24"/>
        </w:rPr>
      </w:pPr>
      <w:r>
        <w:rPr>
          <w:rFonts w:hint="eastAsia" w:ascii="宋体" w:hAnsi="宋体" w:eastAsia="宋体" w:cs="宋体"/>
          <w:b/>
          <w:bCs w:val="0"/>
          <w:kern w:val="0"/>
          <w:sz w:val="24"/>
          <w:szCs w:val="24"/>
        </w:rPr>
        <w:t>监狱企业证明文件</w:t>
      </w:r>
    </w:p>
    <w:p w14:paraId="7F43B7D9">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outlineLvl w:val="9"/>
        <w:rPr>
          <w:rFonts w:ascii="宋体" w:hAnsi="宋体" w:eastAsia="宋体" w:cs="宋体"/>
          <w:b/>
          <w:bCs/>
          <w:iCs/>
          <w:kern w:val="0"/>
          <w:sz w:val="24"/>
          <w:szCs w:val="24"/>
        </w:rPr>
      </w:pPr>
      <w:bookmarkStart w:id="397" w:name="_Toc13644"/>
      <w:r>
        <w:rPr>
          <w:rFonts w:hint="eastAsia" w:ascii="宋体" w:hAnsi="宋体" w:eastAsia="宋体" w:cs="宋体"/>
          <w:b/>
          <w:bCs/>
          <w:iCs/>
          <w:kern w:val="0"/>
          <w:sz w:val="24"/>
          <w:szCs w:val="24"/>
        </w:rPr>
        <w:t>（属于监狱企业的提供，不属于的无需填写此项内容）</w:t>
      </w:r>
      <w:bookmarkEnd w:id="397"/>
    </w:p>
    <w:p w14:paraId="34A46569">
      <w:pPr>
        <w:widowControl/>
        <w:adjustRightInd w:val="0"/>
        <w:snapToGrid w:val="0"/>
        <w:spacing w:line="360" w:lineRule="auto"/>
        <w:jc w:val="left"/>
        <w:rPr>
          <w:rFonts w:ascii="宋体" w:hAnsi="宋体" w:eastAsia="宋体" w:cs="宋体"/>
          <w:b/>
          <w:bCs/>
          <w:kern w:val="0"/>
          <w:sz w:val="32"/>
          <w:szCs w:val="32"/>
        </w:rPr>
      </w:pPr>
    </w:p>
    <w:p w14:paraId="25095BFE">
      <w:pPr>
        <w:widowControl/>
        <w:adjustRightInd w:val="0"/>
        <w:snapToGrid w:val="0"/>
        <w:spacing w:line="360" w:lineRule="auto"/>
        <w:ind w:firstLine="480" w:firstLineChars="200"/>
        <w:jc w:val="left"/>
        <w:rPr>
          <w:rFonts w:ascii="宋体" w:hAnsi="宋体" w:eastAsia="宋体" w:cs="宋体"/>
          <w:bCs/>
          <w:kern w:val="0"/>
          <w:sz w:val="24"/>
          <w:szCs w:val="24"/>
        </w:rPr>
      </w:pPr>
      <w:r>
        <w:rPr>
          <w:rFonts w:hint="eastAsia" w:ascii="宋体" w:hAnsi="宋体" w:eastAsia="宋体" w:cs="宋体"/>
          <w:bCs/>
          <w:kern w:val="0"/>
          <w:sz w:val="24"/>
          <w:szCs w:val="24"/>
        </w:rPr>
        <w:t>（监狱企业参加政府采购活动时，应当提供由省级以上监狱管理局、戒毒管理局(含新疆生产建设兵团)出具的属于监狱企业的证明文件。</w:t>
      </w:r>
    </w:p>
    <w:p w14:paraId="69E1B571"/>
    <w:p w14:paraId="36A46ABA">
      <w:pPr>
        <w:pStyle w:val="9"/>
        <w:pageBreakBefore w:val="0"/>
        <w:kinsoku/>
        <w:overflowPunct/>
        <w:bidi w:val="0"/>
        <w:spacing w:line="360" w:lineRule="auto"/>
        <w:ind w:left="63" w:right="63" w:firstLine="211"/>
        <w:rPr>
          <w:rFonts w:hint="eastAsia" w:ascii="宋体" w:hAnsi="宋体" w:eastAsia="宋体" w:cs="宋体"/>
          <w:sz w:val="24"/>
          <w:szCs w:val="24"/>
        </w:rPr>
      </w:pPr>
    </w:p>
    <w:p w14:paraId="40E44718">
      <w:pPr>
        <w:pageBreakBefore w:val="0"/>
        <w:kinsoku/>
        <w:overflowPunct/>
        <w:bidi w:val="0"/>
        <w:spacing w:line="360" w:lineRule="auto"/>
        <w:rPr>
          <w:rFonts w:hint="eastAsia" w:ascii="宋体" w:hAnsi="宋体" w:eastAsia="宋体" w:cs="宋体"/>
          <w:sz w:val="24"/>
          <w:szCs w:val="24"/>
        </w:rPr>
      </w:pPr>
    </w:p>
    <w:p w14:paraId="585A5C71">
      <w:pPr>
        <w:pageBreakBefore w:val="0"/>
        <w:kinsoku/>
        <w:overflowPunct/>
        <w:bidi w:val="0"/>
        <w:spacing w:line="360" w:lineRule="auto"/>
        <w:rPr>
          <w:rFonts w:hint="eastAsia" w:ascii="宋体" w:hAnsi="宋体" w:eastAsia="宋体" w:cs="宋体"/>
        </w:rPr>
      </w:pPr>
    </w:p>
    <w:p w14:paraId="74016CA7">
      <w:pPr>
        <w:pageBreakBefore w:val="0"/>
        <w:kinsoku/>
        <w:overflowPunct/>
        <w:bidi w:val="0"/>
        <w:spacing w:line="360" w:lineRule="auto"/>
        <w:rPr>
          <w:rFonts w:hint="eastAsia" w:ascii="宋体" w:hAnsi="宋体" w:eastAsia="宋体" w:cs="宋体"/>
        </w:rPr>
      </w:pP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KSOF29153A75">
    <w:panose1 w:val="020B0502040204020203"/>
    <w:charset w:val="00"/>
    <w:family w:val="auto"/>
    <w:pitch w:val="default"/>
    <w:sig w:usb0="00000001" w:usb1="00000000" w:usb2="00000000" w:usb3="00000000" w:csb0="00000001" w:csb1="00000000"/>
  </w:font>
  <w:font w:name="KSOF1D5EAB94">
    <w:panose1 w:val="020B0802040204020203"/>
    <w:charset w:val="00"/>
    <w:family w:val="auto"/>
    <w:pitch w:val="default"/>
    <w:sig w:usb0="00000001" w:usb1="00000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5F896">
    <w:pPr>
      <w:jc w:val="both"/>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35255" cy="162560"/>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35255" cy="162560"/>
                      </a:xfrm>
                      <a:prstGeom prst="rect">
                        <a:avLst/>
                      </a:prstGeom>
                      <a:noFill/>
                      <a:ln>
                        <a:noFill/>
                      </a:ln>
                    </wps:spPr>
                    <wps:txbx>
                      <w:txbxContent>
                        <w:p w14:paraId="7353407D">
                          <w:pPr>
                            <w:jc w:val="center"/>
                          </w:pPr>
                          <w:r>
                            <w:fldChar w:fldCharType="begin"/>
                          </w:r>
                          <w:r>
                            <w:instrText xml:space="preserve">PAGE   \* MERGEFORMAT</w:instrText>
                          </w:r>
                          <w:r>
                            <w:fldChar w:fldCharType="separate"/>
                          </w:r>
                          <w:r>
                            <w:rPr>
                              <w:lang w:val="zh-CN"/>
                            </w:rPr>
                            <w:t>48</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2.8pt;width:10.65pt;mso-position-horizontal:center;mso-position-horizontal-relative:margin;mso-wrap-style:none;z-index:251659264;mso-width-relative:page;mso-height-relative:page;" filled="f" stroked="f" coordsize="21600,21600" o:gfxdata="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B/9HMHRAAAAAwEAAA8AAAAAAAAAAQAgAAAAIgAAAGRycy9k&#10;b3ducmV2LnhtbFBLAQIUABQAAAAIAIdO4kA5IfDJCQIAAAIEAAAOAAAAAAAAAAEAIAAAACABAABk&#10;cnMvZTJvRG9jLnhtbFBLBQYAAAAABgAGAFkBAACbBQAAAAA=&#10;">
              <v:fill on="f" focussize="0,0"/>
              <v:stroke on="f"/>
              <v:imagedata o:title=""/>
              <o:lock v:ext="edit" aspectratio="f"/>
              <v:textbox inset="0mm,0mm,0mm,0mm" style="mso-fit-shape-to-text:t;">
                <w:txbxContent>
                  <w:p w14:paraId="7353407D">
                    <w:pPr>
                      <w:jc w:val="center"/>
                    </w:pPr>
                    <w:r>
                      <w:fldChar w:fldCharType="begin"/>
                    </w:r>
                    <w:r>
                      <w:instrText xml:space="preserve">PAGE   \* MERGEFORMAT</w:instrText>
                    </w:r>
                    <w:r>
                      <w:fldChar w:fldCharType="separate"/>
                    </w:r>
                    <w:r>
                      <w:rPr>
                        <w:lang w:val="zh-CN"/>
                      </w:rPr>
                      <w:t>48</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60F0B1"/>
    <w:multiLevelType w:val="singleLevel"/>
    <w:tmpl w:val="AE60F0B1"/>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VkNjZkN2MwMDdmMDgyMTg0MDg2NjQ2OTA5YWNiMWUifQ=="/>
  </w:docVars>
  <w:rsids>
    <w:rsidRoot w:val="007C6B5B"/>
    <w:rsid w:val="00000734"/>
    <w:rsid w:val="000360F2"/>
    <w:rsid w:val="000E3B84"/>
    <w:rsid w:val="0016442E"/>
    <w:rsid w:val="00166837"/>
    <w:rsid w:val="0021184F"/>
    <w:rsid w:val="002E634F"/>
    <w:rsid w:val="003D6E59"/>
    <w:rsid w:val="003E4D46"/>
    <w:rsid w:val="00401101"/>
    <w:rsid w:val="00432558"/>
    <w:rsid w:val="004D20F2"/>
    <w:rsid w:val="005A3349"/>
    <w:rsid w:val="00601823"/>
    <w:rsid w:val="007415F5"/>
    <w:rsid w:val="007C6B5B"/>
    <w:rsid w:val="00844788"/>
    <w:rsid w:val="00A30B06"/>
    <w:rsid w:val="00B1008E"/>
    <w:rsid w:val="00B20A80"/>
    <w:rsid w:val="00B67B49"/>
    <w:rsid w:val="00B9464A"/>
    <w:rsid w:val="00E26266"/>
    <w:rsid w:val="00E2651C"/>
    <w:rsid w:val="00E4041A"/>
    <w:rsid w:val="00E80C6F"/>
    <w:rsid w:val="00FF3BD1"/>
    <w:rsid w:val="0168325F"/>
    <w:rsid w:val="01DD1E9F"/>
    <w:rsid w:val="01E505B7"/>
    <w:rsid w:val="02C2428A"/>
    <w:rsid w:val="031E451D"/>
    <w:rsid w:val="0335536C"/>
    <w:rsid w:val="03BF246B"/>
    <w:rsid w:val="04BF2C00"/>
    <w:rsid w:val="04C11604"/>
    <w:rsid w:val="050D470B"/>
    <w:rsid w:val="0559183C"/>
    <w:rsid w:val="05997019"/>
    <w:rsid w:val="06043E9E"/>
    <w:rsid w:val="06783F44"/>
    <w:rsid w:val="06B4614E"/>
    <w:rsid w:val="06F61A7D"/>
    <w:rsid w:val="06FE6B3F"/>
    <w:rsid w:val="07580C84"/>
    <w:rsid w:val="079528D4"/>
    <w:rsid w:val="08234384"/>
    <w:rsid w:val="08EB2BF9"/>
    <w:rsid w:val="09903C9B"/>
    <w:rsid w:val="0A0D0E47"/>
    <w:rsid w:val="0AAB0D8C"/>
    <w:rsid w:val="0AFD710E"/>
    <w:rsid w:val="0B41524D"/>
    <w:rsid w:val="0B4852DE"/>
    <w:rsid w:val="0BC55E7E"/>
    <w:rsid w:val="0C585DED"/>
    <w:rsid w:val="0DD8567D"/>
    <w:rsid w:val="0E0013EF"/>
    <w:rsid w:val="0EBE2018"/>
    <w:rsid w:val="0F9A3F44"/>
    <w:rsid w:val="10572E1C"/>
    <w:rsid w:val="10C81F6C"/>
    <w:rsid w:val="10E2270F"/>
    <w:rsid w:val="110805BA"/>
    <w:rsid w:val="113E7069"/>
    <w:rsid w:val="116728BF"/>
    <w:rsid w:val="11A13517"/>
    <w:rsid w:val="129A0019"/>
    <w:rsid w:val="12CC1E0B"/>
    <w:rsid w:val="12FB7E2D"/>
    <w:rsid w:val="13143247"/>
    <w:rsid w:val="13AC16D1"/>
    <w:rsid w:val="13AC657F"/>
    <w:rsid w:val="14290F74"/>
    <w:rsid w:val="148B578A"/>
    <w:rsid w:val="15D942D4"/>
    <w:rsid w:val="16361726"/>
    <w:rsid w:val="165A43F0"/>
    <w:rsid w:val="16AD19E8"/>
    <w:rsid w:val="16BA4105"/>
    <w:rsid w:val="174B2FAF"/>
    <w:rsid w:val="177A3491"/>
    <w:rsid w:val="17E85303"/>
    <w:rsid w:val="17FE41C9"/>
    <w:rsid w:val="185A5BA0"/>
    <w:rsid w:val="19696381"/>
    <w:rsid w:val="1A277D03"/>
    <w:rsid w:val="1A495ECC"/>
    <w:rsid w:val="1A6920CA"/>
    <w:rsid w:val="1B9B47F6"/>
    <w:rsid w:val="1BEF5226"/>
    <w:rsid w:val="1C9D24FF"/>
    <w:rsid w:val="1CEE2D5A"/>
    <w:rsid w:val="1EEB1B44"/>
    <w:rsid w:val="1F291E28"/>
    <w:rsid w:val="1F43738D"/>
    <w:rsid w:val="1F4E7D2F"/>
    <w:rsid w:val="1F7A6B27"/>
    <w:rsid w:val="1FC16504"/>
    <w:rsid w:val="1FED554B"/>
    <w:rsid w:val="20551E5C"/>
    <w:rsid w:val="20CA763A"/>
    <w:rsid w:val="20E00C0C"/>
    <w:rsid w:val="214F23A0"/>
    <w:rsid w:val="21921F06"/>
    <w:rsid w:val="21D84826"/>
    <w:rsid w:val="21E74C5C"/>
    <w:rsid w:val="223C6316"/>
    <w:rsid w:val="23166B67"/>
    <w:rsid w:val="234611FA"/>
    <w:rsid w:val="235651B5"/>
    <w:rsid w:val="253B3B2C"/>
    <w:rsid w:val="25FF5C0C"/>
    <w:rsid w:val="27C30EBC"/>
    <w:rsid w:val="28D01566"/>
    <w:rsid w:val="29844B8B"/>
    <w:rsid w:val="29DD0B56"/>
    <w:rsid w:val="29E74DB9"/>
    <w:rsid w:val="2B631DC9"/>
    <w:rsid w:val="2B8F5708"/>
    <w:rsid w:val="2C002162"/>
    <w:rsid w:val="2C583D4C"/>
    <w:rsid w:val="2CC85820"/>
    <w:rsid w:val="2CD535EF"/>
    <w:rsid w:val="2D1A157E"/>
    <w:rsid w:val="2D55028C"/>
    <w:rsid w:val="2EDA313F"/>
    <w:rsid w:val="2EF277A0"/>
    <w:rsid w:val="2F2C0E88"/>
    <w:rsid w:val="2F546A4D"/>
    <w:rsid w:val="2FAE4510"/>
    <w:rsid w:val="2FFB336C"/>
    <w:rsid w:val="308C66BA"/>
    <w:rsid w:val="30F304E8"/>
    <w:rsid w:val="313F18A3"/>
    <w:rsid w:val="318A49A8"/>
    <w:rsid w:val="323D738C"/>
    <w:rsid w:val="33BA4697"/>
    <w:rsid w:val="33BB11CD"/>
    <w:rsid w:val="33D22636"/>
    <w:rsid w:val="33EF4F96"/>
    <w:rsid w:val="340F388A"/>
    <w:rsid w:val="3422536C"/>
    <w:rsid w:val="34F0158A"/>
    <w:rsid w:val="352275ED"/>
    <w:rsid w:val="35635C3C"/>
    <w:rsid w:val="35D95EFE"/>
    <w:rsid w:val="36B424C7"/>
    <w:rsid w:val="36BB1AA7"/>
    <w:rsid w:val="36C070BE"/>
    <w:rsid w:val="370F53A5"/>
    <w:rsid w:val="379C3687"/>
    <w:rsid w:val="38025135"/>
    <w:rsid w:val="38251228"/>
    <w:rsid w:val="3914724D"/>
    <w:rsid w:val="392B4CC2"/>
    <w:rsid w:val="397D7952"/>
    <w:rsid w:val="3A2C7779"/>
    <w:rsid w:val="3AA20FB4"/>
    <w:rsid w:val="3AB57D98"/>
    <w:rsid w:val="3AD4054D"/>
    <w:rsid w:val="3B07350D"/>
    <w:rsid w:val="3BEE647B"/>
    <w:rsid w:val="3D85696B"/>
    <w:rsid w:val="3DD2013D"/>
    <w:rsid w:val="3DF05D9E"/>
    <w:rsid w:val="3F2B709E"/>
    <w:rsid w:val="3F4F0FDF"/>
    <w:rsid w:val="409749EB"/>
    <w:rsid w:val="40DA1185"/>
    <w:rsid w:val="41370683"/>
    <w:rsid w:val="438D1DAF"/>
    <w:rsid w:val="43D452B4"/>
    <w:rsid w:val="44692B43"/>
    <w:rsid w:val="447D65EE"/>
    <w:rsid w:val="451E392D"/>
    <w:rsid w:val="455C6204"/>
    <w:rsid w:val="4597548E"/>
    <w:rsid w:val="45D264C6"/>
    <w:rsid w:val="46570C8B"/>
    <w:rsid w:val="468E4AE3"/>
    <w:rsid w:val="46C7794D"/>
    <w:rsid w:val="46D47B81"/>
    <w:rsid w:val="474E6020"/>
    <w:rsid w:val="475F3D89"/>
    <w:rsid w:val="48FF3A76"/>
    <w:rsid w:val="4902295D"/>
    <w:rsid w:val="49155047"/>
    <w:rsid w:val="4A431740"/>
    <w:rsid w:val="4A713C30"/>
    <w:rsid w:val="4A722025"/>
    <w:rsid w:val="4AA779F3"/>
    <w:rsid w:val="4B447E66"/>
    <w:rsid w:val="4B9761E7"/>
    <w:rsid w:val="4C7B78B7"/>
    <w:rsid w:val="4D2C295F"/>
    <w:rsid w:val="4D3A1520"/>
    <w:rsid w:val="4D7A7118"/>
    <w:rsid w:val="4E6525CD"/>
    <w:rsid w:val="4F642884"/>
    <w:rsid w:val="4FB715EB"/>
    <w:rsid w:val="4FC35414"/>
    <w:rsid w:val="4FE85264"/>
    <w:rsid w:val="501871CB"/>
    <w:rsid w:val="50D41344"/>
    <w:rsid w:val="51C23892"/>
    <w:rsid w:val="51EB036E"/>
    <w:rsid w:val="530F0D59"/>
    <w:rsid w:val="541128AF"/>
    <w:rsid w:val="54D062C6"/>
    <w:rsid w:val="54D762D3"/>
    <w:rsid w:val="55E464CD"/>
    <w:rsid w:val="5730129E"/>
    <w:rsid w:val="580469B3"/>
    <w:rsid w:val="580F1057"/>
    <w:rsid w:val="59A93A45"/>
    <w:rsid w:val="5A180741"/>
    <w:rsid w:val="5A2A46CB"/>
    <w:rsid w:val="5B1B0EF7"/>
    <w:rsid w:val="5B2276CC"/>
    <w:rsid w:val="5B503CBD"/>
    <w:rsid w:val="5B597015"/>
    <w:rsid w:val="5BEA35EF"/>
    <w:rsid w:val="5BF94355"/>
    <w:rsid w:val="5CF2526E"/>
    <w:rsid w:val="5E702CD8"/>
    <w:rsid w:val="5EE237C6"/>
    <w:rsid w:val="602B7A85"/>
    <w:rsid w:val="605B55DE"/>
    <w:rsid w:val="606427F7"/>
    <w:rsid w:val="606C09EB"/>
    <w:rsid w:val="606C77EB"/>
    <w:rsid w:val="6122434D"/>
    <w:rsid w:val="614E6EF1"/>
    <w:rsid w:val="61DB4C28"/>
    <w:rsid w:val="622A170C"/>
    <w:rsid w:val="626A58ED"/>
    <w:rsid w:val="62740BD9"/>
    <w:rsid w:val="630B4EE9"/>
    <w:rsid w:val="634467FD"/>
    <w:rsid w:val="63696264"/>
    <w:rsid w:val="64601415"/>
    <w:rsid w:val="655A5E64"/>
    <w:rsid w:val="6694035A"/>
    <w:rsid w:val="67F83735"/>
    <w:rsid w:val="685A261F"/>
    <w:rsid w:val="695A549A"/>
    <w:rsid w:val="69BA15C7"/>
    <w:rsid w:val="69D65CD5"/>
    <w:rsid w:val="6AD14E1A"/>
    <w:rsid w:val="6AEB755E"/>
    <w:rsid w:val="6B7439F8"/>
    <w:rsid w:val="6B867636"/>
    <w:rsid w:val="6C4314DE"/>
    <w:rsid w:val="6D0C2D55"/>
    <w:rsid w:val="6D2D0302"/>
    <w:rsid w:val="6D3E564F"/>
    <w:rsid w:val="6D567151"/>
    <w:rsid w:val="6DA85BDA"/>
    <w:rsid w:val="6DE704B1"/>
    <w:rsid w:val="6E0C7F17"/>
    <w:rsid w:val="6E2063D7"/>
    <w:rsid w:val="6E530EF0"/>
    <w:rsid w:val="6E5B2C4D"/>
    <w:rsid w:val="6EC32CCC"/>
    <w:rsid w:val="6EDC5B3C"/>
    <w:rsid w:val="6F1C062E"/>
    <w:rsid w:val="6F3239AE"/>
    <w:rsid w:val="6FDB5DF3"/>
    <w:rsid w:val="70060D21"/>
    <w:rsid w:val="71033854"/>
    <w:rsid w:val="71864485"/>
    <w:rsid w:val="71A843FB"/>
    <w:rsid w:val="71B40FF2"/>
    <w:rsid w:val="71C01745"/>
    <w:rsid w:val="71D957A0"/>
    <w:rsid w:val="72DC25AE"/>
    <w:rsid w:val="72EF7E69"/>
    <w:rsid w:val="731F39FD"/>
    <w:rsid w:val="73217FC1"/>
    <w:rsid w:val="738371B4"/>
    <w:rsid w:val="73880040"/>
    <w:rsid w:val="73CE0E61"/>
    <w:rsid w:val="73F41F8C"/>
    <w:rsid w:val="7496678D"/>
    <w:rsid w:val="74B6715E"/>
    <w:rsid w:val="74FB2A94"/>
    <w:rsid w:val="75BA294F"/>
    <w:rsid w:val="76C2648A"/>
    <w:rsid w:val="7725204A"/>
    <w:rsid w:val="77B04009"/>
    <w:rsid w:val="77FE2850"/>
    <w:rsid w:val="782A5B6A"/>
    <w:rsid w:val="783F0EE9"/>
    <w:rsid w:val="78686692"/>
    <w:rsid w:val="78C7785D"/>
    <w:rsid w:val="796C3DBB"/>
    <w:rsid w:val="7CC114A7"/>
    <w:rsid w:val="7CE56503"/>
    <w:rsid w:val="7D1172F8"/>
    <w:rsid w:val="7DB76E0E"/>
    <w:rsid w:val="7F82454A"/>
    <w:rsid w:val="7F995383"/>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99"/>
    <w:pPr>
      <w:widowControl/>
      <w:suppressAutoHyphens/>
      <w:adjustRightInd w:val="0"/>
      <w:spacing w:before="120" w:after="100" w:afterAutospacing="1" w:line="360" w:lineRule="auto"/>
      <w:ind w:firstLine="567"/>
      <w:jc w:val="center"/>
      <w:outlineLvl w:val="1"/>
    </w:pPr>
    <w:rPr>
      <w:rFonts w:ascii="Arial" w:hAnsi="Arial" w:eastAsia="黑体"/>
      <w:b/>
      <w:bCs/>
      <w:color w:val="FF0000"/>
      <w:kern w:val="28"/>
      <w:sz w:val="30"/>
      <w:szCs w:val="30"/>
    </w:rPr>
  </w:style>
  <w:style w:type="paragraph" w:styleId="3">
    <w:name w:val="heading 3"/>
    <w:basedOn w:val="1"/>
    <w:next w:val="4"/>
    <w:qFormat/>
    <w:uiPriority w:val="99"/>
    <w:pPr>
      <w:keepNext/>
      <w:keepLines/>
      <w:spacing w:before="260" w:after="260" w:line="408" w:lineRule="auto"/>
      <w:outlineLvl w:val="2"/>
    </w:pPr>
    <w:rPr>
      <w:b/>
      <w:bCs/>
      <w:kern w:val="0"/>
      <w:sz w:val="32"/>
      <w:szCs w:val="32"/>
    </w:rPr>
  </w:style>
  <w:style w:type="character" w:default="1" w:styleId="19">
    <w:name w:val="Default Paragraph Font"/>
    <w:autoRedefine/>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99"/>
    <w:pPr>
      <w:widowControl/>
      <w:ind w:firstLine="420" w:firstLineChars="200"/>
      <w:jc w:val="left"/>
    </w:pPr>
    <w:rPr>
      <w:rFonts w:ascii="Times New Roman" w:hAnsi="Times New Roman" w:eastAsia="宋体" w:cs="Times New Roman"/>
      <w:kern w:val="0"/>
      <w:sz w:val="20"/>
      <w:szCs w:val="20"/>
      <w:lang w:eastAsia="en-US"/>
    </w:rPr>
  </w:style>
  <w:style w:type="paragraph" w:styleId="5">
    <w:name w:val="Body Text"/>
    <w:basedOn w:val="1"/>
    <w:next w:val="6"/>
    <w:qFormat/>
    <w:uiPriority w:val="1"/>
    <w:pPr>
      <w:spacing w:after="120"/>
    </w:pPr>
    <w:rPr>
      <w:rFonts w:ascii="Times New Roman" w:hAnsi="Times New Roman" w:eastAsia="宋体" w:cs="Times New Roman"/>
      <w:szCs w:val="24"/>
    </w:rPr>
  </w:style>
  <w:style w:type="paragraph" w:styleId="6">
    <w:name w:val="Body Text 2"/>
    <w:basedOn w:val="1"/>
    <w:qFormat/>
    <w:uiPriority w:val="0"/>
    <w:pPr>
      <w:spacing w:line="360" w:lineRule="auto"/>
      <w:ind w:firstLine="360" w:firstLineChars="0"/>
    </w:pPr>
    <w:rPr>
      <w:rFonts w:eastAsia="宋体"/>
      <w:sz w:val="24"/>
      <w:lang w:eastAsia="en-US" w:bidi="en-US"/>
    </w:rPr>
  </w:style>
  <w:style w:type="paragraph" w:styleId="7">
    <w:name w:val="Body Text Indent"/>
    <w:basedOn w:val="1"/>
    <w:next w:val="8"/>
    <w:qFormat/>
    <w:uiPriority w:val="0"/>
    <w:pPr>
      <w:widowControl/>
      <w:spacing w:after="120"/>
      <w:ind w:left="420" w:leftChars="200" w:firstLine="360"/>
      <w:jc w:val="left"/>
    </w:pPr>
    <w:rPr>
      <w:rFonts w:ascii="Times New Roman" w:hAnsi="Times New Roman" w:eastAsia="宋体" w:cs="Times New Roman"/>
      <w:kern w:val="0"/>
      <w:sz w:val="22"/>
      <w:szCs w:val="20"/>
      <w:lang w:eastAsia="en-US" w:bidi="en-US"/>
    </w:rPr>
  </w:style>
  <w:style w:type="paragraph" w:styleId="8">
    <w:name w:val="envelope return"/>
    <w:basedOn w:val="1"/>
    <w:semiHidden/>
    <w:qFormat/>
    <w:uiPriority w:val="0"/>
    <w:pPr>
      <w:snapToGrid w:val="0"/>
      <w:spacing w:after="200" w:line="276" w:lineRule="auto"/>
    </w:pPr>
    <w:rPr>
      <w:rFonts w:ascii="Arial" w:hAnsi="Arial" w:cs="Arial"/>
      <w:sz w:val="22"/>
      <w:lang w:eastAsia="en-US" w:bidi="en-US"/>
    </w:rPr>
  </w:style>
  <w:style w:type="paragraph" w:styleId="9">
    <w:name w:val="Balloon Text"/>
    <w:basedOn w:val="1"/>
    <w:link w:val="36"/>
    <w:autoRedefine/>
    <w:semiHidden/>
    <w:unhideWhenUsed/>
    <w:qFormat/>
    <w:uiPriority w:val="99"/>
    <w:rPr>
      <w:sz w:val="18"/>
      <w:szCs w:val="18"/>
    </w:rPr>
  </w:style>
  <w:style w:type="paragraph" w:styleId="10">
    <w:name w:val="footer"/>
    <w:basedOn w:val="1"/>
    <w:link w:val="35"/>
    <w:autoRedefine/>
    <w:unhideWhenUsed/>
    <w:qFormat/>
    <w:uiPriority w:val="99"/>
    <w:pPr>
      <w:tabs>
        <w:tab w:val="center" w:pos="4153"/>
        <w:tab w:val="right" w:pos="8306"/>
      </w:tabs>
      <w:snapToGrid w:val="0"/>
      <w:jc w:val="left"/>
    </w:pPr>
    <w:rPr>
      <w:sz w:val="18"/>
      <w:szCs w:val="18"/>
    </w:rPr>
  </w:style>
  <w:style w:type="paragraph" w:styleId="11">
    <w:name w:val="header"/>
    <w:basedOn w:val="1"/>
    <w:link w:val="34"/>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semiHidden/>
    <w:unhideWhenUsed/>
    <w:qFormat/>
    <w:uiPriority w:val="39"/>
  </w:style>
  <w:style w:type="paragraph" w:styleId="13">
    <w:name w:val="Message Header"/>
    <w:basedOn w:val="1"/>
    <w:autoRedefine/>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14">
    <w:name w:val="Normal (Web)"/>
    <w:basedOn w:val="1"/>
    <w:autoRedefine/>
    <w:semiHidden/>
    <w:unhideWhenUsed/>
    <w:qFormat/>
    <w:uiPriority w:val="99"/>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15">
    <w:name w:val="Body Text First Indent"/>
    <w:basedOn w:val="5"/>
    <w:next w:val="16"/>
    <w:qFormat/>
    <w:uiPriority w:val="99"/>
    <w:pPr>
      <w:ind w:firstLine="420" w:firstLineChars="100"/>
    </w:pPr>
  </w:style>
  <w:style w:type="paragraph" w:styleId="16">
    <w:name w:val="Body Text First Indent 2"/>
    <w:basedOn w:val="1"/>
    <w:next w:val="5"/>
    <w:qFormat/>
    <w:uiPriority w:val="0"/>
    <w:pPr>
      <w:spacing w:before="100" w:beforeAutospacing="1" w:line="360" w:lineRule="auto"/>
      <w:ind w:firstLine="420"/>
    </w:pPr>
    <w:rPr>
      <w:rFonts w:eastAsia="Arial Unicode MS"/>
      <w:color w:val="000000"/>
      <w:sz w:val="20"/>
    </w:rPr>
  </w:style>
  <w:style w:type="table" w:styleId="18">
    <w:name w:val="Table Grid"/>
    <w:basedOn w:val="1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autoRedefine/>
    <w:qFormat/>
    <w:uiPriority w:val="22"/>
    <w:rPr>
      <w:b/>
      <w:bCs/>
    </w:rPr>
  </w:style>
  <w:style w:type="character" w:styleId="21">
    <w:name w:val="FollowedHyperlink"/>
    <w:basedOn w:val="19"/>
    <w:autoRedefine/>
    <w:semiHidden/>
    <w:unhideWhenUsed/>
    <w:qFormat/>
    <w:uiPriority w:val="99"/>
    <w:rPr>
      <w:color w:val="800080"/>
      <w:u w:val="none"/>
    </w:rPr>
  </w:style>
  <w:style w:type="character" w:styleId="22">
    <w:name w:val="Emphasis"/>
    <w:basedOn w:val="19"/>
    <w:autoRedefine/>
    <w:qFormat/>
    <w:uiPriority w:val="20"/>
    <w:rPr>
      <w:b/>
      <w:bCs/>
    </w:rPr>
  </w:style>
  <w:style w:type="character" w:styleId="23">
    <w:name w:val="HTML Definition"/>
    <w:basedOn w:val="19"/>
    <w:autoRedefine/>
    <w:semiHidden/>
    <w:unhideWhenUsed/>
    <w:qFormat/>
    <w:uiPriority w:val="99"/>
  </w:style>
  <w:style w:type="character" w:styleId="24">
    <w:name w:val="HTML Typewriter"/>
    <w:basedOn w:val="19"/>
    <w:autoRedefine/>
    <w:semiHidden/>
    <w:unhideWhenUsed/>
    <w:qFormat/>
    <w:uiPriority w:val="99"/>
    <w:rPr>
      <w:rFonts w:hint="default" w:ascii="monospace" w:hAnsi="monospace" w:eastAsia="monospace" w:cs="monospace"/>
      <w:sz w:val="20"/>
    </w:rPr>
  </w:style>
  <w:style w:type="character" w:styleId="25">
    <w:name w:val="HTML Acronym"/>
    <w:basedOn w:val="19"/>
    <w:autoRedefine/>
    <w:semiHidden/>
    <w:unhideWhenUsed/>
    <w:qFormat/>
    <w:uiPriority w:val="99"/>
  </w:style>
  <w:style w:type="character" w:styleId="26">
    <w:name w:val="HTML Variable"/>
    <w:basedOn w:val="19"/>
    <w:autoRedefine/>
    <w:semiHidden/>
    <w:unhideWhenUsed/>
    <w:qFormat/>
    <w:uiPriority w:val="99"/>
  </w:style>
  <w:style w:type="character" w:styleId="27">
    <w:name w:val="Hyperlink"/>
    <w:basedOn w:val="19"/>
    <w:autoRedefine/>
    <w:semiHidden/>
    <w:unhideWhenUsed/>
    <w:qFormat/>
    <w:uiPriority w:val="99"/>
    <w:rPr>
      <w:color w:val="0000FF"/>
      <w:u w:val="none"/>
    </w:rPr>
  </w:style>
  <w:style w:type="character" w:styleId="28">
    <w:name w:val="HTML Code"/>
    <w:basedOn w:val="19"/>
    <w:autoRedefine/>
    <w:semiHidden/>
    <w:unhideWhenUsed/>
    <w:qFormat/>
    <w:uiPriority w:val="99"/>
    <w:rPr>
      <w:rFonts w:ascii="monospace" w:hAnsi="monospace" w:eastAsia="monospace" w:cs="monospace"/>
      <w:sz w:val="20"/>
    </w:rPr>
  </w:style>
  <w:style w:type="character" w:styleId="29">
    <w:name w:val="HTML Cite"/>
    <w:basedOn w:val="19"/>
    <w:autoRedefine/>
    <w:semiHidden/>
    <w:unhideWhenUsed/>
    <w:qFormat/>
    <w:uiPriority w:val="99"/>
  </w:style>
  <w:style w:type="character" w:styleId="30">
    <w:name w:val="HTML Keyboard"/>
    <w:basedOn w:val="19"/>
    <w:autoRedefine/>
    <w:semiHidden/>
    <w:unhideWhenUsed/>
    <w:qFormat/>
    <w:uiPriority w:val="99"/>
    <w:rPr>
      <w:rFonts w:hint="default" w:ascii="monospace" w:hAnsi="monospace" w:eastAsia="monospace" w:cs="monospace"/>
      <w:sz w:val="20"/>
    </w:rPr>
  </w:style>
  <w:style w:type="character" w:styleId="31">
    <w:name w:val="HTML Sample"/>
    <w:basedOn w:val="19"/>
    <w:autoRedefine/>
    <w:semiHidden/>
    <w:unhideWhenUsed/>
    <w:qFormat/>
    <w:uiPriority w:val="99"/>
    <w:rPr>
      <w:rFonts w:hint="default" w:ascii="monospace" w:hAnsi="monospace" w:eastAsia="monospace" w:cs="monospace"/>
    </w:rPr>
  </w:style>
  <w:style w:type="paragraph" w:customStyle="1" w:styleId="32">
    <w:name w:val="Default"/>
    <w:autoRedefine/>
    <w:qFormat/>
    <w:uiPriority w:val="99"/>
    <w:pPr>
      <w:widowControl w:val="0"/>
      <w:autoSpaceDE w:val="0"/>
      <w:autoSpaceDN w:val="0"/>
      <w:adjustRightInd w:val="0"/>
    </w:pPr>
    <w:rPr>
      <w:rFonts w:ascii="黑体" w:hAnsi="Times New Roman" w:eastAsia="黑体" w:cs="Times New Roman"/>
      <w:color w:val="000000"/>
      <w:kern w:val="2"/>
      <w:sz w:val="24"/>
      <w:szCs w:val="24"/>
      <w:lang w:val="en-US" w:eastAsia="zh-CN" w:bidi="ar-SA"/>
    </w:rPr>
  </w:style>
  <w:style w:type="paragraph" w:customStyle="1" w:styleId="33">
    <w:name w:val="大标题"/>
    <w:basedOn w:val="1"/>
    <w:next w:val="16"/>
    <w:autoRedefine/>
    <w:qFormat/>
    <w:uiPriority w:val="0"/>
    <w:pPr>
      <w:pageBreakBefore/>
      <w:spacing w:after="200" w:line="720" w:lineRule="auto"/>
      <w:jc w:val="center"/>
      <w:outlineLvl w:val="0"/>
    </w:pPr>
    <w:rPr>
      <w:rFonts w:ascii="黑体" w:hAnsi="Calibri" w:eastAsia="黑体"/>
      <w:sz w:val="32"/>
      <w:szCs w:val="30"/>
      <w:lang w:eastAsia="en-US" w:bidi="en-US"/>
    </w:rPr>
  </w:style>
  <w:style w:type="character" w:customStyle="1" w:styleId="34">
    <w:name w:val="页眉 Char"/>
    <w:basedOn w:val="19"/>
    <w:link w:val="11"/>
    <w:autoRedefine/>
    <w:qFormat/>
    <w:uiPriority w:val="99"/>
    <w:rPr>
      <w:sz w:val="18"/>
      <w:szCs w:val="18"/>
    </w:rPr>
  </w:style>
  <w:style w:type="character" w:customStyle="1" w:styleId="35">
    <w:name w:val="页脚 Char"/>
    <w:basedOn w:val="19"/>
    <w:link w:val="10"/>
    <w:autoRedefine/>
    <w:qFormat/>
    <w:uiPriority w:val="99"/>
    <w:rPr>
      <w:sz w:val="18"/>
      <w:szCs w:val="18"/>
    </w:rPr>
  </w:style>
  <w:style w:type="character" w:customStyle="1" w:styleId="36">
    <w:name w:val="批注框文本 Char"/>
    <w:basedOn w:val="19"/>
    <w:link w:val="9"/>
    <w:autoRedefine/>
    <w:semiHidden/>
    <w:qFormat/>
    <w:uiPriority w:val="99"/>
    <w:rPr>
      <w:sz w:val="18"/>
      <w:szCs w:val="18"/>
    </w:rPr>
  </w:style>
  <w:style w:type="paragraph" w:styleId="37">
    <w:name w:val="List Paragraph"/>
    <w:basedOn w:val="1"/>
    <w:autoRedefine/>
    <w:qFormat/>
    <w:uiPriority w:val="34"/>
    <w:pPr>
      <w:ind w:firstLine="420" w:firstLineChars="200"/>
    </w:pPr>
  </w:style>
  <w:style w:type="character" w:customStyle="1" w:styleId="38">
    <w:name w:val="first-child"/>
    <w:basedOn w:val="19"/>
    <w:autoRedefine/>
    <w:qFormat/>
    <w:uiPriority w:val="0"/>
  </w:style>
  <w:style w:type="character" w:customStyle="1" w:styleId="39">
    <w:name w:val="layui-layer-tabnow"/>
    <w:basedOn w:val="19"/>
    <w:autoRedefine/>
    <w:qFormat/>
    <w:uiPriority w:val="0"/>
    <w:rPr>
      <w:bdr w:val="single" w:color="CCCCCC" w:sz="6" w:space="0"/>
      <w:shd w:val="clear" w:fill="FFFFFF"/>
    </w:rPr>
  </w:style>
  <w:style w:type="character" w:customStyle="1" w:styleId="40">
    <w:name w:val="hover1"/>
    <w:basedOn w:val="19"/>
    <w:autoRedefine/>
    <w:qFormat/>
    <w:uiPriority w:val="0"/>
    <w:rPr>
      <w:color w:val="2590EB"/>
    </w:rPr>
  </w:style>
  <w:style w:type="character" w:customStyle="1" w:styleId="41">
    <w:name w:val="hover2"/>
    <w:basedOn w:val="19"/>
    <w:autoRedefine/>
    <w:qFormat/>
    <w:uiPriority w:val="0"/>
    <w:rPr>
      <w:color w:val="2590EB"/>
    </w:rPr>
  </w:style>
  <w:style w:type="character" w:customStyle="1" w:styleId="42">
    <w:name w:val="hover3"/>
    <w:basedOn w:val="19"/>
    <w:autoRedefine/>
    <w:qFormat/>
    <w:uiPriority w:val="0"/>
  </w:style>
  <w:style w:type="character" w:customStyle="1" w:styleId="43">
    <w:name w:val="mini-outputtext1"/>
    <w:basedOn w:val="19"/>
    <w:autoRedefine/>
    <w:qFormat/>
    <w:uiPriority w:val="0"/>
  </w:style>
  <w:style w:type="paragraph" w:customStyle="1" w:styleId="44">
    <w:name w:val="样式 标题 3 + (中文) 黑体 小四 非加粗 段前: 7.8 磅 段后: 0 磅 行距: 固定值 20 磅"/>
    <w:basedOn w:val="3"/>
    <w:autoRedefine/>
    <w:qFormat/>
    <w:uiPriority w:val="0"/>
    <w:pPr>
      <w:spacing w:before="0" w:after="0" w:line="400" w:lineRule="exact"/>
    </w:pPr>
    <w:rPr>
      <w:rFonts w:eastAsia="黑体" w:cs="宋体"/>
      <w:b w:val="0"/>
      <w:color w:val="000000"/>
      <w:kern w:val="1"/>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59</Pages>
  <Words>20382</Words>
  <Characters>22244</Characters>
  <Lines>185</Lines>
  <Paragraphs>52</Paragraphs>
  <TotalTime>58</TotalTime>
  <ScaleCrop>false</ScaleCrop>
  <LinksUpToDate>false</LinksUpToDate>
  <CharactersWithSpaces>23254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2023-06-19T02:13:00Z</dcterms:created>
  <dc:creator>深圳市合创建设工程顾问有限公司:信安深圳市合创建设工程顾问有限公司</dc:creator>
  <cp:lastModifiedBy>Administrator</cp:lastModifiedBy>
  <cp:lastPrinted>2024-06-12T02:35:00Z</cp:lastPrinted>
  <dcterms:modified xsi:type="dcterms:W3CDTF">2026-09-29T03:28:02Z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E26DF6A5275F464DA2A14BDBFF38686D_13</vt:lpwstr>
  </property>
  <property fmtid="{D5CDD505-2E9C-101B-9397-08002B2CF9AE}" pid="4" name="KSOTemplateDocerSaveRecord">
    <vt:lpwstr>eyJoZGlkIjoiNGRkODdhMTM3OGE5OTI5ODU3OGZkZjAxMGViZmU5MGEiLCJ1c2VySWQiOiIyOTg2ODE3OTQifQ==</vt:lpwstr>
  </property>
</Properties>
</file>