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F9A73E">
      <w:pPr>
        <w:spacing w:before="348"/>
        <w:ind w:left="530" w:right="187"/>
        <w:jc w:val="center"/>
        <w:rPr>
          <w:b/>
          <w:sz w:val="48"/>
          <w:szCs w:val="21"/>
          <w:lang w:eastAsia="zh-CN"/>
        </w:rPr>
      </w:pPr>
      <w:r>
        <w:rPr>
          <w:rFonts w:hint="eastAsia"/>
          <w:b/>
          <w:sz w:val="48"/>
          <w:szCs w:val="21"/>
          <w:lang w:eastAsia="zh-CN"/>
        </w:rPr>
        <w:t>卢氏县2026年度一体化调查监测工作项目</w:t>
      </w:r>
    </w:p>
    <w:p w14:paraId="49C8EF99">
      <w:pPr>
        <w:spacing w:before="348"/>
        <w:ind w:left="530" w:right="187"/>
        <w:jc w:val="center"/>
        <w:rPr>
          <w:b/>
          <w:sz w:val="52"/>
          <w:lang w:eastAsia="zh-CN"/>
        </w:rPr>
      </w:pPr>
    </w:p>
    <w:p w14:paraId="481D82ED">
      <w:pPr>
        <w:spacing w:before="348"/>
        <w:ind w:left="530" w:right="187"/>
        <w:jc w:val="center"/>
        <w:rPr>
          <w:b/>
          <w:sz w:val="72"/>
          <w:lang w:eastAsia="zh-CN"/>
        </w:rPr>
      </w:pPr>
      <w:r>
        <w:rPr>
          <w:rFonts w:hint="eastAsia"/>
          <w:b/>
          <w:sz w:val="60"/>
          <w:szCs w:val="21"/>
          <w:lang w:val="en-US" w:eastAsia="zh-CN"/>
        </w:rPr>
        <w:t>竞争性</w:t>
      </w:r>
      <w:r>
        <w:rPr>
          <w:b/>
          <w:sz w:val="60"/>
          <w:szCs w:val="21"/>
          <w:lang w:eastAsia="zh-CN"/>
        </w:rPr>
        <w:t>磋商文件</w:t>
      </w:r>
    </w:p>
    <w:p w14:paraId="2A40DC98">
      <w:pPr>
        <w:spacing w:before="475"/>
        <w:ind w:left="530" w:right="529"/>
        <w:jc w:val="center"/>
        <w:rPr>
          <w:b/>
          <w:color w:val="auto"/>
          <w:sz w:val="28"/>
          <w:lang w:eastAsia="zh-CN"/>
        </w:rPr>
      </w:pPr>
      <w:r>
        <w:rPr>
          <w:b/>
          <w:color w:val="auto"/>
          <w:sz w:val="28"/>
          <w:lang w:eastAsia="zh-CN"/>
        </w:rPr>
        <w:t>项目编号：</w:t>
      </w:r>
      <w:r>
        <w:rPr>
          <w:rFonts w:hint="eastAsia"/>
          <w:b/>
          <w:color w:val="auto"/>
          <w:sz w:val="28"/>
          <w:lang w:val="en-US" w:eastAsia="zh-CN"/>
        </w:rPr>
        <w:t>三卢竞磋采购-2026-112</w:t>
      </w:r>
      <w:r>
        <w:rPr>
          <w:b/>
          <w:color w:val="auto"/>
          <w:sz w:val="28"/>
          <w:lang w:eastAsia="zh-CN"/>
        </w:rPr>
        <w:t>、</w:t>
      </w:r>
      <w:r>
        <w:rPr>
          <w:rFonts w:hint="eastAsia"/>
          <w:b/>
          <w:color w:val="auto"/>
          <w:sz w:val="28"/>
          <w:lang w:val="en-US" w:eastAsia="zh-CN"/>
        </w:rPr>
        <w:t>LSGZ[2026]259-ZC203</w:t>
      </w:r>
    </w:p>
    <w:p w14:paraId="3BB23FE0">
      <w:pPr>
        <w:spacing w:before="475"/>
        <w:ind w:left="530" w:right="529"/>
        <w:jc w:val="center"/>
        <w:rPr>
          <w:b/>
          <w:color w:val="0000FF"/>
          <w:sz w:val="28"/>
          <w:lang w:eastAsia="zh-CN"/>
        </w:rPr>
      </w:pPr>
    </w:p>
    <w:p w14:paraId="056238C0">
      <w:pPr>
        <w:pStyle w:val="6"/>
        <w:ind w:left="0"/>
        <w:rPr>
          <w:b/>
          <w:sz w:val="20"/>
          <w:lang w:eastAsia="zh-CN"/>
        </w:rPr>
      </w:pPr>
    </w:p>
    <w:p w14:paraId="077BF17F">
      <w:pPr>
        <w:pStyle w:val="6"/>
        <w:ind w:left="0"/>
        <w:rPr>
          <w:b/>
          <w:sz w:val="20"/>
          <w:lang w:eastAsia="zh-CN"/>
        </w:rPr>
      </w:pPr>
    </w:p>
    <w:p w14:paraId="707AECEC">
      <w:pPr>
        <w:pStyle w:val="6"/>
        <w:ind w:left="0"/>
        <w:rPr>
          <w:b/>
          <w:sz w:val="20"/>
          <w:lang w:eastAsia="zh-CN"/>
        </w:rPr>
      </w:pPr>
    </w:p>
    <w:p w14:paraId="1799840D">
      <w:pPr>
        <w:pStyle w:val="6"/>
        <w:ind w:left="0"/>
        <w:rPr>
          <w:b/>
          <w:sz w:val="20"/>
          <w:lang w:eastAsia="zh-CN"/>
        </w:rPr>
      </w:pPr>
    </w:p>
    <w:p w14:paraId="2932FB6B">
      <w:pPr>
        <w:pStyle w:val="6"/>
        <w:ind w:left="0"/>
        <w:rPr>
          <w:b/>
          <w:sz w:val="20"/>
          <w:lang w:eastAsia="zh-CN"/>
        </w:rPr>
      </w:pPr>
    </w:p>
    <w:p w14:paraId="62C2349C">
      <w:pPr>
        <w:pStyle w:val="6"/>
        <w:spacing w:before="10"/>
        <w:ind w:left="0"/>
        <w:rPr>
          <w:b w:val="0"/>
          <w:bCs/>
          <w:sz w:val="11"/>
          <w:lang w:eastAsia="zh-CN"/>
        </w:rPr>
      </w:pPr>
      <w:r>
        <w:rPr>
          <w:rFonts w:hint="eastAsia" w:ascii="宋体" w:hAnsi="宋体" w:eastAsia="宋体" w:cs="宋体"/>
          <w:color w:val="0000FF"/>
          <w:lang w:eastAsia="zh-CN"/>
        </w:rPr>
        <w:drawing>
          <wp:anchor distT="0" distB="0" distL="114300" distR="114300" simplePos="0" relativeHeight="251659264" behindDoc="0" locked="0" layoutInCell="1" allowOverlap="1">
            <wp:simplePos x="0" y="0"/>
            <wp:positionH relativeFrom="column">
              <wp:posOffset>1724025</wp:posOffset>
            </wp:positionH>
            <wp:positionV relativeFrom="paragraph">
              <wp:posOffset>-590550</wp:posOffset>
            </wp:positionV>
            <wp:extent cx="2827655" cy="2827655"/>
            <wp:effectExtent l="0" t="0" r="10795" b="10795"/>
            <wp:wrapSquare wrapText="bothSides"/>
            <wp:docPr id="3" name="图片 3" descr="中大天富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中大天富LOGO"/>
                    <pic:cNvPicPr>
                      <a:picLocks noChangeAspect="1"/>
                    </pic:cNvPicPr>
                  </pic:nvPicPr>
                  <pic:blipFill>
                    <a:blip r:embed="rId8"/>
                    <a:stretch>
                      <a:fillRect/>
                    </a:stretch>
                  </pic:blipFill>
                  <pic:spPr>
                    <a:xfrm>
                      <a:off x="0" y="0"/>
                      <a:ext cx="2827655" cy="2827655"/>
                    </a:xfrm>
                    <a:prstGeom prst="rect">
                      <a:avLst/>
                    </a:prstGeom>
                    <a:noFill/>
                    <a:ln>
                      <a:noFill/>
                    </a:ln>
                  </pic:spPr>
                </pic:pic>
              </a:graphicData>
            </a:graphic>
          </wp:anchor>
        </w:drawing>
      </w:r>
    </w:p>
    <w:p w14:paraId="15F6C9B5">
      <w:pPr>
        <w:pStyle w:val="6"/>
        <w:ind w:left="0"/>
        <w:rPr>
          <w:b/>
          <w:sz w:val="20"/>
          <w:lang w:eastAsia="zh-CN"/>
        </w:rPr>
      </w:pPr>
    </w:p>
    <w:p w14:paraId="2164EDD4">
      <w:pPr>
        <w:pStyle w:val="6"/>
        <w:spacing w:before="11"/>
        <w:ind w:left="0"/>
        <w:jc w:val="center"/>
        <w:rPr>
          <w:b/>
          <w:sz w:val="26"/>
          <w:lang w:eastAsia="zh-CN"/>
        </w:rPr>
      </w:pPr>
    </w:p>
    <w:p w14:paraId="2EB5C5F9">
      <w:pPr>
        <w:tabs>
          <w:tab w:val="left" w:pos="3682"/>
          <w:tab w:val="left" w:pos="4284"/>
        </w:tabs>
        <w:spacing w:before="58"/>
        <w:ind w:left="3080"/>
        <w:rPr>
          <w:b/>
          <w:sz w:val="30"/>
          <w:lang w:eastAsia="zh-CN"/>
        </w:rPr>
      </w:pPr>
      <w:bookmarkStart w:id="0" w:name="采__购__人：卢氏县自然资源局"/>
      <w:bookmarkEnd w:id="0"/>
    </w:p>
    <w:p w14:paraId="1DBE4D56">
      <w:pPr>
        <w:tabs>
          <w:tab w:val="left" w:pos="3682"/>
          <w:tab w:val="left" w:pos="4284"/>
        </w:tabs>
        <w:spacing w:before="58"/>
        <w:ind w:left="3080"/>
        <w:rPr>
          <w:b/>
          <w:sz w:val="30"/>
          <w:lang w:eastAsia="zh-CN"/>
        </w:rPr>
      </w:pPr>
    </w:p>
    <w:p w14:paraId="145FD3E1">
      <w:pPr>
        <w:tabs>
          <w:tab w:val="left" w:pos="3682"/>
          <w:tab w:val="left" w:pos="4284"/>
        </w:tabs>
        <w:spacing w:before="58"/>
        <w:ind w:left="3080"/>
        <w:rPr>
          <w:b/>
          <w:sz w:val="30"/>
          <w:lang w:eastAsia="zh-CN"/>
        </w:rPr>
      </w:pPr>
    </w:p>
    <w:p w14:paraId="5D4E3231">
      <w:pPr>
        <w:tabs>
          <w:tab w:val="left" w:pos="3682"/>
          <w:tab w:val="left" w:pos="4284"/>
        </w:tabs>
        <w:spacing w:before="58"/>
        <w:ind w:firstLine="3012" w:firstLineChars="1000"/>
        <w:rPr>
          <w:b/>
          <w:sz w:val="30"/>
          <w:lang w:eastAsia="zh-CN"/>
        </w:rPr>
      </w:pPr>
    </w:p>
    <w:p w14:paraId="1DC50034">
      <w:pPr>
        <w:tabs>
          <w:tab w:val="left" w:pos="3682"/>
          <w:tab w:val="left" w:pos="4284"/>
        </w:tabs>
        <w:spacing w:before="58"/>
        <w:ind w:firstLine="3012" w:firstLineChars="1000"/>
        <w:rPr>
          <w:b/>
          <w:sz w:val="30"/>
          <w:lang w:eastAsia="zh-CN"/>
        </w:rPr>
      </w:pPr>
    </w:p>
    <w:p w14:paraId="6A16628D">
      <w:pPr>
        <w:tabs>
          <w:tab w:val="left" w:pos="3682"/>
          <w:tab w:val="left" w:pos="4284"/>
        </w:tabs>
        <w:spacing w:before="58"/>
        <w:ind w:firstLine="3012" w:firstLineChars="1000"/>
        <w:rPr>
          <w:b/>
          <w:sz w:val="30"/>
          <w:lang w:eastAsia="zh-CN"/>
        </w:rPr>
      </w:pPr>
    </w:p>
    <w:p w14:paraId="7B891A9F">
      <w:pPr>
        <w:tabs>
          <w:tab w:val="left" w:pos="3682"/>
          <w:tab w:val="left" w:pos="4284"/>
        </w:tabs>
        <w:spacing w:before="58"/>
        <w:ind w:firstLine="3012" w:firstLineChars="1000"/>
        <w:rPr>
          <w:b/>
          <w:sz w:val="30"/>
          <w:lang w:eastAsia="zh-CN"/>
        </w:rPr>
      </w:pPr>
    </w:p>
    <w:p w14:paraId="405F454C">
      <w:pPr>
        <w:tabs>
          <w:tab w:val="left" w:pos="3682"/>
          <w:tab w:val="left" w:pos="4284"/>
        </w:tabs>
        <w:spacing w:before="58"/>
        <w:ind w:firstLine="3012" w:firstLineChars="1000"/>
        <w:rPr>
          <w:b/>
          <w:sz w:val="30"/>
          <w:lang w:eastAsia="zh-CN"/>
        </w:rPr>
      </w:pPr>
    </w:p>
    <w:p w14:paraId="5A96715A">
      <w:pPr>
        <w:tabs>
          <w:tab w:val="left" w:pos="3682"/>
          <w:tab w:val="left" w:pos="4284"/>
        </w:tabs>
        <w:spacing w:before="58"/>
        <w:ind w:firstLine="3012" w:firstLineChars="1000"/>
        <w:rPr>
          <w:b/>
          <w:sz w:val="30"/>
          <w:lang w:eastAsia="zh-CN"/>
        </w:rPr>
      </w:pPr>
    </w:p>
    <w:p w14:paraId="29EE9A53">
      <w:pPr>
        <w:tabs>
          <w:tab w:val="left" w:pos="3682"/>
          <w:tab w:val="left" w:pos="4284"/>
        </w:tabs>
        <w:spacing w:before="58"/>
        <w:ind w:firstLine="3012" w:firstLineChars="1000"/>
        <w:rPr>
          <w:b/>
          <w:sz w:val="30"/>
          <w:lang w:eastAsia="zh-CN"/>
        </w:rPr>
      </w:pPr>
      <w:r>
        <w:rPr>
          <w:b/>
          <w:sz w:val="30"/>
          <w:lang w:eastAsia="zh-CN"/>
        </w:rPr>
        <w:t>采购人：卢氏县自然资源局</w:t>
      </w:r>
    </w:p>
    <w:p w14:paraId="62A929C4">
      <w:pPr>
        <w:pStyle w:val="6"/>
        <w:spacing w:before="8"/>
        <w:ind w:left="0"/>
        <w:rPr>
          <w:b/>
          <w:sz w:val="30"/>
          <w:lang w:eastAsia="zh-CN"/>
        </w:rPr>
      </w:pPr>
    </w:p>
    <w:p w14:paraId="34516726">
      <w:pPr>
        <w:tabs>
          <w:tab w:val="left" w:pos="3682"/>
          <w:tab w:val="left" w:pos="4284"/>
        </w:tabs>
        <w:spacing w:before="58"/>
        <w:ind w:firstLine="2108" w:firstLineChars="700"/>
        <w:rPr>
          <w:rFonts w:ascii="宋体" w:hAnsi="宋体" w:eastAsia="宋体" w:cs="宋体"/>
          <w:b/>
          <w:sz w:val="30"/>
          <w:lang w:eastAsia="zh-CN"/>
        </w:rPr>
      </w:pPr>
      <w:bookmarkStart w:id="1" w:name="代_理_机_构：河南正晔企业管理有限公司"/>
      <w:bookmarkEnd w:id="1"/>
      <w:r>
        <w:rPr>
          <w:rFonts w:ascii="宋体" w:hAnsi="宋体" w:eastAsia="宋体" w:cs="宋体"/>
          <w:b/>
          <w:sz w:val="30"/>
          <w:lang w:eastAsia="zh-CN"/>
        </w:rPr>
        <w:t>代 理 机 构：</w:t>
      </w:r>
      <w:bookmarkStart w:id="2" w:name="时_____间：二〇二三年九月"/>
      <w:bookmarkEnd w:id="2"/>
      <w:r>
        <w:rPr>
          <w:rFonts w:hint="eastAsia" w:cs="宋体"/>
          <w:b/>
          <w:sz w:val="30"/>
          <w:lang w:eastAsia="zh-CN"/>
        </w:rPr>
        <w:t>中大天富（河南）工程管理咨询有限公司</w:t>
      </w:r>
    </w:p>
    <w:p w14:paraId="786AD7CA">
      <w:pPr>
        <w:tabs>
          <w:tab w:val="left" w:pos="3682"/>
          <w:tab w:val="left" w:pos="4284"/>
        </w:tabs>
        <w:spacing w:before="58"/>
        <w:ind w:firstLine="3012" w:firstLineChars="1000"/>
        <w:rPr>
          <w:rFonts w:ascii="宋体" w:hAnsi="宋体" w:eastAsia="宋体" w:cs="宋体"/>
          <w:b/>
          <w:sz w:val="30"/>
          <w:lang w:eastAsia="zh-CN"/>
        </w:rPr>
      </w:pPr>
    </w:p>
    <w:p w14:paraId="6B9705B4">
      <w:pPr>
        <w:tabs>
          <w:tab w:val="left" w:pos="3682"/>
          <w:tab w:val="left" w:pos="4284"/>
        </w:tabs>
        <w:spacing w:before="58"/>
        <w:ind w:firstLine="3012" w:firstLineChars="1000"/>
        <w:rPr>
          <w:rFonts w:ascii="宋体" w:hAnsi="宋体" w:eastAsia="宋体" w:cs="宋体"/>
          <w:b/>
          <w:sz w:val="30"/>
          <w:lang w:eastAsia="zh-CN"/>
        </w:rPr>
      </w:pPr>
      <w:r>
        <w:rPr>
          <w:rFonts w:ascii="宋体" w:hAnsi="宋体" w:eastAsia="宋体" w:cs="宋体"/>
          <w:b/>
          <w:sz w:val="30"/>
          <w:lang w:eastAsia="zh-CN"/>
        </w:rPr>
        <w:t>时</w:t>
      </w:r>
      <w:r>
        <w:rPr>
          <w:rFonts w:hint="eastAsia" w:ascii="宋体" w:hAnsi="宋体" w:eastAsia="宋体" w:cs="宋体"/>
          <w:b/>
          <w:sz w:val="30"/>
          <w:lang w:val="en-US" w:eastAsia="zh-CN"/>
        </w:rPr>
        <w:t xml:space="preserve">  </w:t>
      </w:r>
      <w:r>
        <w:rPr>
          <w:rFonts w:ascii="宋体" w:hAnsi="宋体" w:eastAsia="宋体" w:cs="宋体"/>
          <w:b/>
          <w:sz w:val="30"/>
          <w:lang w:eastAsia="zh-CN"/>
        </w:rPr>
        <w:t>间：</w:t>
      </w:r>
      <w:r>
        <w:rPr>
          <w:rFonts w:hint="eastAsia" w:ascii="宋体" w:hAnsi="宋体" w:eastAsia="宋体" w:cs="宋体"/>
          <w:b/>
          <w:sz w:val="30"/>
          <w:lang w:eastAsia="zh-CN"/>
        </w:rPr>
        <w:t>二零二</w:t>
      </w:r>
      <w:r>
        <w:rPr>
          <w:rFonts w:hint="eastAsia" w:ascii="宋体" w:hAnsi="宋体" w:eastAsia="宋体" w:cs="宋体"/>
          <w:b/>
          <w:sz w:val="30"/>
          <w:lang w:val="en-US" w:eastAsia="zh-CN"/>
        </w:rPr>
        <w:t>六</w:t>
      </w:r>
      <w:r>
        <w:rPr>
          <w:rFonts w:hint="eastAsia" w:ascii="宋体" w:hAnsi="宋体" w:eastAsia="宋体" w:cs="宋体"/>
          <w:b/>
          <w:sz w:val="30"/>
          <w:lang w:eastAsia="zh-CN"/>
        </w:rPr>
        <w:t>年</w:t>
      </w:r>
      <w:r>
        <w:rPr>
          <w:rFonts w:hint="eastAsia" w:cs="宋体"/>
          <w:b/>
          <w:sz w:val="30"/>
          <w:lang w:val="en-US" w:eastAsia="zh-CN"/>
        </w:rPr>
        <w:t>十</w:t>
      </w:r>
      <w:r>
        <w:rPr>
          <w:rFonts w:hint="eastAsia" w:ascii="宋体" w:hAnsi="宋体" w:eastAsia="宋体" w:cs="宋体"/>
          <w:b/>
          <w:sz w:val="30"/>
          <w:lang w:eastAsia="zh-CN"/>
        </w:rPr>
        <w:t>月</w:t>
      </w:r>
    </w:p>
    <w:p w14:paraId="652570D3">
      <w:pPr>
        <w:tabs>
          <w:tab w:val="left" w:pos="3682"/>
          <w:tab w:val="left" w:pos="4284"/>
        </w:tabs>
        <w:spacing w:before="58"/>
        <w:ind w:firstLine="3012" w:firstLineChars="1000"/>
        <w:rPr>
          <w:rFonts w:hint="eastAsia" w:ascii="宋体" w:hAnsi="宋体" w:eastAsia="宋体" w:cs="宋体"/>
          <w:b/>
          <w:sz w:val="30"/>
          <w:lang w:eastAsia="zh-CN"/>
        </w:rPr>
        <w:sectPr>
          <w:footerReference r:id="rId3" w:type="default"/>
          <w:type w:val="continuous"/>
          <w:pgSz w:w="11910" w:h="16840"/>
          <w:pgMar w:top="1440" w:right="1080" w:bottom="1440" w:left="1080" w:header="720" w:footer="720" w:gutter="0"/>
          <w:cols w:space="720" w:num="1"/>
          <w:docGrid w:linePitch="299" w:charSpace="0"/>
        </w:sectPr>
      </w:pPr>
    </w:p>
    <w:p w14:paraId="779AA7AE">
      <w:pPr>
        <w:spacing w:before="22"/>
        <w:ind w:left="530" w:right="531"/>
        <w:jc w:val="center"/>
        <w:rPr>
          <w:sz w:val="36"/>
          <w:lang w:eastAsia="zh-CN"/>
        </w:rPr>
      </w:pPr>
      <w:r>
        <w:rPr>
          <w:sz w:val="36"/>
          <w:lang w:eastAsia="zh-CN"/>
        </w:rPr>
        <w:t>目录</w:t>
      </w:r>
    </w:p>
    <w:p w14:paraId="4571FADF">
      <w:pPr>
        <w:spacing w:before="22"/>
        <w:ind w:left="530" w:right="531"/>
        <w:jc w:val="center"/>
        <w:rPr>
          <w:sz w:val="36"/>
          <w:lang w:eastAsia="zh-CN"/>
        </w:rPr>
      </w:pPr>
    </w:p>
    <w:sdt>
      <w:sdtPr>
        <w:rPr>
          <w:rFonts w:ascii="宋体" w:hAnsi="宋体" w:eastAsia="宋体" w:cs="宋体"/>
          <w:sz w:val="21"/>
          <w:szCs w:val="22"/>
          <w:lang w:val="en-US" w:eastAsia="en-US" w:bidi="ar-SA"/>
        </w:rPr>
        <w:id w:val="147451517"/>
        <w15:color w:val="DBDBDB"/>
        <w:docPartObj>
          <w:docPartGallery w:val="Table of Contents"/>
          <w:docPartUnique/>
        </w:docPartObj>
      </w:sdtPr>
      <w:sdtEndPr>
        <w:rPr>
          <w:rFonts w:ascii="宋体" w:hAnsi="宋体" w:eastAsia="宋体" w:cs="宋体"/>
          <w:sz w:val="22"/>
          <w:szCs w:val="28"/>
          <w:lang w:val="en-US" w:eastAsia="zh-CN" w:bidi="ar-SA"/>
        </w:rPr>
      </w:sdtEndPr>
      <w:sdtContent>
        <w:p w14:paraId="1EAF122F">
          <w:pPr>
            <w:spacing w:before="0" w:beforeLines="0" w:after="0" w:afterLines="0" w:line="240" w:lineRule="auto"/>
            <w:ind w:left="0" w:leftChars="0" w:right="0" w:rightChars="0" w:firstLine="0" w:firstLineChars="0"/>
            <w:jc w:val="center"/>
          </w:pPr>
        </w:p>
        <w:p w14:paraId="61C102C3">
          <w:pPr>
            <w:pStyle w:val="9"/>
            <w:tabs>
              <w:tab w:val="right" w:pos="2400"/>
              <w:tab w:val="right" w:leader="dot" w:pos="9750"/>
            </w:tabs>
          </w:pPr>
          <w:r>
            <w:rPr>
              <w:sz w:val="28"/>
              <w:szCs w:val="28"/>
              <w:lang w:eastAsia="zh-CN"/>
            </w:rPr>
            <w:fldChar w:fldCharType="begin"/>
          </w:r>
          <w:r>
            <w:rPr>
              <w:sz w:val="28"/>
              <w:szCs w:val="28"/>
              <w:lang w:eastAsia="zh-CN"/>
            </w:rPr>
            <w:instrText xml:space="preserve">TOC \o "1-1" \h \u </w:instrText>
          </w:r>
          <w:r>
            <w:rPr>
              <w:sz w:val="28"/>
              <w:szCs w:val="28"/>
              <w:lang w:eastAsia="zh-CN"/>
            </w:rPr>
            <w:fldChar w:fldCharType="separate"/>
          </w:r>
          <w:r>
            <w:rPr>
              <w:szCs w:val="28"/>
              <w:lang w:eastAsia="zh-CN"/>
            </w:rPr>
            <w:fldChar w:fldCharType="begin"/>
          </w:r>
          <w:r>
            <w:rPr>
              <w:szCs w:val="28"/>
              <w:lang w:eastAsia="zh-CN"/>
            </w:rPr>
            <w:instrText xml:space="preserve"> HYPERLINK \l _Toc26323 </w:instrText>
          </w:r>
          <w:r>
            <w:rPr>
              <w:szCs w:val="28"/>
              <w:lang w:eastAsia="zh-CN"/>
            </w:rPr>
            <w:fldChar w:fldCharType="separate"/>
          </w:r>
          <w:r>
            <w:rPr>
              <w:lang w:eastAsia="zh-CN"/>
            </w:rPr>
            <w:t>第一章</w:t>
          </w:r>
          <w:r>
            <w:rPr>
              <w:lang w:eastAsia="zh-CN"/>
            </w:rPr>
            <w:tab/>
          </w:r>
          <w:r>
            <w:rPr>
              <w:rFonts w:hint="eastAsia"/>
              <w:lang w:val="en-US" w:eastAsia="zh-CN"/>
            </w:rPr>
            <w:t xml:space="preserve"> </w:t>
          </w:r>
          <w:r>
            <w:rPr>
              <w:lang w:eastAsia="zh-CN"/>
            </w:rPr>
            <w:t>竞争性磋商公告</w:t>
          </w:r>
          <w:r>
            <w:tab/>
          </w:r>
          <w:r>
            <w:fldChar w:fldCharType="begin"/>
          </w:r>
          <w:r>
            <w:instrText xml:space="preserve"> PAGEREF _Toc26323 \h </w:instrText>
          </w:r>
          <w:r>
            <w:fldChar w:fldCharType="separate"/>
          </w:r>
          <w:r>
            <w:t>2</w:t>
          </w:r>
          <w:r>
            <w:fldChar w:fldCharType="end"/>
          </w:r>
          <w:r>
            <w:rPr>
              <w:szCs w:val="28"/>
              <w:lang w:eastAsia="zh-CN"/>
            </w:rPr>
            <w:fldChar w:fldCharType="end"/>
          </w:r>
        </w:p>
        <w:p w14:paraId="4B7B9F2F">
          <w:pPr>
            <w:pStyle w:val="9"/>
            <w:tabs>
              <w:tab w:val="right" w:pos="2400"/>
              <w:tab w:val="right" w:leader="dot" w:pos="9750"/>
            </w:tabs>
          </w:pPr>
          <w:r>
            <w:rPr>
              <w:szCs w:val="28"/>
              <w:lang w:eastAsia="zh-CN"/>
            </w:rPr>
            <w:fldChar w:fldCharType="begin"/>
          </w:r>
          <w:r>
            <w:rPr>
              <w:szCs w:val="28"/>
              <w:lang w:eastAsia="zh-CN"/>
            </w:rPr>
            <w:instrText xml:space="preserve"> HYPERLINK \l _Toc25956 </w:instrText>
          </w:r>
          <w:r>
            <w:rPr>
              <w:szCs w:val="28"/>
              <w:lang w:eastAsia="zh-CN"/>
            </w:rPr>
            <w:fldChar w:fldCharType="separate"/>
          </w:r>
          <w:r>
            <w:rPr>
              <w:lang w:eastAsia="zh-CN"/>
            </w:rPr>
            <w:t>第二章</w:t>
          </w:r>
          <w:r>
            <w:rPr>
              <w:lang w:eastAsia="zh-CN"/>
            </w:rPr>
            <w:tab/>
          </w:r>
          <w:r>
            <w:rPr>
              <w:rFonts w:hint="eastAsia"/>
              <w:lang w:val="en-US" w:eastAsia="zh-CN"/>
            </w:rPr>
            <w:t xml:space="preserve"> </w:t>
          </w:r>
          <w:r>
            <w:rPr>
              <w:lang w:eastAsia="zh-CN"/>
            </w:rPr>
            <w:t>供应商须知表</w:t>
          </w:r>
          <w:r>
            <w:tab/>
          </w:r>
          <w:r>
            <w:fldChar w:fldCharType="begin"/>
          </w:r>
          <w:r>
            <w:instrText xml:space="preserve"> PAGEREF _Toc25956 \h </w:instrText>
          </w:r>
          <w:r>
            <w:fldChar w:fldCharType="separate"/>
          </w:r>
          <w:r>
            <w:t>6</w:t>
          </w:r>
          <w:r>
            <w:fldChar w:fldCharType="end"/>
          </w:r>
          <w:r>
            <w:rPr>
              <w:szCs w:val="28"/>
              <w:lang w:eastAsia="zh-CN"/>
            </w:rPr>
            <w:fldChar w:fldCharType="end"/>
          </w:r>
        </w:p>
        <w:p w14:paraId="04B37716">
          <w:pPr>
            <w:pStyle w:val="9"/>
            <w:tabs>
              <w:tab w:val="right" w:pos="2400"/>
              <w:tab w:val="right" w:leader="dot" w:pos="9750"/>
            </w:tabs>
          </w:pPr>
          <w:r>
            <w:rPr>
              <w:szCs w:val="28"/>
              <w:lang w:eastAsia="zh-CN"/>
            </w:rPr>
            <w:fldChar w:fldCharType="begin"/>
          </w:r>
          <w:r>
            <w:rPr>
              <w:szCs w:val="28"/>
              <w:lang w:eastAsia="zh-CN"/>
            </w:rPr>
            <w:instrText xml:space="preserve"> HYPERLINK \l _Toc17019 </w:instrText>
          </w:r>
          <w:r>
            <w:rPr>
              <w:szCs w:val="28"/>
              <w:lang w:eastAsia="zh-CN"/>
            </w:rPr>
            <w:fldChar w:fldCharType="separate"/>
          </w:r>
          <w:r>
            <w:rPr>
              <w:lang w:eastAsia="zh-CN"/>
            </w:rPr>
            <w:t>第三章</w:t>
          </w:r>
          <w:r>
            <w:rPr>
              <w:rFonts w:hint="eastAsia"/>
              <w:lang w:val="en-US" w:eastAsia="zh-CN"/>
            </w:rPr>
            <w:t xml:space="preserve"> </w:t>
          </w:r>
          <w:r>
            <w:rPr>
              <w:lang w:eastAsia="zh-CN"/>
            </w:rPr>
            <w:t>评审办法</w:t>
          </w:r>
          <w:r>
            <w:rPr>
              <w:lang w:eastAsia="zh-CN"/>
            </w:rPr>
            <w:tab/>
          </w:r>
          <w:r>
            <w:tab/>
          </w:r>
          <w:r>
            <w:fldChar w:fldCharType="begin"/>
          </w:r>
          <w:r>
            <w:instrText xml:space="preserve"> PAGEREF _Toc17019 \h </w:instrText>
          </w:r>
          <w:r>
            <w:fldChar w:fldCharType="separate"/>
          </w:r>
          <w:r>
            <w:t>24</w:t>
          </w:r>
          <w:r>
            <w:fldChar w:fldCharType="end"/>
          </w:r>
          <w:r>
            <w:rPr>
              <w:szCs w:val="28"/>
              <w:lang w:eastAsia="zh-CN"/>
            </w:rPr>
            <w:fldChar w:fldCharType="end"/>
          </w:r>
        </w:p>
        <w:p w14:paraId="56BECFB7">
          <w:pPr>
            <w:pStyle w:val="9"/>
            <w:tabs>
              <w:tab w:val="right" w:pos="2400"/>
              <w:tab w:val="right" w:leader="dot" w:pos="9750"/>
            </w:tabs>
          </w:pPr>
          <w:r>
            <w:rPr>
              <w:szCs w:val="28"/>
              <w:lang w:eastAsia="zh-CN"/>
            </w:rPr>
            <w:fldChar w:fldCharType="begin"/>
          </w:r>
          <w:r>
            <w:rPr>
              <w:szCs w:val="28"/>
              <w:lang w:eastAsia="zh-CN"/>
            </w:rPr>
            <w:instrText xml:space="preserve"> HYPERLINK \l _Toc17989 </w:instrText>
          </w:r>
          <w:r>
            <w:rPr>
              <w:szCs w:val="28"/>
              <w:lang w:eastAsia="zh-CN"/>
            </w:rPr>
            <w:fldChar w:fldCharType="separate"/>
          </w:r>
          <w:r>
            <w:rPr>
              <w:lang w:eastAsia="zh-CN"/>
            </w:rPr>
            <w:t>第四章</w:t>
          </w:r>
          <w:r>
            <w:rPr>
              <w:lang w:eastAsia="zh-CN"/>
            </w:rPr>
            <w:tab/>
          </w:r>
          <w:r>
            <w:rPr>
              <w:rFonts w:hint="eastAsia"/>
              <w:lang w:val="en-US" w:eastAsia="zh-CN"/>
            </w:rPr>
            <w:t xml:space="preserve"> </w:t>
          </w:r>
          <w:r>
            <w:rPr>
              <w:lang w:eastAsia="zh-CN"/>
            </w:rPr>
            <w:t>合同条款及格式</w:t>
          </w:r>
          <w:r>
            <w:tab/>
          </w:r>
          <w:r>
            <w:fldChar w:fldCharType="begin"/>
          </w:r>
          <w:r>
            <w:instrText xml:space="preserve"> PAGEREF _Toc17989 \h </w:instrText>
          </w:r>
          <w:r>
            <w:fldChar w:fldCharType="separate"/>
          </w:r>
          <w:r>
            <w:t>30</w:t>
          </w:r>
          <w:r>
            <w:fldChar w:fldCharType="end"/>
          </w:r>
          <w:r>
            <w:rPr>
              <w:szCs w:val="28"/>
              <w:lang w:eastAsia="zh-CN"/>
            </w:rPr>
            <w:fldChar w:fldCharType="end"/>
          </w:r>
        </w:p>
        <w:p w14:paraId="18AC138C">
          <w:pPr>
            <w:pStyle w:val="9"/>
            <w:tabs>
              <w:tab w:val="right" w:leader="dot" w:pos="9750"/>
            </w:tabs>
            <w:rPr>
              <w:rFonts w:hint="default"/>
              <w:lang w:val="en-US"/>
            </w:rPr>
          </w:pPr>
          <w:r>
            <w:rPr>
              <w:szCs w:val="28"/>
              <w:lang w:eastAsia="zh-CN"/>
            </w:rPr>
            <w:fldChar w:fldCharType="begin"/>
          </w:r>
          <w:r>
            <w:rPr>
              <w:szCs w:val="28"/>
              <w:lang w:eastAsia="zh-CN"/>
            </w:rPr>
            <w:instrText xml:space="preserve"> HYPERLINK \l _Toc14694 </w:instrText>
          </w:r>
          <w:r>
            <w:rPr>
              <w:szCs w:val="28"/>
              <w:lang w:eastAsia="zh-CN"/>
            </w:rPr>
            <w:fldChar w:fldCharType="separate"/>
          </w:r>
          <w:r>
            <w:rPr>
              <w:lang w:eastAsia="zh-CN"/>
            </w:rPr>
            <w:t>第五章 服务内容</w:t>
          </w:r>
          <w:r>
            <w:tab/>
          </w:r>
          <w:r>
            <w:rPr>
              <w:szCs w:val="28"/>
              <w:lang w:eastAsia="zh-CN"/>
            </w:rPr>
            <w:fldChar w:fldCharType="end"/>
          </w:r>
          <w:r>
            <w:rPr>
              <w:rFonts w:hint="eastAsia"/>
              <w:szCs w:val="28"/>
              <w:lang w:val="en-US" w:eastAsia="zh-CN"/>
            </w:rPr>
            <w:t>31</w:t>
          </w:r>
        </w:p>
        <w:p w14:paraId="127D8F58">
          <w:pPr>
            <w:pStyle w:val="9"/>
            <w:tabs>
              <w:tab w:val="right" w:pos="2400"/>
              <w:tab w:val="right" w:leader="dot" w:pos="9750"/>
            </w:tabs>
          </w:pPr>
          <w:r>
            <w:rPr>
              <w:szCs w:val="28"/>
              <w:lang w:eastAsia="zh-CN"/>
            </w:rPr>
            <w:fldChar w:fldCharType="begin"/>
          </w:r>
          <w:r>
            <w:rPr>
              <w:szCs w:val="28"/>
              <w:lang w:eastAsia="zh-CN"/>
            </w:rPr>
            <w:instrText xml:space="preserve"> HYPERLINK \l _Toc13685 </w:instrText>
          </w:r>
          <w:r>
            <w:rPr>
              <w:szCs w:val="28"/>
              <w:lang w:eastAsia="zh-CN"/>
            </w:rPr>
            <w:fldChar w:fldCharType="separate"/>
          </w:r>
          <w:r>
            <w:rPr>
              <w:lang w:eastAsia="zh-CN"/>
            </w:rPr>
            <w:t>第六章</w:t>
          </w:r>
          <w:r>
            <w:rPr>
              <w:lang w:eastAsia="zh-CN"/>
            </w:rPr>
            <w:tab/>
          </w:r>
          <w:r>
            <w:rPr>
              <w:rFonts w:hint="eastAsia"/>
              <w:lang w:val="en-US" w:eastAsia="zh-CN"/>
            </w:rPr>
            <w:t xml:space="preserve"> </w:t>
          </w:r>
          <w:r>
            <w:rPr>
              <w:lang w:eastAsia="zh-CN"/>
            </w:rPr>
            <w:t>响应文件格式</w:t>
          </w:r>
          <w:r>
            <w:tab/>
          </w:r>
          <w:r>
            <w:fldChar w:fldCharType="begin"/>
          </w:r>
          <w:r>
            <w:instrText xml:space="preserve"> PAGEREF _Toc13685 \h </w:instrText>
          </w:r>
          <w:r>
            <w:fldChar w:fldCharType="separate"/>
          </w:r>
          <w:r>
            <w:t>35</w:t>
          </w:r>
          <w:r>
            <w:fldChar w:fldCharType="end"/>
          </w:r>
          <w:r>
            <w:rPr>
              <w:szCs w:val="28"/>
              <w:lang w:eastAsia="zh-CN"/>
            </w:rPr>
            <w:fldChar w:fldCharType="end"/>
          </w:r>
        </w:p>
        <w:p w14:paraId="35D792C7">
          <w:pPr>
            <w:rPr>
              <w:rFonts w:ascii="宋体" w:hAnsi="宋体" w:eastAsia="宋体" w:cs="宋体"/>
              <w:sz w:val="22"/>
              <w:szCs w:val="28"/>
              <w:lang w:val="en-US" w:eastAsia="zh-CN" w:bidi="ar-SA"/>
            </w:rPr>
          </w:pPr>
          <w:r>
            <w:rPr>
              <w:szCs w:val="28"/>
              <w:lang w:eastAsia="zh-CN"/>
            </w:rPr>
            <w:fldChar w:fldCharType="end"/>
          </w:r>
        </w:p>
      </w:sdtContent>
    </w:sdt>
    <w:p w14:paraId="6F786B73">
      <w:pPr>
        <w:rPr>
          <w:rFonts w:hint="default" w:ascii="宋体" w:hAnsi="宋体" w:eastAsia="宋体" w:cs="宋体"/>
          <w:sz w:val="22"/>
          <w:szCs w:val="28"/>
          <w:lang w:val="en-US" w:eastAsia="zh-CN" w:bidi="ar-SA"/>
        </w:rPr>
        <w:sectPr>
          <w:footerReference r:id="rId4" w:type="default"/>
          <w:pgSz w:w="11910" w:h="16840"/>
          <w:pgMar w:top="1440" w:right="1080" w:bottom="1440" w:left="1080" w:header="720" w:footer="720" w:gutter="0"/>
          <w:pgNumType w:fmt="decimal" w:start="1"/>
          <w:cols w:space="720" w:num="1"/>
          <w:docGrid w:linePitch="299" w:charSpace="0"/>
        </w:sectPr>
      </w:pPr>
    </w:p>
    <w:p w14:paraId="612D78E0">
      <w:pPr>
        <w:pStyle w:val="2"/>
        <w:tabs>
          <w:tab w:val="left" w:pos="4651"/>
        </w:tabs>
        <w:ind w:left="3365"/>
        <w:jc w:val="left"/>
        <w:rPr>
          <w:lang w:eastAsia="zh-CN"/>
        </w:rPr>
      </w:pPr>
      <w:bookmarkStart w:id="3" w:name="第一章__竞争性磋商公告"/>
      <w:bookmarkEnd w:id="3"/>
      <w:bookmarkStart w:id="4" w:name="_Toc26323"/>
      <w:r>
        <w:rPr>
          <w:lang w:eastAsia="zh-CN"/>
        </w:rPr>
        <w:t>第一章</w:t>
      </w:r>
      <w:r>
        <w:rPr>
          <w:lang w:eastAsia="zh-CN"/>
        </w:rPr>
        <w:tab/>
      </w:r>
      <w:r>
        <w:rPr>
          <w:lang w:eastAsia="zh-CN"/>
        </w:rPr>
        <w:t>竞争性磋商公告</w:t>
      </w:r>
      <w:bookmarkEnd w:id="4"/>
    </w:p>
    <w:p w14:paraId="4DCCEA1F">
      <w:pPr>
        <w:spacing w:line="360" w:lineRule="auto"/>
        <w:ind w:firstLine="560" w:firstLineChars="200"/>
        <w:rPr>
          <w:rFonts w:hint="eastAsia"/>
          <w:sz w:val="28"/>
          <w:szCs w:val="28"/>
          <w:lang w:eastAsia="zh-CN"/>
        </w:rPr>
      </w:pPr>
    </w:p>
    <w:p w14:paraId="296518E8">
      <w:pPr>
        <w:spacing w:line="360" w:lineRule="auto"/>
        <w:ind w:firstLine="420" w:firstLineChars="200"/>
        <w:rPr>
          <w:rFonts w:hint="eastAsia" w:ascii="宋体" w:hAnsi="宋体" w:eastAsia="宋体" w:cs="宋体"/>
          <w:spacing w:val="-15"/>
          <w:sz w:val="24"/>
          <w:szCs w:val="24"/>
          <w:lang w:eastAsia="zh-CN"/>
        </w:rPr>
      </w:pPr>
      <w:r>
        <w:rPr>
          <w:rFonts w:hint="eastAsia" w:cs="宋体"/>
          <w:spacing w:val="-15"/>
          <w:sz w:val="24"/>
          <w:szCs w:val="24"/>
          <w:lang w:eastAsia="zh-CN"/>
        </w:rPr>
        <w:t>中大天富（河南）工程管理咨询有限公司</w:t>
      </w:r>
      <w:r>
        <w:rPr>
          <w:rFonts w:hint="eastAsia" w:ascii="宋体" w:hAnsi="宋体" w:eastAsia="宋体" w:cs="宋体"/>
          <w:spacing w:val="-15"/>
          <w:sz w:val="24"/>
          <w:szCs w:val="24"/>
          <w:lang w:eastAsia="zh-CN"/>
        </w:rPr>
        <w:t>受卢氏县自然资源局的委托，对</w:t>
      </w:r>
      <w:r>
        <w:rPr>
          <w:rFonts w:hint="eastAsia" w:cs="宋体"/>
          <w:spacing w:val="-15"/>
          <w:sz w:val="24"/>
          <w:szCs w:val="24"/>
          <w:lang w:eastAsia="zh-CN"/>
        </w:rPr>
        <w:t>卢氏县2026年度一体化调查监测工作项目</w:t>
      </w:r>
      <w:r>
        <w:rPr>
          <w:rFonts w:hint="eastAsia" w:ascii="宋体" w:hAnsi="宋体" w:eastAsia="宋体" w:cs="宋体"/>
          <w:spacing w:val="-15"/>
          <w:sz w:val="24"/>
          <w:szCs w:val="24"/>
          <w:lang w:eastAsia="zh-CN"/>
        </w:rPr>
        <w:t>进行竞争性磋商，项目已具备磋商条件，欢迎符合相关条件的供应商参加。</w:t>
      </w:r>
    </w:p>
    <w:p w14:paraId="3FE77444">
      <w:pPr>
        <w:spacing w:line="360" w:lineRule="auto"/>
        <w:ind w:firstLine="422" w:firstLineChars="200"/>
        <w:rPr>
          <w:rFonts w:hint="eastAsia" w:ascii="宋体" w:hAnsi="宋体" w:eastAsia="宋体" w:cs="宋体"/>
          <w:spacing w:val="-15"/>
          <w:sz w:val="24"/>
          <w:szCs w:val="24"/>
          <w:lang w:eastAsia="zh-CN"/>
        </w:rPr>
      </w:pPr>
      <w:r>
        <w:rPr>
          <w:rFonts w:hint="eastAsia" w:ascii="宋体" w:hAnsi="宋体" w:eastAsia="宋体" w:cs="宋体"/>
          <w:b/>
          <w:bCs/>
          <w:spacing w:val="-15"/>
          <w:sz w:val="24"/>
          <w:szCs w:val="24"/>
          <w:lang w:eastAsia="zh-CN"/>
        </w:rPr>
        <w:t>一、项目概况与磋商内容</w:t>
      </w:r>
    </w:p>
    <w:p w14:paraId="67903025">
      <w:pPr>
        <w:spacing w:line="360" w:lineRule="auto"/>
        <w:ind w:firstLine="420" w:firstLineChars="200"/>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1、项目名称：</w:t>
      </w:r>
      <w:r>
        <w:rPr>
          <w:rFonts w:hint="eastAsia" w:cs="宋体"/>
          <w:spacing w:val="-15"/>
          <w:sz w:val="24"/>
          <w:szCs w:val="24"/>
          <w:lang w:eastAsia="zh-CN"/>
        </w:rPr>
        <w:t>卢氏县2026年度一体化调查监测工作项目</w:t>
      </w:r>
    </w:p>
    <w:p w14:paraId="52CAAAF7">
      <w:pPr>
        <w:spacing w:line="360" w:lineRule="auto"/>
        <w:ind w:firstLine="420" w:firstLineChars="200"/>
        <w:rPr>
          <w:rFonts w:hint="eastAsia" w:ascii="宋体" w:hAnsi="宋体" w:eastAsia="宋体" w:cs="宋体"/>
          <w:color w:val="auto"/>
          <w:spacing w:val="-15"/>
          <w:sz w:val="24"/>
          <w:szCs w:val="24"/>
          <w:lang w:eastAsia="zh-CN"/>
        </w:rPr>
      </w:pPr>
      <w:r>
        <w:rPr>
          <w:rFonts w:hint="eastAsia" w:ascii="宋体" w:hAnsi="宋体" w:eastAsia="宋体" w:cs="宋体"/>
          <w:spacing w:val="-15"/>
          <w:sz w:val="24"/>
          <w:szCs w:val="24"/>
          <w:lang w:eastAsia="zh-CN"/>
        </w:rPr>
        <w:t>2、项目编号：</w:t>
      </w:r>
      <w:r>
        <w:rPr>
          <w:rFonts w:hint="eastAsia" w:cs="宋体"/>
          <w:color w:val="auto"/>
          <w:spacing w:val="-15"/>
          <w:sz w:val="24"/>
          <w:szCs w:val="24"/>
          <w:lang w:eastAsia="zh-CN"/>
        </w:rPr>
        <w:t>三卢竞磋采购-2026-112、LSGZ[2026]259-ZC203</w:t>
      </w:r>
    </w:p>
    <w:p w14:paraId="4DCCBF2E">
      <w:pPr>
        <w:spacing w:line="360" w:lineRule="auto"/>
        <w:ind w:firstLine="420" w:firstLineChars="200"/>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3、采购人：卢氏县自然资源局</w:t>
      </w:r>
    </w:p>
    <w:p w14:paraId="0843B6BD">
      <w:pPr>
        <w:spacing w:line="360" w:lineRule="auto"/>
        <w:ind w:firstLine="420" w:firstLineChars="200"/>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4、服务内容：</w:t>
      </w:r>
      <w:r>
        <w:rPr>
          <w:rFonts w:hint="eastAsia" w:cs="宋体"/>
          <w:spacing w:val="-15"/>
          <w:sz w:val="24"/>
          <w:szCs w:val="24"/>
          <w:lang w:val="en-US" w:eastAsia="zh-CN"/>
        </w:rPr>
        <w:t>主要服务内容是对卢氏县域内自然资源监测、国土变更调查、森林草原湿地荒漠调查监测、成果数据集成应用与分析评价等</w:t>
      </w:r>
    </w:p>
    <w:p w14:paraId="4450753C">
      <w:pPr>
        <w:spacing w:line="360" w:lineRule="auto"/>
        <w:ind w:firstLine="480" w:firstLineChars="200"/>
        <w:rPr>
          <w:sz w:val="24"/>
          <w:szCs w:val="24"/>
          <w:lang w:eastAsia="zh-CN"/>
        </w:rPr>
      </w:pPr>
      <w:r>
        <w:rPr>
          <w:rFonts w:hint="eastAsia"/>
          <w:sz w:val="24"/>
          <w:szCs w:val="24"/>
          <w:lang w:val="en-US" w:eastAsia="zh-CN"/>
        </w:rPr>
        <w:t>5</w:t>
      </w:r>
      <w:r>
        <w:rPr>
          <w:sz w:val="24"/>
          <w:szCs w:val="24"/>
          <w:lang w:eastAsia="zh-CN"/>
        </w:rPr>
        <w:t>、磋商范围：磋商文件及答疑、澄清文件的所有内容</w:t>
      </w:r>
    </w:p>
    <w:p w14:paraId="4730165B">
      <w:pPr>
        <w:spacing w:line="360" w:lineRule="auto"/>
        <w:ind w:firstLine="480" w:firstLineChars="200"/>
        <w:rPr>
          <w:rFonts w:ascii="宋体" w:hAnsi="宋体" w:eastAsia="宋体" w:cs="宋体"/>
          <w:sz w:val="24"/>
          <w:szCs w:val="24"/>
          <w:lang w:eastAsia="zh-CN"/>
        </w:rPr>
      </w:pPr>
      <w:r>
        <w:rPr>
          <w:rFonts w:hint="eastAsia"/>
          <w:sz w:val="24"/>
          <w:szCs w:val="24"/>
          <w:lang w:val="en-US" w:eastAsia="zh-CN"/>
        </w:rPr>
        <w:t>6</w:t>
      </w:r>
      <w:r>
        <w:rPr>
          <w:sz w:val="24"/>
          <w:szCs w:val="24"/>
          <w:lang w:eastAsia="zh-CN"/>
        </w:rPr>
        <w:t>、资金来</w:t>
      </w:r>
      <w:r>
        <w:rPr>
          <w:rFonts w:ascii="宋体" w:hAnsi="宋体" w:eastAsia="宋体" w:cs="宋体"/>
          <w:sz w:val="24"/>
          <w:szCs w:val="24"/>
          <w:lang w:eastAsia="zh-CN"/>
        </w:rPr>
        <w:t>源：财政资金，已落实</w:t>
      </w:r>
    </w:p>
    <w:p w14:paraId="05BDE5DF">
      <w:pPr>
        <w:spacing w:line="360" w:lineRule="auto"/>
        <w:ind w:firstLine="480" w:firstLineChars="200"/>
        <w:rPr>
          <w:rFonts w:ascii="宋体" w:hAnsi="宋体" w:eastAsia="宋体" w:cs="宋体"/>
          <w:sz w:val="24"/>
          <w:szCs w:val="24"/>
          <w:lang w:eastAsia="zh-CN"/>
        </w:rPr>
      </w:pPr>
      <w:r>
        <w:rPr>
          <w:rFonts w:hint="eastAsia" w:cs="宋体"/>
          <w:sz w:val="24"/>
          <w:szCs w:val="24"/>
          <w:lang w:val="en-US" w:eastAsia="zh-CN"/>
        </w:rPr>
        <w:t>7</w:t>
      </w:r>
      <w:r>
        <w:rPr>
          <w:rFonts w:ascii="宋体" w:hAnsi="宋体" w:eastAsia="宋体" w:cs="宋体"/>
          <w:sz w:val="24"/>
          <w:szCs w:val="24"/>
          <w:lang w:eastAsia="zh-CN"/>
        </w:rPr>
        <w:t>、预算金额：</w:t>
      </w:r>
      <w:r>
        <w:rPr>
          <w:rFonts w:hint="eastAsia" w:cs="宋体"/>
          <w:sz w:val="24"/>
          <w:szCs w:val="24"/>
          <w:lang w:val="en-US" w:eastAsia="zh-CN"/>
        </w:rPr>
        <w:t>1929000</w:t>
      </w:r>
      <w:r>
        <w:rPr>
          <w:rFonts w:hint="eastAsia" w:ascii="宋体" w:hAnsi="宋体" w:eastAsia="宋体" w:cs="宋体"/>
          <w:sz w:val="24"/>
          <w:szCs w:val="24"/>
          <w:lang w:eastAsia="zh-CN"/>
        </w:rPr>
        <w:t>.00</w:t>
      </w:r>
      <w:r>
        <w:rPr>
          <w:rFonts w:ascii="宋体" w:hAnsi="宋体" w:eastAsia="宋体" w:cs="宋体"/>
          <w:sz w:val="24"/>
          <w:szCs w:val="24"/>
          <w:lang w:eastAsia="zh-CN"/>
        </w:rPr>
        <w:t>元</w:t>
      </w:r>
    </w:p>
    <w:p w14:paraId="49E4B7CE">
      <w:pPr>
        <w:spacing w:line="360" w:lineRule="auto"/>
        <w:ind w:firstLine="480" w:firstLineChars="200"/>
        <w:rPr>
          <w:rFonts w:ascii="宋体" w:hAnsi="宋体" w:eastAsia="宋体" w:cs="宋体"/>
          <w:sz w:val="24"/>
          <w:szCs w:val="24"/>
          <w:lang w:eastAsia="zh-CN"/>
        </w:rPr>
      </w:pPr>
      <w:r>
        <w:rPr>
          <w:rFonts w:hint="eastAsia"/>
          <w:sz w:val="24"/>
          <w:szCs w:val="24"/>
          <w:lang w:val="en-US" w:eastAsia="zh-CN"/>
        </w:rPr>
        <w:t>8</w:t>
      </w:r>
      <w:r>
        <w:rPr>
          <w:sz w:val="24"/>
          <w:szCs w:val="24"/>
          <w:lang w:eastAsia="zh-CN"/>
        </w:rPr>
        <w:t>、服务周期</w:t>
      </w:r>
      <w:r>
        <w:rPr>
          <w:rFonts w:ascii="宋体" w:hAnsi="宋体" w:eastAsia="宋体" w:cs="宋体"/>
          <w:sz w:val="24"/>
          <w:szCs w:val="24"/>
          <w:lang w:eastAsia="zh-CN"/>
        </w:rPr>
        <w:t>：</w:t>
      </w:r>
      <w:r>
        <w:rPr>
          <w:rFonts w:hint="eastAsia" w:ascii="宋体" w:hAnsi="宋体" w:eastAsia="宋体" w:cs="宋体"/>
          <w:sz w:val="24"/>
          <w:szCs w:val="24"/>
          <w:lang w:eastAsia="zh-CN"/>
        </w:rPr>
        <w:t>合同签订后90日历天内完成</w:t>
      </w:r>
    </w:p>
    <w:p w14:paraId="4FF88FEA">
      <w:pPr>
        <w:spacing w:line="360" w:lineRule="auto"/>
        <w:ind w:firstLine="480" w:firstLineChars="200"/>
        <w:rPr>
          <w:sz w:val="24"/>
          <w:szCs w:val="24"/>
          <w:lang w:eastAsia="zh-CN"/>
        </w:rPr>
      </w:pPr>
      <w:r>
        <w:rPr>
          <w:rFonts w:hint="eastAsia"/>
          <w:sz w:val="24"/>
          <w:szCs w:val="24"/>
          <w:lang w:val="en-US" w:eastAsia="zh-CN"/>
        </w:rPr>
        <w:t>9</w:t>
      </w:r>
      <w:r>
        <w:rPr>
          <w:sz w:val="24"/>
          <w:szCs w:val="24"/>
          <w:lang w:eastAsia="zh-CN"/>
        </w:rPr>
        <w:t>、质量要求：</w:t>
      </w:r>
      <w:r>
        <w:rPr>
          <w:rFonts w:hint="eastAsia" w:asciiTheme="minorEastAsia" w:hAnsiTheme="minorEastAsia"/>
          <w:sz w:val="24"/>
          <w:szCs w:val="24"/>
          <w:lang w:eastAsia="zh-CN"/>
        </w:rPr>
        <w:t>合格，符合国家相关规定及行业标准要求</w:t>
      </w:r>
    </w:p>
    <w:p w14:paraId="124BBE65">
      <w:pPr>
        <w:spacing w:line="360" w:lineRule="auto"/>
        <w:ind w:firstLine="480" w:firstLineChars="200"/>
        <w:rPr>
          <w:sz w:val="24"/>
          <w:szCs w:val="24"/>
          <w:lang w:eastAsia="zh-CN"/>
        </w:rPr>
      </w:pPr>
      <w:r>
        <w:rPr>
          <w:rFonts w:hint="eastAsia"/>
          <w:sz w:val="24"/>
          <w:szCs w:val="24"/>
          <w:lang w:val="en-US" w:eastAsia="zh-CN"/>
        </w:rPr>
        <w:t>10</w:t>
      </w:r>
      <w:r>
        <w:rPr>
          <w:sz w:val="24"/>
          <w:szCs w:val="24"/>
          <w:lang w:eastAsia="zh-CN"/>
        </w:rPr>
        <w:t>、标段划分：本项目不划分标段。</w:t>
      </w:r>
    </w:p>
    <w:p w14:paraId="54CF4795">
      <w:pPr>
        <w:spacing w:line="360" w:lineRule="auto"/>
        <w:ind w:firstLine="480" w:firstLineChars="200"/>
        <w:rPr>
          <w:rFonts w:ascii="宋体" w:hAnsi="宋体" w:eastAsia="宋体" w:cs="宋体"/>
          <w:sz w:val="24"/>
          <w:szCs w:val="24"/>
          <w:lang w:eastAsia="zh-CN"/>
        </w:rPr>
      </w:pPr>
      <w:r>
        <w:rPr>
          <w:sz w:val="24"/>
          <w:szCs w:val="24"/>
          <w:lang w:eastAsia="zh-CN"/>
        </w:rPr>
        <w:t>1</w:t>
      </w:r>
      <w:r>
        <w:rPr>
          <w:rFonts w:hint="eastAsia"/>
          <w:sz w:val="24"/>
          <w:szCs w:val="24"/>
          <w:lang w:val="en-US" w:eastAsia="zh-CN"/>
        </w:rPr>
        <w:t>1</w:t>
      </w:r>
      <w:r>
        <w:rPr>
          <w:sz w:val="24"/>
          <w:szCs w:val="24"/>
          <w:lang w:eastAsia="zh-CN"/>
        </w:rPr>
        <w:t>、</w:t>
      </w:r>
      <w:r>
        <w:rPr>
          <w:rFonts w:hint="eastAsia"/>
          <w:sz w:val="24"/>
          <w:szCs w:val="24"/>
          <w:lang w:eastAsia="zh-CN"/>
        </w:rPr>
        <w:t>服务地点</w:t>
      </w:r>
      <w:r>
        <w:rPr>
          <w:sz w:val="24"/>
          <w:szCs w:val="24"/>
          <w:lang w:eastAsia="zh-CN"/>
        </w:rPr>
        <w:t>：卢氏县</w:t>
      </w:r>
    </w:p>
    <w:p w14:paraId="3901A1EF">
      <w:pPr>
        <w:spacing w:line="360" w:lineRule="auto"/>
        <w:ind w:firstLine="480" w:firstLineChars="200"/>
        <w:rPr>
          <w:rFonts w:hint="eastAsia" w:ascii="宋体" w:hAnsi="宋体" w:eastAsia="宋体" w:cs="宋体"/>
          <w:sz w:val="24"/>
          <w:szCs w:val="24"/>
          <w:lang w:eastAsia="zh-CN"/>
        </w:rPr>
      </w:pPr>
      <w:r>
        <w:rPr>
          <w:rFonts w:ascii="宋体" w:hAnsi="宋体" w:eastAsia="宋体" w:cs="宋体"/>
          <w:sz w:val="24"/>
          <w:szCs w:val="24"/>
          <w:lang w:eastAsia="zh-CN"/>
        </w:rPr>
        <w:t>1</w:t>
      </w:r>
      <w:r>
        <w:rPr>
          <w:rFonts w:hint="eastAsia" w:ascii="宋体" w:hAnsi="宋体" w:eastAsia="宋体" w:cs="宋体"/>
          <w:sz w:val="24"/>
          <w:szCs w:val="24"/>
          <w:lang w:val="en-US" w:eastAsia="zh-CN"/>
        </w:rPr>
        <w:t>2</w:t>
      </w:r>
      <w:r>
        <w:rPr>
          <w:rFonts w:ascii="宋体" w:hAnsi="宋体" w:eastAsia="宋体" w:cs="宋体"/>
          <w:sz w:val="24"/>
          <w:szCs w:val="24"/>
          <w:lang w:eastAsia="zh-CN"/>
        </w:rPr>
        <w:t>、采购项目需要落实的政府采购政策：</w:t>
      </w:r>
      <w:r>
        <w:rPr>
          <w:rFonts w:hint="eastAsia" w:ascii="宋体" w:hAnsi="宋体" w:eastAsia="宋体" w:cs="宋体"/>
          <w:sz w:val="24"/>
          <w:szCs w:val="24"/>
          <w:lang w:eastAsia="zh-CN"/>
        </w:rPr>
        <w:t>根据《政府采购促进中小企业发展管理办法》（财库〔2020〕46号）规定，本项目专门面向中小企业采购,同时响应人须提供《中小企业声明函》。</w:t>
      </w:r>
    </w:p>
    <w:p w14:paraId="605B03D4">
      <w:pPr>
        <w:spacing w:line="360" w:lineRule="auto"/>
        <w:ind w:firstLine="482" w:firstLineChars="200"/>
        <w:rPr>
          <w:b/>
          <w:bCs/>
          <w:sz w:val="24"/>
          <w:szCs w:val="24"/>
          <w:lang w:eastAsia="zh-CN"/>
        </w:rPr>
      </w:pPr>
      <w:r>
        <w:rPr>
          <w:b/>
          <w:bCs/>
          <w:sz w:val="24"/>
          <w:szCs w:val="24"/>
          <w:lang w:eastAsia="zh-CN"/>
        </w:rPr>
        <w:t>二、供应商资格要求</w:t>
      </w:r>
    </w:p>
    <w:p w14:paraId="401B1130">
      <w:pPr>
        <w:spacing w:line="360" w:lineRule="auto"/>
        <w:ind w:firstLine="480" w:firstLineChars="200"/>
        <w:rPr>
          <w:rFonts w:hint="eastAsia" w:ascii="宋体" w:hAnsi="宋体" w:eastAsia="宋体" w:cs="宋体"/>
          <w:sz w:val="24"/>
          <w:szCs w:val="24"/>
          <w:lang w:eastAsia="zh-CN"/>
        </w:rPr>
      </w:pPr>
      <w:r>
        <w:rPr>
          <w:sz w:val="24"/>
          <w:szCs w:val="24"/>
          <w:lang w:eastAsia="zh-CN"/>
        </w:rPr>
        <w:t>供应商符合《中华人民共和国政府采购法》的第二十二条的规定并具备以下</w:t>
      </w:r>
      <w:r>
        <w:rPr>
          <w:rFonts w:hint="eastAsia" w:ascii="宋体" w:hAnsi="宋体" w:eastAsia="宋体" w:cs="宋体"/>
          <w:sz w:val="24"/>
          <w:szCs w:val="24"/>
          <w:lang w:eastAsia="zh-CN"/>
        </w:rPr>
        <w:t>条件：</w:t>
      </w:r>
    </w:p>
    <w:p w14:paraId="2401360E">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1、在中华人民共和国境内具有能够独立承担民事责任能力；具有有效的营业执照或其他证明材料；</w:t>
      </w:r>
    </w:p>
    <w:p w14:paraId="7E1AB96E">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2、供应商具有测绘地理信息行政主管部门颁发的测绘乙级及以上资质；</w:t>
      </w:r>
    </w:p>
    <w:p w14:paraId="66850558">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3、拟派项目负责人需具有相关专业</w:t>
      </w:r>
      <w:r>
        <w:rPr>
          <w:rFonts w:hint="eastAsia" w:ascii="宋体" w:hAnsi="宋体" w:eastAsia="宋体" w:cs="宋体"/>
          <w:sz w:val="24"/>
          <w:szCs w:val="24"/>
          <w:lang w:val="en-US" w:eastAsia="zh-CN"/>
        </w:rPr>
        <w:t>中</w:t>
      </w:r>
      <w:r>
        <w:rPr>
          <w:rFonts w:hint="eastAsia" w:ascii="宋体" w:hAnsi="宋体" w:eastAsia="宋体" w:cs="宋体"/>
          <w:sz w:val="24"/>
          <w:szCs w:val="24"/>
          <w:lang w:eastAsia="zh-CN"/>
        </w:rPr>
        <w:t>级（含）及以上职称，</w:t>
      </w:r>
      <w:r>
        <w:rPr>
          <w:rFonts w:hint="eastAsia" w:ascii="宋体" w:hAnsi="宋体" w:eastAsia="宋体" w:cs="宋体"/>
          <w:sz w:val="24"/>
          <w:szCs w:val="24"/>
          <w:lang w:val="en-US" w:eastAsia="zh-CN"/>
        </w:rPr>
        <w:t>（提供职称证原件扫描件、劳动合同及近半年任意</w:t>
      </w:r>
      <w:r>
        <w:rPr>
          <w:rFonts w:hint="eastAsia" w:cs="宋体"/>
          <w:sz w:val="24"/>
          <w:szCs w:val="24"/>
          <w:lang w:val="en-US" w:eastAsia="zh-CN"/>
        </w:rPr>
        <w:t>一</w:t>
      </w:r>
      <w:r>
        <w:rPr>
          <w:rFonts w:hint="eastAsia" w:ascii="宋体" w:hAnsi="宋体" w:eastAsia="宋体" w:cs="宋体"/>
          <w:sz w:val="24"/>
          <w:szCs w:val="24"/>
          <w:lang w:val="en-US" w:eastAsia="zh-CN"/>
        </w:rPr>
        <w:t>个月以来社保缴纳证明）</w:t>
      </w:r>
      <w:r>
        <w:rPr>
          <w:rFonts w:hint="eastAsia" w:ascii="宋体" w:hAnsi="宋体" w:eastAsia="宋体" w:cs="宋体"/>
          <w:sz w:val="24"/>
          <w:szCs w:val="24"/>
          <w:lang w:eastAsia="zh-CN"/>
        </w:rPr>
        <w:t>；</w:t>
      </w:r>
    </w:p>
    <w:p w14:paraId="7D5B57F7">
      <w:pPr>
        <w:spacing w:line="360" w:lineRule="auto"/>
        <w:ind w:firstLine="480" w:firstLineChars="200"/>
        <w:rPr>
          <w:rFonts w:ascii="宋体" w:hAnsi="宋体" w:eastAsia="宋体" w:cs="宋体"/>
          <w:sz w:val="24"/>
          <w:szCs w:val="24"/>
          <w:lang w:eastAsia="zh-CN"/>
        </w:rPr>
      </w:pPr>
      <w:r>
        <w:rPr>
          <w:rFonts w:ascii="宋体" w:hAnsi="宋体" w:eastAsia="宋体" w:cs="宋体"/>
          <w:sz w:val="24"/>
          <w:szCs w:val="24"/>
          <w:lang w:eastAsia="zh-CN"/>
        </w:rPr>
        <w:t>4、具有良好的商业信誉和健全的财务会计制度，提供202</w:t>
      </w:r>
      <w:r>
        <w:rPr>
          <w:rFonts w:hint="eastAsia" w:cs="宋体"/>
          <w:sz w:val="24"/>
          <w:szCs w:val="24"/>
          <w:lang w:val="en-US" w:eastAsia="zh-CN"/>
        </w:rPr>
        <w:t>3</w:t>
      </w:r>
      <w:r>
        <w:rPr>
          <w:rFonts w:ascii="宋体" w:hAnsi="宋体" w:eastAsia="宋体" w:cs="宋体"/>
          <w:sz w:val="24"/>
          <w:szCs w:val="24"/>
          <w:lang w:eastAsia="zh-CN"/>
        </w:rPr>
        <w:t>年度至202</w:t>
      </w:r>
      <w:r>
        <w:rPr>
          <w:rFonts w:hint="eastAsia" w:cs="宋体"/>
          <w:sz w:val="24"/>
          <w:szCs w:val="24"/>
          <w:lang w:val="en-US" w:eastAsia="zh-CN"/>
        </w:rPr>
        <w:t>5</w:t>
      </w:r>
      <w:r>
        <w:rPr>
          <w:rFonts w:ascii="宋体" w:hAnsi="宋体" w:eastAsia="宋体" w:cs="宋体"/>
          <w:sz w:val="24"/>
          <w:szCs w:val="24"/>
          <w:lang w:eastAsia="zh-CN"/>
        </w:rPr>
        <w:t>年度三年中任意一年经会计师事务所审计的财务报告或供应商自行出具具有良好的商业信誉和健全的财务会计制度的承诺书；</w:t>
      </w:r>
    </w:p>
    <w:p w14:paraId="1D2BCC6E">
      <w:pPr>
        <w:spacing w:line="360" w:lineRule="auto"/>
        <w:ind w:firstLine="480" w:firstLineChars="200"/>
        <w:rPr>
          <w:rFonts w:ascii="宋体" w:hAnsi="宋体" w:eastAsia="宋体" w:cs="宋体"/>
          <w:sz w:val="24"/>
          <w:szCs w:val="24"/>
          <w:lang w:eastAsia="zh-CN"/>
        </w:rPr>
      </w:pPr>
      <w:r>
        <w:rPr>
          <w:rFonts w:ascii="宋体" w:hAnsi="宋体" w:eastAsia="宋体" w:cs="宋体"/>
          <w:sz w:val="24"/>
          <w:szCs w:val="24"/>
          <w:lang w:eastAsia="zh-CN"/>
        </w:rPr>
        <w:t>5、供应商具有依法缴纳税收和社会保障资金的良好记录（需提供证明材料</w:t>
      </w:r>
      <w:r>
        <w:rPr>
          <w:rFonts w:hint="eastAsia" w:cs="宋体"/>
          <w:sz w:val="24"/>
          <w:szCs w:val="24"/>
          <w:lang w:val="en-US" w:eastAsia="zh-CN"/>
        </w:rPr>
        <w:t>或自行承诺</w:t>
      </w:r>
      <w:r>
        <w:rPr>
          <w:rFonts w:ascii="宋体" w:hAnsi="宋体" w:eastAsia="宋体" w:cs="宋体"/>
          <w:sz w:val="24"/>
          <w:szCs w:val="24"/>
          <w:lang w:eastAsia="zh-CN"/>
        </w:rPr>
        <w:t>）；</w:t>
      </w:r>
    </w:p>
    <w:p w14:paraId="6D941DFF">
      <w:pPr>
        <w:spacing w:line="360" w:lineRule="auto"/>
        <w:ind w:firstLine="480" w:firstLineChars="200"/>
        <w:rPr>
          <w:rFonts w:hint="eastAsia" w:ascii="宋体" w:hAnsi="宋体" w:eastAsia="宋体" w:cs="宋体"/>
          <w:sz w:val="24"/>
          <w:szCs w:val="24"/>
          <w:lang w:eastAsia="zh-CN"/>
        </w:rPr>
      </w:pPr>
      <w:r>
        <w:rPr>
          <w:rFonts w:ascii="宋体" w:hAnsi="宋体" w:eastAsia="宋体" w:cs="宋体"/>
          <w:sz w:val="24"/>
          <w:szCs w:val="24"/>
          <w:lang w:eastAsia="zh-CN"/>
        </w:rPr>
        <w:t>6、</w:t>
      </w:r>
      <w:r>
        <w:rPr>
          <w:rFonts w:hint="eastAsia" w:ascii="宋体" w:hAnsi="宋体" w:eastAsia="宋体" w:cs="宋体"/>
          <w:sz w:val="24"/>
          <w:szCs w:val="24"/>
          <w:lang w:eastAsia="zh-CN"/>
        </w:rPr>
        <w:t>参加政府采购活动前3年内无行贿犯罪记录，（开标时提供《中国裁判文书网》查询结果网页截图或企业自行承诺的无行贿犯罪承诺书，查询&lt;承诺&gt;对象为“企业，法定代表人，项目</w:t>
      </w:r>
      <w:r>
        <w:rPr>
          <w:rFonts w:hint="eastAsia" w:ascii="宋体" w:hAnsi="宋体" w:eastAsia="宋体" w:cs="宋体"/>
          <w:sz w:val="24"/>
          <w:szCs w:val="24"/>
          <w:lang w:val="en-US" w:eastAsia="zh-CN"/>
        </w:rPr>
        <w:t>负责人</w:t>
      </w:r>
      <w:r>
        <w:rPr>
          <w:rFonts w:hint="eastAsia" w:ascii="宋体" w:hAnsi="宋体" w:eastAsia="宋体" w:cs="宋体"/>
          <w:sz w:val="24"/>
          <w:szCs w:val="24"/>
          <w:lang w:eastAsia="zh-CN"/>
        </w:rPr>
        <w:t>”）；</w:t>
      </w:r>
    </w:p>
    <w:p w14:paraId="4FF3EA49">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、参加政府采购活动前3年内无商业贿赂、不正当竞争行为、骗取中标、严重违约及重大工程质量等问题；</w:t>
      </w:r>
    </w:p>
    <w:p w14:paraId="1010BF76">
      <w:pPr>
        <w:spacing w:line="360" w:lineRule="auto"/>
        <w:ind w:firstLine="480" w:firstLineChars="200"/>
        <w:rPr>
          <w:rFonts w:ascii="宋体" w:hAnsi="宋体" w:eastAsia="宋体" w:cs="宋体"/>
          <w:sz w:val="24"/>
          <w:szCs w:val="24"/>
          <w:lang w:eastAsia="zh-CN"/>
        </w:rPr>
      </w:pPr>
      <w:r>
        <w:rPr>
          <w:rFonts w:hint="eastAsia" w:ascii="宋体" w:hAnsi="宋体" w:eastAsia="宋体" w:cs="宋体"/>
          <w:sz w:val="24"/>
          <w:szCs w:val="24"/>
          <w:lang w:val="en-US" w:eastAsia="zh-CN"/>
        </w:rPr>
        <w:t>8</w:t>
      </w:r>
      <w:r>
        <w:rPr>
          <w:rFonts w:ascii="宋体" w:hAnsi="宋体" w:eastAsia="宋体" w:cs="宋体"/>
          <w:sz w:val="24"/>
          <w:szCs w:val="24"/>
          <w:lang w:eastAsia="zh-CN"/>
        </w:rPr>
        <w:t>、</w:t>
      </w:r>
      <w:r>
        <w:rPr>
          <w:rFonts w:hint="eastAsia" w:ascii="宋体" w:hAnsi="宋体" w:eastAsia="宋体" w:cs="宋体"/>
          <w:sz w:val="24"/>
          <w:szCs w:val="24"/>
          <w:lang w:val="en-US" w:eastAsia="zh-CN"/>
        </w:rPr>
        <w:t>根据《关于在政府采购活动中查询及使用信用记录有关问题的通知》(财库[2016]125号) 和豫财购【2016】15号的规定，企业没有被列入“信用中国”网站的“失信被执行人”、“重大税收违法失信主体”及“中国政府采购网”网站的“政府采购严重违法失信行为信息记录”的</w:t>
      </w:r>
      <w:r>
        <w:rPr>
          <w:rFonts w:hint="eastAsia" w:cs="宋体"/>
          <w:sz w:val="24"/>
          <w:szCs w:val="24"/>
          <w:lang w:val="en-US" w:eastAsia="zh-CN"/>
        </w:rPr>
        <w:t>供应商</w:t>
      </w:r>
      <w:r>
        <w:rPr>
          <w:rFonts w:hint="eastAsia" w:ascii="宋体" w:hAnsi="宋体" w:eastAsia="宋体" w:cs="宋体"/>
          <w:sz w:val="24"/>
          <w:szCs w:val="24"/>
          <w:lang w:val="en-US" w:eastAsia="zh-CN"/>
        </w:rPr>
        <w:t>；（查询渠道：“信用中国”网站（www.creditchina.gov.cn）、中国政府采购网（www.ccgp.gov.cn）</w:t>
      </w:r>
      <w:r>
        <w:rPr>
          <w:rFonts w:hint="eastAsia" w:ascii="宋体" w:hAnsi="宋体" w:eastAsia="宋体" w:cs="宋体"/>
          <w:sz w:val="24"/>
          <w:szCs w:val="24"/>
          <w:lang w:eastAsia="zh-CN"/>
        </w:rPr>
        <w:t>(注：査询时间必须是公告发布之后开标之前，查询结果清晰可见)</w:t>
      </w:r>
    </w:p>
    <w:p w14:paraId="468D6BB5">
      <w:pPr>
        <w:spacing w:line="360" w:lineRule="auto"/>
        <w:ind w:firstLine="480" w:firstLineChars="200"/>
        <w:rPr>
          <w:rFonts w:ascii="宋体" w:hAnsi="宋体" w:eastAsia="宋体" w:cs="宋体"/>
          <w:sz w:val="24"/>
          <w:szCs w:val="24"/>
          <w:lang w:eastAsia="zh-CN"/>
        </w:rPr>
      </w:pPr>
      <w:r>
        <w:rPr>
          <w:rFonts w:hint="eastAsia" w:ascii="宋体" w:hAnsi="宋体" w:eastAsia="宋体" w:cs="宋体"/>
          <w:sz w:val="24"/>
          <w:szCs w:val="24"/>
          <w:lang w:val="en-US" w:eastAsia="zh-CN"/>
        </w:rPr>
        <w:t>9</w:t>
      </w:r>
      <w:r>
        <w:rPr>
          <w:rFonts w:ascii="宋体" w:hAnsi="宋体" w:eastAsia="宋体" w:cs="宋体"/>
          <w:sz w:val="24"/>
          <w:szCs w:val="24"/>
          <w:lang w:eastAsia="zh-CN"/>
        </w:rPr>
        <w:t>、本项目不接受联合体投标，提供非联合体承诺，格式自拟；</w:t>
      </w:r>
    </w:p>
    <w:p w14:paraId="05D46FB5">
      <w:pPr>
        <w:spacing w:line="360" w:lineRule="auto"/>
        <w:ind w:firstLine="480" w:firstLineChars="200"/>
        <w:rPr>
          <w:rFonts w:ascii="宋体" w:hAnsi="宋体" w:eastAsia="宋体" w:cs="宋体"/>
          <w:sz w:val="24"/>
          <w:szCs w:val="24"/>
          <w:lang w:eastAsia="zh-CN"/>
        </w:rPr>
      </w:pPr>
      <w:r>
        <w:rPr>
          <w:rFonts w:hint="eastAsia" w:ascii="宋体" w:hAnsi="宋体" w:eastAsia="宋体" w:cs="宋体"/>
          <w:sz w:val="24"/>
          <w:szCs w:val="24"/>
          <w:lang w:val="en-US" w:eastAsia="zh-CN"/>
        </w:rPr>
        <w:t>10</w:t>
      </w:r>
      <w:r>
        <w:rPr>
          <w:rFonts w:ascii="宋体" w:hAnsi="宋体" w:eastAsia="宋体" w:cs="宋体"/>
          <w:sz w:val="24"/>
          <w:szCs w:val="24"/>
          <w:lang w:eastAsia="zh-CN"/>
        </w:rPr>
        <w:t>、本项目实行资格后审。</w:t>
      </w:r>
    </w:p>
    <w:p w14:paraId="42599623">
      <w:pPr>
        <w:spacing w:line="360" w:lineRule="auto"/>
        <w:ind w:firstLine="480" w:firstLineChars="200"/>
        <w:rPr>
          <w:sz w:val="24"/>
          <w:szCs w:val="24"/>
          <w:lang w:eastAsia="zh-CN"/>
        </w:rPr>
      </w:pPr>
      <w:r>
        <w:rPr>
          <w:rFonts w:hint="eastAsia"/>
          <w:sz w:val="24"/>
          <w:szCs w:val="24"/>
          <w:lang w:eastAsia="zh-CN"/>
        </w:rPr>
        <w:t>注：被列入失信被执行人及重大税收违法失信主体的企业做无效标处理。采购人或采购代理机构有权对供应商信用记录进行甄别和复查。</w:t>
      </w:r>
    </w:p>
    <w:p w14:paraId="0F27EE3C">
      <w:pPr>
        <w:spacing w:line="360" w:lineRule="auto"/>
        <w:ind w:firstLine="482" w:firstLineChars="200"/>
        <w:rPr>
          <w:rFonts w:ascii="宋体" w:hAnsi="宋体" w:eastAsia="宋体" w:cs="宋体"/>
          <w:sz w:val="24"/>
          <w:szCs w:val="24"/>
          <w:lang w:eastAsia="zh-CN"/>
        </w:rPr>
      </w:pPr>
      <w:r>
        <w:rPr>
          <w:rFonts w:ascii="宋体" w:hAnsi="宋体" w:eastAsia="宋体" w:cs="宋体"/>
          <w:b/>
          <w:bCs/>
          <w:sz w:val="24"/>
          <w:szCs w:val="24"/>
          <w:lang w:eastAsia="zh-CN"/>
        </w:rPr>
        <w:t>三、磋商文件的获取</w:t>
      </w:r>
    </w:p>
    <w:p w14:paraId="092CF945">
      <w:pPr>
        <w:spacing w:line="360" w:lineRule="auto"/>
        <w:ind w:firstLine="480" w:firstLineChars="200"/>
        <w:rPr>
          <w:rFonts w:ascii="宋体" w:hAnsi="宋体" w:eastAsia="宋体" w:cs="宋体"/>
          <w:sz w:val="24"/>
          <w:szCs w:val="24"/>
          <w:lang w:eastAsia="zh-CN"/>
        </w:rPr>
      </w:pPr>
      <w:r>
        <w:rPr>
          <w:rFonts w:ascii="宋体" w:hAnsi="宋体" w:eastAsia="宋体" w:cs="宋体"/>
          <w:sz w:val="24"/>
          <w:szCs w:val="24"/>
          <w:lang w:eastAsia="zh-CN"/>
        </w:rPr>
        <w:t>1、</w:t>
      </w:r>
      <w:r>
        <w:rPr>
          <w:rFonts w:hint="eastAsia" w:ascii="宋体" w:hAnsi="宋体" w:eastAsia="宋体" w:cs="宋体"/>
          <w:sz w:val="24"/>
          <w:szCs w:val="24"/>
          <w:lang w:eastAsia="zh-CN"/>
        </w:rPr>
        <w:t>本项目没有报名环节，供应商凭CA数字证书通过三门峡市公共资源交易中心网（网址：http://gzjy.smx.gov.cn），点击交易平台选择“交易主体登录”，在所参与项目右侧点击参与投标，即可直接下载本项目磋商文件及其相关资料；</w:t>
      </w:r>
    </w:p>
    <w:p w14:paraId="241C3F19">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eastAsia="zh-CN"/>
        </w:rPr>
        <w:t>办理CA证书：</w:t>
      </w:r>
      <w:r>
        <w:rPr>
          <w:rFonts w:hint="eastAsia" w:ascii="宋体" w:hAnsi="宋体" w:cs="宋体"/>
          <w:sz w:val="24"/>
          <w:szCs w:val="24"/>
          <w:lang w:eastAsia="zh-CN"/>
        </w:rPr>
        <w:t>http://gzjy.smx.gov.cn/bzzx/008001/20231102/4defc9b5-408e-47f2-9e9f-1f376a06ee1f.html</w:t>
      </w:r>
      <w:r>
        <w:rPr>
          <w:rFonts w:hint="eastAsia" w:ascii="宋体" w:hAnsi="宋体" w:eastAsia="宋体" w:cs="宋体"/>
          <w:sz w:val="24"/>
          <w:szCs w:val="24"/>
          <w:lang w:val="en-US" w:eastAsia="zh-CN"/>
        </w:rPr>
        <w:t xml:space="preserve"> </w:t>
      </w:r>
    </w:p>
    <w:p w14:paraId="19CC1883">
      <w:pPr>
        <w:spacing w:line="360" w:lineRule="auto"/>
        <w:ind w:firstLine="480" w:firstLineChars="200"/>
        <w:rPr>
          <w:rFonts w:hint="eastAsia" w:ascii="宋体" w:hAnsi="宋体" w:eastAsia="宋体" w:cs="宋体"/>
          <w:color w:val="auto"/>
          <w:sz w:val="24"/>
          <w:szCs w:val="24"/>
          <w:lang w:eastAsia="zh-CN"/>
        </w:rPr>
      </w:pPr>
      <w:r>
        <w:rPr>
          <w:rFonts w:ascii="宋体" w:hAnsi="宋体" w:eastAsia="宋体" w:cs="宋体"/>
          <w:sz w:val="24"/>
          <w:szCs w:val="24"/>
          <w:lang w:eastAsia="zh-CN"/>
        </w:rPr>
        <w:t>2、磋商文件下载时</w:t>
      </w:r>
      <w:r>
        <w:rPr>
          <w:rFonts w:hint="eastAsia" w:ascii="宋体" w:hAnsi="宋体" w:eastAsia="宋体" w:cs="宋体"/>
          <w:sz w:val="24"/>
          <w:szCs w:val="24"/>
          <w:lang w:eastAsia="zh-CN"/>
        </w:rPr>
        <w:t>间：</w:t>
      </w:r>
      <w:r>
        <w:rPr>
          <w:rFonts w:hint="eastAsia" w:ascii="宋体" w:hAnsi="宋体" w:eastAsia="宋体" w:cs="宋体"/>
          <w:color w:val="auto"/>
          <w:sz w:val="24"/>
          <w:szCs w:val="24"/>
          <w:lang w:eastAsia="zh-CN"/>
        </w:rPr>
        <w:t>20</w:t>
      </w:r>
      <w:r>
        <w:rPr>
          <w:rFonts w:hint="eastAsia" w:ascii="宋体" w:hAnsi="宋体" w:eastAsia="宋体" w:cs="宋体"/>
          <w:color w:val="auto"/>
          <w:sz w:val="24"/>
          <w:szCs w:val="24"/>
          <w:lang w:val="en-US" w:eastAsia="zh-CN"/>
        </w:rPr>
        <w:t>26</w:t>
      </w:r>
      <w:r>
        <w:rPr>
          <w:rFonts w:hint="eastAsia" w:ascii="宋体" w:hAnsi="宋体" w:eastAsia="宋体" w:cs="宋体"/>
          <w:color w:val="auto"/>
          <w:sz w:val="24"/>
          <w:szCs w:val="24"/>
          <w:lang w:eastAsia="zh-CN"/>
        </w:rPr>
        <w:t>年</w:t>
      </w:r>
      <w:r>
        <w:rPr>
          <w:rFonts w:hint="eastAsia" w:cs="宋体"/>
          <w:color w:val="auto"/>
          <w:sz w:val="24"/>
          <w:szCs w:val="24"/>
          <w:lang w:val="en-US" w:eastAsia="zh-CN"/>
        </w:rPr>
        <w:t>10</w:t>
      </w:r>
      <w:r>
        <w:rPr>
          <w:rFonts w:hint="eastAsia" w:ascii="宋体" w:hAnsi="宋体" w:eastAsia="宋体" w:cs="宋体"/>
          <w:color w:val="auto"/>
          <w:sz w:val="24"/>
          <w:szCs w:val="24"/>
          <w:lang w:eastAsia="zh-CN"/>
        </w:rPr>
        <w:t>月</w:t>
      </w:r>
      <w:r>
        <w:rPr>
          <w:rFonts w:hint="eastAsia" w:cs="宋体"/>
          <w:color w:val="auto"/>
          <w:sz w:val="24"/>
          <w:szCs w:val="24"/>
          <w:lang w:val="en-US" w:eastAsia="zh-CN"/>
        </w:rPr>
        <w:t>23</w:t>
      </w:r>
      <w:r>
        <w:rPr>
          <w:rFonts w:hint="eastAsia" w:ascii="宋体" w:hAnsi="宋体" w:eastAsia="宋体" w:cs="宋体"/>
          <w:color w:val="auto"/>
          <w:sz w:val="24"/>
          <w:szCs w:val="24"/>
          <w:lang w:eastAsia="zh-CN"/>
        </w:rPr>
        <w:t>日0</w:t>
      </w:r>
      <w:r>
        <w:rPr>
          <w:rFonts w:hint="eastAsia" w:cs="宋体"/>
          <w:color w:val="auto"/>
          <w:sz w:val="24"/>
          <w:szCs w:val="24"/>
          <w:lang w:val="en-US" w:eastAsia="zh-CN"/>
        </w:rPr>
        <w:t>0</w:t>
      </w:r>
      <w:r>
        <w:rPr>
          <w:rFonts w:hint="eastAsia" w:ascii="宋体" w:hAnsi="宋体" w:eastAsia="宋体" w:cs="宋体"/>
          <w:color w:val="auto"/>
          <w:sz w:val="24"/>
          <w:szCs w:val="24"/>
          <w:lang w:eastAsia="zh-CN"/>
        </w:rPr>
        <w:t>时00分至20</w:t>
      </w:r>
      <w:r>
        <w:rPr>
          <w:rFonts w:hint="eastAsia" w:ascii="宋体" w:hAnsi="宋体" w:eastAsia="宋体" w:cs="宋体"/>
          <w:color w:val="auto"/>
          <w:sz w:val="24"/>
          <w:szCs w:val="24"/>
          <w:lang w:val="en-US" w:eastAsia="zh-CN"/>
        </w:rPr>
        <w:t>26</w:t>
      </w:r>
      <w:r>
        <w:rPr>
          <w:rFonts w:hint="eastAsia" w:ascii="宋体" w:hAnsi="宋体" w:eastAsia="宋体" w:cs="宋体"/>
          <w:color w:val="auto"/>
          <w:sz w:val="24"/>
          <w:szCs w:val="24"/>
          <w:lang w:eastAsia="zh-CN"/>
        </w:rPr>
        <w:t>年</w:t>
      </w:r>
      <w:r>
        <w:rPr>
          <w:rFonts w:hint="eastAsia" w:cs="宋体"/>
          <w:color w:val="auto"/>
          <w:sz w:val="24"/>
          <w:szCs w:val="24"/>
          <w:lang w:val="en-US" w:eastAsia="zh-CN"/>
        </w:rPr>
        <w:t>11</w:t>
      </w:r>
      <w:r>
        <w:rPr>
          <w:rFonts w:hint="eastAsia" w:ascii="宋体" w:hAnsi="宋体" w:eastAsia="宋体" w:cs="宋体"/>
          <w:color w:val="auto"/>
          <w:sz w:val="24"/>
          <w:szCs w:val="24"/>
          <w:lang w:eastAsia="zh-CN"/>
        </w:rPr>
        <w:t>月</w:t>
      </w:r>
      <w:r>
        <w:rPr>
          <w:rFonts w:hint="eastAsia" w:cs="宋体"/>
          <w:color w:val="auto"/>
          <w:sz w:val="24"/>
          <w:szCs w:val="24"/>
          <w:lang w:val="en-US" w:eastAsia="zh-CN"/>
        </w:rPr>
        <w:t>02</w:t>
      </w:r>
      <w:r>
        <w:rPr>
          <w:rFonts w:hint="eastAsia" w:ascii="宋体" w:hAnsi="宋体" w:eastAsia="宋体" w:cs="宋体"/>
          <w:color w:val="auto"/>
          <w:sz w:val="24"/>
          <w:szCs w:val="24"/>
          <w:lang w:eastAsia="zh-CN"/>
        </w:rPr>
        <w:t>日08时40分。</w:t>
      </w:r>
    </w:p>
    <w:p w14:paraId="3B7B80E6">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、本项目为全电子招标，不再收取招标文件费用。</w:t>
      </w:r>
    </w:p>
    <w:p w14:paraId="00DAC4BC">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注：本项目为不见面开标项目。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投标文件解密等。每位供应商的解密时间为开标时间起30分钟内完成。未按时解密的其投标将被否决。因供应商原因未能解密、解密失败或解密超时的将被拒绝。</w:t>
      </w:r>
    </w:p>
    <w:p w14:paraId="15469276">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4、本项目为全电子招标，不再收取磋商文件费用。</w:t>
      </w:r>
    </w:p>
    <w:p w14:paraId="7C209C95">
      <w:pPr>
        <w:spacing w:line="360" w:lineRule="auto"/>
        <w:ind w:firstLine="482" w:firstLineChars="200"/>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四、磋商文件的递交截止时间及开评标地点</w:t>
      </w:r>
    </w:p>
    <w:p w14:paraId="54E01E06">
      <w:pPr>
        <w:spacing w:line="360" w:lineRule="auto"/>
        <w:ind w:firstLine="480" w:firstLineChars="200"/>
        <w:rPr>
          <w:rFonts w:hint="eastAsia" w:ascii="宋体" w:hAnsi="宋体" w:eastAsia="宋体" w:cs="宋体"/>
          <w:color w:val="auto"/>
          <w:sz w:val="24"/>
          <w:szCs w:val="24"/>
          <w:lang w:eastAsia="zh-CN"/>
        </w:rPr>
      </w:pPr>
      <w:r>
        <w:rPr>
          <w:color w:val="auto"/>
          <w:sz w:val="24"/>
          <w:szCs w:val="24"/>
          <w:lang w:eastAsia="zh-CN"/>
        </w:rPr>
        <w:t>1</w:t>
      </w:r>
      <w:r>
        <w:rPr>
          <w:color w:val="auto"/>
          <w:spacing w:val="-3"/>
          <w:sz w:val="24"/>
          <w:szCs w:val="24"/>
          <w:lang w:eastAsia="zh-CN"/>
        </w:rPr>
        <w:t>、磋商文件递交的截止时间</w:t>
      </w:r>
      <w:r>
        <w:rPr>
          <w:color w:val="auto"/>
          <w:sz w:val="24"/>
          <w:szCs w:val="24"/>
          <w:lang w:eastAsia="zh-CN"/>
        </w:rPr>
        <w:t>（开标时间</w:t>
      </w:r>
      <w:r>
        <w:rPr>
          <w:rFonts w:hint="eastAsia" w:ascii="宋体" w:hAnsi="宋体" w:eastAsia="宋体" w:cs="宋体"/>
          <w:color w:val="auto"/>
          <w:sz w:val="24"/>
          <w:szCs w:val="24"/>
          <w:lang w:eastAsia="zh-CN"/>
        </w:rPr>
        <w:t>）：2026年</w:t>
      </w:r>
      <w:r>
        <w:rPr>
          <w:rFonts w:hint="eastAsia" w:cs="宋体"/>
          <w:color w:val="auto"/>
          <w:sz w:val="24"/>
          <w:szCs w:val="24"/>
          <w:lang w:val="en-US" w:eastAsia="zh-CN"/>
        </w:rPr>
        <w:t>11</w:t>
      </w:r>
      <w:r>
        <w:rPr>
          <w:rFonts w:hint="eastAsia" w:ascii="宋体" w:hAnsi="宋体" w:eastAsia="宋体" w:cs="宋体"/>
          <w:color w:val="auto"/>
          <w:sz w:val="24"/>
          <w:szCs w:val="24"/>
          <w:lang w:eastAsia="zh-CN"/>
        </w:rPr>
        <w:t>月</w:t>
      </w:r>
      <w:r>
        <w:rPr>
          <w:rFonts w:hint="eastAsia" w:cs="宋体"/>
          <w:color w:val="auto"/>
          <w:sz w:val="24"/>
          <w:szCs w:val="24"/>
          <w:lang w:val="en-US" w:eastAsia="zh-CN"/>
        </w:rPr>
        <w:t>02</w:t>
      </w:r>
      <w:r>
        <w:rPr>
          <w:rFonts w:hint="eastAsia" w:ascii="宋体" w:hAnsi="宋体" w:eastAsia="宋体" w:cs="宋体"/>
          <w:color w:val="auto"/>
          <w:sz w:val="24"/>
          <w:szCs w:val="24"/>
          <w:lang w:eastAsia="zh-CN"/>
        </w:rPr>
        <w:t>日08时40分；</w:t>
      </w:r>
    </w:p>
    <w:p w14:paraId="19BEF91E">
      <w:pPr>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2、开标地点：卢氏县公共资源交易中心</w:t>
      </w:r>
      <w:r>
        <w:rPr>
          <w:rFonts w:hint="eastAsia" w:ascii="宋体" w:hAnsi="宋体" w:eastAsia="宋体" w:cs="宋体"/>
          <w:color w:val="auto"/>
          <w:sz w:val="24"/>
          <w:szCs w:val="24"/>
          <w:lang w:val="en-US" w:eastAsia="zh-CN"/>
        </w:rPr>
        <w:t>四</w:t>
      </w:r>
      <w:r>
        <w:rPr>
          <w:rFonts w:hint="eastAsia" w:ascii="宋体" w:hAnsi="宋体" w:eastAsia="宋体" w:cs="宋体"/>
          <w:color w:val="auto"/>
          <w:sz w:val="24"/>
          <w:szCs w:val="24"/>
          <w:lang w:eastAsia="zh-CN"/>
        </w:rPr>
        <w:t>楼第</w:t>
      </w:r>
      <w:r>
        <w:rPr>
          <w:rFonts w:hint="eastAsia" w:cs="宋体"/>
          <w:color w:val="auto"/>
          <w:sz w:val="24"/>
          <w:szCs w:val="24"/>
          <w:lang w:val="en-US" w:eastAsia="zh-CN"/>
        </w:rPr>
        <w:t>二</w:t>
      </w:r>
      <w:r>
        <w:rPr>
          <w:rFonts w:hint="eastAsia" w:ascii="宋体" w:hAnsi="宋体" w:eastAsia="宋体" w:cs="宋体"/>
          <w:color w:val="auto"/>
          <w:sz w:val="24"/>
          <w:szCs w:val="24"/>
          <w:lang w:eastAsia="zh-CN"/>
        </w:rPr>
        <w:t>开标室；</w:t>
      </w:r>
    </w:p>
    <w:p w14:paraId="63A66629">
      <w:pPr>
        <w:spacing w:line="360" w:lineRule="auto"/>
        <w:ind w:firstLine="480" w:firstLineChars="200"/>
        <w:rPr>
          <w:rFonts w:hint="eastAsia" w:ascii="宋体" w:hAnsi="宋体" w:eastAsia="宋体" w:cs="宋体"/>
          <w:color w:val="0000FF"/>
          <w:sz w:val="24"/>
          <w:szCs w:val="24"/>
          <w:lang w:eastAsia="zh-CN"/>
        </w:rPr>
      </w:pPr>
      <w:r>
        <w:rPr>
          <w:rFonts w:hint="eastAsia" w:ascii="宋体" w:hAnsi="宋体" w:eastAsia="宋体" w:cs="宋体"/>
          <w:color w:val="auto"/>
          <w:sz w:val="24"/>
          <w:szCs w:val="24"/>
          <w:lang w:eastAsia="zh-CN"/>
        </w:rPr>
        <w:t>3、评标地点：卢氏县公共资源交易中心二楼第</w:t>
      </w:r>
      <w:r>
        <w:rPr>
          <w:rFonts w:hint="eastAsia" w:cs="宋体"/>
          <w:color w:val="auto"/>
          <w:sz w:val="24"/>
          <w:szCs w:val="24"/>
          <w:lang w:val="en-US" w:eastAsia="zh-CN"/>
        </w:rPr>
        <w:t>二</w:t>
      </w:r>
      <w:r>
        <w:rPr>
          <w:rFonts w:hint="eastAsia" w:ascii="宋体" w:hAnsi="宋体" w:eastAsia="宋体" w:cs="宋体"/>
          <w:color w:val="auto"/>
          <w:sz w:val="24"/>
          <w:szCs w:val="24"/>
          <w:lang w:eastAsia="zh-CN"/>
        </w:rPr>
        <w:t>评标室。</w:t>
      </w:r>
    </w:p>
    <w:p w14:paraId="06E70FDA">
      <w:pPr>
        <w:spacing w:line="360" w:lineRule="auto"/>
        <w:ind w:firstLine="482" w:firstLineChars="200"/>
        <w:rPr>
          <w:b/>
          <w:bCs/>
          <w:sz w:val="24"/>
          <w:szCs w:val="24"/>
          <w:lang w:eastAsia="zh-CN"/>
        </w:rPr>
      </w:pPr>
      <w:r>
        <w:rPr>
          <w:b/>
          <w:bCs/>
          <w:sz w:val="24"/>
          <w:szCs w:val="24"/>
          <w:lang w:eastAsia="zh-CN"/>
        </w:rPr>
        <w:t>五、投标资料的提交</w:t>
      </w:r>
    </w:p>
    <w:p w14:paraId="4E94B412">
      <w:pPr>
        <w:spacing w:line="360" w:lineRule="auto"/>
        <w:ind w:firstLine="480" w:firstLineChars="200"/>
        <w:rPr>
          <w:sz w:val="24"/>
          <w:szCs w:val="24"/>
          <w:lang w:eastAsia="zh-CN"/>
        </w:rPr>
      </w:pPr>
      <w:r>
        <w:rPr>
          <w:sz w:val="24"/>
          <w:szCs w:val="24"/>
          <w:lang w:eastAsia="zh-CN"/>
        </w:rPr>
        <w:t>1、</w:t>
      </w:r>
      <w:r>
        <w:rPr>
          <w:rFonts w:hint="eastAsia"/>
          <w:sz w:val="24"/>
          <w:szCs w:val="24"/>
          <w:lang w:val="en-US" w:eastAsia="zh-CN"/>
        </w:rPr>
        <w:t>本项目实行资格后审，审查内容以磋商截止时间前在三门峡市公共资源交易系统上传的响应文件的信息为准。其上传资料真实性由响应人自行承担，同时，响应人需要完善主体库信息。否则，由此造成应得分而未得分或资格审查不合格等情况的，由响应人承担责任。</w:t>
      </w:r>
    </w:p>
    <w:p w14:paraId="3D522AFF">
      <w:pPr>
        <w:keepNext w:val="0"/>
        <w:keepLines w:val="0"/>
        <w:pageBreakBefore w:val="0"/>
        <w:widowControl w:val="0"/>
        <w:kinsoku/>
        <w:wordWrap w:val="0"/>
        <w:overflowPunct/>
        <w:topLinePunct w:val="0"/>
        <w:autoSpaceDE w:val="0"/>
        <w:autoSpaceDN w:val="0"/>
        <w:bidi w:val="0"/>
        <w:adjustRightInd/>
        <w:snapToGrid/>
        <w:spacing w:line="360" w:lineRule="auto"/>
        <w:ind w:firstLine="482" w:firstLineChars="200"/>
        <w:jc w:val="both"/>
        <w:textAlignment w:val="auto"/>
        <w:rPr>
          <w:rFonts w:hint="eastAsia"/>
          <w:b/>
          <w:bCs/>
          <w:sz w:val="24"/>
          <w:szCs w:val="24"/>
          <w:lang w:eastAsia="zh-CN"/>
        </w:rPr>
      </w:pPr>
      <w:r>
        <w:rPr>
          <w:rFonts w:hint="eastAsia"/>
          <w:b/>
          <w:bCs/>
          <w:sz w:val="24"/>
          <w:szCs w:val="24"/>
          <w:lang w:eastAsia="zh-CN"/>
        </w:rPr>
        <w:t>六、磋商保证金</w:t>
      </w:r>
    </w:p>
    <w:p w14:paraId="0E91AAB2">
      <w:pPr>
        <w:keepNext w:val="0"/>
        <w:keepLines w:val="0"/>
        <w:pageBreakBefore w:val="0"/>
        <w:widowControl w:val="0"/>
        <w:kinsoku/>
        <w:wordWrap w:val="0"/>
        <w:overflowPunct/>
        <w:topLinePunct w:val="0"/>
        <w:autoSpaceDE w:val="0"/>
        <w:autoSpaceDN w:val="0"/>
        <w:bidi w:val="0"/>
        <w:adjustRightInd/>
        <w:snapToGrid/>
        <w:spacing w:line="360" w:lineRule="auto"/>
        <w:ind w:firstLine="480" w:firstLineChars="200"/>
        <w:jc w:val="both"/>
        <w:textAlignment w:val="auto"/>
        <w:rPr>
          <w:rFonts w:hint="eastAsia"/>
          <w:sz w:val="24"/>
          <w:szCs w:val="24"/>
          <w:lang w:eastAsia="zh-CN"/>
        </w:rPr>
      </w:pPr>
      <w:r>
        <w:rPr>
          <w:rFonts w:hint="eastAsia"/>
          <w:sz w:val="24"/>
          <w:szCs w:val="24"/>
          <w:lang w:eastAsia="zh-CN"/>
        </w:rPr>
        <w:t>按照《河南省财政厅关于优化政府采购营商环境有关问题的通知》（豫财购[2019]4 号文）的要求本项目不再收取磋商保证金。</w:t>
      </w:r>
    </w:p>
    <w:p w14:paraId="3364C1C2">
      <w:pPr>
        <w:numPr>
          <w:ilvl w:val="0"/>
          <w:numId w:val="1"/>
        </w:numPr>
        <w:spacing w:line="360" w:lineRule="auto"/>
        <w:ind w:firstLine="482" w:firstLineChars="200"/>
        <w:rPr>
          <w:rFonts w:hint="eastAsia"/>
          <w:b/>
          <w:bCs/>
          <w:sz w:val="24"/>
          <w:szCs w:val="24"/>
          <w:lang w:val="en-US" w:eastAsia="zh-CN"/>
        </w:rPr>
      </w:pPr>
      <w:r>
        <w:rPr>
          <w:rFonts w:hint="eastAsia"/>
          <w:b/>
          <w:bCs/>
          <w:sz w:val="24"/>
          <w:szCs w:val="24"/>
          <w:lang w:val="en-US" w:eastAsia="zh-CN"/>
        </w:rPr>
        <w:t>其他事项</w:t>
      </w:r>
    </w:p>
    <w:p w14:paraId="15DE81ED">
      <w:pPr>
        <w:keepNext w:val="0"/>
        <w:keepLines w:val="0"/>
        <w:pageBreakBefore w:val="0"/>
        <w:widowControl w:val="0"/>
        <w:kinsoku/>
        <w:wordWrap w:val="0"/>
        <w:overflowPunct/>
        <w:topLinePunct w:val="0"/>
        <w:autoSpaceDE w:val="0"/>
        <w:autoSpaceDN w:val="0"/>
        <w:bidi w:val="0"/>
        <w:adjustRightInd/>
        <w:snapToGrid/>
        <w:spacing w:line="36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响应人应仔细阅读操作手册，在本公告中要求的截止时间前完成响应文件的上传工作，并充分考虑人为操作等因素，因响应人操作不当等问题造成的无法报名、无法下载磋商文件、无法投标等一切后果，由响应人自行承担；</w:t>
      </w:r>
    </w:p>
    <w:p w14:paraId="10B26693">
      <w:pPr>
        <w:keepNext w:val="0"/>
        <w:keepLines w:val="0"/>
        <w:pageBreakBefore w:val="0"/>
        <w:widowControl w:val="0"/>
        <w:kinsoku/>
        <w:wordWrap w:val="0"/>
        <w:overflowPunct/>
        <w:topLinePunct w:val="0"/>
        <w:autoSpaceDE w:val="0"/>
        <w:autoSpaceDN w:val="0"/>
        <w:bidi w:val="0"/>
        <w:adjustRightInd/>
        <w:snapToGrid/>
        <w:spacing w:line="36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2、投标所发生一切费用由各响应人自行承担，并承担相应的风险和责任；</w:t>
      </w:r>
    </w:p>
    <w:p w14:paraId="7DE83561">
      <w:pPr>
        <w:keepNext w:val="0"/>
        <w:keepLines w:val="0"/>
        <w:pageBreakBefore w:val="0"/>
        <w:widowControl w:val="0"/>
        <w:kinsoku/>
        <w:wordWrap w:val="0"/>
        <w:overflowPunct/>
        <w:topLinePunct w:val="0"/>
        <w:autoSpaceDE w:val="0"/>
        <w:autoSpaceDN w:val="0"/>
        <w:bidi w:val="0"/>
        <w:adjustRightInd/>
        <w:snapToGrid/>
        <w:spacing w:line="36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3、响应人递交的响应文件不论中标与否均不予退还；</w:t>
      </w:r>
    </w:p>
    <w:p w14:paraId="409EFC41">
      <w:pPr>
        <w:keepNext w:val="0"/>
        <w:keepLines w:val="0"/>
        <w:pageBreakBefore w:val="0"/>
        <w:widowControl w:val="0"/>
        <w:kinsoku/>
        <w:wordWrap w:val="0"/>
        <w:overflowPunct/>
        <w:topLinePunct w:val="0"/>
        <w:autoSpaceDE w:val="0"/>
        <w:autoSpaceDN w:val="0"/>
        <w:bidi w:val="0"/>
        <w:adjustRightInd/>
        <w:snapToGrid/>
        <w:spacing w:line="36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4、采购人不组织响应人踏勘现场。</w:t>
      </w:r>
    </w:p>
    <w:p w14:paraId="000EA650">
      <w:pPr>
        <w:keepNext w:val="0"/>
        <w:keepLines w:val="0"/>
        <w:pageBreakBefore w:val="0"/>
        <w:widowControl w:val="0"/>
        <w:kinsoku/>
        <w:wordWrap w:val="0"/>
        <w:overflowPunct/>
        <w:topLinePunct w:val="0"/>
        <w:autoSpaceDE w:val="0"/>
        <w:autoSpaceDN w:val="0"/>
        <w:bidi w:val="0"/>
        <w:adjustRightInd/>
        <w:snapToGrid/>
        <w:spacing w:line="36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温馨提示：本项目为电子化、无纸化交易项目，开标时不再接受任何纸质资料，为保证您能投标成功，请需仔细阅读磋商文件和三门峡市公共资源交易中心官网业务办理指南。</w:t>
      </w:r>
    </w:p>
    <w:p w14:paraId="19D2488B">
      <w:pPr>
        <w:spacing w:line="360" w:lineRule="auto"/>
        <w:ind w:firstLine="482" w:firstLineChars="200"/>
        <w:rPr>
          <w:b/>
          <w:bCs/>
          <w:sz w:val="24"/>
          <w:szCs w:val="24"/>
          <w:lang w:eastAsia="zh-CN"/>
        </w:rPr>
      </w:pPr>
      <w:r>
        <w:rPr>
          <w:rFonts w:hint="eastAsia"/>
          <w:b/>
          <w:bCs/>
          <w:sz w:val="24"/>
          <w:szCs w:val="24"/>
          <w:lang w:val="en-US" w:eastAsia="zh-CN"/>
        </w:rPr>
        <w:t>八、</w:t>
      </w:r>
      <w:r>
        <w:rPr>
          <w:b/>
          <w:bCs/>
          <w:sz w:val="24"/>
          <w:szCs w:val="24"/>
          <w:lang w:eastAsia="zh-CN"/>
        </w:rPr>
        <w:t>发布磋商公告的媒介</w:t>
      </w:r>
    </w:p>
    <w:p w14:paraId="5730337C">
      <w:pPr>
        <w:spacing w:line="360" w:lineRule="auto"/>
        <w:ind w:firstLine="480" w:firstLineChars="200"/>
        <w:rPr>
          <w:rFonts w:ascii="宋体" w:hAnsi="宋体" w:eastAsia="宋体" w:cs="宋体"/>
          <w:sz w:val="24"/>
          <w:szCs w:val="24"/>
          <w:lang w:eastAsia="zh-CN"/>
        </w:rPr>
      </w:pPr>
      <w:r>
        <w:rPr>
          <w:sz w:val="24"/>
          <w:szCs w:val="24"/>
          <w:lang w:eastAsia="zh-CN"/>
        </w:rPr>
        <w:t>本次</w:t>
      </w:r>
      <w:r>
        <w:rPr>
          <w:rFonts w:hint="eastAsia"/>
          <w:sz w:val="24"/>
          <w:szCs w:val="24"/>
          <w:lang w:val="en-US" w:eastAsia="zh-CN"/>
        </w:rPr>
        <w:t>竞争性磋商</w:t>
      </w:r>
      <w:r>
        <w:rPr>
          <w:sz w:val="24"/>
          <w:szCs w:val="24"/>
          <w:lang w:eastAsia="zh-CN"/>
        </w:rPr>
        <w:t>公</w:t>
      </w:r>
      <w:r>
        <w:rPr>
          <w:rFonts w:ascii="宋体" w:hAnsi="宋体" w:eastAsia="宋体" w:cs="宋体"/>
          <w:sz w:val="24"/>
          <w:szCs w:val="24"/>
          <w:lang w:eastAsia="zh-CN"/>
        </w:rPr>
        <w:t>告在</w:t>
      </w:r>
      <w:r>
        <w:rPr>
          <w:rFonts w:hint="eastAsia" w:cs="宋体"/>
          <w:sz w:val="24"/>
          <w:szCs w:val="24"/>
          <w:lang w:val="en-US" w:eastAsia="zh-CN"/>
        </w:rPr>
        <w:t>《中国招标投标公共服务平台》《三门峡市公共资源交易中心网》《河南省政府采购网》</w:t>
      </w:r>
      <w:r>
        <w:rPr>
          <w:rFonts w:ascii="宋体" w:hAnsi="宋体" w:eastAsia="宋体" w:cs="宋体"/>
          <w:sz w:val="24"/>
          <w:szCs w:val="24"/>
          <w:lang w:eastAsia="zh-CN"/>
        </w:rPr>
        <w:t>同时发布。</w:t>
      </w:r>
    </w:p>
    <w:p w14:paraId="7CE04167">
      <w:pPr>
        <w:spacing w:line="360" w:lineRule="auto"/>
        <w:ind w:firstLine="482" w:firstLineChars="200"/>
        <w:rPr>
          <w:rFonts w:ascii="宋体" w:hAnsi="宋体" w:eastAsia="宋体" w:cs="宋体"/>
          <w:b/>
          <w:bCs/>
          <w:sz w:val="24"/>
          <w:szCs w:val="24"/>
          <w:lang w:eastAsia="zh-CN"/>
        </w:rPr>
      </w:pPr>
      <w:r>
        <w:rPr>
          <w:rFonts w:hint="eastAsia" w:cs="宋体"/>
          <w:b/>
          <w:bCs/>
          <w:sz w:val="24"/>
          <w:szCs w:val="24"/>
          <w:lang w:val="en-US" w:eastAsia="zh-CN"/>
        </w:rPr>
        <w:t>九</w:t>
      </w:r>
      <w:r>
        <w:rPr>
          <w:rFonts w:ascii="宋体" w:hAnsi="宋体" w:eastAsia="宋体" w:cs="宋体"/>
          <w:b/>
          <w:bCs/>
          <w:sz w:val="24"/>
          <w:szCs w:val="24"/>
          <w:lang w:eastAsia="zh-CN"/>
        </w:rPr>
        <w:t>、联系方式</w:t>
      </w:r>
    </w:p>
    <w:p w14:paraId="3FF452DF">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监督单位：卢氏县政府采购办公室</w:t>
      </w:r>
    </w:p>
    <w:p w14:paraId="4ACF9A57">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eastAsia="zh-CN"/>
        </w:rPr>
        <w:t>联系人：郭</w:t>
      </w:r>
      <w:r>
        <w:rPr>
          <w:rFonts w:hint="eastAsia" w:cs="宋体"/>
          <w:sz w:val="24"/>
          <w:szCs w:val="24"/>
          <w:lang w:val="en-US" w:eastAsia="zh-CN"/>
        </w:rPr>
        <w:t>亚楠</w:t>
      </w:r>
    </w:p>
    <w:p w14:paraId="28F6BAE6">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联系方式：0398-7863556 </w:t>
      </w:r>
    </w:p>
    <w:p w14:paraId="793398B7">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地址：卢氏县城关镇解放路中段</w:t>
      </w:r>
    </w:p>
    <w:p w14:paraId="79B8EF03">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监督单位：卢氏县自然资源局 </w:t>
      </w:r>
    </w:p>
    <w:p w14:paraId="5443C6E9">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联系人：朱永恒</w:t>
      </w:r>
    </w:p>
    <w:p w14:paraId="21D9E9D1">
      <w:pPr>
        <w:spacing w:line="360" w:lineRule="auto"/>
        <w:ind w:firstLine="480" w:firstLineChars="200"/>
        <w:rPr>
          <w:rFonts w:hint="default" w:ascii="宋体" w:hAnsi="宋体" w:eastAsia="宋体" w:cs="宋体"/>
          <w:sz w:val="24"/>
          <w:szCs w:val="24"/>
          <w:lang w:eastAsia="zh-CN"/>
        </w:rPr>
      </w:pPr>
      <w:r>
        <w:rPr>
          <w:rFonts w:hint="eastAsia" w:ascii="宋体" w:hAnsi="宋体" w:eastAsia="宋体" w:cs="宋体"/>
          <w:sz w:val="24"/>
          <w:szCs w:val="24"/>
          <w:lang w:eastAsia="zh-CN"/>
        </w:rPr>
        <w:t>电话：13949797111、0398-7872641</w:t>
      </w:r>
    </w:p>
    <w:p w14:paraId="318A8328">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地址：卢氏县解放路五街坊9号</w:t>
      </w:r>
    </w:p>
    <w:p w14:paraId="4D3054D9">
      <w:pPr>
        <w:spacing w:line="360" w:lineRule="auto"/>
        <w:ind w:firstLine="480" w:firstLineChars="200"/>
        <w:rPr>
          <w:rFonts w:hint="default" w:ascii="宋体" w:hAnsi="宋体" w:eastAsia="宋体" w:cs="宋体"/>
          <w:sz w:val="24"/>
          <w:szCs w:val="24"/>
          <w:lang w:eastAsia="zh-CN"/>
        </w:rPr>
      </w:pPr>
      <w:r>
        <w:rPr>
          <w:rFonts w:hint="eastAsia" w:ascii="宋体" w:hAnsi="宋体" w:eastAsia="宋体" w:cs="宋体"/>
          <w:sz w:val="24"/>
          <w:szCs w:val="24"/>
          <w:lang w:eastAsia="zh-CN"/>
        </w:rPr>
        <w:t>采购人：卢氏县自然资源局</w:t>
      </w:r>
    </w:p>
    <w:p w14:paraId="2042A749">
      <w:pPr>
        <w:spacing w:line="360" w:lineRule="auto"/>
        <w:ind w:firstLine="480" w:firstLineChars="200"/>
        <w:rPr>
          <w:rFonts w:hint="default" w:ascii="宋体" w:hAnsi="宋体" w:eastAsia="宋体" w:cs="宋体"/>
          <w:sz w:val="24"/>
          <w:szCs w:val="24"/>
          <w:lang w:eastAsia="zh-CN"/>
        </w:rPr>
      </w:pPr>
      <w:r>
        <w:rPr>
          <w:rFonts w:hint="eastAsia" w:ascii="宋体" w:hAnsi="宋体" w:eastAsia="宋体" w:cs="宋体"/>
          <w:sz w:val="24"/>
          <w:szCs w:val="24"/>
          <w:lang w:eastAsia="zh-CN"/>
        </w:rPr>
        <w:t>联系人：郑润婷</w:t>
      </w:r>
    </w:p>
    <w:p w14:paraId="24F8F9DB">
      <w:pPr>
        <w:spacing w:line="360" w:lineRule="auto"/>
        <w:ind w:firstLine="480" w:firstLineChars="200"/>
        <w:rPr>
          <w:rFonts w:hint="default" w:ascii="宋体" w:hAnsi="宋体" w:eastAsia="宋体" w:cs="宋体"/>
          <w:sz w:val="24"/>
          <w:szCs w:val="24"/>
          <w:lang w:eastAsia="zh-CN"/>
        </w:rPr>
      </w:pPr>
      <w:r>
        <w:rPr>
          <w:rFonts w:hint="eastAsia" w:ascii="宋体" w:hAnsi="宋体" w:eastAsia="宋体" w:cs="宋体"/>
          <w:sz w:val="24"/>
          <w:szCs w:val="24"/>
          <w:lang w:eastAsia="zh-CN"/>
        </w:rPr>
        <w:t>电话：13663088388、0398-7872641</w:t>
      </w:r>
    </w:p>
    <w:p w14:paraId="5D28ACAE">
      <w:pPr>
        <w:spacing w:line="360" w:lineRule="auto"/>
        <w:ind w:firstLine="480" w:firstLineChars="200"/>
        <w:rPr>
          <w:rFonts w:hint="default" w:ascii="宋体" w:hAnsi="宋体" w:eastAsia="宋体" w:cs="宋体"/>
          <w:sz w:val="24"/>
          <w:szCs w:val="24"/>
          <w:lang w:eastAsia="zh-CN"/>
        </w:rPr>
      </w:pPr>
      <w:r>
        <w:rPr>
          <w:rFonts w:hint="eastAsia" w:ascii="宋体" w:hAnsi="宋体" w:eastAsia="宋体" w:cs="宋体"/>
          <w:sz w:val="24"/>
          <w:szCs w:val="24"/>
          <w:lang w:eastAsia="zh-CN"/>
        </w:rPr>
        <w:t>地址：卢氏县解放路五街坊9号</w:t>
      </w:r>
    </w:p>
    <w:p w14:paraId="593B2034">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代理机构：</w:t>
      </w:r>
      <w:r>
        <w:rPr>
          <w:rFonts w:hint="eastAsia" w:cs="宋体"/>
          <w:sz w:val="24"/>
          <w:szCs w:val="24"/>
          <w:lang w:val="en-US" w:eastAsia="zh-CN"/>
        </w:rPr>
        <w:t>中大天富（河南）工程管理咨询有限公司</w:t>
      </w:r>
      <w:r>
        <w:rPr>
          <w:rFonts w:hint="eastAsia" w:ascii="宋体" w:hAnsi="宋体" w:eastAsia="宋体" w:cs="宋体"/>
          <w:sz w:val="24"/>
          <w:szCs w:val="24"/>
          <w:lang w:val="en-US" w:eastAsia="zh-CN"/>
        </w:rPr>
        <w:t xml:space="preserve">  </w:t>
      </w:r>
    </w:p>
    <w:p w14:paraId="22A7866B">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联系人：</w:t>
      </w:r>
      <w:r>
        <w:rPr>
          <w:rFonts w:hint="eastAsia" w:cs="宋体"/>
          <w:sz w:val="24"/>
          <w:szCs w:val="24"/>
          <w:lang w:val="en-US" w:eastAsia="zh-CN"/>
        </w:rPr>
        <w:t>王俊梅</w:t>
      </w:r>
    </w:p>
    <w:p w14:paraId="47672A80">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电话：</w:t>
      </w:r>
      <w:r>
        <w:rPr>
          <w:rFonts w:hint="eastAsia" w:cs="宋体"/>
          <w:sz w:val="24"/>
          <w:szCs w:val="24"/>
          <w:lang w:val="en-US" w:eastAsia="zh-CN"/>
        </w:rPr>
        <w:t>0398-7878066、15503988368</w:t>
      </w:r>
    </w:p>
    <w:p w14:paraId="1CBC578C">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地址：</w:t>
      </w:r>
      <w:r>
        <w:rPr>
          <w:rFonts w:hint="eastAsia" w:cs="宋体"/>
          <w:sz w:val="24"/>
          <w:szCs w:val="24"/>
          <w:lang w:val="en-US" w:eastAsia="zh-CN"/>
        </w:rPr>
        <w:t>河南省三门峡市卢氏县东明镇桃花谷路新一高门面房2号</w:t>
      </w:r>
    </w:p>
    <w:p w14:paraId="272F9A1B">
      <w:pPr>
        <w:spacing w:line="360" w:lineRule="auto"/>
        <w:ind w:firstLine="480" w:firstLineChars="200"/>
        <w:rPr>
          <w:rFonts w:hint="eastAsia" w:ascii="宋体" w:hAnsi="宋体" w:eastAsia="宋体" w:cs="宋体"/>
          <w:sz w:val="24"/>
          <w:szCs w:val="24"/>
          <w:lang w:val="en-US" w:eastAsia="zh-CN"/>
        </w:rPr>
      </w:pPr>
    </w:p>
    <w:p w14:paraId="4FB24461">
      <w:pPr>
        <w:spacing w:line="360" w:lineRule="auto"/>
        <w:ind w:firstLine="560" w:firstLineChars="200"/>
        <w:rPr>
          <w:rFonts w:hint="eastAsia" w:ascii="宋体" w:hAnsi="宋体" w:eastAsia="宋体" w:cs="宋体"/>
          <w:sz w:val="28"/>
          <w:szCs w:val="28"/>
          <w:lang w:eastAsia="zh-CN"/>
        </w:rPr>
      </w:pPr>
    </w:p>
    <w:p w14:paraId="155E9589">
      <w:pPr>
        <w:spacing w:line="360" w:lineRule="auto"/>
        <w:ind w:firstLine="560" w:firstLineChars="200"/>
        <w:rPr>
          <w:rFonts w:hint="eastAsia" w:ascii="宋体" w:hAnsi="宋体" w:eastAsia="宋体" w:cs="宋体"/>
          <w:sz w:val="28"/>
          <w:szCs w:val="28"/>
          <w:lang w:eastAsia="zh-CN"/>
        </w:rPr>
        <w:sectPr>
          <w:footerReference r:id="rId5" w:type="default"/>
          <w:pgSz w:w="11910" w:h="16840"/>
          <w:pgMar w:top="1440" w:right="1080" w:bottom="1440" w:left="1080" w:header="0" w:footer="909" w:gutter="0"/>
          <w:pgNumType w:fmt="decimal"/>
          <w:cols w:space="720" w:num="1"/>
          <w:docGrid w:linePitch="299" w:charSpace="0"/>
        </w:sectPr>
      </w:pPr>
    </w:p>
    <w:p w14:paraId="025D66AC">
      <w:pPr>
        <w:pStyle w:val="2"/>
        <w:tabs>
          <w:tab w:val="left" w:pos="1447"/>
        </w:tabs>
        <w:ind w:left="0" w:right="2"/>
        <w:rPr>
          <w:lang w:eastAsia="zh-CN"/>
        </w:rPr>
      </w:pPr>
      <w:bookmarkStart w:id="5" w:name="第二章___供应商须知表"/>
      <w:bookmarkEnd w:id="5"/>
      <w:bookmarkStart w:id="6" w:name="_Toc25956"/>
      <w:r>
        <w:rPr>
          <w:lang w:eastAsia="zh-CN"/>
        </w:rPr>
        <w:t>第二章</w:t>
      </w:r>
      <w:r>
        <w:rPr>
          <w:lang w:eastAsia="zh-CN"/>
        </w:rPr>
        <w:tab/>
      </w:r>
      <w:r>
        <w:rPr>
          <w:lang w:eastAsia="zh-CN"/>
        </w:rPr>
        <w:t>供应商须知表</w:t>
      </w:r>
      <w:bookmarkEnd w:id="6"/>
    </w:p>
    <w:p w14:paraId="77A44F56">
      <w:pPr>
        <w:spacing w:before="227"/>
        <w:ind w:left="530" w:right="532"/>
        <w:jc w:val="center"/>
        <w:rPr>
          <w:b/>
          <w:sz w:val="30"/>
          <w:lang w:eastAsia="zh-CN"/>
        </w:rPr>
      </w:pPr>
      <w:r>
        <w:rPr>
          <w:b/>
          <w:sz w:val="30"/>
          <w:lang w:eastAsia="zh-CN"/>
        </w:rPr>
        <w:t>供应商须知前附表</w:t>
      </w:r>
    </w:p>
    <w:p w14:paraId="56AEAEBC">
      <w:pPr>
        <w:pStyle w:val="6"/>
        <w:spacing w:before="3"/>
        <w:ind w:left="0"/>
        <w:rPr>
          <w:b/>
          <w:sz w:val="9"/>
          <w:lang w:eastAsia="zh-CN"/>
        </w:rPr>
      </w:pPr>
    </w:p>
    <w:tbl>
      <w:tblPr>
        <w:tblStyle w:val="27"/>
        <w:tblW w:w="9952" w:type="dxa"/>
        <w:tblInd w:w="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2"/>
        <w:gridCol w:w="2448"/>
        <w:gridCol w:w="6792"/>
      </w:tblGrid>
      <w:tr w14:paraId="5328F6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2" w:hRule="atLeast"/>
        </w:trPr>
        <w:tc>
          <w:tcPr>
            <w:tcW w:w="712" w:type="dxa"/>
          </w:tcPr>
          <w:p w14:paraId="39AA1C4A">
            <w:pPr>
              <w:pStyle w:val="29"/>
              <w:spacing w:before="104"/>
              <w:ind w:left="139" w:right="131"/>
              <w:jc w:val="center"/>
              <w:rPr>
                <w:sz w:val="24"/>
              </w:rPr>
            </w:pPr>
            <w:r>
              <w:rPr>
                <w:sz w:val="24"/>
              </w:rPr>
              <w:t>序号</w:t>
            </w:r>
          </w:p>
        </w:tc>
        <w:tc>
          <w:tcPr>
            <w:tcW w:w="2448" w:type="dxa"/>
            <w:vAlign w:val="center"/>
          </w:tcPr>
          <w:p w14:paraId="398CF914">
            <w:pPr>
              <w:pStyle w:val="29"/>
              <w:spacing w:before="104"/>
              <w:ind w:left="137" w:right="127"/>
              <w:jc w:val="center"/>
              <w:rPr>
                <w:sz w:val="24"/>
              </w:rPr>
            </w:pPr>
            <w:r>
              <w:rPr>
                <w:sz w:val="24"/>
              </w:rPr>
              <w:t>条 款 名 称</w:t>
            </w:r>
          </w:p>
        </w:tc>
        <w:tc>
          <w:tcPr>
            <w:tcW w:w="6792" w:type="dxa"/>
            <w:vAlign w:val="center"/>
          </w:tcPr>
          <w:p w14:paraId="3E93BCFB">
            <w:pPr>
              <w:pStyle w:val="29"/>
              <w:spacing w:before="3"/>
              <w:ind w:left="106"/>
              <w:jc w:val="left"/>
              <w:rPr>
                <w:sz w:val="24"/>
              </w:rPr>
            </w:pPr>
            <w:bookmarkStart w:id="7" w:name="编_列_内_容"/>
            <w:bookmarkEnd w:id="7"/>
            <w:r>
              <w:rPr>
                <w:sz w:val="24"/>
              </w:rPr>
              <w:t>编 列 内 容</w:t>
            </w:r>
          </w:p>
        </w:tc>
      </w:tr>
      <w:tr w14:paraId="5BF7FA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9" w:hRule="atLeast"/>
        </w:trPr>
        <w:tc>
          <w:tcPr>
            <w:tcW w:w="712" w:type="dxa"/>
          </w:tcPr>
          <w:p w14:paraId="39FB417A">
            <w:pPr>
              <w:pStyle w:val="29"/>
              <w:rPr>
                <w:b/>
                <w:sz w:val="24"/>
              </w:rPr>
            </w:pPr>
          </w:p>
          <w:p w14:paraId="15878C43">
            <w:pPr>
              <w:pStyle w:val="29"/>
              <w:rPr>
                <w:b/>
                <w:sz w:val="24"/>
              </w:rPr>
            </w:pPr>
          </w:p>
          <w:p w14:paraId="37D0AB60">
            <w:pPr>
              <w:pStyle w:val="29"/>
              <w:rPr>
                <w:b/>
                <w:sz w:val="24"/>
              </w:rPr>
            </w:pPr>
          </w:p>
          <w:p w14:paraId="261D90CE">
            <w:pPr>
              <w:pStyle w:val="29"/>
              <w:rPr>
                <w:b/>
                <w:sz w:val="24"/>
              </w:rPr>
            </w:pPr>
          </w:p>
          <w:p w14:paraId="4692ABEE">
            <w:pPr>
              <w:pStyle w:val="29"/>
              <w:spacing w:before="11"/>
              <w:rPr>
                <w:b/>
                <w:sz w:val="31"/>
              </w:rPr>
            </w:pPr>
          </w:p>
          <w:p w14:paraId="7DD10ADB">
            <w:pPr>
              <w:pStyle w:val="29"/>
              <w:ind w:left="8"/>
              <w:jc w:val="center"/>
              <w:rPr>
                <w:sz w:val="24"/>
              </w:rPr>
            </w:pPr>
            <w:r>
              <w:rPr>
                <w:sz w:val="24"/>
              </w:rPr>
              <w:t>1</w:t>
            </w:r>
          </w:p>
          <w:p w14:paraId="444D1993">
            <w:pPr>
              <w:pStyle w:val="29"/>
              <w:rPr>
                <w:b/>
                <w:sz w:val="24"/>
                <w:lang w:eastAsia="zh-CN"/>
              </w:rPr>
            </w:pPr>
          </w:p>
          <w:p w14:paraId="17683026">
            <w:pPr>
              <w:pStyle w:val="29"/>
              <w:rPr>
                <w:b/>
                <w:sz w:val="24"/>
                <w:lang w:eastAsia="zh-CN"/>
              </w:rPr>
            </w:pPr>
          </w:p>
          <w:p w14:paraId="6E85E356">
            <w:pPr>
              <w:pStyle w:val="29"/>
              <w:rPr>
                <w:b/>
                <w:sz w:val="20"/>
                <w:lang w:eastAsia="zh-CN"/>
              </w:rPr>
            </w:pPr>
          </w:p>
          <w:p w14:paraId="160726A0">
            <w:pPr>
              <w:pStyle w:val="29"/>
              <w:ind w:left="8"/>
              <w:jc w:val="center"/>
              <w:rPr>
                <w:sz w:val="24"/>
              </w:rPr>
            </w:pPr>
          </w:p>
        </w:tc>
        <w:tc>
          <w:tcPr>
            <w:tcW w:w="2448" w:type="dxa"/>
          </w:tcPr>
          <w:p w14:paraId="0E9F960A">
            <w:pPr>
              <w:pStyle w:val="29"/>
              <w:jc w:val="both"/>
              <w:rPr>
                <w:b/>
                <w:sz w:val="24"/>
              </w:rPr>
            </w:pPr>
          </w:p>
          <w:p w14:paraId="7E7DDEBB">
            <w:pPr>
              <w:pStyle w:val="29"/>
              <w:jc w:val="both"/>
              <w:rPr>
                <w:b/>
                <w:sz w:val="24"/>
              </w:rPr>
            </w:pPr>
          </w:p>
          <w:p w14:paraId="29D92106">
            <w:pPr>
              <w:pStyle w:val="29"/>
              <w:jc w:val="both"/>
              <w:rPr>
                <w:b/>
                <w:sz w:val="24"/>
              </w:rPr>
            </w:pPr>
          </w:p>
          <w:p w14:paraId="6B2F3599">
            <w:pPr>
              <w:pStyle w:val="29"/>
              <w:jc w:val="both"/>
              <w:rPr>
                <w:b/>
                <w:sz w:val="24"/>
              </w:rPr>
            </w:pPr>
          </w:p>
          <w:p w14:paraId="220D8F79">
            <w:pPr>
              <w:pStyle w:val="29"/>
              <w:jc w:val="both"/>
              <w:rPr>
                <w:b/>
                <w:sz w:val="24"/>
              </w:rPr>
            </w:pPr>
          </w:p>
          <w:p w14:paraId="0FABA480">
            <w:pPr>
              <w:spacing w:line="360" w:lineRule="auto"/>
              <w:jc w:val="center"/>
              <w:rPr>
                <w:rFonts w:hint="eastAsia" w:ascii="宋体" w:hAnsi="宋体" w:eastAsia="宋体" w:cs="宋体"/>
                <w:sz w:val="24"/>
                <w:szCs w:val="24"/>
                <w:lang w:val="en-US" w:eastAsia="zh-CN"/>
              </w:rPr>
            </w:pPr>
            <w:bookmarkStart w:id="8" w:name="监督单位"/>
            <w:bookmarkEnd w:id="8"/>
            <w:r>
              <w:rPr>
                <w:rFonts w:hint="eastAsia" w:ascii="宋体" w:hAnsi="宋体" w:eastAsia="宋体" w:cs="宋体"/>
                <w:sz w:val="24"/>
                <w:szCs w:val="24"/>
                <w:lang w:val="en-US" w:eastAsia="zh-CN"/>
              </w:rPr>
              <w:t>监督单位及采购人</w:t>
            </w:r>
          </w:p>
          <w:p w14:paraId="5F891EB1">
            <w:pPr>
              <w:spacing w:line="360" w:lineRule="auto"/>
              <w:jc w:val="both"/>
              <w:rPr>
                <w:rFonts w:hint="eastAsia" w:ascii="宋体" w:hAnsi="宋体" w:eastAsia="宋体" w:cs="宋体"/>
                <w:sz w:val="24"/>
                <w:szCs w:val="24"/>
                <w:lang w:val="en-US" w:eastAsia="zh-CN"/>
              </w:rPr>
            </w:pPr>
          </w:p>
          <w:p w14:paraId="2740F6A6">
            <w:pPr>
              <w:pStyle w:val="29"/>
              <w:jc w:val="center"/>
              <w:rPr>
                <w:b/>
                <w:sz w:val="24"/>
              </w:rPr>
            </w:pPr>
          </w:p>
          <w:p w14:paraId="65F83FAB">
            <w:pPr>
              <w:pStyle w:val="29"/>
              <w:spacing w:before="156"/>
              <w:ind w:left="137" w:right="127"/>
              <w:jc w:val="both"/>
              <w:rPr>
                <w:sz w:val="24"/>
              </w:rPr>
            </w:pPr>
            <w:bookmarkStart w:id="9" w:name="采购人"/>
            <w:bookmarkEnd w:id="9"/>
          </w:p>
        </w:tc>
        <w:tc>
          <w:tcPr>
            <w:tcW w:w="6792" w:type="dxa"/>
            <w:vAlign w:val="center"/>
          </w:tcPr>
          <w:p w14:paraId="5471DDFC">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宋体" w:hAnsi="宋体" w:eastAsia="宋体" w:cs="宋体"/>
                <w:sz w:val="24"/>
                <w:szCs w:val="24"/>
                <w:lang w:val="en-US" w:eastAsia="zh-CN"/>
              </w:rPr>
            </w:pPr>
            <w:bookmarkStart w:id="10" w:name="监督单位：卢氏县自然资源局"/>
            <w:bookmarkEnd w:id="10"/>
            <w:bookmarkStart w:id="11" w:name="监督单位：卢氏县政府采购办公室"/>
            <w:bookmarkEnd w:id="11"/>
            <w:r>
              <w:rPr>
                <w:rFonts w:hint="eastAsia" w:ascii="宋体" w:hAnsi="宋体" w:eastAsia="宋体" w:cs="宋体"/>
                <w:sz w:val="24"/>
                <w:szCs w:val="24"/>
                <w:lang w:val="en-US" w:eastAsia="zh-CN"/>
              </w:rPr>
              <w:t>监督单位：卢氏县政府采购办公室</w:t>
            </w:r>
          </w:p>
          <w:p w14:paraId="512BA8E5">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联系人：郭亚楠</w:t>
            </w:r>
          </w:p>
          <w:p w14:paraId="4C90B33C">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联系方式：0398-7863556</w:t>
            </w:r>
          </w:p>
          <w:p w14:paraId="2FFC1C56">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地址：卢氏县城关镇解放路中段</w:t>
            </w:r>
          </w:p>
          <w:p w14:paraId="40F7BAD6">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监督单位：卢氏县自然资源局</w:t>
            </w:r>
          </w:p>
          <w:p w14:paraId="6852728F">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联系人：朱永恒</w:t>
            </w:r>
          </w:p>
          <w:p w14:paraId="30F2B0B5">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电话：13949797111、0398-7872641</w:t>
            </w:r>
          </w:p>
          <w:p w14:paraId="703D072D">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地址：卢氏县解放路五街坊9号</w:t>
            </w:r>
          </w:p>
          <w:p w14:paraId="4DD9E1FE">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采购人：卢氏县自然资源局</w:t>
            </w:r>
          </w:p>
          <w:p w14:paraId="683D01DB">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联系人：郑润婷</w:t>
            </w:r>
          </w:p>
          <w:p w14:paraId="3FBD4AAD">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电话：13663088388、0398-7872641</w:t>
            </w:r>
          </w:p>
          <w:p w14:paraId="316DB12C">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地址：卢氏县解放路五街坊9号</w:t>
            </w:r>
          </w:p>
        </w:tc>
      </w:tr>
      <w:tr w14:paraId="54D7E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712" w:type="dxa"/>
          </w:tcPr>
          <w:p w14:paraId="3493CC3B">
            <w:pPr>
              <w:pStyle w:val="29"/>
              <w:rPr>
                <w:b/>
                <w:sz w:val="24"/>
                <w:lang w:eastAsia="zh-CN"/>
              </w:rPr>
            </w:pPr>
          </w:p>
          <w:p w14:paraId="025F7CF1">
            <w:pPr>
              <w:pStyle w:val="29"/>
              <w:rPr>
                <w:b/>
                <w:sz w:val="24"/>
                <w:lang w:eastAsia="zh-CN"/>
              </w:rPr>
            </w:pPr>
          </w:p>
          <w:p w14:paraId="24597257">
            <w:pPr>
              <w:pStyle w:val="29"/>
              <w:spacing w:before="167"/>
              <w:ind w:left="8"/>
              <w:jc w:val="center"/>
              <w:rPr>
                <w:sz w:val="24"/>
              </w:rPr>
            </w:pPr>
            <w:r>
              <w:rPr>
                <w:sz w:val="24"/>
              </w:rPr>
              <w:t>2</w:t>
            </w:r>
          </w:p>
        </w:tc>
        <w:tc>
          <w:tcPr>
            <w:tcW w:w="2448" w:type="dxa"/>
          </w:tcPr>
          <w:p w14:paraId="2EA8F593">
            <w:pPr>
              <w:pStyle w:val="29"/>
              <w:jc w:val="both"/>
              <w:rPr>
                <w:b/>
                <w:sz w:val="24"/>
              </w:rPr>
            </w:pPr>
          </w:p>
          <w:p w14:paraId="559EC866">
            <w:pPr>
              <w:pStyle w:val="29"/>
              <w:jc w:val="both"/>
              <w:rPr>
                <w:b/>
                <w:sz w:val="24"/>
              </w:rPr>
            </w:pPr>
          </w:p>
          <w:p w14:paraId="39E66F14">
            <w:pPr>
              <w:pStyle w:val="29"/>
              <w:spacing w:before="167"/>
              <w:ind w:left="137" w:right="127"/>
              <w:jc w:val="center"/>
              <w:rPr>
                <w:sz w:val="24"/>
              </w:rPr>
            </w:pPr>
            <w:r>
              <w:rPr>
                <w:sz w:val="24"/>
              </w:rPr>
              <w:t>代理机构</w:t>
            </w:r>
          </w:p>
        </w:tc>
        <w:tc>
          <w:tcPr>
            <w:tcW w:w="6792" w:type="dxa"/>
            <w:vAlign w:val="center"/>
          </w:tcPr>
          <w:p w14:paraId="6B18405D">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代理机构：</w:t>
            </w:r>
            <w:r>
              <w:rPr>
                <w:rFonts w:hint="eastAsia" w:cs="宋体"/>
                <w:sz w:val="24"/>
                <w:szCs w:val="24"/>
                <w:lang w:val="en-US" w:eastAsia="zh-CN"/>
              </w:rPr>
              <w:t>中大天富（河南）工程管理咨询有限公司</w:t>
            </w:r>
          </w:p>
          <w:p w14:paraId="554BD426">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联系人：</w:t>
            </w:r>
            <w:r>
              <w:rPr>
                <w:rFonts w:hint="eastAsia" w:cs="宋体"/>
                <w:sz w:val="24"/>
                <w:szCs w:val="24"/>
                <w:lang w:val="en-US" w:eastAsia="zh-CN"/>
              </w:rPr>
              <w:t>王俊梅</w:t>
            </w:r>
          </w:p>
          <w:p w14:paraId="1A235508">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电话：</w:t>
            </w:r>
            <w:r>
              <w:rPr>
                <w:rFonts w:hint="eastAsia" w:cs="宋体"/>
                <w:sz w:val="24"/>
                <w:szCs w:val="24"/>
                <w:lang w:val="en-US" w:eastAsia="zh-CN"/>
              </w:rPr>
              <w:t>0398-7878066、15503988368</w:t>
            </w:r>
          </w:p>
          <w:p w14:paraId="69FD5440">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地址：</w:t>
            </w:r>
            <w:r>
              <w:rPr>
                <w:rFonts w:hint="eastAsia" w:cs="宋体"/>
                <w:sz w:val="24"/>
                <w:szCs w:val="24"/>
                <w:lang w:val="en-US" w:eastAsia="zh-CN"/>
              </w:rPr>
              <w:t>河南省三门峡市卢氏县东明镇桃花谷路新一高门面房2号</w:t>
            </w:r>
          </w:p>
        </w:tc>
      </w:tr>
      <w:tr w14:paraId="46F989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712" w:type="dxa"/>
          </w:tcPr>
          <w:p w14:paraId="4B153559">
            <w:pPr>
              <w:pStyle w:val="29"/>
              <w:spacing w:before="167"/>
              <w:ind w:left="8"/>
              <w:jc w:val="center"/>
              <w:rPr>
                <w:sz w:val="24"/>
              </w:rPr>
            </w:pPr>
            <w:r>
              <w:rPr>
                <w:sz w:val="24"/>
              </w:rPr>
              <w:t>3</w:t>
            </w:r>
          </w:p>
        </w:tc>
        <w:tc>
          <w:tcPr>
            <w:tcW w:w="2448" w:type="dxa"/>
            <w:vAlign w:val="center"/>
          </w:tcPr>
          <w:p w14:paraId="4516C29A">
            <w:pPr>
              <w:spacing w:line="240" w:lineRule="auto"/>
              <w:ind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招标方式</w:t>
            </w:r>
          </w:p>
        </w:tc>
        <w:tc>
          <w:tcPr>
            <w:tcW w:w="6792" w:type="dxa"/>
            <w:vAlign w:val="center"/>
          </w:tcPr>
          <w:p w14:paraId="5B794D72">
            <w:pPr>
              <w:spacing w:line="24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竞争性磋商</w:t>
            </w:r>
          </w:p>
        </w:tc>
      </w:tr>
      <w:tr w14:paraId="05AE35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712" w:type="dxa"/>
          </w:tcPr>
          <w:p w14:paraId="07A12439">
            <w:pPr>
              <w:pStyle w:val="29"/>
              <w:rPr>
                <w:b/>
                <w:sz w:val="24"/>
              </w:rPr>
            </w:pPr>
          </w:p>
          <w:p w14:paraId="5B29DF9A">
            <w:pPr>
              <w:pStyle w:val="29"/>
              <w:spacing w:before="11"/>
              <w:rPr>
                <w:b/>
                <w:sz w:val="18"/>
              </w:rPr>
            </w:pPr>
          </w:p>
          <w:p w14:paraId="5F06DF61">
            <w:pPr>
              <w:pStyle w:val="29"/>
              <w:ind w:left="8"/>
              <w:jc w:val="center"/>
              <w:rPr>
                <w:sz w:val="24"/>
              </w:rPr>
            </w:pPr>
            <w:r>
              <w:rPr>
                <w:sz w:val="24"/>
              </w:rPr>
              <w:t>4</w:t>
            </w:r>
          </w:p>
        </w:tc>
        <w:tc>
          <w:tcPr>
            <w:tcW w:w="2448" w:type="dxa"/>
          </w:tcPr>
          <w:p w14:paraId="4378ED2E">
            <w:pPr>
              <w:spacing w:line="360" w:lineRule="auto"/>
              <w:ind w:firstLine="480" w:firstLineChars="200"/>
              <w:jc w:val="both"/>
              <w:rPr>
                <w:rFonts w:hint="eastAsia" w:ascii="宋体" w:hAnsi="宋体" w:eastAsia="宋体" w:cs="宋体"/>
                <w:sz w:val="24"/>
                <w:szCs w:val="24"/>
                <w:lang w:val="en-US" w:eastAsia="zh-CN"/>
              </w:rPr>
            </w:pPr>
          </w:p>
          <w:p w14:paraId="3CC2BA13">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项目名称及采购编号</w:t>
            </w:r>
          </w:p>
        </w:tc>
        <w:tc>
          <w:tcPr>
            <w:tcW w:w="6792" w:type="dxa"/>
            <w:vAlign w:val="center"/>
          </w:tcPr>
          <w:p w14:paraId="7C76FCEE">
            <w:pPr>
              <w:keepNext w:val="0"/>
              <w:keepLines w:val="0"/>
              <w:pageBreakBefore w:val="0"/>
              <w:widowControl w:val="0"/>
              <w:kinsoku/>
              <w:wordWrap/>
              <w:overflowPunct/>
              <w:topLinePunct w:val="0"/>
              <w:autoSpaceDE w:val="0"/>
              <w:autoSpaceDN w:val="0"/>
              <w:bidi w:val="0"/>
              <w:adjustRightInd/>
              <w:snapToGrid/>
              <w:spacing w:line="288"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项目名称：</w:t>
            </w:r>
            <w:r>
              <w:rPr>
                <w:rFonts w:hint="eastAsia" w:cs="宋体"/>
                <w:sz w:val="24"/>
                <w:szCs w:val="24"/>
                <w:lang w:val="en-US" w:eastAsia="zh-CN"/>
              </w:rPr>
              <w:t>卢氏县2026年度一体化调查监测工作项目</w:t>
            </w:r>
            <w:r>
              <w:rPr>
                <w:rFonts w:hint="eastAsia" w:ascii="宋体" w:hAnsi="宋体" w:eastAsia="宋体" w:cs="宋体"/>
                <w:sz w:val="24"/>
                <w:szCs w:val="24"/>
                <w:lang w:val="en-US" w:eastAsia="zh-CN"/>
              </w:rPr>
              <w:t>项目</w:t>
            </w:r>
          </w:p>
          <w:p w14:paraId="3EB0D813">
            <w:pPr>
              <w:keepNext w:val="0"/>
              <w:keepLines w:val="0"/>
              <w:pageBreakBefore w:val="0"/>
              <w:widowControl w:val="0"/>
              <w:kinsoku/>
              <w:wordWrap/>
              <w:overflowPunct/>
              <w:topLinePunct w:val="0"/>
              <w:autoSpaceDE w:val="0"/>
              <w:autoSpaceDN w:val="0"/>
              <w:bidi w:val="0"/>
              <w:adjustRightInd/>
              <w:snapToGrid/>
              <w:spacing w:line="288"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编号：</w:t>
            </w:r>
            <w:r>
              <w:rPr>
                <w:rFonts w:hint="eastAsia" w:cs="宋体"/>
                <w:color w:val="auto"/>
                <w:sz w:val="24"/>
                <w:szCs w:val="24"/>
                <w:lang w:val="en-US" w:eastAsia="zh-CN"/>
              </w:rPr>
              <w:t>三卢竞磋采购-2026-112、LSGZ[2026]259-ZC203</w:t>
            </w:r>
          </w:p>
        </w:tc>
      </w:tr>
      <w:tr w14:paraId="31F78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12" w:type="dxa"/>
          </w:tcPr>
          <w:p w14:paraId="3F878E51">
            <w:pPr>
              <w:pStyle w:val="29"/>
              <w:jc w:val="center"/>
              <w:rPr>
                <w:rFonts w:ascii="宋体" w:hAnsi="宋体" w:eastAsia="宋体" w:cs="宋体"/>
                <w:b w:val="0"/>
                <w:bCs/>
                <w:sz w:val="24"/>
              </w:rPr>
            </w:pPr>
          </w:p>
          <w:p w14:paraId="550E7861">
            <w:pPr>
              <w:pStyle w:val="29"/>
              <w:jc w:val="center"/>
              <w:rPr>
                <w:rFonts w:ascii="宋体" w:hAnsi="宋体" w:eastAsia="宋体" w:cs="宋体"/>
                <w:b w:val="0"/>
                <w:bCs/>
                <w:sz w:val="24"/>
              </w:rPr>
            </w:pPr>
            <w:r>
              <w:rPr>
                <w:rFonts w:ascii="宋体" w:hAnsi="宋体" w:eastAsia="宋体" w:cs="宋体"/>
                <w:b w:val="0"/>
                <w:bCs/>
                <w:sz w:val="24"/>
              </w:rPr>
              <w:t>5</w:t>
            </w:r>
          </w:p>
        </w:tc>
        <w:tc>
          <w:tcPr>
            <w:tcW w:w="2448" w:type="dxa"/>
          </w:tcPr>
          <w:p w14:paraId="5FDDCE6D">
            <w:pPr>
              <w:pStyle w:val="29"/>
              <w:jc w:val="both"/>
              <w:rPr>
                <w:rFonts w:hint="eastAsia" w:ascii="宋体" w:hAnsi="宋体" w:eastAsia="宋体" w:cs="宋体"/>
                <w:b w:val="0"/>
                <w:bCs/>
                <w:sz w:val="24"/>
                <w:lang w:val="en-US" w:eastAsia="zh-CN"/>
              </w:rPr>
            </w:pPr>
          </w:p>
          <w:p w14:paraId="2352774C">
            <w:pPr>
              <w:pStyle w:val="29"/>
              <w:jc w:val="center"/>
              <w:rPr>
                <w:rFonts w:hint="default" w:ascii="宋体" w:hAnsi="宋体" w:eastAsia="宋体" w:cs="宋体"/>
                <w:b w:val="0"/>
                <w:bCs/>
                <w:sz w:val="24"/>
                <w:lang w:val="en-US" w:eastAsia="zh-CN"/>
              </w:rPr>
            </w:pPr>
            <w:r>
              <w:rPr>
                <w:rFonts w:hint="eastAsia" w:ascii="宋体" w:hAnsi="宋体" w:eastAsia="宋体" w:cs="宋体"/>
                <w:b w:val="0"/>
                <w:bCs/>
                <w:sz w:val="24"/>
                <w:lang w:val="en-US" w:eastAsia="zh-CN"/>
              </w:rPr>
              <w:t>服务内容</w:t>
            </w:r>
          </w:p>
        </w:tc>
        <w:tc>
          <w:tcPr>
            <w:tcW w:w="6792" w:type="dxa"/>
            <w:vAlign w:val="center"/>
          </w:tcPr>
          <w:p w14:paraId="1C6108DE">
            <w:pPr>
              <w:keepNext w:val="0"/>
              <w:keepLines w:val="0"/>
              <w:pageBreakBefore w:val="0"/>
              <w:widowControl w:val="0"/>
              <w:kinsoku/>
              <w:wordWrap/>
              <w:overflowPunct/>
              <w:topLinePunct w:val="0"/>
              <w:autoSpaceDE w:val="0"/>
              <w:autoSpaceDN w:val="0"/>
              <w:bidi w:val="0"/>
              <w:adjustRightInd/>
              <w:snapToGrid/>
              <w:spacing w:line="288"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主要服务内容是对卢氏县域内自然资源监测、国土变更调查、森林草原湿地荒漠调查监测、成果数据集成应用与分析评价等</w:t>
            </w:r>
          </w:p>
        </w:tc>
      </w:tr>
      <w:tr w14:paraId="18450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712" w:type="dxa"/>
            <w:shd w:val="clear" w:color="auto" w:fill="auto"/>
            <w:vAlign w:val="top"/>
          </w:tcPr>
          <w:p w14:paraId="001B2639">
            <w:pPr>
              <w:pStyle w:val="29"/>
              <w:spacing w:before="7" w:line="360" w:lineRule="auto"/>
              <w:jc w:val="center"/>
              <w:rPr>
                <w:rFonts w:hint="eastAsia" w:ascii="宋体" w:hAnsi="宋体" w:eastAsia="宋体" w:cs="宋体"/>
                <w:spacing w:val="-15"/>
                <w:sz w:val="28"/>
                <w:szCs w:val="28"/>
                <w:lang w:val="en-US" w:eastAsia="en-US"/>
              </w:rPr>
            </w:pPr>
            <w:r>
              <w:rPr>
                <w:rFonts w:hint="eastAsia" w:ascii="宋体" w:hAnsi="宋体" w:eastAsia="宋体" w:cs="宋体"/>
                <w:spacing w:val="-15"/>
                <w:sz w:val="28"/>
                <w:szCs w:val="28"/>
                <w:lang w:eastAsia="zh-CN"/>
              </w:rPr>
              <w:t>6</w:t>
            </w:r>
          </w:p>
        </w:tc>
        <w:tc>
          <w:tcPr>
            <w:tcW w:w="2448" w:type="dxa"/>
            <w:shd w:val="clear" w:color="auto" w:fill="auto"/>
            <w:vAlign w:val="center"/>
          </w:tcPr>
          <w:p w14:paraId="2124D6B4">
            <w:pPr>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资金来源</w:t>
            </w:r>
          </w:p>
        </w:tc>
        <w:tc>
          <w:tcPr>
            <w:tcW w:w="6792" w:type="dxa"/>
            <w:shd w:val="clear" w:color="auto" w:fill="auto"/>
            <w:vAlign w:val="center"/>
          </w:tcPr>
          <w:p w14:paraId="52DF7931">
            <w:pPr>
              <w:spacing w:line="24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财政资金</w:t>
            </w:r>
          </w:p>
        </w:tc>
      </w:tr>
      <w:tr w14:paraId="22FB83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712" w:type="dxa"/>
            <w:shd w:val="clear" w:color="auto" w:fill="auto"/>
            <w:vAlign w:val="top"/>
          </w:tcPr>
          <w:p w14:paraId="189A21D7">
            <w:pPr>
              <w:pStyle w:val="29"/>
              <w:spacing w:before="7" w:line="360" w:lineRule="auto"/>
              <w:jc w:val="center"/>
              <w:rPr>
                <w:rFonts w:hint="eastAsia" w:ascii="宋体" w:hAnsi="宋体" w:eastAsia="宋体" w:cs="宋体"/>
                <w:spacing w:val="-15"/>
                <w:sz w:val="28"/>
                <w:szCs w:val="28"/>
                <w:lang w:val="en-US" w:eastAsia="en-US"/>
              </w:rPr>
            </w:pPr>
            <w:r>
              <w:rPr>
                <w:rFonts w:hint="eastAsia" w:ascii="宋体" w:hAnsi="宋体" w:eastAsia="宋体" w:cs="宋体"/>
                <w:spacing w:val="-15"/>
                <w:sz w:val="28"/>
                <w:szCs w:val="28"/>
                <w:lang w:eastAsia="zh-CN"/>
              </w:rPr>
              <w:t>7</w:t>
            </w:r>
          </w:p>
        </w:tc>
        <w:tc>
          <w:tcPr>
            <w:tcW w:w="2448" w:type="dxa"/>
            <w:shd w:val="clear" w:color="auto" w:fill="auto"/>
            <w:vAlign w:val="center"/>
          </w:tcPr>
          <w:p w14:paraId="7D8F1903">
            <w:pPr>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预算金额</w:t>
            </w:r>
          </w:p>
        </w:tc>
        <w:tc>
          <w:tcPr>
            <w:tcW w:w="6792" w:type="dxa"/>
            <w:shd w:val="clear" w:color="auto" w:fill="auto"/>
            <w:vAlign w:val="center"/>
          </w:tcPr>
          <w:p w14:paraId="20368F98">
            <w:pPr>
              <w:spacing w:line="24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cs="宋体"/>
                <w:sz w:val="24"/>
                <w:szCs w:val="24"/>
                <w:lang w:val="en-US" w:eastAsia="zh-CN"/>
              </w:rPr>
              <w:t>929000</w:t>
            </w:r>
            <w:r>
              <w:rPr>
                <w:rFonts w:hint="eastAsia" w:ascii="宋体" w:hAnsi="宋体" w:eastAsia="宋体" w:cs="宋体"/>
                <w:sz w:val="24"/>
                <w:szCs w:val="24"/>
                <w:lang w:val="en-US" w:eastAsia="zh-CN"/>
              </w:rPr>
              <w:t>.00元</w:t>
            </w:r>
          </w:p>
        </w:tc>
      </w:tr>
      <w:tr w14:paraId="67503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712" w:type="dxa"/>
            <w:shd w:val="clear" w:color="auto" w:fill="auto"/>
            <w:vAlign w:val="top"/>
          </w:tcPr>
          <w:p w14:paraId="4E84B37B">
            <w:pPr>
              <w:pStyle w:val="29"/>
              <w:spacing w:before="7" w:line="360" w:lineRule="auto"/>
              <w:jc w:val="center"/>
              <w:rPr>
                <w:rFonts w:hint="eastAsia" w:ascii="宋体" w:hAnsi="宋体" w:eastAsia="宋体" w:cs="宋体"/>
                <w:spacing w:val="-15"/>
                <w:sz w:val="28"/>
                <w:szCs w:val="28"/>
                <w:lang w:val="en-US" w:eastAsia="en-US"/>
              </w:rPr>
            </w:pPr>
            <w:r>
              <w:rPr>
                <w:rFonts w:hint="eastAsia" w:cs="宋体"/>
                <w:spacing w:val="-15"/>
                <w:sz w:val="28"/>
                <w:szCs w:val="28"/>
                <w:lang w:val="en-US" w:eastAsia="zh-CN"/>
              </w:rPr>
              <w:t>8</w:t>
            </w:r>
          </w:p>
        </w:tc>
        <w:tc>
          <w:tcPr>
            <w:tcW w:w="2448" w:type="dxa"/>
            <w:shd w:val="clear" w:color="auto" w:fill="auto"/>
            <w:vAlign w:val="center"/>
          </w:tcPr>
          <w:p w14:paraId="5C6EF764">
            <w:pPr>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资金落实情况</w:t>
            </w:r>
          </w:p>
        </w:tc>
        <w:tc>
          <w:tcPr>
            <w:tcW w:w="6792" w:type="dxa"/>
            <w:shd w:val="clear" w:color="auto" w:fill="auto"/>
            <w:vAlign w:val="center"/>
          </w:tcPr>
          <w:p w14:paraId="3004E860">
            <w:pPr>
              <w:spacing w:line="24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已落实</w:t>
            </w:r>
          </w:p>
        </w:tc>
      </w:tr>
      <w:tr w14:paraId="4E133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trPr>
        <w:tc>
          <w:tcPr>
            <w:tcW w:w="712" w:type="dxa"/>
            <w:shd w:val="clear" w:color="auto" w:fill="auto"/>
            <w:vAlign w:val="top"/>
          </w:tcPr>
          <w:p w14:paraId="43950FE3">
            <w:pPr>
              <w:pStyle w:val="29"/>
              <w:spacing w:before="7" w:line="360" w:lineRule="auto"/>
              <w:jc w:val="center"/>
              <w:rPr>
                <w:rFonts w:hint="eastAsia" w:ascii="宋体" w:hAnsi="宋体" w:eastAsia="宋体" w:cs="宋体"/>
                <w:spacing w:val="-15"/>
                <w:sz w:val="28"/>
                <w:szCs w:val="28"/>
                <w:lang w:val="en-US" w:eastAsia="en-US"/>
              </w:rPr>
            </w:pPr>
            <w:r>
              <w:rPr>
                <w:rFonts w:hint="eastAsia" w:cs="宋体"/>
                <w:spacing w:val="-15"/>
                <w:sz w:val="28"/>
                <w:szCs w:val="28"/>
                <w:lang w:val="en-US" w:eastAsia="zh-CN"/>
              </w:rPr>
              <w:t>9</w:t>
            </w:r>
          </w:p>
        </w:tc>
        <w:tc>
          <w:tcPr>
            <w:tcW w:w="2448" w:type="dxa"/>
            <w:shd w:val="clear" w:color="auto" w:fill="auto"/>
            <w:vAlign w:val="center"/>
          </w:tcPr>
          <w:p w14:paraId="155890AC">
            <w:pPr>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磋商范围</w:t>
            </w:r>
          </w:p>
        </w:tc>
        <w:tc>
          <w:tcPr>
            <w:tcW w:w="6792" w:type="dxa"/>
            <w:shd w:val="clear" w:color="auto" w:fill="auto"/>
            <w:vAlign w:val="center"/>
          </w:tcPr>
          <w:p w14:paraId="146E8BB8">
            <w:pPr>
              <w:spacing w:line="24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磋商文件及答疑、澄清文件的所有内容</w:t>
            </w:r>
          </w:p>
        </w:tc>
      </w:tr>
      <w:tr w14:paraId="1C2C72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712" w:type="dxa"/>
            <w:shd w:val="clear" w:color="auto" w:fill="auto"/>
            <w:vAlign w:val="top"/>
          </w:tcPr>
          <w:p w14:paraId="3AAF051B">
            <w:pPr>
              <w:pStyle w:val="29"/>
              <w:spacing w:before="7" w:line="360" w:lineRule="auto"/>
              <w:jc w:val="center"/>
              <w:rPr>
                <w:rFonts w:hint="default" w:ascii="宋体" w:hAnsi="宋体" w:eastAsia="宋体" w:cs="宋体"/>
                <w:spacing w:val="-15"/>
                <w:sz w:val="28"/>
                <w:szCs w:val="28"/>
                <w:lang w:val="en-US" w:eastAsia="zh-CN"/>
              </w:rPr>
            </w:pPr>
            <w:r>
              <w:rPr>
                <w:rFonts w:hint="eastAsia" w:ascii="宋体" w:hAnsi="宋体" w:eastAsia="宋体" w:cs="宋体"/>
                <w:spacing w:val="-15"/>
                <w:sz w:val="28"/>
                <w:szCs w:val="28"/>
                <w:lang w:eastAsia="zh-CN"/>
              </w:rPr>
              <w:t>1</w:t>
            </w:r>
            <w:r>
              <w:rPr>
                <w:rFonts w:hint="eastAsia" w:cs="宋体"/>
                <w:spacing w:val="-15"/>
                <w:sz w:val="28"/>
                <w:szCs w:val="28"/>
                <w:lang w:val="en-US" w:eastAsia="zh-CN"/>
              </w:rPr>
              <w:t>0</w:t>
            </w:r>
          </w:p>
        </w:tc>
        <w:tc>
          <w:tcPr>
            <w:tcW w:w="2448" w:type="dxa"/>
            <w:shd w:val="clear" w:color="auto" w:fill="auto"/>
            <w:vAlign w:val="center"/>
          </w:tcPr>
          <w:p w14:paraId="211B83CF">
            <w:pPr>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服务周期</w:t>
            </w:r>
          </w:p>
        </w:tc>
        <w:tc>
          <w:tcPr>
            <w:tcW w:w="6792" w:type="dxa"/>
            <w:shd w:val="clear" w:color="auto" w:fill="auto"/>
            <w:vAlign w:val="center"/>
          </w:tcPr>
          <w:p w14:paraId="6C3D4614">
            <w:pPr>
              <w:spacing w:line="24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合同签订后90日历天内完成</w:t>
            </w:r>
          </w:p>
        </w:tc>
      </w:tr>
      <w:tr w14:paraId="16045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712" w:type="dxa"/>
            <w:shd w:val="clear" w:color="auto" w:fill="auto"/>
            <w:vAlign w:val="top"/>
          </w:tcPr>
          <w:p w14:paraId="0D76809E">
            <w:pPr>
              <w:pStyle w:val="29"/>
              <w:spacing w:before="7" w:line="360" w:lineRule="auto"/>
              <w:jc w:val="center"/>
              <w:rPr>
                <w:rFonts w:hint="eastAsia" w:ascii="宋体" w:hAnsi="宋体" w:eastAsia="宋体" w:cs="宋体"/>
                <w:spacing w:val="-15"/>
                <w:sz w:val="28"/>
                <w:szCs w:val="28"/>
                <w:lang w:val="en-US" w:eastAsia="zh-CN"/>
              </w:rPr>
            </w:pPr>
            <w:r>
              <w:rPr>
                <w:rFonts w:hint="eastAsia" w:ascii="宋体" w:hAnsi="宋体" w:eastAsia="宋体" w:cs="宋体"/>
                <w:spacing w:val="-15"/>
                <w:sz w:val="28"/>
                <w:szCs w:val="28"/>
                <w:lang w:eastAsia="zh-CN"/>
              </w:rPr>
              <w:t>1</w:t>
            </w:r>
            <w:r>
              <w:rPr>
                <w:rFonts w:hint="eastAsia" w:cs="宋体"/>
                <w:spacing w:val="-15"/>
                <w:sz w:val="28"/>
                <w:szCs w:val="28"/>
                <w:lang w:val="en-US" w:eastAsia="zh-CN"/>
              </w:rPr>
              <w:t>1</w:t>
            </w:r>
          </w:p>
        </w:tc>
        <w:tc>
          <w:tcPr>
            <w:tcW w:w="2448" w:type="dxa"/>
            <w:shd w:val="clear" w:color="auto" w:fill="auto"/>
            <w:vAlign w:val="center"/>
          </w:tcPr>
          <w:p w14:paraId="1442B6A0">
            <w:pPr>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质量要求</w:t>
            </w:r>
          </w:p>
        </w:tc>
        <w:tc>
          <w:tcPr>
            <w:tcW w:w="6792" w:type="dxa"/>
            <w:shd w:val="clear" w:color="auto" w:fill="auto"/>
            <w:vAlign w:val="center"/>
          </w:tcPr>
          <w:p w14:paraId="7B0575B2">
            <w:pPr>
              <w:spacing w:line="24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合格，符合国家相关规定及行业标准要求</w:t>
            </w:r>
          </w:p>
        </w:tc>
      </w:tr>
      <w:tr w14:paraId="7D563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trPr>
        <w:tc>
          <w:tcPr>
            <w:tcW w:w="712" w:type="dxa"/>
            <w:shd w:val="clear" w:color="auto" w:fill="auto"/>
            <w:vAlign w:val="top"/>
          </w:tcPr>
          <w:p w14:paraId="038CD0C0">
            <w:pPr>
              <w:pStyle w:val="29"/>
              <w:spacing w:before="7" w:line="360" w:lineRule="auto"/>
              <w:jc w:val="center"/>
              <w:rPr>
                <w:rFonts w:hint="eastAsia" w:ascii="宋体" w:hAnsi="宋体" w:eastAsia="宋体" w:cs="宋体"/>
                <w:spacing w:val="-15"/>
                <w:sz w:val="28"/>
                <w:szCs w:val="28"/>
                <w:lang w:eastAsia="zh-CN"/>
              </w:rPr>
            </w:pPr>
          </w:p>
          <w:p w14:paraId="05035BF1">
            <w:pPr>
              <w:pStyle w:val="29"/>
              <w:spacing w:before="7" w:line="360" w:lineRule="auto"/>
              <w:jc w:val="center"/>
              <w:rPr>
                <w:rFonts w:hint="eastAsia" w:ascii="宋体" w:hAnsi="宋体" w:eastAsia="宋体" w:cs="宋体"/>
                <w:spacing w:val="-15"/>
                <w:sz w:val="28"/>
                <w:szCs w:val="28"/>
                <w:lang w:eastAsia="zh-CN"/>
              </w:rPr>
            </w:pPr>
          </w:p>
          <w:p w14:paraId="4D78D7C1">
            <w:pPr>
              <w:pStyle w:val="29"/>
              <w:spacing w:before="7" w:line="360" w:lineRule="auto"/>
              <w:jc w:val="center"/>
              <w:rPr>
                <w:rFonts w:hint="eastAsia" w:ascii="宋体" w:hAnsi="宋体" w:eastAsia="宋体" w:cs="宋体"/>
                <w:spacing w:val="-15"/>
                <w:sz w:val="28"/>
                <w:szCs w:val="28"/>
                <w:lang w:eastAsia="zh-CN"/>
              </w:rPr>
            </w:pPr>
          </w:p>
          <w:p w14:paraId="5A63ACD9">
            <w:pPr>
              <w:pStyle w:val="29"/>
              <w:spacing w:before="7" w:line="360" w:lineRule="auto"/>
              <w:jc w:val="center"/>
              <w:rPr>
                <w:rFonts w:hint="eastAsia" w:ascii="宋体" w:hAnsi="宋体" w:eastAsia="宋体" w:cs="宋体"/>
                <w:spacing w:val="-15"/>
                <w:sz w:val="28"/>
                <w:szCs w:val="28"/>
                <w:lang w:eastAsia="zh-CN"/>
              </w:rPr>
            </w:pPr>
          </w:p>
          <w:p w14:paraId="40168762">
            <w:pPr>
              <w:pStyle w:val="29"/>
              <w:spacing w:before="7" w:line="360" w:lineRule="auto"/>
              <w:jc w:val="center"/>
              <w:rPr>
                <w:rFonts w:hint="eastAsia" w:ascii="宋体" w:hAnsi="宋体" w:eastAsia="宋体" w:cs="宋体"/>
                <w:spacing w:val="-15"/>
                <w:sz w:val="28"/>
                <w:szCs w:val="28"/>
                <w:lang w:eastAsia="zh-CN"/>
              </w:rPr>
            </w:pPr>
          </w:p>
          <w:p w14:paraId="5D3638E3">
            <w:pPr>
              <w:pStyle w:val="29"/>
              <w:spacing w:before="7" w:line="360" w:lineRule="auto"/>
              <w:jc w:val="center"/>
              <w:rPr>
                <w:rFonts w:hint="eastAsia" w:ascii="宋体" w:hAnsi="宋体" w:eastAsia="宋体" w:cs="宋体"/>
                <w:spacing w:val="-15"/>
                <w:sz w:val="28"/>
                <w:szCs w:val="28"/>
                <w:lang w:eastAsia="zh-CN"/>
              </w:rPr>
            </w:pPr>
          </w:p>
          <w:p w14:paraId="131B4E0A">
            <w:pPr>
              <w:pStyle w:val="29"/>
              <w:spacing w:before="7" w:line="360" w:lineRule="auto"/>
              <w:jc w:val="center"/>
              <w:rPr>
                <w:rFonts w:hint="eastAsia" w:ascii="宋体" w:hAnsi="宋体" w:eastAsia="宋体" w:cs="宋体"/>
                <w:spacing w:val="-15"/>
                <w:sz w:val="28"/>
                <w:szCs w:val="28"/>
                <w:lang w:eastAsia="zh-CN"/>
              </w:rPr>
            </w:pPr>
          </w:p>
          <w:p w14:paraId="70AC493F">
            <w:pPr>
              <w:pStyle w:val="29"/>
              <w:spacing w:before="7" w:line="360" w:lineRule="auto"/>
              <w:jc w:val="center"/>
              <w:rPr>
                <w:rFonts w:hint="eastAsia" w:ascii="宋体" w:hAnsi="宋体" w:eastAsia="宋体" w:cs="宋体"/>
                <w:spacing w:val="-15"/>
                <w:sz w:val="28"/>
                <w:szCs w:val="28"/>
                <w:lang w:eastAsia="zh-CN"/>
              </w:rPr>
            </w:pPr>
          </w:p>
          <w:p w14:paraId="68926E0E">
            <w:pPr>
              <w:pStyle w:val="29"/>
              <w:spacing w:before="7" w:line="360" w:lineRule="auto"/>
              <w:jc w:val="center"/>
              <w:rPr>
                <w:rFonts w:hint="eastAsia" w:ascii="宋体" w:hAnsi="宋体" w:eastAsia="宋体" w:cs="宋体"/>
                <w:spacing w:val="-15"/>
                <w:sz w:val="28"/>
                <w:szCs w:val="28"/>
                <w:lang w:eastAsia="zh-CN"/>
              </w:rPr>
            </w:pPr>
          </w:p>
          <w:p w14:paraId="0FC9CD0F">
            <w:pPr>
              <w:pStyle w:val="29"/>
              <w:spacing w:before="7" w:line="360" w:lineRule="auto"/>
              <w:jc w:val="center"/>
              <w:rPr>
                <w:rFonts w:hint="eastAsia" w:ascii="宋体" w:hAnsi="宋体" w:eastAsia="宋体" w:cs="宋体"/>
                <w:spacing w:val="-15"/>
                <w:sz w:val="28"/>
                <w:szCs w:val="28"/>
                <w:lang w:eastAsia="zh-CN"/>
              </w:rPr>
            </w:pPr>
          </w:p>
          <w:p w14:paraId="22C37B76">
            <w:pPr>
              <w:pStyle w:val="29"/>
              <w:spacing w:before="7" w:line="360" w:lineRule="auto"/>
              <w:jc w:val="center"/>
              <w:rPr>
                <w:rFonts w:hint="eastAsia" w:ascii="宋体" w:hAnsi="宋体" w:eastAsia="宋体" w:cs="宋体"/>
                <w:spacing w:val="-15"/>
                <w:sz w:val="28"/>
                <w:szCs w:val="28"/>
                <w:lang w:eastAsia="zh-CN"/>
              </w:rPr>
            </w:pPr>
          </w:p>
          <w:p w14:paraId="46DCCCDE">
            <w:pPr>
              <w:pStyle w:val="29"/>
              <w:spacing w:before="7" w:line="360" w:lineRule="auto"/>
              <w:jc w:val="center"/>
              <w:rPr>
                <w:rFonts w:hint="eastAsia" w:ascii="宋体" w:hAnsi="宋体" w:eastAsia="宋体" w:cs="宋体"/>
                <w:spacing w:val="-15"/>
                <w:sz w:val="28"/>
                <w:szCs w:val="28"/>
                <w:lang w:eastAsia="zh-CN"/>
              </w:rPr>
            </w:pPr>
          </w:p>
          <w:p w14:paraId="7D2AD3EB">
            <w:pPr>
              <w:pStyle w:val="29"/>
              <w:spacing w:before="7" w:line="360" w:lineRule="auto"/>
              <w:jc w:val="center"/>
              <w:rPr>
                <w:rFonts w:hint="eastAsia" w:ascii="宋体" w:hAnsi="宋体" w:eastAsia="宋体" w:cs="宋体"/>
                <w:spacing w:val="-15"/>
                <w:sz w:val="28"/>
                <w:szCs w:val="28"/>
                <w:lang w:eastAsia="zh-CN"/>
              </w:rPr>
            </w:pPr>
          </w:p>
          <w:p w14:paraId="363164A0">
            <w:pPr>
              <w:pStyle w:val="29"/>
              <w:spacing w:before="7" w:line="360" w:lineRule="auto"/>
              <w:jc w:val="center"/>
              <w:rPr>
                <w:rFonts w:hint="eastAsia" w:ascii="宋体" w:hAnsi="宋体" w:eastAsia="宋体" w:cs="宋体"/>
                <w:spacing w:val="-15"/>
                <w:sz w:val="28"/>
                <w:szCs w:val="28"/>
                <w:lang w:eastAsia="zh-CN"/>
              </w:rPr>
            </w:pPr>
          </w:p>
          <w:p w14:paraId="24C1C211">
            <w:pPr>
              <w:pStyle w:val="29"/>
              <w:spacing w:before="7" w:line="360" w:lineRule="auto"/>
              <w:jc w:val="center"/>
              <w:rPr>
                <w:rFonts w:hint="eastAsia" w:ascii="宋体" w:hAnsi="宋体" w:eastAsia="宋体" w:cs="宋体"/>
                <w:spacing w:val="-15"/>
                <w:sz w:val="28"/>
                <w:szCs w:val="28"/>
                <w:lang w:val="en-US" w:eastAsia="zh-CN"/>
              </w:rPr>
            </w:pPr>
            <w:r>
              <w:rPr>
                <w:rFonts w:hint="eastAsia" w:ascii="宋体" w:hAnsi="宋体" w:eastAsia="宋体" w:cs="宋体"/>
                <w:spacing w:val="-15"/>
                <w:sz w:val="28"/>
                <w:szCs w:val="28"/>
                <w:lang w:eastAsia="zh-CN"/>
              </w:rPr>
              <w:t>1</w:t>
            </w:r>
            <w:r>
              <w:rPr>
                <w:rFonts w:hint="eastAsia" w:cs="宋体"/>
                <w:spacing w:val="-15"/>
                <w:sz w:val="28"/>
                <w:szCs w:val="28"/>
                <w:lang w:val="en-US" w:eastAsia="zh-CN"/>
              </w:rPr>
              <w:t>2</w:t>
            </w:r>
          </w:p>
        </w:tc>
        <w:tc>
          <w:tcPr>
            <w:tcW w:w="2448" w:type="dxa"/>
            <w:shd w:val="clear" w:color="auto" w:fill="auto"/>
            <w:vAlign w:val="top"/>
          </w:tcPr>
          <w:p w14:paraId="42C1C557">
            <w:pPr>
              <w:spacing w:line="360" w:lineRule="auto"/>
              <w:ind w:firstLine="480" w:firstLineChars="200"/>
              <w:jc w:val="both"/>
              <w:rPr>
                <w:rFonts w:hint="eastAsia" w:ascii="宋体" w:hAnsi="宋体" w:eastAsia="宋体" w:cs="宋体"/>
                <w:sz w:val="24"/>
                <w:szCs w:val="24"/>
                <w:lang w:val="en-US" w:eastAsia="zh-CN"/>
              </w:rPr>
            </w:pPr>
          </w:p>
          <w:p w14:paraId="0A80AC03">
            <w:pPr>
              <w:spacing w:line="360" w:lineRule="auto"/>
              <w:ind w:firstLine="480" w:firstLineChars="200"/>
              <w:jc w:val="both"/>
              <w:rPr>
                <w:rFonts w:hint="eastAsia" w:ascii="宋体" w:hAnsi="宋体" w:eastAsia="宋体" w:cs="宋体"/>
                <w:sz w:val="24"/>
                <w:szCs w:val="24"/>
                <w:lang w:val="en-US" w:eastAsia="zh-CN"/>
              </w:rPr>
            </w:pPr>
          </w:p>
          <w:p w14:paraId="465EA31E">
            <w:pPr>
              <w:spacing w:line="360" w:lineRule="auto"/>
              <w:ind w:firstLine="480" w:firstLineChars="200"/>
              <w:jc w:val="both"/>
              <w:rPr>
                <w:rFonts w:hint="eastAsia" w:ascii="宋体" w:hAnsi="宋体" w:eastAsia="宋体" w:cs="宋体"/>
                <w:sz w:val="24"/>
                <w:szCs w:val="24"/>
                <w:lang w:val="en-US" w:eastAsia="zh-CN"/>
              </w:rPr>
            </w:pPr>
          </w:p>
          <w:p w14:paraId="11F12EEE">
            <w:pPr>
              <w:spacing w:line="360" w:lineRule="auto"/>
              <w:ind w:firstLine="480" w:firstLineChars="200"/>
              <w:jc w:val="both"/>
              <w:rPr>
                <w:rFonts w:hint="eastAsia" w:ascii="宋体" w:hAnsi="宋体" w:eastAsia="宋体" w:cs="宋体"/>
                <w:sz w:val="24"/>
                <w:szCs w:val="24"/>
                <w:lang w:val="en-US" w:eastAsia="zh-CN"/>
              </w:rPr>
            </w:pPr>
          </w:p>
          <w:p w14:paraId="477C5F0F">
            <w:pPr>
              <w:spacing w:line="360" w:lineRule="auto"/>
              <w:ind w:firstLine="480" w:firstLineChars="200"/>
              <w:jc w:val="both"/>
              <w:rPr>
                <w:rFonts w:hint="eastAsia" w:ascii="宋体" w:hAnsi="宋体" w:eastAsia="宋体" w:cs="宋体"/>
                <w:sz w:val="24"/>
                <w:szCs w:val="24"/>
                <w:lang w:val="en-US" w:eastAsia="zh-CN"/>
              </w:rPr>
            </w:pPr>
          </w:p>
          <w:p w14:paraId="701121F6">
            <w:pPr>
              <w:spacing w:line="360" w:lineRule="auto"/>
              <w:ind w:firstLine="480" w:firstLineChars="200"/>
              <w:jc w:val="both"/>
              <w:rPr>
                <w:rFonts w:hint="eastAsia" w:ascii="宋体" w:hAnsi="宋体" w:eastAsia="宋体" w:cs="宋体"/>
                <w:sz w:val="24"/>
                <w:szCs w:val="24"/>
                <w:lang w:val="en-US" w:eastAsia="zh-CN"/>
              </w:rPr>
            </w:pPr>
          </w:p>
          <w:p w14:paraId="4126D7CD">
            <w:pPr>
              <w:spacing w:line="360" w:lineRule="auto"/>
              <w:ind w:firstLine="480" w:firstLineChars="200"/>
              <w:jc w:val="both"/>
              <w:rPr>
                <w:rFonts w:hint="eastAsia" w:ascii="宋体" w:hAnsi="宋体" w:eastAsia="宋体" w:cs="宋体"/>
                <w:sz w:val="24"/>
                <w:szCs w:val="24"/>
                <w:lang w:val="en-US" w:eastAsia="zh-CN"/>
              </w:rPr>
            </w:pPr>
          </w:p>
          <w:p w14:paraId="0313FBC6">
            <w:pPr>
              <w:spacing w:line="360" w:lineRule="auto"/>
              <w:ind w:firstLine="480" w:firstLineChars="200"/>
              <w:jc w:val="both"/>
              <w:rPr>
                <w:rFonts w:hint="eastAsia" w:ascii="宋体" w:hAnsi="宋体" w:eastAsia="宋体" w:cs="宋体"/>
                <w:sz w:val="24"/>
                <w:szCs w:val="24"/>
                <w:lang w:val="en-US" w:eastAsia="zh-CN"/>
              </w:rPr>
            </w:pPr>
          </w:p>
          <w:p w14:paraId="3D97623F">
            <w:pPr>
              <w:spacing w:line="360" w:lineRule="auto"/>
              <w:ind w:firstLine="480" w:firstLineChars="200"/>
              <w:jc w:val="both"/>
              <w:rPr>
                <w:rFonts w:hint="eastAsia" w:ascii="宋体" w:hAnsi="宋体" w:eastAsia="宋体" w:cs="宋体"/>
                <w:sz w:val="24"/>
                <w:szCs w:val="24"/>
                <w:lang w:val="en-US" w:eastAsia="zh-CN"/>
              </w:rPr>
            </w:pPr>
          </w:p>
          <w:p w14:paraId="27A415CD">
            <w:pPr>
              <w:spacing w:line="360" w:lineRule="auto"/>
              <w:ind w:firstLine="480" w:firstLineChars="200"/>
              <w:jc w:val="both"/>
              <w:rPr>
                <w:rFonts w:hint="eastAsia" w:ascii="宋体" w:hAnsi="宋体" w:eastAsia="宋体" w:cs="宋体"/>
                <w:sz w:val="24"/>
                <w:szCs w:val="24"/>
                <w:lang w:val="en-US" w:eastAsia="zh-CN"/>
              </w:rPr>
            </w:pPr>
          </w:p>
          <w:p w14:paraId="001861A8">
            <w:pPr>
              <w:spacing w:line="360" w:lineRule="auto"/>
              <w:ind w:firstLine="480" w:firstLineChars="200"/>
              <w:jc w:val="both"/>
              <w:rPr>
                <w:rFonts w:hint="eastAsia" w:ascii="宋体" w:hAnsi="宋体" w:eastAsia="宋体" w:cs="宋体"/>
                <w:sz w:val="24"/>
                <w:szCs w:val="24"/>
                <w:lang w:val="en-US" w:eastAsia="zh-CN"/>
              </w:rPr>
            </w:pPr>
          </w:p>
          <w:p w14:paraId="233927A3">
            <w:pPr>
              <w:spacing w:line="360" w:lineRule="auto"/>
              <w:ind w:firstLine="480" w:firstLineChars="200"/>
              <w:jc w:val="both"/>
              <w:rPr>
                <w:rFonts w:hint="eastAsia" w:ascii="宋体" w:hAnsi="宋体" w:eastAsia="宋体" w:cs="宋体"/>
                <w:sz w:val="24"/>
                <w:szCs w:val="24"/>
                <w:lang w:val="en-US" w:eastAsia="zh-CN"/>
              </w:rPr>
            </w:pPr>
          </w:p>
          <w:p w14:paraId="087F7EE7">
            <w:pPr>
              <w:spacing w:line="360" w:lineRule="auto"/>
              <w:ind w:firstLine="480" w:firstLineChars="200"/>
              <w:jc w:val="both"/>
              <w:rPr>
                <w:rFonts w:hint="eastAsia" w:ascii="宋体" w:hAnsi="宋体" w:eastAsia="宋体" w:cs="宋体"/>
                <w:sz w:val="24"/>
                <w:szCs w:val="24"/>
                <w:lang w:val="en-US" w:eastAsia="zh-CN"/>
              </w:rPr>
            </w:pPr>
          </w:p>
          <w:p w14:paraId="14248BE4">
            <w:pPr>
              <w:spacing w:line="360" w:lineRule="auto"/>
              <w:ind w:firstLine="480" w:firstLineChars="200"/>
              <w:jc w:val="both"/>
              <w:rPr>
                <w:rFonts w:hint="eastAsia" w:ascii="宋体" w:hAnsi="宋体" w:eastAsia="宋体" w:cs="宋体"/>
                <w:sz w:val="24"/>
                <w:szCs w:val="24"/>
                <w:lang w:val="en-US" w:eastAsia="zh-CN"/>
              </w:rPr>
            </w:pPr>
          </w:p>
          <w:p w14:paraId="0CD30809">
            <w:pPr>
              <w:spacing w:line="360" w:lineRule="auto"/>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供应商资质条件</w:t>
            </w:r>
          </w:p>
        </w:tc>
        <w:tc>
          <w:tcPr>
            <w:tcW w:w="6792" w:type="dxa"/>
            <w:shd w:val="clear" w:color="auto" w:fill="auto"/>
            <w:vAlign w:val="top"/>
          </w:tcPr>
          <w:p w14:paraId="66EEEA09">
            <w:pPr>
              <w:keepNext w:val="0"/>
              <w:keepLines w:val="0"/>
              <w:pageBreakBefore w:val="0"/>
              <w:widowControl w:val="0"/>
              <w:kinsoku/>
              <w:wordWrap/>
              <w:overflowPunct/>
              <w:topLinePunct w:val="0"/>
              <w:autoSpaceDE w:val="0"/>
              <w:autoSpaceDN w:val="0"/>
              <w:bidi w:val="0"/>
              <w:adjustRightInd/>
              <w:snapToGrid/>
              <w:spacing w:line="288" w:lineRule="auto"/>
              <w:ind w:firstLine="420" w:firstLineChars="200"/>
              <w:textAlignment w:val="auto"/>
              <w:rPr>
                <w:rFonts w:hint="eastAsia" w:ascii="宋体" w:hAnsi="宋体" w:eastAsia="宋体" w:cs="宋体"/>
                <w:spacing w:val="-15"/>
                <w:sz w:val="24"/>
                <w:szCs w:val="24"/>
                <w:lang w:val="en-US" w:eastAsia="zh-CN" w:bidi="ar-SA"/>
              </w:rPr>
            </w:pPr>
            <w:r>
              <w:rPr>
                <w:rFonts w:hint="eastAsia" w:ascii="宋体" w:hAnsi="宋体" w:eastAsia="宋体" w:cs="宋体"/>
                <w:spacing w:val="-15"/>
                <w:sz w:val="24"/>
                <w:szCs w:val="24"/>
                <w:lang w:val="en-US" w:eastAsia="zh-CN" w:bidi="ar-SA"/>
              </w:rPr>
              <w:t>供应商符合《中华人民共和国政府采购法》的第二十二条的规定并具备以下条件：</w:t>
            </w:r>
          </w:p>
          <w:p w14:paraId="20B4A63F">
            <w:pPr>
              <w:keepNext w:val="0"/>
              <w:keepLines w:val="0"/>
              <w:pageBreakBefore w:val="0"/>
              <w:widowControl w:val="0"/>
              <w:kinsoku/>
              <w:wordWrap/>
              <w:overflowPunct/>
              <w:topLinePunct w:val="0"/>
              <w:autoSpaceDE w:val="0"/>
              <w:autoSpaceDN w:val="0"/>
              <w:bidi w:val="0"/>
              <w:adjustRightInd/>
              <w:snapToGrid/>
              <w:spacing w:line="288" w:lineRule="auto"/>
              <w:ind w:firstLine="420" w:firstLineChars="200"/>
              <w:textAlignment w:val="auto"/>
              <w:rPr>
                <w:rFonts w:hint="eastAsia" w:ascii="宋体" w:hAnsi="宋体" w:eastAsia="宋体" w:cs="宋体"/>
                <w:spacing w:val="-15"/>
                <w:sz w:val="24"/>
                <w:szCs w:val="24"/>
                <w:lang w:val="en-US" w:eastAsia="zh-CN" w:bidi="ar-SA"/>
              </w:rPr>
            </w:pPr>
            <w:r>
              <w:rPr>
                <w:rFonts w:hint="eastAsia" w:ascii="宋体" w:hAnsi="宋体" w:eastAsia="宋体" w:cs="宋体"/>
                <w:spacing w:val="-15"/>
                <w:sz w:val="24"/>
                <w:szCs w:val="24"/>
                <w:lang w:val="en-US" w:eastAsia="zh-CN" w:bidi="ar-SA"/>
              </w:rPr>
              <w:t>1、在中华人民共和国境内具有能够独立承担民事责任能力；具有有效的营业执照或其他证明材料；</w:t>
            </w:r>
          </w:p>
          <w:p w14:paraId="5C352102">
            <w:pPr>
              <w:keepNext w:val="0"/>
              <w:keepLines w:val="0"/>
              <w:pageBreakBefore w:val="0"/>
              <w:widowControl w:val="0"/>
              <w:kinsoku/>
              <w:wordWrap/>
              <w:overflowPunct/>
              <w:topLinePunct w:val="0"/>
              <w:autoSpaceDE w:val="0"/>
              <w:autoSpaceDN w:val="0"/>
              <w:bidi w:val="0"/>
              <w:adjustRightInd/>
              <w:snapToGrid/>
              <w:spacing w:line="288" w:lineRule="auto"/>
              <w:ind w:firstLine="420" w:firstLineChars="200"/>
              <w:textAlignment w:val="auto"/>
              <w:rPr>
                <w:rFonts w:hint="eastAsia" w:ascii="宋体" w:hAnsi="宋体" w:eastAsia="宋体" w:cs="宋体"/>
                <w:spacing w:val="-15"/>
                <w:sz w:val="24"/>
                <w:szCs w:val="24"/>
                <w:lang w:val="en-US" w:eastAsia="zh-CN" w:bidi="ar-SA"/>
              </w:rPr>
            </w:pPr>
            <w:r>
              <w:rPr>
                <w:rFonts w:hint="eastAsia" w:ascii="宋体" w:hAnsi="宋体" w:eastAsia="宋体" w:cs="宋体"/>
                <w:spacing w:val="-15"/>
                <w:sz w:val="24"/>
                <w:szCs w:val="24"/>
                <w:lang w:val="en-US" w:eastAsia="zh-CN" w:bidi="ar-SA"/>
              </w:rPr>
              <w:t>2、供应商具有测绘地理信息行政主管部门颁发的测绘乙级及以上资质；</w:t>
            </w:r>
          </w:p>
          <w:p w14:paraId="1F866B97">
            <w:pPr>
              <w:keepNext w:val="0"/>
              <w:keepLines w:val="0"/>
              <w:pageBreakBefore w:val="0"/>
              <w:widowControl w:val="0"/>
              <w:kinsoku/>
              <w:wordWrap/>
              <w:overflowPunct/>
              <w:topLinePunct w:val="0"/>
              <w:autoSpaceDE w:val="0"/>
              <w:autoSpaceDN w:val="0"/>
              <w:bidi w:val="0"/>
              <w:adjustRightInd/>
              <w:snapToGrid/>
              <w:spacing w:line="288" w:lineRule="auto"/>
              <w:ind w:firstLine="420" w:firstLineChars="200"/>
              <w:textAlignment w:val="auto"/>
              <w:rPr>
                <w:rFonts w:hint="eastAsia" w:ascii="宋体" w:hAnsi="宋体" w:eastAsia="宋体" w:cs="宋体"/>
                <w:spacing w:val="-15"/>
                <w:sz w:val="24"/>
                <w:szCs w:val="24"/>
                <w:lang w:val="en-US" w:eastAsia="zh-CN" w:bidi="ar-SA"/>
              </w:rPr>
            </w:pPr>
            <w:r>
              <w:rPr>
                <w:rFonts w:hint="eastAsia" w:ascii="宋体" w:hAnsi="宋体" w:eastAsia="宋体" w:cs="宋体"/>
                <w:spacing w:val="-15"/>
                <w:sz w:val="24"/>
                <w:szCs w:val="24"/>
                <w:lang w:val="en-US" w:eastAsia="zh-CN" w:bidi="ar-SA"/>
              </w:rPr>
              <w:t>3、拟派项目负责人需具有相关专业中级（含）及以上职称，（提供职称证原件扫描件、劳动合同及近半年任意一个月以来社保缴纳证明）；</w:t>
            </w:r>
          </w:p>
          <w:p w14:paraId="5B5A1F76">
            <w:pPr>
              <w:keepNext w:val="0"/>
              <w:keepLines w:val="0"/>
              <w:pageBreakBefore w:val="0"/>
              <w:widowControl w:val="0"/>
              <w:kinsoku/>
              <w:wordWrap/>
              <w:overflowPunct/>
              <w:topLinePunct w:val="0"/>
              <w:autoSpaceDE w:val="0"/>
              <w:autoSpaceDN w:val="0"/>
              <w:bidi w:val="0"/>
              <w:adjustRightInd/>
              <w:snapToGrid/>
              <w:spacing w:line="288" w:lineRule="auto"/>
              <w:ind w:firstLine="420" w:firstLineChars="200"/>
              <w:textAlignment w:val="auto"/>
              <w:rPr>
                <w:rFonts w:hint="eastAsia" w:ascii="宋体" w:hAnsi="宋体" w:eastAsia="宋体" w:cs="宋体"/>
                <w:spacing w:val="-15"/>
                <w:sz w:val="24"/>
                <w:szCs w:val="24"/>
                <w:lang w:val="en-US" w:eastAsia="zh-CN" w:bidi="ar-SA"/>
              </w:rPr>
            </w:pPr>
            <w:r>
              <w:rPr>
                <w:rFonts w:hint="eastAsia" w:ascii="宋体" w:hAnsi="宋体" w:eastAsia="宋体" w:cs="宋体"/>
                <w:spacing w:val="-15"/>
                <w:sz w:val="24"/>
                <w:szCs w:val="24"/>
                <w:lang w:val="en-US" w:eastAsia="zh-CN" w:bidi="ar-SA"/>
              </w:rPr>
              <w:t>4、</w:t>
            </w:r>
            <w:r>
              <w:rPr>
                <w:rFonts w:hint="eastAsia" w:cs="宋体"/>
                <w:spacing w:val="-15"/>
                <w:sz w:val="24"/>
                <w:szCs w:val="24"/>
                <w:lang w:val="en-US" w:eastAsia="zh-CN" w:bidi="ar-SA"/>
              </w:rPr>
              <w:t>具有良好的商业信誉和健全的财务会计制度，提供2023年度至 2025年度三年中任意一年经会计师事务所审计的财务报告或供应商自行出具具有良好的商业信誉和健全的财务会计制度的承诺书</w:t>
            </w:r>
            <w:r>
              <w:rPr>
                <w:rFonts w:hint="eastAsia" w:ascii="宋体" w:hAnsi="宋体" w:eastAsia="宋体" w:cs="宋体"/>
                <w:spacing w:val="-15"/>
                <w:sz w:val="24"/>
                <w:szCs w:val="24"/>
                <w:lang w:val="en-US" w:eastAsia="zh-CN" w:bidi="ar-SA"/>
              </w:rPr>
              <w:t>；</w:t>
            </w:r>
          </w:p>
          <w:p w14:paraId="41DA8703">
            <w:pPr>
              <w:keepNext w:val="0"/>
              <w:keepLines w:val="0"/>
              <w:pageBreakBefore w:val="0"/>
              <w:widowControl w:val="0"/>
              <w:kinsoku/>
              <w:wordWrap/>
              <w:overflowPunct/>
              <w:topLinePunct w:val="0"/>
              <w:autoSpaceDE w:val="0"/>
              <w:autoSpaceDN w:val="0"/>
              <w:bidi w:val="0"/>
              <w:adjustRightInd/>
              <w:snapToGrid/>
              <w:spacing w:line="288" w:lineRule="auto"/>
              <w:ind w:firstLine="420" w:firstLineChars="200"/>
              <w:textAlignment w:val="auto"/>
              <w:rPr>
                <w:rFonts w:hint="eastAsia" w:ascii="宋体" w:hAnsi="宋体" w:eastAsia="宋体" w:cs="宋体"/>
                <w:spacing w:val="-15"/>
                <w:sz w:val="24"/>
                <w:szCs w:val="24"/>
                <w:lang w:val="en-US" w:eastAsia="zh-CN" w:bidi="ar-SA"/>
              </w:rPr>
            </w:pPr>
            <w:r>
              <w:rPr>
                <w:rFonts w:hint="eastAsia" w:ascii="宋体" w:hAnsi="宋体" w:eastAsia="宋体" w:cs="宋体"/>
                <w:spacing w:val="-15"/>
                <w:sz w:val="24"/>
                <w:szCs w:val="24"/>
                <w:lang w:val="en-US" w:eastAsia="zh-CN" w:bidi="ar-SA"/>
              </w:rPr>
              <w:t>5、供应商具有依法缴纳税收和社会保障资金的良好记录（需提供证明材料或自行承诺）；</w:t>
            </w:r>
          </w:p>
          <w:p w14:paraId="6290FA99">
            <w:pPr>
              <w:keepNext w:val="0"/>
              <w:keepLines w:val="0"/>
              <w:pageBreakBefore w:val="0"/>
              <w:widowControl w:val="0"/>
              <w:kinsoku/>
              <w:wordWrap/>
              <w:overflowPunct/>
              <w:topLinePunct w:val="0"/>
              <w:autoSpaceDE w:val="0"/>
              <w:autoSpaceDN w:val="0"/>
              <w:bidi w:val="0"/>
              <w:adjustRightInd/>
              <w:snapToGrid/>
              <w:spacing w:line="288" w:lineRule="auto"/>
              <w:ind w:firstLine="420" w:firstLineChars="200"/>
              <w:textAlignment w:val="auto"/>
              <w:rPr>
                <w:rFonts w:hint="eastAsia" w:ascii="宋体" w:hAnsi="宋体" w:eastAsia="宋体" w:cs="宋体"/>
                <w:spacing w:val="-15"/>
                <w:sz w:val="24"/>
                <w:szCs w:val="24"/>
                <w:lang w:val="en-US" w:eastAsia="zh-CN" w:bidi="ar-SA"/>
              </w:rPr>
            </w:pPr>
            <w:r>
              <w:rPr>
                <w:rFonts w:hint="eastAsia" w:ascii="宋体" w:hAnsi="宋体" w:eastAsia="宋体" w:cs="宋体"/>
                <w:spacing w:val="-15"/>
                <w:sz w:val="24"/>
                <w:szCs w:val="24"/>
                <w:lang w:val="en-US" w:eastAsia="zh-CN" w:bidi="ar-SA"/>
              </w:rPr>
              <w:t>6、参加政府采购活动前3年内无行贿犯罪记录，（开标时提供《中国裁判文书网》查询结果网页截图或企业自行承诺的无行贿犯罪承诺书，查询&lt;承诺&gt;对象为“企业，法定代表人，项目负责人”）；</w:t>
            </w:r>
          </w:p>
          <w:p w14:paraId="4E5A0799">
            <w:pPr>
              <w:keepNext w:val="0"/>
              <w:keepLines w:val="0"/>
              <w:pageBreakBefore w:val="0"/>
              <w:widowControl w:val="0"/>
              <w:kinsoku/>
              <w:wordWrap/>
              <w:overflowPunct/>
              <w:topLinePunct w:val="0"/>
              <w:autoSpaceDE w:val="0"/>
              <w:autoSpaceDN w:val="0"/>
              <w:bidi w:val="0"/>
              <w:adjustRightInd/>
              <w:snapToGrid/>
              <w:spacing w:line="288" w:lineRule="auto"/>
              <w:ind w:firstLine="420" w:firstLineChars="200"/>
              <w:textAlignment w:val="auto"/>
              <w:rPr>
                <w:rFonts w:hint="eastAsia" w:ascii="宋体" w:hAnsi="宋体" w:eastAsia="宋体" w:cs="宋体"/>
                <w:spacing w:val="-15"/>
                <w:sz w:val="24"/>
                <w:szCs w:val="24"/>
                <w:lang w:val="en-US" w:eastAsia="zh-CN" w:bidi="ar-SA"/>
              </w:rPr>
            </w:pPr>
            <w:r>
              <w:rPr>
                <w:rFonts w:hint="eastAsia" w:ascii="宋体" w:hAnsi="宋体" w:eastAsia="宋体" w:cs="宋体"/>
                <w:spacing w:val="-15"/>
                <w:sz w:val="24"/>
                <w:szCs w:val="24"/>
                <w:lang w:val="en-US" w:eastAsia="zh-CN" w:bidi="ar-SA"/>
              </w:rPr>
              <w:t>7、参加政府采购活动前3年内无商业贿赂、不正当竞争行为、骗取中标、严重违约及重大工程质量等问题；</w:t>
            </w:r>
          </w:p>
          <w:p w14:paraId="56DEAB51">
            <w:pPr>
              <w:keepNext w:val="0"/>
              <w:keepLines w:val="0"/>
              <w:pageBreakBefore w:val="0"/>
              <w:widowControl w:val="0"/>
              <w:kinsoku/>
              <w:wordWrap/>
              <w:overflowPunct/>
              <w:topLinePunct w:val="0"/>
              <w:autoSpaceDE w:val="0"/>
              <w:autoSpaceDN w:val="0"/>
              <w:bidi w:val="0"/>
              <w:adjustRightInd/>
              <w:snapToGrid/>
              <w:spacing w:line="288" w:lineRule="auto"/>
              <w:ind w:firstLine="420" w:firstLineChars="200"/>
              <w:textAlignment w:val="auto"/>
              <w:rPr>
                <w:rFonts w:hint="eastAsia" w:ascii="宋体" w:hAnsi="宋体" w:eastAsia="宋体" w:cs="宋体"/>
                <w:spacing w:val="-15"/>
                <w:sz w:val="24"/>
                <w:szCs w:val="24"/>
                <w:lang w:val="en-US" w:eastAsia="zh-CN" w:bidi="ar-SA"/>
              </w:rPr>
            </w:pPr>
            <w:r>
              <w:rPr>
                <w:rFonts w:hint="eastAsia" w:ascii="宋体" w:hAnsi="宋体" w:eastAsia="宋体" w:cs="宋体"/>
                <w:spacing w:val="-15"/>
                <w:sz w:val="24"/>
                <w:szCs w:val="24"/>
                <w:lang w:val="en-US" w:eastAsia="zh-CN" w:bidi="ar-SA"/>
              </w:rPr>
              <w:t>8、根据《关于在政府采购活动中查询及使用信用记录有关问题的通知》(财库[2016]125号) 和豫财购【2016】15号的规定，企业没有被列入“信用中国”网站的“失信被执行人”、“重大税收违法失信主体”及“中国政府采购网”网站的“政府采购严重违法失信行为信息记录”的</w:t>
            </w:r>
            <w:r>
              <w:rPr>
                <w:rFonts w:hint="eastAsia" w:cs="宋体"/>
                <w:spacing w:val="-15"/>
                <w:sz w:val="24"/>
                <w:szCs w:val="24"/>
                <w:lang w:val="en-US" w:eastAsia="zh-CN" w:bidi="ar-SA"/>
              </w:rPr>
              <w:t>供应商</w:t>
            </w:r>
            <w:r>
              <w:rPr>
                <w:rFonts w:hint="eastAsia" w:ascii="宋体" w:hAnsi="宋体" w:eastAsia="宋体" w:cs="宋体"/>
                <w:spacing w:val="-15"/>
                <w:sz w:val="24"/>
                <w:szCs w:val="24"/>
                <w:lang w:val="en-US" w:eastAsia="zh-CN" w:bidi="ar-SA"/>
              </w:rPr>
              <w:t>；（查询渠道：“信用中国”网站（www.creditchina.gov.cn）、中国政府采购网（www.ccgp.gov.cn）(注：査询时间必须是公告发布之后开标之前，查询结果清晰可见)</w:t>
            </w:r>
          </w:p>
          <w:p w14:paraId="0E5B0EDB">
            <w:pPr>
              <w:keepNext w:val="0"/>
              <w:keepLines w:val="0"/>
              <w:pageBreakBefore w:val="0"/>
              <w:widowControl w:val="0"/>
              <w:kinsoku/>
              <w:wordWrap/>
              <w:overflowPunct/>
              <w:topLinePunct w:val="0"/>
              <w:autoSpaceDE w:val="0"/>
              <w:autoSpaceDN w:val="0"/>
              <w:bidi w:val="0"/>
              <w:adjustRightInd/>
              <w:snapToGrid/>
              <w:spacing w:line="288" w:lineRule="auto"/>
              <w:ind w:firstLine="420" w:firstLineChars="200"/>
              <w:textAlignment w:val="auto"/>
              <w:rPr>
                <w:rFonts w:hint="eastAsia" w:ascii="宋体" w:hAnsi="宋体" w:eastAsia="宋体" w:cs="宋体"/>
                <w:spacing w:val="-15"/>
                <w:sz w:val="24"/>
                <w:szCs w:val="24"/>
                <w:lang w:val="en-US" w:eastAsia="zh-CN" w:bidi="ar-SA"/>
              </w:rPr>
            </w:pPr>
            <w:r>
              <w:rPr>
                <w:rFonts w:hint="eastAsia" w:ascii="宋体" w:hAnsi="宋体" w:eastAsia="宋体" w:cs="宋体"/>
                <w:spacing w:val="-15"/>
                <w:sz w:val="24"/>
                <w:szCs w:val="24"/>
                <w:lang w:val="en-US" w:eastAsia="zh-CN" w:bidi="ar-SA"/>
              </w:rPr>
              <w:t>9、本项目不接受联合体投标，提供非联合体承诺，格式自拟；</w:t>
            </w:r>
          </w:p>
          <w:p w14:paraId="33F41214">
            <w:pPr>
              <w:keepNext w:val="0"/>
              <w:keepLines w:val="0"/>
              <w:pageBreakBefore w:val="0"/>
              <w:widowControl w:val="0"/>
              <w:kinsoku/>
              <w:wordWrap/>
              <w:overflowPunct/>
              <w:topLinePunct w:val="0"/>
              <w:autoSpaceDE w:val="0"/>
              <w:autoSpaceDN w:val="0"/>
              <w:bidi w:val="0"/>
              <w:adjustRightInd/>
              <w:snapToGrid/>
              <w:spacing w:line="288" w:lineRule="auto"/>
              <w:ind w:firstLine="420" w:firstLineChars="200"/>
              <w:textAlignment w:val="auto"/>
              <w:rPr>
                <w:rFonts w:hint="eastAsia" w:ascii="宋体" w:hAnsi="宋体" w:eastAsia="宋体" w:cs="宋体"/>
                <w:spacing w:val="-15"/>
                <w:sz w:val="24"/>
                <w:szCs w:val="24"/>
                <w:lang w:val="en-US" w:eastAsia="zh-CN" w:bidi="ar-SA"/>
              </w:rPr>
            </w:pPr>
            <w:r>
              <w:rPr>
                <w:rFonts w:hint="eastAsia" w:ascii="宋体" w:hAnsi="宋体" w:eastAsia="宋体" w:cs="宋体"/>
                <w:spacing w:val="-15"/>
                <w:sz w:val="24"/>
                <w:szCs w:val="24"/>
                <w:lang w:val="en-US" w:eastAsia="zh-CN" w:bidi="ar-SA"/>
              </w:rPr>
              <w:t>10、本项目实行资格后审。</w:t>
            </w:r>
          </w:p>
          <w:p w14:paraId="09666FE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pacing w:val="-15"/>
                <w:sz w:val="24"/>
                <w:szCs w:val="24"/>
                <w:lang w:val="en-US" w:eastAsia="zh-CN" w:bidi="ar-SA"/>
              </w:rPr>
              <w:t>注：被列入失信被执行人及重大税收违法失信主体的企业做无效标处理。采购人或采购代理机构有权对供应商信用记录进行甄别和复查。</w:t>
            </w:r>
          </w:p>
        </w:tc>
      </w:tr>
      <w:tr w14:paraId="326701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712" w:type="dxa"/>
            <w:shd w:val="clear" w:color="auto" w:fill="auto"/>
            <w:vAlign w:val="center"/>
          </w:tcPr>
          <w:p w14:paraId="006984BB">
            <w:pPr>
              <w:pStyle w:val="29"/>
              <w:spacing w:before="7" w:line="360" w:lineRule="auto"/>
              <w:jc w:val="center"/>
              <w:rPr>
                <w:rFonts w:hint="eastAsia" w:ascii="宋体" w:hAnsi="宋体" w:eastAsia="宋体" w:cs="宋体"/>
                <w:spacing w:val="-15"/>
                <w:sz w:val="24"/>
                <w:szCs w:val="24"/>
                <w:lang w:val="en-US" w:eastAsia="zh-CN"/>
              </w:rPr>
            </w:pPr>
            <w:r>
              <w:rPr>
                <w:rFonts w:hint="eastAsia" w:ascii="宋体" w:hAnsi="宋体" w:eastAsia="宋体" w:cs="宋体"/>
                <w:spacing w:val="-15"/>
                <w:sz w:val="24"/>
                <w:szCs w:val="24"/>
                <w:lang w:eastAsia="zh-CN"/>
              </w:rPr>
              <w:t>1</w:t>
            </w:r>
            <w:r>
              <w:rPr>
                <w:rFonts w:hint="eastAsia" w:cs="宋体"/>
                <w:spacing w:val="-15"/>
                <w:sz w:val="24"/>
                <w:szCs w:val="24"/>
                <w:lang w:val="en-US" w:eastAsia="zh-CN"/>
              </w:rPr>
              <w:t>3</w:t>
            </w:r>
          </w:p>
        </w:tc>
        <w:tc>
          <w:tcPr>
            <w:tcW w:w="2448" w:type="dxa"/>
            <w:shd w:val="clear" w:color="auto" w:fill="auto"/>
            <w:vAlign w:val="center"/>
          </w:tcPr>
          <w:p w14:paraId="48ABC149">
            <w:pPr>
              <w:pStyle w:val="29"/>
              <w:spacing w:line="240" w:lineRule="auto"/>
              <w:jc w:val="center"/>
              <w:rPr>
                <w:rFonts w:hint="eastAsia" w:ascii="宋体" w:hAnsi="宋体" w:eastAsia="宋体" w:cs="宋体"/>
                <w:spacing w:val="-15"/>
                <w:sz w:val="24"/>
                <w:szCs w:val="24"/>
                <w:lang w:val="en-US" w:eastAsia="zh-CN"/>
              </w:rPr>
            </w:pPr>
            <w:r>
              <w:rPr>
                <w:rFonts w:hint="eastAsia" w:ascii="宋体" w:hAnsi="宋体" w:eastAsia="宋体" w:cs="宋体"/>
                <w:spacing w:val="-15"/>
                <w:sz w:val="24"/>
                <w:szCs w:val="24"/>
                <w:lang w:eastAsia="zh-CN"/>
              </w:rPr>
              <w:t>是否接受联合体</w:t>
            </w:r>
          </w:p>
        </w:tc>
        <w:tc>
          <w:tcPr>
            <w:tcW w:w="6792" w:type="dxa"/>
            <w:shd w:val="clear" w:color="auto" w:fill="auto"/>
            <w:vAlign w:val="center"/>
          </w:tcPr>
          <w:p w14:paraId="4F45A022">
            <w:pPr>
              <w:pStyle w:val="29"/>
              <w:spacing w:line="240" w:lineRule="auto"/>
              <w:jc w:val="both"/>
              <w:rPr>
                <w:rFonts w:hint="eastAsia" w:ascii="宋体" w:hAnsi="宋体" w:eastAsia="宋体" w:cs="宋体"/>
                <w:spacing w:val="-15"/>
                <w:sz w:val="24"/>
                <w:szCs w:val="24"/>
                <w:lang w:val="en-US" w:eastAsia="zh-CN"/>
              </w:rPr>
            </w:pPr>
            <w:r>
              <w:rPr>
                <w:rFonts w:hint="eastAsia" w:ascii="宋体" w:hAnsi="宋体" w:eastAsia="宋体" w:cs="宋体"/>
                <w:spacing w:val="-15"/>
                <w:sz w:val="24"/>
                <w:szCs w:val="24"/>
                <w:lang w:eastAsia="zh-CN"/>
              </w:rPr>
              <w:t>不接受</w:t>
            </w:r>
          </w:p>
        </w:tc>
      </w:tr>
      <w:tr w14:paraId="4B727C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712" w:type="dxa"/>
            <w:shd w:val="clear" w:color="auto" w:fill="auto"/>
            <w:vAlign w:val="center"/>
          </w:tcPr>
          <w:p w14:paraId="76A76583">
            <w:pPr>
              <w:pStyle w:val="29"/>
              <w:spacing w:before="7" w:line="360" w:lineRule="auto"/>
              <w:jc w:val="center"/>
              <w:rPr>
                <w:rFonts w:hint="default" w:ascii="宋体" w:hAnsi="宋体" w:eastAsia="宋体" w:cs="宋体"/>
                <w:spacing w:val="-15"/>
                <w:sz w:val="24"/>
                <w:szCs w:val="24"/>
                <w:lang w:val="en-US" w:eastAsia="zh-CN"/>
              </w:rPr>
            </w:pPr>
            <w:r>
              <w:rPr>
                <w:rFonts w:hint="eastAsia" w:ascii="宋体" w:hAnsi="宋体" w:eastAsia="宋体" w:cs="宋体"/>
                <w:spacing w:val="-15"/>
                <w:sz w:val="24"/>
                <w:szCs w:val="24"/>
                <w:lang w:val="en-US" w:eastAsia="zh-CN"/>
              </w:rPr>
              <w:t>14</w:t>
            </w:r>
          </w:p>
        </w:tc>
        <w:tc>
          <w:tcPr>
            <w:tcW w:w="2448" w:type="dxa"/>
            <w:shd w:val="clear" w:color="auto" w:fill="auto"/>
            <w:vAlign w:val="center"/>
          </w:tcPr>
          <w:p w14:paraId="2B70CC00">
            <w:pPr>
              <w:pStyle w:val="29"/>
              <w:spacing w:line="240" w:lineRule="auto"/>
              <w:jc w:val="center"/>
              <w:rPr>
                <w:rFonts w:hint="eastAsia" w:ascii="宋体" w:hAnsi="宋体" w:eastAsia="宋体" w:cs="宋体"/>
                <w:spacing w:val="-15"/>
                <w:sz w:val="24"/>
                <w:szCs w:val="24"/>
                <w:lang w:val="en-US" w:eastAsia="zh-CN"/>
              </w:rPr>
            </w:pPr>
            <w:r>
              <w:rPr>
                <w:rFonts w:hint="eastAsia" w:ascii="宋体" w:hAnsi="宋体" w:eastAsia="宋体" w:cs="宋体"/>
                <w:spacing w:val="-15"/>
                <w:sz w:val="24"/>
                <w:szCs w:val="24"/>
                <w:lang w:eastAsia="zh-CN"/>
              </w:rPr>
              <w:t>现场考察</w:t>
            </w:r>
          </w:p>
        </w:tc>
        <w:tc>
          <w:tcPr>
            <w:tcW w:w="6792" w:type="dxa"/>
            <w:shd w:val="clear" w:color="auto" w:fill="auto"/>
            <w:vAlign w:val="center"/>
          </w:tcPr>
          <w:p w14:paraId="0190351C">
            <w:pPr>
              <w:pStyle w:val="29"/>
              <w:spacing w:line="240" w:lineRule="auto"/>
              <w:jc w:val="both"/>
              <w:rPr>
                <w:rFonts w:hint="eastAsia" w:ascii="宋体" w:hAnsi="宋体" w:eastAsia="宋体" w:cs="宋体"/>
                <w:spacing w:val="-15"/>
                <w:sz w:val="24"/>
                <w:szCs w:val="24"/>
                <w:lang w:val="en-US" w:eastAsia="zh-CN"/>
              </w:rPr>
            </w:pPr>
            <w:r>
              <w:rPr>
                <w:rFonts w:hint="eastAsia" w:ascii="宋体" w:hAnsi="宋体" w:eastAsia="宋体" w:cs="宋体"/>
                <w:spacing w:val="-15"/>
                <w:sz w:val="24"/>
                <w:szCs w:val="24"/>
                <w:lang w:eastAsia="zh-CN"/>
              </w:rPr>
              <w:t>不组织</w:t>
            </w:r>
          </w:p>
        </w:tc>
      </w:tr>
      <w:tr w14:paraId="3275D1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712" w:type="dxa"/>
            <w:vAlign w:val="center"/>
          </w:tcPr>
          <w:p w14:paraId="3EB695ED">
            <w:pPr>
              <w:pStyle w:val="29"/>
              <w:spacing w:before="7" w:line="360" w:lineRule="auto"/>
              <w:jc w:val="center"/>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1</w:t>
            </w:r>
            <w:r>
              <w:rPr>
                <w:rFonts w:hint="eastAsia" w:ascii="宋体" w:hAnsi="宋体" w:eastAsia="宋体" w:cs="宋体"/>
                <w:spacing w:val="-15"/>
                <w:sz w:val="24"/>
                <w:szCs w:val="24"/>
                <w:lang w:val="en-US" w:eastAsia="zh-CN"/>
              </w:rPr>
              <w:t>5</w:t>
            </w:r>
          </w:p>
        </w:tc>
        <w:tc>
          <w:tcPr>
            <w:tcW w:w="2448" w:type="dxa"/>
            <w:vAlign w:val="center"/>
          </w:tcPr>
          <w:p w14:paraId="052E859B">
            <w:pPr>
              <w:pStyle w:val="29"/>
              <w:spacing w:line="240" w:lineRule="auto"/>
              <w:jc w:val="center"/>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答 疑 会</w:t>
            </w:r>
          </w:p>
        </w:tc>
        <w:tc>
          <w:tcPr>
            <w:tcW w:w="6792" w:type="dxa"/>
            <w:vAlign w:val="center"/>
          </w:tcPr>
          <w:p w14:paraId="46437E09">
            <w:pPr>
              <w:pStyle w:val="29"/>
              <w:spacing w:line="240" w:lineRule="auto"/>
              <w:jc w:val="both"/>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不召开</w:t>
            </w:r>
          </w:p>
        </w:tc>
      </w:tr>
      <w:tr w14:paraId="58019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712" w:type="dxa"/>
            <w:vAlign w:val="center"/>
          </w:tcPr>
          <w:p w14:paraId="781C12B0">
            <w:pPr>
              <w:pStyle w:val="29"/>
              <w:spacing w:before="7" w:line="360" w:lineRule="auto"/>
              <w:jc w:val="center"/>
              <w:rPr>
                <w:rFonts w:hint="default" w:ascii="宋体" w:hAnsi="宋体" w:eastAsia="宋体" w:cs="宋体"/>
                <w:spacing w:val="-15"/>
                <w:sz w:val="24"/>
                <w:szCs w:val="24"/>
                <w:lang w:val="en-US" w:eastAsia="zh-CN"/>
              </w:rPr>
            </w:pPr>
            <w:r>
              <w:rPr>
                <w:rFonts w:hint="eastAsia" w:ascii="宋体" w:hAnsi="宋体" w:eastAsia="宋体" w:cs="宋体"/>
                <w:spacing w:val="-15"/>
                <w:sz w:val="24"/>
                <w:szCs w:val="24"/>
                <w:lang w:val="en-US" w:eastAsia="zh-CN"/>
              </w:rPr>
              <w:t>16</w:t>
            </w:r>
          </w:p>
        </w:tc>
        <w:tc>
          <w:tcPr>
            <w:tcW w:w="2448" w:type="dxa"/>
            <w:vAlign w:val="center"/>
          </w:tcPr>
          <w:p w14:paraId="469554E0">
            <w:pPr>
              <w:pStyle w:val="29"/>
              <w:spacing w:line="240" w:lineRule="auto"/>
              <w:jc w:val="center"/>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分包</w:t>
            </w:r>
          </w:p>
        </w:tc>
        <w:tc>
          <w:tcPr>
            <w:tcW w:w="6792" w:type="dxa"/>
            <w:vAlign w:val="center"/>
          </w:tcPr>
          <w:p w14:paraId="50C8E58D">
            <w:pPr>
              <w:pStyle w:val="29"/>
              <w:spacing w:line="240" w:lineRule="auto"/>
              <w:jc w:val="both"/>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不允许</w:t>
            </w:r>
          </w:p>
        </w:tc>
      </w:tr>
      <w:tr w14:paraId="6CC307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712" w:type="dxa"/>
            <w:vAlign w:val="center"/>
          </w:tcPr>
          <w:p w14:paraId="5E78BBB4">
            <w:pPr>
              <w:pStyle w:val="29"/>
              <w:spacing w:before="7" w:line="360" w:lineRule="auto"/>
              <w:jc w:val="center"/>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1</w:t>
            </w:r>
            <w:r>
              <w:rPr>
                <w:rFonts w:hint="eastAsia" w:ascii="宋体" w:hAnsi="宋体" w:eastAsia="宋体" w:cs="宋体"/>
                <w:spacing w:val="-15"/>
                <w:sz w:val="24"/>
                <w:szCs w:val="24"/>
                <w:lang w:val="en-US" w:eastAsia="zh-CN"/>
              </w:rPr>
              <w:t>7</w:t>
            </w:r>
          </w:p>
        </w:tc>
        <w:tc>
          <w:tcPr>
            <w:tcW w:w="2448" w:type="dxa"/>
            <w:vAlign w:val="center"/>
          </w:tcPr>
          <w:p w14:paraId="2B1BDF25">
            <w:pPr>
              <w:pStyle w:val="29"/>
              <w:spacing w:line="240" w:lineRule="auto"/>
              <w:jc w:val="center"/>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实质性偏差</w:t>
            </w:r>
          </w:p>
        </w:tc>
        <w:tc>
          <w:tcPr>
            <w:tcW w:w="6792" w:type="dxa"/>
            <w:vAlign w:val="center"/>
          </w:tcPr>
          <w:p w14:paraId="550CF769">
            <w:pPr>
              <w:pStyle w:val="29"/>
              <w:spacing w:line="240" w:lineRule="auto"/>
              <w:jc w:val="both"/>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不允许</w:t>
            </w:r>
          </w:p>
        </w:tc>
      </w:tr>
      <w:tr w14:paraId="3ECC07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712" w:type="dxa"/>
            <w:vAlign w:val="center"/>
          </w:tcPr>
          <w:p w14:paraId="680EE03C">
            <w:pPr>
              <w:pStyle w:val="29"/>
              <w:spacing w:before="7" w:line="360" w:lineRule="auto"/>
              <w:jc w:val="center"/>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1</w:t>
            </w:r>
            <w:r>
              <w:rPr>
                <w:rFonts w:hint="eastAsia" w:ascii="宋体" w:hAnsi="宋体" w:eastAsia="宋体" w:cs="宋体"/>
                <w:spacing w:val="-15"/>
                <w:sz w:val="24"/>
                <w:szCs w:val="24"/>
                <w:lang w:val="en-US" w:eastAsia="zh-CN"/>
              </w:rPr>
              <w:t>8</w:t>
            </w:r>
          </w:p>
        </w:tc>
        <w:tc>
          <w:tcPr>
            <w:tcW w:w="2448" w:type="dxa"/>
            <w:vAlign w:val="center"/>
          </w:tcPr>
          <w:p w14:paraId="7941C16C">
            <w:pPr>
              <w:pStyle w:val="29"/>
              <w:spacing w:line="240" w:lineRule="auto"/>
              <w:jc w:val="center"/>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是否接受选择性</w:t>
            </w:r>
          </w:p>
          <w:p w14:paraId="410D968C">
            <w:pPr>
              <w:pStyle w:val="29"/>
              <w:spacing w:line="240" w:lineRule="auto"/>
              <w:jc w:val="center"/>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报价方案</w:t>
            </w:r>
          </w:p>
        </w:tc>
        <w:tc>
          <w:tcPr>
            <w:tcW w:w="6792" w:type="dxa"/>
            <w:vAlign w:val="center"/>
          </w:tcPr>
          <w:p w14:paraId="7E5148B0">
            <w:pPr>
              <w:pStyle w:val="29"/>
              <w:spacing w:line="240" w:lineRule="auto"/>
              <w:jc w:val="both"/>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不接受：首次响应文件只允许一个报价方案</w:t>
            </w:r>
          </w:p>
        </w:tc>
      </w:tr>
      <w:tr w14:paraId="6A839B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1" w:hRule="atLeast"/>
        </w:trPr>
        <w:tc>
          <w:tcPr>
            <w:tcW w:w="712" w:type="dxa"/>
            <w:vAlign w:val="center"/>
          </w:tcPr>
          <w:p w14:paraId="1B4674CE">
            <w:pPr>
              <w:pStyle w:val="29"/>
              <w:spacing w:before="7" w:line="360" w:lineRule="auto"/>
              <w:jc w:val="center"/>
              <w:rPr>
                <w:rFonts w:hint="eastAsia" w:ascii="宋体" w:hAnsi="宋体" w:eastAsia="宋体" w:cs="宋体"/>
                <w:spacing w:val="-15"/>
                <w:sz w:val="24"/>
                <w:szCs w:val="24"/>
                <w:lang w:eastAsia="zh-CN"/>
              </w:rPr>
            </w:pPr>
          </w:p>
          <w:p w14:paraId="5BFD53E1">
            <w:pPr>
              <w:pStyle w:val="29"/>
              <w:spacing w:before="7" w:line="360" w:lineRule="auto"/>
              <w:jc w:val="center"/>
              <w:rPr>
                <w:rFonts w:hint="default" w:ascii="宋体" w:hAnsi="宋体" w:eastAsia="宋体" w:cs="宋体"/>
                <w:spacing w:val="-15"/>
                <w:sz w:val="24"/>
                <w:szCs w:val="24"/>
                <w:lang w:val="en-US" w:eastAsia="zh-CN"/>
              </w:rPr>
            </w:pPr>
            <w:r>
              <w:rPr>
                <w:rFonts w:hint="eastAsia" w:ascii="宋体" w:hAnsi="宋体" w:eastAsia="宋体" w:cs="宋体"/>
                <w:spacing w:val="-15"/>
                <w:sz w:val="24"/>
                <w:szCs w:val="24"/>
                <w:lang w:val="en-US" w:eastAsia="zh-CN"/>
              </w:rPr>
              <w:t>19</w:t>
            </w:r>
          </w:p>
        </w:tc>
        <w:tc>
          <w:tcPr>
            <w:tcW w:w="2448" w:type="dxa"/>
            <w:vAlign w:val="center"/>
          </w:tcPr>
          <w:p w14:paraId="4534AE21">
            <w:pPr>
              <w:pStyle w:val="29"/>
              <w:spacing w:line="240" w:lineRule="auto"/>
              <w:jc w:val="center"/>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近年完成的类似项目的业绩年份要求</w:t>
            </w:r>
          </w:p>
        </w:tc>
        <w:tc>
          <w:tcPr>
            <w:tcW w:w="6792" w:type="dxa"/>
            <w:vAlign w:val="center"/>
          </w:tcPr>
          <w:p w14:paraId="52D6DEC4">
            <w:pPr>
              <w:pStyle w:val="29"/>
              <w:spacing w:line="240" w:lineRule="auto"/>
              <w:jc w:val="both"/>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202</w:t>
            </w:r>
            <w:r>
              <w:rPr>
                <w:rFonts w:hint="eastAsia" w:ascii="宋体" w:hAnsi="宋体" w:eastAsia="宋体" w:cs="宋体"/>
                <w:spacing w:val="-15"/>
                <w:sz w:val="24"/>
                <w:szCs w:val="24"/>
                <w:lang w:val="en-US" w:eastAsia="zh-CN"/>
              </w:rPr>
              <w:t>3</w:t>
            </w:r>
            <w:r>
              <w:rPr>
                <w:rFonts w:hint="eastAsia" w:ascii="宋体" w:hAnsi="宋体" w:eastAsia="宋体" w:cs="宋体"/>
                <w:spacing w:val="-15"/>
                <w:sz w:val="24"/>
                <w:szCs w:val="24"/>
                <w:lang w:eastAsia="zh-CN"/>
              </w:rPr>
              <w:t>年01 月01 日以来完成类似项目</w:t>
            </w:r>
          </w:p>
        </w:tc>
      </w:tr>
      <w:tr w14:paraId="53293C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712" w:type="dxa"/>
            <w:vAlign w:val="center"/>
          </w:tcPr>
          <w:p w14:paraId="30C450D9">
            <w:pPr>
              <w:pStyle w:val="29"/>
              <w:spacing w:before="7" w:line="360" w:lineRule="auto"/>
              <w:jc w:val="center"/>
              <w:rPr>
                <w:rFonts w:hint="default" w:ascii="宋体" w:hAnsi="宋体" w:eastAsia="宋体" w:cs="宋体"/>
                <w:spacing w:val="-15"/>
                <w:sz w:val="24"/>
                <w:szCs w:val="24"/>
                <w:lang w:val="en-US" w:eastAsia="zh-CN"/>
              </w:rPr>
            </w:pPr>
            <w:r>
              <w:rPr>
                <w:rFonts w:hint="eastAsia" w:ascii="宋体" w:hAnsi="宋体" w:eastAsia="宋体" w:cs="宋体"/>
                <w:spacing w:val="-15"/>
                <w:sz w:val="24"/>
                <w:szCs w:val="24"/>
                <w:lang w:val="en-US" w:eastAsia="zh-CN"/>
              </w:rPr>
              <w:t>20</w:t>
            </w:r>
          </w:p>
        </w:tc>
        <w:tc>
          <w:tcPr>
            <w:tcW w:w="2448" w:type="dxa"/>
            <w:vAlign w:val="center"/>
          </w:tcPr>
          <w:p w14:paraId="038EBD19">
            <w:pPr>
              <w:pStyle w:val="29"/>
              <w:spacing w:before="7" w:line="360" w:lineRule="auto"/>
              <w:jc w:val="center"/>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本次采购项目最高限价</w:t>
            </w:r>
          </w:p>
        </w:tc>
        <w:tc>
          <w:tcPr>
            <w:tcW w:w="6792" w:type="dxa"/>
            <w:vAlign w:val="center"/>
          </w:tcPr>
          <w:p w14:paraId="1CC5A043">
            <w:pPr>
              <w:pStyle w:val="29"/>
              <w:keepNext w:val="0"/>
              <w:keepLines w:val="0"/>
              <w:pageBreakBefore w:val="0"/>
              <w:widowControl w:val="0"/>
              <w:kinsoku/>
              <w:wordWrap/>
              <w:overflowPunct/>
              <w:topLinePunct w:val="0"/>
              <w:autoSpaceDE w:val="0"/>
              <w:autoSpaceDN w:val="0"/>
              <w:bidi w:val="0"/>
              <w:adjustRightInd/>
              <w:snapToGrid/>
              <w:spacing w:before="7" w:line="288" w:lineRule="auto"/>
              <w:jc w:val="both"/>
              <w:textAlignment w:val="auto"/>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预算金额：1</w:t>
            </w:r>
            <w:r>
              <w:rPr>
                <w:rFonts w:hint="eastAsia" w:cs="宋体"/>
                <w:spacing w:val="-15"/>
                <w:sz w:val="24"/>
                <w:szCs w:val="24"/>
                <w:lang w:val="en-US" w:eastAsia="zh-CN"/>
              </w:rPr>
              <w:t>929000</w:t>
            </w:r>
            <w:r>
              <w:rPr>
                <w:rFonts w:hint="eastAsia" w:ascii="宋体" w:hAnsi="宋体" w:eastAsia="宋体" w:cs="宋体"/>
                <w:spacing w:val="-15"/>
                <w:sz w:val="24"/>
                <w:szCs w:val="24"/>
                <w:lang w:eastAsia="zh-CN"/>
              </w:rPr>
              <w:t>.00元 ，投标供应商报价超出最高限价者，按无效标处理。</w:t>
            </w:r>
          </w:p>
        </w:tc>
      </w:tr>
      <w:tr w14:paraId="0F8A9E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712" w:type="dxa"/>
            <w:vAlign w:val="center"/>
          </w:tcPr>
          <w:p w14:paraId="2CE19B3E">
            <w:pPr>
              <w:pStyle w:val="29"/>
              <w:spacing w:before="7" w:line="360" w:lineRule="auto"/>
              <w:jc w:val="center"/>
              <w:rPr>
                <w:rFonts w:hint="eastAsia" w:ascii="宋体" w:hAnsi="宋体" w:eastAsia="宋体" w:cs="宋体"/>
                <w:spacing w:val="-15"/>
                <w:sz w:val="24"/>
                <w:szCs w:val="24"/>
                <w:lang w:eastAsia="zh-CN"/>
              </w:rPr>
            </w:pPr>
          </w:p>
          <w:p w14:paraId="0C3BBA2D">
            <w:pPr>
              <w:pStyle w:val="29"/>
              <w:spacing w:before="7" w:line="360" w:lineRule="auto"/>
              <w:jc w:val="center"/>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2</w:t>
            </w:r>
            <w:r>
              <w:rPr>
                <w:rFonts w:hint="eastAsia" w:ascii="宋体" w:hAnsi="宋体" w:eastAsia="宋体" w:cs="宋体"/>
                <w:spacing w:val="-15"/>
                <w:sz w:val="24"/>
                <w:szCs w:val="24"/>
                <w:lang w:val="en-US" w:eastAsia="zh-CN"/>
              </w:rPr>
              <w:t>1</w:t>
            </w:r>
          </w:p>
        </w:tc>
        <w:tc>
          <w:tcPr>
            <w:tcW w:w="2448" w:type="dxa"/>
            <w:vAlign w:val="center"/>
          </w:tcPr>
          <w:p w14:paraId="62AEA376">
            <w:pPr>
              <w:pStyle w:val="29"/>
              <w:spacing w:line="240" w:lineRule="auto"/>
              <w:jc w:val="center"/>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供应商要求澄清竞争性磋商文件</w:t>
            </w:r>
          </w:p>
        </w:tc>
        <w:tc>
          <w:tcPr>
            <w:tcW w:w="6792" w:type="dxa"/>
            <w:vAlign w:val="center"/>
          </w:tcPr>
          <w:p w14:paraId="0164E39A">
            <w:pPr>
              <w:pStyle w:val="29"/>
              <w:spacing w:line="240" w:lineRule="auto"/>
              <w:jc w:val="both"/>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时间：提交首次响应文件截止时间前 5 日</w:t>
            </w:r>
          </w:p>
        </w:tc>
      </w:tr>
      <w:tr w14:paraId="4CFB8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7" w:hRule="atLeast"/>
        </w:trPr>
        <w:tc>
          <w:tcPr>
            <w:tcW w:w="712" w:type="dxa"/>
            <w:tcBorders>
              <w:top w:val="nil"/>
            </w:tcBorders>
            <w:vAlign w:val="center"/>
          </w:tcPr>
          <w:p w14:paraId="65261806">
            <w:pPr>
              <w:pStyle w:val="29"/>
              <w:spacing w:before="7" w:line="360" w:lineRule="auto"/>
              <w:jc w:val="center"/>
              <w:rPr>
                <w:rFonts w:hint="eastAsia" w:ascii="宋体" w:hAnsi="宋体" w:eastAsia="宋体" w:cs="宋体"/>
                <w:spacing w:val="-15"/>
                <w:sz w:val="24"/>
                <w:szCs w:val="24"/>
                <w:lang w:val="en-US" w:eastAsia="zh-CN"/>
              </w:rPr>
            </w:pPr>
          </w:p>
          <w:p w14:paraId="47FE0219">
            <w:pPr>
              <w:pStyle w:val="29"/>
              <w:spacing w:before="7" w:line="360" w:lineRule="auto"/>
              <w:jc w:val="center"/>
              <w:rPr>
                <w:rFonts w:hint="eastAsia" w:ascii="宋体" w:hAnsi="宋体" w:eastAsia="宋体" w:cs="宋体"/>
                <w:spacing w:val="-15"/>
                <w:sz w:val="24"/>
                <w:szCs w:val="24"/>
                <w:lang w:val="en-US" w:eastAsia="zh-CN"/>
              </w:rPr>
            </w:pPr>
            <w:r>
              <w:rPr>
                <w:rFonts w:hint="eastAsia" w:ascii="宋体" w:hAnsi="宋体" w:eastAsia="宋体" w:cs="宋体"/>
                <w:spacing w:val="-15"/>
                <w:sz w:val="24"/>
                <w:szCs w:val="24"/>
                <w:lang w:val="en-US" w:eastAsia="zh-CN"/>
              </w:rPr>
              <w:t>22</w:t>
            </w:r>
          </w:p>
        </w:tc>
        <w:tc>
          <w:tcPr>
            <w:tcW w:w="2448" w:type="dxa"/>
            <w:tcBorders>
              <w:top w:val="nil"/>
            </w:tcBorders>
            <w:vAlign w:val="center"/>
          </w:tcPr>
          <w:p w14:paraId="10E74976">
            <w:pPr>
              <w:pStyle w:val="29"/>
              <w:spacing w:line="240" w:lineRule="auto"/>
              <w:jc w:val="center"/>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竞争性磋商文件澄清发出的形式</w:t>
            </w:r>
          </w:p>
        </w:tc>
        <w:tc>
          <w:tcPr>
            <w:tcW w:w="6792" w:type="dxa"/>
            <w:vAlign w:val="center"/>
          </w:tcPr>
          <w:p w14:paraId="7D1651CD">
            <w:pPr>
              <w:pStyle w:val="29"/>
              <w:spacing w:before="7" w:line="360" w:lineRule="auto"/>
              <w:jc w:val="both"/>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形式：在三门峡市公共资源电子招标投标交易平台提出</w:t>
            </w:r>
          </w:p>
          <w:p w14:paraId="0FF767FF">
            <w:pPr>
              <w:pStyle w:val="29"/>
              <w:spacing w:before="7" w:line="360" w:lineRule="auto"/>
              <w:jc w:val="both"/>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通过三门峡市公共资源电子招标投标交易平台发布且同时在原公告媒体发布澄清公告</w:t>
            </w:r>
          </w:p>
        </w:tc>
      </w:tr>
      <w:tr w14:paraId="70F253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4" w:hRule="atLeast"/>
        </w:trPr>
        <w:tc>
          <w:tcPr>
            <w:tcW w:w="712" w:type="dxa"/>
            <w:vAlign w:val="center"/>
          </w:tcPr>
          <w:p w14:paraId="57F39EBA">
            <w:pPr>
              <w:pStyle w:val="29"/>
              <w:spacing w:before="7" w:line="360" w:lineRule="auto"/>
              <w:jc w:val="center"/>
              <w:rPr>
                <w:rFonts w:hint="default" w:ascii="宋体" w:hAnsi="宋体" w:eastAsia="宋体" w:cs="宋体"/>
                <w:spacing w:val="-15"/>
                <w:sz w:val="24"/>
                <w:szCs w:val="24"/>
                <w:lang w:val="en-US" w:eastAsia="zh-CN"/>
              </w:rPr>
            </w:pPr>
            <w:r>
              <w:rPr>
                <w:rFonts w:hint="eastAsia" w:ascii="宋体" w:hAnsi="宋体" w:eastAsia="宋体" w:cs="宋体"/>
                <w:spacing w:val="-15"/>
                <w:sz w:val="24"/>
                <w:szCs w:val="24"/>
                <w:lang w:val="en-US" w:eastAsia="zh-CN"/>
              </w:rPr>
              <w:t>23</w:t>
            </w:r>
          </w:p>
        </w:tc>
        <w:tc>
          <w:tcPr>
            <w:tcW w:w="2448" w:type="dxa"/>
            <w:vAlign w:val="center"/>
          </w:tcPr>
          <w:p w14:paraId="79782CD5">
            <w:pPr>
              <w:pStyle w:val="29"/>
              <w:spacing w:line="240" w:lineRule="auto"/>
              <w:jc w:val="center"/>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竞争性磋商文件修</w:t>
            </w:r>
          </w:p>
          <w:p w14:paraId="63764759">
            <w:pPr>
              <w:pStyle w:val="29"/>
              <w:spacing w:before="7" w:line="360" w:lineRule="auto"/>
              <w:jc w:val="center"/>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改发出的形式</w:t>
            </w:r>
          </w:p>
        </w:tc>
        <w:tc>
          <w:tcPr>
            <w:tcW w:w="6792" w:type="dxa"/>
            <w:vAlign w:val="center"/>
          </w:tcPr>
          <w:p w14:paraId="75DBF3DB">
            <w:pPr>
              <w:pStyle w:val="29"/>
              <w:keepNext w:val="0"/>
              <w:keepLines w:val="0"/>
              <w:pageBreakBefore w:val="0"/>
              <w:widowControl w:val="0"/>
              <w:kinsoku/>
              <w:wordWrap/>
              <w:overflowPunct/>
              <w:topLinePunct w:val="0"/>
              <w:autoSpaceDE w:val="0"/>
              <w:autoSpaceDN w:val="0"/>
              <w:bidi w:val="0"/>
              <w:adjustRightInd/>
              <w:snapToGrid/>
              <w:spacing w:before="7" w:line="288" w:lineRule="auto"/>
              <w:jc w:val="both"/>
              <w:textAlignment w:val="auto"/>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时间：在收到相应澄清文件后 24 小时内</w:t>
            </w:r>
          </w:p>
          <w:p w14:paraId="4D07C682">
            <w:pPr>
              <w:pStyle w:val="29"/>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通过三门峡市公共资源电子招标投标交易平台发布且同时在原公告媒体发布变更公告</w:t>
            </w:r>
          </w:p>
        </w:tc>
      </w:tr>
      <w:tr w14:paraId="0FDA27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712" w:type="dxa"/>
            <w:vAlign w:val="center"/>
          </w:tcPr>
          <w:p w14:paraId="4B0A5FFB">
            <w:pPr>
              <w:pStyle w:val="29"/>
              <w:spacing w:before="7" w:line="360" w:lineRule="auto"/>
              <w:jc w:val="center"/>
              <w:rPr>
                <w:rFonts w:hint="default" w:ascii="宋体" w:hAnsi="宋体" w:eastAsia="宋体" w:cs="宋体"/>
                <w:spacing w:val="-15"/>
                <w:sz w:val="24"/>
                <w:szCs w:val="24"/>
                <w:lang w:val="en-US" w:eastAsia="zh-CN"/>
              </w:rPr>
            </w:pPr>
            <w:r>
              <w:rPr>
                <w:rFonts w:hint="eastAsia" w:ascii="宋体" w:hAnsi="宋体" w:eastAsia="宋体" w:cs="宋体"/>
                <w:spacing w:val="-15"/>
                <w:sz w:val="24"/>
                <w:szCs w:val="24"/>
                <w:lang w:val="en-US" w:eastAsia="zh-CN"/>
              </w:rPr>
              <w:t>24</w:t>
            </w:r>
          </w:p>
        </w:tc>
        <w:tc>
          <w:tcPr>
            <w:tcW w:w="2448" w:type="dxa"/>
            <w:vAlign w:val="center"/>
          </w:tcPr>
          <w:p w14:paraId="28F8B6C8">
            <w:pPr>
              <w:pStyle w:val="29"/>
              <w:spacing w:line="240" w:lineRule="auto"/>
              <w:jc w:val="center"/>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磋商有效期</w:t>
            </w:r>
          </w:p>
        </w:tc>
        <w:tc>
          <w:tcPr>
            <w:tcW w:w="6792" w:type="dxa"/>
            <w:vAlign w:val="center"/>
          </w:tcPr>
          <w:p w14:paraId="7A4C1EB5">
            <w:pPr>
              <w:pStyle w:val="29"/>
              <w:spacing w:before="7" w:line="360" w:lineRule="auto"/>
              <w:jc w:val="both"/>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响应文件递交截止之日起 60 日历天</w:t>
            </w:r>
          </w:p>
        </w:tc>
      </w:tr>
      <w:tr w14:paraId="6DB99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712" w:type="dxa"/>
            <w:vMerge w:val="restart"/>
          </w:tcPr>
          <w:p w14:paraId="23BE3166">
            <w:pPr>
              <w:pStyle w:val="29"/>
              <w:spacing w:before="7" w:line="360" w:lineRule="auto"/>
              <w:jc w:val="left"/>
              <w:rPr>
                <w:rFonts w:hint="eastAsia" w:ascii="宋体" w:hAnsi="宋体" w:eastAsia="宋体" w:cs="宋体"/>
                <w:spacing w:val="-15"/>
                <w:sz w:val="24"/>
                <w:szCs w:val="24"/>
                <w:lang w:eastAsia="zh-CN"/>
              </w:rPr>
            </w:pPr>
          </w:p>
          <w:p w14:paraId="2B661C1C">
            <w:pPr>
              <w:pStyle w:val="29"/>
              <w:spacing w:before="7" w:line="360" w:lineRule="auto"/>
              <w:jc w:val="left"/>
              <w:rPr>
                <w:rFonts w:hint="default" w:ascii="宋体" w:hAnsi="宋体" w:eastAsia="宋体" w:cs="宋体"/>
                <w:spacing w:val="-15"/>
                <w:sz w:val="24"/>
                <w:szCs w:val="24"/>
                <w:lang w:val="en-US" w:eastAsia="zh-CN"/>
              </w:rPr>
            </w:pPr>
            <w:r>
              <w:rPr>
                <w:rFonts w:hint="eastAsia" w:ascii="宋体" w:hAnsi="宋体" w:eastAsia="宋体" w:cs="宋体"/>
                <w:spacing w:val="-15"/>
                <w:sz w:val="24"/>
                <w:szCs w:val="24"/>
                <w:lang w:val="en-US" w:eastAsia="zh-CN"/>
              </w:rPr>
              <w:t>25</w:t>
            </w:r>
          </w:p>
        </w:tc>
        <w:tc>
          <w:tcPr>
            <w:tcW w:w="2448" w:type="dxa"/>
            <w:vMerge w:val="restart"/>
            <w:vAlign w:val="center"/>
          </w:tcPr>
          <w:p w14:paraId="76591834">
            <w:pPr>
              <w:pStyle w:val="29"/>
              <w:spacing w:before="7" w:line="360" w:lineRule="auto"/>
              <w:jc w:val="center"/>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磋商保证金、履约保证金</w:t>
            </w:r>
          </w:p>
        </w:tc>
        <w:tc>
          <w:tcPr>
            <w:tcW w:w="6792" w:type="dxa"/>
            <w:vAlign w:val="center"/>
          </w:tcPr>
          <w:p w14:paraId="0AD8124E">
            <w:pPr>
              <w:pStyle w:val="29"/>
              <w:spacing w:before="7" w:line="360" w:lineRule="auto"/>
              <w:jc w:val="both"/>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按照《河南省财政厅关于优化政府采购营商环境有关问题的通知》</w:t>
            </w:r>
          </w:p>
          <w:p w14:paraId="1B68946B">
            <w:pPr>
              <w:pStyle w:val="29"/>
              <w:spacing w:before="7" w:line="360" w:lineRule="auto"/>
              <w:jc w:val="both"/>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（豫财购[2019]4 号文）的要求本项目不再收取磋商保证金。</w:t>
            </w:r>
          </w:p>
        </w:tc>
      </w:tr>
      <w:tr w14:paraId="14E21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712" w:type="dxa"/>
            <w:vMerge w:val="continue"/>
          </w:tcPr>
          <w:p w14:paraId="36C0B93D">
            <w:pPr>
              <w:pStyle w:val="29"/>
              <w:spacing w:before="7" w:line="360" w:lineRule="auto"/>
              <w:jc w:val="left"/>
              <w:rPr>
                <w:rFonts w:hint="eastAsia" w:ascii="宋体" w:hAnsi="宋体" w:eastAsia="宋体" w:cs="宋体"/>
                <w:spacing w:val="-15"/>
                <w:sz w:val="24"/>
                <w:szCs w:val="24"/>
                <w:lang w:eastAsia="zh-CN"/>
              </w:rPr>
            </w:pPr>
          </w:p>
        </w:tc>
        <w:tc>
          <w:tcPr>
            <w:tcW w:w="2448" w:type="dxa"/>
            <w:vMerge w:val="continue"/>
          </w:tcPr>
          <w:p w14:paraId="4018588B">
            <w:pPr>
              <w:pStyle w:val="29"/>
              <w:spacing w:before="7" w:line="360" w:lineRule="auto"/>
              <w:jc w:val="left"/>
              <w:rPr>
                <w:rFonts w:hint="eastAsia" w:ascii="宋体" w:hAnsi="宋体" w:eastAsia="宋体" w:cs="宋体"/>
                <w:spacing w:val="-15"/>
                <w:sz w:val="24"/>
                <w:szCs w:val="24"/>
                <w:lang w:eastAsia="zh-CN"/>
              </w:rPr>
            </w:pPr>
          </w:p>
        </w:tc>
        <w:tc>
          <w:tcPr>
            <w:tcW w:w="6792" w:type="dxa"/>
          </w:tcPr>
          <w:p w14:paraId="5F0A181D">
            <w:pPr>
              <w:pStyle w:val="29"/>
              <w:spacing w:line="240" w:lineRule="auto"/>
              <w:jc w:val="left"/>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不收取</w:t>
            </w:r>
          </w:p>
        </w:tc>
      </w:tr>
      <w:tr w14:paraId="2634CC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712" w:type="dxa"/>
          </w:tcPr>
          <w:p w14:paraId="3B747F11">
            <w:pPr>
              <w:pStyle w:val="29"/>
              <w:spacing w:before="80"/>
              <w:ind w:left="279"/>
              <w:rPr>
                <w:rFonts w:hint="default" w:eastAsia="宋体"/>
                <w:sz w:val="24"/>
                <w:lang w:val="en-US" w:eastAsia="zh-CN"/>
              </w:rPr>
            </w:pPr>
            <w:r>
              <w:rPr>
                <w:rFonts w:hint="eastAsia"/>
                <w:sz w:val="24"/>
                <w:lang w:val="en-US" w:eastAsia="zh-CN"/>
              </w:rPr>
              <w:t>26</w:t>
            </w:r>
          </w:p>
        </w:tc>
        <w:tc>
          <w:tcPr>
            <w:tcW w:w="2448" w:type="dxa"/>
          </w:tcPr>
          <w:p w14:paraId="2F4C49D8">
            <w:pPr>
              <w:pStyle w:val="29"/>
              <w:spacing w:before="80"/>
              <w:ind w:left="522"/>
              <w:rPr>
                <w:sz w:val="24"/>
              </w:rPr>
            </w:pPr>
            <w:r>
              <w:rPr>
                <w:sz w:val="24"/>
              </w:rPr>
              <w:t>磋商文件费</w:t>
            </w:r>
          </w:p>
        </w:tc>
        <w:tc>
          <w:tcPr>
            <w:tcW w:w="6792" w:type="dxa"/>
          </w:tcPr>
          <w:p w14:paraId="3FDEBBF2">
            <w:pPr>
              <w:pStyle w:val="29"/>
              <w:spacing w:before="80"/>
              <w:ind w:left="106"/>
              <w:rPr>
                <w:sz w:val="24"/>
                <w:lang w:eastAsia="zh-CN"/>
              </w:rPr>
            </w:pPr>
            <w:r>
              <w:rPr>
                <w:sz w:val="24"/>
                <w:lang w:eastAsia="zh-CN"/>
              </w:rPr>
              <w:t>本项目为全电子招标，不再收取磋商文件费用</w:t>
            </w:r>
          </w:p>
        </w:tc>
      </w:tr>
      <w:tr w14:paraId="464517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2" w:hRule="atLeast"/>
        </w:trPr>
        <w:tc>
          <w:tcPr>
            <w:tcW w:w="712" w:type="dxa"/>
          </w:tcPr>
          <w:p w14:paraId="3BC95AED">
            <w:pPr>
              <w:pStyle w:val="29"/>
              <w:rPr>
                <w:b/>
                <w:sz w:val="24"/>
                <w:lang w:eastAsia="zh-CN"/>
              </w:rPr>
            </w:pPr>
          </w:p>
          <w:p w14:paraId="4F4CF719">
            <w:pPr>
              <w:pStyle w:val="29"/>
              <w:rPr>
                <w:b/>
                <w:sz w:val="24"/>
                <w:lang w:eastAsia="zh-CN"/>
              </w:rPr>
            </w:pPr>
          </w:p>
          <w:p w14:paraId="009D7D5E">
            <w:pPr>
              <w:pStyle w:val="29"/>
              <w:spacing w:before="167"/>
              <w:ind w:left="279"/>
              <w:rPr>
                <w:rFonts w:hint="default" w:eastAsia="宋体"/>
                <w:sz w:val="24"/>
                <w:lang w:val="en-US" w:eastAsia="zh-CN"/>
              </w:rPr>
            </w:pPr>
            <w:r>
              <w:rPr>
                <w:rFonts w:hint="eastAsia"/>
                <w:sz w:val="24"/>
                <w:lang w:val="en-US" w:eastAsia="zh-CN"/>
              </w:rPr>
              <w:t>27</w:t>
            </w:r>
          </w:p>
        </w:tc>
        <w:tc>
          <w:tcPr>
            <w:tcW w:w="2448" w:type="dxa"/>
          </w:tcPr>
          <w:p w14:paraId="161DCB9A">
            <w:pPr>
              <w:pStyle w:val="29"/>
              <w:rPr>
                <w:b/>
                <w:sz w:val="24"/>
                <w:lang w:eastAsia="zh-CN"/>
              </w:rPr>
            </w:pPr>
          </w:p>
          <w:p w14:paraId="7511A959">
            <w:pPr>
              <w:pStyle w:val="29"/>
              <w:spacing w:before="11"/>
              <w:rPr>
                <w:b/>
                <w:sz w:val="24"/>
                <w:lang w:eastAsia="zh-CN"/>
              </w:rPr>
            </w:pPr>
          </w:p>
          <w:p w14:paraId="2464A864">
            <w:pPr>
              <w:pStyle w:val="29"/>
              <w:spacing w:line="242" w:lineRule="auto"/>
              <w:ind w:left="882" w:right="150" w:hanging="720"/>
              <w:rPr>
                <w:sz w:val="24"/>
                <w:lang w:eastAsia="zh-CN"/>
              </w:rPr>
            </w:pPr>
            <w:r>
              <w:rPr>
                <w:sz w:val="24"/>
                <w:lang w:eastAsia="zh-CN"/>
              </w:rPr>
              <w:t>电子化响应文件的签章</w:t>
            </w:r>
          </w:p>
        </w:tc>
        <w:tc>
          <w:tcPr>
            <w:tcW w:w="6792" w:type="dxa"/>
          </w:tcPr>
          <w:p w14:paraId="0857CA24">
            <w:pPr>
              <w:pStyle w:val="29"/>
              <w:keepNext w:val="0"/>
              <w:keepLines w:val="0"/>
              <w:pageBreakBefore w:val="0"/>
              <w:widowControl w:val="0"/>
              <w:kinsoku/>
              <w:wordWrap/>
              <w:overflowPunct/>
              <w:topLinePunct w:val="0"/>
              <w:autoSpaceDE w:val="0"/>
              <w:autoSpaceDN w:val="0"/>
              <w:bidi w:val="0"/>
              <w:adjustRightInd/>
              <w:snapToGrid/>
              <w:spacing w:before="7" w:line="288" w:lineRule="auto"/>
              <w:jc w:val="both"/>
              <w:textAlignment w:val="auto"/>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1、供应商在生成电子化响应文件后，应对电子化响应文件进行签章，未进行签章的视为无效响应文件。</w:t>
            </w:r>
          </w:p>
          <w:p w14:paraId="16D2519C">
            <w:pPr>
              <w:pStyle w:val="29"/>
              <w:keepNext w:val="0"/>
              <w:keepLines w:val="0"/>
              <w:pageBreakBefore w:val="0"/>
              <w:widowControl w:val="0"/>
              <w:kinsoku/>
              <w:wordWrap/>
              <w:overflowPunct/>
              <w:topLinePunct w:val="0"/>
              <w:autoSpaceDE w:val="0"/>
              <w:autoSpaceDN w:val="0"/>
              <w:bidi w:val="0"/>
              <w:adjustRightInd/>
              <w:snapToGrid/>
              <w:spacing w:before="7" w:line="288" w:lineRule="auto"/>
              <w:jc w:val="both"/>
              <w:textAlignment w:val="auto"/>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2、磋商文件中要求法定代表人或授权委托人签字或盖章的，供应商在进行电子化响应文件签章时，以签盖法定代表人签章为准。电子化响应文件具体制作教材请供应商通过 CA 证书登录三门峡市公共资源电子化交易系统中查看。</w:t>
            </w:r>
          </w:p>
        </w:tc>
      </w:tr>
      <w:tr w14:paraId="0FE9F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712" w:type="dxa"/>
          </w:tcPr>
          <w:p w14:paraId="6568F538">
            <w:pPr>
              <w:pStyle w:val="29"/>
              <w:rPr>
                <w:b/>
                <w:sz w:val="24"/>
                <w:lang w:eastAsia="zh-CN"/>
              </w:rPr>
            </w:pPr>
          </w:p>
          <w:p w14:paraId="56CEA9E5">
            <w:pPr>
              <w:pStyle w:val="29"/>
              <w:spacing w:before="162"/>
              <w:ind w:left="279"/>
              <w:rPr>
                <w:rFonts w:hint="default" w:eastAsia="宋体"/>
                <w:sz w:val="24"/>
                <w:lang w:val="en-US" w:eastAsia="zh-CN"/>
              </w:rPr>
            </w:pPr>
            <w:r>
              <w:rPr>
                <w:rFonts w:hint="eastAsia"/>
                <w:sz w:val="24"/>
                <w:lang w:val="en-US" w:eastAsia="zh-CN"/>
              </w:rPr>
              <w:t>28</w:t>
            </w:r>
          </w:p>
        </w:tc>
        <w:tc>
          <w:tcPr>
            <w:tcW w:w="2448" w:type="dxa"/>
            <w:vAlign w:val="center"/>
          </w:tcPr>
          <w:p w14:paraId="6F1C7EF0">
            <w:pPr>
              <w:pStyle w:val="29"/>
              <w:jc w:val="center"/>
              <w:rPr>
                <w:b/>
                <w:sz w:val="24"/>
              </w:rPr>
            </w:pPr>
          </w:p>
          <w:p w14:paraId="6A180B82">
            <w:pPr>
              <w:pStyle w:val="29"/>
              <w:ind w:left="0"/>
              <w:jc w:val="center"/>
              <w:rPr>
                <w:sz w:val="24"/>
              </w:rPr>
            </w:pPr>
            <w:r>
              <w:rPr>
                <w:sz w:val="24"/>
              </w:rPr>
              <w:t>资料上传注意事项</w:t>
            </w:r>
          </w:p>
        </w:tc>
        <w:tc>
          <w:tcPr>
            <w:tcW w:w="6792" w:type="dxa"/>
          </w:tcPr>
          <w:p w14:paraId="0BD8514F">
            <w:pPr>
              <w:pStyle w:val="29"/>
              <w:keepNext w:val="0"/>
              <w:keepLines w:val="0"/>
              <w:pageBreakBefore w:val="0"/>
              <w:widowControl w:val="0"/>
              <w:kinsoku/>
              <w:wordWrap/>
              <w:overflowPunct/>
              <w:topLinePunct w:val="0"/>
              <w:autoSpaceDE w:val="0"/>
              <w:autoSpaceDN w:val="0"/>
              <w:bidi w:val="0"/>
              <w:adjustRightInd/>
              <w:snapToGrid/>
              <w:spacing w:before="7" w:line="288" w:lineRule="auto"/>
              <w:jc w:val="both"/>
              <w:textAlignment w:val="auto"/>
              <w:rPr>
                <w:rFonts w:hint="eastAsia" w:ascii="宋体" w:hAnsi="宋体" w:eastAsia="宋体" w:cs="宋体"/>
                <w:spacing w:val="-15"/>
                <w:sz w:val="24"/>
                <w:szCs w:val="24"/>
                <w:lang w:eastAsia="zh-CN"/>
              </w:rPr>
            </w:pPr>
            <w:r>
              <w:rPr>
                <w:rFonts w:hint="eastAsia" w:ascii="宋体" w:hAnsi="宋体" w:eastAsia="宋体" w:cs="宋体"/>
                <w:spacing w:val="-15"/>
                <w:sz w:val="24"/>
                <w:szCs w:val="24"/>
                <w:lang w:val="en-US" w:eastAsia="zh-CN"/>
              </w:rPr>
              <w:t>响应文件编制部分：在磋商文件中要求供应商按照响应文件格式进行响应文件编制，在响应文件编制时，应明确将投标单位企业基本情况、资质情况、人员情况、财务情况、业绩情况编入响应文件，便于进行资格审查及评标打分。</w:t>
            </w:r>
          </w:p>
        </w:tc>
      </w:tr>
      <w:tr w14:paraId="71BA1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trPr>
        <w:tc>
          <w:tcPr>
            <w:tcW w:w="712" w:type="dxa"/>
          </w:tcPr>
          <w:p w14:paraId="33DED078">
            <w:pPr>
              <w:pStyle w:val="29"/>
              <w:rPr>
                <w:b/>
                <w:sz w:val="24"/>
                <w:lang w:eastAsia="zh-CN"/>
              </w:rPr>
            </w:pPr>
          </w:p>
          <w:p w14:paraId="0443CECE">
            <w:pPr>
              <w:pStyle w:val="29"/>
              <w:spacing w:before="164"/>
              <w:ind w:left="279"/>
              <w:rPr>
                <w:rFonts w:hint="default" w:eastAsia="宋体"/>
                <w:sz w:val="24"/>
                <w:lang w:val="en-US" w:eastAsia="zh-CN"/>
              </w:rPr>
            </w:pPr>
            <w:r>
              <w:rPr>
                <w:rFonts w:hint="eastAsia"/>
                <w:sz w:val="24"/>
                <w:lang w:val="en-US" w:eastAsia="zh-CN"/>
              </w:rPr>
              <w:t>29</w:t>
            </w:r>
          </w:p>
        </w:tc>
        <w:tc>
          <w:tcPr>
            <w:tcW w:w="2448" w:type="dxa"/>
            <w:vAlign w:val="center"/>
          </w:tcPr>
          <w:p w14:paraId="70BA48A1">
            <w:pPr>
              <w:spacing w:line="460" w:lineRule="exact"/>
              <w:jc w:val="center"/>
              <w:rPr>
                <w:sz w:val="24"/>
                <w:lang w:eastAsia="zh-CN"/>
              </w:rPr>
            </w:pPr>
            <w:r>
              <w:rPr>
                <w:rFonts w:hint="eastAsia" w:ascii="宋体" w:hAnsi="宋体"/>
                <w:sz w:val="24"/>
                <w:szCs w:val="24"/>
              </w:rPr>
              <w:t>知识产权</w:t>
            </w:r>
          </w:p>
        </w:tc>
        <w:tc>
          <w:tcPr>
            <w:tcW w:w="6792" w:type="dxa"/>
            <w:vAlign w:val="center"/>
          </w:tcPr>
          <w:p w14:paraId="7C74D3E3">
            <w:pPr>
              <w:pStyle w:val="29"/>
              <w:spacing w:before="159"/>
              <w:ind w:left="106"/>
              <w:rPr>
                <w:rFonts w:hint="eastAsia" w:ascii="宋体" w:hAnsi="宋体" w:eastAsia="宋体" w:cs="宋体"/>
                <w:spacing w:val="-15"/>
                <w:sz w:val="24"/>
                <w:szCs w:val="24"/>
                <w:lang w:val="en-US" w:eastAsia="zh-CN" w:bidi="ar-SA"/>
              </w:rPr>
            </w:pPr>
            <w:r>
              <w:rPr>
                <w:rFonts w:hint="eastAsia" w:ascii="宋体" w:hAnsi="宋体" w:eastAsia="宋体" w:cs="宋体"/>
                <w:color w:val="auto"/>
                <w:sz w:val="24"/>
                <w:lang w:val="en-US" w:eastAsia="zh-CN"/>
              </w:rPr>
              <w:t>构成本招标文件各个组成部分的文件，未经招标人书面同意，</w:t>
            </w:r>
            <w:r>
              <w:rPr>
                <w:rFonts w:hint="eastAsia" w:cs="宋体"/>
                <w:color w:val="auto"/>
                <w:sz w:val="24"/>
                <w:lang w:val="en-US" w:eastAsia="zh-CN"/>
              </w:rPr>
              <w:t>供应商</w:t>
            </w:r>
            <w:r>
              <w:rPr>
                <w:rFonts w:hint="eastAsia" w:ascii="宋体" w:hAnsi="宋体" w:eastAsia="宋体" w:cs="宋体"/>
                <w:color w:val="auto"/>
                <w:sz w:val="24"/>
                <w:lang w:val="en-US" w:eastAsia="zh-CN"/>
              </w:rPr>
              <w:t>不得擅自复印和用于非本招标项目所需的其他目的。招标人全部或者部分使用未中标人投标文件中的技术成果或技术方案时，需征得其书面同意，并不得擅自复印或提供给第三人。</w:t>
            </w:r>
          </w:p>
        </w:tc>
      </w:tr>
      <w:tr w14:paraId="420E5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712" w:type="dxa"/>
            <w:vAlign w:val="center"/>
          </w:tcPr>
          <w:p w14:paraId="7F432D41">
            <w:pPr>
              <w:pStyle w:val="29"/>
              <w:jc w:val="center"/>
              <w:rPr>
                <w:rFonts w:hint="default" w:eastAsia="宋体"/>
                <w:sz w:val="24"/>
                <w:lang w:val="en-US" w:eastAsia="zh-CN"/>
              </w:rPr>
            </w:pPr>
            <w:r>
              <w:rPr>
                <w:rFonts w:hint="eastAsia"/>
                <w:sz w:val="24"/>
                <w:lang w:val="en-US" w:eastAsia="zh-CN"/>
              </w:rPr>
              <w:t>30</w:t>
            </w:r>
          </w:p>
        </w:tc>
        <w:tc>
          <w:tcPr>
            <w:tcW w:w="2448" w:type="dxa"/>
            <w:vAlign w:val="center"/>
          </w:tcPr>
          <w:p w14:paraId="794F4793">
            <w:pPr>
              <w:pStyle w:val="29"/>
              <w:ind w:left="0"/>
              <w:jc w:val="center"/>
              <w:rPr>
                <w:sz w:val="24"/>
              </w:rPr>
            </w:pPr>
            <w:r>
              <w:rPr>
                <w:sz w:val="24"/>
              </w:rPr>
              <w:t>付款方式</w:t>
            </w:r>
          </w:p>
        </w:tc>
        <w:tc>
          <w:tcPr>
            <w:tcW w:w="6792" w:type="dxa"/>
            <w:vAlign w:val="center"/>
          </w:tcPr>
          <w:p w14:paraId="5FF0EF77">
            <w:pPr>
              <w:pStyle w:val="29"/>
              <w:spacing w:line="240" w:lineRule="auto"/>
              <w:jc w:val="both"/>
              <w:rPr>
                <w:rFonts w:hint="eastAsia" w:ascii="宋体" w:hAnsi="宋体" w:eastAsia="宋体" w:cs="宋体"/>
                <w:spacing w:val="-15"/>
                <w:sz w:val="24"/>
                <w:szCs w:val="24"/>
                <w:lang w:val="en-US" w:eastAsia="zh-CN" w:bidi="ar-SA"/>
              </w:rPr>
            </w:pPr>
            <w:r>
              <w:rPr>
                <w:rFonts w:hint="eastAsia" w:ascii="宋体" w:hAnsi="宋体" w:eastAsia="宋体" w:cs="宋体"/>
                <w:spacing w:val="-15"/>
                <w:sz w:val="24"/>
                <w:szCs w:val="24"/>
                <w:lang w:val="en-US" w:eastAsia="zh-CN" w:bidi="ar-SA"/>
              </w:rPr>
              <w:t>签订合同时双方自行协商</w:t>
            </w:r>
          </w:p>
        </w:tc>
      </w:tr>
      <w:tr w14:paraId="02F5D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712" w:type="dxa"/>
          </w:tcPr>
          <w:p w14:paraId="2C1482B2">
            <w:pPr>
              <w:pStyle w:val="29"/>
              <w:spacing w:before="159"/>
              <w:ind w:left="279"/>
              <w:rPr>
                <w:rFonts w:hint="default" w:eastAsia="宋体"/>
                <w:sz w:val="24"/>
                <w:lang w:val="en-US" w:eastAsia="zh-CN"/>
              </w:rPr>
            </w:pPr>
            <w:r>
              <w:rPr>
                <w:rFonts w:hint="eastAsia"/>
                <w:sz w:val="24"/>
                <w:lang w:val="en-US" w:eastAsia="zh-CN"/>
              </w:rPr>
              <w:t>31</w:t>
            </w:r>
          </w:p>
        </w:tc>
        <w:tc>
          <w:tcPr>
            <w:tcW w:w="2448" w:type="dxa"/>
          </w:tcPr>
          <w:p w14:paraId="1FCB4C5F">
            <w:pPr>
              <w:pStyle w:val="29"/>
              <w:spacing w:before="3"/>
              <w:ind w:left="137" w:right="127"/>
              <w:jc w:val="center"/>
              <w:rPr>
                <w:sz w:val="24"/>
                <w:lang w:eastAsia="zh-CN"/>
              </w:rPr>
            </w:pPr>
            <w:r>
              <w:rPr>
                <w:sz w:val="24"/>
                <w:lang w:eastAsia="zh-CN"/>
              </w:rPr>
              <w:t>响应文件递交截止</w:t>
            </w:r>
          </w:p>
          <w:p w14:paraId="2012E48F">
            <w:pPr>
              <w:pStyle w:val="29"/>
              <w:spacing w:before="4" w:line="289" w:lineRule="exact"/>
              <w:ind w:left="137" w:right="127"/>
              <w:jc w:val="center"/>
              <w:rPr>
                <w:sz w:val="24"/>
                <w:lang w:eastAsia="zh-CN"/>
              </w:rPr>
            </w:pPr>
            <w:r>
              <w:rPr>
                <w:sz w:val="24"/>
                <w:lang w:eastAsia="zh-CN"/>
              </w:rPr>
              <w:t>时间</w:t>
            </w:r>
          </w:p>
        </w:tc>
        <w:tc>
          <w:tcPr>
            <w:tcW w:w="6792" w:type="dxa"/>
          </w:tcPr>
          <w:p w14:paraId="023A86CB">
            <w:pPr>
              <w:pStyle w:val="29"/>
              <w:spacing w:before="159"/>
              <w:ind w:left="106"/>
              <w:rPr>
                <w:sz w:val="24"/>
              </w:rPr>
            </w:pPr>
            <w:r>
              <w:rPr>
                <w:color w:val="auto"/>
                <w:sz w:val="24"/>
                <w:lang w:eastAsia="zh-CN"/>
              </w:rPr>
              <w:t>20</w:t>
            </w:r>
            <w:r>
              <w:rPr>
                <w:rFonts w:hint="eastAsia"/>
                <w:color w:val="auto"/>
                <w:sz w:val="24"/>
                <w:lang w:val="en-US" w:eastAsia="zh-CN"/>
              </w:rPr>
              <w:t>26</w:t>
            </w:r>
            <w:r>
              <w:rPr>
                <w:color w:val="auto"/>
                <w:sz w:val="24"/>
                <w:lang w:eastAsia="zh-CN"/>
              </w:rPr>
              <w:t>年</w:t>
            </w:r>
            <w:r>
              <w:rPr>
                <w:rFonts w:hint="eastAsia"/>
                <w:color w:val="auto"/>
                <w:sz w:val="24"/>
                <w:lang w:val="en-US" w:eastAsia="zh-CN"/>
              </w:rPr>
              <w:t>11</w:t>
            </w:r>
            <w:r>
              <w:rPr>
                <w:color w:val="auto"/>
                <w:sz w:val="24"/>
                <w:lang w:eastAsia="zh-CN"/>
              </w:rPr>
              <w:t>月</w:t>
            </w:r>
            <w:r>
              <w:rPr>
                <w:rFonts w:hint="eastAsia"/>
                <w:color w:val="auto"/>
                <w:sz w:val="24"/>
                <w:lang w:val="en-US" w:eastAsia="zh-CN"/>
              </w:rPr>
              <w:t>02</w:t>
            </w:r>
            <w:r>
              <w:rPr>
                <w:color w:val="auto"/>
                <w:sz w:val="24"/>
                <w:lang w:eastAsia="zh-CN"/>
              </w:rPr>
              <w:t>日08时40分</w:t>
            </w:r>
          </w:p>
        </w:tc>
      </w:tr>
      <w:tr w14:paraId="093882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712" w:type="dxa"/>
          </w:tcPr>
          <w:p w14:paraId="4E80C685">
            <w:pPr>
              <w:pStyle w:val="29"/>
              <w:spacing w:before="65"/>
              <w:ind w:left="279"/>
              <w:rPr>
                <w:rFonts w:hint="eastAsia" w:eastAsia="宋体"/>
                <w:sz w:val="24"/>
                <w:lang w:eastAsia="zh-CN"/>
              </w:rPr>
            </w:pPr>
            <w:r>
              <w:rPr>
                <w:sz w:val="24"/>
              </w:rPr>
              <w:t>3</w:t>
            </w:r>
            <w:r>
              <w:rPr>
                <w:rFonts w:hint="eastAsia"/>
                <w:sz w:val="24"/>
                <w:lang w:val="en-US" w:eastAsia="zh-CN"/>
              </w:rPr>
              <w:t>2</w:t>
            </w:r>
          </w:p>
        </w:tc>
        <w:tc>
          <w:tcPr>
            <w:tcW w:w="2448" w:type="dxa"/>
          </w:tcPr>
          <w:p w14:paraId="4166F31B">
            <w:pPr>
              <w:pStyle w:val="29"/>
              <w:spacing w:before="65"/>
              <w:ind w:left="162"/>
              <w:rPr>
                <w:sz w:val="24"/>
              </w:rPr>
            </w:pPr>
            <w:r>
              <w:rPr>
                <w:sz w:val="24"/>
              </w:rPr>
              <w:t>响应文件递交地点</w:t>
            </w:r>
          </w:p>
        </w:tc>
        <w:tc>
          <w:tcPr>
            <w:tcW w:w="6792" w:type="dxa"/>
          </w:tcPr>
          <w:p w14:paraId="2990BEE6">
            <w:pPr>
              <w:pStyle w:val="29"/>
              <w:spacing w:before="65"/>
              <w:ind w:left="106"/>
              <w:rPr>
                <w:sz w:val="24"/>
                <w:lang w:eastAsia="zh-CN"/>
              </w:rPr>
            </w:pPr>
            <w:r>
              <w:rPr>
                <w:sz w:val="24"/>
                <w:lang w:eastAsia="zh-CN"/>
              </w:rPr>
              <w:t>上传至三门峡市公共资源交易中心系统</w:t>
            </w:r>
          </w:p>
        </w:tc>
      </w:tr>
      <w:tr w14:paraId="575341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6" w:hRule="atLeast"/>
        </w:trPr>
        <w:tc>
          <w:tcPr>
            <w:tcW w:w="712" w:type="dxa"/>
          </w:tcPr>
          <w:p w14:paraId="507BD533">
            <w:pPr>
              <w:pStyle w:val="29"/>
              <w:spacing w:before="6"/>
              <w:rPr>
                <w:b/>
                <w:sz w:val="24"/>
                <w:lang w:eastAsia="zh-CN"/>
              </w:rPr>
            </w:pPr>
          </w:p>
          <w:p w14:paraId="48EF0E83">
            <w:pPr>
              <w:pStyle w:val="29"/>
              <w:ind w:left="279"/>
              <w:rPr>
                <w:rFonts w:hint="eastAsia" w:eastAsia="宋体"/>
                <w:sz w:val="24"/>
                <w:lang w:eastAsia="zh-CN"/>
              </w:rPr>
            </w:pPr>
            <w:r>
              <w:rPr>
                <w:sz w:val="24"/>
              </w:rPr>
              <w:t>3</w:t>
            </w:r>
            <w:r>
              <w:rPr>
                <w:rFonts w:hint="eastAsia"/>
                <w:sz w:val="24"/>
                <w:lang w:val="en-US" w:eastAsia="zh-CN"/>
              </w:rPr>
              <w:t>3</w:t>
            </w:r>
          </w:p>
        </w:tc>
        <w:tc>
          <w:tcPr>
            <w:tcW w:w="2448" w:type="dxa"/>
            <w:vAlign w:val="center"/>
          </w:tcPr>
          <w:p w14:paraId="7C8861D9">
            <w:pPr>
              <w:pStyle w:val="29"/>
              <w:ind w:left="0" w:right="0"/>
              <w:jc w:val="center"/>
              <w:rPr>
                <w:sz w:val="24"/>
                <w:lang w:eastAsia="zh-CN"/>
              </w:rPr>
            </w:pPr>
            <w:r>
              <w:rPr>
                <w:sz w:val="24"/>
                <w:lang w:eastAsia="zh-CN"/>
              </w:rPr>
              <w:t>是否允许递交备选</w:t>
            </w:r>
          </w:p>
          <w:p w14:paraId="702F4878">
            <w:pPr>
              <w:pStyle w:val="29"/>
              <w:ind w:left="0" w:right="0"/>
              <w:jc w:val="center"/>
              <w:rPr>
                <w:sz w:val="24"/>
                <w:lang w:eastAsia="zh-CN"/>
              </w:rPr>
            </w:pPr>
            <w:r>
              <w:rPr>
                <w:sz w:val="24"/>
                <w:lang w:eastAsia="zh-CN"/>
              </w:rPr>
              <w:t>投标方案</w:t>
            </w:r>
          </w:p>
        </w:tc>
        <w:tc>
          <w:tcPr>
            <w:tcW w:w="6792" w:type="dxa"/>
          </w:tcPr>
          <w:p w14:paraId="463D7FCB">
            <w:pPr>
              <w:pStyle w:val="29"/>
              <w:spacing w:before="6"/>
              <w:rPr>
                <w:b/>
                <w:sz w:val="24"/>
                <w:lang w:eastAsia="zh-CN"/>
              </w:rPr>
            </w:pPr>
          </w:p>
          <w:p w14:paraId="16D49EA8">
            <w:pPr>
              <w:pStyle w:val="29"/>
              <w:ind w:left="106"/>
              <w:rPr>
                <w:sz w:val="24"/>
              </w:rPr>
            </w:pPr>
            <w:r>
              <w:rPr>
                <w:sz w:val="24"/>
              </w:rPr>
              <w:t>不允许</w:t>
            </w:r>
          </w:p>
        </w:tc>
      </w:tr>
      <w:tr w14:paraId="2CD38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12" w:type="dxa"/>
          </w:tcPr>
          <w:p w14:paraId="0A991B32">
            <w:pPr>
              <w:pStyle w:val="29"/>
              <w:spacing w:before="45"/>
              <w:ind w:left="279"/>
              <w:rPr>
                <w:rFonts w:hint="eastAsia" w:eastAsia="宋体"/>
                <w:sz w:val="24"/>
                <w:lang w:eastAsia="zh-CN"/>
              </w:rPr>
            </w:pPr>
            <w:r>
              <w:rPr>
                <w:sz w:val="24"/>
              </w:rPr>
              <w:t>3</w:t>
            </w:r>
            <w:r>
              <w:rPr>
                <w:rFonts w:hint="eastAsia"/>
                <w:sz w:val="24"/>
                <w:lang w:val="en-US" w:eastAsia="zh-CN"/>
              </w:rPr>
              <w:t>4</w:t>
            </w:r>
          </w:p>
        </w:tc>
        <w:tc>
          <w:tcPr>
            <w:tcW w:w="2448" w:type="dxa"/>
          </w:tcPr>
          <w:p w14:paraId="5B032B2E">
            <w:pPr>
              <w:pStyle w:val="29"/>
              <w:spacing w:before="45"/>
              <w:ind w:left="162"/>
              <w:rPr>
                <w:sz w:val="24"/>
              </w:rPr>
            </w:pPr>
            <w:r>
              <w:rPr>
                <w:sz w:val="24"/>
              </w:rPr>
              <w:t>是否退还响应文件</w:t>
            </w:r>
          </w:p>
        </w:tc>
        <w:tc>
          <w:tcPr>
            <w:tcW w:w="6792" w:type="dxa"/>
          </w:tcPr>
          <w:p w14:paraId="5C325E94">
            <w:pPr>
              <w:pStyle w:val="29"/>
              <w:spacing w:before="45"/>
              <w:ind w:left="106"/>
              <w:rPr>
                <w:sz w:val="24"/>
              </w:rPr>
            </w:pPr>
            <w:r>
              <w:rPr>
                <w:sz w:val="24"/>
              </w:rPr>
              <w:t>否</w:t>
            </w:r>
          </w:p>
        </w:tc>
      </w:tr>
      <w:tr w14:paraId="2816D1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712" w:type="dxa"/>
          </w:tcPr>
          <w:p w14:paraId="58CC0602">
            <w:pPr>
              <w:pStyle w:val="29"/>
              <w:spacing w:before="8"/>
              <w:rPr>
                <w:b/>
                <w:sz w:val="24"/>
              </w:rPr>
            </w:pPr>
          </w:p>
          <w:p w14:paraId="61846EC3">
            <w:pPr>
              <w:pStyle w:val="29"/>
              <w:ind w:left="279"/>
              <w:rPr>
                <w:rFonts w:hint="eastAsia" w:eastAsia="宋体"/>
                <w:sz w:val="24"/>
                <w:lang w:eastAsia="zh-CN"/>
              </w:rPr>
            </w:pPr>
            <w:r>
              <w:rPr>
                <w:sz w:val="24"/>
              </w:rPr>
              <w:t>3</w:t>
            </w:r>
            <w:r>
              <w:rPr>
                <w:rFonts w:hint="eastAsia"/>
                <w:sz w:val="24"/>
                <w:lang w:val="en-US" w:eastAsia="zh-CN"/>
              </w:rPr>
              <w:t>5</w:t>
            </w:r>
          </w:p>
        </w:tc>
        <w:tc>
          <w:tcPr>
            <w:tcW w:w="2448" w:type="dxa"/>
          </w:tcPr>
          <w:p w14:paraId="6810EED2">
            <w:pPr>
              <w:pStyle w:val="29"/>
              <w:spacing w:before="160" w:line="242" w:lineRule="auto"/>
              <w:ind w:left="882" w:right="150" w:hanging="720"/>
              <w:rPr>
                <w:sz w:val="24"/>
                <w:lang w:eastAsia="zh-CN"/>
              </w:rPr>
            </w:pPr>
            <w:r>
              <w:rPr>
                <w:sz w:val="24"/>
                <w:lang w:eastAsia="zh-CN"/>
              </w:rPr>
              <w:t>竞争性磋商时间和地点</w:t>
            </w:r>
          </w:p>
        </w:tc>
        <w:tc>
          <w:tcPr>
            <w:tcW w:w="6792" w:type="dxa"/>
          </w:tcPr>
          <w:p w14:paraId="6D7636FF">
            <w:pPr>
              <w:pStyle w:val="29"/>
              <w:keepNext w:val="0"/>
              <w:keepLines w:val="0"/>
              <w:pageBreakBefore w:val="0"/>
              <w:widowControl w:val="0"/>
              <w:kinsoku/>
              <w:wordWrap/>
              <w:overflowPunct/>
              <w:topLinePunct w:val="0"/>
              <w:autoSpaceDE w:val="0"/>
              <w:autoSpaceDN w:val="0"/>
              <w:bidi w:val="0"/>
              <w:adjustRightInd/>
              <w:snapToGrid/>
              <w:spacing w:before="7" w:line="288" w:lineRule="auto"/>
              <w:jc w:val="both"/>
              <w:textAlignment w:val="auto"/>
              <w:rPr>
                <w:rFonts w:hint="eastAsia" w:ascii="宋体" w:hAnsi="宋体" w:eastAsia="宋体" w:cs="宋体"/>
                <w:color w:val="auto"/>
                <w:spacing w:val="-15"/>
                <w:sz w:val="24"/>
                <w:szCs w:val="24"/>
                <w:lang w:eastAsia="zh-CN"/>
              </w:rPr>
            </w:pPr>
            <w:r>
              <w:rPr>
                <w:rFonts w:hint="eastAsia" w:ascii="宋体" w:hAnsi="宋体" w:eastAsia="宋体" w:cs="宋体"/>
                <w:color w:val="auto"/>
                <w:spacing w:val="-15"/>
                <w:sz w:val="24"/>
                <w:szCs w:val="24"/>
                <w:lang w:eastAsia="zh-CN"/>
              </w:rPr>
              <w:t>1、磋商时间：202</w:t>
            </w:r>
            <w:r>
              <w:rPr>
                <w:rFonts w:hint="eastAsia" w:ascii="宋体" w:hAnsi="宋体" w:eastAsia="宋体" w:cs="宋体"/>
                <w:color w:val="auto"/>
                <w:spacing w:val="-15"/>
                <w:sz w:val="24"/>
                <w:szCs w:val="24"/>
                <w:lang w:val="en-US" w:eastAsia="zh-CN"/>
              </w:rPr>
              <w:t>6</w:t>
            </w:r>
            <w:r>
              <w:rPr>
                <w:rFonts w:hint="eastAsia" w:ascii="宋体" w:hAnsi="宋体" w:eastAsia="宋体" w:cs="宋体"/>
                <w:color w:val="auto"/>
                <w:spacing w:val="-15"/>
                <w:sz w:val="24"/>
                <w:szCs w:val="24"/>
                <w:lang w:eastAsia="zh-CN"/>
              </w:rPr>
              <w:t>年</w:t>
            </w:r>
            <w:r>
              <w:rPr>
                <w:rFonts w:hint="eastAsia" w:cs="宋体"/>
                <w:color w:val="auto"/>
                <w:spacing w:val="-15"/>
                <w:sz w:val="24"/>
                <w:szCs w:val="24"/>
                <w:lang w:val="en-US" w:eastAsia="zh-CN"/>
              </w:rPr>
              <w:t>11</w:t>
            </w:r>
            <w:r>
              <w:rPr>
                <w:rFonts w:hint="eastAsia" w:ascii="宋体" w:hAnsi="宋体" w:eastAsia="宋体" w:cs="宋体"/>
                <w:color w:val="auto"/>
                <w:spacing w:val="-15"/>
                <w:sz w:val="24"/>
                <w:szCs w:val="24"/>
                <w:lang w:eastAsia="zh-CN"/>
              </w:rPr>
              <w:t>月</w:t>
            </w:r>
            <w:r>
              <w:rPr>
                <w:rFonts w:hint="eastAsia" w:cs="宋体"/>
                <w:color w:val="auto"/>
                <w:spacing w:val="-15"/>
                <w:sz w:val="24"/>
                <w:szCs w:val="24"/>
                <w:lang w:val="en-US" w:eastAsia="zh-CN"/>
              </w:rPr>
              <w:t>02</w:t>
            </w:r>
            <w:r>
              <w:rPr>
                <w:rFonts w:hint="eastAsia" w:ascii="宋体" w:hAnsi="宋体" w:eastAsia="宋体" w:cs="宋体"/>
                <w:color w:val="auto"/>
                <w:spacing w:val="-15"/>
                <w:sz w:val="24"/>
                <w:szCs w:val="24"/>
                <w:lang w:eastAsia="zh-CN"/>
              </w:rPr>
              <w:t>日08时40分</w:t>
            </w:r>
          </w:p>
          <w:p w14:paraId="34AD14D1">
            <w:pPr>
              <w:pStyle w:val="29"/>
              <w:keepNext w:val="0"/>
              <w:keepLines w:val="0"/>
              <w:pageBreakBefore w:val="0"/>
              <w:widowControl w:val="0"/>
              <w:kinsoku/>
              <w:wordWrap/>
              <w:overflowPunct/>
              <w:topLinePunct w:val="0"/>
              <w:autoSpaceDE w:val="0"/>
              <w:autoSpaceDN w:val="0"/>
              <w:bidi w:val="0"/>
              <w:adjustRightInd/>
              <w:snapToGrid/>
              <w:spacing w:before="7" w:line="288" w:lineRule="auto"/>
              <w:jc w:val="both"/>
              <w:textAlignment w:val="auto"/>
              <w:rPr>
                <w:rFonts w:hint="eastAsia" w:ascii="宋体" w:hAnsi="宋体" w:eastAsia="宋体" w:cs="宋体"/>
                <w:color w:val="auto"/>
                <w:spacing w:val="-15"/>
                <w:sz w:val="24"/>
                <w:szCs w:val="24"/>
                <w:lang w:eastAsia="zh-CN"/>
              </w:rPr>
            </w:pPr>
            <w:r>
              <w:rPr>
                <w:rFonts w:hint="eastAsia" w:ascii="宋体" w:hAnsi="宋体" w:eastAsia="宋体" w:cs="宋体"/>
                <w:color w:val="auto"/>
                <w:spacing w:val="-15"/>
                <w:sz w:val="24"/>
                <w:szCs w:val="24"/>
                <w:lang w:eastAsia="zh-CN"/>
              </w:rPr>
              <w:t>2、开标地点：卢氏县公共资源交易中心</w:t>
            </w:r>
            <w:r>
              <w:rPr>
                <w:rFonts w:hint="eastAsia" w:ascii="宋体" w:hAnsi="宋体" w:eastAsia="宋体" w:cs="宋体"/>
                <w:color w:val="auto"/>
                <w:spacing w:val="-15"/>
                <w:sz w:val="24"/>
                <w:szCs w:val="24"/>
                <w:lang w:val="en-US" w:eastAsia="zh-CN"/>
              </w:rPr>
              <w:t>四</w:t>
            </w:r>
            <w:r>
              <w:rPr>
                <w:rFonts w:hint="eastAsia" w:ascii="宋体" w:hAnsi="宋体" w:eastAsia="宋体" w:cs="宋体"/>
                <w:color w:val="auto"/>
                <w:spacing w:val="-15"/>
                <w:sz w:val="24"/>
                <w:szCs w:val="24"/>
                <w:lang w:eastAsia="zh-CN"/>
              </w:rPr>
              <w:t>楼第</w:t>
            </w:r>
            <w:r>
              <w:rPr>
                <w:rFonts w:hint="eastAsia" w:cs="宋体"/>
                <w:color w:val="auto"/>
                <w:spacing w:val="-15"/>
                <w:sz w:val="24"/>
                <w:szCs w:val="24"/>
                <w:lang w:val="en-US" w:eastAsia="zh-CN"/>
              </w:rPr>
              <w:t>二</w:t>
            </w:r>
            <w:r>
              <w:rPr>
                <w:rFonts w:hint="eastAsia" w:ascii="宋体" w:hAnsi="宋体" w:eastAsia="宋体" w:cs="宋体"/>
                <w:color w:val="auto"/>
                <w:spacing w:val="-15"/>
                <w:sz w:val="24"/>
                <w:szCs w:val="24"/>
                <w:lang w:eastAsia="zh-CN"/>
              </w:rPr>
              <w:t>开标室；</w:t>
            </w:r>
          </w:p>
          <w:p w14:paraId="1F0DEDCB">
            <w:pPr>
              <w:pStyle w:val="29"/>
              <w:keepNext w:val="0"/>
              <w:keepLines w:val="0"/>
              <w:pageBreakBefore w:val="0"/>
              <w:widowControl w:val="0"/>
              <w:kinsoku/>
              <w:wordWrap/>
              <w:overflowPunct/>
              <w:topLinePunct w:val="0"/>
              <w:autoSpaceDE w:val="0"/>
              <w:autoSpaceDN w:val="0"/>
              <w:bidi w:val="0"/>
              <w:adjustRightInd/>
              <w:snapToGrid/>
              <w:spacing w:before="7" w:line="288" w:lineRule="auto"/>
              <w:jc w:val="both"/>
              <w:textAlignment w:val="auto"/>
              <w:rPr>
                <w:color w:val="0000FF"/>
                <w:sz w:val="24"/>
                <w:highlight w:val="none"/>
                <w:lang w:eastAsia="zh-CN"/>
              </w:rPr>
            </w:pPr>
            <w:r>
              <w:rPr>
                <w:rFonts w:hint="eastAsia" w:ascii="宋体" w:hAnsi="宋体" w:eastAsia="宋体" w:cs="宋体"/>
                <w:color w:val="auto"/>
                <w:spacing w:val="-15"/>
                <w:sz w:val="24"/>
                <w:szCs w:val="24"/>
                <w:lang w:eastAsia="zh-CN"/>
              </w:rPr>
              <w:t>3、评标地点：卢氏县公共资源交易中心二楼第</w:t>
            </w:r>
            <w:r>
              <w:rPr>
                <w:rFonts w:hint="eastAsia" w:cs="宋体"/>
                <w:color w:val="auto"/>
                <w:spacing w:val="-15"/>
                <w:sz w:val="24"/>
                <w:szCs w:val="24"/>
                <w:lang w:val="en-US" w:eastAsia="zh-CN"/>
              </w:rPr>
              <w:t>二</w:t>
            </w:r>
            <w:r>
              <w:rPr>
                <w:rFonts w:hint="eastAsia" w:ascii="宋体" w:hAnsi="宋体" w:eastAsia="宋体" w:cs="宋体"/>
                <w:color w:val="auto"/>
                <w:spacing w:val="-15"/>
                <w:sz w:val="24"/>
                <w:szCs w:val="24"/>
                <w:lang w:eastAsia="zh-CN"/>
              </w:rPr>
              <w:t>评标室。</w:t>
            </w:r>
          </w:p>
        </w:tc>
      </w:tr>
      <w:tr w14:paraId="575068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85" w:hRule="atLeast"/>
        </w:trPr>
        <w:tc>
          <w:tcPr>
            <w:tcW w:w="712" w:type="dxa"/>
            <w:vAlign w:val="center"/>
          </w:tcPr>
          <w:p w14:paraId="24C90F12">
            <w:pPr>
              <w:pStyle w:val="29"/>
              <w:ind w:left="0"/>
              <w:jc w:val="center"/>
              <w:rPr>
                <w:rFonts w:hint="default" w:eastAsia="宋体"/>
                <w:sz w:val="24"/>
                <w:lang w:val="en-US" w:eastAsia="zh-CN"/>
              </w:rPr>
            </w:pPr>
            <w:r>
              <w:rPr>
                <w:rFonts w:hint="eastAsia"/>
                <w:sz w:val="24"/>
                <w:lang w:val="en-US" w:eastAsia="zh-CN"/>
              </w:rPr>
              <w:t>36</w:t>
            </w:r>
          </w:p>
        </w:tc>
        <w:tc>
          <w:tcPr>
            <w:tcW w:w="2448" w:type="dxa"/>
            <w:vAlign w:val="center"/>
          </w:tcPr>
          <w:p w14:paraId="570E35BE">
            <w:pPr>
              <w:pStyle w:val="29"/>
              <w:ind w:left="0"/>
              <w:jc w:val="center"/>
              <w:rPr>
                <w:sz w:val="24"/>
              </w:rPr>
            </w:pPr>
            <w:r>
              <w:rPr>
                <w:sz w:val="24"/>
              </w:rPr>
              <w:t>磋商小组的组建</w:t>
            </w:r>
          </w:p>
        </w:tc>
        <w:tc>
          <w:tcPr>
            <w:tcW w:w="6792" w:type="dxa"/>
            <w:vAlign w:val="center"/>
          </w:tcPr>
          <w:p w14:paraId="7E95910F">
            <w:pPr>
              <w:pStyle w:val="29"/>
              <w:spacing w:before="7" w:line="360" w:lineRule="auto"/>
              <w:jc w:val="both"/>
              <w:rPr>
                <w:rFonts w:hint="eastAsia" w:ascii="宋体" w:hAnsi="宋体" w:eastAsia="宋体" w:cs="宋体"/>
                <w:spacing w:val="-15"/>
                <w:sz w:val="24"/>
                <w:szCs w:val="24"/>
                <w:lang w:eastAsia="zh-CN"/>
              </w:rPr>
            </w:pPr>
            <w:r>
              <w:rPr>
                <w:rFonts w:hint="eastAsia" w:ascii="宋体" w:hAnsi="宋体" w:eastAsia="宋体" w:cs="宋体"/>
                <w:spacing w:val="-15"/>
                <w:sz w:val="24"/>
                <w:szCs w:val="24"/>
                <w:lang w:val="en-US" w:eastAsia="zh-CN"/>
              </w:rPr>
              <w:t>磋商小组由采购人代表和评审专家共 3 人以上单数组成，其中评审专家人数不得少于磋商小组成员总数的 2/3。评标专家确定方式：当天开标后通过卢氏县公共资源交易中心抽取终端，从卢氏县公共资源交易综合评审专家库随机抽取。</w:t>
            </w:r>
          </w:p>
        </w:tc>
      </w:tr>
      <w:tr w14:paraId="549B2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712" w:type="dxa"/>
          </w:tcPr>
          <w:p w14:paraId="78DB1729">
            <w:pPr>
              <w:pStyle w:val="29"/>
              <w:spacing w:before="159"/>
              <w:ind w:left="279"/>
              <w:rPr>
                <w:rFonts w:hint="default" w:eastAsia="宋体"/>
                <w:sz w:val="24"/>
                <w:lang w:val="en-US" w:eastAsia="zh-CN"/>
              </w:rPr>
            </w:pPr>
            <w:r>
              <w:rPr>
                <w:rFonts w:hint="eastAsia"/>
                <w:sz w:val="24"/>
                <w:lang w:val="en-US" w:eastAsia="zh-CN"/>
              </w:rPr>
              <w:t>37</w:t>
            </w:r>
          </w:p>
        </w:tc>
        <w:tc>
          <w:tcPr>
            <w:tcW w:w="2448" w:type="dxa"/>
          </w:tcPr>
          <w:p w14:paraId="294A4621">
            <w:pPr>
              <w:pStyle w:val="29"/>
              <w:spacing w:before="3"/>
              <w:ind w:left="137" w:right="127"/>
              <w:jc w:val="center"/>
              <w:rPr>
                <w:sz w:val="24"/>
                <w:lang w:eastAsia="zh-CN"/>
              </w:rPr>
            </w:pPr>
            <w:r>
              <w:rPr>
                <w:sz w:val="24"/>
                <w:lang w:eastAsia="zh-CN"/>
              </w:rPr>
              <w:t>是否授权磋商小组</w:t>
            </w:r>
          </w:p>
          <w:p w14:paraId="5EBAC906">
            <w:pPr>
              <w:pStyle w:val="29"/>
              <w:spacing w:before="5" w:line="289" w:lineRule="exact"/>
              <w:ind w:left="137" w:right="127"/>
              <w:jc w:val="center"/>
              <w:rPr>
                <w:sz w:val="24"/>
                <w:lang w:eastAsia="zh-CN"/>
              </w:rPr>
            </w:pPr>
            <w:r>
              <w:rPr>
                <w:sz w:val="24"/>
                <w:lang w:eastAsia="zh-CN"/>
              </w:rPr>
              <w:t>确定成交人</w:t>
            </w:r>
          </w:p>
        </w:tc>
        <w:tc>
          <w:tcPr>
            <w:tcW w:w="6792" w:type="dxa"/>
            <w:vAlign w:val="center"/>
          </w:tcPr>
          <w:p w14:paraId="10852871">
            <w:pPr>
              <w:pStyle w:val="29"/>
              <w:spacing w:before="7" w:line="360" w:lineRule="auto"/>
              <w:jc w:val="both"/>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否，推荐的成交候选人数：3 名</w:t>
            </w:r>
          </w:p>
        </w:tc>
      </w:tr>
      <w:tr w14:paraId="6E5FE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712" w:type="dxa"/>
          </w:tcPr>
          <w:p w14:paraId="1B11488E">
            <w:pPr>
              <w:pStyle w:val="29"/>
              <w:spacing w:before="7"/>
              <w:rPr>
                <w:b/>
                <w:sz w:val="24"/>
                <w:lang w:eastAsia="zh-CN"/>
              </w:rPr>
            </w:pPr>
          </w:p>
          <w:p w14:paraId="6C6C621F">
            <w:pPr>
              <w:pStyle w:val="29"/>
              <w:ind w:left="279"/>
              <w:rPr>
                <w:rFonts w:hint="default" w:eastAsia="宋体"/>
                <w:sz w:val="24"/>
                <w:lang w:val="en-US" w:eastAsia="zh-CN"/>
              </w:rPr>
            </w:pPr>
            <w:r>
              <w:rPr>
                <w:rFonts w:hint="eastAsia"/>
                <w:sz w:val="24"/>
                <w:lang w:val="en-US" w:eastAsia="zh-CN"/>
              </w:rPr>
              <w:t>38</w:t>
            </w:r>
          </w:p>
        </w:tc>
        <w:tc>
          <w:tcPr>
            <w:tcW w:w="2448" w:type="dxa"/>
            <w:vAlign w:val="center"/>
          </w:tcPr>
          <w:p w14:paraId="4C887A96">
            <w:pPr>
              <w:pStyle w:val="29"/>
              <w:ind w:left="0" w:right="0"/>
              <w:jc w:val="center"/>
              <w:rPr>
                <w:sz w:val="24"/>
                <w:lang w:eastAsia="zh-CN"/>
              </w:rPr>
            </w:pPr>
            <w:r>
              <w:rPr>
                <w:sz w:val="24"/>
                <w:lang w:eastAsia="zh-CN"/>
              </w:rPr>
              <w:t>中标通知书发放及</w:t>
            </w:r>
          </w:p>
          <w:p w14:paraId="2D0E761C">
            <w:pPr>
              <w:pStyle w:val="29"/>
              <w:ind w:left="0" w:right="0"/>
              <w:jc w:val="center"/>
              <w:rPr>
                <w:sz w:val="24"/>
                <w:lang w:eastAsia="zh-CN"/>
              </w:rPr>
            </w:pPr>
            <w:r>
              <w:rPr>
                <w:sz w:val="24"/>
                <w:lang w:eastAsia="zh-CN"/>
              </w:rPr>
              <w:t>采购合同签订</w:t>
            </w:r>
          </w:p>
        </w:tc>
        <w:tc>
          <w:tcPr>
            <w:tcW w:w="6792" w:type="dxa"/>
            <w:vAlign w:val="center"/>
          </w:tcPr>
          <w:p w14:paraId="0E1418C0">
            <w:pPr>
              <w:pStyle w:val="29"/>
              <w:spacing w:before="7" w:line="360" w:lineRule="auto"/>
              <w:jc w:val="both"/>
              <w:rPr>
                <w:rFonts w:hint="eastAsia" w:ascii="宋体" w:hAnsi="宋体" w:eastAsia="宋体" w:cs="宋体"/>
                <w:spacing w:val="-15"/>
                <w:sz w:val="24"/>
                <w:szCs w:val="24"/>
                <w:lang w:eastAsia="zh-CN"/>
              </w:rPr>
            </w:pPr>
            <w:r>
              <w:rPr>
                <w:rFonts w:hint="eastAsia" w:ascii="宋体" w:hAnsi="宋体" w:eastAsia="宋体" w:cs="宋体"/>
                <w:spacing w:val="-15"/>
                <w:sz w:val="24"/>
                <w:szCs w:val="24"/>
                <w:lang w:val="en-US" w:eastAsia="zh-CN"/>
              </w:rPr>
              <w:t>中标当天发出中标通知书；中标通知书发出后 1 个工作日内签订合同，合同签订后 2 个工作日内上传至河南省政府采购网公示；</w:t>
            </w:r>
          </w:p>
        </w:tc>
      </w:tr>
      <w:tr w14:paraId="034C98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trPr>
        <w:tc>
          <w:tcPr>
            <w:tcW w:w="712" w:type="dxa"/>
            <w:vAlign w:val="center"/>
          </w:tcPr>
          <w:p w14:paraId="4852E132">
            <w:pPr>
              <w:pStyle w:val="29"/>
              <w:jc w:val="center"/>
              <w:rPr>
                <w:rFonts w:hint="default" w:eastAsia="宋体"/>
                <w:sz w:val="24"/>
                <w:lang w:val="en-US" w:eastAsia="zh-CN"/>
              </w:rPr>
            </w:pPr>
            <w:r>
              <w:rPr>
                <w:rFonts w:hint="eastAsia"/>
                <w:sz w:val="24"/>
                <w:lang w:val="en-US" w:eastAsia="zh-CN"/>
              </w:rPr>
              <w:t>39</w:t>
            </w:r>
          </w:p>
        </w:tc>
        <w:tc>
          <w:tcPr>
            <w:tcW w:w="2448" w:type="dxa"/>
            <w:vAlign w:val="center"/>
          </w:tcPr>
          <w:p w14:paraId="4E73950E">
            <w:pPr>
              <w:pStyle w:val="29"/>
              <w:jc w:val="center"/>
              <w:rPr>
                <w:sz w:val="24"/>
              </w:rPr>
            </w:pPr>
            <w:r>
              <w:rPr>
                <w:sz w:val="24"/>
              </w:rPr>
              <w:t>代理服务费</w:t>
            </w:r>
          </w:p>
        </w:tc>
        <w:tc>
          <w:tcPr>
            <w:tcW w:w="6792" w:type="dxa"/>
            <w:vAlign w:val="center"/>
          </w:tcPr>
          <w:p w14:paraId="132AF50B">
            <w:pPr>
              <w:pStyle w:val="29"/>
              <w:spacing w:before="7" w:line="360" w:lineRule="auto"/>
              <w:jc w:val="both"/>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根据《河南省招标代理服务收费标准》的通知-豫招协[2023]002号收费标准，招标代理服务费及其他所有费用由中标人（成交供应商）支付。</w:t>
            </w:r>
          </w:p>
        </w:tc>
      </w:tr>
      <w:tr w14:paraId="45E86C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712" w:type="dxa"/>
            <w:vAlign w:val="center"/>
          </w:tcPr>
          <w:p w14:paraId="4E05C03C">
            <w:pPr>
              <w:pStyle w:val="29"/>
              <w:jc w:val="center"/>
              <w:rPr>
                <w:rFonts w:hint="eastAsia" w:eastAsia="宋体"/>
                <w:sz w:val="24"/>
                <w:lang w:eastAsia="zh-CN"/>
              </w:rPr>
            </w:pPr>
            <w:r>
              <w:rPr>
                <w:sz w:val="24"/>
              </w:rPr>
              <w:t>4</w:t>
            </w:r>
            <w:r>
              <w:rPr>
                <w:rFonts w:hint="eastAsia"/>
                <w:sz w:val="24"/>
                <w:lang w:val="en-US" w:eastAsia="zh-CN"/>
              </w:rPr>
              <w:t>0</w:t>
            </w:r>
          </w:p>
        </w:tc>
        <w:tc>
          <w:tcPr>
            <w:tcW w:w="2448" w:type="dxa"/>
            <w:vAlign w:val="center"/>
          </w:tcPr>
          <w:p w14:paraId="3A887369">
            <w:pPr>
              <w:pStyle w:val="29"/>
              <w:jc w:val="center"/>
              <w:rPr>
                <w:sz w:val="24"/>
              </w:rPr>
            </w:pPr>
            <w:r>
              <w:rPr>
                <w:sz w:val="24"/>
              </w:rPr>
              <w:t>重新招标的情形</w:t>
            </w:r>
          </w:p>
        </w:tc>
        <w:tc>
          <w:tcPr>
            <w:tcW w:w="6792" w:type="dxa"/>
          </w:tcPr>
          <w:p w14:paraId="2C9B94DE">
            <w:pPr>
              <w:pStyle w:val="29"/>
              <w:keepNext w:val="0"/>
              <w:keepLines w:val="0"/>
              <w:pageBreakBefore w:val="0"/>
              <w:widowControl w:val="0"/>
              <w:kinsoku/>
              <w:wordWrap/>
              <w:overflowPunct/>
              <w:topLinePunct w:val="0"/>
              <w:autoSpaceDE w:val="0"/>
              <w:autoSpaceDN w:val="0"/>
              <w:bidi w:val="0"/>
              <w:adjustRightInd/>
              <w:snapToGrid/>
              <w:spacing w:before="7" w:line="288" w:lineRule="auto"/>
              <w:jc w:val="both"/>
              <w:textAlignment w:val="auto"/>
              <w:rPr>
                <w:rFonts w:hint="eastAsia" w:ascii="宋体" w:hAnsi="宋体" w:eastAsia="宋体" w:cs="宋体"/>
                <w:spacing w:val="-15"/>
                <w:sz w:val="24"/>
                <w:szCs w:val="24"/>
                <w:lang w:eastAsia="zh-CN"/>
              </w:rPr>
            </w:pPr>
            <w:r>
              <w:rPr>
                <w:rFonts w:hint="eastAsia" w:cs="宋体"/>
                <w:spacing w:val="-15"/>
                <w:sz w:val="24"/>
                <w:szCs w:val="24"/>
                <w:lang w:val="en-US" w:eastAsia="zh-CN"/>
              </w:rPr>
              <w:t>1.</w:t>
            </w:r>
            <w:r>
              <w:rPr>
                <w:rFonts w:hint="eastAsia" w:ascii="宋体" w:hAnsi="宋体" w:eastAsia="宋体" w:cs="宋体"/>
                <w:spacing w:val="-15"/>
                <w:sz w:val="24"/>
                <w:szCs w:val="24"/>
                <w:lang w:eastAsia="zh-CN"/>
              </w:rPr>
              <w:t>投标截止时间止，供应商少于 3 个的；</w:t>
            </w:r>
          </w:p>
          <w:p w14:paraId="3A8BE233">
            <w:pPr>
              <w:pStyle w:val="29"/>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sz w:val="24"/>
                <w:lang w:eastAsia="zh-CN"/>
              </w:rPr>
            </w:pPr>
            <w:r>
              <w:rPr>
                <w:rFonts w:hint="eastAsia" w:cs="宋体"/>
                <w:spacing w:val="-15"/>
                <w:sz w:val="24"/>
                <w:szCs w:val="24"/>
                <w:lang w:val="en-US" w:eastAsia="zh-CN"/>
              </w:rPr>
              <w:t>2.</w:t>
            </w:r>
            <w:r>
              <w:rPr>
                <w:rFonts w:hint="eastAsia" w:ascii="宋体" w:hAnsi="宋体" w:eastAsia="宋体" w:cs="宋体"/>
                <w:spacing w:val="-15"/>
                <w:sz w:val="24"/>
                <w:szCs w:val="24"/>
                <w:lang w:eastAsia="zh-CN"/>
              </w:rPr>
              <w:t>经评标委员会评审后否决所有投标的。采购人应当依法重新招标。</w:t>
            </w:r>
          </w:p>
        </w:tc>
      </w:tr>
      <w:tr w14:paraId="1DBFF3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712" w:type="dxa"/>
            <w:vAlign w:val="center"/>
          </w:tcPr>
          <w:p w14:paraId="28268AE8">
            <w:pPr>
              <w:pStyle w:val="29"/>
              <w:jc w:val="center"/>
              <w:rPr>
                <w:rFonts w:hint="default" w:eastAsia="宋体"/>
                <w:sz w:val="24"/>
                <w:lang w:val="en-US" w:eastAsia="zh-CN"/>
              </w:rPr>
            </w:pPr>
            <w:r>
              <w:rPr>
                <w:rFonts w:hint="eastAsia"/>
                <w:sz w:val="24"/>
                <w:lang w:val="en-US" w:eastAsia="zh-CN"/>
              </w:rPr>
              <w:t>41</w:t>
            </w:r>
          </w:p>
        </w:tc>
        <w:tc>
          <w:tcPr>
            <w:tcW w:w="2448" w:type="dxa"/>
            <w:shd w:val="clear" w:color="auto" w:fill="auto"/>
            <w:vAlign w:val="center"/>
          </w:tcPr>
          <w:p w14:paraId="1D91B232">
            <w:pPr>
              <w:spacing w:line="360" w:lineRule="exact"/>
              <w:jc w:val="center"/>
              <w:rPr>
                <w:rFonts w:cs="宋体" w:asciiTheme="minorEastAsia" w:hAnsiTheme="minorEastAsia" w:eastAsiaTheme="minorEastAsia"/>
                <w:sz w:val="24"/>
                <w:szCs w:val="24"/>
                <w:lang w:val="en-US" w:eastAsia="en-US" w:bidi="ar-SA"/>
              </w:rPr>
            </w:pPr>
            <w:r>
              <w:rPr>
                <w:rFonts w:hint="eastAsia" w:cs="宋体" w:asciiTheme="minorEastAsia" w:hAnsiTheme="minorEastAsia" w:eastAsiaTheme="minorEastAsia"/>
                <w:sz w:val="24"/>
                <w:szCs w:val="24"/>
              </w:rPr>
              <w:t>采购标的所属行业</w:t>
            </w:r>
          </w:p>
        </w:tc>
        <w:tc>
          <w:tcPr>
            <w:tcW w:w="6792" w:type="dxa"/>
            <w:shd w:val="clear" w:color="auto" w:fill="auto"/>
            <w:vAlign w:val="center"/>
          </w:tcPr>
          <w:p w14:paraId="546004E8">
            <w:pPr>
              <w:spacing w:line="360" w:lineRule="exact"/>
              <w:jc w:val="left"/>
              <w:rPr>
                <w:rFonts w:cs="宋体" w:asciiTheme="minorEastAsia" w:hAnsiTheme="minorEastAsia" w:eastAsiaTheme="minorEastAsia"/>
                <w:b w:val="0"/>
                <w:bCs w:val="0"/>
                <w:sz w:val="24"/>
                <w:szCs w:val="24"/>
              </w:rPr>
            </w:pPr>
            <w:r>
              <w:rPr>
                <w:rFonts w:hint="eastAsia" w:cs="宋体" w:asciiTheme="minorEastAsia" w:hAnsiTheme="minorEastAsia" w:eastAsiaTheme="minorEastAsia"/>
                <w:b w:val="0"/>
                <w:bCs w:val="0"/>
                <w:sz w:val="24"/>
                <w:szCs w:val="24"/>
              </w:rPr>
              <w:t>本项目为</w:t>
            </w:r>
            <w:r>
              <w:rPr>
                <w:rFonts w:hint="eastAsia" w:cs="宋体" w:asciiTheme="minorEastAsia" w:hAnsiTheme="minorEastAsia" w:eastAsiaTheme="minorEastAsia"/>
                <w:b w:val="0"/>
                <w:bCs w:val="0"/>
                <w:sz w:val="24"/>
                <w:szCs w:val="24"/>
                <w:lang w:val="en-US" w:eastAsia="zh-CN"/>
              </w:rPr>
              <w:t>服务类</w:t>
            </w:r>
            <w:r>
              <w:rPr>
                <w:rFonts w:hint="eastAsia" w:cs="宋体" w:asciiTheme="minorEastAsia" w:hAnsiTheme="minorEastAsia" w:eastAsiaTheme="minorEastAsia"/>
                <w:b w:val="0"/>
                <w:bCs w:val="0"/>
                <w:sz w:val="24"/>
                <w:szCs w:val="24"/>
              </w:rPr>
              <w:t>项目</w:t>
            </w:r>
          </w:p>
          <w:p w14:paraId="03BA66CC">
            <w:pPr>
              <w:spacing w:line="360" w:lineRule="exact"/>
              <w:jc w:val="left"/>
              <w:rPr>
                <w:rFonts w:hint="default" w:cs="宋体" w:asciiTheme="minorEastAsia" w:hAnsiTheme="minorEastAsia" w:eastAsiaTheme="minorEastAsia"/>
                <w:b w:val="0"/>
                <w:bCs w:val="0"/>
                <w:sz w:val="24"/>
                <w:szCs w:val="24"/>
                <w:lang w:val="en-US" w:eastAsia="zh-CN"/>
              </w:rPr>
            </w:pPr>
            <w:r>
              <w:rPr>
                <w:rFonts w:hint="eastAsia" w:cs="宋体" w:asciiTheme="minorEastAsia" w:hAnsiTheme="minorEastAsia" w:eastAsiaTheme="minorEastAsia"/>
                <w:b w:val="0"/>
                <w:bCs w:val="0"/>
                <w:sz w:val="24"/>
                <w:szCs w:val="24"/>
              </w:rPr>
              <w:t>采购标的所属行业：</w:t>
            </w:r>
            <w:r>
              <w:rPr>
                <w:rFonts w:hint="eastAsia" w:cs="宋体" w:asciiTheme="minorEastAsia" w:hAnsiTheme="minorEastAsia" w:eastAsiaTheme="minorEastAsia"/>
                <w:b w:val="0"/>
                <w:bCs w:val="0"/>
                <w:sz w:val="24"/>
                <w:szCs w:val="24"/>
                <w:lang w:val="en-US" w:eastAsia="zh-CN"/>
              </w:rPr>
              <w:t>技术服务业</w:t>
            </w:r>
          </w:p>
          <w:p w14:paraId="26804597">
            <w:pPr>
              <w:spacing w:line="360" w:lineRule="exact"/>
              <w:jc w:val="left"/>
              <w:rPr>
                <w:rFonts w:hint="eastAsia" w:cs="宋体" w:asciiTheme="minorEastAsia" w:hAnsiTheme="minorEastAsia" w:eastAsiaTheme="minorEastAsia"/>
                <w:sz w:val="24"/>
                <w:szCs w:val="24"/>
                <w:lang w:val="en-US" w:eastAsia="zh-CN" w:bidi="ar-SA"/>
              </w:rPr>
            </w:pPr>
            <w:r>
              <w:rPr>
                <w:rFonts w:hint="eastAsia" w:cs="宋体" w:asciiTheme="minorEastAsia" w:hAnsiTheme="minorEastAsia" w:eastAsiaTheme="minorEastAsia"/>
                <w:b w:val="0"/>
                <w:bCs w:val="0"/>
                <w:sz w:val="24"/>
                <w:szCs w:val="24"/>
              </w:rPr>
              <w:t>划定标准为：《工业和信息化部、国家统计局、国家发展和改革委员会、</w:t>
            </w:r>
            <w:r>
              <w:rPr>
                <w:rFonts w:hint="eastAsia" w:cs="宋体" w:asciiTheme="minorEastAsia" w:hAnsiTheme="minorEastAsia"/>
                <w:b w:val="0"/>
                <w:bCs w:val="0"/>
                <w:sz w:val="24"/>
                <w:szCs w:val="24"/>
                <w:lang w:eastAsia="zh-CN"/>
              </w:rPr>
              <w:t>自筹</w:t>
            </w:r>
            <w:r>
              <w:rPr>
                <w:rFonts w:hint="eastAsia" w:cs="宋体" w:asciiTheme="minorEastAsia" w:hAnsiTheme="minorEastAsia" w:eastAsiaTheme="minorEastAsia"/>
                <w:b w:val="0"/>
                <w:bCs w:val="0"/>
                <w:sz w:val="24"/>
                <w:szCs w:val="24"/>
              </w:rPr>
              <w:t>部关于印发&lt;中小企业划型标准规定的通知&gt;（工信部联企业〔2011〕300号）规定的划分标准为依据。</w:t>
            </w:r>
          </w:p>
        </w:tc>
      </w:tr>
      <w:tr w14:paraId="606BBF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9" w:hRule="atLeast"/>
        </w:trPr>
        <w:tc>
          <w:tcPr>
            <w:tcW w:w="712" w:type="dxa"/>
          </w:tcPr>
          <w:p w14:paraId="7C9AB07B">
            <w:pPr>
              <w:pStyle w:val="29"/>
              <w:rPr>
                <w:b/>
                <w:sz w:val="24"/>
                <w:lang w:eastAsia="zh-CN"/>
              </w:rPr>
            </w:pPr>
          </w:p>
          <w:p w14:paraId="583EBDFA">
            <w:pPr>
              <w:pStyle w:val="29"/>
              <w:rPr>
                <w:b/>
                <w:sz w:val="24"/>
                <w:lang w:eastAsia="zh-CN"/>
              </w:rPr>
            </w:pPr>
          </w:p>
          <w:p w14:paraId="1AF36F83">
            <w:pPr>
              <w:pStyle w:val="29"/>
              <w:rPr>
                <w:b/>
                <w:sz w:val="24"/>
                <w:lang w:eastAsia="zh-CN"/>
              </w:rPr>
            </w:pPr>
          </w:p>
          <w:p w14:paraId="72399D0D">
            <w:pPr>
              <w:pStyle w:val="29"/>
              <w:rPr>
                <w:b/>
                <w:sz w:val="24"/>
                <w:lang w:eastAsia="zh-CN"/>
              </w:rPr>
            </w:pPr>
          </w:p>
          <w:p w14:paraId="35157F4D">
            <w:pPr>
              <w:pStyle w:val="29"/>
              <w:rPr>
                <w:b/>
                <w:sz w:val="24"/>
                <w:lang w:eastAsia="zh-CN"/>
              </w:rPr>
            </w:pPr>
          </w:p>
          <w:p w14:paraId="2D18C243">
            <w:pPr>
              <w:pStyle w:val="29"/>
              <w:rPr>
                <w:b/>
                <w:sz w:val="24"/>
                <w:lang w:eastAsia="zh-CN"/>
              </w:rPr>
            </w:pPr>
          </w:p>
          <w:p w14:paraId="39CE5220">
            <w:pPr>
              <w:pStyle w:val="29"/>
              <w:rPr>
                <w:b/>
                <w:sz w:val="24"/>
                <w:lang w:eastAsia="zh-CN"/>
              </w:rPr>
            </w:pPr>
          </w:p>
          <w:p w14:paraId="128B4FBC">
            <w:pPr>
              <w:pStyle w:val="29"/>
              <w:rPr>
                <w:b/>
                <w:sz w:val="24"/>
                <w:lang w:eastAsia="zh-CN"/>
              </w:rPr>
            </w:pPr>
          </w:p>
          <w:p w14:paraId="187E15AC">
            <w:pPr>
              <w:pStyle w:val="29"/>
              <w:rPr>
                <w:b/>
                <w:sz w:val="24"/>
                <w:lang w:eastAsia="zh-CN"/>
              </w:rPr>
            </w:pPr>
          </w:p>
          <w:p w14:paraId="2BA6D3A8">
            <w:pPr>
              <w:pStyle w:val="29"/>
              <w:rPr>
                <w:b/>
                <w:sz w:val="24"/>
                <w:lang w:eastAsia="zh-CN"/>
              </w:rPr>
            </w:pPr>
          </w:p>
          <w:p w14:paraId="7B9BCC28">
            <w:pPr>
              <w:pStyle w:val="29"/>
              <w:rPr>
                <w:b/>
                <w:sz w:val="24"/>
                <w:lang w:eastAsia="zh-CN"/>
              </w:rPr>
            </w:pPr>
          </w:p>
          <w:p w14:paraId="724CA78D">
            <w:pPr>
              <w:pStyle w:val="29"/>
              <w:rPr>
                <w:b/>
                <w:sz w:val="24"/>
                <w:lang w:eastAsia="zh-CN"/>
              </w:rPr>
            </w:pPr>
          </w:p>
          <w:p w14:paraId="31E91785">
            <w:pPr>
              <w:pStyle w:val="29"/>
              <w:rPr>
                <w:b/>
                <w:sz w:val="24"/>
                <w:lang w:eastAsia="zh-CN"/>
              </w:rPr>
            </w:pPr>
          </w:p>
          <w:p w14:paraId="44417273">
            <w:pPr>
              <w:pStyle w:val="29"/>
              <w:rPr>
                <w:b/>
                <w:sz w:val="24"/>
                <w:lang w:eastAsia="zh-CN"/>
              </w:rPr>
            </w:pPr>
          </w:p>
          <w:p w14:paraId="03794297">
            <w:pPr>
              <w:pStyle w:val="29"/>
              <w:rPr>
                <w:b/>
                <w:sz w:val="24"/>
                <w:lang w:eastAsia="zh-CN"/>
              </w:rPr>
            </w:pPr>
          </w:p>
          <w:p w14:paraId="560EDA1D">
            <w:pPr>
              <w:pStyle w:val="29"/>
              <w:rPr>
                <w:b/>
                <w:sz w:val="24"/>
                <w:lang w:eastAsia="zh-CN"/>
              </w:rPr>
            </w:pPr>
          </w:p>
          <w:p w14:paraId="7A83E78F">
            <w:pPr>
              <w:pStyle w:val="29"/>
              <w:rPr>
                <w:b/>
                <w:sz w:val="24"/>
                <w:lang w:eastAsia="zh-CN"/>
              </w:rPr>
            </w:pPr>
          </w:p>
          <w:p w14:paraId="6DE7B9D4">
            <w:pPr>
              <w:pStyle w:val="29"/>
              <w:rPr>
                <w:b/>
                <w:sz w:val="24"/>
                <w:lang w:eastAsia="zh-CN"/>
              </w:rPr>
            </w:pPr>
          </w:p>
          <w:p w14:paraId="1E9FA3CA">
            <w:pPr>
              <w:pStyle w:val="29"/>
              <w:rPr>
                <w:b/>
                <w:sz w:val="24"/>
                <w:lang w:eastAsia="zh-CN"/>
              </w:rPr>
            </w:pPr>
          </w:p>
          <w:p w14:paraId="656B010D">
            <w:pPr>
              <w:pStyle w:val="29"/>
              <w:spacing w:before="179"/>
              <w:ind w:left="279"/>
              <w:rPr>
                <w:rFonts w:hint="default" w:eastAsia="宋体"/>
                <w:sz w:val="24"/>
                <w:lang w:val="en-US" w:eastAsia="zh-CN"/>
              </w:rPr>
            </w:pPr>
            <w:r>
              <w:rPr>
                <w:rFonts w:hint="eastAsia"/>
                <w:sz w:val="24"/>
                <w:lang w:val="en-US" w:eastAsia="zh-CN"/>
              </w:rPr>
              <w:t>42</w:t>
            </w:r>
          </w:p>
        </w:tc>
        <w:tc>
          <w:tcPr>
            <w:tcW w:w="2448" w:type="dxa"/>
          </w:tcPr>
          <w:p w14:paraId="36B58DDB">
            <w:pPr>
              <w:pStyle w:val="29"/>
              <w:rPr>
                <w:b/>
                <w:sz w:val="24"/>
                <w:lang w:eastAsia="zh-CN"/>
              </w:rPr>
            </w:pPr>
          </w:p>
          <w:p w14:paraId="59DD85DE">
            <w:pPr>
              <w:pStyle w:val="29"/>
              <w:rPr>
                <w:b/>
                <w:sz w:val="24"/>
                <w:lang w:eastAsia="zh-CN"/>
              </w:rPr>
            </w:pPr>
          </w:p>
          <w:p w14:paraId="17CD1621">
            <w:pPr>
              <w:pStyle w:val="29"/>
              <w:rPr>
                <w:b/>
                <w:sz w:val="24"/>
                <w:lang w:eastAsia="zh-CN"/>
              </w:rPr>
            </w:pPr>
          </w:p>
          <w:p w14:paraId="059345AF">
            <w:pPr>
              <w:pStyle w:val="29"/>
              <w:rPr>
                <w:b/>
                <w:sz w:val="24"/>
                <w:lang w:eastAsia="zh-CN"/>
              </w:rPr>
            </w:pPr>
          </w:p>
          <w:p w14:paraId="54BDC018">
            <w:pPr>
              <w:pStyle w:val="29"/>
              <w:rPr>
                <w:b/>
                <w:sz w:val="24"/>
                <w:lang w:eastAsia="zh-CN"/>
              </w:rPr>
            </w:pPr>
          </w:p>
          <w:p w14:paraId="1720197B">
            <w:pPr>
              <w:pStyle w:val="29"/>
              <w:rPr>
                <w:b/>
                <w:sz w:val="24"/>
                <w:lang w:eastAsia="zh-CN"/>
              </w:rPr>
            </w:pPr>
          </w:p>
          <w:p w14:paraId="668A9AC6">
            <w:pPr>
              <w:pStyle w:val="29"/>
              <w:rPr>
                <w:b/>
                <w:sz w:val="24"/>
                <w:lang w:eastAsia="zh-CN"/>
              </w:rPr>
            </w:pPr>
          </w:p>
          <w:p w14:paraId="18C2B5BB">
            <w:pPr>
              <w:pStyle w:val="29"/>
              <w:rPr>
                <w:b/>
                <w:sz w:val="24"/>
                <w:lang w:eastAsia="zh-CN"/>
              </w:rPr>
            </w:pPr>
          </w:p>
          <w:p w14:paraId="180469BF">
            <w:pPr>
              <w:pStyle w:val="29"/>
              <w:rPr>
                <w:b/>
                <w:sz w:val="24"/>
                <w:lang w:eastAsia="zh-CN"/>
              </w:rPr>
            </w:pPr>
          </w:p>
          <w:p w14:paraId="022E842A">
            <w:pPr>
              <w:pStyle w:val="29"/>
              <w:rPr>
                <w:b/>
                <w:sz w:val="24"/>
                <w:lang w:eastAsia="zh-CN"/>
              </w:rPr>
            </w:pPr>
          </w:p>
          <w:p w14:paraId="34573A4D">
            <w:pPr>
              <w:pStyle w:val="29"/>
              <w:rPr>
                <w:b/>
                <w:sz w:val="24"/>
                <w:lang w:eastAsia="zh-CN"/>
              </w:rPr>
            </w:pPr>
          </w:p>
          <w:p w14:paraId="12510539">
            <w:pPr>
              <w:pStyle w:val="29"/>
              <w:rPr>
                <w:b/>
                <w:sz w:val="24"/>
                <w:lang w:eastAsia="zh-CN"/>
              </w:rPr>
            </w:pPr>
          </w:p>
          <w:p w14:paraId="61396825">
            <w:pPr>
              <w:pStyle w:val="29"/>
              <w:rPr>
                <w:b/>
                <w:sz w:val="24"/>
                <w:lang w:eastAsia="zh-CN"/>
              </w:rPr>
            </w:pPr>
          </w:p>
          <w:p w14:paraId="30A61E05">
            <w:pPr>
              <w:pStyle w:val="29"/>
              <w:rPr>
                <w:b/>
                <w:sz w:val="24"/>
                <w:lang w:eastAsia="zh-CN"/>
              </w:rPr>
            </w:pPr>
          </w:p>
          <w:p w14:paraId="6E212A6C">
            <w:pPr>
              <w:pStyle w:val="29"/>
              <w:rPr>
                <w:b/>
                <w:sz w:val="24"/>
                <w:lang w:eastAsia="zh-CN"/>
              </w:rPr>
            </w:pPr>
          </w:p>
          <w:p w14:paraId="15AE568C">
            <w:pPr>
              <w:pStyle w:val="29"/>
              <w:rPr>
                <w:b/>
                <w:sz w:val="24"/>
                <w:lang w:eastAsia="zh-CN"/>
              </w:rPr>
            </w:pPr>
          </w:p>
          <w:p w14:paraId="0A36FB56">
            <w:pPr>
              <w:pStyle w:val="29"/>
              <w:rPr>
                <w:b/>
                <w:sz w:val="24"/>
                <w:lang w:eastAsia="zh-CN"/>
              </w:rPr>
            </w:pPr>
          </w:p>
          <w:p w14:paraId="5FCA3BCB">
            <w:pPr>
              <w:pStyle w:val="29"/>
              <w:rPr>
                <w:b/>
                <w:sz w:val="24"/>
                <w:lang w:eastAsia="zh-CN"/>
              </w:rPr>
            </w:pPr>
          </w:p>
          <w:p w14:paraId="5A252B8F">
            <w:pPr>
              <w:pStyle w:val="29"/>
              <w:spacing w:before="10"/>
              <w:rPr>
                <w:b/>
                <w:sz w:val="25"/>
                <w:lang w:eastAsia="zh-CN"/>
              </w:rPr>
            </w:pPr>
          </w:p>
          <w:p w14:paraId="72AAC60E">
            <w:pPr>
              <w:pStyle w:val="29"/>
              <w:spacing w:line="240" w:lineRule="auto"/>
              <w:ind w:left="0" w:right="0"/>
              <w:jc w:val="center"/>
              <w:rPr>
                <w:sz w:val="24"/>
                <w:lang w:eastAsia="zh-CN"/>
              </w:rPr>
            </w:pPr>
            <w:r>
              <w:rPr>
                <w:sz w:val="24"/>
                <w:lang w:eastAsia="zh-CN"/>
              </w:rPr>
              <w:t>电子化项目开标、解密、唱标、磋商</w:t>
            </w:r>
          </w:p>
        </w:tc>
        <w:tc>
          <w:tcPr>
            <w:tcW w:w="6792" w:type="dxa"/>
          </w:tcPr>
          <w:p w14:paraId="2642A938">
            <w:pPr>
              <w:keepNext w:val="0"/>
              <w:keepLines w:val="0"/>
              <w:pageBreakBefore w:val="0"/>
              <w:widowControl w:val="0"/>
              <w:kinsoku/>
              <w:wordWrap/>
              <w:overflowPunct/>
              <w:topLinePunct w:val="0"/>
              <w:autoSpaceDE w:val="0"/>
              <w:autoSpaceDN w:val="0"/>
              <w:bidi w:val="0"/>
              <w:adjustRightInd/>
              <w:snapToGrid/>
              <w:spacing w:line="288" w:lineRule="auto"/>
              <w:jc w:val="left"/>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本项目为电子化交易项目，磋商响应文件是供应商、供应商（以下简称“供应商”）通过中心磋商响应文件制作系统制作，并经过电子签章和加密后生成的电子版磋商响应文件。供应商投标时，不须提交纸质文件资料。</w:t>
            </w:r>
          </w:p>
          <w:p w14:paraId="5A328BF4">
            <w:pPr>
              <w:keepNext w:val="0"/>
              <w:keepLines w:val="0"/>
              <w:pageBreakBefore w:val="0"/>
              <w:widowControl w:val="0"/>
              <w:kinsoku/>
              <w:wordWrap/>
              <w:overflowPunct/>
              <w:topLinePunct w:val="0"/>
              <w:autoSpaceDE w:val="0"/>
              <w:autoSpaceDN w:val="0"/>
              <w:bidi w:val="0"/>
              <w:adjustRightInd/>
              <w:snapToGrid/>
              <w:spacing w:line="288" w:lineRule="auto"/>
              <w:jc w:val="left"/>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电子化磋商响应文件具体制作教材请供应商通过CA证书登录三门峡市公共资源电子化交易系统在 “交易智库”中下载操作流程</w:t>
            </w:r>
          </w:p>
          <w:p w14:paraId="439AB2CA">
            <w:pPr>
              <w:keepNext w:val="0"/>
              <w:keepLines w:val="0"/>
              <w:pageBreakBefore w:val="0"/>
              <w:widowControl w:val="0"/>
              <w:kinsoku/>
              <w:wordWrap/>
              <w:overflowPunct/>
              <w:topLinePunct w:val="0"/>
              <w:autoSpaceDE w:val="0"/>
              <w:autoSpaceDN w:val="0"/>
              <w:bidi w:val="0"/>
              <w:adjustRightInd/>
              <w:snapToGrid/>
              <w:spacing w:line="288" w:lineRule="auto"/>
              <w:jc w:val="left"/>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温馨提示：本项目为电子化、无纸化交易项目，投标时不接受任何纸质资料，为保证您能投标成功，请需仔细阅读以下条款。</w:t>
            </w:r>
          </w:p>
          <w:p w14:paraId="65A5C263">
            <w:pPr>
              <w:keepNext w:val="0"/>
              <w:keepLines w:val="0"/>
              <w:pageBreakBefore w:val="0"/>
              <w:widowControl w:val="0"/>
              <w:kinsoku/>
              <w:wordWrap/>
              <w:overflowPunct/>
              <w:topLinePunct w:val="0"/>
              <w:autoSpaceDE w:val="0"/>
              <w:autoSpaceDN w:val="0"/>
              <w:bidi w:val="0"/>
              <w:adjustRightInd/>
              <w:snapToGrid/>
              <w:spacing w:line="288" w:lineRule="auto"/>
              <w:jc w:val="left"/>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一、电子化投标</w:t>
            </w:r>
          </w:p>
          <w:p w14:paraId="3E849CF4">
            <w:pPr>
              <w:keepNext w:val="0"/>
              <w:keepLines w:val="0"/>
              <w:pageBreakBefore w:val="0"/>
              <w:widowControl w:val="0"/>
              <w:kinsoku/>
              <w:wordWrap/>
              <w:overflowPunct/>
              <w:topLinePunct w:val="0"/>
              <w:autoSpaceDE w:val="0"/>
              <w:autoSpaceDN w:val="0"/>
              <w:bidi w:val="0"/>
              <w:adjustRightInd/>
              <w:snapToGrid/>
              <w:spacing w:line="288" w:lineRule="auto"/>
              <w:jc w:val="left"/>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（一）电子化磋商响应文件的签章</w:t>
            </w:r>
          </w:p>
          <w:p w14:paraId="17E863FF">
            <w:pPr>
              <w:keepNext w:val="0"/>
              <w:keepLines w:val="0"/>
              <w:pageBreakBefore w:val="0"/>
              <w:widowControl w:val="0"/>
              <w:kinsoku/>
              <w:wordWrap/>
              <w:overflowPunct/>
              <w:topLinePunct w:val="0"/>
              <w:autoSpaceDE w:val="0"/>
              <w:autoSpaceDN w:val="0"/>
              <w:bidi w:val="0"/>
              <w:adjustRightInd/>
              <w:snapToGrid/>
              <w:spacing w:line="288" w:lineRule="auto"/>
              <w:jc w:val="left"/>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1、供应商在生成电子化磋商响应文件后，应对电子化磋商响应文件进行签章，未进行签章的视为无效投标。</w:t>
            </w:r>
          </w:p>
          <w:p w14:paraId="61B34365">
            <w:pPr>
              <w:keepNext w:val="0"/>
              <w:keepLines w:val="0"/>
              <w:pageBreakBefore w:val="0"/>
              <w:widowControl w:val="0"/>
              <w:kinsoku/>
              <w:wordWrap/>
              <w:overflowPunct/>
              <w:topLinePunct w:val="0"/>
              <w:autoSpaceDE w:val="0"/>
              <w:autoSpaceDN w:val="0"/>
              <w:bidi w:val="0"/>
              <w:adjustRightInd/>
              <w:snapToGrid/>
              <w:spacing w:line="288" w:lineRule="auto"/>
              <w:jc w:val="left"/>
              <w:textAlignment w:val="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2、磋商响应文件中要求法定代表人或授权委托人签字或盖章的，供应商在进行电子化磋商响应文件签章时，以签盖法定代表人签章为准。</w:t>
            </w:r>
          </w:p>
          <w:p w14:paraId="4967F9FA">
            <w:pPr>
              <w:keepNext w:val="0"/>
              <w:keepLines w:val="0"/>
              <w:pageBreakBefore w:val="0"/>
              <w:widowControl w:val="0"/>
              <w:kinsoku/>
              <w:wordWrap/>
              <w:overflowPunct/>
              <w:topLinePunct w:val="0"/>
              <w:autoSpaceDE w:val="0"/>
              <w:autoSpaceDN w:val="0"/>
              <w:bidi w:val="0"/>
              <w:adjustRightInd/>
              <w:snapToGrid/>
              <w:spacing w:line="288" w:lineRule="auto"/>
              <w:jc w:val="left"/>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（二）电子化磋商响应文件的格式及上传投标</w:t>
            </w:r>
          </w:p>
          <w:p w14:paraId="675FD232">
            <w:pPr>
              <w:keepNext w:val="0"/>
              <w:keepLines w:val="0"/>
              <w:pageBreakBefore w:val="0"/>
              <w:widowControl w:val="0"/>
              <w:kinsoku/>
              <w:wordWrap/>
              <w:overflowPunct/>
              <w:topLinePunct w:val="0"/>
              <w:autoSpaceDE w:val="0"/>
              <w:autoSpaceDN w:val="0"/>
              <w:bidi w:val="0"/>
              <w:adjustRightInd/>
              <w:snapToGrid/>
              <w:spacing w:line="288" w:lineRule="auto"/>
              <w:jc w:val="left"/>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1、供应商所上传的电子化磋商响应文件，应是通过中心磋商响应文件制作系统制作的（磋商响应文件制作工具下载地址：http://gzjy.smx.gov.cn/bzzx/008002/moreinfo.html），经过签章和加密后生成的电子版磋商响应文件。其中包含用于磋商响应文件上传的主文件（后缀为.smxtf）和用于应急补救的磋商响应文件备份文件（后缀为.nsmxtf）。备份文件主要用于电子化开标出现技术问题后的补救，请供应商随身携带。</w:t>
            </w:r>
          </w:p>
          <w:p w14:paraId="3A1CCDD7">
            <w:pPr>
              <w:keepNext w:val="0"/>
              <w:keepLines w:val="0"/>
              <w:pageBreakBefore w:val="0"/>
              <w:widowControl w:val="0"/>
              <w:kinsoku/>
              <w:wordWrap/>
              <w:overflowPunct/>
              <w:topLinePunct w:val="0"/>
              <w:autoSpaceDE w:val="0"/>
              <w:autoSpaceDN w:val="0"/>
              <w:bidi w:val="0"/>
              <w:adjustRightInd/>
              <w:snapToGrid/>
              <w:spacing w:line="288" w:lineRule="auto"/>
              <w:jc w:val="left"/>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注：供应商投报多个标段的，需要每个标段单独制作电子磋商响应文件。</w:t>
            </w:r>
          </w:p>
          <w:p w14:paraId="33B1B186">
            <w:pPr>
              <w:keepNext w:val="0"/>
              <w:keepLines w:val="0"/>
              <w:pageBreakBefore w:val="0"/>
              <w:widowControl w:val="0"/>
              <w:kinsoku/>
              <w:wordWrap/>
              <w:overflowPunct/>
              <w:topLinePunct w:val="0"/>
              <w:autoSpaceDE w:val="0"/>
              <w:autoSpaceDN w:val="0"/>
              <w:bidi w:val="0"/>
              <w:adjustRightInd/>
              <w:snapToGrid/>
              <w:spacing w:line="288" w:lineRule="auto"/>
              <w:jc w:val="left"/>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2、电子化磋商响应文件应在投标截止时间前成功上传至三门峡市公共资源电子化交易系统。至投标截止时间止，仍未上传成功的电子化磋商响应文件将不予接收。</w:t>
            </w:r>
          </w:p>
          <w:p w14:paraId="7BFB8636">
            <w:pPr>
              <w:keepNext w:val="0"/>
              <w:keepLines w:val="0"/>
              <w:pageBreakBefore w:val="0"/>
              <w:widowControl w:val="0"/>
              <w:kinsoku/>
              <w:wordWrap/>
              <w:overflowPunct/>
              <w:topLinePunct w:val="0"/>
              <w:autoSpaceDE w:val="0"/>
              <w:autoSpaceDN w:val="0"/>
              <w:bidi w:val="0"/>
              <w:adjustRightInd/>
              <w:snapToGrid/>
              <w:spacing w:line="288" w:lineRule="auto"/>
              <w:jc w:val="left"/>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注：如按照电子化投标操作教材制作完成的电子化磋商响应文件无法上传的，供应商应在投标截止时间前尽早的联系中心技术人员，以便有充分的时间进行处理。供应商应充分考虑到处理技术问题和上传数据等工作所需的时间问题，磋商响应文件未在投标截止时间前成功上传的，其磋商响应文件不予接收。</w:t>
            </w:r>
          </w:p>
          <w:p w14:paraId="27ECD893">
            <w:pPr>
              <w:keepNext w:val="0"/>
              <w:keepLines w:val="0"/>
              <w:pageBreakBefore w:val="0"/>
              <w:widowControl w:val="0"/>
              <w:kinsoku/>
              <w:wordWrap/>
              <w:overflowPunct/>
              <w:topLinePunct w:val="0"/>
              <w:autoSpaceDE w:val="0"/>
              <w:autoSpaceDN w:val="0"/>
              <w:bidi w:val="0"/>
              <w:adjustRightInd/>
              <w:snapToGrid/>
              <w:spacing w:line="288" w:lineRule="auto"/>
              <w:jc w:val="left"/>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技术联系电话：400-998-0000</w:t>
            </w:r>
          </w:p>
          <w:p w14:paraId="2904F6CD">
            <w:pPr>
              <w:keepNext w:val="0"/>
              <w:keepLines w:val="0"/>
              <w:pageBreakBefore w:val="0"/>
              <w:widowControl w:val="0"/>
              <w:kinsoku/>
              <w:wordWrap/>
              <w:overflowPunct/>
              <w:topLinePunct w:val="0"/>
              <w:autoSpaceDE w:val="0"/>
              <w:autoSpaceDN w:val="0"/>
              <w:bidi w:val="0"/>
              <w:adjustRightInd/>
              <w:snapToGrid/>
              <w:spacing w:line="288" w:lineRule="auto"/>
              <w:jc w:val="left"/>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（三）电子化项目开标、解密、唱标、评标</w:t>
            </w:r>
          </w:p>
          <w:p w14:paraId="0D95EAAC">
            <w:pPr>
              <w:keepNext w:val="0"/>
              <w:keepLines w:val="0"/>
              <w:pageBreakBefore w:val="0"/>
              <w:widowControl w:val="0"/>
              <w:kinsoku/>
              <w:wordWrap/>
              <w:overflowPunct/>
              <w:topLinePunct w:val="0"/>
              <w:autoSpaceDE w:val="0"/>
              <w:autoSpaceDN w:val="0"/>
              <w:bidi w:val="0"/>
              <w:adjustRightInd/>
              <w:snapToGrid/>
              <w:spacing w:line="288" w:lineRule="auto"/>
              <w:jc w:val="left"/>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1、本项目采用电子化、无纸化进行招标，开标当日，供应商无需到开标现场参加开标会议，供应商应当在投标截止时间前，登陆不见面开标大厅选择登陆三门峡市公共资源电子招投标系统进行登陆,在线准时参加开标活动并进行磋商响应文件解密等。</w:t>
            </w:r>
          </w:p>
          <w:p w14:paraId="016ABA09">
            <w:pPr>
              <w:keepNext w:val="0"/>
              <w:keepLines w:val="0"/>
              <w:pageBreakBefore w:val="0"/>
              <w:widowControl w:val="0"/>
              <w:kinsoku/>
              <w:wordWrap/>
              <w:overflowPunct/>
              <w:topLinePunct w:val="0"/>
              <w:autoSpaceDE w:val="0"/>
              <w:autoSpaceDN w:val="0"/>
              <w:bidi w:val="0"/>
              <w:adjustRightInd/>
              <w:snapToGrid/>
              <w:spacing w:line="288" w:lineRule="auto"/>
              <w:jc w:val="left"/>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2、电子化磋商响应文件采用一次加密方式。开标时，由供应商使用CA 证书，在规定时间内对其电子化磋商响应文件进行解密。每位供应商的解密时间为开标时间起30分钟内，如在规定时间内未完成解密的，其磋商响应文件不予开标、唱标。</w:t>
            </w:r>
          </w:p>
          <w:p w14:paraId="589C0673">
            <w:pPr>
              <w:keepNext w:val="0"/>
              <w:keepLines w:val="0"/>
              <w:pageBreakBefore w:val="0"/>
              <w:widowControl w:val="0"/>
              <w:kinsoku/>
              <w:wordWrap/>
              <w:overflowPunct/>
              <w:topLinePunct w:val="0"/>
              <w:autoSpaceDE w:val="0"/>
              <w:autoSpaceDN w:val="0"/>
              <w:bidi w:val="0"/>
              <w:adjustRightInd/>
              <w:snapToGrid/>
              <w:spacing w:line="288" w:lineRule="auto"/>
              <w:jc w:val="left"/>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3、电子化磋商响应文件解密异常的处理</w:t>
            </w:r>
          </w:p>
          <w:p w14:paraId="24AFF6BB">
            <w:pPr>
              <w:keepNext w:val="0"/>
              <w:keepLines w:val="0"/>
              <w:pageBreakBefore w:val="0"/>
              <w:widowControl w:val="0"/>
              <w:kinsoku/>
              <w:wordWrap/>
              <w:overflowPunct/>
              <w:topLinePunct w:val="0"/>
              <w:autoSpaceDE w:val="0"/>
              <w:autoSpaceDN w:val="0"/>
              <w:bidi w:val="0"/>
              <w:adjustRightInd/>
              <w:snapToGrid/>
              <w:spacing w:line="288" w:lineRule="auto"/>
              <w:jc w:val="left"/>
              <w:textAlignment w:val="auto"/>
              <w:rPr>
                <w:rFonts w:ascii="仿宋" w:hAnsi="仿宋" w:eastAsia="仿宋" w:cs="仿宋"/>
                <w:i w:val="0"/>
                <w:iCs w:val="0"/>
                <w:caps w:val="0"/>
                <w:color w:val="333333"/>
                <w:spacing w:val="0"/>
                <w:sz w:val="30"/>
                <w:szCs w:val="30"/>
              </w:rPr>
            </w:pPr>
            <w:r>
              <w:rPr>
                <w:rFonts w:hint="eastAsia" w:asciiTheme="minorEastAsia" w:hAnsiTheme="minorEastAsia" w:eastAsiaTheme="minorEastAsia"/>
                <w:sz w:val="24"/>
                <w:szCs w:val="24"/>
              </w:rPr>
              <w:t>如出现供应商的电子磋商响应文件无法解密等异常情况，供应商应及时致电技术</w:t>
            </w:r>
            <w:r>
              <w:rPr>
                <w:rFonts w:hint="eastAsia" w:asciiTheme="minorEastAsia" w:hAnsiTheme="minorEastAsia"/>
                <w:sz w:val="24"/>
                <w:szCs w:val="24"/>
                <w:lang w:val="en-US" w:eastAsia="zh-CN"/>
              </w:rPr>
              <w:t>人员进行</w:t>
            </w:r>
            <w:r>
              <w:rPr>
                <w:rFonts w:hint="eastAsia" w:asciiTheme="minorEastAsia" w:hAnsiTheme="minorEastAsia" w:eastAsiaTheme="minorEastAsia"/>
                <w:sz w:val="24"/>
                <w:szCs w:val="24"/>
              </w:rPr>
              <w:t>说明。磋商响应文件异常，按以下步骤进行处理：</w:t>
            </w:r>
            <w:r>
              <w:rPr>
                <w:rFonts w:ascii="仿宋" w:hAnsi="仿宋" w:eastAsia="仿宋" w:cs="仿宋"/>
                <w:i w:val="0"/>
                <w:iCs w:val="0"/>
                <w:caps w:val="0"/>
                <w:color w:val="333333"/>
                <w:spacing w:val="0"/>
                <w:sz w:val="30"/>
                <w:szCs w:val="30"/>
              </w:rPr>
              <w:t> </w:t>
            </w:r>
          </w:p>
          <w:p w14:paraId="519C84A7">
            <w:pPr>
              <w:keepNext w:val="0"/>
              <w:keepLines w:val="0"/>
              <w:pageBreakBefore w:val="0"/>
              <w:widowControl w:val="0"/>
              <w:kinsoku/>
              <w:wordWrap/>
              <w:overflowPunct/>
              <w:topLinePunct w:val="0"/>
              <w:autoSpaceDE w:val="0"/>
              <w:autoSpaceDN w:val="0"/>
              <w:bidi w:val="0"/>
              <w:adjustRightInd/>
              <w:snapToGrid/>
              <w:spacing w:line="288" w:lineRule="auto"/>
              <w:jc w:val="left"/>
              <w:textAlignment w:val="auto"/>
              <w:rPr>
                <w:rFonts w:hint="eastAsia" w:asciiTheme="minorEastAsia" w:hAnsiTheme="minorEastAsia" w:eastAsiaTheme="minorEastAsia"/>
                <w:sz w:val="24"/>
                <w:szCs w:val="24"/>
              </w:rPr>
            </w:pPr>
            <w:r>
              <w:rPr>
                <w:rFonts w:hint="eastAsia" w:asciiTheme="minorEastAsia" w:hAnsiTheme="minorEastAsia" w:eastAsiaTheme="minorEastAsia"/>
                <w:b/>
                <w:bCs/>
                <w:sz w:val="24"/>
                <w:szCs w:val="24"/>
              </w:rPr>
              <w:t>技术咨询服务窗口：</w:t>
            </w:r>
            <w:r>
              <w:rPr>
                <w:rFonts w:hint="eastAsia" w:asciiTheme="minorEastAsia" w:hAnsiTheme="minorEastAsia" w:eastAsiaTheme="minorEastAsia"/>
                <w:sz w:val="24"/>
                <w:szCs w:val="24"/>
              </w:rPr>
              <w:t>400-998-0000</w:t>
            </w:r>
            <w:r>
              <w:rPr>
                <w:rFonts w:hint="eastAsia" w:asciiTheme="minorEastAsia" w:hAnsiTheme="minorEastAsia"/>
                <w:sz w:val="24"/>
                <w:szCs w:val="24"/>
                <w:lang w:eastAsia="zh-CN"/>
              </w:rPr>
              <w:t>、</w:t>
            </w:r>
            <w:r>
              <w:rPr>
                <w:rFonts w:hint="eastAsia" w:asciiTheme="minorEastAsia" w:hAnsiTheme="minorEastAsia" w:eastAsiaTheme="minorEastAsia"/>
                <w:b/>
                <w:bCs/>
                <w:sz w:val="24"/>
                <w:szCs w:val="24"/>
              </w:rPr>
              <w:t>0398-3117871</w:t>
            </w:r>
            <w:r>
              <w:rPr>
                <w:rFonts w:hint="eastAsia" w:asciiTheme="minorEastAsia" w:hAnsiTheme="minorEastAsia" w:eastAsiaTheme="minorEastAsia"/>
                <w:sz w:val="24"/>
                <w:szCs w:val="24"/>
              </w:rPr>
              <w:t>    </w:t>
            </w:r>
          </w:p>
          <w:p w14:paraId="13BD85F4">
            <w:pPr>
              <w:keepNext w:val="0"/>
              <w:keepLines w:val="0"/>
              <w:pageBreakBefore w:val="0"/>
              <w:widowControl w:val="0"/>
              <w:kinsoku/>
              <w:wordWrap/>
              <w:overflowPunct/>
              <w:topLinePunct w:val="0"/>
              <w:autoSpaceDE w:val="0"/>
              <w:autoSpaceDN w:val="0"/>
              <w:bidi w:val="0"/>
              <w:adjustRightInd/>
              <w:snapToGrid/>
              <w:spacing w:line="288" w:lineRule="auto"/>
              <w:jc w:val="left"/>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（1）首先由技术人员进行问题排查。</w:t>
            </w:r>
          </w:p>
          <w:p w14:paraId="47091D40">
            <w:pPr>
              <w:keepNext w:val="0"/>
              <w:keepLines w:val="0"/>
              <w:pageBreakBefore w:val="0"/>
              <w:widowControl w:val="0"/>
              <w:kinsoku/>
              <w:wordWrap/>
              <w:overflowPunct/>
              <w:topLinePunct w:val="0"/>
              <w:autoSpaceDE w:val="0"/>
              <w:autoSpaceDN w:val="0"/>
              <w:bidi w:val="0"/>
              <w:adjustRightInd/>
              <w:snapToGrid/>
              <w:spacing w:line="288" w:lineRule="auto"/>
              <w:jc w:val="left"/>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（2）经技术人员排查后，是供应商文件自身问题导致磋商响应文件无法解密的，该磋商响应文件将不予接收、解密和唱标。开标会议继续进行。</w:t>
            </w:r>
          </w:p>
          <w:p w14:paraId="554F3347">
            <w:pPr>
              <w:keepNext w:val="0"/>
              <w:keepLines w:val="0"/>
              <w:pageBreakBefore w:val="0"/>
              <w:widowControl w:val="0"/>
              <w:kinsoku/>
              <w:wordWrap/>
              <w:overflowPunct/>
              <w:topLinePunct w:val="0"/>
              <w:autoSpaceDE w:val="0"/>
              <w:autoSpaceDN w:val="0"/>
              <w:bidi w:val="0"/>
              <w:adjustRightInd/>
              <w:snapToGrid/>
              <w:spacing w:line="288" w:lineRule="auto"/>
              <w:jc w:val="left"/>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（3）经技术人员排查后，如果是电子化交易系统问题造成</w:t>
            </w:r>
            <w:r>
              <w:rPr>
                <w:rFonts w:hint="eastAsia" w:asciiTheme="minorEastAsia" w:hAnsiTheme="minorEastAsia"/>
                <w:sz w:val="24"/>
                <w:szCs w:val="24"/>
                <w:lang w:val="en-US" w:eastAsia="zh-CN"/>
              </w:rPr>
              <w:t>所有</w:t>
            </w:r>
            <w:r>
              <w:rPr>
                <w:rFonts w:hint="eastAsia" w:asciiTheme="minorEastAsia" w:hAnsiTheme="minorEastAsia" w:eastAsiaTheme="minorEastAsia"/>
                <w:sz w:val="24"/>
                <w:szCs w:val="24"/>
              </w:rPr>
              <w:t>磋商响应文件无法解密的，将由技术人员对问题进行处理。如短时间内问题无法解决的，将由中介服务机构向监督部门申请，经监督部门同意后，暂停开标会议，待问题解决后继续开标。</w:t>
            </w:r>
          </w:p>
          <w:p w14:paraId="5EA51A37">
            <w:pPr>
              <w:keepNext w:val="0"/>
              <w:keepLines w:val="0"/>
              <w:pageBreakBefore w:val="0"/>
              <w:widowControl w:val="0"/>
              <w:kinsoku/>
              <w:wordWrap/>
              <w:overflowPunct/>
              <w:topLinePunct w:val="0"/>
              <w:autoSpaceDE w:val="0"/>
              <w:autoSpaceDN w:val="0"/>
              <w:bidi w:val="0"/>
              <w:adjustRightInd/>
              <w:snapToGrid/>
              <w:spacing w:line="288" w:lineRule="auto"/>
              <w:jc w:val="left"/>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4、待所有供应商磋商响应文件解密完成后，由中介服务机构操作，对所有已解密磋商响应文件进行唱标。</w:t>
            </w:r>
          </w:p>
          <w:p w14:paraId="189D4B34">
            <w:pPr>
              <w:keepNext w:val="0"/>
              <w:keepLines w:val="0"/>
              <w:pageBreakBefore w:val="0"/>
              <w:widowControl w:val="0"/>
              <w:kinsoku/>
              <w:wordWrap/>
              <w:overflowPunct/>
              <w:topLinePunct w:val="0"/>
              <w:autoSpaceDE w:val="0"/>
              <w:autoSpaceDN w:val="0"/>
              <w:bidi w:val="0"/>
              <w:adjustRightInd/>
              <w:snapToGrid/>
              <w:spacing w:line="288" w:lineRule="auto"/>
              <w:jc w:val="left"/>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供应商应保证在开标期间电话、电脑、网络能够正常工作，供应商因停电、电脑病毒、网络堵塞等原因，未在规定的解密时间内对磋商响应文件进行解密的，其磋商响应文件不予接收、唱标。</w:t>
            </w:r>
          </w:p>
          <w:p w14:paraId="42EFDCD4">
            <w:pPr>
              <w:keepNext w:val="0"/>
              <w:keepLines w:val="0"/>
              <w:pageBreakBefore w:val="0"/>
              <w:widowControl w:val="0"/>
              <w:kinsoku/>
              <w:wordWrap/>
              <w:overflowPunct/>
              <w:topLinePunct w:val="0"/>
              <w:autoSpaceDE w:val="0"/>
              <w:autoSpaceDN w:val="0"/>
              <w:bidi w:val="0"/>
              <w:adjustRightInd/>
              <w:snapToGrid/>
              <w:spacing w:line="288" w:lineRule="auto"/>
              <w:textAlignment w:val="auto"/>
              <w:rPr>
                <w:rFonts w:hint="eastAsia" w:asciiTheme="minorEastAsia" w:hAnsiTheme="minorEastAsia" w:eastAsiaTheme="minorEastAsia"/>
                <w:b/>
                <w:bCs/>
                <w:sz w:val="24"/>
                <w:szCs w:val="24"/>
              </w:rPr>
            </w:pPr>
            <w:r>
              <w:rPr>
                <w:rFonts w:hint="eastAsia" w:asciiTheme="minorEastAsia" w:hAnsiTheme="minorEastAsia" w:eastAsiaTheme="minorEastAsia"/>
                <w:sz w:val="24"/>
                <w:szCs w:val="24"/>
              </w:rPr>
              <w:t>5、开标时供应商可登录到交易系统中在开标解密栏中点击报价一览表查看自己的投标报价。</w:t>
            </w:r>
            <w:r>
              <w:rPr>
                <w:rFonts w:hint="eastAsia" w:asciiTheme="minorEastAsia" w:hAnsiTheme="minorEastAsia" w:eastAsiaTheme="minorEastAsia"/>
                <w:b/>
                <w:bCs/>
                <w:sz w:val="24"/>
                <w:szCs w:val="24"/>
              </w:rPr>
              <w:t>如对自己的唱标内容有异议的，应在供应商解密成功后10分钟内向中服务机构通过开标大厅对话框提出质疑。中介服务机构应在监督人员的监督下接受</w:t>
            </w:r>
            <w:r>
              <w:rPr>
                <w:rFonts w:hint="eastAsia" w:asciiTheme="minorEastAsia" w:hAnsiTheme="minorEastAsia"/>
                <w:b/>
                <w:bCs/>
                <w:sz w:val="24"/>
                <w:szCs w:val="24"/>
                <w:lang w:val="en-US" w:eastAsia="zh-CN"/>
              </w:rPr>
              <w:t>供应商</w:t>
            </w:r>
            <w:r>
              <w:rPr>
                <w:rFonts w:hint="eastAsia" w:asciiTheme="minorEastAsia" w:hAnsiTheme="minorEastAsia" w:eastAsiaTheme="minorEastAsia"/>
                <w:b/>
                <w:bCs/>
                <w:sz w:val="24"/>
                <w:szCs w:val="24"/>
              </w:rPr>
              <w:t>的质疑通过开标大厅对话框</w:t>
            </w:r>
            <w:r>
              <w:rPr>
                <w:rFonts w:hint="eastAsia" w:asciiTheme="minorEastAsia" w:hAnsiTheme="minorEastAsia" w:eastAsiaTheme="minorEastAsia"/>
                <w:b/>
                <w:bCs/>
                <w:sz w:val="24"/>
                <w:szCs w:val="24"/>
                <w:lang w:val="en-US" w:eastAsia="zh-CN"/>
              </w:rPr>
              <w:t>进行答复</w:t>
            </w:r>
            <w:r>
              <w:rPr>
                <w:rFonts w:hint="eastAsia" w:asciiTheme="minorEastAsia" w:hAnsiTheme="minorEastAsia" w:eastAsiaTheme="minorEastAsia"/>
                <w:b/>
                <w:bCs/>
                <w:sz w:val="24"/>
                <w:szCs w:val="24"/>
              </w:rPr>
              <w:t>并做好书面记录。</w:t>
            </w:r>
            <w:r>
              <w:rPr>
                <w:rFonts w:hint="eastAsia" w:asciiTheme="minorEastAsia" w:hAnsiTheme="minorEastAsia" w:eastAsiaTheme="minorEastAsia"/>
                <w:b/>
                <w:bCs/>
                <w:sz w:val="24"/>
                <w:szCs w:val="24"/>
                <w:lang w:val="en-US" w:eastAsia="zh-CN"/>
              </w:rPr>
              <w:t>供应商</w:t>
            </w:r>
            <w:r>
              <w:rPr>
                <w:rFonts w:hint="eastAsia" w:asciiTheme="minorEastAsia" w:hAnsiTheme="minorEastAsia" w:eastAsiaTheme="minorEastAsia"/>
                <w:b/>
                <w:bCs/>
                <w:sz w:val="24"/>
                <w:szCs w:val="24"/>
              </w:rPr>
              <w:t>未在规定时间内提出质疑的，视为认可唱标内容。</w:t>
            </w:r>
          </w:p>
          <w:p w14:paraId="631300D5">
            <w:pPr>
              <w:keepNext w:val="0"/>
              <w:keepLines w:val="0"/>
              <w:pageBreakBefore w:val="0"/>
              <w:widowControl w:val="0"/>
              <w:kinsoku/>
              <w:wordWrap/>
              <w:overflowPunct/>
              <w:topLinePunct w:val="0"/>
              <w:autoSpaceDE w:val="0"/>
              <w:autoSpaceDN w:val="0"/>
              <w:bidi w:val="0"/>
              <w:adjustRightInd/>
              <w:snapToGrid/>
              <w:spacing w:line="288" w:lineRule="auto"/>
              <w:textAlignment w:val="auto"/>
              <w:rPr>
                <w:rFonts w:hint="eastAsia" w:asciiTheme="minorEastAsia" w:hAnsiTheme="minorEastAsia" w:eastAsiaTheme="minorEastAsia"/>
                <w:b/>
                <w:bCs/>
                <w:sz w:val="24"/>
                <w:szCs w:val="24"/>
              </w:rPr>
            </w:pPr>
            <w:r>
              <w:rPr>
                <w:rFonts w:hint="eastAsia" w:asciiTheme="minorEastAsia" w:hAnsiTheme="minorEastAsia" w:eastAsiaTheme="minorEastAsia"/>
                <w:b/>
                <w:bCs/>
                <w:sz w:val="24"/>
                <w:szCs w:val="24"/>
              </w:rPr>
              <w:t>6、评标时，评标委员会对电子化投标文件有质疑的，将通过电子化交易系统</w:t>
            </w:r>
            <w:r>
              <w:rPr>
                <w:rFonts w:hint="eastAsia" w:asciiTheme="minorEastAsia" w:hAnsiTheme="minorEastAsia"/>
                <w:b/>
                <w:bCs/>
                <w:sz w:val="24"/>
                <w:szCs w:val="24"/>
                <w:lang w:val="en-US" w:eastAsia="zh-CN"/>
              </w:rPr>
              <w:t>向供应商</w:t>
            </w:r>
            <w:r>
              <w:rPr>
                <w:rFonts w:hint="eastAsia" w:asciiTheme="minorEastAsia" w:hAnsiTheme="minorEastAsia" w:eastAsiaTheme="minorEastAsia"/>
                <w:b/>
                <w:bCs/>
                <w:sz w:val="24"/>
                <w:szCs w:val="24"/>
              </w:rPr>
              <w:t>发起质疑。</w:t>
            </w:r>
            <w:r>
              <w:rPr>
                <w:rFonts w:hint="eastAsia" w:asciiTheme="minorEastAsia" w:hAnsiTheme="minorEastAsia"/>
                <w:b/>
                <w:bCs/>
                <w:sz w:val="24"/>
                <w:szCs w:val="24"/>
                <w:lang w:val="en-US" w:eastAsia="zh-CN"/>
              </w:rPr>
              <w:t>供应商</w:t>
            </w:r>
            <w:r>
              <w:rPr>
                <w:rFonts w:hint="eastAsia" w:asciiTheme="minorEastAsia" w:hAnsiTheme="minorEastAsia" w:eastAsiaTheme="minorEastAsia"/>
                <w:b/>
                <w:bCs/>
                <w:sz w:val="24"/>
                <w:szCs w:val="24"/>
              </w:rPr>
              <w:t>的回复文件必须以经过</w:t>
            </w:r>
            <w:r>
              <w:rPr>
                <w:rFonts w:hint="eastAsia" w:asciiTheme="minorEastAsia" w:hAnsiTheme="minorEastAsia"/>
                <w:b/>
                <w:bCs/>
                <w:sz w:val="24"/>
                <w:szCs w:val="24"/>
                <w:lang w:val="en-US" w:eastAsia="zh-CN"/>
              </w:rPr>
              <w:t>供应商</w:t>
            </w:r>
            <w:r>
              <w:rPr>
                <w:rFonts w:hint="eastAsia" w:asciiTheme="minorEastAsia" w:hAnsiTheme="minorEastAsia" w:eastAsiaTheme="minorEastAsia"/>
                <w:b/>
                <w:bCs/>
                <w:sz w:val="24"/>
                <w:szCs w:val="24"/>
              </w:rPr>
              <w:t>和其法定代表人签章的PDF式文件为准，并通过电子化交易系统提交至评标委员会。</w:t>
            </w:r>
          </w:p>
          <w:p w14:paraId="4F75434B">
            <w:pPr>
              <w:keepNext w:val="0"/>
              <w:keepLines w:val="0"/>
              <w:pageBreakBefore w:val="0"/>
              <w:widowControl w:val="0"/>
              <w:kinsoku/>
              <w:wordWrap/>
              <w:overflowPunct/>
              <w:topLinePunct w:val="0"/>
              <w:autoSpaceDE w:val="0"/>
              <w:autoSpaceDN w:val="0"/>
              <w:bidi w:val="0"/>
              <w:adjustRightInd/>
              <w:snapToGrid/>
              <w:spacing w:line="288" w:lineRule="auto"/>
              <w:textAlignment w:val="auto"/>
              <w:rPr>
                <w:rFonts w:hint="eastAsia" w:asciiTheme="minorEastAsia" w:hAnsiTheme="minorEastAsia" w:eastAsiaTheme="minorEastAsia"/>
                <w:b/>
                <w:bCs/>
                <w:sz w:val="24"/>
                <w:szCs w:val="24"/>
              </w:rPr>
            </w:pPr>
            <w:r>
              <w:rPr>
                <w:rFonts w:hint="eastAsia" w:asciiTheme="minorEastAsia" w:hAnsiTheme="minorEastAsia" w:eastAsiaTheme="minorEastAsia"/>
                <w:b/>
                <w:bCs/>
                <w:sz w:val="24"/>
                <w:szCs w:val="24"/>
              </w:rPr>
              <w:t>7、</w:t>
            </w:r>
            <w:r>
              <w:rPr>
                <w:rFonts w:hint="eastAsia" w:asciiTheme="minorEastAsia" w:hAnsiTheme="minorEastAsia"/>
                <w:b/>
                <w:bCs/>
                <w:sz w:val="24"/>
                <w:szCs w:val="24"/>
                <w:lang w:val="en-US" w:eastAsia="zh-CN"/>
              </w:rPr>
              <w:t>如</w:t>
            </w:r>
            <w:r>
              <w:rPr>
                <w:rFonts w:hint="eastAsia" w:asciiTheme="minorEastAsia" w:hAnsiTheme="minorEastAsia" w:eastAsiaTheme="minorEastAsia"/>
                <w:b/>
                <w:bCs/>
                <w:sz w:val="24"/>
                <w:szCs w:val="24"/>
              </w:rPr>
              <w:t>评标委员会对需要回复的</w:t>
            </w:r>
            <w:r>
              <w:rPr>
                <w:rFonts w:hint="eastAsia" w:asciiTheme="minorEastAsia" w:hAnsiTheme="minorEastAsia"/>
                <w:b/>
                <w:bCs/>
                <w:sz w:val="24"/>
                <w:szCs w:val="24"/>
                <w:lang w:val="en-US" w:eastAsia="zh-CN"/>
              </w:rPr>
              <w:t>供应商</w:t>
            </w:r>
            <w:r>
              <w:rPr>
                <w:rFonts w:hint="eastAsia" w:asciiTheme="minorEastAsia" w:hAnsiTheme="minorEastAsia" w:eastAsiaTheme="minorEastAsia"/>
                <w:b/>
                <w:bCs/>
                <w:sz w:val="24"/>
                <w:szCs w:val="24"/>
              </w:rPr>
              <w:t>在规定时间内</w:t>
            </w:r>
            <w:r>
              <w:rPr>
                <w:rFonts w:hint="eastAsia" w:asciiTheme="minorEastAsia" w:hAnsiTheme="minorEastAsia" w:eastAsiaTheme="minorEastAsia"/>
                <w:b/>
                <w:bCs/>
                <w:sz w:val="24"/>
                <w:szCs w:val="24"/>
                <w:lang w:eastAsia="zh-CN"/>
              </w:rPr>
              <w:t>（</w:t>
            </w:r>
            <w:r>
              <w:rPr>
                <w:rFonts w:hint="eastAsia" w:asciiTheme="minorEastAsia" w:hAnsiTheme="minorEastAsia" w:eastAsiaTheme="minorEastAsia"/>
                <w:b/>
                <w:bCs/>
                <w:sz w:val="24"/>
                <w:szCs w:val="24"/>
                <w:lang w:val="en-US" w:eastAsia="zh-CN"/>
              </w:rPr>
              <w:t>30分钟内</w:t>
            </w:r>
            <w:r>
              <w:rPr>
                <w:rFonts w:hint="eastAsia" w:asciiTheme="minorEastAsia" w:hAnsiTheme="minorEastAsia" w:eastAsiaTheme="minorEastAsia"/>
                <w:b/>
                <w:bCs/>
                <w:sz w:val="24"/>
                <w:szCs w:val="24"/>
                <w:lang w:eastAsia="zh-CN"/>
              </w:rPr>
              <w:t>）</w:t>
            </w:r>
            <w:r>
              <w:rPr>
                <w:rFonts w:hint="eastAsia" w:asciiTheme="minorEastAsia" w:hAnsiTheme="minorEastAsia" w:eastAsiaTheme="minorEastAsia"/>
                <w:b/>
                <w:bCs/>
                <w:sz w:val="24"/>
                <w:szCs w:val="24"/>
              </w:rPr>
              <w:t>通过电子化交易系统未收到回复的，视为</w:t>
            </w:r>
            <w:r>
              <w:rPr>
                <w:rFonts w:hint="eastAsia" w:asciiTheme="minorEastAsia" w:hAnsiTheme="minorEastAsia" w:eastAsiaTheme="minorEastAsia"/>
                <w:b/>
                <w:bCs/>
                <w:sz w:val="24"/>
                <w:szCs w:val="24"/>
                <w:lang w:eastAsia="zh-CN"/>
              </w:rPr>
              <w:t>供应商</w:t>
            </w:r>
            <w:r>
              <w:rPr>
                <w:rFonts w:hint="eastAsia" w:asciiTheme="minorEastAsia" w:hAnsiTheme="minorEastAsia" w:eastAsiaTheme="minorEastAsia"/>
                <w:b/>
                <w:bCs/>
                <w:sz w:val="24"/>
                <w:szCs w:val="24"/>
              </w:rPr>
              <w:t>放弃回复，评标委员会将自行对需要回复的内容进行认定。</w:t>
            </w:r>
          </w:p>
          <w:p w14:paraId="797F653D">
            <w:pPr>
              <w:keepNext w:val="0"/>
              <w:keepLines w:val="0"/>
              <w:pageBreakBefore w:val="0"/>
              <w:widowControl w:val="0"/>
              <w:kinsoku/>
              <w:wordWrap/>
              <w:overflowPunct/>
              <w:topLinePunct w:val="0"/>
              <w:autoSpaceDE w:val="0"/>
              <w:autoSpaceDN w:val="0"/>
              <w:bidi w:val="0"/>
              <w:adjustRightInd/>
              <w:snapToGrid/>
              <w:spacing w:line="288" w:lineRule="auto"/>
              <w:textAlignment w:val="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二、相关证书原件的提交</w:t>
            </w:r>
          </w:p>
          <w:p w14:paraId="7B82D394">
            <w:pPr>
              <w:keepNext w:val="0"/>
              <w:keepLines w:val="0"/>
              <w:pageBreakBefore w:val="0"/>
              <w:widowControl w:val="0"/>
              <w:kinsoku/>
              <w:wordWrap/>
              <w:overflowPunct/>
              <w:topLinePunct w:val="0"/>
              <w:autoSpaceDE w:val="0"/>
              <w:autoSpaceDN w:val="0"/>
              <w:bidi w:val="0"/>
              <w:adjustRightInd/>
              <w:snapToGrid/>
              <w:spacing w:line="288" w:lineRule="auto"/>
              <w:jc w:val="left"/>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本项目实行资格后审，磋商响应文件中要求供应商提交资质、业绩、荣誉及单位人员等相关资料原件的，供应商需将原件扫描件制作到电子磋商响应文件中。</w:t>
            </w:r>
          </w:p>
          <w:p w14:paraId="3A029E2B">
            <w:pPr>
              <w:keepNext w:val="0"/>
              <w:keepLines w:val="0"/>
              <w:pageBreakBefore w:val="0"/>
              <w:widowControl w:val="0"/>
              <w:kinsoku/>
              <w:wordWrap/>
              <w:overflowPunct/>
              <w:topLinePunct w:val="0"/>
              <w:autoSpaceDE w:val="0"/>
              <w:autoSpaceDN w:val="0"/>
              <w:bidi w:val="0"/>
              <w:adjustRightInd/>
              <w:snapToGrid/>
              <w:spacing w:line="288" w:lineRule="auto"/>
              <w:jc w:val="left"/>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（一）供应商应及时完善主体库。</w:t>
            </w:r>
          </w:p>
          <w:p w14:paraId="1CDA231F">
            <w:pPr>
              <w:pStyle w:val="29"/>
              <w:keepNext w:val="0"/>
              <w:keepLines w:val="0"/>
              <w:pageBreakBefore w:val="0"/>
              <w:widowControl w:val="0"/>
              <w:kinsoku/>
              <w:wordWrap/>
              <w:overflowPunct/>
              <w:topLinePunct w:val="0"/>
              <w:autoSpaceDE w:val="0"/>
              <w:autoSpaceDN w:val="0"/>
              <w:bidi w:val="0"/>
              <w:adjustRightInd/>
              <w:snapToGrid/>
              <w:spacing w:before="9" w:line="288" w:lineRule="auto"/>
              <w:ind w:left="106" w:right="-29"/>
              <w:textAlignment w:val="auto"/>
              <w:rPr>
                <w:sz w:val="24"/>
                <w:lang w:eastAsia="zh-CN"/>
              </w:rPr>
            </w:pPr>
            <w:r>
              <w:rPr>
                <w:rFonts w:hint="eastAsia" w:asciiTheme="minorEastAsia" w:hAnsiTheme="minorEastAsia" w:eastAsiaTheme="minorEastAsia"/>
                <w:sz w:val="24"/>
                <w:szCs w:val="24"/>
              </w:rPr>
              <w:t>（二）项目评标结果公示时，将同时公示中标候选人主体库信息，接受社会监督。</w:t>
            </w:r>
          </w:p>
        </w:tc>
      </w:tr>
      <w:tr w14:paraId="05230C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9952" w:type="dxa"/>
            <w:gridSpan w:val="3"/>
          </w:tcPr>
          <w:p w14:paraId="111029F1">
            <w:pPr>
              <w:pStyle w:val="29"/>
              <w:spacing w:line="240" w:lineRule="auto"/>
              <w:ind w:left="0" w:right="0"/>
              <w:rPr>
                <w:rFonts w:hint="eastAsia"/>
                <w:sz w:val="24"/>
                <w:lang w:val="en-US" w:eastAsia="zh-CN"/>
              </w:rPr>
            </w:pPr>
            <w:r>
              <w:rPr>
                <w:spacing w:val="-7"/>
                <w:sz w:val="24"/>
                <w:lang w:eastAsia="zh-CN"/>
              </w:rPr>
              <w:t>提示：本项目为电子化、无纸化交易项目，开标时不再接受任何纸质资料，为保证您能投标成</w:t>
            </w:r>
            <w:r>
              <w:rPr>
                <w:sz w:val="24"/>
                <w:lang w:eastAsia="zh-CN"/>
              </w:rPr>
              <w:t>功，请仔细阅读以上条款。</w:t>
            </w:r>
          </w:p>
        </w:tc>
      </w:tr>
    </w:tbl>
    <w:p w14:paraId="7A1427F5">
      <w:pPr>
        <w:pStyle w:val="5"/>
        <w:numPr>
          <w:ilvl w:val="0"/>
          <w:numId w:val="0"/>
        </w:numPr>
        <w:bidi w:val="0"/>
        <w:ind w:left="1223" w:leftChars="0" w:hanging="244" w:firstLineChars="0"/>
        <w:rPr>
          <w:rFonts w:hint="default" w:ascii="宋体" w:hAnsi="宋体" w:eastAsia="宋体" w:cs="宋体"/>
          <w:b/>
          <w:bCs/>
          <w:spacing w:val="-3"/>
          <w:w w:val="99"/>
          <w:sz w:val="22"/>
          <w:szCs w:val="22"/>
          <w:lang w:val="en-US" w:eastAsia="en-US" w:bidi="ar-SA"/>
        </w:rPr>
      </w:pPr>
      <w:bookmarkStart w:id="12" w:name="1.总则"/>
      <w:bookmarkEnd w:id="12"/>
    </w:p>
    <w:p w14:paraId="6512D78E">
      <w:pPr>
        <w:pStyle w:val="5"/>
        <w:numPr>
          <w:ilvl w:val="0"/>
          <w:numId w:val="0"/>
        </w:numPr>
        <w:bidi w:val="0"/>
        <w:ind w:left="1223" w:leftChars="0" w:hanging="244" w:firstLineChars="0"/>
      </w:pPr>
      <w:r>
        <w:rPr>
          <w:rFonts w:hint="default" w:ascii="宋体" w:hAnsi="宋体" w:eastAsia="宋体" w:cs="宋体"/>
          <w:b/>
          <w:bCs/>
          <w:spacing w:val="-3"/>
          <w:w w:val="99"/>
          <w:sz w:val="22"/>
          <w:szCs w:val="22"/>
          <w:lang w:val="en-US" w:eastAsia="en-US" w:bidi="ar-SA"/>
        </w:rPr>
        <w:t>1.</w:t>
      </w:r>
      <w:r>
        <w:t>总则</w:t>
      </w:r>
    </w:p>
    <w:p w14:paraId="752F10A6">
      <w:pPr>
        <w:pStyle w:val="5"/>
        <w:tabs>
          <w:tab w:val="left" w:pos="1224"/>
        </w:tabs>
        <w:spacing w:before="81"/>
        <w:ind w:left="1223" w:firstLine="0"/>
      </w:pPr>
    </w:p>
    <w:p w14:paraId="130FF8C7">
      <w:pPr>
        <w:pStyle w:val="5"/>
        <w:numPr>
          <w:ilvl w:val="1"/>
          <w:numId w:val="0"/>
        </w:numPr>
        <w:tabs>
          <w:tab w:val="left" w:pos="1463"/>
        </w:tabs>
        <w:ind w:left="1050" w:leftChars="0" w:hanging="483" w:firstLineChars="0"/>
        <w:jc w:val="left"/>
      </w:pPr>
      <w:bookmarkStart w:id="13" w:name="1.1_项目概况"/>
      <w:bookmarkEnd w:id="13"/>
      <w:r>
        <w:rPr>
          <w:rFonts w:hint="default" w:ascii="宋体" w:hAnsi="宋体" w:eastAsia="宋体" w:cs="宋体"/>
          <w:b/>
          <w:bCs/>
          <w:spacing w:val="0"/>
          <w:w w:val="99"/>
          <w:sz w:val="24"/>
          <w:szCs w:val="24"/>
          <w:lang w:val="en-US" w:eastAsia="en-US" w:bidi="ar-SA"/>
        </w:rPr>
        <w:t>1.1</w:t>
      </w:r>
      <w:r>
        <w:t>项目概况</w:t>
      </w:r>
    </w:p>
    <w:p w14:paraId="2480940C">
      <w:pPr>
        <w:pStyle w:val="28"/>
        <w:numPr>
          <w:ilvl w:val="2"/>
          <w:numId w:val="0"/>
        </w:numPr>
        <w:tabs>
          <w:tab w:val="left" w:pos="2061"/>
        </w:tabs>
        <w:spacing w:before="161"/>
        <w:ind w:firstLine="728" w:firstLineChars="400"/>
        <w:rPr>
          <w:sz w:val="24"/>
          <w:szCs w:val="22"/>
          <w:lang w:eastAsia="zh-CN"/>
        </w:rPr>
      </w:pPr>
      <w:r>
        <w:rPr>
          <w:rFonts w:hint="default" w:ascii="宋体" w:hAnsi="宋体" w:eastAsia="宋体" w:cs="宋体"/>
          <w:spacing w:val="-19"/>
          <w:w w:val="100"/>
          <w:sz w:val="22"/>
          <w:szCs w:val="22"/>
          <w:lang w:val="en-US" w:eastAsia="zh-CN" w:bidi="ar-SA"/>
        </w:rPr>
        <w:t>1.1.1</w:t>
      </w:r>
      <w:r>
        <w:rPr>
          <w:spacing w:val="-1"/>
          <w:sz w:val="24"/>
          <w:szCs w:val="22"/>
          <w:lang w:eastAsia="zh-CN"/>
        </w:rPr>
        <w:t>《中华人民共和国政府采购法》《政府采购竞争性磋商采购方式管理</w:t>
      </w:r>
      <w:r>
        <w:rPr>
          <w:sz w:val="24"/>
          <w:szCs w:val="22"/>
          <w:lang w:eastAsia="zh-CN"/>
        </w:rPr>
        <w:t>暂行办法》及财库〔2015〕124号文</w:t>
      </w:r>
    </w:p>
    <w:p w14:paraId="4151F0A3">
      <w:pPr>
        <w:pStyle w:val="28"/>
        <w:numPr>
          <w:ilvl w:val="2"/>
          <w:numId w:val="0"/>
        </w:numPr>
        <w:tabs>
          <w:tab w:val="left" w:pos="2180"/>
        </w:tabs>
        <w:spacing w:before="1"/>
        <w:ind w:firstLine="728" w:firstLineChars="400"/>
        <w:rPr>
          <w:sz w:val="24"/>
          <w:szCs w:val="22"/>
          <w:lang w:eastAsia="zh-CN"/>
        </w:rPr>
      </w:pPr>
      <w:r>
        <w:rPr>
          <w:rFonts w:hint="default" w:ascii="宋体" w:hAnsi="宋体" w:eastAsia="宋体" w:cs="宋体"/>
          <w:spacing w:val="-19"/>
          <w:w w:val="100"/>
          <w:sz w:val="22"/>
          <w:szCs w:val="22"/>
          <w:lang w:val="en-US" w:eastAsia="zh-CN" w:bidi="ar-SA"/>
        </w:rPr>
        <w:t>1.1.2</w:t>
      </w:r>
      <w:r>
        <w:rPr>
          <w:sz w:val="24"/>
          <w:szCs w:val="22"/>
          <w:lang w:eastAsia="zh-CN"/>
        </w:rPr>
        <w:t>采购人：见供应商须知前附表。</w:t>
      </w:r>
    </w:p>
    <w:p w14:paraId="5F7AB796">
      <w:pPr>
        <w:pStyle w:val="28"/>
        <w:numPr>
          <w:ilvl w:val="2"/>
          <w:numId w:val="0"/>
        </w:numPr>
        <w:tabs>
          <w:tab w:val="left" w:pos="2180"/>
        </w:tabs>
        <w:spacing w:before="160"/>
        <w:ind w:firstLine="728" w:firstLineChars="400"/>
        <w:rPr>
          <w:sz w:val="24"/>
          <w:szCs w:val="22"/>
          <w:lang w:eastAsia="zh-CN"/>
        </w:rPr>
      </w:pPr>
      <w:r>
        <w:rPr>
          <w:rFonts w:hint="default" w:ascii="宋体" w:hAnsi="宋体" w:eastAsia="宋体" w:cs="宋体"/>
          <w:spacing w:val="-19"/>
          <w:w w:val="100"/>
          <w:sz w:val="22"/>
          <w:szCs w:val="22"/>
          <w:lang w:val="en-US" w:eastAsia="zh-CN" w:bidi="ar-SA"/>
        </w:rPr>
        <w:t>1.1.3</w:t>
      </w:r>
      <w:r>
        <w:rPr>
          <w:sz w:val="24"/>
          <w:szCs w:val="22"/>
          <w:lang w:eastAsia="zh-CN"/>
        </w:rPr>
        <w:t>采购代理机构：见供应商须知前附表。</w:t>
      </w:r>
    </w:p>
    <w:p w14:paraId="54891DDB">
      <w:pPr>
        <w:pStyle w:val="28"/>
        <w:numPr>
          <w:ilvl w:val="2"/>
          <w:numId w:val="0"/>
        </w:numPr>
        <w:tabs>
          <w:tab w:val="left" w:pos="2180"/>
        </w:tabs>
        <w:spacing w:before="161"/>
        <w:ind w:firstLine="728" w:firstLineChars="400"/>
        <w:rPr>
          <w:sz w:val="24"/>
          <w:szCs w:val="22"/>
          <w:lang w:eastAsia="zh-CN"/>
        </w:rPr>
      </w:pPr>
      <w:r>
        <w:rPr>
          <w:rFonts w:hint="default" w:ascii="宋体" w:hAnsi="宋体" w:eastAsia="宋体" w:cs="宋体"/>
          <w:spacing w:val="-19"/>
          <w:w w:val="100"/>
          <w:sz w:val="22"/>
          <w:szCs w:val="22"/>
          <w:lang w:val="en-US" w:eastAsia="zh-CN" w:bidi="ar-SA"/>
        </w:rPr>
        <w:t>1.1.4</w:t>
      </w:r>
      <w:r>
        <w:rPr>
          <w:sz w:val="24"/>
          <w:szCs w:val="22"/>
          <w:lang w:eastAsia="zh-CN"/>
        </w:rPr>
        <w:t>采购项目名称：见供应商须知前附表。</w:t>
      </w:r>
    </w:p>
    <w:p w14:paraId="6FE2F229">
      <w:pPr>
        <w:pStyle w:val="28"/>
        <w:numPr>
          <w:ilvl w:val="2"/>
          <w:numId w:val="0"/>
        </w:numPr>
        <w:tabs>
          <w:tab w:val="left" w:pos="2180"/>
        </w:tabs>
        <w:spacing w:before="160"/>
        <w:ind w:firstLine="728" w:firstLineChars="400"/>
        <w:rPr>
          <w:sz w:val="24"/>
          <w:szCs w:val="22"/>
          <w:lang w:eastAsia="zh-CN"/>
        </w:rPr>
      </w:pPr>
      <w:r>
        <w:rPr>
          <w:rFonts w:hint="default" w:ascii="宋体" w:hAnsi="宋体" w:eastAsia="宋体" w:cs="宋体"/>
          <w:spacing w:val="-19"/>
          <w:w w:val="100"/>
          <w:sz w:val="22"/>
          <w:szCs w:val="22"/>
          <w:lang w:val="en-US" w:eastAsia="zh-CN" w:bidi="ar-SA"/>
        </w:rPr>
        <w:t>1.1.5</w:t>
      </w:r>
      <w:r>
        <w:rPr>
          <w:rFonts w:hint="eastAsia"/>
          <w:sz w:val="24"/>
          <w:szCs w:val="22"/>
          <w:lang w:eastAsia="zh-CN"/>
        </w:rPr>
        <w:t>服务地点</w:t>
      </w:r>
      <w:r>
        <w:rPr>
          <w:sz w:val="24"/>
          <w:szCs w:val="22"/>
          <w:lang w:eastAsia="zh-CN"/>
        </w:rPr>
        <w:t>：见供应商须知前附表。</w:t>
      </w:r>
    </w:p>
    <w:p w14:paraId="2D03C71B">
      <w:pPr>
        <w:pStyle w:val="5"/>
        <w:numPr>
          <w:ilvl w:val="1"/>
          <w:numId w:val="0"/>
        </w:numPr>
        <w:tabs>
          <w:tab w:val="left" w:pos="1463"/>
        </w:tabs>
        <w:spacing w:before="161"/>
        <w:ind w:left="1050" w:leftChars="0" w:hanging="483" w:firstLineChars="0"/>
        <w:jc w:val="left"/>
        <w:rPr>
          <w:sz w:val="24"/>
          <w:szCs w:val="24"/>
        </w:rPr>
      </w:pPr>
      <w:bookmarkStart w:id="14" w:name="1.2_资金来源和落实情况"/>
      <w:bookmarkEnd w:id="14"/>
      <w:r>
        <w:rPr>
          <w:rFonts w:hint="default" w:ascii="宋体" w:hAnsi="宋体" w:eastAsia="宋体" w:cs="宋体"/>
          <w:b/>
          <w:bCs/>
          <w:spacing w:val="0"/>
          <w:w w:val="99"/>
          <w:sz w:val="24"/>
          <w:szCs w:val="24"/>
          <w:lang w:val="en-US" w:eastAsia="en-US" w:bidi="ar-SA"/>
        </w:rPr>
        <w:t>1.2</w:t>
      </w:r>
      <w:r>
        <w:rPr>
          <w:sz w:val="24"/>
          <w:szCs w:val="24"/>
        </w:rPr>
        <w:t>资金来源和落实情况</w:t>
      </w:r>
    </w:p>
    <w:p w14:paraId="0B8B66FC">
      <w:pPr>
        <w:pStyle w:val="28"/>
        <w:numPr>
          <w:ilvl w:val="2"/>
          <w:numId w:val="0"/>
        </w:numPr>
        <w:tabs>
          <w:tab w:val="left" w:pos="2180"/>
        </w:tabs>
        <w:spacing w:before="160"/>
        <w:ind w:firstLine="728" w:firstLineChars="400"/>
        <w:rPr>
          <w:sz w:val="24"/>
          <w:szCs w:val="22"/>
          <w:lang w:eastAsia="zh-CN"/>
        </w:rPr>
      </w:pPr>
      <w:r>
        <w:rPr>
          <w:rFonts w:hint="default" w:ascii="宋体" w:hAnsi="宋体" w:eastAsia="宋体" w:cs="宋体"/>
          <w:spacing w:val="-19"/>
          <w:w w:val="100"/>
          <w:sz w:val="22"/>
          <w:szCs w:val="22"/>
          <w:lang w:val="en-US" w:eastAsia="zh-CN" w:bidi="ar-SA"/>
        </w:rPr>
        <w:t>1.2.1</w:t>
      </w:r>
      <w:r>
        <w:rPr>
          <w:sz w:val="24"/>
          <w:szCs w:val="22"/>
          <w:lang w:eastAsia="zh-CN"/>
        </w:rPr>
        <w:t>资金来源：见供应商须知前附表。</w:t>
      </w:r>
    </w:p>
    <w:p w14:paraId="7E9D9F49">
      <w:pPr>
        <w:pStyle w:val="28"/>
        <w:numPr>
          <w:ilvl w:val="2"/>
          <w:numId w:val="0"/>
        </w:numPr>
        <w:tabs>
          <w:tab w:val="left" w:pos="2180"/>
        </w:tabs>
        <w:spacing w:before="160"/>
        <w:ind w:firstLine="728" w:firstLineChars="400"/>
        <w:rPr>
          <w:sz w:val="24"/>
          <w:szCs w:val="22"/>
          <w:lang w:eastAsia="zh-CN"/>
        </w:rPr>
      </w:pPr>
      <w:r>
        <w:rPr>
          <w:rFonts w:hint="default" w:ascii="宋体" w:hAnsi="宋体" w:eastAsia="宋体" w:cs="宋体"/>
          <w:spacing w:val="-19"/>
          <w:w w:val="100"/>
          <w:sz w:val="22"/>
          <w:szCs w:val="22"/>
          <w:lang w:val="en-US" w:eastAsia="zh-CN" w:bidi="ar-SA"/>
        </w:rPr>
        <w:t>1.2.2</w:t>
      </w:r>
      <w:r>
        <w:rPr>
          <w:spacing w:val="-2"/>
          <w:sz w:val="24"/>
          <w:szCs w:val="22"/>
          <w:lang w:eastAsia="zh-CN"/>
        </w:rPr>
        <w:t>资金落实情况：见供应商须知前附表。</w:t>
      </w:r>
    </w:p>
    <w:p w14:paraId="25D3CC99">
      <w:pPr>
        <w:pStyle w:val="5"/>
        <w:numPr>
          <w:ilvl w:val="1"/>
          <w:numId w:val="0"/>
        </w:numPr>
        <w:tabs>
          <w:tab w:val="left" w:pos="1463"/>
        </w:tabs>
        <w:spacing w:before="1"/>
        <w:ind w:left="1050" w:leftChars="0" w:hanging="483" w:firstLineChars="0"/>
        <w:jc w:val="left"/>
        <w:rPr>
          <w:sz w:val="24"/>
          <w:szCs w:val="24"/>
          <w:lang w:eastAsia="zh-CN"/>
        </w:rPr>
      </w:pPr>
      <w:bookmarkStart w:id="15" w:name="1.3_磋商范围、服务周期和质量要求"/>
      <w:bookmarkEnd w:id="15"/>
      <w:r>
        <w:rPr>
          <w:rFonts w:hint="default" w:ascii="宋体" w:hAnsi="宋体" w:eastAsia="宋体" w:cs="宋体"/>
          <w:b/>
          <w:bCs/>
          <w:spacing w:val="0"/>
          <w:w w:val="99"/>
          <w:sz w:val="24"/>
          <w:szCs w:val="24"/>
          <w:lang w:val="en-US" w:eastAsia="zh-CN" w:bidi="ar-SA"/>
        </w:rPr>
        <w:t>1.3</w:t>
      </w:r>
      <w:r>
        <w:rPr>
          <w:sz w:val="24"/>
          <w:szCs w:val="24"/>
          <w:lang w:eastAsia="zh-CN"/>
        </w:rPr>
        <w:t>磋商范围、服务周期和质量要求</w:t>
      </w:r>
    </w:p>
    <w:p w14:paraId="379CE060">
      <w:pPr>
        <w:pStyle w:val="28"/>
        <w:numPr>
          <w:ilvl w:val="2"/>
          <w:numId w:val="0"/>
        </w:numPr>
        <w:tabs>
          <w:tab w:val="left" w:pos="2180"/>
        </w:tabs>
        <w:spacing w:before="161"/>
        <w:ind w:firstLine="728" w:firstLineChars="400"/>
        <w:rPr>
          <w:sz w:val="24"/>
          <w:szCs w:val="22"/>
          <w:lang w:eastAsia="zh-CN"/>
        </w:rPr>
      </w:pPr>
      <w:r>
        <w:rPr>
          <w:rFonts w:hint="default" w:ascii="宋体" w:hAnsi="宋体" w:eastAsia="宋体" w:cs="宋体"/>
          <w:spacing w:val="-19"/>
          <w:w w:val="100"/>
          <w:sz w:val="22"/>
          <w:szCs w:val="22"/>
          <w:lang w:val="en-US" w:eastAsia="zh-CN" w:bidi="ar-SA"/>
        </w:rPr>
        <w:t>1.3.1</w:t>
      </w:r>
      <w:r>
        <w:rPr>
          <w:sz w:val="24"/>
          <w:szCs w:val="22"/>
          <w:lang w:eastAsia="zh-CN"/>
        </w:rPr>
        <w:t>磋商范围：见供应商须知前附表。</w:t>
      </w:r>
    </w:p>
    <w:p w14:paraId="45345B20">
      <w:pPr>
        <w:pStyle w:val="28"/>
        <w:numPr>
          <w:ilvl w:val="2"/>
          <w:numId w:val="0"/>
        </w:numPr>
        <w:tabs>
          <w:tab w:val="left" w:pos="2180"/>
        </w:tabs>
        <w:spacing w:before="160"/>
        <w:ind w:firstLine="728" w:firstLineChars="400"/>
        <w:rPr>
          <w:sz w:val="24"/>
          <w:szCs w:val="22"/>
          <w:lang w:eastAsia="zh-CN"/>
        </w:rPr>
      </w:pPr>
      <w:r>
        <w:rPr>
          <w:rFonts w:hint="default" w:ascii="宋体" w:hAnsi="宋体" w:eastAsia="宋体" w:cs="宋体"/>
          <w:spacing w:val="-19"/>
          <w:w w:val="100"/>
          <w:sz w:val="22"/>
          <w:szCs w:val="22"/>
          <w:lang w:val="en-US" w:eastAsia="zh-CN" w:bidi="ar-SA"/>
        </w:rPr>
        <w:t>1.3.2</w:t>
      </w:r>
      <w:r>
        <w:rPr>
          <w:sz w:val="24"/>
          <w:szCs w:val="22"/>
          <w:lang w:eastAsia="zh-CN"/>
        </w:rPr>
        <w:t>服务周期：见供应商须知前附表。</w:t>
      </w:r>
    </w:p>
    <w:p w14:paraId="6194B23C">
      <w:pPr>
        <w:pStyle w:val="28"/>
        <w:numPr>
          <w:ilvl w:val="2"/>
          <w:numId w:val="0"/>
        </w:numPr>
        <w:tabs>
          <w:tab w:val="left" w:pos="2180"/>
        </w:tabs>
        <w:spacing w:before="161" w:line="360" w:lineRule="auto"/>
        <w:ind w:firstLine="728" w:firstLineChars="400"/>
        <w:rPr>
          <w:sz w:val="24"/>
          <w:szCs w:val="22"/>
          <w:lang w:eastAsia="zh-CN"/>
        </w:rPr>
      </w:pPr>
      <w:r>
        <w:rPr>
          <w:rFonts w:hint="default" w:ascii="宋体" w:hAnsi="宋体" w:eastAsia="宋体" w:cs="宋体"/>
          <w:spacing w:val="-19"/>
          <w:w w:val="100"/>
          <w:sz w:val="22"/>
          <w:szCs w:val="22"/>
          <w:lang w:val="en-US" w:eastAsia="zh-CN" w:bidi="ar-SA"/>
        </w:rPr>
        <w:t>1.3.3</w:t>
      </w:r>
      <w:r>
        <w:rPr>
          <w:sz w:val="24"/>
          <w:szCs w:val="22"/>
          <w:lang w:eastAsia="zh-CN"/>
        </w:rPr>
        <w:t>质量要求：见供应商须知前附表。</w:t>
      </w:r>
    </w:p>
    <w:p w14:paraId="6E6E8DA2">
      <w:pPr>
        <w:pStyle w:val="5"/>
        <w:numPr>
          <w:ilvl w:val="1"/>
          <w:numId w:val="0"/>
        </w:numPr>
        <w:tabs>
          <w:tab w:val="left" w:pos="1463"/>
        </w:tabs>
        <w:spacing w:before="160" w:line="360" w:lineRule="auto"/>
        <w:ind w:left="1050" w:leftChars="0" w:hanging="483" w:firstLineChars="0"/>
        <w:jc w:val="left"/>
        <w:rPr>
          <w:sz w:val="24"/>
          <w:szCs w:val="24"/>
        </w:rPr>
      </w:pPr>
      <w:r>
        <w:rPr>
          <w:rFonts w:hint="default" w:ascii="宋体" w:hAnsi="宋体" w:eastAsia="宋体" w:cs="宋体"/>
          <w:b/>
          <w:bCs/>
          <w:spacing w:val="0"/>
          <w:w w:val="99"/>
          <w:sz w:val="24"/>
          <w:szCs w:val="24"/>
          <w:lang w:val="en-US" w:eastAsia="en-US" w:bidi="ar-SA"/>
        </w:rPr>
        <w:t>1.4</w:t>
      </w:r>
      <w:r>
        <w:rPr>
          <w:sz w:val="24"/>
          <w:szCs w:val="24"/>
        </w:rPr>
        <w:t>供应商资格要求</w:t>
      </w:r>
    </w:p>
    <w:p w14:paraId="59C9C58C">
      <w:pPr>
        <w:pStyle w:val="6"/>
        <w:spacing w:line="360" w:lineRule="auto"/>
        <w:ind w:left="0" w:firstLine="840" w:firstLineChars="350"/>
        <w:rPr>
          <w:sz w:val="24"/>
          <w:szCs w:val="24"/>
          <w:lang w:eastAsia="zh-CN"/>
        </w:rPr>
      </w:pPr>
      <w:r>
        <w:rPr>
          <w:sz w:val="24"/>
          <w:szCs w:val="24"/>
          <w:lang w:eastAsia="zh-CN"/>
        </w:rPr>
        <w:t>详见供应商前附表供应商资格要求</w:t>
      </w:r>
    </w:p>
    <w:p w14:paraId="0423EDB3">
      <w:pPr>
        <w:pStyle w:val="6"/>
        <w:spacing w:line="360" w:lineRule="auto"/>
        <w:ind w:left="0" w:firstLine="840" w:firstLineChars="350"/>
        <w:rPr>
          <w:sz w:val="24"/>
          <w:szCs w:val="24"/>
          <w:lang w:eastAsia="zh-CN"/>
        </w:rPr>
      </w:pPr>
      <w:r>
        <w:rPr>
          <w:sz w:val="24"/>
          <w:szCs w:val="24"/>
          <w:lang w:eastAsia="zh-CN"/>
        </w:rPr>
        <w:t>供应商不得存在下列情形之一：</w:t>
      </w:r>
    </w:p>
    <w:p w14:paraId="21494084">
      <w:pPr>
        <w:pStyle w:val="6"/>
        <w:spacing w:line="360" w:lineRule="auto"/>
        <w:ind w:left="0" w:firstLine="960" w:firstLineChars="400"/>
        <w:rPr>
          <w:sz w:val="24"/>
          <w:szCs w:val="24"/>
          <w:lang w:eastAsia="zh-CN"/>
        </w:rPr>
      </w:pPr>
      <w:r>
        <w:rPr>
          <w:sz w:val="24"/>
          <w:szCs w:val="24"/>
          <w:lang w:eastAsia="zh-CN"/>
        </w:rPr>
        <w:t xml:space="preserve">(1)不具有独立法人资格的附属机构(单位)； </w:t>
      </w:r>
    </w:p>
    <w:p w14:paraId="013E952E">
      <w:pPr>
        <w:pStyle w:val="6"/>
        <w:spacing w:line="360" w:lineRule="auto"/>
        <w:rPr>
          <w:sz w:val="24"/>
          <w:szCs w:val="24"/>
          <w:lang w:eastAsia="zh-CN"/>
        </w:rPr>
      </w:pPr>
      <w:r>
        <w:rPr>
          <w:sz w:val="24"/>
          <w:szCs w:val="24"/>
          <w:lang w:eastAsia="zh-CN"/>
        </w:rPr>
        <w:t>(2)被责令停业的；</w:t>
      </w:r>
    </w:p>
    <w:p w14:paraId="0A0481DB">
      <w:pPr>
        <w:pStyle w:val="6"/>
        <w:spacing w:line="360" w:lineRule="auto"/>
        <w:rPr>
          <w:sz w:val="24"/>
          <w:szCs w:val="24"/>
          <w:lang w:eastAsia="zh-CN"/>
        </w:rPr>
      </w:pPr>
      <w:r>
        <w:rPr>
          <w:sz w:val="24"/>
          <w:szCs w:val="24"/>
          <w:lang w:eastAsia="zh-CN"/>
        </w:rPr>
        <w:t xml:space="preserve">(3)被暂停或取消投标资格的； </w:t>
      </w:r>
    </w:p>
    <w:p w14:paraId="39DF90C4">
      <w:pPr>
        <w:pStyle w:val="6"/>
        <w:spacing w:line="360" w:lineRule="auto"/>
        <w:ind w:left="0" w:firstLine="960" w:firstLineChars="400"/>
        <w:rPr>
          <w:sz w:val="24"/>
          <w:szCs w:val="24"/>
          <w:lang w:eastAsia="zh-CN"/>
        </w:rPr>
      </w:pPr>
      <w:r>
        <w:rPr>
          <w:sz w:val="24"/>
          <w:szCs w:val="24"/>
          <w:lang w:eastAsia="zh-CN"/>
        </w:rPr>
        <w:t>(4)财产被接管或冻结的；</w:t>
      </w:r>
    </w:p>
    <w:p w14:paraId="53116D60">
      <w:pPr>
        <w:pStyle w:val="6"/>
        <w:spacing w:before="1" w:line="360" w:lineRule="auto"/>
        <w:ind w:left="0" w:firstLine="960" w:firstLineChars="400"/>
        <w:rPr>
          <w:sz w:val="24"/>
          <w:szCs w:val="24"/>
          <w:lang w:eastAsia="zh-CN"/>
        </w:rPr>
      </w:pPr>
      <w:r>
        <w:rPr>
          <w:sz w:val="24"/>
          <w:szCs w:val="24"/>
          <w:lang w:eastAsia="zh-CN"/>
        </w:rPr>
        <w:t>(5)在最近三年内有骗取中标或严重违约原因引起的重大工程质量问题的。</w:t>
      </w:r>
    </w:p>
    <w:p w14:paraId="47D431DF">
      <w:pPr>
        <w:pStyle w:val="5"/>
        <w:numPr>
          <w:ilvl w:val="1"/>
          <w:numId w:val="0"/>
        </w:numPr>
        <w:tabs>
          <w:tab w:val="left" w:pos="1463"/>
        </w:tabs>
        <w:spacing w:line="360" w:lineRule="auto"/>
        <w:ind w:left="0" w:leftChars="0" w:firstLine="476" w:firstLineChars="200"/>
        <w:jc w:val="left"/>
        <w:rPr>
          <w:sz w:val="24"/>
          <w:szCs w:val="24"/>
        </w:rPr>
      </w:pPr>
      <w:bookmarkStart w:id="16" w:name="1.5_费用承担"/>
      <w:bookmarkEnd w:id="16"/>
      <w:r>
        <w:rPr>
          <w:rFonts w:hint="default" w:ascii="宋体" w:hAnsi="宋体" w:eastAsia="宋体" w:cs="宋体"/>
          <w:b/>
          <w:bCs/>
          <w:spacing w:val="0"/>
          <w:w w:val="99"/>
          <w:sz w:val="24"/>
          <w:szCs w:val="24"/>
          <w:lang w:val="en-US" w:eastAsia="en-US" w:bidi="ar-SA"/>
        </w:rPr>
        <w:t>1.5</w:t>
      </w:r>
      <w:r>
        <w:rPr>
          <w:sz w:val="24"/>
          <w:szCs w:val="24"/>
        </w:rPr>
        <w:t>费用承担</w:t>
      </w:r>
    </w:p>
    <w:p w14:paraId="7821F3B6">
      <w:pPr>
        <w:pStyle w:val="6"/>
        <w:spacing w:line="360" w:lineRule="auto"/>
        <w:ind w:left="0" w:firstLine="480" w:firstLineChars="200"/>
        <w:rPr>
          <w:sz w:val="24"/>
          <w:szCs w:val="24"/>
          <w:lang w:eastAsia="zh-CN"/>
        </w:rPr>
      </w:pPr>
      <w:r>
        <w:rPr>
          <w:sz w:val="24"/>
          <w:szCs w:val="24"/>
          <w:lang w:eastAsia="zh-CN"/>
        </w:rPr>
        <w:t>供应商准备和参加磋商活动发生的费用自理。</w:t>
      </w:r>
    </w:p>
    <w:p w14:paraId="4B0F8047">
      <w:pPr>
        <w:pStyle w:val="5"/>
        <w:numPr>
          <w:ilvl w:val="1"/>
          <w:numId w:val="0"/>
        </w:numPr>
        <w:tabs>
          <w:tab w:val="left" w:pos="1463"/>
        </w:tabs>
        <w:spacing w:line="360" w:lineRule="auto"/>
        <w:ind w:left="0" w:leftChars="0" w:firstLine="476" w:firstLineChars="200"/>
        <w:jc w:val="left"/>
        <w:rPr>
          <w:sz w:val="24"/>
          <w:szCs w:val="24"/>
        </w:rPr>
      </w:pPr>
      <w:bookmarkStart w:id="17" w:name="1.6_保密"/>
      <w:bookmarkEnd w:id="17"/>
      <w:r>
        <w:rPr>
          <w:rFonts w:hint="default" w:ascii="宋体" w:hAnsi="宋体" w:eastAsia="宋体" w:cs="宋体"/>
          <w:b/>
          <w:bCs/>
          <w:spacing w:val="0"/>
          <w:w w:val="99"/>
          <w:sz w:val="24"/>
          <w:szCs w:val="24"/>
          <w:lang w:val="en-US" w:eastAsia="en-US" w:bidi="ar-SA"/>
        </w:rPr>
        <w:t>1.6</w:t>
      </w:r>
      <w:r>
        <w:rPr>
          <w:sz w:val="24"/>
          <w:szCs w:val="24"/>
        </w:rPr>
        <w:t>保密</w:t>
      </w:r>
    </w:p>
    <w:p w14:paraId="05E41EC0">
      <w:pPr>
        <w:pStyle w:val="6"/>
        <w:spacing w:line="360" w:lineRule="auto"/>
        <w:ind w:left="0" w:firstLine="480" w:firstLineChars="200"/>
        <w:rPr>
          <w:sz w:val="24"/>
          <w:szCs w:val="24"/>
          <w:lang w:eastAsia="zh-CN"/>
        </w:rPr>
      </w:pPr>
      <w:r>
        <w:rPr>
          <w:sz w:val="24"/>
          <w:szCs w:val="24"/>
          <w:lang w:eastAsia="zh-CN"/>
        </w:rPr>
        <w:t>参与磋商活动的各方应对磋商文件和响应文件中的商业和技术等秘密保密， 违者应对由此造成的后果承担法律责任。</w:t>
      </w:r>
    </w:p>
    <w:p w14:paraId="0749DC76">
      <w:pPr>
        <w:pStyle w:val="5"/>
        <w:numPr>
          <w:ilvl w:val="1"/>
          <w:numId w:val="0"/>
        </w:numPr>
        <w:tabs>
          <w:tab w:val="left" w:pos="1463"/>
        </w:tabs>
        <w:spacing w:line="360" w:lineRule="auto"/>
        <w:ind w:left="0" w:leftChars="0" w:firstLine="476" w:firstLineChars="200"/>
        <w:jc w:val="left"/>
        <w:rPr>
          <w:sz w:val="24"/>
          <w:szCs w:val="24"/>
        </w:rPr>
      </w:pPr>
      <w:bookmarkStart w:id="18" w:name="1.7_语言文字"/>
      <w:bookmarkEnd w:id="18"/>
      <w:r>
        <w:rPr>
          <w:rFonts w:hint="default" w:ascii="宋体" w:hAnsi="宋体" w:eastAsia="宋体" w:cs="宋体"/>
          <w:b/>
          <w:bCs/>
          <w:spacing w:val="0"/>
          <w:w w:val="99"/>
          <w:sz w:val="24"/>
          <w:szCs w:val="24"/>
          <w:lang w:val="en-US" w:eastAsia="en-US" w:bidi="ar-SA"/>
        </w:rPr>
        <w:t>1.7</w:t>
      </w:r>
      <w:r>
        <w:rPr>
          <w:sz w:val="24"/>
          <w:szCs w:val="24"/>
        </w:rPr>
        <w:t>语言文字</w:t>
      </w:r>
    </w:p>
    <w:p w14:paraId="743EA29C">
      <w:pPr>
        <w:pStyle w:val="6"/>
        <w:spacing w:line="360" w:lineRule="auto"/>
        <w:ind w:left="0" w:firstLine="440" w:firstLineChars="200"/>
        <w:rPr>
          <w:sz w:val="24"/>
          <w:szCs w:val="24"/>
          <w:lang w:eastAsia="zh-CN"/>
        </w:rPr>
      </w:pPr>
      <w:r>
        <w:rPr>
          <w:spacing w:val="-10"/>
          <w:sz w:val="24"/>
          <w:szCs w:val="24"/>
          <w:lang w:eastAsia="zh-CN"/>
        </w:rPr>
        <w:t>除专用术语外，与磋商有关的语言均使用中文。必要时专用术语应附有中文</w:t>
      </w:r>
      <w:r>
        <w:rPr>
          <w:sz w:val="24"/>
          <w:szCs w:val="24"/>
          <w:lang w:eastAsia="zh-CN"/>
        </w:rPr>
        <w:t>注释。</w:t>
      </w:r>
    </w:p>
    <w:p w14:paraId="480D1E41">
      <w:pPr>
        <w:pStyle w:val="5"/>
        <w:numPr>
          <w:ilvl w:val="1"/>
          <w:numId w:val="0"/>
        </w:numPr>
        <w:tabs>
          <w:tab w:val="left" w:pos="1463"/>
        </w:tabs>
        <w:spacing w:line="360" w:lineRule="auto"/>
        <w:ind w:left="0" w:leftChars="0" w:firstLine="476" w:firstLineChars="200"/>
        <w:jc w:val="left"/>
        <w:rPr>
          <w:sz w:val="24"/>
          <w:szCs w:val="24"/>
        </w:rPr>
      </w:pPr>
      <w:bookmarkStart w:id="19" w:name="1.8_计量单位"/>
      <w:bookmarkEnd w:id="19"/>
      <w:r>
        <w:rPr>
          <w:rFonts w:hint="default" w:ascii="宋体" w:hAnsi="宋体" w:eastAsia="宋体" w:cs="宋体"/>
          <w:b/>
          <w:bCs/>
          <w:spacing w:val="0"/>
          <w:w w:val="99"/>
          <w:sz w:val="24"/>
          <w:szCs w:val="24"/>
          <w:lang w:val="en-US" w:eastAsia="en-US" w:bidi="ar-SA"/>
        </w:rPr>
        <w:t>1.8</w:t>
      </w:r>
      <w:r>
        <w:rPr>
          <w:sz w:val="24"/>
          <w:szCs w:val="24"/>
        </w:rPr>
        <w:t>计量单位</w:t>
      </w:r>
    </w:p>
    <w:p w14:paraId="46ACD4F8">
      <w:pPr>
        <w:pStyle w:val="6"/>
        <w:spacing w:line="360" w:lineRule="auto"/>
        <w:ind w:left="0" w:firstLine="480" w:firstLineChars="200"/>
        <w:rPr>
          <w:sz w:val="24"/>
          <w:szCs w:val="24"/>
          <w:lang w:eastAsia="zh-CN"/>
        </w:rPr>
      </w:pPr>
      <w:r>
        <w:rPr>
          <w:sz w:val="24"/>
          <w:szCs w:val="24"/>
          <w:lang w:eastAsia="zh-CN"/>
        </w:rPr>
        <w:t>所有计量均采用中华人民共和国法定计量单位。</w:t>
      </w:r>
    </w:p>
    <w:p w14:paraId="53A0D9FA">
      <w:pPr>
        <w:pStyle w:val="5"/>
        <w:numPr>
          <w:ilvl w:val="1"/>
          <w:numId w:val="0"/>
        </w:numPr>
        <w:tabs>
          <w:tab w:val="left" w:pos="1463"/>
        </w:tabs>
        <w:spacing w:line="360" w:lineRule="auto"/>
        <w:ind w:left="0" w:leftChars="0" w:firstLine="476" w:firstLineChars="200"/>
        <w:jc w:val="left"/>
        <w:rPr>
          <w:sz w:val="24"/>
          <w:szCs w:val="24"/>
        </w:rPr>
      </w:pPr>
      <w:bookmarkStart w:id="20" w:name="1.9_踏勘现场"/>
      <w:bookmarkEnd w:id="20"/>
      <w:r>
        <w:rPr>
          <w:rFonts w:hint="default" w:ascii="宋体" w:hAnsi="宋体" w:eastAsia="宋体" w:cs="宋体"/>
          <w:b/>
          <w:bCs/>
          <w:spacing w:val="0"/>
          <w:w w:val="99"/>
          <w:sz w:val="24"/>
          <w:szCs w:val="24"/>
          <w:lang w:val="en-US" w:eastAsia="en-US" w:bidi="ar-SA"/>
        </w:rPr>
        <w:t>1.9</w:t>
      </w:r>
      <w:r>
        <w:rPr>
          <w:sz w:val="24"/>
          <w:szCs w:val="24"/>
        </w:rPr>
        <w:t>踏勘现场</w:t>
      </w:r>
    </w:p>
    <w:p w14:paraId="54F98F1B">
      <w:pPr>
        <w:pStyle w:val="28"/>
        <w:tabs>
          <w:tab w:val="left" w:pos="2180"/>
        </w:tabs>
        <w:spacing w:line="360" w:lineRule="auto"/>
        <w:ind w:left="480" w:firstLine="0"/>
        <w:rPr>
          <w:sz w:val="24"/>
          <w:szCs w:val="22"/>
          <w:lang w:eastAsia="zh-CN"/>
        </w:rPr>
      </w:pPr>
      <w:r>
        <w:rPr>
          <w:rFonts w:hint="eastAsia"/>
          <w:sz w:val="24"/>
          <w:szCs w:val="22"/>
          <w:lang w:eastAsia="zh-CN"/>
        </w:rPr>
        <w:t>1</w:t>
      </w:r>
      <w:r>
        <w:rPr>
          <w:sz w:val="24"/>
          <w:szCs w:val="22"/>
          <w:lang w:eastAsia="zh-CN"/>
        </w:rPr>
        <w:t>.9.1  采购人不统一组织供应商踏勘项目现场。</w:t>
      </w:r>
    </w:p>
    <w:p w14:paraId="6731B776">
      <w:pPr>
        <w:pStyle w:val="28"/>
        <w:tabs>
          <w:tab w:val="left" w:pos="2180"/>
        </w:tabs>
        <w:spacing w:line="360" w:lineRule="auto"/>
        <w:ind w:left="480" w:firstLine="0"/>
        <w:rPr>
          <w:sz w:val="24"/>
          <w:szCs w:val="22"/>
          <w:lang w:eastAsia="zh-CN"/>
        </w:rPr>
      </w:pPr>
      <w:r>
        <w:rPr>
          <w:sz w:val="24"/>
          <w:szCs w:val="22"/>
          <w:lang w:eastAsia="zh-CN"/>
        </w:rPr>
        <w:t>1.9.2  供应商踏勘现场发生的费用自理。</w:t>
      </w:r>
    </w:p>
    <w:p w14:paraId="5FF39BEF">
      <w:pPr>
        <w:pStyle w:val="28"/>
        <w:tabs>
          <w:tab w:val="left" w:pos="2180"/>
        </w:tabs>
        <w:spacing w:line="360" w:lineRule="auto"/>
        <w:ind w:left="480" w:firstLine="0"/>
        <w:rPr>
          <w:sz w:val="24"/>
          <w:szCs w:val="22"/>
          <w:lang w:eastAsia="zh-CN"/>
        </w:rPr>
      </w:pPr>
      <w:r>
        <w:rPr>
          <w:sz w:val="24"/>
          <w:szCs w:val="22"/>
          <w:lang w:eastAsia="zh-CN"/>
        </w:rPr>
        <w:t>1.9.3  供应商自行负责在踏勘现场中所发生的人员伤亡和财产损失。</w:t>
      </w:r>
    </w:p>
    <w:p w14:paraId="5BEE561D">
      <w:pPr>
        <w:pStyle w:val="28"/>
        <w:tabs>
          <w:tab w:val="left" w:pos="2060"/>
        </w:tabs>
        <w:spacing w:line="360" w:lineRule="auto"/>
        <w:ind w:left="480" w:firstLine="0"/>
        <w:rPr>
          <w:b/>
          <w:sz w:val="24"/>
          <w:szCs w:val="22"/>
          <w:lang w:eastAsia="zh-CN"/>
        </w:rPr>
      </w:pPr>
      <w:r>
        <w:rPr>
          <w:rFonts w:hint="eastAsia"/>
          <w:b/>
          <w:sz w:val="24"/>
          <w:szCs w:val="22"/>
          <w:lang w:eastAsia="zh-CN"/>
        </w:rPr>
        <w:t>1</w:t>
      </w:r>
      <w:r>
        <w:rPr>
          <w:b/>
          <w:sz w:val="24"/>
          <w:szCs w:val="22"/>
          <w:lang w:eastAsia="zh-CN"/>
        </w:rPr>
        <w:t>.10   磋商预备会：不召开</w:t>
      </w:r>
    </w:p>
    <w:p w14:paraId="2BBB1F8E">
      <w:pPr>
        <w:pStyle w:val="28"/>
        <w:tabs>
          <w:tab w:val="left" w:pos="2060"/>
        </w:tabs>
        <w:spacing w:line="360" w:lineRule="auto"/>
        <w:ind w:left="480" w:firstLine="0"/>
        <w:rPr>
          <w:b/>
          <w:sz w:val="24"/>
          <w:szCs w:val="22"/>
          <w:lang w:eastAsia="zh-CN"/>
        </w:rPr>
      </w:pPr>
      <w:r>
        <w:rPr>
          <w:rFonts w:hint="eastAsia"/>
          <w:b/>
          <w:sz w:val="24"/>
          <w:szCs w:val="22"/>
          <w:lang w:eastAsia="zh-CN"/>
        </w:rPr>
        <w:t>1</w:t>
      </w:r>
      <w:r>
        <w:rPr>
          <w:b/>
          <w:sz w:val="24"/>
          <w:szCs w:val="22"/>
          <w:lang w:eastAsia="zh-CN"/>
        </w:rPr>
        <w:t>.11   分包：不允许分包</w:t>
      </w:r>
    </w:p>
    <w:p w14:paraId="660CF81D">
      <w:pPr>
        <w:pStyle w:val="28"/>
        <w:tabs>
          <w:tab w:val="left" w:pos="2060"/>
        </w:tabs>
        <w:spacing w:line="360" w:lineRule="auto"/>
        <w:ind w:left="474" w:firstLine="0"/>
        <w:rPr>
          <w:b/>
          <w:spacing w:val="-3"/>
          <w:sz w:val="24"/>
          <w:szCs w:val="22"/>
          <w:lang w:eastAsia="zh-CN"/>
        </w:rPr>
      </w:pPr>
      <w:r>
        <w:rPr>
          <w:rFonts w:hint="eastAsia"/>
          <w:b/>
          <w:spacing w:val="-3"/>
          <w:sz w:val="24"/>
          <w:szCs w:val="22"/>
          <w:lang w:eastAsia="zh-CN"/>
        </w:rPr>
        <w:t>1</w:t>
      </w:r>
      <w:r>
        <w:rPr>
          <w:b/>
          <w:spacing w:val="-3"/>
          <w:sz w:val="24"/>
          <w:szCs w:val="22"/>
          <w:lang w:eastAsia="zh-CN"/>
        </w:rPr>
        <w:t>.12    偏离：不允许偏离</w:t>
      </w:r>
      <w:bookmarkStart w:id="21" w:name="2.竞争性磋商文件构成"/>
      <w:bookmarkEnd w:id="21"/>
    </w:p>
    <w:p w14:paraId="358A45D7">
      <w:pPr>
        <w:pStyle w:val="28"/>
        <w:tabs>
          <w:tab w:val="left" w:pos="2060"/>
        </w:tabs>
        <w:spacing w:line="360" w:lineRule="auto"/>
        <w:ind w:left="474" w:firstLine="0"/>
        <w:rPr>
          <w:b/>
          <w:sz w:val="24"/>
          <w:szCs w:val="22"/>
          <w:lang w:eastAsia="zh-CN"/>
        </w:rPr>
      </w:pPr>
      <w:r>
        <w:rPr>
          <w:b/>
          <w:sz w:val="24"/>
          <w:szCs w:val="22"/>
          <w:lang w:eastAsia="zh-CN"/>
        </w:rPr>
        <w:t>2.竞争性磋商文件构成</w:t>
      </w:r>
    </w:p>
    <w:p w14:paraId="261B8176">
      <w:pPr>
        <w:pStyle w:val="28"/>
        <w:numPr>
          <w:ilvl w:val="0"/>
          <w:numId w:val="0"/>
        </w:numPr>
        <w:tabs>
          <w:tab w:val="left" w:pos="1463"/>
        </w:tabs>
        <w:spacing w:line="360" w:lineRule="auto"/>
        <w:ind w:leftChars="200"/>
        <w:jc w:val="left"/>
        <w:rPr>
          <w:sz w:val="24"/>
          <w:szCs w:val="22"/>
          <w:lang w:eastAsia="zh-CN"/>
        </w:rPr>
      </w:pPr>
      <w:bookmarkStart w:id="22" w:name="2.1_竞争性磋商文件有以下部分组成："/>
      <w:bookmarkEnd w:id="22"/>
      <w:r>
        <w:rPr>
          <w:rFonts w:hint="eastAsia"/>
          <w:b/>
          <w:spacing w:val="-1"/>
          <w:sz w:val="24"/>
          <w:szCs w:val="22"/>
          <w:lang w:val="en-US" w:eastAsia="zh-CN"/>
        </w:rPr>
        <w:t>2.1</w:t>
      </w:r>
      <w:r>
        <w:rPr>
          <w:b/>
          <w:spacing w:val="-1"/>
          <w:sz w:val="24"/>
          <w:szCs w:val="22"/>
          <w:lang w:eastAsia="zh-CN"/>
        </w:rPr>
        <w:t xml:space="preserve">竞争性磋商文件有以下部分组成： </w:t>
      </w:r>
      <w:r>
        <w:rPr>
          <w:sz w:val="24"/>
          <w:szCs w:val="22"/>
          <w:lang w:eastAsia="zh-CN"/>
        </w:rPr>
        <w:t>本竞争性磋商文件包括：</w:t>
      </w:r>
    </w:p>
    <w:p w14:paraId="05286C78">
      <w:pPr>
        <w:pStyle w:val="28"/>
        <w:tabs>
          <w:tab w:val="left" w:pos="2061"/>
        </w:tabs>
        <w:spacing w:line="360" w:lineRule="auto"/>
        <w:ind w:left="480" w:firstLine="0"/>
        <w:rPr>
          <w:sz w:val="24"/>
          <w:szCs w:val="22"/>
          <w:lang w:eastAsia="zh-CN"/>
        </w:rPr>
      </w:pPr>
      <w:r>
        <w:rPr>
          <w:rFonts w:hint="eastAsia"/>
          <w:sz w:val="24"/>
          <w:szCs w:val="22"/>
          <w:lang w:eastAsia="zh-CN"/>
        </w:rPr>
        <w:t xml:space="preserve">⑴ </w:t>
      </w:r>
      <w:r>
        <w:rPr>
          <w:sz w:val="24"/>
          <w:szCs w:val="22"/>
          <w:lang w:eastAsia="zh-CN"/>
        </w:rPr>
        <w:t xml:space="preserve"> 竞争性磋商公告</w:t>
      </w:r>
    </w:p>
    <w:p w14:paraId="7C92809B">
      <w:pPr>
        <w:pStyle w:val="28"/>
        <w:tabs>
          <w:tab w:val="left" w:pos="2061"/>
        </w:tabs>
        <w:spacing w:line="360" w:lineRule="auto"/>
        <w:ind w:left="480" w:firstLine="0"/>
        <w:rPr>
          <w:sz w:val="24"/>
          <w:szCs w:val="22"/>
          <w:lang w:eastAsia="zh-CN"/>
        </w:rPr>
      </w:pPr>
      <w:r>
        <w:rPr>
          <w:rFonts w:hint="eastAsia"/>
          <w:sz w:val="24"/>
          <w:szCs w:val="22"/>
          <w:lang w:eastAsia="zh-CN"/>
        </w:rPr>
        <w:t xml:space="preserve">⑵ </w:t>
      </w:r>
      <w:r>
        <w:rPr>
          <w:sz w:val="24"/>
          <w:szCs w:val="22"/>
          <w:lang w:eastAsia="zh-CN"/>
        </w:rPr>
        <w:t xml:space="preserve"> 供应商须知</w:t>
      </w:r>
    </w:p>
    <w:p w14:paraId="63AAC859">
      <w:pPr>
        <w:pStyle w:val="28"/>
        <w:tabs>
          <w:tab w:val="left" w:pos="2061"/>
        </w:tabs>
        <w:spacing w:line="360" w:lineRule="auto"/>
        <w:ind w:left="480" w:firstLine="0"/>
        <w:rPr>
          <w:sz w:val="24"/>
          <w:szCs w:val="22"/>
          <w:lang w:eastAsia="zh-CN"/>
        </w:rPr>
      </w:pPr>
      <w:r>
        <w:rPr>
          <w:rFonts w:hint="eastAsia"/>
          <w:sz w:val="24"/>
          <w:szCs w:val="22"/>
          <w:lang w:eastAsia="zh-CN"/>
        </w:rPr>
        <w:t xml:space="preserve">⑶ </w:t>
      </w:r>
      <w:r>
        <w:rPr>
          <w:sz w:val="24"/>
          <w:szCs w:val="22"/>
          <w:lang w:eastAsia="zh-CN"/>
        </w:rPr>
        <w:t xml:space="preserve"> 评审标准</w:t>
      </w:r>
    </w:p>
    <w:p w14:paraId="5C5CF299">
      <w:pPr>
        <w:pStyle w:val="28"/>
        <w:tabs>
          <w:tab w:val="left" w:pos="2061"/>
        </w:tabs>
        <w:spacing w:line="360" w:lineRule="auto"/>
        <w:ind w:left="480" w:firstLine="0"/>
        <w:rPr>
          <w:sz w:val="24"/>
          <w:szCs w:val="22"/>
          <w:lang w:eastAsia="zh-CN"/>
        </w:rPr>
      </w:pPr>
      <w:r>
        <w:rPr>
          <w:rFonts w:hint="eastAsia"/>
          <w:sz w:val="24"/>
          <w:szCs w:val="22"/>
          <w:lang w:eastAsia="zh-CN"/>
        </w:rPr>
        <w:t xml:space="preserve">⑷ </w:t>
      </w:r>
      <w:r>
        <w:rPr>
          <w:sz w:val="24"/>
          <w:szCs w:val="22"/>
          <w:lang w:eastAsia="zh-CN"/>
        </w:rPr>
        <w:t xml:space="preserve"> 合同条款及格式</w:t>
      </w:r>
    </w:p>
    <w:p w14:paraId="2A594EC8">
      <w:pPr>
        <w:pStyle w:val="28"/>
        <w:tabs>
          <w:tab w:val="left" w:pos="2061"/>
        </w:tabs>
        <w:spacing w:line="360" w:lineRule="auto"/>
        <w:ind w:left="480" w:firstLine="0"/>
        <w:rPr>
          <w:sz w:val="24"/>
          <w:szCs w:val="22"/>
          <w:lang w:eastAsia="zh-CN"/>
        </w:rPr>
      </w:pPr>
      <w:r>
        <w:rPr>
          <w:rFonts w:hint="eastAsia"/>
          <w:sz w:val="24"/>
          <w:szCs w:val="22"/>
          <w:lang w:eastAsia="zh-CN"/>
        </w:rPr>
        <w:t xml:space="preserve">⑸ </w:t>
      </w:r>
      <w:r>
        <w:rPr>
          <w:sz w:val="24"/>
          <w:szCs w:val="22"/>
          <w:lang w:eastAsia="zh-CN"/>
        </w:rPr>
        <w:t xml:space="preserve"> 服务内容</w:t>
      </w:r>
    </w:p>
    <w:p w14:paraId="4C2AA99F">
      <w:pPr>
        <w:pStyle w:val="28"/>
        <w:tabs>
          <w:tab w:val="left" w:pos="2061"/>
        </w:tabs>
        <w:spacing w:line="360" w:lineRule="auto"/>
        <w:ind w:left="480" w:firstLine="0"/>
        <w:rPr>
          <w:sz w:val="24"/>
          <w:szCs w:val="22"/>
          <w:lang w:eastAsia="zh-CN"/>
        </w:rPr>
      </w:pPr>
      <w:r>
        <w:rPr>
          <w:rFonts w:hint="eastAsia"/>
          <w:sz w:val="24"/>
          <w:szCs w:val="22"/>
          <w:lang w:eastAsia="zh-CN"/>
        </w:rPr>
        <w:t xml:space="preserve">⑹ </w:t>
      </w:r>
      <w:r>
        <w:rPr>
          <w:sz w:val="24"/>
          <w:szCs w:val="22"/>
          <w:lang w:eastAsia="zh-CN"/>
        </w:rPr>
        <w:t xml:space="preserve"> 响应文件格式</w:t>
      </w:r>
    </w:p>
    <w:p w14:paraId="70D6206E">
      <w:pPr>
        <w:pStyle w:val="6"/>
        <w:spacing w:line="360" w:lineRule="auto"/>
        <w:ind w:left="0" w:firstLine="480" w:firstLineChars="200"/>
        <w:outlineLvl w:val="9"/>
        <w:rPr>
          <w:lang w:eastAsia="zh-CN"/>
        </w:rPr>
      </w:pPr>
      <w:r>
        <w:rPr>
          <w:sz w:val="24"/>
          <w:szCs w:val="24"/>
          <w:lang w:eastAsia="zh-CN"/>
        </w:rPr>
        <w:t>对竞争性磋商文件所作的澄清、</w:t>
      </w:r>
      <w:r>
        <w:rPr>
          <w:lang w:eastAsia="zh-CN"/>
        </w:rPr>
        <w:t>修改，构成竞争性磋商文件的组成部分。</w:t>
      </w:r>
    </w:p>
    <w:p w14:paraId="220C227A">
      <w:pPr>
        <w:bidi w:val="0"/>
        <w:spacing w:line="240" w:lineRule="auto"/>
        <w:ind w:firstLine="478" w:firstLineChars="200"/>
        <w:outlineLvl w:val="9"/>
        <w:rPr>
          <w:rFonts w:ascii="宋体" w:hAnsi="宋体" w:eastAsia="宋体" w:cs="宋体"/>
          <w:b/>
          <w:spacing w:val="-1"/>
          <w:sz w:val="24"/>
          <w:szCs w:val="22"/>
          <w:lang w:val="en-US" w:eastAsia="zh-CN" w:bidi="ar-SA"/>
        </w:rPr>
      </w:pPr>
      <w:r>
        <w:rPr>
          <w:rFonts w:hint="eastAsia" w:ascii="宋体" w:hAnsi="宋体" w:eastAsia="宋体" w:cs="宋体"/>
          <w:b/>
          <w:spacing w:val="-1"/>
          <w:sz w:val="24"/>
          <w:szCs w:val="22"/>
          <w:lang w:val="en-US" w:eastAsia="zh-CN" w:bidi="ar-SA"/>
        </w:rPr>
        <w:t>2</w:t>
      </w:r>
      <w:r>
        <w:rPr>
          <w:rFonts w:ascii="宋体" w:hAnsi="宋体" w:eastAsia="宋体" w:cs="宋体"/>
          <w:b/>
          <w:spacing w:val="-1"/>
          <w:sz w:val="24"/>
          <w:szCs w:val="22"/>
          <w:lang w:val="en-US" w:eastAsia="zh-CN" w:bidi="ar-SA"/>
        </w:rPr>
        <w:t>.2竞争性磋商文件的澄清及修改</w:t>
      </w:r>
    </w:p>
    <w:p w14:paraId="03948D0A">
      <w:pPr>
        <w:spacing w:line="440" w:lineRule="exact"/>
        <w:ind w:firstLine="480" w:firstLineChars="200"/>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2.2.1响应人应仔细阅读和检查竞争性磋商文件的全部内容。如发现内容不完整或附件不全，应及时向采购人提出，以便补齐。</w:t>
      </w:r>
      <w:r>
        <w:rPr>
          <w:rFonts w:hint="eastAsia" w:cs="宋体" w:asciiTheme="minorEastAsia" w:hAnsiTheme="minorEastAsia" w:eastAsiaTheme="minorEastAsia"/>
          <w:b/>
          <w:bCs/>
          <w:sz w:val="24"/>
          <w:szCs w:val="24"/>
        </w:rPr>
        <w:t>如有疑问，应在响应人须知前附表规定的时间在三门峡市公共资源交易系统中提出质询</w:t>
      </w:r>
      <w:r>
        <w:rPr>
          <w:rFonts w:hint="eastAsia" w:cs="宋体" w:asciiTheme="minorEastAsia" w:hAnsiTheme="minorEastAsia"/>
          <w:b/>
          <w:bCs/>
          <w:sz w:val="24"/>
          <w:szCs w:val="24"/>
          <w:lang w:eastAsia="zh-CN"/>
        </w:rPr>
        <w:t>（</w:t>
      </w:r>
      <w:r>
        <w:rPr>
          <w:rFonts w:hint="eastAsia" w:cs="宋体" w:asciiTheme="minorEastAsia" w:hAnsiTheme="minorEastAsia"/>
          <w:b/>
          <w:bCs/>
          <w:sz w:val="24"/>
          <w:szCs w:val="24"/>
          <w:lang w:val="en-US" w:eastAsia="zh-CN"/>
        </w:rPr>
        <w:t>并电话通知代理机构</w:t>
      </w:r>
      <w:r>
        <w:rPr>
          <w:rFonts w:hint="eastAsia" w:cs="宋体" w:asciiTheme="minorEastAsia" w:hAnsiTheme="minorEastAsia"/>
          <w:b/>
          <w:bCs/>
          <w:sz w:val="24"/>
          <w:szCs w:val="24"/>
          <w:lang w:eastAsia="zh-CN"/>
        </w:rPr>
        <w:t>）</w:t>
      </w:r>
      <w:r>
        <w:rPr>
          <w:rFonts w:hint="eastAsia" w:cs="宋体" w:asciiTheme="minorEastAsia" w:hAnsiTheme="minorEastAsia" w:eastAsiaTheme="minorEastAsia"/>
          <w:sz w:val="24"/>
          <w:szCs w:val="24"/>
        </w:rPr>
        <w:t>，要求采购人对竞争性磋商文件予以澄清。</w:t>
      </w:r>
    </w:p>
    <w:p w14:paraId="4A17AE9E">
      <w:pPr>
        <w:spacing w:line="4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2.2.2竞争性磋商文件的澄清以澄清回复的方式在三门峡市公共资源交易系统中回复响应人，但不指明澄清问题的来源。澄清竞争性磋商文件实质性内容且影响响应文件编制的，将相应延长磋商截止时间。 </w:t>
      </w:r>
    </w:p>
    <w:p w14:paraId="726F9386">
      <w:pPr>
        <w:spacing w:line="4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2.2.3 </w:t>
      </w:r>
      <w:r>
        <w:rPr>
          <w:rFonts w:hint="eastAsia" w:cs="宋体" w:asciiTheme="minorEastAsia" w:hAnsiTheme="minorEastAsia" w:eastAsiaTheme="minorEastAsia"/>
          <w:b/>
          <w:bCs/>
          <w:sz w:val="24"/>
          <w:szCs w:val="24"/>
        </w:rPr>
        <w:t>响应人应自行查看澄清信息。</w:t>
      </w:r>
    </w:p>
    <w:p w14:paraId="515EE3A5">
      <w:pPr>
        <w:spacing w:line="440" w:lineRule="exact"/>
        <w:ind w:firstLine="482" w:firstLineChars="200"/>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2.3 竞争性磋商文件的修改</w:t>
      </w:r>
    </w:p>
    <w:p w14:paraId="4EA6BA90">
      <w:pPr>
        <w:spacing w:line="4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2.3.1 在磋商截止时间5天前，采购人可以修改竞争性磋商文件，并以变更公告形式通知所有已购买竞争性磋商文件的响应人。</w:t>
      </w:r>
    </w:p>
    <w:p w14:paraId="40B9F351">
      <w:pPr>
        <w:spacing w:line="4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2.3.2 如果修改竞争性磋商文件，会在三门峡市公共资源交易中心网发布变更公告，不再发纸质的变更信息。提醒响应人随时注意网上发布的信息。如因磋商响应人自身原因未看到信息，因此造成的一切后果由响应人自行承担。</w:t>
      </w:r>
    </w:p>
    <w:p w14:paraId="40910657">
      <w:pPr>
        <w:spacing w:line="440" w:lineRule="exact"/>
        <w:ind w:firstLine="480" w:firstLineChars="200"/>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2.3.3为使响应人在准备响应文件时有合理的时间考虑竞争性磋商文件的修改，招标代理机构可酌情推迟磋商截止时间和磋商时间，但应当至少在磋商截止时间</w:t>
      </w:r>
      <w:r>
        <w:rPr>
          <w:rFonts w:hint="eastAsia" w:cs="宋体" w:asciiTheme="minorEastAsia" w:hAnsiTheme="minorEastAsia"/>
          <w:sz w:val="24"/>
          <w:szCs w:val="24"/>
          <w:lang w:val="en-US" w:eastAsia="zh-CN"/>
        </w:rPr>
        <w:t>5日</w:t>
      </w:r>
      <w:r>
        <w:rPr>
          <w:rFonts w:hint="eastAsia" w:cs="宋体" w:asciiTheme="minorEastAsia" w:hAnsiTheme="minorEastAsia" w:eastAsiaTheme="minorEastAsia"/>
          <w:sz w:val="24"/>
          <w:szCs w:val="24"/>
        </w:rPr>
        <w:t>前将变更时间以发布变更公告的形式通知所有响应人。该修改内容为竞争性磋商文件的组成部分。在此情况下，采购人和响应人受磋商截止期制约的所有权利和义务均应延长至新的截止日期。</w:t>
      </w:r>
      <w:bookmarkStart w:id="23" w:name="_Toc184635073"/>
      <w:bookmarkEnd w:id="23"/>
    </w:p>
    <w:p w14:paraId="1CC7096F">
      <w:pPr>
        <w:pStyle w:val="5"/>
        <w:tabs>
          <w:tab w:val="left" w:pos="1224"/>
        </w:tabs>
        <w:spacing w:line="360" w:lineRule="auto"/>
        <w:ind w:left="0" w:leftChars="0" w:firstLine="482" w:firstLineChars="200"/>
        <w:rPr>
          <w:lang w:eastAsia="zh-CN"/>
        </w:rPr>
      </w:pPr>
      <w:bookmarkStart w:id="24" w:name="2.2_竞争性磋商文件的澄清及修改"/>
      <w:bookmarkEnd w:id="24"/>
      <w:bookmarkStart w:id="25" w:name="3.响应文件"/>
      <w:bookmarkEnd w:id="25"/>
      <w:r>
        <w:rPr>
          <w:rFonts w:hint="eastAsia"/>
          <w:lang w:eastAsia="zh-CN"/>
        </w:rPr>
        <w:t>3</w:t>
      </w:r>
      <w:r>
        <w:rPr>
          <w:lang w:eastAsia="zh-CN"/>
        </w:rPr>
        <w:t>.响应文件</w:t>
      </w:r>
    </w:p>
    <w:p w14:paraId="7CB442AF">
      <w:pPr>
        <w:pStyle w:val="5"/>
        <w:tabs>
          <w:tab w:val="left" w:pos="1943"/>
        </w:tabs>
        <w:spacing w:line="360" w:lineRule="auto"/>
        <w:ind w:left="482" w:firstLine="0"/>
        <w:rPr>
          <w:lang w:eastAsia="zh-CN"/>
        </w:rPr>
      </w:pPr>
      <w:r>
        <w:rPr>
          <w:rFonts w:hint="eastAsia"/>
          <w:lang w:eastAsia="zh-CN"/>
        </w:rPr>
        <w:t>3</w:t>
      </w:r>
      <w:r>
        <w:rPr>
          <w:lang w:eastAsia="zh-CN"/>
        </w:rPr>
        <w:t>.1 响应文件的组成</w:t>
      </w:r>
    </w:p>
    <w:p w14:paraId="0CB01FE1">
      <w:pPr>
        <w:pStyle w:val="6"/>
        <w:spacing w:line="360" w:lineRule="auto"/>
        <w:ind w:left="0" w:firstLine="480" w:firstLineChars="200"/>
        <w:rPr>
          <w:lang w:eastAsia="zh-CN"/>
        </w:rPr>
      </w:pPr>
      <w:r>
        <w:rPr>
          <w:lang w:eastAsia="zh-CN"/>
        </w:rPr>
        <w:t>响应文件应包括下列内容：</w:t>
      </w:r>
    </w:p>
    <w:p w14:paraId="080D9860">
      <w:pPr>
        <w:pStyle w:val="6"/>
        <w:spacing w:line="360" w:lineRule="auto"/>
        <w:ind w:left="0" w:firstLine="480" w:firstLineChars="200"/>
        <w:rPr>
          <w:lang w:eastAsia="zh-CN"/>
        </w:rPr>
      </w:pPr>
      <w:r>
        <w:rPr>
          <w:lang w:eastAsia="zh-CN"/>
        </w:rPr>
        <w:t>一、磋商函及磋商函附录</w:t>
      </w:r>
    </w:p>
    <w:p w14:paraId="7614FAC9">
      <w:pPr>
        <w:pStyle w:val="6"/>
        <w:spacing w:line="360" w:lineRule="auto"/>
        <w:ind w:left="0" w:firstLine="480" w:firstLineChars="200"/>
        <w:rPr>
          <w:lang w:eastAsia="zh-CN"/>
        </w:rPr>
      </w:pPr>
      <w:r>
        <w:rPr>
          <w:lang w:eastAsia="zh-CN"/>
        </w:rPr>
        <w:t>二、法定代表人身份证明书</w:t>
      </w:r>
    </w:p>
    <w:p w14:paraId="0DA9519C">
      <w:pPr>
        <w:pStyle w:val="6"/>
        <w:spacing w:line="360" w:lineRule="auto"/>
        <w:ind w:left="0" w:firstLine="480" w:firstLineChars="200"/>
        <w:rPr>
          <w:lang w:eastAsia="zh-CN"/>
        </w:rPr>
      </w:pPr>
      <w:r>
        <w:rPr>
          <w:lang w:eastAsia="zh-CN"/>
        </w:rPr>
        <w:t>三、授权委托书</w:t>
      </w:r>
    </w:p>
    <w:p w14:paraId="71406B07">
      <w:pPr>
        <w:pStyle w:val="6"/>
        <w:spacing w:line="360" w:lineRule="auto"/>
        <w:ind w:left="0" w:firstLine="480" w:firstLineChars="200"/>
        <w:rPr>
          <w:lang w:eastAsia="zh-CN"/>
        </w:rPr>
      </w:pPr>
      <w:r>
        <w:rPr>
          <w:lang w:eastAsia="zh-CN"/>
        </w:rPr>
        <w:t xml:space="preserve">四、项目实施方案 </w:t>
      </w:r>
    </w:p>
    <w:p w14:paraId="147FD7F0">
      <w:pPr>
        <w:pStyle w:val="6"/>
        <w:spacing w:line="360" w:lineRule="auto"/>
        <w:ind w:left="0" w:firstLine="468" w:firstLineChars="200"/>
        <w:rPr>
          <w:spacing w:val="-3"/>
          <w:lang w:eastAsia="zh-CN"/>
        </w:rPr>
      </w:pPr>
      <w:r>
        <w:rPr>
          <w:spacing w:val="-3"/>
          <w:lang w:eastAsia="zh-CN"/>
        </w:rPr>
        <w:t>五、优惠及服务承诺</w:t>
      </w:r>
    </w:p>
    <w:p w14:paraId="2037EBD5">
      <w:pPr>
        <w:pStyle w:val="6"/>
        <w:spacing w:line="360" w:lineRule="auto"/>
        <w:ind w:left="0" w:firstLine="480" w:firstLineChars="200"/>
        <w:rPr>
          <w:lang w:eastAsia="zh-CN"/>
        </w:rPr>
      </w:pPr>
      <w:r>
        <w:rPr>
          <w:lang w:eastAsia="zh-CN"/>
        </w:rPr>
        <w:t xml:space="preserve">六、资格审查资料 </w:t>
      </w:r>
    </w:p>
    <w:p w14:paraId="57A4E45C">
      <w:pPr>
        <w:pStyle w:val="6"/>
        <w:spacing w:line="360" w:lineRule="auto"/>
        <w:ind w:left="0" w:firstLine="480" w:firstLineChars="200"/>
        <w:rPr>
          <w:lang w:eastAsia="zh-CN"/>
        </w:rPr>
      </w:pPr>
      <w:r>
        <w:rPr>
          <w:lang w:eastAsia="zh-CN"/>
        </w:rPr>
        <w:t>七、项目组成人员</w:t>
      </w:r>
    </w:p>
    <w:p w14:paraId="2B71769E">
      <w:pPr>
        <w:pStyle w:val="6"/>
        <w:spacing w:line="360" w:lineRule="auto"/>
        <w:ind w:left="0" w:firstLine="480" w:firstLineChars="200"/>
        <w:rPr>
          <w:lang w:eastAsia="zh-CN"/>
        </w:rPr>
      </w:pPr>
      <w:r>
        <w:rPr>
          <w:lang w:eastAsia="zh-CN"/>
        </w:rPr>
        <w:t>八、供应商应附的其它资料</w:t>
      </w:r>
    </w:p>
    <w:p w14:paraId="0436D745">
      <w:pPr>
        <w:pStyle w:val="6"/>
        <w:spacing w:line="360" w:lineRule="auto"/>
        <w:ind w:left="0" w:firstLine="480" w:firstLineChars="200"/>
        <w:rPr>
          <w:lang w:eastAsia="zh-CN"/>
        </w:rPr>
      </w:pPr>
      <w:r>
        <w:rPr>
          <w:lang w:eastAsia="zh-CN"/>
        </w:rPr>
        <w:t>九、中小微企业声明函</w:t>
      </w:r>
    </w:p>
    <w:p w14:paraId="00725770">
      <w:pPr>
        <w:pStyle w:val="6"/>
        <w:spacing w:line="360" w:lineRule="auto"/>
        <w:ind w:left="0" w:firstLine="480" w:firstLineChars="200"/>
        <w:rPr>
          <w:lang w:eastAsia="zh-CN"/>
        </w:rPr>
      </w:pPr>
      <w:r>
        <w:rPr>
          <w:lang w:eastAsia="zh-CN"/>
        </w:rPr>
        <w:t>十、残疾人福利性单位声明函</w:t>
      </w:r>
    </w:p>
    <w:p w14:paraId="43B314CF">
      <w:pPr>
        <w:pStyle w:val="5"/>
        <w:tabs>
          <w:tab w:val="left" w:pos="1463"/>
        </w:tabs>
        <w:spacing w:line="360" w:lineRule="auto"/>
        <w:ind w:left="482" w:firstLine="0"/>
        <w:rPr>
          <w:lang w:eastAsia="zh-CN"/>
        </w:rPr>
      </w:pPr>
      <w:r>
        <w:rPr>
          <w:rFonts w:hint="eastAsia"/>
          <w:lang w:eastAsia="zh-CN"/>
        </w:rPr>
        <w:t>3</w:t>
      </w:r>
      <w:r>
        <w:rPr>
          <w:lang w:eastAsia="zh-CN"/>
        </w:rPr>
        <w:t>.2 报价</w:t>
      </w:r>
    </w:p>
    <w:p w14:paraId="5198E182">
      <w:pPr>
        <w:pStyle w:val="28"/>
        <w:tabs>
          <w:tab w:val="left" w:pos="2120"/>
        </w:tabs>
        <w:spacing w:line="360" w:lineRule="auto"/>
        <w:ind w:left="474" w:firstLine="0"/>
        <w:rPr>
          <w:sz w:val="24"/>
          <w:szCs w:val="24"/>
          <w:lang w:eastAsia="zh-CN"/>
        </w:rPr>
      </w:pPr>
      <w:r>
        <w:rPr>
          <w:rFonts w:hint="eastAsia"/>
          <w:spacing w:val="-3"/>
          <w:sz w:val="24"/>
          <w:szCs w:val="24"/>
          <w:lang w:eastAsia="zh-CN"/>
        </w:rPr>
        <w:t>3</w:t>
      </w:r>
      <w:r>
        <w:rPr>
          <w:spacing w:val="-3"/>
          <w:sz w:val="24"/>
          <w:szCs w:val="24"/>
          <w:lang w:eastAsia="zh-CN"/>
        </w:rPr>
        <w:t>.2.1 供应商应按照竞争性磋商文件中提供的格式完整地填写响应文件、报</w:t>
      </w:r>
      <w:r>
        <w:rPr>
          <w:sz w:val="24"/>
          <w:szCs w:val="24"/>
          <w:lang w:eastAsia="zh-CN"/>
        </w:rPr>
        <w:t>价一览表等。</w:t>
      </w:r>
    </w:p>
    <w:p w14:paraId="68D08740">
      <w:pPr>
        <w:pStyle w:val="28"/>
        <w:tabs>
          <w:tab w:val="left" w:pos="2120"/>
        </w:tabs>
        <w:spacing w:line="360" w:lineRule="auto"/>
        <w:ind w:left="474" w:firstLine="0"/>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3.2.2  供应商应按照竞争性磋商文件提供的报价表格式填写报价。</w:t>
      </w:r>
    </w:p>
    <w:p w14:paraId="6D8C3524">
      <w:pPr>
        <w:pStyle w:val="28"/>
        <w:tabs>
          <w:tab w:val="left" w:pos="2120"/>
        </w:tabs>
        <w:spacing w:line="360" w:lineRule="auto"/>
        <w:ind w:left="474" w:firstLine="0"/>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3.2.3  供应商的响应报价应结合现行标准和招标控制价自主进行报价。</w:t>
      </w:r>
    </w:p>
    <w:p w14:paraId="4B374EE6">
      <w:pPr>
        <w:pStyle w:val="28"/>
        <w:tabs>
          <w:tab w:val="left" w:pos="2120"/>
        </w:tabs>
        <w:spacing w:line="360" w:lineRule="auto"/>
        <w:ind w:left="474" w:firstLine="0"/>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3.2.4  供应商的报价应含有所投服务、税费、交付后约定期限内免费后续服务等工作所发生的一切应有费用，报价为签订合同的依据。</w:t>
      </w:r>
    </w:p>
    <w:p w14:paraId="02DCB181">
      <w:pPr>
        <w:pStyle w:val="28"/>
        <w:tabs>
          <w:tab w:val="left" w:pos="2120"/>
        </w:tabs>
        <w:spacing w:line="360" w:lineRule="auto"/>
        <w:ind w:left="474" w:firstLine="0"/>
        <w:rPr>
          <w:rFonts w:hint="eastAsia" w:ascii="宋体" w:hAnsi="宋体" w:eastAsia="宋体" w:cs="宋体"/>
          <w:spacing w:val="-3"/>
          <w:sz w:val="24"/>
          <w:szCs w:val="24"/>
          <w:lang w:eastAsia="zh-CN"/>
        </w:rPr>
      </w:pPr>
      <w:bookmarkStart w:id="26" w:name="3.2_报价"/>
      <w:bookmarkEnd w:id="26"/>
      <w:r>
        <w:rPr>
          <w:rFonts w:hint="eastAsia" w:ascii="宋体" w:hAnsi="宋体" w:eastAsia="宋体" w:cs="宋体"/>
          <w:spacing w:val="-3"/>
          <w:sz w:val="24"/>
          <w:szCs w:val="24"/>
          <w:lang w:eastAsia="zh-CN"/>
        </w:rPr>
        <w:t>3.2.5  磋商过程供应商需两轮报价，不得超过采购人公布的项目预算，否则其投标无效。（初次报价、最终报价。本项目进行两次报价，响应文件中报价为初次报价，最终报价不能高于上次报价，高于上次报价视为无效响应）。</w:t>
      </w:r>
    </w:p>
    <w:p w14:paraId="4108C085">
      <w:pPr>
        <w:pStyle w:val="28"/>
        <w:tabs>
          <w:tab w:val="left" w:pos="2120"/>
        </w:tabs>
        <w:spacing w:line="360" w:lineRule="auto"/>
        <w:ind w:left="474" w:firstLine="0"/>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3.2.6  供应商不得以他人名义磋商或者以其他方式弄虚作假，骗取成交；</w:t>
      </w:r>
    </w:p>
    <w:p w14:paraId="2F09BB48">
      <w:pPr>
        <w:pStyle w:val="28"/>
        <w:tabs>
          <w:tab w:val="left" w:pos="2120"/>
        </w:tabs>
        <w:spacing w:line="360" w:lineRule="auto"/>
        <w:ind w:left="474" w:firstLine="0"/>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3.2.7  响应性文件应对竞争性磋商文件中各项做出实质性响应，否则该磋商将可能被拒绝。供应商服务承诺书应按不低于竞争性磋商文件中的服务要求标准做出响应。</w:t>
      </w:r>
    </w:p>
    <w:p w14:paraId="50EDCCAD">
      <w:pPr>
        <w:pStyle w:val="28"/>
        <w:tabs>
          <w:tab w:val="left" w:pos="2120"/>
        </w:tabs>
        <w:spacing w:line="360" w:lineRule="auto"/>
        <w:ind w:left="474" w:firstLine="0"/>
        <w:rPr>
          <w:sz w:val="24"/>
          <w:szCs w:val="24"/>
          <w:lang w:eastAsia="zh-CN"/>
        </w:rPr>
      </w:pPr>
      <w:r>
        <w:rPr>
          <w:rFonts w:hint="eastAsia" w:ascii="宋体" w:hAnsi="宋体" w:eastAsia="宋体" w:cs="宋体"/>
          <w:spacing w:val="-3"/>
          <w:sz w:val="24"/>
          <w:szCs w:val="24"/>
          <w:lang w:eastAsia="zh-CN"/>
        </w:rPr>
        <w:t>3.2.8  磋商文件能够详细列明</w:t>
      </w:r>
      <w:r>
        <w:rPr>
          <w:spacing w:val="-3"/>
          <w:sz w:val="24"/>
          <w:szCs w:val="24"/>
          <w:lang w:eastAsia="zh-CN"/>
        </w:rPr>
        <w:t>采购标的服务要求的，磋商结束后，磋商小组</w:t>
      </w:r>
      <w:r>
        <w:rPr>
          <w:spacing w:val="-5"/>
          <w:sz w:val="24"/>
          <w:szCs w:val="24"/>
          <w:lang w:eastAsia="zh-CN"/>
        </w:rPr>
        <w:t>应当要求所有实质性响应的供应商在规定时间内提交最终报价。最终报价是供应</w:t>
      </w:r>
      <w:r>
        <w:rPr>
          <w:sz w:val="24"/>
          <w:szCs w:val="24"/>
          <w:lang w:eastAsia="zh-CN"/>
        </w:rPr>
        <w:t>商响应文件的有效组成部分。</w:t>
      </w:r>
    </w:p>
    <w:p w14:paraId="144933E8">
      <w:pPr>
        <w:pStyle w:val="5"/>
        <w:tabs>
          <w:tab w:val="left" w:pos="1463"/>
        </w:tabs>
        <w:spacing w:line="360" w:lineRule="auto"/>
        <w:ind w:left="482" w:firstLine="0"/>
        <w:jc w:val="both"/>
        <w:rPr>
          <w:lang w:eastAsia="zh-CN"/>
        </w:rPr>
      </w:pPr>
      <w:bookmarkStart w:id="27" w:name="3.3_磋商有效期"/>
      <w:bookmarkEnd w:id="27"/>
      <w:r>
        <w:rPr>
          <w:rFonts w:hint="eastAsia"/>
          <w:lang w:eastAsia="zh-CN"/>
        </w:rPr>
        <w:t>3</w:t>
      </w:r>
      <w:r>
        <w:rPr>
          <w:lang w:eastAsia="zh-CN"/>
        </w:rPr>
        <w:t>.3 磋商有效期</w:t>
      </w:r>
    </w:p>
    <w:p w14:paraId="538D6874">
      <w:pPr>
        <w:pStyle w:val="28"/>
        <w:tabs>
          <w:tab w:val="left" w:pos="2061"/>
        </w:tabs>
        <w:spacing w:line="360" w:lineRule="auto"/>
        <w:ind w:left="468" w:firstLine="0"/>
        <w:rPr>
          <w:sz w:val="24"/>
          <w:szCs w:val="24"/>
          <w:lang w:eastAsia="zh-CN"/>
        </w:rPr>
      </w:pPr>
      <w:r>
        <w:rPr>
          <w:rFonts w:hint="eastAsia"/>
          <w:spacing w:val="-6"/>
          <w:sz w:val="24"/>
          <w:szCs w:val="24"/>
          <w:lang w:eastAsia="zh-CN"/>
        </w:rPr>
        <w:t>3</w:t>
      </w:r>
      <w:r>
        <w:rPr>
          <w:spacing w:val="-6"/>
          <w:sz w:val="24"/>
          <w:szCs w:val="24"/>
          <w:lang w:eastAsia="zh-CN"/>
        </w:rPr>
        <w:t>.3.1  在供应商须知前附表规定的磋商有效期内， 供应商撤销或修改其磋商</w:t>
      </w:r>
      <w:r>
        <w:rPr>
          <w:sz w:val="24"/>
          <w:szCs w:val="24"/>
          <w:lang w:eastAsia="zh-CN"/>
        </w:rPr>
        <w:t>响应文件的，应承担磋商文件和法律规定的责任。</w:t>
      </w:r>
    </w:p>
    <w:p w14:paraId="1E14BB78">
      <w:pPr>
        <w:pStyle w:val="28"/>
        <w:tabs>
          <w:tab w:val="left" w:pos="2061"/>
        </w:tabs>
        <w:spacing w:line="360" w:lineRule="auto"/>
        <w:ind w:left="480" w:firstLine="0"/>
        <w:jc w:val="both"/>
        <w:rPr>
          <w:sz w:val="24"/>
          <w:szCs w:val="24"/>
          <w:lang w:eastAsia="zh-CN"/>
        </w:rPr>
      </w:pPr>
      <w:r>
        <w:rPr>
          <w:sz w:val="24"/>
          <w:szCs w:val="24"/>
          <w:lang w:eastAsia="zh-CN"/>
        </w:rPr>
        <w:t>3.3.2 出现特殊情况需要延长磋商有效期的，采购人以书面形式通知所有供</w:t>
      </w:r>
      <w:r>
        <w:rPr>
          <w:spacing w:val="-10"/>
          <w:sz w:val="24"/>
          <w:szCs w:val="24"/>
          <w:lang w:eastAsia="zh-CN"/>
        </w:rPr>
        <w:t>应商延长磋商效期。供应商同意延长的，不得要求或被允许修改或撤销其响应文</w:t>
      </w:r>
      <w:r>
        <w:rPr>
          <w:sz w:val="24"/>
          <w:szCs w:val="24"/>
          <w:lang w:eastAsia="zh-CN"/>
        </w:rPr>
        <w:t>件；供应商拒绝延长的，其投标失效。</w:t>
      </w:r>
    </w:p>
    <w:p w14:paraId="5D6E47A9">
      <w:pPr>
        <w:pStyle w:val="5"/>
        <w:tabs>
          <w:tab w:val="left" w:pos="1463"/>
        </w:tabs>
        <w:spacing w:line="360" w:lineRule="auto"/>
        <w:ind w:left="482" w:firstLine="0"/>
        <w:jc w:val="both"/>
        <w:rPr>
          <w:lang w:eastAsia="zh-CN"/>
        </w:rPr>
      </w:pPr>
      <w:bookmarkStart w:id="28" w:name="3.4_磋商保证金"/>
      <w:bookmarkEnd w:id="28"/>
      <w:r>
        <w:rPr>
          <w:rFonts w:hint="eastAsia"/>
          <w:lang w:eastAsia="zh-CN"/>
        </w:rPr>
        <w:t>3</w:t>
      </w:r>
      <w:r>
        <w:rPr>
          <w:lang w:eastAsia="zh-CN"/>
        </w:rPr>
        <w:t>.4  磋商保证金</w:t>
      </w:r>
    </w:p>
    <w:p w14:paraId="59A65B8F">
      <w:pPr>
        <w:pStyle w:val="6"/>
        <w:spacing w:line="360" w:lineRule="auto"/>
        <w:ind w:left="0" w:firstLine="448" w:firstLineChars="200"/>
        <w:jc w:val="both"/>
        <w:rPr>
          <w:lang w:eastAsia="zh-CN"/>
        </w:rPr>
      </w:pPr>
      <w:r>
        <w:rPr>
          <w:spacing w:val="-8"/>
          <w:lang w:eastAsia="zh-CN"/>
        </w:rPr>
        <w:t>按照《河南省财政厅关于优化政府采购营商环境有关问题的通知》</w:t>
      </w:r>
      <w:r>
        <w:rPr>
          <w:lang w:eastAsia="zh-CN"/>
        </w:rPr>
        <w:t>（</w:t>
      </w:r>
      <w:r>
        <w:rPr>
          <w:spacing w:val="-5"/>
          <w:lang w:eastAsia="zh-CN"/>
        </w:rPr>
        <w:t>豫财购</w:t>
      </w:r>
      <w:r>
        <w:rPr>
          <w:lang w:eastAsia="zh-CN"/>
        </w:rPr>
        <w:t>[2019]4 号文）的要求本项目不再收取磋商供应商磋商保证金。</w:t>
      </w:r>
    </w:p>
    <w:p w14:paraId="3E4BE5B2">
      <w:pPr>
        <w:pStyle w:val="28"/>
        <w:tabs>
          <w:tab w:val="left" w:pos="1463"/>
        </w:tabs>
        <w:spacing w:line="360" w:lineRule="auto"/>
        <w:ind w:left="476" w:firstLine="0"/>
        <w:rPr>
          <w:sz w:val="24"/>
          <w:szCs w:val="24"/>
          <w:lang w:eastAsia="zh-CN"/>
        </w:rPr>
      </w:pPr>
      <w:bookmarkStart w:id="29" w:name="3.5_资格审查资料"/>
      <w:bookmarkEnd w:id="29"/>
      <w:r>
        <w:rPr>
          <w:rFonts w:hint="eastAsia"/>
          <w:b/>
          <w:spacing w:val="-3"/>
          <w:sz w:val="24"/>
          <w:szCs w:val="24"/>
          <w:lang w:eastAsia="zh-CN"/>
        </w:rPr>
        <w:t>3</w:t>
      </w:r>
      <w:r>
        <w:rPr>
          <w:b/>
          <w:spacing w:val="-3"/>
          <w:sz w:val="24"/>
          <w:szCs w:val="24"/>
          <w:lang w:eastAsia="zh-CN"/>
        </w:rPr>
        <w:t>.5 资格审查资料</w:t>
      </w:r>
      <w:bookmarkStart w:id="30" w:name="详见供应商须知表"/>
      <w:bookmarkEnd w:id="30"/>
    </w:p>
    <w:p w14:paraId="2087CD20">
      <w:pPr>
        <w:pStyle w:val="28"/>
        <w:tabs>
          <w:tab w:val="left" w:pos="1463"/>
        </w:tabs>
        <w:spacing w:line="360" w:lineRule="auto"/>
        <w:ind w:left="476" w:firstLine="0"/>
        <w:rPr>
          <w:sz w:val="24"/>
          <w:szCs w:val="24"/>
          <w:lang w:eastAsia="zh-CN"/>
        </w:rPr>
      </w:pPr>
      <w:r>
        <w:rPr>
          <w:spacing w:val="-2"/>
          <w:sz w:val="24"/>
          <w:szCs w:val="24"/>
          <w:lang w:eastAsia="zh-CN"/>
        </w:rPr>
        <w:t>详见供应商须知表</w:t>
      </w:r>
    </w:p>
    <w:p w14:paraId="65FA1D1D">
      <w:pPr>
        <w:pStyle w:val="5"/>
        <w:spacing w:line="360" w:lineRule="auto"/>
        <w:ind w:left="0" w:firstLine="482" w:firstLineChars="200"/>
        <w:rPr>
          <w:lang w:eastAsia="zh-CN"/>
        </w:rPr>
      </w:pPr>
      <w:bookmarkStart w:id="31" w:name=" 3.6_备选投标方案"/>
      <w:bookmarkEnd w:id="31"/>
      <w:r>
        <w:rPr>
          <w:lang w:eastAsia="zh-CN"/>
        </w:rPr>
        <w:t>3.6 备选投标方案</w:t>
      </w:r>
    </w:p>
    <w:p w14:paraId="1E098D42">
      <w:pPr>
        <w:adjustRightInd w:val="0"/>
        <w:spacing w:line="360" w:lineRule="auto"/>
        <w:ind w:firstLine="480" w:firstLineChars="200"/>
        <w:rPr>
          <w:rFonts w:hAnsiTheme="minorHAnsi"/>
          <w:sz w:val="24"/>
          <w:szCs w:val="24"/>
          <w:lang w:eastAsia="zh-CN"/>
        </w:rPr>
      </w:pPr>
      <w:r>
        <w:rPr>
          <w:rFonts w:hint="eastAsia" w:hAnsiTheme="minorHAnsi"/>
          <w:sz w:val="24"/>
          <w:szCs w:val="24"/>
          <w:lang w:eastAsia="zh-CN"/>
        </w:rPr>
        <w:t>供应商不得递交备选投标方案。</w:t>
      </w:r>
    </w:p>
    <w:p w14:paraId="2BFC0AB3">
      <w:pPr>
        <w:adjustRightInd w:val="0"/>
        <w:spacing w:line="360" w:lineRule="auto"/>
        <w:ind w:firstLine="482" w:firstLineChars="200"/>
        <w:rPr>
          <w:rFonts w:hAnsiTheme="minorHAnsi"/>
          <w:b/>
          <w:sz w:val="24"/>
          <w:szCs w:val="24"/>
          <w:lang w:eastAsia="zh-CN"/>
        </w:rPr>
      </w:pPr>
      <w:r>
        <w:rPr>
          <w:rFonts w:hAnsiTheme="minorHAnsi"/>
          <w:b/>
          <w:sz w:val="24"/>
          <w:szCs w:val="24"/>
          <w:lang w:eastAsia="zh-CN"/>
        </w:rPr>
        <w:t xml:space="preserve">3.7 </w:t>
      </w:r>
      <w:r>
        <w:rPr>
          <w:rFonts w:hint="eastAsia" w:hAnsiTheme="minorHAnsi"/>
          <w:b/>
          <w:sz w:val="24"/>
          <w:szCs w:val="24"/>
          <w:lang w:eastAsia="zh-CN"/>
        </w:rPr>
        <w:t>响应文件的编制</w:t>
      </w:r>
    </w:p>
    <w:p w14:paraId="483C6803">
      <w:pPr>
        <w:adjustRightInd w:val="0"/>
        <w:spacing w:line="360" w:lineRule="auto"/>
        <w:ind w:firstLine="480" w:firstLineChars="200"/>
        <w:rPr>
          <w:rFonts w:hAnsiTheme="minorHAnsi"/>
          <w:sz w:val="24"/>
          <w:szCs w:val="24"/>
          <w:lang w:eastAsia="zh-CN"/>
        </w:rPr>
      </w:pPr>
      <w:r>
        <w:rPr>
          <w:rFonts w:hAnsiTheme="minorHAnsi"/>
          <w:sz w:val="24"/>
          <w:szCs w:val="24"/>
          <w:lang w:eastAsia="zh-CN"/>
        </w:rPr>
        <w:t xml:space="preserve">3.7.1 </w:t>
      </w:r>
      <w:r>
        <w:rPr>
          <w:rFonts w:hint="eastAsia" w:hAnsiTheme="minorHAnsi"/>
          <w:sz w:val="24"/>
          <w:szCs w:val="24"/>
          <w:lang w:eastAsia="zh-CN"/>
        </w:rPr>
        <w:t>磋商响应文件可按第六章“响应文件格式”进行编写，如有必要，可以增加附页作为磋商响应文件的组成部分。其中，磋商函附录在满足竞争性磋商文件实质性要求的基础上，可以提出比竞争性磋商文件要求更有利于采购人的承诺。</w:t>
      </w:r>
    </w:p>
    <w:p w14:paraId="16C023DE">
      <w:pPr>
        <w:adjustRightInd w:val="0"/>
        <w:spacing w:line="360" w:lineRule="auto"/>
        <w:ind w:firstLine="480" w:firstLineChars="200"/>
        <w:rPr>
          <w:rFonts w:hAnsiTheme="minorHAnsi"/>
          <w:sz w:val="24"/>
          <w:szCs w:val="24"/>
          <w:lang w:eastAsia="zh-CN"/>
        </w:rPr>
      </w:pPr>
      <w:r>
        <w:rPr>
          <w:rFonts w:hAnsiTheme="minorHAnsi"/>
          <w:sz w:val="24"/>
          <w:szCs w:val="24"/>
          <w:lang w:eastAsia="zh-CN"/>
        </w:rPr>
        <w:t xml:space="preserve">3.7.2 </w:t>
      </w:r>
      <w:r>
        <w:rPr>
          <w:rFonts w:hint="eastAsia" w:hAnsiTheme="minorHAnsi"/>
          <w:sz w:val="24"/>
          <w:szCs w:val="24"/>
          <w:lang w:eastAsia="zh-CN"/>
        </w:rPr>
        <w:t>磋商响应文件应当对磋商文件有关项目服务周期、磋商有效期、质量要求、磋商范围等实质性内容作出响应。</w:t>
      </w:r>
    </w:p>
    <w:p w14:paraId="7DD4E6CF">
      <w:pPr>
        <w:spacing w:line="360" w:lineRule="auto"/>
        <w:ind w:firstLine="482" w:firstLineChars="200"/>
        <w:rPr>
          <w:b/>
          <w:sz w:val="24"/>
          <w:szCs w:val="24"/>
          <w:lang w:eastAsia="zh-CN"/>
        </w:rPr>
      </w:pPr>
      <w:r>
        <w:rPr>
          <w:b/>
          <w:sz w:val="24"/>
          <w:szCs w:val="24"/>
          <w:lang w:eastAsia="zh-CN"/>
        </w:rPr>
        <w:t>4.投标</w:t>
      </w:r>
    </w:p>
    <w:p w14:paraId="0AF7BABF">
      <w:pPr>
        <w:pStyle w:val="5"/>
        <w:tabs>
          <w:tab w:val="left" w:pos="1463"/>
        </w:tabs>
        <w:spacing w:line="360" w:lineRule="auto"/>
        <w:ind w:left="482" w:firstLine="0"/>
        <w:jc w:val="both"/>
        <w:rPr>
          <w:lang w:eastAsia="zh-CN"/>
        </w:rPr>
      </w:pPr>
      <w:bookmarkStart w:id="32" w:name="4.1_磋商响应文件的签署"/>
      <w:bookmarkEnd w:id="32"/>
      <w:r>
        <w:rPr>
          <w:rFonts w:hint="eastAsia"/>
          <w:lang w:eastAsia="zh-CN"/>
        </w:rPr>
        <w:t>4</w:t>
      </w:r>
      <w:r>
        <w:rPr>
          <w:lang w:eastAsia="zh-CN"/>
        </w:rPr>
        <w:t>.1  磋商响应文件的签署</w:t>
      </w:r>
    </w:p>
    <w:p w14:paraId="7A93B402">
      <w:pPr>
        <w:pStyle w:val="28"/>
        <w:tabs>
          <w:tab w:val="left" w:pos="2106"/>
        </w:tabs>
        <w:spacing w:line="360" w:lineRule="auto"/>
        <w:ind w:left="474" w:firstLine="0"/>
        <w:jc w:val="both"/>
        <w:rPr>
          <w:spacing w:val="-10"/>
          <w:sz w:val="24"/>
          <w:szCs w:val="24"/>
          <w:lang w:eastAsia="zh-CN"/>
        </w:rPr>
      </w:pPr>
      <w:r>
        <w:rPr>
          <w:rFonts w:hint="eastAsia"/>
          <w:spacing w:val="-3"/>
          <w:sz w:val="24"/>
          <w:szCs w:val="24"/>
          <w:lang w:eastAsia="zh-CN"/>
        </w:rPr>
        <w:t>4</w:t>
      </w:r>
      <w:r>
        <w:rPr>
          <w:spacing w:val="-3"/>
          <w:sz w:val="24"/>
          <w:szCs w:val="24"/>
          <w:lang w:eastAsia="zh-CN"/>
        </w:rPr>
        <w:t>.1.1 供应商在进行电子化磋商响应文件签章时，竞争性磋商文件中要求供</w:t>
      </w:r>
      <w:r>
        <w:rPr>
          <w:spacing w:val="-10"/>
          <w:sz w:val="24"/>
          <w:szCs w:val="24"/>
          <w:lang w:eastAsia="zh-CN"/>
        </w:rPr>
        <w:t>应商盖章的，</w:t>
      </w:r>
    </w:p>
    <w:p w14:paraId="4EA46555">
      <w:pPr>
        <w:tabs>
          <w:tab w:val="left" w:pos="2106"/>
        </w:tabs>
        <w:spacing w:line="360" w:lineRule="auto"/>
        <w:jc w:val="both"/>
        <w:rPr>
          <w:sz w:val="24"/>
          <w:szCs w:val="24"/>
          <w:lang w:eastAsia="zh-CN"/>
        </w:rPr>
      </w:pPr>
      <w:r>
        <w:rPr>
          <w:spacing w:val="-10"/>
          <w:sz w:val="24"/>
          <w:szCs w:val="24"/>
          <w:lang w:eastAsia="zh-CN"/>
        </w:rPr>
        <w:t>以签盖单位章为准；要求法定代表人签章的，以签盖法定代表人签</w:t>
      </w:r>
      <w:r>
        <w:rPr>
          <w:spacing w:val="-2"/>
          <w:sz w:val="24"/>
          <w:szCs w:val="24"/>
          <w:lang w:eastAsia="zh-CN"/>
        </w:rPr>
        <w:t xml:space="preserve">章为准。电子化磋商响应文件具体制作教材请供应商通过 </w:t>
      </w:r>
      <w:r>
        <w:rPr>
          <w:sz w:val="24"/>
          <w:szCs w:val="24"/>
          <w:lang w:eastAsia="zh-CN"/>
        </w:rPr>
        <w:t>CA</w:t>
      </w:r>
      <w:r>
        <w:rPr>
          <w:spacing w:val="-9"/>
          <w:sz w:val="24"/>
          <w:szCs w:val="24"/>
          <w:lang w:eastAsia="zh-CN"/>
        </w:rPr>
        <w:t xml:space="preserve"> 证书登录三门峡市</w:t>
      </w:r>
      <w:r>
        <w:rPr>
          <w:sz w:val="24"/>
          <w:szCs w:val="24"/>
          <w:lang w:eastAsia="zh-CN"/>
        </w:rPr>
        <w:t>公共资源电子化交易系统在右上角“组件下载”中查看。</w:t>
      </w:r>
    </w:p>
    <w:p w14:paraId="552304FD">
      <w:pPr>
        <w:pStyle w:val="5"/>
        <w:tabs>
          <w:tab w:val="left" w:pos="1703"/>
        </w:tabs>
        <w:spacing w:line="360" w:lineRule="auto"/>
        <w:ind w:left="482" w:firstLine="0"/>
        <w:jc w:val="both"/>
        <w:rPr>
          <w:lang w:eastAsia="zh-CN"/>
        </w:rPr>
      </w:pPr>
      <w:bookmarkStart w:id="33" w:name="4.2_磋商响应文件的上传"/>
      <w:bookmarkEnd w:id="33"/>
      <w:r>
        <w:rPr>
          <w:rFonts w:hint="eastAsia"/>
          <w:lang w:eastAsia="zh-CN"/>
        </w:rPr>
        <w:t>4</w:t>
      </w:r>
      <w:r>
        <w:rPr>
          <w:lang w:eastAsia="zh-CN"/>
        </w:rPr>
        <w:t>.2  磋商响应文件的上传</w:t>
      </w:r>
    </w:p>
    <w:p w14:paraId="1F7E9D2E">
      <w:pPr>
        <w:pStyle w:val="6"/>
        <w:spacing w:line="360" w:lineRule="auto"/>
        <w:ind w:left="0" w:firstLine="488" w:firstLineChars="200"/>
        <w:jc w:val="both"/>
        <w:rPr>
          <w:lang w:eastAsia="zh-CN"/>
        </w:rPr>
      </w:pPr>
      <w:r>
        <w:rPr>
          <w:spacing w:val="2"/>
          <w:lang w:eastAsia="zh-CN"/>
        </w:rPr>
        <w:t>电子化磋商响应文件应在投标截止时间前成功上传至三门峡市公共资源电</w:t>
      </w:r>
      <w:r>
        <w:rPr>
          <w:spacing w:val="-10"/>
          <w:lang w:eastAsia="zh-CN"/>
        </w:rPr>
        <w:t>子化交易系统。至投标截止时间止，仍未上传成功的电子化磋商响应文件将不予</w:t>
      </w:r>
      <w:r>
        <w:rPr>
          <w:lang w:eastAsia="zh-CN"/>
        </w:rPr>
        <w:t>接收。</w:t>
      </w:r>
    </w:p>
    <w:p w14:paraId="2118C91F">
      <w:pPr>
        <w:spacing w:line="360" w:lineRule="auto"/>
        <w:ind w:firstLine="432" w:firstLineChars="200"/>
        <w:rPr>
          <w:b/>
          <w:sz w:val="24"/>
          <w:szCs w:val="24"/>
          <w:lang w:eastAsia="zh-CN"/>
        </w:rPr>
      </w:pPr>
      <w:r>
        <w:rPr>
          <w:spacing w:val="-12"/>
          <w:sz w:val="24"/>
          <w:szCs w:val="24"/>
          <w:lang w:eastAsia="zh-CN"/>
        </w:rPr>
        <w:t xml:space="preserve">注：如按照电子化投标操作教材制作完成的电子化磋商响应文件无法上传的， </w:t>
      </w:r>
      <w:r>
        <w:rPr>
          <w:sz w:val="24"/>
          <w:szCs w:val="24"/>
          <w:lang w:eastAsia="zh-CN"/>
        </w:rPr>
        <w:t>供应商应在</w:t>
      </w:r>
      <w:r>
        <w:rPr>
          <w:b/>
          <w:sz w:val="24"/>
          <w:szCs w:val="24"/>
          <w:lang w:eastAsia="zh-CN"/>
        </w:rPr>
        <w:t>投标截止时间前尽早的</w:t>
      </w:r>
      <w:r>
        <w:rPr>
          <w:spacing w:val="-10"/>
          <w:sz w:val="24"/>
          <w:szCs w:val="24"/>
          <w:lang w:eastAsia="zh-CN"/>
        </w:rPr>
        <w:t>联系中心技术人员，以便有充分的时间进行处</w:t>
      </w:r>
      <w:r>
        <w:rPr>
          <w:spacing w:val="-3"/>
          <w:sz w:val="24"/>
          <w:szCs w:val="24"/>
          <w:lang w:eastAsia="zh-CN"/>
        </w:rPr>
        <w:t>理。</w:t>
      </w:r>
      <w:r>
        <w:rPr>
          <w:b/>
          <w:sz w:val="24"/>
          <w:szCs w:val="24"/>
          <w:lang w:eastAsia="zh-CN"/>
        </w:rPr>
        <w:t>供应商应充分考虑到处理技术问题和上传数据等工作所需的时间问题，电</w:t>
      </w:r>
      <w:r>
        <w:rPr>
          <w:b/>
          <w:spacing w:val="-1"/>
          <w:sz w:val="24"/>
          <w:szCs w:val="24"/>
          <w:lang w:eastAsia="zh-CN"/>
        </w:rPr>
        <w:t>子化磋商响应文件未在投标截止时间前成功上传的，其磋商响应文件不予接收。</w:t>
      </w:r>
    </w:p>
    <w:p w14:paraId="1D09AD37">
      <w:pPr>
        <w:pStyle w:val="5"/>
        <w:tabs>
          <w:tab w:val="left" w:pos="1463"/>
        </w:tabs>
        <w:spacing w:line="360" w:lineRule="auto"/>
        <w:ind w:left="482" w:firstLine="0"/>
        <w:rPr>
          <w:lang w:eastAsia="zh-CN"/>
        </w:rPr>
      </w:pPr>
      <w:bookmarkStart w:id="34" w:name="4.3_响应文件的修改与撤回"/>
      <w:bookmarkEnd w:id="34"/>
      <w:r>
        <w:rPr>
          <w:rFonts w:hint="eastAsia"/>
          <w:lang w:eastAsia="zh-CN"/>
        </w:rPr>
        <w:t>4</w:t>
      </w:r>
      <w:r>
        <w:rPr>
          <w:lang w:eastAsia="zh-CN"/>
        </w:rPr>
        <w:t>.3  响应文件的修改与撤回</w:t>
      </w:r>
    </w:p>
    <w:p w14:paraId="0059BC42">
      <w:pPr>
        <w:pStyle w:val="28"/>
        <w:tabs>
          <w:tab w:val="left" w:pos="2180"/>
        </w:tabs>
        <w:spacing w:line="360" w:lineRule="auto"/>
        <w:ind w:left="480" w:firstLine="0"/>
        <w:rPr>
          <w:sz w:val="24"/>
          <w:szCs w:val="24"/>
          <w:lang w:eastAsia="zh-CN"/>
        </w:rPr>
      </w:pPr>
      <w:r>
        <w:rPr>
          <w:rFonts w:hint="eastAsia"/>
          <w:sz w:val="24"/>
          <w:szCs w:val="24"/>
          <w:lang w:eastAsia="zh-CN"/>
        </w:rPr>
        <w:t>4</w:t>
      </w:r>
      <w:r>
        <w:rPr>
          <w:sz w:val="24"/>
          <w:szCs w:val="24"/>
          <w:lang w:eastAsia="zh-CN"/>
        </w:rPr>
        <w:t>.3.1  在规定的投标截止时间前，供应商可以修改或撤回响应文件。</w:t>
      </w:r>
    </w:p>
    <w:p w14:paraId="0149C37E">
      <w:pPr>
        <w:pStyle w:val="28"/>
        <w:tabs>
          <w:tab w:val="left" w:pos="2061"/>
        </w:tabs>
        <w:spacing w:line="360" w:lineRule="auto"/>
        <w:ind w:left="480" w:firstLine="0"/>
        <w:rPr>
          <w:sz w:val="24"/>
          <w:szCs w:val="24"/>
          <w:lang w:eastAsia="zh-CN"/>
        </w:rPr>
      </w:pPr>
      <w:r>
        <w:rPr>
          <w:rFonts w:hint="eastAsia"/>
          <w:sz w:val="24"/>
          <w:szCs w:val="24"/>
          <w:lang w:eastAsia="zh-CN"/>
        </w:rPr>
        <w:t>4</w:t>
      </w:r>
      <w:r>
        <w:rPr>
          <w:sz w:val="24"/>
          <w:szCs w:val="24"/>
          <w:lang w:eastAsia="zh-CN"/>
        </w:rPr>
        <w:t>.3.2  在投标截止时间之后，供应商不得补充、修改电子化磋商响应文件。</w:t>
      </w:r>
    </w:p>
    <w:p w14:paraId="1AE25301">
      <w:pPr>
        <w:pStyle w:val="5"/>
        <w:tabs>
          <w:tab w:val="left" w:pos="1341"/>
        </w:tabs>
        <w:spacing w:line="360" w:lineRule="auto"/>
        <w:ind w:left="0" w:right="964" w:firstLine="482" w:firstLineChars="200"/>
        <w:rPr>
          <w:lang w:eastAsia="zh-CN"/>
        </w:rPr>
      </w:pPr>
      <w:r>
        <w:rPr>
          <w:rFonts w:hint="eastAsia"/>
          <w:lang w:eastAsia="zh-CN"/>
        </w:rPr>
        <w:t>5</w:t>
      </w:r>
      <w:r>
        <w:rPr>
          <w:lang w:eastAsia="zh-CN"/>
        </w:rPr>
        <w:t>.磋商</w:t>
      </w:r>
    </w:p>
    <w:p w14:paraId="5188F49D">
      <w:pPr>
        <w:pageBreakBefore w:val="0"/>
        <w:kinsoku/>
        <w:wordWrap/>
        <w:overflowPunct/>
        <w:topLinePunct w:val="0"/>
        <w:bidi w:val="0"/>
        <w:spacing w:after="0" w:afterAutospacing="0" w:line="440" w:lineRule="exact"/>
        <w:ind w:firstLine="478" w:firstLineChars="200"/>
        <w:rPr>
          <w:rFonts w:hint="eastAsia" w:asciiTheme="minorEastAsia" w:hAnsiTheme="minorEastAsia" w:eastAsiaTheme="minorEastAsia" w:cstheme="minorEastAsia"/>
          <w:color w:val="auto"/>
          <w:sz w:val="24"/>
          <w:szCs w:val="24"/>
        </w:rPr>
      </w:pPr>
      <w:r>
        <w:rPr>
          <w:b/>
          <w:spacing w:val="-1"/>
          <w:sz w:val="24"/>
          <w:szCs w:val="24"/>
          <w:lang w:eastAsia="zh-CN"/>
        </w:rPr>
        <w:t xml:space="preserve">  </w:t>
      </w:r>
      <w:r>
        <w:rPr>
          <w:rFonts w:hint="eastAsia" w:asciiTheme="minorEastAsia" w:hAnsiTheme="minorEastAsia" w:eastAsiaTheme="minorEastAsia" w:cstheme="minorEastAsia"/>
          <w:color w:val="auto"/>
          <w:sz w:val="24"/>
          <w:szCs w:val="24"/>
        </w:rPr>
        <w:t>磋商时间和地点</w:t>
      </w:r>
    </w:p>
    <w:p w14:paraId="401B68C0">
      <w:pPr>
        <w:pageBreakBefore w:val="0"/>
        <w:kinsoku/>
        <w:wordWrap/>
        <w:overflowPunct/>
        <w:topLinePunct w:val="0"/>
        <w:bidi w:val="0"/>
        <w:spacing w:after="0" w:afterAutospacing="0" w:line="44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采购人在本磋商文件规定的响应文件递交截止时间（磋商时间）和地点竞争性磋商。</w:t>
      </w:r>
    </w:p>
    <w:p w14:paraId="7BFE600B">
      <w:pPr>
        <w:pageBreakBefore w:val="0"/>
        <w:kinsoku/>
        <w:wordWrap/>
        <w:overflowPunct/>
        <w:topLinePunct w:val="0"/>
        <w:bidi w:val="0"/>
        <w:spacing w:after="0" w:afterAutospacing="0" w:line="440" w:lineRule="exact"/>
        <w:ind w:firstLine="480" w:firstLineChars="200"/>
        <w:rPr>
          <w:rFonts w:hint="eastAsia" w:asciiTheme="minorEastAsia" w:hAnsiTheme="minorEastAsia" w:eastAsiaTheme="minorEastAsia" w:cstheme="minorEastAsia"/>
          <w:color w:val="auto"/>
          <w:sz w:val="24"/>
          <w:szCs w:val="24"/>
          <w:lang w:eastAsia="zh-CN"/>
        </w:rPr>
      </w:pPr>
    </w:p>
    <w:p w14:paraId="24C7429F">
      <w:pPr>
        <w:pStyle w:val="5"/>
        <w:tabs>
          <w:tab w:val="left" w:pos="1703"/>
        </w:tabs>
        <w:spacing w:line="360" w:lineRule="auto"/>
        <w:ind w:left="0" w:firstLine="482" w:firstLineChars="200"/>
        <w:rPr>
          <w:lang w:eastAsia="zh-CN"/>
        </w:rPr>
      </w:pPr>
      <w:r>
        <w:rPr>
          <w:rFonts w:hint="eastAsia"/>
          <w:lang w:eastAsia="zh-CN"/>
        </w:rPr>
        <w:t>5</w:t>
      </w:r>
      <w:r>
        <w:rPr>
          <w:lang w:eastAsia="zh-CN"/>
        </w:rPr>
        <w:t>.3 电子化磋商响应文件解密异常的处理</w:t>
      </w:r>
    </w:p>
    <w:p w14:paraId="03DD0C52">
      <w:pPr>
        <w:pStyle w:val="6"/>
        <w:spacing w:line="360" w:lineRule="auto"/>
        <w:ind w:left="0" w:firstLine="480" w:firstLineChars="200"/>
        <w:rPr>
          <w:lang w:eastAsia="zh-CN"/>
        </w:rPr>
      </w:pPr>
      <w:r>
        <w:rPr>
          <w:lang w:eastAsia="zh-CN"/>
        </w:rPr>
        <w:t>如出现供应商的电子磋商响应文件无法解密等异常情况，供应商应及时致电中介服务机构说明。磋商响应文件异常，按以下步骤进行处理：</w:t>
      </w:r>
    </w:p>
    <w:p w14:paraId="7221CEC5">
      <w:pPr>
        <w:pStyle w:val="28"/>
        <w:tabs>
          <w:tab w:val="left" w:pos="2004"/>
        </w:tabs>
        <w:spacing w:line="360" w:lineRule="auto"/>
        <w:ind w:left="480" w:firstLine="0"/>
        <w:rPr>
          <w:sz w:val="24"/>
          <w:szCs w:val="24"/>
          <w:lang w:eastAsia="zh-CN"/>
        </w:rPr>
      </w:pPr>
      <w:r>
        <w:rPr>
          <w:rFonts w:hint="eastAsia"/>
          <w:sz w:val="24"/>
          <w:szCs w:val="24"/>
          <w:lang w:eastAsia="zh-CN"/>
        </w:rPr>
        <w:t>⑴</w:t>
      </w:r>
      <w:r>
        <w:rPr>
          <w:sz w:val="24"/>
          <w:szCs w:val="24"/>
          <w:lang w:eastAsia="zh-CN"/>
        </w:rPr>
        <w:t>首先由技术人员进行问题排查。</w:t>
      </w:r>
    </w:p>
    <w:p w14:paraId="314B5349">
      <w:pPr>
        <w:pStyle w:val="28"/>
        <w:tabs>
          <w:tab w:val="left" w:pos="2010"/>
        </w:tabs>
        <w:spacing w:line="360" w:lineRule="auto"/>
        <w:ind w:left="480" w:firstLine="0"/>
        <w:rPr>
          <w:sz w:val="24"/>
          <w:szCs w:val="24"/>
          <w:lang w:eastAsia="zh-CN"/>
        </w:rPr>
      </w:pPr>
      <w:r>
        <w:rPr>
          <w:rFonts w:hint="eastAsia"/>
          <w:sz w:val="24"/>
          <w:szCs w:val="24"/>
          <w:lang w:eastAsia="zh-CN"/>
        </w:rPr>
        <w:t>⑵</w:t>
      </w:r>
      <w:r>
        <w:rPr>
          <w:sz w:val="24"/>
          <w:szCs w:val="24"/>
          <w:lang w:eastAsia="zh-CN"/>
        </w:rPr>
        <w:t>经技术人员排查后，是供应商文件自身问题导致磋商响应文件无法解密的，该磋商响应文件将不予接收、解密和唱标。开标会议继续进行。</w:t>
      </w:r>
    </w:p>
    <w:p w14:paraId="64FF6DF2">
      <w:pPr>
        <w:pStyle w:val="28"/>
        <w:tabs>
          <w:tab w:val="left" w:pos="2010"/>
        </w:tabs>
        <w:spacing w:line="360" w:lineRule="auto"/>
        <w:ind w:left="480" w:firstLine="0"/>
        <w:rPr>
          <w:sz w:val="24"/>
          <w:szCs w:val="24"/>
          <w:lang w:eastAsia="zh-CN"/>
        </w:rPr>
      </w:pPr>
      <w:r>
        <w:rPr>
          <w:rFonts w:hint="eastAsia"/>
          <w:sz w:val="24"/>
          <w:szCs w:val="24"/>
          <w:lang w:eastAsia="zh-CN"/>
        </w:rPr>
        <w:t>⑶</w:t>
      </w:r>
      <w:r>
        <w:rPr>
          <w:sz w:val="24"/>
          <w:szCs w:val="24"/>
          <w:lang w:eastAsia="zh-CN"/>
        </w:rPr>
        <w:t>经技术人员排查后，如果是电子化交易系统问题造成磋商响应文件无</w:t>
      </w:r>
      <w:r>
        <w:rPr>
          <w:spacing w:val="-10"/>
          <w:sz w:val="24"/>
          <w:szCs w:val="24"/>
          <w:lang w:eastAsia="zh-CN"/>
        </w:rPr>
        <w:t>法解密的，将由技术人员对问题进行处理。如短时间内问题无法解决的，将由中</w:t>
      </w:r>
      <w:r>
        <w:rPr>
          <w:spacing w:val="-7"/>
          <w:sz w:val="24"/>
          <w:szCs w:val="24"/>
          <w:lang w:eastAsia="zh-CN"/>
        </w:rPr>
        <w:t>介服务机构向监督部门申请，经监督部门同意后，暂停开标会议，待问题解决后</w:t>
      </w:r>
      <w:r>
        <w:rPr>
          <w:sz w:val="24"/>
          <w:szCs w:val="24"/>
          <w:lang w:eastAsia="zh-CN"/>
        </w:rPr>
        <w:t>继续开标。</w:t>
      </w:r>
    </w:p>
    <w:p w14:paraId="0E5CE476">
      <w:pPr>
        <w:pStyle w:val="5"/>
        <w:tabs>
          <w:tab w:val="left" w:pos="1703"/>
        </w:tabs>
        <w:spacing w:line="360" w:lineRule="auto"/>
        <w:ind w:left="482" w:right="964" w:firstLine="0"/>
        <w:rPr>
          <w:lang w:eastAsia="zh-CN"/>
        </w:rPr>
      </w:pPr>
      <w:r>
        <w:rPr>
          <w:rFonts w:hint="eastAsia"/>
          <w:lang w:eastAsia="zh-CN"/>
        </w:rPr>
        <w:t>5</w:t>
      </w:r>
      <w:r>
        <w:rPr>
          <w:lang w:eastAsia="zh-CN"/>
        </w:rPr>
        <w:t>.4 磋商小组</w:t>
      </w:r>
    </w:p>
    <w:p w14:paraId="203A74BF">
      <w:pPr>
        <w:tabs>
          <w:tab w:val="left" w:pos="2120"/>
        </w:tabs>
        <w:spacing w:line="360" w:lineRule="auto"/>
        <w:ind w:firstLine="464" w:firstLineChars="200"/>
        <w:rPr>
          <w:spacing w:val="-14"/>
          <w:sz w:val="24"/>
          <w:szCs w:val="24"/>
          <w:lang w:eastAsia="zh-CN"/>
        </w:rPr>
      </w:pPr>
      <w:r>
        <w:rPr>
          <w:rFonts w:hint="eastAsia"/>
          <w:spacing w:val="-4"/>
          <w:sz w:val="24"/>
          <w:szCs w:val="24"/>
          <w:lang w:eastAsia="zh-CN"/>
        </w:rPr>
        <w:t>5</w:t>
      </w:r>
      <w:r>
        <w:rPr>
          <w:spacing w:val="-4"/>
          <w:sz w:val="24"/>
          <w:szCs w:val="24"/>
          <w:lang w:eastAsia="zh-CN"/>
        </w:rPr>
        <w:t>.4.1  磋商小组由采购人代表和评审专家共</w:t>
      </w:r>
      <w:r>
        <w:rPr>
          <w:sz w:val="24"/>
          <w:szCs w:val="24"/>
          <w:lang w:eastAsia="zh-CN"/>
        </w:rPr>
        <w:t>3</w:t>
      </w:r>
      <w:r>
        <w:rPr>
          <w:spacing w:val="-11"/>
          <w:sz w:val="24"/>
          <w:szCs w:val="24"/>
          <w:lang w:eastAsia="zh-CN"/>
        </w:rPr>
        <w:t>人以上单数组成，其中采购人</w:t>
      </w:r>
      <w:r>
        <w:rPr>
          <w:spacing w:val="-20"/>
          <w:sz w:val="24"/>
          <w:szCs w:val="24"/>
          <w:lang w:eastAsia="zh-CN"/>
        </w:rPr>
        <w:t>代表</w:t>
      </w:r>
      <w:r>
        <w:rPr>
          <w:sz w:val="24"/>
          <w:szCs w:val="24"/>
          <w:lang w:eastAsia="zh-CN"/>
        </w:rPr>
        <w:t>1</w:t>
      </w:r>
      <w:r>
        <w:rPr>
          <w:spacing w:val="-14"/>
          <w:sz w:val="24"/>
          <w:szCs w:val="24"/>
          <w:lang w:eastAsia="zh-CN"/>
        </w:rPr>
        <w:t>人，</w:t>
      </w:r>
    </w:p>
    <w:p w14:paraId="07E947BD">
      <w:pPr>
        <w:tabs>
          <w:tab w:val="left" w:pos="2120"/>
        </w:tabs>
        <w:spacing w:line="360" w:lineRule="auto"/>
        <w:rPr>
          <w:sz w:val="24"/>
          <w:szCs w:val="24"/>
          <w:lang w:eastAsia="zh-CN"/>
        </w:rPr>
      </w:pPr>
      <w:r>
        <w:rPr>
          <w:spacing w:val="-14"/>
          <w:sz w:val="24"/>
          <w:szCs w:val="24"/>
          <w:lang w:eastAsia="zh-CN"/>
        </w:rPr>
        <w:t>其余评审专家</w:t>
      </w:r>
      <w:r>
        <w:rPr>
          <w:sz w:val="24"/>
          <w:szCs w:val="24"/>
          <w:lang w:eastAsia="zh-CN"/>
        </w:rPr>
        <w:t>2</w:t>
      </w:r>
      <w:r>
        <w:rPr>
          <w:spacing w:val="-8"/>
          <w:sz w:val="24"/>
          <w:szCs w:val="24"/>
          <w:lang w:eastAsia="zh-CN"/>
        </w:rPr>
        <w:t>人从相关评标专家库中随机抽取。</w:t>
      </w:r>
    </w:p>
    <w:p w14:paraId="7CFC3DAF">
      <w:pPr>
        <w:pStyle w:val="28"/>
        <w:tabs>
          <w:tab w:val="left" w:pos="2120"/>
        </w:tabs>
        <w:spacing w:line="360" w:lineRule="auto"/>
        <w:ind w:left="0" w:leftChars="0" w:firstLine="468" w:firstLineChars="200"/>
        <w:rPr>
          <w:sz w:val="24"/>
          <w:szCs w:val="24"/>
          <w:lang w:eastAsia="zh-CN"/>
        </w:rPr>
      </w:pPr>
      <w:r>
        <w:rPr>
          <w:spacing w:val="-3"/>
          <w:sz w:val="24"/>
          <w:szCs w:val="24"/>
          <w:lang w:eastAsia="zh-CN"/>
        </w:rPr>
        <w:t>5.4.2  磋商小组对所有供应商的磋商响应文件进行评审，按评审后得分由高</w:t>
      </w:r>
      <w:r>
        <w:rPr>
          <w:sz w:val="24"/>
          <w:szCs w:val="24"/>
          <w:lang w:eastAsia="zh-CN"/>
        </w:rPr>
        <w:t>到低顺序排列，递交给采购人。</w:t>
      </w:r>
    </w:p>
    <w:p w14:paraId="5E8E3E1C">
      <w:pPr>
        <w:pStyle w:val="28"/>
        <w:tabs>
          <w:tab w:val="left" w:pos="2120"/>
        </w:tabs>
        <w:spacing w:line="360" w:lineRule="auto"/>
        <w:ind w:left="0" w:leftChars="0" w:firstLine="468" w:firstLineChars="200"/>
        <w:rPr>
          <w:spacing w:val="-4"/>
          <w:sz w:val="24"/>
          <w:szCs w:val="24"/>
          <w:lang w:eastAsia="zh-CN"/>
        </w:rPr>
      </w:pPr>
      <w:r>
        <w:rPr>
          <w:rFonts w:hint="eastAsia"/>
          <w:spacing w:val="-3"/>
          <w:sz w:val="24"/>
          <w:szCs w:val="24"/>
          <w:lang w:eastAsia="zh-CN"/>
        </w:rPr>
        <w:t>5</w:t>
      </w:r>
      <w:r>
        <w:rPr>
          <w:spacing w:val="-3"/>
          <w:sz w:val="24"/>
          <w:szCs w:val="24"/>
          <w:lang w:eastAsia="zh-CN"/>
        </w:rPr>
        <w:t>.4.3  磋商小组成员要依法独立评审，并对评审意见承担个人责任。磋商小</w:t>
      </w:r>
      <w:r>
        <w:rPr>
          <w:spacing w:val="-4"/>
          <w:sz w:val="24"/>
          <w:szCs w:val="24"/>
          <w:lang w:eastAsia="zh-CN"/>
        </w:rPr>
        <w:t>组成员对需要共同认定的事项存在争议的，按照少数服从多数的原则做出结论。</w:t>
      </w:r>
      <w:r>
        <w:rPr>
          <w:spacing w:val="-3"/>
          <w:sz w:val="24"/>
          <w:szCs w:val="24"/>
          <w:lang w:eastAsia="zh-CN"/>
        </w:rPr>
        <w:t>持不同意见的磋商小组成员应当在评审报告上签署不同意见并说明理由，否则视为同意。</w:t>
      </w:r>
    </w:p>
    <w:p w14:paraId="18D33361">
      <w:pPr>
        <w:pStyle w:val="28"/>
        <w:tabs>
          <w:tab w:val="left" w:pos="2120"/>
        </w:tabs>
        <w:spacing w:line="360" w:lineRule="auto"/>
        <w:ind w:left="480" w:firstLine="0"/>
        <w:rPr>
          <w:spacing w:val="-1"/>
          <w:sz w:val="24"/>
          <w:szCs w:val="24"/>
          <w:lang w:eastAsia="zh-CN"/>
        </w:rPr>
      </w:pPr>
      <w:r>
        <w:rPr>
          <w:rFonts w:hint="eastAsia"/>
          <w:sz w:val="24"/>
          <w:szCs w:val="24"/>
          <w:lang w:eastAsia="zh-CN"/>
        </w:rPr>
        <w:t>5</w:t>
      </w:r>
      <w:r>
        <w:rPr>
          <w:sz w:val="24"/>
          <w:szCs w:val="24"/>
          <w:lang w:eastAsia="zh-CN"/>
        </w:rPr>
        <w:t xml:space="preserve">.4.4 磋商小组成员和评审工作有关人员不得干预或者影响正常评审工作， </w:t>
      </w:r>
      <w:r>
        <w:rPr>
          <w:spacing w:val="-1"/>
          <w:sz w:val="24"/>
          <w:szCs w:val="24"/>
          <w:lang w:eastAsia="zh-CN"/>
        </w:rPr>
        <w:t>不得明示</w:t>
      </w:r>
    </w:p>
    <w:p w14:paraId="0635F46B">
      <w:pPr>
        <w:tabs>
          <w:tab w:val="left" w:pos="2120"/>
        </w:tabs>
        <w:spacing w:line="360" w:lineRule="auto"/>
        <w:rPr>
          <w:spacing w:val="-1"/>
          <w:sz w:val="24"/>
          <w:szCs w:val="24"/>
          <w:lang w:eastAsia="zh-CN"/>
        </w:rPr>
      </w:pPr>
      <w:r>
        <w:rPr>
          <w:spacing w:val="-1"/>
          <w:sz w:val="24"/>
          <w:szCs w:val="24"/>
          <w:lang w:eastAsia="zh-CN"/>
        </w:rPr>
        <w:t>或者暗示其倾向性、引导性意见，不得修改磋商文件确定的评审程序、</w:t>
      </w:r>
      <w:r>
        <w:rPr>
          <w:spacing w:val="-9"/>
          <w:sz w:val="24"/>
          <w:szCs w:val="24"/>
          <w:lang w:eastAsia="zh-CN"/>
        </w:rPr>
        <w:t>评审方法，不得征询采购人代表的倾向性意见，不得记录、复制或带走任何评审</w:t>
      </w:r>
      <w:r>
        <w:rPr>
          <w:spacing w:val="-11"/>
          <w:sz w:val="24"/>
          <w:szCs w:val="24"/>
          <w:lang w:eastAsia="zh-CN"/>
        </w:rPr>
        <w:t>资料。成交候选人确定后，磋商小组不得修改评审结果或者要求重新评审，但因</w:t>
      </w:r>
      <w:r>
        <w:rPr>
          <w:spacing w:val="-15"/>
          <w:sz w:val="24"/>
          <w:szCs w:val="24"/>
          <w:lang w:eastAsia="zh-CN"/>
        </w:rPr>
        <w:t>初步审查认定错误或价格计算错误需依法重新评审的除外。应在评审报告中明确记载。</w:t>
      </w:r>
    </w:p>
    <w:p w14:paraId="00BE2356">
      <w:pPr>
        <w:pStyle w:val="28"/>
        <w:tabs>
          <w:tab w:val="left" w:pos="2120"/>
        </w:tabs>
        <w:spacing w:line="360" w:lineRule="auto"/>
        <w:ind w:left="480" w:firstLine="0"/>
        <w:rPr>
          <w:sz w:val="24"/>
          <w:szCs w:val="24"/>
          <w:lang w:eastAsia="zh-CN"/>
        </w:rPr>
      </w:pPr>
      <w:r>
        <w:rPr>
          <w:rFonts w:hint="eastAsia"/>
          <w:sz w:val="24"/>
          <w:szCs w:val="24"/>
          <w:lang w:eastAsia="zh-CN"/>
        </w:rPr>
        <w:t>5</w:t>
      </w:r>
      <w:r>
        <w:rPr>
          <w:sz w:val="24"/>
          <w:szCs w:val="24"/>
          <w:lang w:eastAsia="zh-CN"/>
        </w:rPr>
        <w:t>.4.5  磋商小组成员有下列情形之一的，应当回避：</w:t>
      </w:r>
    </w:p>
    <w:p w14:paraId="53C917E2">
      <w:pPr>
        <w:pStyle w:val="28"/>
        <w:tabs>
          <w:tab w:val="left" w:pos="1992"/>
        </w:tabs>
        <w:spacing w:line="360" w:lineRule="auto"/>
        <w:ind w:left="480" w:firstLine="0"/>
        <w:rPr>
          <w:sz w:val="24"/>
          <w:szCs w:val="24"/>
          <w:lang w:eastAsia="zh-CN"/>
        </w:rPr>
      </w:pPr>
      <w:r>
        <w:rPr>
          <w:rFonts w:hint="eastAsia"/>
          <w:sz w:val="24"/>
          <w:szCs w:val="24"/>
          <w:lang w:eastAsia="zh-CN"/>
        </w:rPr>
        <w:t xml:space="preserve">⑴ </w:t>
      </w:r>
      <w:r>
        <w:rPr>
          <w:sz w:val="24"/>
          <w:szCs w:val="24"/>
          <w:lang w:eastAsia="zh-CN"/>
        </w:rPr>
        <w:t>供应商或供应商主要负责人的近亲属；</w:t>
      </w:r>
    </w:p>
    <w:p w14:paraId="62EE71C7">
      <w:pPr>
        <w:pStyle w:val="28"/>
        <w:tabs>
          <w:tab w:val="left" w:pos="1992"/>
        </w:tabs>
        <w:spacing w:line="360" w:lineRule="auto"/>
        <w:ind w:left="480" w:firstLine="0"/>
        <w:rPr>
          <w:sz w:val="24"/>
          <w:szCs w:val="24"/>
          <w:lang w:eastAsia="zh-CN"/>
        </w:rPr>
      </w:pPr>
      <w:r>
        <w:rPr>
          <w:rFonts w:hint="eastAsia"/>
          <w:sz w:val="24"/>
          <w:szCs w:val="24"/>
          <w:lang w:eastAsia="zh-CN"/>
        </w:rPr>
        <w:t xml:space="preserve">⑵ </w:t>
      </w:r>
      <w:r>
        <w:rPr>
          <w:sz w:val="24"/>
          <w:szCs w:val="24"/>
          <w:lang w:eastAsia="zh-CN"/>
        </w:rPr>
        <w:t>项目主管部门或者行政监督部门的人员；</w:t>
      </w:r>
    </w:p>
    <w:p w14:paraId="6EEA1E60">
      <w:pPr>
        <w:pStyle w:val="28"/>
        <w:tabs>
          <w:tab w:val="left" w:pos="1992"/>
        </w:tabs>
        <w:spacing w:line="360" w:lineRule="auto"/>
        <w:ind w:left="480" w:firstLine="0"/>
        <w:rPr>
          <w:sz w:val="24"/>
          <w:szCs w:val="24"/>
          <w:lang w:eastAsia="zh-CN"/>
        </w:rPr>
      </w:pPr>
      <w:r>
        <w:rPr>
          <w:rFonts w:hint="eastAsia"/>
          <w:sz w:val="24"/>
          <w:szCs w:val="24"/>
          <w:lang w:eastAsia="zh-CN"/>
        </w:rPr>
        <w:t xml:space="preserve">⑶ </w:t>
      </w:r>
      <w:r>
        <w:rPr>
          <w:sz w:val="24"/>
          <w:szCs w:val="24"/>
          <w:lang w:eastAsia="zh-CN"/>
        </w:rPr>
        <w:t>与供应商有经济利益关系；</w:t>
      </w:r>
    </w:p>
    <w:p w14:paraId="1D189F6A">
      <w:pPr>
        <w:pStyle w:val="28"/>
        <w:tabs>
          <w:tab w:val="left" w:pos="1998"/>
        </w:tabs>
        <w:spacing w:line="360" w:lineRule="auto"/>
        <w:ind w:left="480" w:firstLine="0"/>
        <w:rPr>
          <w:sz w:val="24"/>
          <w:szCs w:val="24"/>
          <w:lang w:eastAsia="zh-CN"/>
        </w:rPr>
      </w:pPr>
      <w:r>
        <w:rPr>
          <w:rFonts w:hint="eastAsia"/>
          <w:sz w:val="24"/>
          <w:szCs w:val="24"/>
          <w:lang w:eastAsia="zh-CN"/>
        </w:rPr>
        <w:t xml:space="preserve">⑷ </w:t>
      </w:r>
      <w:r>
        <w:rPr>
          <w:sz w:val="24"/>
          <w:szCs w:val="24"/>
          <w:lang w:eastAsia="zh-CN"/>
        </w:rPr>
        <w:t>曾因在招标、评标以及其他与招标投标有关活动中从事违法行为而受过行政处罚或刑事处罚的；</w:t>
      </w:r>
    </w:p>
    <w:p w14:paraId="6FA4139C">
      <w:pPr>
        <w:pStyle w:val="28"/>
        <w:tabs>
          <w:tab w:val="left" w:pos="1992"/>
        </w:tabs>
        <w:spacing w:line="360" w:lineRule="auto"/>
        <w:ind w:left="480" w:firstLine="0"/>
        <w:rPr>
          <w:sz w:val="24"/>
          <w:szCs w:val="24"/>
          <w:lang w:eastAsia="zh-CN"/>
        </w:rPr>
      </w:pPr>
      <w:r>
        <w:rPr>
          <w:rFonts w:hint="eastAsia"/>
          <w:sz w:val="24"/>
          <w:szCs w:val="24"/>
          <w:lang w:eastAsia="zh-CN"/>
        </w:rPr>
        <w:t>⑸</w:t>
      </w:r>
      <w:r>
        <w:rPr>
          <w:sz w:val="24"/>
          <w:szCs w:val="24"/>
          <w:lang w:eastAsia="zh-CN"/>
        </w:rPr>
        <w:t>与供应商有其他利害关系。</w:t>
      </w:r>
    </w:p>
    <w:p w14:paraId="22F5839E">
      <w:pPr>
        <w:pStyle w:val="5"/>
        <w:tabs>
          <w:tab w:val="left" w:pos="1643"/>
        </w:tabs>
        <w:spacing w:line="360" w:lineRule="auto"/>
        <w:ind w:left="482" w:right="120" w:firstLine="0"/>
        <w:rPr>
          <w:lang w:eastAsia="zh-CN"/>
        </w:rPr>
      </w:pPr>
      <w:r>
        <w:rPr>
          <w:rFonts w:hint="eastAsia"/>
          <w:lang w:eastAsia="zh-CN"/>
        </w:rPr>
        <w:t>5</w:t>
      </w:r>
      <w:r>
        <w:rPr>
          <w:lang w:eastAsia="zh-CN"/>
        </w:rPr>
        <w:t>.5 磋商原则和方法</w:t>
      </w:r>
    </w:p>
    <w:p w14:paraId="644F1DD0">
      <w:pPr>
        <w:tabs>
          <w:tab w:val="left" w:pos="2051"/>
        </w:tabs>
        <w:spacing w:line="360" w:lineRule="auto"/>
        <w:ind w:firstLine="476" w:firstLineChars="200"/>
        <w:rPr>
          <w:sz w:val="24"/>
          <w:szCs w:val="24"/>
          <w:lang w:eastAsia="zh-CN"/>
        </w:rPr>
      </w:pPr>
      <w:bookmarkStart w:id="35" w:name="4.投标"/>
      <w:bookmarkEnd w:id="35"/>
      <w:bookmarkStart w:id="36" w:name="5.4_磋商小组"/>
      <w:bookmarkEnd w:id="36"/>
      <w:bookmarkStart w:id="37" w:name="5．磋商"/>
      <w:bookmarkEnd w:id="37"/>
      <w:r>
        <w:rPr>
          <w:spacing w:val="-1"/>
          <w:sz w:val="24"/>
          <w:szCs w:val="24"/>
          <w:lang w:eastAsia="zh-CN"/>
        </w:rPr>
        <w:t>5.5.</w:t>
      </w:r>
      <w:r>
        <w:rPr>
          <w:rFonts w:hint="eastAsia"/>
          <w:spacing w:val="-1"/>
          <w:sz w:val="24"/>
          <w:szCs w:val="24"/>
          <w:lang w:val="en-US" w:eastAsia="zh-CN"/>
        </w:rPr>
        <w:t>1</w:t>
      </w:r>
      <w:r>
        <w:rPr>
          <w:spacing w:val="-1"/>
          <w:sz w:val="24"/>
          <w:szCs w:val="24"/>
          <w:lang w:eastAsia="zh-CN"/>
        </w:rPr>
        <w:t xml:space="preserve"> 磋商小组将遵</w:t>
      </w:r>
      <w:r>
        <w:rPr>
          <w:sz w:val="24"/>
          <w:szCs w:val="24"/>
          <w:lang w:eastAsia="zh-CN"/>
        </w:rPr>
        <w:t>照磋商原则，公正、平等地对待所有供应商。</w:t>
      </w:r>
    </w:p>
    <w:p w14:paraId="4AB7E61A">
      <w:pPr>
        <w:pStyle w:val="28"/>
        <w:tabs>
          <w:tab w:val="left" w:pos="2051"/>
        </w:tabs>
        <w:spacing w:line="360" w:lineRule="auto"/>
        <w:ind w:left="480" w:firstLine="0"/>
        <w:rPr>
          <w:sz w:val="24"/>
          <w:szCs w:val="24"/>
          <w:lang w:eastAsia="zh-CN"/>
        </w:rPr>
      </w:pPr>
      <w:r>
        <w:rPr>
          <w:rFonts w:hint="eastAsia"/>
          <w:sz w:val="24"/>
          <w:szCs w:val="24"/>
          <w:lang w:eastAsia="zh-CN"/>
        </w:rPr>
        <w:t>5</w:t>
      </w:r>
      <w:r>
        <w:rPr>
          <w:sz w:val="24"/>
          <w:szCs w:val="24"/>
          <w:lang w:eastAsia="zh-CN"/>
        </w:rPr>
        <w:t>.5.</w:t>
      </w:r>
      <w:r>
        <w:rPr>
          <w:rFonts w:hint="eastAsia"/>
          <w:sz w:val="24"/>
          <w:szCs w:val="24"/>
          <w:lang w:val="en-US" w:eastAsia="zh-CN"/>
        </w:rPr>
        <w:t>2</w:t>
      </w:r>
      <w:r>
        <w:rPr>
          <w:sz w:val="24"/>
          <w:szCs w:val="24"/>
          <w:lang w:eastAsia="zh-CN"/>
        </w:rPr>
        <w:t>评审方法</w:t>
      </w:r>
    </w:p>
    <w:p w14:paraId="32BD028D">
      <w:pPr>
        <w:pStyle w:val="28"/>
        <w:tabs>
          <w:tab w:val="left" w:pos="2232"/>
        </w:tabs>
        <w:spacing w:line="360" w:lineRule="auto"/>
        <w:ind w:left="476" w:firstLine="0"/>
        <w:rPr>
          <w:sz w:val="24"/>
          <w:szCs w:val="24"/>
          <w:lang w:eastAsia="zh-CN"/>
        </w:rPr>
      </w:pPr>
      <w:r>
        <w:rPr>
          <w:rFonts w:hint="eastAsia"/>
          <w:spacing w:val="-2"/>
          <w:sz w:val="24"/>
          <w:szCs w:val="24"/>
          <w:lang w:eastAsia="zh-CN"/>
        </w:rPr>
        <w:t xml:space="preserve">⑴ </w:t>
      </w:r>
      <w:r>
        <w:rPr>
          <w:spacing w:val="-2"/>
          <w:sz w:val="24"/>
          <w:szCs w:val="24"/>
          <w:lang w:eastAsia="zh-CN"/>
        </w:rPr>
        <w:t>初步评审</w:t>
      </w:r>
      <w:r>
        <w:rPr>
          <w:sz w:val="24"/>
          <w:szCs w:val="24"/>
          <w:lang w:eastAsia="zh-CN"/>
        </w:rPr>
        <w:t>（是否响应竞争性磋商文件的要求</w:t>
      </w:r>
      <w:r>
        <w:rPr>
          <w:spacing w:val="-7"/>
          <w:sz w:val="24"/>
          <w:szCs w:val="24"/>
          <w:lang w:eastAsia="zh-CN"/>
        </w:rPr>
        <w:t>）</w:t>
      </w:r>
      <w:r>
        <w:rPr>
          <w:spacing w:val="-3"/>
          <w:sz w:val="24"/>
          <w:szCs w:val="24"/>
          <w:lang w:eastAsia="zh-CN"/>
        </w:rPr>
        <w:t>，确定合格的供应商。</w:t>
      </w:r>
    </w:p>
    <w:p w14:paraId="3066B4B0">
      <w:pPr>
        <w:pStyle w:val="28"/>
        <w:tabs>
          <w:tab w:val="left" w:pos="2232"/>
        </w:tabs>
        <w:spacing w:line="360" w:lineRule="auto"/>
        <w:ind w:left="480" w:firstLine="0"/>
        <w:rPr>
          <w:sz w:val="24"/>
          <w:szCs w:val="24"/>
          <w:lang w:eastAsia="zh-CN"/>
        </w:rPr>
      </w:pPr>
      <w:r>
        <w:rPr>
          <w:rFonts w:hint="eastAsia"/>
          <w:sz w:val="24"/>
          <w:szCs w:val="24"/>
          <w:lang w:eastAsia="zh-CN"/>
        </w:rPr>
        <w:t xml:space="preserve">⑵ </w:t>
      </w:r>
      <w:r>
        <w:rPr>
          <w:sz w:val="24"/>
          <w:szCs w:val="24"/>
          <w:lang w:eastAsia="zh-CN"/>
        </w:rPr>
        <w:t>各供应商依据各自情况进行最后报价。</w:t>
      </w:r>
    </w:p>
    <w:p w14:paraId="174CEEDF">
      <w:pPr>
        <w:pStyle w:val="28"/>
        <w:tabs>
          <w:tab w:val="left" w:pos="2238"/>
        </w:tabs>
        <w:spacing w:line="360" w:lineRule="auto"/>
        <w:ind w:left="480" w:firstLine="0"/>
        <w:rPr>
          <w:sz w:val="24"/>
          <w:szCs w:val="24"/>
          <w:lang w:eastAsia="zh-CN"/>
        </w:rPr>
      </w:pPr>
      <w:r>
        <w:rPr>
          <w:rFonts w:hint="eastAsia"/>
          <w:sz w:val="24"/>
          <w:szCs w:val="24"/>
          <w:lang w:eastAsia="zh-CN"/>
        </w:rPr>
        <w:t xml:space="preserve">⑶ </w:t>
      </w:r>
      <w:r>
        <w:rPr>
          <w:sz w:val="24"/>
          <w:szCs w:val="24"/>
          <w:lang w:eastAsia="zh-CN"/>
        </w:rPr>
        <w:t>磋商小组采用综合评分法对提交最后报价的供应商的响应文件和最后报价进行综合评分。</w:t>
      </w:r>
    </w:p>
    <w:p w14:paraId="40275AD4">
      <w:pPr>
        <w:pStyle w:val="5"/>
        <w:tabs>
          <w:tab w:val="left" w:pos="1643"/>
        </w:tabs>
        <w:spacing w:line="360" w:lineRule="auto"/>
        <w:ind w:left="482" w:firstLine="0"/>
        <w:rPr>
          <w:lang w:eastAsia="zh-CN"/>
        </w:rPr>
      </w:pPr>
      <w:r>
        <w:rPr>
          <w:rFonts w:hint="eastAsia"/>
          <w:lang w:eastAsia="zh-CN"/>
        </w:rPr>
        <w:t>5</w:t>
      </w:r>
      <w:r>
        <w:rPr>
          <w:lang w:eastAsia="zh-CN"/>
        </w:rPr>
        <w:t>.6 对供应商的评价</w:t>
      </w:r>
    </w:p>
    <w:p w14:paraId="1D56FE11">
      <w:pPr>
        <w:pStyle w:val="28"/>
        <w:tabs>
          <w:tab w:val="left" w:pos="2051"/>
        </w:tabs>
        <w:spacing w:line="360" w:lineRule="auto"/>
        <w:ind w:left="478" w:firstLine="0"/>
        <w:jc w:val="both"/>
        <w:rPr>
          <w:sz w:val="24"/>
          <w:szCs w:val="24"/>
          <w:lang w:eastAsia="zh-CN"/>
        </w:rPr>
      </w:pPr>
      <w:r>
        <w:rPr>
          <w:rFonts w:hint="eastAsia"/>
          <w:spacing w:val="-1"/>
          <w:sz w:val="24"/>
          <w:szCs w:val="24"/>
          <w:lang w:eastAsia="zh-CN"/>
        </w:rPr>
        <w:t>5</w:t>
      </w:r>
      <w:r>
        <w:rPr>
          <w:spacing w:val="-1"/>
          <w:sz w:val="24"/>
          <w:szCs w:val="24"/>
          <w:lang w:eastAsia="zh-CN"/>
        </w:rPr>
        <w:t>.6.1  磋商小组只对已判定为实质性响应且通过初步审查的磋商响应文件进</w:t>
      </w:r>
      <w:r>
        <w:rPr>
          <w:sz w:val="24"/>
          <w:szCs w:val="24"/>
          <w:lang w:eastAsia="zh-CN"/>
        </w:rPr>
        <w:t>行详细评价和比较。</w:t>
      </w:r>
    </w:p>
    <w:p w14:paraId="03C70243">
      <w:pPr>
        <w:pStyle w:val="28"/>
        <w:tabs>
          <w:tab w:val="left" w:pos="2051"/>
        </w:tabs>
        <w:spacing w:line="360" w:lineRule="auto"/>
        <w:ind w:left="480" w:firstLine="0"/>
        <w:jc w:val="both"/>
        <w:rPr>
          <w:sz w:val="24"/>
          <w:szCs w:val="24"/>
          <w:lang w:eastAsia="zh-CN"/>
        </w:rPr>
      </w:pPr>
      <w:r>
        <w:rPr>
          <w:sz w:val="24"/>
          <w:szCs w:val="24"/>
          <w:lang w:eastAsia="zh-CN"/>
        </w:rPr>
        <w:t>5.6.2  磋商小组所有成员给予所有</w:t>
      </w:r>
      <w:r>
        <w:rPr>
          <w:spacing w:val="-6"/>
          <w:sz w:val="24"/>
          <w:szCs w:val="24"/>
          <w:lang w:eastAsia="zh-CN"/>
        </w:rPr>
        <w:t>参加磋商的供应商平等的磋商机会。磋商完成后，要求其在规定时间内提交最后</w:t>
      </w:r>
      <w:r>
        <w:rPr>
          <w:sz w:val="24"/>
          <w:szCs w:val="24"/>
          <w:lang w:eastAsia="zh-CN"/>
        </w:rPr>
        <w:t>报价，提交最后报价的供应商可以为两家</w:t>
      </w:r>
      <w:r>
        <w:rPr>
          <w:rFonts w:hint="eastAsia"/>
          <w:sz w:val="24"/>
          <w:szCs w:val="24"/>
          <w:lang w:eastAsia="zh-CN"/>
        </w:rPr>
        <w:t>（</w:t>
      </w:r>
      <w:r>
        <w:rPr>
          <w:rFonts w:hint="eastAsia"/>
          <w:sz w:val="24"/>
          <w:szCs w:val="24"/>
          <w:lang w:val="en-US" w:eastAsia="zh-CN"/>
        </w:rPr>
        <w:t>需符合政府采购法竞争性磋商要求</w:t>
      </w:r>
      <w:r>
        <w:rPr>
          <w:rFonts w:hint="eastAsia"/>
          <w:sz w:val="24"/>
          <w:szCs w:val="24"/>
          <w:lang w:eastAsia="zh-CN"/>
        </w:rPr>
        <w:t>）</w:t>
      </w:r>
      <w:r>
        <w:rPr>
          <w:sz w:val="24"/>
          <w:szCs w:val="24"/>
          <w:lang w:eastAsia="zh-CN"/>
        </w:rPr>
        <w:t>。</w:t>
      </w:r>
    </w:p>
    <w:p w14:paraId="6D463130">
      <w:pPr>
        <w:pStyle w:val="28"/>
        <w:tabs>
          <w:tab w:val="left" w:pos="2051"/>
        </w:tabs>
        <w:spacing w:line="360" w:lineRule="auto"/>
        <w:ind w:left="480" w:firstLine="0"/>
        <w:jc w:val="both"/>
        <w:rPr>
          <w:spacing w:val="-1"/>
          <w:sz w:val="24"/>
          <w:szCs w:val="24"/>
          <w:lang w:eastAsia="zh-CN"/>
        </w:rPr>
      </w:pPr>
      <w:r>
        <w:rPr>
          <w:rFonts w:hint="eastAsia"/>
          <w:sz w:val="24"/>
          <w:szCs w:val="24"/>
          <w:lang w:eastAsia="zh-CN"/>
        </w:rPr>
        <w:t>5</w:t>
      </w:r>
      <w:r>
        <w:rPr>
          <w:sz w:val="24"/>
          <w:szCs w:val="24"/>
          <w:lang w:eastAsia="zh-CN"/>
        </w:rPr>
        <w:t>.6.3  经磋商确定最终项目需求和提交最后报价的供应商后，磋商小组采用</w:t>
      </w:r>
      <w:r>
        <w:rPr>
          <w:spacing w:val="-1"/>
          <w:sz w:val="24"/>
          <w:szCs w:val="24"/>
          <w:lang w:eastAsia="zh-CN"/>
        </w:rPr>
        <w:t>综合评分法对提交最后报价的供应商的磋商响应文件和最后报价进行综合评分。</w:t>
      </w:r>
    </w:p>
    <w:p w14:paraId="6A808C84">
      <w:pPr>
        <w:pStyle w:val="28"/>
        <w:tabs>
          <w:tab w:val="left" w:pos="2051"/>
        </w:tabs>
        <w:spacing w:line="360" w:lineRule="auto"/>
        <w:ind w:left="480" w:firstLine="0"/>
        <w:rPr>
          <w:sz w:val="24"/>
          <w:szCs w:val="24"/>
          <w:lang w:eastAsia="zh-CN"/>
        </w:rPr>
      </w:pPr>
      <w:r>
        <w:rPr>
          <w:rFonts w:hint="eastAsia"/>
          <w:sz w:val="24"/>
          <w:szCs w:val="24"/>
          <w:lang w:eastAsia="zh-CN"/>
        </w:rPr>
        <w:t>5</w:t>
      </w:r>
      <w:r>
        <w:rPr>
          <w:sz w:val="24"/>
          <w:szCs w:val="24"/>
          <w:lang w:eastAsia="zh-CN"/>
        </w:rPr>
        <w:t>.6.4  磋商小组根据综合评分情况，按评审得分由高到低的顺序确定成交候</w:t>
      </w:r>
      <w:r>
        <w:rPr>
          <w:spacing w:val="-1"/>
          <w:sz w:val="24"/>
          <w:szCs w:val="24"/>
          <w:lang w:eastAsia="zh-CN"/>
        </w:rPr>
        <w:t xml:space="preserve">选人，并编写评审报告。评审得分相同的，按照最后报价由低到高的顺序确定， </w:t>
      </w:r>
      <w:r>
        <w:rPr>
          <w:spacing w:val="-6"/>
          <w:sz w:val="24"/>
          <w:szCs w:val="24"/>
          <w:lang w:eastAsia="zh-CN"/>
        </w:rPr>
        <w:t>评审得分且最后报价相同的，按照技术指标优劣顺序确定成交候选人。评审报告</w:t>
      </w:r>
      <w:r>
        <w:rPr>
          <w:spacing w:val="-12"/>
          <w:sz w:val="24"/>
          <w:szCs w:val="24"/>
          <w:lang w:eastAsia="zh-CN"/>
        </w:rPr>
        <w:t>由磋商小组全体人员签字。磋商小组成员对评审报告有异议的，磋商小组按照少</w:t>
      </w:r>
      <w:r>
        <w:rPr>
          <w:spacing w:val="-17"/>
          <w:sz w:val="24"/>
          <w:szCs w:val="24"/>
          <w:lang w:eastAsia="zh-CN"/>
        </w:rPr>
        <w:t>数服从多数的原则推荐成交候选人，磋商程序继续进行。对评审报告有异议的磋</w:t>
      </w:r>
      <w:r>
        <w:rPr>
          <w:spacing w:val="-14"/>
          <w:sz w:val="24"/>
          <w:szCs w:val="24"/>
          <w:lang w:eastAsia="zh-CN"/>
        </w:rPr>
        <w:t>商小组成员，应当在报告上签署不同意见并说明理由，由磋商小组书面记录相关</w:t>
      </w:r>
      <w:r>
        <w:rPr>
          <w:spacing w:val="-11"/>
          <w:sz w:val="24"/>
          <w:szCs w:val="24"/>
          <w:lang w:eastAsia="zh-CN"/>
        </w:rPr>
        <w:t>情况。磋商小组成员拒绝在报告上签字又不书面说明其不同意见和理由的，视为同意评审报告。</w:t>
      </w:r>
    </w:p>
    <w:p w14:paraId="56EBEB33">
      <w:pPr>
        <w:pStyle w:val="28"/>
        <w:tabs>
          <w:tab w:val="left" w:pos="2001"/>
        </w:tabs>
        <w:spacing w:line="360" w:lineRule="auto"/>
        <w:ind w:left="480" w:firstLine="0"/>
        <w:rPr>
          <w:b w:val="0"/>
          <w:spacing w:val="-6"/>
          <w:lang w:eastAsia="zh-CN"/>
        </w:rPr>
      </w:pPr>
      <w:r>
        <w:rPr>
          <w:rFonts w:hint="eastAsia"/>
          <w:sz w:val="24"/>
          <w:szCs w:val="24"/>
          <w:lang w:eastAsia="zh-CN"/>
        </w:rPr>
        <w:t>5</w:t>
      </w:r>
      <w:r>
        <w:rPr>
          <w:sz w:val="24"/>
          <w:szCs w:val="24"/>
          <w:lang w:eastAsia="zh-CN"/>
        </w:rPr>
        <w:t>.6.5  如果第一名供应商放弃成交资格或因不可抗力提出不能履行合同、竞</w:t>
      </w:r>
      <w:r>
        <w:rPr>
          <w:spacing w:val="-5"/>
          <w:sz w:val="24"/>
          <w:szCs w:val="24"/>
          <w:lang w:eastAsia="zh-CN"/>
        </w:rPr>
        <w:t>争性磋商文</w:t>
      </w:r>
      <w:r>
        <w:rPr>
          <w:b w:val="0"/>
          <w:spacing w:val="-5"/>
          <w:lang w:eastAsia="zh-CN"/>
        </w:rPr>
        <w:t>件规定应当提交履约担保而在规定的期限内未能提交的，采购人可以</w:t>
      </w:r>
      <w:r>
        <w:rPr>
          <w:b w:val="0"/>
          <w:spacing w:val="-6"/>
          <w:lang w:eastAsia="zh-CN"/>
        </w:rPr>
        <w:t>按照评审报告推荐的成交</w:t>
      </w:r>
    </w:p>
    <w:p w14:paraId="1FDABCBB">
      <w:pPr>
        <w:pStyle w:val="5"/>
        <w:tabs>
          <w:tab w:val="left" w:pos="1813"/>
        </w:tabs>
        <w:spacing w:line="360" w:lineRule="auto"/>
        <w:ind w:left="477" w:hanging="465" w:hangingChars="204"/>
        <w:jc w:val="both"/>
        <w:rPr>
          <w:b w:val="0"/>
          <w:spacing w:val="-6"/>
          <w:lang w:eastAsia="zh-CN"/>
        </w:rPr>
      </w:pPr>
      <w:r>
        <w:rPr>
          <w:b w:val="0"/>
          <w:spacing w:val="-6"/>
          <w:lang w:eastAsia="zh-CN"/>
        </w:rPr>
        <w:t>候选人名单，确定下一成交候选人为成交人，也可以重</w:t>
      </w:r>
      <w:r>
        <w:rPr>
          <w:b w:val="0"/>
          <w:lang w:eastAsia="zh-CN"/>
        </w:rPr>
        <w:t>新开展采购活动</w:t>
      </w:r>
      <w:r>
        <w:rPr>
          <w:rFonts w:hint="eastAsia"/>
          <w:b w:val="0"/>
          <w:lang w:eastAsia="zh-CN"/>
        </w:rPr>
        <w:t>。</w:t>
      </w:r>
    </w:p>
    <w:p w14:paraId="0FAB1341">
      <w:pPr>
        <w:pStyle w:val="5"/>
        <w:tabs>
          <w:tab w:val="left" w:pos="1813"/>
        </w:tabs>
        <w:spacing w:line="360" w:lineRule="auto"/>
        <w:ind w:left="440" w:leftChars="200" w:firstLine="0"/>
        <w:jc w:val="both"/>
        <w:rPr>
          <w:lang w:eastAsia="zh-CN"/>
        </w:rPr>
      </w:pPr>
      <w:r>
        <w:rPr>
          <w:rFonts w:hint="eastAsia"/>
          <w:lang w:eastAsia="zh-CN"/>
        </w:rPr>
        <w:t>5</w:t>
      </w:r>
      <w:r>
        <w:rPr>
          <w:lang w:eastAsia="zh-CN"/>
        </w:rPr>
        <w:t>.7 确定成交人</w:t>
      </w:r>
      <w:r>
        <w:rPr>
          <w:rFonts w:hint="eastAsia"/>
          <w:lang w:eastAsia="zh-CN"/>
        </w:rPr>
        <w:t>。</w:t>
      </w:r>
    </w:p>
    <w:p w14:paraId="0FE77F08">
      <w:pPr>
        <w:pStyle w:val="6"/>
        <w:spacing w:line="360" w:lineRule="auto"/>
        <w:ind w:left="0" w:firstLine="440" w:firstLineChars="200"/>
        <w:rPr>
          <w:lang w:eastAsia="zh-CN"/>
        </w:rPr>
      </w:pPr>
      <w:r>
        <w:rPr>
          <w:spacing w:val="-10"/>
          <w:lang w:eastAsia="zh-CN"/>
        </w:rPr>
        <w:t xml:space="preserve">磋商小组根据综合评分情况，按评审得分由高到低的顺序确定 </w:t>
      </w:r>
      <w:r>
        <w:rPr>
          <w:lang w:eastAsia="zh-CN"/>
        </w:rPr>
        <w:t>3</w:t>
      </w:r>
      <w:r>
        <w:rPr>
          <w:spacing w:val="-12"/>
          <w:lang w:eastAsia="zh-CN"/>
        </w:rPr>
        <w:t xml:space="preserve"> 名成交候</w:t>
      </w:r>
      <w:r>
        <w:rPr>
          <w:spacing w:val="-13"/>
          <w:lang w:eastAsia="zh-CN"/>
        </w:rPr>
        <w:t>选人，并编写评审报告。评审得分相同的，按照最后报价由低到高的顺序推荐。</w:t>
      </w:r>
      <w:r>
        <w:rPr>
          <w:lang w:eastAsia="zh-CN"/>
        </w:rPr>
        <w:t>评审得分相同且最后报价相同的，按照技术优劣顺序推荐。</w:t>
      </w:r>
    </w:p>
    <w:p w14:paraId="3B6F2721">
      <w:pPr>
        <w:pStyle w:val="5"/>
        <w:tabs>
          <w:tab w:val="left" w:pos="1583"/>
        </w:tabs>
        <w:spacing w:line="360" w:lineRule="auto"/>
        <w:ind w:left="482" w:right="723" w:firstLine="0"/>
        <w:rPr>
          <w:lang w:eastAsia="zh-CN"/>
        </w:rPr>
      </w:pPr>
      <w:bookmarkStart w:id="38" w:name="6._合同授予"/>
      <w:bookmarkEnd w:id="38"/>
      <w:r>
        <w:rPr>
          <w:rFonts w:hint="eastAsia"/>
          <w:lang w:eastAsia="zh-CN"/>
        </w:rPr>
        <w:t>6</w:t>
      </w:r>
      <w:r>
        <w:rPr>
          <w:lang w:eastAsia="zh-CN"/>
        </w:rPr>
        <w:t>.合同授予</w:t>
      </w:r>
    </w:p>
    <w:p w14:paraId="7E0C4CA3">
      <w:pPr>
        <w:pStyle w:val="5"/>
        <w:tabs>
          <w:tab w:val="left" w:pos="1703"/>
        </w:tabs>
        <w:spacing w:line="360" w:lineRule="auto"/>
        <w:ind w:left="482" w:right="120" w:firstLine="0"/>
        <w:rPr>
          <w:lang w:eastAsia="zh-CN"/>
        </w:rPr>
      </w:pPr>
      <w:r>
        <w:rPr>
          <w:rFonts w:hint="eastAsia"/>
          <w:lang w:eastAsia="zh-CN"/>
        </w:rPr>
        <w:t>6</w:t>
      </w:r>
      <w:r>
        <w:rPr>
          <w:lang w:eastAsia="zh-CN"/>
        </w:rPr>
        <w:t>.1 定标方式</w:t>
      </w:r>
    </w:p>
    <w:p w14:paraId="11F39D6C">
      <w:pPr>
        <w:pStyle w:val="6"/>
        <w:spacing w:line="360" w:lineRule="auto"/>
        <w:ind w:left="0" w:firstLine="404" w:firstLineChars="200"/>
        <w:jc w:val="both"/>
        <w:rPr>
          <w:lang w:eastAsia="zh-CN"/>
        </w:rPr>
      </w:pPr>
      <w:r>
        <w:rPr>
          <w:spacing w:val="-19"/>
          <w:lang w:eastAsia="zh-CN"/>
        </w:rPr>
        <w:t>评标结束后，采购人和其委托的采购代理机构，在政府采购项目评审结束当天完</w:t>
      </w:r>
      <w:r>
        <w:rPr>
          <w:spacing w:val="-10"/>
          <w:lang w:eastAsia="zh-CN"/>
        </w:rPr>
        <w:t>成评标报告的报送、中标成交供应商的确定、中标公告的发布、中标成交通知书发出。中标通知书对采购人和中标供应商具有同等法律效力。中标通知书发出后，采购人改变中标结果，或者中标供应商放弃中标，应按相关法律、规章、规范性文件的要求承担相应的法律责任。未按规定交纳服务费、领取中标通知书的视为自动放</w:t>
      </w:r>
      <w:r>
        <w:rPr>
          <w:spacing w:val="-7"/>
          <w:lang w:eastAsia="zh-CN"/>
        </w:rPr>
        <w:t>弃中标。</w:t>
      </w:r>
    </w:p>
    <w:p w14:paraId="086BE89B">
      <w:pPr>
        <w:pStyle w:val="5"/>
        <w:tabs>
          <w:tab w:val="left" w:pos="1703"/>
        </w:tabs>
        <w:spacing w:line="360" w:lineRule="auto"/>
        <w:ind w:left="482" w:right="120" w:firstLine="0"/>
        <w:rPr>
          <w:lang w:eastAsia="zh-CN"/>
        </w:rPr>
      </w:pPr>
      <w:bookmarkStart w:id="39" w:name="6.1_定标方式"/>
      <w:bookmarkEnd w:id="39"/>
      <w:bookmarkStart w:id="40" w:name="6.2_成交公告发布媒体"/>
      <w:bookmarkEnd w:id="40"/>
      <w:r>
        <w:rPr>
          <w:rFonts w:hint="eastAsia"/>
          <w:lang w:eastAsia="zh-CN"/>
        </w:rPr>
        <w:t>6</w:t>
      </w:r>
      <w:r>
        <w:rPr>
          <w:lang w:eastAsia="zh-CN"/>
        </w:rPr>
        <w:t>.2 成交公告发布媒体</w:t>
      </w:r>
    </w:p>
    <w:p w14:paraId="7161BF09">
      <w:pPr>
        <w:pStyle w:val="6"/>
        <w:spacing w:line="360" w:lineRule="auto"/>
        <w:ind w:left="0" w:firstLine="480" w:firstLineChars="200"/>
        <w:rPr>
          <w:rFonts w:ascii="宋体" w:hAnsi="宋体" w:eastAsia="宋体" w:cs="宋体"/>
          <w:lang w:eastAsia="zh-CN"/>
        </w:rPr>
      </w:pPr>
      <w:r>
        <w:rPr>
          <w:rFonts w:ascii="宋体" w:hAnsi="宋体" w:eastAsia="宋体" w:cs="宋体"/>
          <w:lang w:eastAsia="zh-CN"/>
        </w:rPr>
        <w:t>在</w:t>
      </w:r>
      <w:r>
        <w:rPr>
          <w:rFonts w:hint="eastAsia" w:cs="宋体"/>
          <w:lang w:val="en-US" w:eastAsia="zh-CN"/>
        </w:rPr>
        <w:t>《中国招标投标公共服务平台》、《河南省政府采购网》、《三门峡市公共资源交易中心网》</w:t>
      </w:r>
      <w:r>
        <w:rPr>
          <w:rFonts w:ascii="宋体" w:hAnsi="宋体" w:eastAsia="宋体" w:cs="宋体"/>
          <w:lang w:eastAsia="zh-CN"/>
        </w:rPr>
        <w:t>上发布。</w:t>
      </w:r>
    </w:p>
    <w:p w14:paraId="4AD1CB2C">
      <w:pPr>
        <w:pStyle w:val="5"/>
        <w:tabs>
          <w:tab w:val="left" w:pos="1703"/>
        </w:tabs>
        <w:spacing w:line="360" w:lineRule="auto"/>
        <w:ind w:left="482" w:firstLine="0"/>
      </w:pPr>
      <w:bookmarkStart w:id="41" w:name="6.3_履约保证金"/>
      <w:bookmarkEnd w:id="41"/>
      <w:r>
        <w:rPr>
          <w:rFonts w:hint="eastAsia"/>
          <w:lang w:eastAsia="zh-CN"/>
        </w:rPr>
        <w:t>6</w:t>
      </w:r>
      <w:r>
        <w:rPr>
          <w:lang w:eastAsia="zh-CN"/>
        </w:rPr>
        <w:t xml:space="preserve">.3 </w:t>
      </w:r>
      <w:r>
        <w:t>履约保证金</w:t>
      </w:r>
    </w:p>
    <w:p w14:paraId="201C59CE">
      <w:pPr>
        <w:pStyle w:val="6"/>
        <w:spacing w:line="360" w:lineRule="auto"/>
        <w:ind w:left="0" w:firstLine="480" w:firstLineChars="200"/>
        <w:rPr>
          <w:lang w:eastAsia="zh-CN"/>
        </w:rPr>
      </w:pPr>
      <w:r>
        <w:rPr>
          <w:lang w:eastAsia="zh-CN"/>
        </w:rPr>
        <w:t>6.3.1 履约保证金：见供应商须知前附表。</w:t>
      </w:r>
    </w:p>
    <w:p w14:paraId="770D5E5A">
      <w:pPr>
        <w:pStyle w:val="5"/>
        <w:tabs>
          <w:tab w:val="left" w:pos="1703"/>
        </w:tabs>
        <w:spacing w:line="360" w:lineRule="auto"/>
        <w:ind w:left="0" w:firstLine="482" w:firstLineChars="200"/>
        <w:rPr>
          <w:lang w:eastAsia="zh-CN"/>
        </w:rPr>
      </w:pPr>
      <w:r>
        <w:rPr>
          <w:rFonts w:hint="eastAsia"/>
          <w:lang w:eastAsia="zh-CN"/>
        </w:rPr>
        <w:t>6</w:t>
      </w:r>
      <w:r>
        <w:rPr>
          <w:lang w:eastAsia="zh-CN"/>
        </w:rPr>
        <w:t>.4 签订合同</w:t>
      </w:r>
    </w:p>
    <w:p w14:paraId="2ED61FE2">
      <w:pPr>
        <w:pStyle w:val="28"/>
        <w:tabs>
          <w:tab w:val="left" w:pos="2020"/>
        </w:tabs>
        <w:spacing w:line="360" w:lineRule="auto"/>
        <w:ind w:left="460" w:firstLine="0"/>
        <w:jc w:val="both"/>
        <w:rPr>
          <w:sz w:val="24"/>
          <w:szCs w:val="24"/>
          <w:lang w:eastAsia="zh-CN"/>
        </w:rPr>
      </w:pPr>
      <w:r>
        <w:rPr>
          <w:spacing w:val="-10"/>
          <w:sz w:val="24"/>
          <w:szCs w:val="24"/>
          <w:lang w:eastAsia="zh-CN"/>
        </w:rPr>
        <w:t>6.4.1  采购人、成交供应商在成交通知书发出后</w:t>
      </w:r>
      <w:r>
        <w:rPr>
          <w:spacing w:val="-3"/>
          <w:sz w:val="24"/>
          <w:szCs w:val="24"/>
          <w:lang w:eastAsia="zh-CN"/>
        </w:rPr>
        <w:t>1</w:t>
      </w:r>
      <w:r>
        <w:rPr>
          <w:spacing w:val="-10"/>
          <w:sz w:val="24"/>
          <w:szCs w:val="24"/>
          <w:lang w:eastAsia="zh-CN"/>
        </w:rPr>
        <w:t>个工作日，根据竞争性磋商文</w:t>
      </w:r>
      <w:r>
        <w:rPr>
          <w:spacing w:val="-15"/>
          <w:sz w:val="24"/>
          <w:szCs w:val="24"/>
          <w:lang w:eastAsia="zh-CN"/>
        </w:rPr>
        <w:t>件确定的事项和成交供应商响应性文件签订合同。合同签订后</w:t>
      </w:r>
      <w:r>
        <w:rPr>
          <w:spacing w:val="-5"/>
          <w:sz w:val="24"/>
          <w:szCs w:val="24"/>
          <w:lang w:eastAsia="zh-CN"/>
        </w:rPr>
        <w:t>1</w:t>
      </w:r>
      <w:r>
        <w:rPr>
          <w:spacing w:val="-9"/>
          <w:sz w:val="24"/>
          <w:szCs w:val="24"/>
          <w:lang w:eastAsia="zh-CN"/>
        </w:rPr>
        <w:t>个工作日内在河南政</w:t>
      </w:r>
      <w:r>
        <w:rPr>
          <w:spacing w:val="-10"/>
          <w:sz w:val="24"/>
          <w:szCs w:val="24"/>
          <w:lang w:eastAsia="zh-CN"/>
        </w:rPr>
        <w:t>府采购网上发布公告并完成合同备案。双方所签订的合同不得对竞争性磋商文件和成交供应商响应性文件作实质性修改。成交供应商逾期未签订合同，视为成交后无正当理由不与采购人签订合同，按照有关法律规定承担相应的法律责任。采购人逾期不与成交供应商签订合同的，按政府采购的有关规定处理。</w:t>
      </w:r>
    </w:p>
    <w:p w14:paraId="7C000824">
      <w:pPr>
        <w:pStyle w:val="28"/>
        <w:tabs>
          <w:tab w:val="left" w:pos="2020"/>
        </w:tabs>
        <w:spacing w:line="360" w:lineRule="auto"/>
        <w:ind w:left="430" w:firstLine="0"/>
        <w:rPr>
          <w:sz w:val="24"/>
          <w:szCs w:val="24"/>
          <w:lang w:eastAsia="zh-CN"/>
        </w:rPr>
      </w:pPr>
      <w:r>
        <w:rPr>
          <w:rFonts w:hint="eastAsia"/>
          <w:spacing w:val="-25"/>
          <w:sz w:val="24"/>
          <w:szCs w:val="24"/>
          <w:lang w:eastAsia="zh-CN"/>
        </w:rPr>
        <w:t>6</w:t>
      </w:r>
      <w:r>
        <w:rPr>
          <w:spacing w:val="-25"/>
          <w:sz w:val="24"/>
          <w:szCs w:val="24"/>
          <w:lang w:eastAsia="zh-CN"/>
        </w:rPr>
        <w:t>.4.2  竞争性磋商文件、竞争性磋商文件的修改文件、成交供应商的响应性文件、</w:t>
      </w:r>
      <w:r>
        <w:rPr>
          <w:spacing w:val="-10"/>
          <w:sz w:val="24"/>
          <w:szCs w:val="24"/>
          <w:lang w:eastAsia="zh-CN"/>
        </w:rPr>
        <w:t>补充或修改的文件及澄清或承诺文件等，均为双方签订合同的组成部分，并与合同一并作为本竞争性磋商文件所列采购项目的互补性法律文件，与合同具有同等法律</w:t>
      </w:r>
      <w:r>
        <w:rPr>
          <w:spacing w:val="-7"/>
          <w:sz w:val="24"/>
          <w:szCs w:val="24"/>
          <w:lang w:eastAsia="zh-CN"/>
        </w:rPr>
        <w:t>效力。</w:t>
      </w:r>
    </w:p>
    <w:p w14:paraId="2E0B51D6">
      <w:pPr>
        <w:pStyle w:val="28"/>
        <w:tabs>
          <w:tab w:val="left" w:pos="1904"/>
        </w:tabs>
        <w:spacing w:line="360" w:lineRule="auto"/>
        <w:ind w:left="454" w:firstLine="0"/>
        <w:jc w:val="both"/>
        <w:rPr>
          <w:b/>
          <w:sz w:val="24"/>
          <w:szCs w:val="24"/>
          <w:lang w:eastAsia="zh-CN"/>
        </w:rPr>
      </w:pPr>
      <w:bookmarkStart w:id="42" w:name="6.4.3_成交供应商放弃成交、因不可抗力不能履行合同，或者被查实存在影响成交结"/>
      <w:bookmarkEnd w:id="42"/>
      <w:r>
        <w:rPr>
          <w:spacing w:val="-13"/>
          <w:sz w:val="24"/>
          <w:szCs w:val="24"/>
          <w:lang w:eastAsia="zh-CN"/>
        </w:rPr>
        <w:t>6.4.3  成交供应商放弃成交、因不可抗力不能履行合同，或者被查实存在影响成交结果的违法行为等情形，不符合成交条件的，采购人可以按照磋商小组提出的成</w:t>
      </w:r>
      <w:r>
        <w:rPr>
          <w:spacing w:val="-12"/>
          <w:sz w:val="24"/>
          <w:szCs w:val="24"/>
          <w:lang w:eastAsia="zh-CN"/>
        </w:rPr>
        <w:t>交候选供应商名单排序依次确定其他成交候选供应商为成交供应商，也可以重新组</w:t>
      </w:r>
      <w:r>
        <w:rPr>
          <w:spacing w:val="-9"/>
          <w:sz w:val="24"/>
          <w:szCs w:val="24"/>
          <w:lang w:eastAsia="zh-CN"/>
        </w:rPr>
        <w:t>织采购</w:t>
      </w:r>
      <w:r>
        <w:rPr>
          <w:b/>
          <w:sz w:val="24"/>
          <w:szCs w:val="24"/>
          <w:lang w:eastAsia="zh-CN"/>
        </w:rPr>
        <w:t>。</w:t>
      </w:r>
    </w:p>
    <w:p w14:paraId="070CB438">
      <w:pPr>
        <w:pStyle w:val="5"/>
        <w:tabs>
          <w:tab w:val="left" w:pos="1583"/>
        </w:tabs>
        <w:spacing w:line="360" w:lineRule="auto"/>
        <w:ind w:left="0" w:firstLine="482" w:firstLineChars="200"/>
        <w:rPr>
          <w:lang w:eastAsia="zh-CN"/>
        </w:rPr>
      </w:pPr>
      <w:bookmarkStart w:id="43" w:name="7._纪律和监督"/>
      <w:bookmarkEnd w:id="43"/>
      <w:r>
        <w:rPr>
          <w:rFonts w:hint="eastAsia"/>
          <w:lang w:eastAsia="zh-CN"/>
        </w:rPr>
        <w:t>7</w:t>
      </w:r>
      <w:r>
        <w:rPr>
          <w:lang w:eastAsia="zh-CN"/>
        </w:rPr>
        <w:t>. 纪律和监督</w:t>
      </w:r>
    </w:p>
    <w:p w14:paraId="47FD93CF">
      <w:pPr>
        <w:pStyle w:val="5"/>
        <w:tabs>
          <w:tab w:val="left" w:pos="1703"/>
        </w:tabs>
        <w:spacing w:line="360" w:lineRule="auto"/>
        <w:ind w:left="482" w:firstLine="0"/>
        <w:rPr>
          <w:lang w:eastAsia="zh-CN"/>
        </w:rPr>
      </w:pPr>
      <w:bookmarkStart w:id="44" w:name="7.1_对采购人的纪律要求"/>
      <w:bookmarkEnd w:id="44"/>
      <w:r>
        <w:rPr>
          <w:rFonts w:hint="eastAsia"/>
          <w:lang w:eastAsia="zh-CN"/>
        </w:rPr>
        <w:t>7</w:t>
      </w:r>
      <w:r>
        <w:rPr>
          <w:lang w:eastAsia="zh-CN"/>
        </w:rPr>
        <w:t>.1  对采购人的纪律要求</w:t>
      </w:r>
    </w:p>
    <w:p w14:paraId="58C79B25">
      <w:pPr>
        <w:pStyle w:val="6"/>
        <w:spacing w:line="360" w:lineRule="auto"/>
        <w:ind w:left="0" w:firstLine="460" w:firstLineChars="200"/>
        <w:rPr>
          <w:lang w:eastAsia="zh-CN"/>
        </w:rPr>
      </w:pPr>
      <w:r>
        <w:rPr>
          <w:spacing w:val="-5"/>
          <w:lang w:eastAsia="zh-CN"/>
        </w:rPr>
        <w:t>采购人不得泄漏招标投标活动中应当保密的情况和资料，不得与供应商串通</w:t>
      </w:r>
      <w:r>
        <w:rPr>
          <w:lang w:eastAsia="zh-CN"/>
        </w:rPr>
        <w:t>损害国家利益、社会公共利益或者他人合法权益。</w:t>
      </w:r>
    </w:p>
    <w:p w14:paraId="10896ED2">
      <w:pPr>
        <w:pStyle w:val="5"/>
        <w:tabs>
          <w:tab w:val="left" w:pos="1703"/>
        </w:tabs>
        <w:spacing w:line="360" w:lineRule="auto"/>
        <w:ind w:left="0" w:right="480" w:firstLine="482" w:firstLineChars="200"/>
        <w:rPr>
          <w:lang w:eastAsia="zh-CN"/>
        </w:rPr>
      </w:pPr>
      <w:bookmarkStart w:id="45" w:name="7.2_对供应商的纪律要求"/>
      <w:bookmarkEnd w:id="45"/>
      <w:r>
        <w:rPr>
          <w:rFonts w:hint="eastAsia"/>
          <w:lang w:eastAsia="zh-CN"/>
        </w:rPr>
        <w:t>7</w:t>
      </w:r>
      <w:r>
        <w:rPr>
          <w:lang w:eastAsia="zh-CN"/>
        </w:rPr>
        <w:t>.2  对供应商的纪律要求</w:t>
      </w:r>
    </w:p>
    <w:p w14:paraId="766FC189">
      <w:pPr>
        <w:pStyle w:val="6"/>
        <w:spacing w:line="360" w:lineRule="auto"/>
        <w:ind w:left="0" w:firstLine="480" w:firstLineChars="200"/>
        <w:rPr>
          <w:lang w:eastAsia="zh-CN"/>
        </w:rPr>
      </w:pPr>
      <w:r>
        <w:rPr>
          <w:lang w:eastAsia="zh-CN"/>
        </w:rPr>
        <w:t>供应商不得相互串通投标或者与采购人串通投标，不得向采购人或者磋商小组成员行贿谋取成交，不得以他人名义投标或者以其他方式弄虚作假骗取成交； 供应商不得以任何方式干扰、影响评标工作。</w:t>
      </w:r>
    </w:p>
    <w:p w14:paraId="6B839532">
      <w:pPr>
        <w:pStyle w:val="5"/>
        <w:tabs>
          <w:tab w:val="left" w:pos="1703"/>
        </w:tabs>
        <w:spacing w:line="360" w:lineRule="auto"/>
        <w:ind w:left="482" w:right="480" w:firstLine="0"/>
        <w:rPr>
          <w:lang w:eastAsia="zh-CN"/>
        </w:rPr>
      </w:pPr>
      <w:bookmarkStart w:id="46" w:name="7.3_对磋商小组成员的纪律要求"/>
      <w:bookmarkEnd w:id="46"/>
      <w:r>
        <w:rPr>
          <w:rFonts w:hint="eastAsia"/>
          <w:lang w:eastAsia="zh-CN"/>
        </w:rPr>
        <w:t>7</w:t>
      </w:r>
      <w:r>
        <w:rPr>
          <w:lang w:eastAsia="zh-CN"/>
        </w:rPr>
        <w:t>.3  对磋商小组成员的纪律要求</w:t>
      </w:r>
    </w:p>
    <w:p w14:paraId="3AFD4542">
      <w:pPr>
        <w:pStyle w:val="6"/>
        <w:spacing w:line="360" w:lineRule="auto"/>
        <w:ind w:left="0" w:firstLine="456" w:firstLineChars="200"/>
        <w:jc w:val="both"/>
        <w:rPr>
          <w:lang w:eastAsia="zh-CN"/>
        </w:rPr>
      </w:pPr>
      <w:r>
        <w:rPr>
          <w:spacing w:val="-6"/>
          <w:lang w:eastAsia="zh-CN"/>
        </w:rPr>
        <w:t>磋商小组成员不得收受他人的财物或者其他好处，不得向他人透漏对磋商响</w:t>
      </w:r>
      <w:r>
        <w:rPr>
          <w:spacing w:val="-8"/>
          <w:lang w:eastAsia="zh-CN"/>
        </w:rPr>
        <w:t>应文件的评审和比较、成交候选人的推荐情况以及评标有关的其他情况。在评标</w:t>
      </w:r>
      <w:r>
        <w:rPr>
          <w:spacing w:val="-10"/>
          <w:lang w:eastAsia="zh-CN"/>
        </w:rPr>
        <w:t>活动中，磋商小组成员应当客观、公正地履行职责，遵守职业道德，不得擅离职守，影响评标程序正常进行，不得使用第三章“评标办法”没有规定的评审因素</w:t>
      </w:r>
      <w:r>
        <w:rPr>
          <w:lang w:eastAsia="zh-CN"/>
        </w:rPr>
        <w:t>和标准进行评标</w:t>
      </w:r>
      <w:bookmarkStart w:id="47" w:name="7.4_对与评标活动有关的工作人员的纪律要求"/>
      <w:bookmarkEnd w:id="47"/>
      <w:bookmarkStart w:id="48" w:name="6.4_签订合同"/>
      <w:bookmarkEnd w:id="48"/>
    </w:p>
    <w:p w14:paraId="2A2AB0A9">
      <w:pPr>
        <w:pStyle w:val="6"/>
        <w:spacing w:line="360" w:lineRule="auto"/>
        <w:ind w:left="0" w:firstLine="480" w:firstLineChars="200"/>
        <w:jc w:val="both"/>
        <w:rPr>
          <w:lang w:eastAsia="zh-CN"/>
        </w:rPr>
      </w:pPr>
      <w:r>
        <w:rPr>
          <w:rFonts w:hint="eastAsia"/>
          <w:lang w:eastAsia="zh-CN"/>
        </w:rPr>
        <w:t>7</w:t>
      </w:r>
      <w:r>
        <w:rPr>
          <w:lang w:eastAsia="zh-CN"/>
        </w:rPr>
        <w:t>.4  对与评标活动有关的工作人员的纪律要求</w:t>
      </w:r>
    </w:p>
    <w:p w14:paraId="0EA2CD8E">
      <w:pPr>
        <w:pStyle w:val="6"/>
        <w:spacing w:line="360" w:lineRule="auto"/>
        <w:ind w:left="0" w:firstLine="460" w:firstLineChars="200"/>
        <w:jc w:val="both"/>
        <w:rPr>
          <w:lang w:eastAsia="zh-CN"/>
        </w:rPr>
      </w:pPr>
      <w:r>
        <w:rPr>
          <w:spacing w:val="-5"/>
          <w:lang w:eastAsia="zh-CN"/>
        </w:rPr>
        <w:t>与评标活动有关的工作人员不得收受他人的财物或者其他好处，不得向他人</w:t>
      </w:r>
      <w:r>
        <w:rPr>
          <w:spacing w:val="-7"/>
          <w:lang w:eastAsia="zh-CN"/>
        </w:rPr>
        <w:t>透漏对磋商响应文件的评审和比较、成交候选人的推荐情况以及评标有关的其他</w:t>
      </w:r>
      <w:r>
        <w:rPr>
          <w:spacing w:val="-11"/>
          <w:lang w:eastAsia="zh-CN"/>
        </w:rPr>
        <w:t>情况。在评标活动中，与评标活动有关的工作人员不得擅离职守，影响评标程序</w:t>
      </w:r>
      <w:r>
        <w:rPr>
          <w:lang w:eastAsia="zh-CN"/>
        </w:rPr>
        <w:t>正常进行。</w:t>
      </w:r>
    </w:p>
    <w:p w14:paraId="1262E359">
      <w:pPr>
        <w:pStyle w:val="5"/>
        <w:tabs>
          <w:tab w:val="left" w:pos="1703"/>
        </w:tabs>
        <w:spacing w:line="360" w:lineRule="auto"/>
        <w:ind w:left="482" w:right="240" w:firstLine="0"/>
        <w:rPr>
          <w:lang w:eastAsia="zh-CN"/>
        </w:rPr>
      </w:pPr>
      <w:bookmarkStart w:id="49" w:name="7.5_投诉"/>
      <w:bookmarkEnd w:id="49"/>
      <w:r>
        <w:rPr>
          <w:rFonts w:hint="eastAsia"/>
          <w:lang w:eastAsia="zh-CN"/>
        </w:rPr>
        <w:t>7</w:t>
      </w:r>
      <w:r>
        <w:rPr>
          <w:lang w:eastAsia="zh-CN"/>
        </w:rPr>
        <w:t>.5  投诉</w:t>
      </w:r>
    </w:p>
    <w:p w14:paraId="7FC37D89">
      <w:pPr>
        <w:pStyle w:val="6"/>
        <w:spacing w:line="360" w:lineRule="auto"/>
        <w:ind w:left="0" w:firstLine="480" w:firstLineChars="200"/>
        <w:rPr>
          <w:lang w:eastAsia="zh-CN"/>
        </w:rPr>
      </w:pPr>
      <w:r>
        <w:rPr>
          <w:lang w:eastAsia="zh-CN"/>
        </w:rPr>
        <w:t>供应商和其他利害关系人认为本次招标活动违反法律、法规和规章规定的， 有权向有关行政监督部门投诉。</w:t>
      </w:r>
    </w:p>
    <w:p w14:paraId="32BCB308">
      <w:pPr>
        <w:keepNext/>
        <w:tabs>
          <w:tab w:val="left" w:pos="1233"/>
        </w:tabs>
        <w:spacing w:line="440" w:lineRule="exact"/>
        <w:ind w:firstLine="482" w:firstLineChars="200"/>
        <w:outlineLvl w:val="1"/>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lang w:val="en-US" w:eastAsia="zh-CN"/>
        </w:rPr>
        <w:t>8.</w:t>
      </w:r>
      <w:r>
        <w:rPr>
          <w:rFonts w:hint="eastAsia" w:cs="宋体" w:asciiTheme="minorEastAsia" w:hAnsiTheme="minorEastAsia" w:eastAsiaTheme="minorEastAsia"/>
          <w:b/>
          <w:bCs/>
          <w:sz w:val="24"/>
          <w:szCs w:val="24"/>
        </w:rPr>
        <w:t>重新招标</w:t>
      </w:r>
    </w:p>
    <w:p w14:paraId="13E0FE03">
      <w:pPr>
        <w:snapToGrid w:val="0"/>
        <w:spacing w:line="4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8</w:t>
      </w:r>
      <w:r>
        <w:rPr>
          <w:rFonts w:hint="eastAsia" w:cs="宋体" w:asciiTheme="minorEastAsia" w:hAnsiTheme="minorEastAsia" w:eastAsiaTheme="minorEastAsia"/>
          <w:sz w:val="24"/>
          <w:szCs w:val="24"/>
        </w:rPr>
        <w:t>.1出现下列情形之一的，将终止竞争性磋商采购活动，发布项目终止公告并说明原因，重新开展采购活动：</w:t>
      </w:r>
    </w:p>
    <w:p w14:paraId="3EB94230">
      <w:pPr>
        <w:snapToGrid w:val="0"/>
        <w:spacing w:line="4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8</w:t>
      </w:r>
      <w:r>
        <w:rPr>
          <w:rFonts w:hint="eastAsia" w:cs="宋体" w:asciiTheme="minorEastAsia" w:hAnsiTheme="minorEastAsia" w:eastAsiaTheme="minorEastAsia"/>
          <w:sz w:val="24"/>
          <w:szCs w:val="24"/>
        </w:rPr>
        <w:t>.1.1不符合法律、法规和竞争性磋商文件中规定的其他实质性要求的；</w:t>
      </w:r>
    </w:p>
    <w:p w14:paraId="462C8638">
      <w:pPr>
        <w:snapToGrid w:val="0"/>
        <w:spacing w:line="4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8</w:t>
      </w:r>
      <w:r>
        <w:rPr>
          <w:rFonts w:hint="eastAsia" w:cs="宋体" w:asciiTheme="minorEastAsia" w:hAnsiTheme="minorEastAsia" w:eastAsiaTheme="minorEastAsia"/>
          <w:sz w:val="24"/>
          <w:szCs w:val="24"/>
        </w:rPr>
        <w:t>.1.2、其他法律、法规及本竞争性磋商文件规定的属响应无效的情形。终止竞争性磋商采购活动的条款；</w:t>
      </w:r>
    </w:p>
    <w:p w14:paraId="42D2B9F5">
      <w:pPr>
        <w:snapToGrid w:val="0"/>
        <w:spacing w:line="4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8</w:t>
      </w:r>
      <w:r>
        <w:rPr>
          <w:rFonts w:hint="eastAsia" w:cs="宋体" w:asciiTheme="minorEastAsia" w:hAnsiTheme="minorEastAsia" w:eastAsiaTheme="minorEastAsia"/>
          <w:sz w:val="24"/>
          <w:szCs w:val="24"/>
        </w:rPr>
        <w:t>.1.3、因情况变化，不再符合规定的竞争性磋商采购方式适用情形的；出现影响采购公正的违法、违规行为的；</w:t>
      </w:r>
    </w:p>
    <w:p w14:paraId="63465C0F">
      <w:pPr>
        <w:snapToGrid w:val="0"/>
        <w:spacing w:line="4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8</w:t>
      </w:r>
      <w:r>
        <w:rPr>
          <w:rFonts w:hint="eastAsia" w:cs="宋体" w:asciiTheme="minorEastAsia" w:hAnsiTheme="minorEastAsia" w:eastAsiaTheme="minorEastAsia"/>
          <w:sz w:val="24"/>
          <w:szCs w:val="24"/>
        </w:rPr>
        <w:t>.2.磋商</w:t>
      </w:r>
      <w:r>
        <w:rPr>
          <w:rFonts w:hint="eastAsia" w:cs="宋体" w:asciiTheme="minorEastAsia" w:hAnsiTheme="minorEastAsia"/>
          <w:sz w:val="24"/>
          <w:szCs w:val="24"/>
          <w:lang w:eastAsia="zh-CN"/>
        </w:rPr>
        <w:t>文件递交</w:t>
      </w:r>
      <w:r>
        <w:rPr>
          <w:rFonts w:hint="eastAsia" w:cs="宋体" w:asciiTheme="minorEastAsia" w:hAnsiTheme="minorEastAsia" w:eastAsiaTheme="minorEastAsia"/>
          <w:sz w:val="24"/>
          <w:szCs w:val="24"/>
        </w:rPr>
        <w:t>截止时间结束后参加响应人不足3家的，应重新组织采购。评审期间符合专业条件的响应人或者对磋商响应文件作出实质响应的响应人不足3家的。</w:t>
      </w:r>
    </w:p>
    <w:p w14:paraId="1D35BBFA">
      <w:pPr>
        <w:pStyle w:val="5"/>
        <w:tabs>
          <w:tab w:val="left" w:pos="1464"/>
        </w:tabs>
        <w:spacing w:line="360" w:lineRule="auto"/>
        <w:ind w:left="482" w:firstLine="0"/>
      </w:pPr>
      <w:bookmarkStart w:id="50" w:name="8.需要补充的其他内容"/>
      <w:bookmarkEnd w:id="50"/>
      <w:r>
        <w:rPr>
          <w:rFonts w:hint="eastAsia"/>
          <w:lang w:val="en-US" w:eastAsia="zh-CN"/>
        </w:rPr>
        <w:t>9</w:t>
      </w:r>
      <w:r>
        <w:rPr>
          <w:lang w:eastAsia="zh-CN"/>
        </w:rPr>
        <w:t xml:space="preserve">.  </w:t>
      </w:r>
      <w:r>
        <w:t>需要补充的其他内容</w:t>
      </w:r>
    </w:p>
    <w:p w14:paraId="59179122">
      <w:pPr>
        <w:pStyle w:val="6"/>
        <w:spacing w:line="360" w:lineRule="auto"/>
        <w:ind w:left="0" w:firstLine="480" w:firstLineChars="200"/>
        <w:rPr>
          <w:lang w:eastAsia="zh-CN"/>
        </w:rPr>
      </w:pPr>
      <w:r>
        <w:rPr>
          <w:lang w:eastAsia="zh-CN"/>
        </w:rPr>
        <w:t>需要补充的其他内容：见供应商须知前附表。</w:t>
      </w:r>
    </w:p>
    <w:p w14:paraId="40B95730">
      <w:pPr>
        <w:snapToGrid w:val="0"/>
        <w:spacing w:line="440" w:lineRule="exact"/>
        <w:ind w:firstLine="480" w:firstLineChars="200"/>
        <w:rPr>
          <w:rFonts w:hint="eastAsia"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招标代理服务收费参照豫招协[2023]002号河南省招标投标协会关于印发《河南省招标代理服务收费指导意见》规定的收费标准收取中标服务费。</w:t>
      </w:r>
    </w:p>
    <w:p w14:paraId="3D81A3B9">
      <w:pPr>
        <w:snapToGrid w:val="0"/>
        <w:spacing w:line="440" w:lineRule="exact"/>
        <w:ind w:firstLine="480" w:firstLineChars="200"/>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河南省招标代理服务费计算标准</w:t>
      </w:r>
    </w:p>
    <w:tbl>
      <w:tblPr>
        <w:tblStyle w:val="12"/>
        <w:tblpPr w:leftFromText="180" w:rightFromText="180" w:vertAnchor="text" w:horzAnchor="page" w:tblpX="1421" w:tblpY="481"/>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3994"/>
        <w:gridCol w:w="1642"/>
        <w:gridCol w:w="1433"/>
        <w:gridCol w:w="1711"/>
      </w:tblGrid>
      <w:tr w14:paraId="796CE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2AF12639">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项目类型/（金额万元）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66BD7C85">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工程</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46F4D6D6">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货物</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701C83D9">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服务</w:t>
            </w:r>
          </w:p>
        </w:tc>
      </w:tr>
      <w:tr w14:paraId="74C7E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69548979">
            <w:pPr>
              <w:kinsoku/>
              <w:autoSpaceDE/>
              <w:autoSpaceDN w:val="0"/>
              <w:jc w:val="left"/>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100万元以下（含100万元）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3CA15F8B">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1.20%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68F18045">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1.70%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65580915">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1.70%</w:t>
            </w:r>
          </w:p>
        </w:tc>
      </w:tr>
      <w:tr w14:paraId="0CCD5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283A989A">
            <w:pPr>
              <w:kinsoku/>
              <w:autoSpaceDE/>
              <w:autoSpaceDN w:val="0"/>
              <w:jc w:val="left"/>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100-500万元（含500万元）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47E343E0">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1.00%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4D09194C">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1.20%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6461341F">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1.20%</w:t>
            </w:r>
          </w:p>
        </w:tc>
      </w:tr>
      <w:tr w14:paraId="00FAE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4843D4CF">
            <w:pPr>
              <w:kinsoku/>
              <w:autoSpaceDE/>
              <w:autoSpaceDN w:val="0"/>
              <w:jc w:val="left"/>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500-1000万元（含1000万元）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0C4E39FB">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0.70%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5978F035">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0.80%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16B87BAF">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0.70%</w:t>
            </w:r>
          </w:p>
        </w:tc>
      </w:tr>
      <w:tr w14:paraId="2F0DF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416024B3">
            <w:pPr>
              <w:kinsoku/>
              <w:autoSpaceDE/>
              <w:autoSpaceDN w:val="0"/>
              <w:jc w:val="left"/>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1000-5000万元（含5000万元）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15FB257C">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0.40%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730B44E1">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0.50%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0D294136">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0.40%</w:t>
            </w:r>
          </w:p>
        </w:tc>
      </w:tr>
      <w:tr w14:paraId="26216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2452CAFF">
            <w:pPr>
              <w:kinsoku/>
              <w:autoSpaceDE/>
              <w:autoSpaceDN w:val="0"/>
              <w:jc w:val="left"/>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5000万元--1亿元（含1亿元）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5DF8E2A9">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0.25%</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21F70F34">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0.30%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3FABCD9D">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0.25%</w:t>
            </w:r>
          </w:p>
        </w:tc>
      </w:tr>
      <w:tr w14:paraId="6C30D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63492693">
            <w:pPr>
              <w:kinsoku/>
              <w:autoSpaceDE/>
              <w:autoSpaceDN w:val="0"/>
              <w:jc w:val="left"/>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1亿--5亿元（含5亿元）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3C93F822">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0.10%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4172714C">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0.10%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75D31B96">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0.10%</w:t>
            </w:r>
          </w:p>
        </w:tc>
      </w:tr>
      <w:tr w14:paraId="712F2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right w:val="single" w:color="000000" w:sz="4" w:space="0"/>
            </w:tcBorders>
            <w:noWrap w:val="0"/>
            <w:vAlign w:val="center"/>
          </w:tcPr>
          <w:p w14:paraId="00B5F882">
            <w:pPr>
              <w:kinsoku/>
              <w:autoSpaceDE/>
              <w:autoSpaceDN w:val="0"/>
              <w:jc w:val="left"/>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5亿--10亿元（含10亿元）</w:t>
            </w:r>
          </w:p>
        </w:tc>
        <w:tc>
          <w:tcPr>
            <w:tcW w:w="1642" w:type="dxa"/>
            <w:tcBorders>
              <w:top w:val="single" w:color="000000" w:sz="4" w:space="0"/>
              <w:left w:val="single" w:color="000000" w:sz="4" w:space="0"/>
              <w:right w:val="single" w:color="000000" w:sz="4" w:space="0"/>
            </w:tcBorders>
            <w:noWrap w:val="0"/>
            <w:vAlign w:val="center"/>
          </w:tcPr>
          <w:p w14:paraId="1953CB08">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0.045%</w:t>
            </w:r>
          </w:p>
        </w:tc>
        <w:tc>
          <w:tcPr>
            <w:tcW w:w="1433" w:type="dxa"/>
            <w:tcBorders>
              <w:top w:val="single" w:color="000000" w:sz="4" w:space="0"/>
              <w:left w:val="single" w:color="000000" w:sz="4" w:space="0"/>
              <w:right w:val="single" w:color="000000" w:sz="4" w:space="0"/>
            </w:tcBorders>
            <w:noWrap w:val="0"/>
            <w:vAlign w:val="center"/>
          </w:tcPr>
          <w:p w14:paraId="1E43F1B9">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0.045%</w:t>
            </w:r>
          </w:p>
        </w:tc>
        <w:tc>
          <w:tcPr>
            <w:tcW w:w="1711" w:type="dxa"/>
            <w:tcBorders>
              <w:top w:val="single" w:color="000000" w:sz="4" w:space="0"/>
              <w:left w:val="single" w:color="000000" w:sz="4" w:space="0"/>
              <w:right w:val="single" w:color="000000" w:sz="4" w:space="0"/>
            </w:tcBorders>
            <w:noWrap w:val="0"/>
            <w:vAlign w:val="center"/>
          </w:tcPr>
          <w:p w14:paraId="2AE52C3B">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0.045%</w:t>
            </w:r>
          </w:p>
        </w:tc>
      </w:tr>
      <w:tr w14:paraId="7CA2C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0B0D9C05">
            <w:pPr>
              <w:kinsoku/>
              <w:autoSpaceDE/>
              <w:autoSpaceDN w:val="0"/>
              <w:jc w:val="left"/>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10亿--50亿元（含50亿元）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5D3AAF89">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0.010%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71CCACB8">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0.010%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69159897">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0.010%</w:t>
            </w:r>
          </w:p>
        </w:tc>
      </w:tr>
      <w:tr w14:paraId="1E688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13C860D4">
            <w:pPr>
              <w:kinsoku/>
              <w:autoSpaceDE/>
              <w:autoSpaceDN w:val="0"/>
              <w:jc w:val="left"/>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50亿--100亿元（含</w:t>
            </w:r>
            <w:r>
              <w:rPr>
                <w:rFonts w:hint="eastAsia" w:ascii="宋体" w:hAnsi="宋体"/>
                <w:b w:val="0"/>
                <w:i w:val="0"/>
                <w:snapToGrid/>
                <w:color w:val="auto"/>
                <w:sz w:val="24"/>
                <w:szCs w:val="18"/>
                <w:u w:val="none"/>
                <w:lang w:val="en-US" w:eastAsia="zh-CN"/>
              </w:rPr>
              <w:t>100</w:t>
            </w:r>
            <w:r>
              <w:rPr>
                <w:rFonts w:hint="default" w:ascii="宋体" w:hAnsi="宋体" w:eastAsia="宋体"/>
                <w:b w:val="0"/>
                <w:i w:val="0"/>
                <w:snapToGrid/>
                <w:color w:val="auto"/>
                <w:sz w:val="24"/>
                <w:szCs w:val="18"/>
                <w:u w:val="none"/>
                <w:lang w:eastAsia="zh-CN"/>
              </w:rPr>
              <w:t>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1FF2239A">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0.008%</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286F861C">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0.008%</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3201EDAE">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0.008%</w:t>
            </w:r>
          </w:p>
        </w:tc>
      </w:tr>
      <w:tr w14:paraId="4D2AE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2A6C944B">
            <w:pPr>
              <w:kinsoku/>
              <w:autoSpaceDE/>
              <w:autoSpaceDN w:val="0"/>
              <w:jc w:val="left"/>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100亿元以上</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4CD15FA9">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0.004%</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4DD3E279">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0.004%</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1B732317">
            <w:pPr>
              <w:kinsoku/>
              <w:autoSpaceDE/>
              <w:autoSpaceDN w:val="0"/>
              <w:jc w:val="center"/>
              <w:textAlignment w:val="center"/>
              <w:rPr>
                <w:rFonts w:hint="default" w:ascii="宋体" w:hAnsi="宋体" w:eastAsia="宋体"/>
                <w:b w:val="0"/>
                <w:i w:val="0"/>
                <w:snapToGrid/>
                <w:color w:val="auto"/>
                <w:sz w:val="24"/>
                <w:szCs w:val="18"/>
                <w:u w:val="none"/>
                <w:lang w:eastAsia="zh-CN"/>
              </w:rPr>
            </w:pPr>
            <w:r>
              <w:rPr>
                <w:rFonts w:hint="default" w:ascii="宋体" w:hAnsi="宋体" w:eastAsia="宋体"/>
                <w:b w:val="0"/>
                <w:i w:val="0"/>
                <w:snapToGrid/>
                <w:color w:val="auto"/>
                <w:sz w:val="24"/>
                <w:szCs w:val="18"/>
                <w:u w:val="none"/>
                <w:lang w:eastAsia="zh-CN"/>
              </w:rPr>
              <w:t>0.004%</w:t>
            </w:r>
          </w:p>
        </w:tc>
      </w:tr>
      <w:tr w14:paraId="3B5F1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21" w:hRule="atLeast"/>
        </w:trPr>
        <w:tc>
          <w:tcPr>
            <w:tcW w:w="8780" w:type="dxa"/>
            <w:gridSpan w:val="4"/>
            <w:noWrap w:val="0"/>
            <w:vAlign w:val="center"/>
          </w:tcPr>
          <w:p w14:paraId="2E5AD331">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u w:val="none"/>
                <w:lang w:eastAsia="zh-CN"/>
              </w:rPr>
            </w:pPr>
            <w:r>
              <w:rPr>
                <w:rFonts w:hint="default" w:ascii="宋体" w:hAnsi="宋体" w:eastAsia="宋体"/>
                <w:b w:val="0"/>
                <w:i w:val="0"/>
                <w:snapToGrid/>
                <w:color w:val="auto"/>
                <w:sz w:val="24"/>
                <w:szCs w:val="24"/>
                <w:u w:val="none"/>
                <w:lang w:eastAsia="zh-CN"/>
              </w:rPr>
              <w:t>注：1.按本表费率计算的收费金额为招标代理服务费的基准价格，不含工程量清单、最高投标限价（招标控制价）或标底的编制费用。</w:t>
            </w:r>
          </w:p>
          <w:p w14:paraId="0607C6A3">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u w:val="none"/>
                <w:lang w:val="en-US" w:eastAsia="zh-CN"/>
              </w:rPr>
            </w:pPr>
            <w:r>
              <w:rPr>
                <w:rFonts w:hint="eastAsia" w:ascii="宋体" w:hAnsi="宋体" w:eastAsia="宋体"/>
                <w:b w:val="0"/>
                <w:i w:val="0"/>
                <w:snapToGrid/>
                <w:color w:val="auto"/>
                <w:sz w:val="24"/>
                <w:szCs w:val="24"/>
                <w:u w:val="none"/>
                <w:lang w:val="en-US" w:eastAsia="zh-CN"/>
              </w:rPr>
              <w:t>2.招标代理服务收费按差额定率累进法计算。</w:t>
            </w:r>
          </w:p>
          <w:p w14:paraId="75CC6F6C">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u w:val="none"/>
                <w:lang w:eastAsia="zh-CN"/>
              </w:rPr>
            </w:pPr>
            <w:r>
              <w:rPr>
                <w:rFonts w:hint="default" w:ascii="宋体" w:hAnsi="宋体" w:eastAsia="宋体"/>
                <w:b w:val="0"/>
                <w:i w:val="0"/>
                <w:snapToGrid/>
                <w:color w:val="auto"/>
                <w:sz w:val="24"/>
                <w:szCs w:val="24"/>
                <w:u w:val="none"/>
                <w:lang w:eastAsia="zh-CN"/>
              </w:rPr>
              <w:t>例如: 某工程招标代理业务，项目预算金额（招标控制价）为10000万元，招标代理服务收费计算如下:</w:t>
            </w:r>
          </w:p>
          <w:p w14:paraId="376AEAD7">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u w:val="none"/>
                <w:lang w:eastAsia="zh-CN"/>
              </w:rPr>
            </w:pPr>
            <w:r>
              <w:rPr>
                <w:rFonts w:hint="eastAsia" w:ascii="宋体" w:hAnsi="宋体"/>
                <w:b w:val="0"/>
                <w:i w:val="0"/>
                <w:snapToGrid/>
                <w:color w:val="auto"/>
                <w:sz w:val="24"/>
                <w:szCs w:val="24"/>
                <w:u w:val="none"/>
                <w:lang w:val="en-US" w:eastAsia="zh-CN"/>
              </w:rPr>
              <w:t xml:space="preserve"> </w:t>
            </w:r>
            <w:r>
              <w:rPr>
                <w:rFonts w:hint="default" w:ascii="宋体" w:hAnsi="宋体" w:eastAsia="宋体"/>
                <w:b w:val="0"/>
                <w:i w:val="0"/>
                <w:snapToGrid/>
                <w:color w:val="auto"/>
                <w:sz w:val="24"/>
                <w:szCs w:val="24"/>
                <w:u w:val="none"/>
                <w:lang w:eastAsia="zh-CN"/>
              </w:rPr>
              <w:t>100万元×1.2%=1.2万元</w:t>
            </w:r>
          </w:p>
          <w:p w14:paraId="71DAE167">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u w:val="none"/>
                <w:lang w:eastAsia="zh-CN"/>
              </w:rPr>
            </w:pPr>
            <w:r>
              <w:rPr>
                <w:rFonts w:hint="default" w:ascii="宋体" w:hAnsi="宋体" w:eastAsia="宋体"/>
                <w:b w:val="0"/>
                <w:i w:val="0"/>
                <w:snapToGrid/>
                <w:color w:val="auto"/>
                <w:sz w:val="24"/>
                <w:szCs w:val="24"/>
                <w:u w:val="none"/>
                <w:lang w:eastAsia="zh-CN"/>
              </w:rPr>
              <w:t>（500-100）万元×1.0%=4万元</w:t>
            </w:r>
          </w:p>
          <w:p w14:paraId="381D69E7">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u w:val="none"/>
                <w:lang w:eastAsia="zh-CN"/>
              </w:rPr>
            </w:pPr>
            <w:r>
              <w:rPr>
                <w:rFonts w:hint="default" w:ascii="宋体" w:hAnsi="宋体" w:eastAsia="宋体"/>
                <w:b w:val="0"/>
                <w:i w:val="0"/>
                <w:snapToGrid/>
                <w:color w:val="auto"/>
                <w:sz w:val="24"/>
                <w:szCs w:val="24"/>
                <w:u w:val="none"/>
                <w:lang w:eastAsia="zh-CN"/>
              </w:rPr>
              <w:t>（1000-500）×0.7%=3.5万元</w:t>
            </w:r>
          </w:p>
          <w:p w14:paraId="7BA8B50E">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u w:val="none"/>
                <w:lang w:eastAsia="zh-CN"/>
              </w:rPr>
            </w:pPr>
            <w:r>
              <w:rPr>
                <w:rFonts w:hint="default" w:ascii="宋体" w:hAnsi="宋体" w:eastAsia="宋体"/>
                <w:b w:val="0"/>
                <w:i w:val="0"/>
                <w:snapToGrid/>
                <w:color w:val="auto"/>
                <w:sz w:val="24"/>
                <w:szCs w:val="24"/>
                <w:u w:val="none"/>
                <w:lang w:eastAsia="zh-CN"/>
              </w:rPr>
              <w:t>（5000-1000）×0.4%=16万元</w:t>
            </w:r>
          </w:p>
          <w:p w14:paraId="027D5006">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1"/>
                <w:szCs w:val="18"/>
                <w:u w:val="none"/>
                <w:lang w:eastAsia="zh-CN"/>
              </w:rPr>
            </w:pPr>
            <w:r>
              <w:rPr>
                <w:rFonts w:hint="default" w:ascii="宋体" w:hAnsi="宋体" w:eastAsia="宋体"/>
                <w:b w:val="0"/>
                <w:i w:val="0"/>
                <w:snapToGrid/>
                <w:color w:val="auto"/>
                <w:sz w:val="24"/>
                <w:szCs w:val="24"/>
                <w:u w:val="none"/>
                <w:lang w:eastAsia="zh-CN"/>
              </w:rPr>
              <w:t>（10000-5000）×0.25%=12.5万元合计收费=1.2+4+3.5+16+12.5=37.2万元</w:t>
            </w:r>
          </w:p>
        </w:tc>
      </w:tr>
    </w:tbl>
    <w:p w14:paraId="5B2468F0">
      <w:pPr>
        <w:widowControl/>
        <w:jc w:val="left"/>
        <w:rPr>
          <w:rFonts w:ascii="宋体" w:hAnsi="宋体"/>
          <w:sz w:val="24"/>
          <w:szCs w:val="24"/>
        </w:rPr>
      </w:pPr>
      <w:r>
        <w:rPr>
          <w:rFonts w:ascii="宋体" w:hAnsi="宋体"/>
          <w:sz w:val="24"/>
          <w:szCs w:val="24"/>
        </w:rPr>
        <w:br w:type="page"/>
      </w:r>
    </w:p>
    <w:p w14:paraId="3337AA61">
      <w:pPr>
        <w:adjustRightInd w:val="0"/>
        <w:snapToGrid w:val="0"/>
        <w:spacing w:line="360" w:lineRule="auto"/>
        <w:rPr>
          <w:rFonts w:ascii="宋体" w:hAnsi="宋体" w:cs="宋体"/>
          <w:color w:val="auto"/>
          <w:sz w:val="24"/>
        </w:rPr>
      </w:pPr>
      <w:r>
        <w:rPr>
          <w:rFonts w:hint="eastAsia" w:ascii="宋体" w:hAnsi="宋体" w:cs="宋体"/>
          <w:color w:val="auto"/>
          <w:sz w:val="24"/>
        </w:rPr>
        <w:t>附件1：河南省政府采购合同融资政策告知函</w:t>
      </w:r>
    </w:p>
    <w:p w14:paraId="76C0B285">
      <w:pPr>
        <w:adjustRightInd w:val="0"/>
        <w:snapToGrid w:val="0"/>
        <w:spacing w:line="360" w:lineRule="auto"/>
        <w:ind w:firstLine="482" w:firstLineChars="200"/>
        <w:jc w:val="center"/>
        <w:rPr>
          <w:rFonts w:ascii="宋体" w:hAnsi="宋体" w:cs="宋体"/>
          <w:b/>
          <w:bCs/>
          <w:color w:val="auto"/>
          <w:sz w:val="24"/>
        </w:rPr>
      </w:pPr>
      <w:bookmarkStart w:id="51" w:name="_Toc19399"/>
      <w:bookmarkStart w:id="52" w:name="_Toc7567"/>
    </w:p>
    <w:p w14:paraId="055171FD">
      <w:pPr>
        <w:adjustRightInd w:val="0"/>
        <w:snapToGrid w:val="0"/>
        <w:spacing w:line="360" w:lineRule="auto"/>
        <w:ind w:firstLine="482" w:firstLineChars="200"/>
        <w:jc w:val="center"/>
        <w:rPr>
          <w:rFonts w:ascii="宋体" w:hAnsi="宋体" w:cs="宋体"/>
          <w:color w:val="auto"/>
          <w:sz w:val="24"/>
        </w:rPr>
      </w:pPr>
      <w:r>
        <w:rPr>
          <w:rFonts w:hint="eastAsia" w:ascii="宋体" w:hAnsi="宋体" w:cs="宋体"/>
          <w:b/>
          <w:bCs/>
          <w:color w:val="auto"/>
          <w:sz w:val="24"/>
        </w:rPr>
        <w:t>河南省政府采购合同融资政策告知函</w:t>
      </w:r>
      <w:bookmarkEnd w:id="51"/>
      <w:bookmarkEnd w:id="52"/>
    </w:p>
    <w:p w14:paraId="25123A38">
      <w:pPr>
        <w:adjustRightInd w:val="0"/>
        <w:snapToGrid w:val="0"/>
        <w:spacing w:line="360" w:lineRule="auto"/>
        <w:ind w:firstLine="480" w:firstLineChars="200"/>
        <w:jc w:val="left"/>
        <w:rPr>
          <w:rFonts w:ascii="宋体" w:hAnsi="宋体" w:cs="宋体"/>
          <w:color w:val="auto"/>
          <w:sz w:val="24"/>
        </w:rPr>
      </w:pPr>
    </w:p>
    <w:p w14:paraId="365FBD5A">
      <w:pPr>
        <w:adjustRightInd w:val="0"/>
        <w:snapToGrid w:val="0"/>
        <w:spacing w:line="360" w:lineRule="auto"/>
        <w:ind w:firstLine="480" w:firstLineChars="200"/>
        <w:jc w:val="left"/>
        <w:rPr>
          <w:rFonts w:ascii="宋体" w:hAnsi="宋体" w:cs="宋体"/>
          <w:color w:val="auto"/>
          <w:sz w:val="24"/>
        </w:rPr>
      </w:pPr>
      <w:r>
        <w:rPr>
          <w:rFonts w:hint="eastAsia" w:ascii="宋体" w:hAnsi="宋体" w:cs="宋体"/>
          <w:color w:val="auto"/>
          <w:sz w:val="24"/>
        </w:rPr>
        <w:t>各</w:t>
      </w:r>
      <w:r>
        <w:rPr>
          <w:rFonts w:hint="eastAsia" w:cs="宋体"/>
          <w:color w:val="auto"/>
          <w:sz w:val="24"/>
          <w:lang w:eastAsia="zh-CN"/>
        </w:rPr>
        <w:t>供应商</w:t>
      </w:r>
      <w:r>
        <w:rPr>
          <w:rFonts w:hint="eastAsia" w:ascii="宋体" w:hAnsi="宋体" w:cs="宋体"/>
          <w:color w:val="auto"/>
          <w:sz w:val="24"/>
        </w:rPr>
        <w:t>：</w:t>
      </w:r>
    </w:p>
    <w:p w14:paraId="142B609D">
      <w:pPr>
        <w:adjustRightInd w:val="0"/>
        <w:snapToGrid w:val="0"/>
        <w:spacing w:line="360" w:lineRule="auto"/>
        <w:ind w:firstLine="480" w:firstLineChars="200"/>
        <w:jc w:val="left"/>
        <w:rPr>
          <w:rFonts w:ascii="宋体" w:hAnsi="宋体" w:cs="宋体"/>
          <w:color w:val="auto"/>
          <w:sz w:val="24"/>
        </w:rPr>
      </w:pPr>
      <w:r>
        <w:rPr>
          <w:rFonts w:hint="eastAsia" w:ascii="宋体" w:hAnsi="宋体" w:cs="宋体"/>
          <w:color w:val="auto"/>
          <w:sz w:val="24"/>
        </w:rPr>
        <w:t>欢迎贵公司参与河南省政府采购活动！</w:t>
      </w:r>
    </w:p>
    <w:p w14:paraId="14B45B6E">
      <w:pPr>
        <w:adjustRightInd w:val="0"/>
        <w:snapToGrid w:val="0"/>
        <w:spacing w:line="360" w:lineRule="auto"/>
        <w:ind w:firstLine="480" w:firstLineChars="200"/>
        <w:jc w:val="left"/>
        <w:rPr>
          <w:rFonts w:ascii="宋体" w:hAnsi="宋体" w:cs="宋体"/>
          <w:color w:val="auto"/>
          <w:sz w:val="24"/>
        </w:rPr>
      </w:pPr>
      <w:r>
        <w:rPr>
          <w:rFonts w:hint="eastAsia" w:ascii="宋体" w:hAnsi="宋体" w:cs="宋体"/>
          <w:color w:val="auto"/>
          <w:sz w:val="24"/>
        </w:rPr>
        <w:t>政府采购合同融资是河南省</w:t>
      </w:r>
      <w:r>
        <w:rPr>
          <w:rFonts w:hint="eastAsia" w:ascii="宋体" w:hAnsi="宋体" w:cs="宋体"/>
          <w:color w:val="auto"/>
          <w:sz w:val="24"/>
          <w:lang w:eastAsia="zh-CN"/>
        </w:rPr>
        <w:t>自筹</w:t>
      </w:r>
      <w:r>
        <w:rPr>
          <w:rFonts w:hint="eastAsia" w:ascii="宋体" w:hAnsi="宋体" w:cs="宋体"/>
          <w:color w:val="auto"/>
          <w:sz w:val="24"/>
        </w:rPr>
        <w:t>厅支持中小微企业发展，针对参与政府采购活动的</w:t>
      </w:r>
      <w:r>
        <w:rPr>
          <w:rFonts w:hint="eastAsia" w:cs="宋体"/>
          <w:color w:val="auto"/>
          <w:sz w:val="24"/>
          <w:lang w:eastAsia="zh-CN"/>
        </w:rPr>
        <w:t>供应商</w:t>
      </w:r>
      <w:r>
        <w:rPr>
          <w:rFonts w:hint="eastAsia" w:ascii="宋体" w:hAnsi="宋体" w:cs="宋体"/>
          <w:color w:val="auto"/>
          <w:sz w:val="24"/>
        </w:rPr>
        <w:t>融资难、融资贵问题推出的一项融资政策。贵公司若成为本次政府采购项目的中标供应商，可持政府采购合同向金融机构申请贷款，无需抵押、担保，融资机构将根据《河南省政府采购合同融资工作实施方案》（豫财购〔2017〕10号），按照双方自愿的原则提供便捷、优惠的贷款服务。</w:t>
      </w:r>
    </w:p>
    <w:p w14:paraId="69344E69">
      <w:pPr>
        <w:pStyle w:val="34"/>
        <w:snapToGrid w:val="0"/>
        <w:spacing w:line="360" w:lineRule="auto"/>
        <w:ind w:firstLine="480" w:firstLineChars="200"/>
        <w:rPr>
          <w:rFonts w:hint="eastAsia" w:hAnsi="宋体"/>
          <w:color w:val="auto"/>
        </w:rPr>
      </w:pPr>
      <w:bookmarkStart w:id="53" w:name="_Toc15196"/>
      <w:r>
        <w:rPr>
          <w:rFonts w:hint="eastAsia" w:hAnsi="宋体"/>
          <w:color w:val="auto"/>
        </w:rPr>
        <w:t>贷款渠道和提供贷款的金融机构，可在河南省政府采购网“河南省政府采购合同融资平台”查询联系。</w:t>
      </w:r>
      <w:bookmarkEnd w:id="53"/>
    </w:p>
    <w:p w14:paraId="7FF102FC">
      <w:pPr>
        <w:pStyle w:val="34"/>
        <w:snapToGrid w:val="0"/>
        <w:spacing w:line="360" w:lineRule="auto"/>
        <w:ind w:firstLine="480" w:firstLineChars="200"/>
        <w:rPr>
          <w:rFonts w:hAnsi="宋体"/>
          <w:color w:val="FF0000"/>
        </w:rPr>
      </w:pPr>
    </w:p>
    <w:p w14:paraId="2EB2AEEC">
      <w:pPr>
        <w:rPr>
          <w:rFonts w:ascii="宋体" w:hAnsi="宋体" w:cs="宋体"/>
          <w:color w:val="auto"/>
          <w:kern w:val="0"/>
          <w:sz w:val="24"/>
          <w:shd w:val="clear" w:color="auto" w:fill="F9F9F9"/>
        </w:rPr>
      </w:pPr>
      <w:r>
        <w:rPr>
          <w:rFonts w:ascii="宋体" w:hAnsi="宋体" w:cs="宋体"/>
          <w:sz w:val="24"/>
        </w:rPr>
        <w:br w:type="page"/>
      </w:r>
      <w:r>
        <w:rPr>
          <w:rFonts w:hint="eastAsia" w:ascii="宋体" w:hAnsi="宋体" w:cs="宋体"/>
          <w:color w:val="auto"/>
          <w:sz w:val="24"/>
        </w:rPr>
        <w:t>附件2：卢氏县政府采购合同融资政策告知书</w:t>
      </w:r>
    </w:p>
    <w:p w14:paraId="41653021">
      <w:pPr>
        <w:adjustRightInd w:val="0"/>
        <w:snapToGrid w:val="0"/>
        <w:spacing w:line="360" w:lineRule="auto"/>
        <w:ind w:firstLine="480" w:firstLineChars="200"/>
        <w:jc w:val="left"/>
        <w:rPr>
          <w:rFonts w:ascii="宋体" w:hAnsi="宋体" w:cs="宋体"/>
          <w:color w:val="auto"/>
          <w:sz w:val="24"/>
        </w:rPr>
      </w:pPr>
    </w:p>
    <w:p w14:paraId="3A75794F">
      <w:pPr>
        <w:adjustRightInd w:val="0"/>
        <w:snapToGrid w:val="0"/>
        <w:spacing w:line="360" w:lineRule="auto"/>
        <w:ind w:firstLine="482" w:firstLineChars="200"/>
        <w:jc w:val="center"/>
        <w:rPr>
          <w:rFonts w:ascii="宋体" w:hAnsi="宋体" w:cs="宋体"/>
          <w:b/>
          <w:bCs/>
          <w:color w:val="auto"/>
          <w:sz w:val="24"/>
        </w:rPr>
      </w:pPr>
      <w:r>
        <w:rPr>
          <w:rFonts w:hint="eastAsia" w:ascii="宋体" w:hAnsi="宋体" w:cs="宋体"/>
          <w:b/>
          <w:bCs/>
          <w:color w:val="auto"/>
          <w:sz w:val="24"/>
        </w:rPr>
        <w:t>卢氏县政府采购合同融资政策告知书</w:t>
      </w:r>
    </w:p>
    <w:p w14:paraId="6D349ECD">
      <w:pPr>
        <w:adjustRightInd w:val="0"/>
        <w:snapToGrid w:val="0"/>
        <w:spacing w:line="360" w:lineRule="auto"/>
        <w:ind w:firstLine="480" w:firstLineChars="200"/>
        <w:jc w:val="left"/>
        <w:rPr>
          <w:rFonts w:ascii="宋体" w:hAnsi="宋体" w:cs="宋体"/>
          <w:color w:val="auto"/>
          <w:sz w:val="24"/>
        </w:rPr>
      </w:pPr>
    </w:p>
    <w:p w14:paraId="25587834">
      <w:pPr>
        <w:adjustRightInd w:val="0"/>
        <w:snapToGrid w:val="0"/>
        <w:spacing w:line="360" w:lineRule="auto"/>
        <w:ind w:firstLine="480" w:firstLineChars="200"/>
        <w:jc w:val="left"/>
        <w:rPr>
          <w:rFonts w:ascii="宋体" w:hAnsi="宋体" w:cs="宋体"/>
          <w:color w:val="auto"/>
          <w:sz w:val="24"/>
        </w:rPr>
      </w:pPr>
      <w:r>
        <w:rPr>
          <w:rFonts w:hint="eastAsia" w:ascii="宋体" w:hAnsi="宋体" w:cs="宋体"/>
          <w:color w:val="auto"/>
          <w:sz w:val="24"/>
        </w:rPr>
        <w:t>各供应商:</w:t>
      </w:r>
    </w:p>
    <w:p w14:paraId="077FAC6D">
      <w:pPr>
        <w:adjustRightInd w:val="0"/>
        <w:snapToGrid w:val="0"/>
        <w:spacing w:line="360" w:lineRule="auto"/>
        <w:ind w:firstLine="480" w:firstLineChars="200"/>
        <w:jc w:val="left"/>
        <w:rPr>
          <w:rFonts w:ascii="宋体" w:hAnsi="宋体" w:cs="宋体"/>
          <w:color w:val="auto"/>
          <w:sz w:val="24"/>
        </w:rPr>
      </w:pPr>
      <w:r>
        <w:rPr>
          <w:rFonts w:hint="eastAsia" w:ascii="宋体" w:hAnsi="宋体" w:cs="宋体"/>
          <w:color w:val="auto"/>
          <w:sz w:val="24"/>
        </w:rPr>
        <w:t>欢迎贵公司参与卢氏县政府采购活动!近年来，卢氏县积极发挥政府采购政策功能，加大对中小企业支持力度，创新运用“政采贷”信贷产品，畅通中小企业融资“绿色通道”，为企业发展提质增效注入金融活水。为更好满足中小微供应商短、频、急的资金需求，帮助中小微企业解决融资难题，提升金融服务实体经济能力，服务市场主体推动经济稳健发展，我县各金融机构着力优化产品服务、无需抵押担保、简化审贷程序、缩短审贷周期，为供应商合同融资贷款提供便利条件，现编制《卢氏县政府采购合同融资政策告知书》，方便中小企业供应商朋友们进一步了解政府采购融资政策和获取贷款的流程。</w:t>
      </w:r>
    </w:p>
    <w:p w14:paraId="173B42F0">
      <w:pPr>
        <w:adjustRightInd w:val="0"/>
        <w:snapToGrid w:val="0"/>
        <w:spacing w:line="360" w:lineRule="auto"/>
        <w:ind w:firstLine="480" w:firstLineChars="200"/>
        <w:jc w:val="left"/>
        <w:rPr>
          <w:rFonts w:ascii="宋体" w:hAnsi="宋体" w:cs="宋体"/>
          <w:color w:val="auto"/>
          <w:sz w:val="24"/>
        </w:rPr>
      </w:pPr>
      <w:r>
        <w:rPr>
          <w:rFonts w:hint="eastAsia" w:ascii="宋体" w:hAnsi="宋体" w:cs="宋体"/>
          <w:color w:val="auto"/>
          <w:sz w:val="24"/>
        </w:rPr>
        <w:t>特别提醒:该告知书仅统计了我县部分可以提供线上融资的金融机构，凡参与我县政府采购项目，有融资需求的本地或外地中标(成交)供应商，均可通过“河南省政府采购网”进入“河南省政府采购合同融资平台”，申请融资服务，凡在政府采购合同融资平台登记的金融机构均可开展融资贷款业务。对“政采贷”工作开展过程中发现的新问题、新情况或者建议意见，及时向我县</w:t>
      </w:r>
      <w:r>
        <w:rPr>
          <w:rFonts w:hint="eastAsia" w:ascii="宋体" w:hAnsi="宋体" w:cs="宋体"/>
          <w:color w:val="auto"/>
          <w:sz w:val="24"/>
          <w:lang w:eastAsia="zh-CN"/>
        </w:rPr>
        <w:t>自筹</w:t>
      </w:r>
      <w:r>
        <w:rPr>
          <w:rFonts w:hint="eastAsia" w:ascii="宋体" w:hAnsi="宋体" w:cs="宋体"/>
          <w:color w:val="auto"/>
          <w:sz w:val="24"/>
        </w:rPr>
        <w:t>部门反馈</w:t>
      </w:r>
    </w:p>
    <w:p w14:paraId="0F8A54C9">
      <w:pPr>
        <w:adjustRightInd w:val="0"/>
        <w:snapToGrid w:val="0"/>
        <w:spacing w:line="360" w:lineRule="auto"/>
        <w:ind w:firstLine="480" w:firstLineChars="200"/>
        <w:jc w:val="left"/>
        <w:rPr>
          <w:rFonts w:ascii="宋体" w:hAnsi="宋体" w:cs="宋体"/>
          <w:color w:val="auto"/>
          <w:sz w:val="24"/>
        </w:rPr>
      </w:pPr>
      <w:r>
        <w:rPr>
          <w:rFonts w:hint="eastAsia" w:ascii="宋体" w:hAnsi="宋体" w:cs="宋体"/>
          <w:color w:val="auto"/>
          <w:sz w:val="24"/>
        </w:rPr>
        <w:t>联系电话:0398-7863556</w:t>
      </w:r>
    </w:p>
    <w:p w14:paraId="2FFC52A2">
      <w:pPr>
        <w:adjustRightInd w:val="0"/>
        <w:snapToGrid w:val="0"/>
        <w:spacing w:line="360" w:lineRule="auto"/>
        <w:ind w:firstLine="480" w:firstLineChars="200"/>
        <w:jc w:val="left"/>
        <w:rPr>
          <w:rFonts w:ascii="宋体" w:hAnsi="宋体" w:cs="宋体"/>
          <w:color w:val="auto"/>
          <w:sz w:val="24"/>
        </w:rPr>
      </w:pPr>
      <w:r>
        <w:rPr>
          <w:rFonts w:hint="eastAsia" w:ascii="宋体" w:hAnsi="宋体" w:cs="宋体"/>
          <w:color w:val="auto"/>
          <w:sz w:val="24"/>
        </w:rPr>
        <w:t>承接银行联系方式</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13"/>
        <w:gridCol w:w="2917"/>
        <w:gridCol w:w="3066"/>
      </w:tblGrid>
      <w:tr w14:paraId="3D196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3213" w:type="dxa"/>
            <w:noWrap w:val="0"/>
            <w:vAlign w:val="center"/>
          </w:tcPr>
          <w:p w14:paraId="0AD9ED6F">
            <w:pPr>
              <w:adjustRightInd w:val="0"/>
              <w:snapToGrid w:val="0"/>
              <w:spacing w:line="240" w:lineRule="auto"/>
              <w:jc w:val="center"/>
              <w:rPr>
                <w:rFonts w:ascii="宋体" w:hAnsi="宋体" w:cs="宋体"/>
                <w:color w:val="auto"/>
                <w:sz w:val="24"/>
              </w:rPr>
            </w:pPr>
            <w:r>
              <w:rPr>
                <w:rFonts w:hint="eastAsia" w:ascii="宋体" w:hAnsi="宋体" w:cs="宋体"/>
                <w:color w:val="auto"/>
                <w:sz w:val="24"/>
              </w:rPr>
              <w:t>单位名称</w:t>
            </w:r>
          </w:p>
        </w:tc>
        <w:tc>
          <w:tcPr>
            <w:tcW w:w="2917" w:type="dxa"/>
            <w:noWrap w:val="0"/>
            <w:vAlign w:val="center"/>
          </w:tcPr>
          <w:p w14:paraId="3F989C92">
            <w:pPr>
              <w:adjustRightInd w:val="0"/>
              <w:snapToGrid w:val="0"/>
              <w:spacing w:line="240" w:lineRule="auto"/>
              <w:jc w:val="center"/>
              <w:rPr>
                <w:rFonts w:ascii="宋体" w:hAnsi="宋体" w:cs="宋体"/>
                <w:color w:val="auto"/>
                <w:sz w:val="24"/>
              </w:rPr>
            </w:pPr>
            <w:r>
              <w:rPr>
                <w:rFonts w:hint="eastAsia" w:ascii="宋体" w:hAnsi="宋体" w:cs="宋体"/>
                <w:color w:val="auto"/>
                <w:sz w:val="24"/>
              </w:rPr>
              <w:t>联系人</w:t>
            </w:r>
          </w:p>
        </w:tc>
        <w:tc>
          <w:tcPr>
            <w:tcW w:w="3066" w:type="dxa"/>
            <w:noWrap w:val="0"/>
            <w:vAlign w:val="center"/>
          </w:tcPr>
          <w:p w14:paraId="4F5502F4">
            <w:pPr>
              <w:adjustRightInd w:val="0"/>
              <w:snapToGrid w:val="0"/>
              <w:spacing w:line="240" w:lineRule="auto"/>
              <w:jc w:val="center"/>
              <w:rPr>
                <w:rFonts w:ascii="宋体" w:hAnsi="宋体" w:cs="宋体"/>
                <w:color w:val="auto"/>
                <w:sz w:val="24"/>
              </w:rPr>
            </w:pPr>
            <w:r>
              <w:rPr>
                <w:rFonts w:hint="eastAsia" w:ascii="宋体" w:hAnsi="宋体" w:cs="宋体"/>
                <w:color w:val="auto"/>
                <w:sz w:val="24"/>
              </w:rPr>
              <w:t>联系方式</w:t>
            </w:r>
          </w:p>
        </w:tc>
      </w:tr>
      <w:tr w14:paraId="7CBE4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13" w:type="dxa"/>
            <w:noWrap w:val="0"/>
            <w:vAlign w:val="center"/>
          </w:tcPr>
          <w:p w14:paraId="5DBE2721">
            <w:pPr>
              <w:adjustRightInd w:val="0"/>
              <w:snapToGrid w:val="0"/>
              <w:spacing w:line="360" w:lineRule="auto"/>
              <w:jc w:val="center"/>
              <w:rPr>
                <w:rFonts w:ascii="宋体" w:hAnsi="宋体" w:cs="宋体"/>
                <w:color w:val="auto"/>
                <w:sz w:val="24"/>
              </w:rPr>
            </w:pPr>
            <w:r>
              <w:rPr>
                <w:rFonts w:hint="eastAsia" w:ascii="宋体" w:hAnsi="宋体" w:cs="宋体"/>
                <w:color w:val="auto"/>
                <w:sz w:val="24"/>
              </w:rPr>
              <w:t>中国建设银行股份有限公司卢氏支行</w:t>
            </w:r>
          </w:p>
        </w:tc>
        <w:tc>
          <w:tcPr>
            <w:tcW w:w="2917" w:type="dxa"/>
            <w:noWrap w:val="0"/>
            <w:vAlign w:val="center"/>
          </w:tcPr>
          <w:p w14:paraId="238584EA">
            <w:pPr>
              <w:adjustRightInd w:val="0"/>
              <w:snapToGrid w:val="0"/>
              <w:spacing w:line="360" w:lineRule="auto"/>
              <w:jc w:val="center"/>
              <w:rPr>
                <w:rFonts w:ascii="宋体" w:hAnsi="宋体" w:cs="宋体"/>
                <w:color w:val="auto"/>
                <w:kern w:val="0"/>
                <w:sz w:val="24"/>
                <w:shd w:val="clear" w:color="auto" w:fill="F9F9F9"/>
              </w:rPr>
            </w:pPr>
            <w:r>
              <w:rPr>
                <w:rFonts w:hint="eastAsia" w:ascii="宋体" w:hAnsi="宋体" w:cs="宋体"/>
                <w:color w:val="auto"/>
                <w:sz w:val="24"/>
              </w:rPr>
              <w:t>张江涛</w:t>
            </w:r>
          </w:p>
        </w:tc>
        <w:tc>
          <w:tcPr>
            <w:tcW w:w="3066" w:type="dxa"/>
            <w:noWrap w:val="0"/>
            <w:vAlign w:val="center"/>
          </w:tcPr>
          <w:p w14:paraId="3F28EFF8">
            <w:pPr>
              <w:adjustRightInd w:val="0"/>
              <w:snapToGrid w:val="0"/>
              <w:spacing w:line="360" w:lineRule="auto"/>
              <w:jc w:val="center"/>
              <w:rPr>
                <w:rFonts w:ascii="宋体" w:hAnsi="宋体" w:cs="宋体"/>
                <w:color w:val="auto"/>
                <w:kern w:val="0"/>
                <w:sz w:val="24"/>
                <w:shd w:val="clear" w:color="auto" w:fill="F9F9F9"/>
              </w:rPr>
            </w:pPr>
            <w:r>
              <w:rPr>
                <w:rFonts w:hint="eastAsia" w:ascii="宋体" w:hAnsi="宋体" w:cs="宋体"/>
                <w:color w:val="auto"/>
                <w:sz w:val="24"/>
              </w:rPr>
              <w:t>18739850204</w:t>
            </w:r>
          </w:p>
        </w:tc>
      </w:tr>
      <w:tr w14:paraId="23147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13" w:type="dxa"/>
            <w:noWrap w:val="0"/>
            <w:vAlign w:val="center"/>
          </w:tcPr>
          <w:p w14:paraId="410E490E">
            <w:pPr>
              <w:adjustRightInd w:val="0"/>
              <w:snapToGrid w:val="0"/>
              <w:spacing w:line="360" w:lineRule="auto"/>
              <w:jc w:val="center"/>
              <w:rPr>
                <w:rFonts w:ascii="宋体" w:hAnsi="宋体" w:cs="宋体"/>
                <w:color w:val="auto"/>
                <w:sz w:val="24"/>
              </w:rPr>
            </w:pPr>
            <w:r>
              <w:rPr>
                <w:rFonts w:hint="eastAsia" w:ascii="宋体" w:hAnsi="宋体" w:cs="宋体"/>
                <w:color w:val="auto"/>
                <w:sz w:val="24"/>
              </w:rPr>
              <w:t>中国农业银行股份有限公司卢氏县支行</w:t>
            </w:r>
          </w:p>
        </w:tc>
        <w:tc>
          <w:tcPr>
            <w:tcW w:w="2917" w:type="dxa"/>
            <w:noWrap w:val="0"/>
            <w:vAlign w:val="center"/>
          </w:tcPr>
          <w:p w14:paraId="6C0319DD">
            <w:pPr>
              <w:adjustRightInd w:val="0"/>
              <w:snapToGrid w:val="0"/>
              <w:spacing w:line="360" w:lineRule="auto"/>
              <w:jc w:val="center"/>
              <w:rPr>
                <w:rFonts w:ascii="宋体" w:hAnsi="宋体" w:cs="宋体"/>
                <w:color w:val="auto"/>
                <w:kern w:val="0"/>
                <w:sz w:val="24"/>
                <w:shd w:val="clear" w:color="auto" w:fill="F9F9F9"/>
              </w:rPr>
            </w:pPr>
            <w:r>
              <w:rPr>
                <w:rFonts w:hint="eastAsia" w:ascii="宋体" w:hAnsi="宋体" w:cs="宋体"/>
                <w:color w:val="auto"/>
                <w:sz w:val="24"/>
              </w:rPr>
              <w:t>代仁旺</w:t>
            </w:r>
          </w:p>
        </w:tc>
        <w:tc>
          <w:tcPr>
            <w:tcW w:w="3066" w:type="dxa"/>
            <w:noWrap w:val="0"/>
            <w:vAlign w:val="center"/>
          </w:tcPr>
          <w:p w14:paraId="3AEC26FE">
            <w:pPr>
              <w:adjustRightInd w:val="0"/>
              <w:snapToGrid w:val="0"/>
              <w:spacing w:line="360" w:lineRule="auto"/>
              <w:jc w:val="center"/>
              <w:rPr>
                <w:rFonts w:ascii="宋体" w:hAnsi="宋体" w:cs="宋体"/>
                <w:color w:val="auto"/>
                <w:kern w:val="0"/>
                <w:sz w:val="24"/>
                <w:shd w:val="clear" w:color="auto" w:fill="F9F9F9"/>
              </w:rPr>
            </w:pPr>
            <w:r>
              <w:rPr>
                <w:rFonts w:hint="eastAsia" w:ascii="宋体" w:hAnsi="宋体" w:cs="宋体"/>
                <w:color w:val="auto"/>
                <w:sz w:val="24"/>
              </w:rPr>
              <w:t>18939062604</w:t>
            </w:r>
          </w:p>
        </w:tc>
      </w:tr>
      <w:tr w14:paraId="0D3F7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13" w:type="dxa"/>
            <w:noWrap w:val="0"/>
            <w:vAlign w:val="center"/>
          </w:tcPr>
          <w:p w14:paraId="7749C9F9">
            <w:pPr>
              <w:adjustRightInd w:val="0"/>
              <w:snapToGrid w:val="0"/>
              <w:spacing w:line="360" w:lineRule="auto"/>
              <w:jc w:val="center"/>
              <w:rPr>
                <w:rFonts w:ascii="宋体" w:hAnsi="宋体" w:cs="宋体"/>
                <w:color w:val="auto"/>
                <w:sz w:val="24"/>
              </w:rPr>
            </w:pPr>
            <w:r>
              <w:rPr>
                <w:rFonts w:hint="eastAsia" w:ascii="宋体" w:hAnsi="宋体" w:cs="宋体"/>
                <w:color w:val="auto"/>
                <w:sz w:val="24"/>
              </w:rPr>
              <w:t>中原银行股份有限公司</w:t>
            </w:r>
          </w:p>
          <w:p w14:paraId="0E790ADD">
            <w:pPr>
              <w:adjustRightInd w:val="0"/>
              <w:snapToGrid w:val="0"/>
              <w:spacing w:line="360" w:lineRule="auto"/>
              <w:jc w:val="center"/>
              <w:rPr>
                <w:rFonts w:ascii="宋体" w:hAnsi="宋体" w:cs="宋体"/>
                <w:color w:val="auto"/>
                <w:sz w:val="24"/>
              </w:rPr>
            </w:pPr>
            <w:r>
              <w:rPr>
                <w:rFonts w:hint="eastAsia" w:ascii="宋体" w:hAnsi="宋体" w:cs="宋体"/>
                <w:color w:val="auto"/>
                <w:sz w:val="24"/>
              </w:rPr>
              <w:t>卢氏支行</w:t>
            </w:r>
          </w:p>
        </w:tc>
        <w:tc>
          <w:tcPr>
            <w:tcW w:w="2917" w:type="dxa"/>
            <w:noWrap w:val="0"/>
            <w:vAlign w:val="center"/>
          </w:tcPr>
          <w:p w14:paraId="3921A9CD">
            <w:pPr>
              <w:adjustRightInd w:val="0"/>
              <w:snapToGrid w:val="0"/>
              <w:spacing w:line="360" w:lineRule="auto"/>
              <w:jc w:val="center"/>
              <w:rPr>
                <w:rFonts w:ascii="宋体" w:hAnsi="宋体" w:cs="宋体"/>
                <w:color w:val="auto"/>
                <w:kern w:val="0"/>
                <w:sz w:val="24"/>
                <w:shd w:val="clear" w:color="auto" w:fill="F9F9F9"/>
              </w:rPr>
            </w:pPr>
            <w:r>
              <w:rPr>
                <w:rFonts w:hint="eastAsia" w:ascii="宋体" w:hAnsi="宋体" w:cs="宋体"/>
                <w:color w:val="auto"/>
                <w:sz w:val="24"/>
              </w:rPr>
              <w:t>李 博</w:t>
            </w:r>
          </w:p>
        </w:tc>
        <w:tc>
          <w:tcPr>
            <w:tcW w:w="3066" w:type="dxa"/>
            <w:noWrap w:val="0"/>
            <w:vAlign w:val="center"/>
          </w:tcPr>
          <w:p w14:paraId="4AEB7B91">
            <w:pPr>
              <w:adjustRightInd w:val="0"/>
              <w:snapToGrid w:val="0"/>
              <w:spacing w:line="360" w:lineRule="auto"/>
              <w:jc w:val="center"/>
              <w:rPr>
                <w:rFonts w:ascii="宋体" w:hAnsi="宋体" w:cs="宋体"/>
                <w:color w:val="auto"/>
                <w:kern w:val="0"/>
                <w:sz w:val="24"/>
                <w:shd w:val="clear" w:color="auto" w:fill="F9F9F9"/>
              </w:rPr>
            </w:pPr>
            <w:r>
              <w:rPr>
                <w:rFonts w:hint="eastAsia" w:ascii="宋体" w:hAnsi="宋体" w:cs="宋体"/>
                <w:color w:val="auto"/>
                <w:sz w:val="24"/>
              </w:rPr>
              <w:t>15839857887</w:t>
            </w:r>
          </w:p>
        </w:tc>
      </w:tr>
    </w:tbl>
    <w:p w14:paraId="4B44296F">
      <w:pPr>
        <w:rPr>
          <w:lang w:eastAsia="zh-CN"/>
        </w:rPr>
        <w:sectPr>
          <w:pgSz w:w="11910" w:h="16840"/>
          <w:pgMar w:top="1440" w:right="1080" w:bottom="1440" w:left="1310" w:header="0" w:footer="909" w:gutter="0"/>
          <w:pgNumType w:fmt="decimal"/>
          <w:cols w:space="720" w:num="1"/>
          <w:docGrid w:linePitch="299" w:charSpace="0"/>
        </w:sectPr>
      </w:pPr>
    </w:p>
    <w:p w14:paraId="757C4B6F">
      <w:pPr>
        <w:pStyle w:val="2"/>
        <w:tabs>
          <w:tab w:val="left" w:pos="1444"/>
        </w:tabs>
        <w:ind w:left="0" w:right="2"/>
        <w:rPr>
          <w:lang w:eastAsia="zh-CN"/>
        </w:rPr>
      </w:pPr>
      <w:bookmarkStart w:id="54" w:name="第三章___评审办法"/>
      <w:bookmarkEnd w:id="54"/>
      <w:bookmarkStart w:id="55" w:name="_Toc17019"/>
      <w:r>
        <w:rPr>
          <w:lang w:eastAsia="zh-CN"/>
        </w:rPr>
        <w:t>第三章</w:t>
      </w:r>
      <w:r>
        <w:rPr>
          <w:lang w:eastAsia="zh-CN"/>
        </w:rPr>
        <w:tab/>
      </w:r>
      <w:r>
        <w:rPr>
          <w:lang w:eastAsia="zh-CN"/>
        </w:rPr>
        <w:t>评审办法</w:t>
      </w:r>
      <w:bookmarkEnd w:id="55"/>
    </w:p>
    <w:tbl>
      <w:tblPr>
        <w:tblStyle w:val="12"/>
        <w:tblW w:w="10493" w:type="dxa"/>
        <w:jc w:val="center"/>
        <w:tblLayout w:type="fixed"/>
        <w:tblCellMar>
          <w:top w:w="0" w:type="dxa"/>
          <w:left w:w="108" w:type="dxa"/>
          <w:bottom w:w="0" w:type="dxa"/>
          <w:right w:w="108" w:type="dxa"/>
        </w:tblCellMar>
      </w:tblPr>
      <w:tblGrid>
        <w:gridCol w:w="961"/>
        <w:gridCol w:w="1014"/>
        <w:gridCol w:w="2629"/>
        <w:gridCol w:w="5889"/>
      </w:tblGrid>
      <w:tr w14:paraId="24B70833">
        <w:tblPrEx>
          <w:tblCellMar>
            <w:top w:w="0" w:type="dxa"/>
            <w:left w:w="108" w:type="dxa"/>
            <w:bottom w:w="0" w:type="dxa"/>
            <w:right w:w="108" w:type="dxa"/>
          </w:tblCellMar>
        </w:tblPrEx>
        <w:trPr>
          <w:trHeight w:val="397" w:hRule="atLeast"/>
          <w:jc w:val="center"/>
        </w:trPr>
        <w:tc>
          <w:tcPr>
            <w:tcW w:w="1975" w:type="dxa"/>
            <w:gridSpan w:val="2"/>
            <w:tcBorders>
              <w:top w:val="single" w:color="auto" w:sz="4" w:space="0"/>
              <w:left w:val="single" w:color="auto" w:sz="4" w:space="0"/>
              <w:bottom w:val="single" w:color="000000" w:sz="4" w:space="0"/>
              <w:right w:val="single" w:color="auto" w:sz="4" w:space="0"/>
            </w:tcBorders>
            <w:vAlign w:val="center"/>
          </w:tcPr>
          <w:p w14:paraId="1761924F">
            <w:pPr>
              <w:keepNext w:val="0"/>
              <w:keepLines w:val="0"/>
              <w:pageBreakBefore w:val="0"/>
              <w:widowControl w:val="0"/>
              <w:kinsoku/>
              <w:wordWrap w:val="0"/>
              <w:overflowPunct/>
              <w:topLinePunct w:val="0"/>
              <w:autoSpaceDE/>
              <w:autoSpaceDN/>
              <w:bidi w:val="0"/>
              <w:adjustRightInd/>
              <w:snapToGrid/>
              <w:spacing w:line="600" w:lineRule="exact"/>
              <w:jc w:val="center"/>
              <w:textAlignment w:val="auto"/>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val="en-US" w:eastAsia="zh-CN"/>
              </w:rPr>
              <w:t>条款</w:t>
            </w:r>
          </w:p>
        </w:tc>
        <w:tc>
          <w:tcPr>
            <w:tcW w:w="2629" w:type="dxa"/>
            <w:tcBorders>
              <w:top w:val="single" w:color="auto" w:sz="4" w:space="0"/>
              <w:left w:val="nil"/>
              <w:bottom w:val="single" w:color="000000" w:sz="4" w:space="0"/>
              <w:right w:val="single" w:color="auto" w:sz="4" w:space="0"/>
            </w:tcBorders>
            <w:vAlign w:val="center"/>
          </w:tcPr>
          <w:p w14:paraId="29B53580">
            <w:pPr>
              <w:keepNext w:val="0"/>
              <w:keepLines w:val="0"/>
              <w:pageBreakBefore w:val="0"/>
              <w:widowControl w:val="0"/>
              <w:kinsoku/>
              <w:wordWrap w:val="0"/>
              <w:overflowPunct/>
              <w:topLinePunct w:val="0"/>
              <w:autoSpaceDE/>
              <w:autoSpaceDN/>
              <w:bidi w:val="0"/>
              <w:adjustRightInd/>
              <w:snapToGrid/>
              <w:spacing w:line="600" w:lineRule="exact"/>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评审因素</w:t>
            </w:r>
          </w:p>
        </w:tc>
        <w:tc>
          <w:tcPr>
            <w:tcW w:w="5889" w:type="dxa"/>
            <w:tcBorders>
              <w:top w:val="single" w:color="auto" w:sz="4" w:space="0"/>
              <w:left w:val="nil"/>
              <w:bottom w:val="single" w:color="000000" w:sz="4" w:space="0"/>
              <w:right w:val="single" w:color="auto" w:sz="4" w:space="0"/>
            </w:tcBorders>
            <w:vAlign w:val="center"/>
          </w:tcPr>
          <w:p w14:paraId="173D6AD8">
            <w:pPr>
              <w:keepNext w:val="0"/>
              <w:keepLines w:val="0"/>
              <w:pageBreakBefore w:val="0"/>
              <w:widowControl w:val="0"/>
              <w:kinsoku/>
              <w:wordWrap w:val="0"/>
              <w:overflowPunct/>
              <w:topLinePunct w:val="0"/>
              <w:autoSpaceDE/>
              <w:autoSpaceDN/>
              <w:bidi w:val="0"/>
              <w:adjustRightInd/>
              <w:snapToGrid/>
              <w:spacing w:line="600" w:lineRule="exact"/>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评审标准</w:t>
            </w:r>
          </w:p>
        </w:tc>
      </w:tr>
      <w:tr w14:paraId="22911D75">
        <w:tblPrEx>
          <w:tblCellMar>
            <w:top w:w="0" w:type="dxa"/>
            <w:left w:w="108" w:type="dxa"/>
            <w:bottom w:w="0" w:type="dxa"/>
            <w:right w:w="108" w:type="dxa"/>
          </w:tblCellMar>
        </w:tblPrEx>
        <w:trPr>
          <w:trHeight w:val="437" w:hRule="atLeast"/>
          <w:jc w:val="center"/>
        </w:trPr>
        <w:tc>
          <w:tcPr>
            <w:tcW w:w="9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559668">
            <w:pPr>
              <w:spacing w:line="240" w:lineRule="auto"/>
              <w:jc w:val="center"/>
              <w:rPr>
                <w:rFonts w:hint="default"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1.1.1</w:t>
            </w:r>
          </w:p>
        </w:tc>
        <w:tc>
          <w:tcPr>
            <w:tcW w:w="1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4091BF">
            <w:pPr>
              <w:spacing w:line="240" w:lineRule="auto"/>
              <w:jc w:val="center"/>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符合性</w:t>
            </w:r>
          </w:p>
          <w:p w14:paraId="509C1076">
            <w:pPr>
              <w:spacing w:line="240" w:lineRule="auto"/>
              <w:jc w:val="center"/>
              <w:rPr>
                <w:rFonts w:hint="default"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评审</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00A1D">
            <w:pPr>
              <w:pStyle w:val="29"/>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sz w:val="24"/>
                <w:szCs w:val="24"/>
              </w:rPr>
              <w:t>投标供应商名称</w:t>
            </w:r>
          </w:p>
        </w:tc>
        <w:tc>
          <w:tcPr>
            <w:tcW w:w="5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C0C7E">
            <w:pPr>
              <w:pStyle w:val="29"/>
              <w:keepNext w:val="0"/>
              <w:keepLines w:val="0"/>
              <w:pageBreakBefore w:val="0"/>
              <w:kinsoku/>
              <w:wordWrap/>
              <w:overflowPunct/>
              <w:topLinePunct w:val="0"/>
              <w:bidi w:val="0"/>
              <w:adjustRightInd/>
              <w:snapToGrid/>
              <w:spacing w:line="288" w:lineRule="auto"/>
              <w:ind w:left="0" w:leftChars="0"/>
              <w:jc w:val="both"/>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sz w:val="24"/>
                <w:szCs w:val="24"/>
                <w:lang w:eastAsia="zh-CN"/>
              </w:rPr>
              <w:t>与营业执照或</w:t>
            </w:r>
            <w:r>
              <w:rPr>
                <w:rFonts w:hint="eastAsia" w:asciiTheme="minorEastAsia" w:hAnsiTheme="minorEastAsia" w:eastAsiaTheme="minorEastAsia" w:cstheme="minorEastAsia"/>
                <w:sz w:val="24"/>
                <w:szCs w:val="24"/>
                <w:lang w:val="en-US" w:eastAsia="zh-CN"/>
              </w:rPr>
              <w:t>其他材料</w:t>
            </w:r>
            <w:r>
              <w:rPr>
                <w:rFonts w:hint="eastAsia" w:asciiTheme="minorEastAsia" w:hAnsiTheme="minorEastAsia" w:eastAsiaTheme="minorEastAsia" w:cstheme="minorEastAsia"/>
                <w:sz w:val="24"/>
                <w:szCs w:val="24"/>
                <w:lang w:eastAsia="zh-CN"/>
              </w:rPr>
              <w:t>一致</w:t>
            </w:r>
          </w:p>
        </w:tc>
      </w:tr>
      <w:tr w14:paraId="6CB814A9">
        <w:tblPrEx>
          <w:tblCellMar>
            <w:top w:w="0" w:type="dxa"/>
            <w:left w:w="108" w:type="dxa"/>
            <w:bottom w:w="0" w:type="dxa"/>
            <w:right w:w="108" w:type="dxa"/>
          </w:tblCellMar>
        </w:tblPrEx>
        <w:trPr>
          <w:trHeight w:val="410" w:hRule="atLeast"/>
          <w:jc w:val="center"/>
        </w:trPr>
        <w:tc>
          <w:tcPr>
            <w:tcW w:w="961" w:type="dxa"/>
            <w:vMerge w:val="continue"/>
            <w:tcBorders>
              <w:top w:val="single" w:color="000000" w:sz="4" w:space="0"/>
              <w:left w:val="single" w:color="000000" w:sz="4" w:space="0"/>
              <w:bottom w:val="single" w:color="000000" w:sz="4" w:space="0"/>
              <w:right w:val="single" w:color="000000" w:sz="4" w:space="0"/>
            </w:tcBorders>
            <w:vAlign w:val="center"/>
          </w:tcPr>
          <w:p w14:paraId="580F2DC9">
            <w:pPr>
              <w:spacing w:line="600" w:lineRule="exact"/>
              <w:rPr>
                <w:rFonts w:hint="eastAsia" w:asciiTheme="minorEastAsia" w:hAnsiTheme="minorEastAsia" w:eastAsiaTheme="minorEastAsia" w:cstheme="minorEastAsia"/>
                <w:color w:val="auto"/>
                <w:kern w:val="2"/>
                <w:sz w:val="24"/>
                <w:szCs w:val="24"/>
                <w:highlight w:val="none"/>
                <w:lang w:val="en-US" w:eastAsia="zh-CN"/>
              </w:rPr>
            </w:pPr>
          </w:p>
        </w:tc>
        <w:tc>
          <w:tcPr>
            <w:tcW w:w="1014" w:type="dxa"/>
            <w:vMerge w:val="continue"/>
            <w:tcBorders>
              <w:top w:val="single" w:color="000000" w:sz="4" w:space="0"/>
              <w:left w:val="single" w:color="000000" w:sz="4" w:space="0"/>
              <w:bottom w:val="single" w:color="000000" w:sz="4" w:space="0"/>
              <w:right w:val="single" w:color="000000" w:sz="4" w:space="0"/>
            </w:tcBorders>
            <w:vAlign w:val="center"/>
          </w:tcPr>
          <w:p w14:paraId="464D4610">
            <w:pPr>
              <w:spacing w:line="600" w:lineRule="exact"/>
              <w:jc w:val="center"/>
              <w:rPr>
                <w:rFonts w:hint="eastAsia" w:asciiTheme="minorEastAsia" w:hAnsiTheme="minorEastAsia" w:eastAsiaTheme="minorEastAsia" w:cstheme="minorEastAsia"/>
                <w:color w:val="auto"/>
                <w:kern w:val="2"/>
                <w:sz w:val="24"/>
                <w:szCs w:val="24"/>
                <w:highlight w:val="none"/>
              </w:rPr>
            </w:pP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3DB3E">
            <w:pPr>
              <w:pStyle w:val="29"/>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sz w:val="24"/>
                <w:szCs w:val="24"/>
              </w:rPr>
              <w:t>签字盖章要求</w:t>
            </w:r>
          </w:p>
        </w:tc>
        <w:tc>
          <w:tcPr>
            <w:tcW w:w="5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C6FA">
            <w:pPr>
              <w:pStyle w:val="29"/>
              <w:keepNext w:val="0"/>
              <w:keepLines w:val="0"/>
              <w:pageBreakBefore w:val="0"/>
              <w:kinsoku/>
              <w:wordWrap/>
              <w:overflowPunct/>
              <w:topLinePunct w:val="0"/>
              <w:bidi w:val="0"/>
              <w:adjustRightInd/>
              <w:snapToGrid/>
              <w:spacing w:line="288" w:lineRule="auto"/>
              <w:ind w:left="0" w:leftChars="0"/>
              <w:jc w:val="both"/>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sz w:val="24"/>
                <w:szCs w:val="24"/>
                <w:lang w:eastAsia="zh-CN"/>
              </w:rPr>
              <w:t>符合竞争性磋商文件要求的签字、盖章</w:t>
            </w:r>
          </w:p>
        </w:tc>
      </w:tr>
      <w:tr w14:paraId="19264982">
        <w:tblPrEx>
          <w:tblCellMar>
            <w:top w:w="0" w:type="dxa"/>
            <w:left w:w="108" w:type="dxa"/>
            <w:bottom w:w="0" w:type="dxa"/>
            <w:right w:w="108" w:type="dxa"/>
          </w:tblCellMar>
        </w:tblPrEx>
        <w:trPr>
          <w:trHeight w:val="490" w:hRule="atLeast"/>
          <w:jc w:val="center"/>
        </w:trPr>
        <w:tc>
          <w:tcPr>
            <w:tcW w:w="961" w:type="dxa"/>
            <w:vMerge w:val="continue"/>
            <w:tcBorders>
              <w:top w:val="single" w:color="000000" w:sz="4" w:space="0"/>
              <w:left w:val="single" w:color="000000" w:sz="4" w:space="0"/>
              <w:bottom w:val="single" w:color="000000" w:sz="4" w:space="0"/>
              <w:right w:val="single" w:color="000000" w:sz="4" w:space="0"/>
            </w:tcBorders>
            <w:vAlign w:val="center"/>
          </w:tcPr>
          <w:p w14:paraId="23C099BF">
            <w:pPr>
              <w:spacing w:line="600" w:lineRule="exact"/>
              <w:rPr>
                <w:rFonts w:hint="eastAsia" w:asciiTheme="minorEastAsia" w:hAnsiTheme="minorEastAsia" w:eastAsiaTheme="minorEastAsia" w:cstheme="minorEastAsia"/>
                <w:color w:val="auto"/>
                <w:kern w:val="2"/>
                <w:sz w:val="24"/>
                <w:szCs w:val="24"/>
                <w:highlight w:val="none"/>
                <w:lang w:val="en-US" w:eastAsia="zh-CN"/>
              </w:rPr>
            </w:pPr>
          </w:p>
        </w:tc>
        <w:tc>
          <w:tcPr>
            <w:tcW w:w="1014" w:type="dxa"/>
            <w:vMerge w:val="continue"/>
            <w:tcBorders>
              <w:top w:val="single" w:color="000000" w:sz="4" w:space="0"/>
              <w:left w:val="single" w:color="000000" w:sz="4" w:space="0"/>
              <w:bottom w:val="single" w:color="000000" w:sz="4" w:space="0"/>
              <w:right w:val="single" w:color="000000" w:sz="4" w:space="0"/>
            </w:tcBorders>
            <w:vAlign w:val="center"/>
          </w:tcPr>
          <w:p w14:paraId="04DFE686">
            <w:pPr>
              <w:spacing w:line="600" w:lineRule="exact"/>
              <w:jc w:val="center"/>
              <w:rPr>
                <w:rFonts w:hint="eastAsia" w:asciiTheme="minorEastAsia" w:hAnsiTheme="minorEastAsia" w:eastAsiaTheme="minorEastAsia" w:cstheme="minorEastAsia"/>
                <w:color w:val="auto"/>
                <w:kern w:val="2"/>
                <w:sz w:val="24"/>
                <w:szCs w:val="24"/>
                <w:highlight w:val="none"/>
              </w:rPr>
            </w:pP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9C4C7">
            <w:pPr>
              <w:pStyle w:val="29"/>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sz w:val="24"/>
                <w:szCs w:val="24"/>
              </w:rPr>
              <w:t>报价唯一</w:t>
            </w:r>
          </w:p>
        </w:tc>
        <w:tc>
          <w:tcPr>
            <w:tcW w:w="5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D4257">
            <w:pPr>
              <w:pStyle w:val="29"/>
              <w:keepNext w:val="0"/>
              <w:keepLines w:val="0"/>
              <w:pageBreakBefore w:val="0"/>
              <w:kinsoku/>
              <w:wordWrap/>
              <w:overflowPunct/>
              <w:topLinePunct w:val="0"/>
              <w:bidi w:val="0"/>
              <w:adjustRightInd/>
              <w:snapToGrid/>
              <w:spacing w:line="288" w:lineRule="auto"/>
              <w:ind w:left="0" w:leftChars="0"/>
              <w:jc w:val="both"/>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sz w:val="24"/>
                <w:szCs w:val="24"/>
              </w:rPr>
              <w:t>只能有一个有效报价</w:t>
            </w:r>
          </w:p>
        </w:tc>
      </w:tr>
      <w:tr w14:paraId="047ACBB1">
        <w:tblPrEx>
          <w:tblCellMar>
            <w:top w:w="0" w:type="dxa"/>
            <w:left w:w="108" w:type="dxa"/>
            <w:bottom w:w="0" w:type="dxa"/>
            <w:right w:w="108" w:type="dxa"/>
          </w:tblCellMar>
        </w:tblPrEx>
        <w:trPr>
          <w:trHeight w:val="437" w:hRule="atLeast"/>
          <w:jc w:val="center"/>
        </w:trPr>
        <w:tc>
          <w:tcPr>
            <w:tcW w:w="961" w:type="dxa"/>
            <w:vMerge w:val="continue"/>
            <w:tcBorders>
              <w:top w:val="single" w:color="000000" w:sz="4" w:space="0"/>
              <w:left w:val="single" w:color="000000" w:sz="4" w:space="0"/>
              <w:bottom w:val="single" w:color="auto" w:sz="4" w:space="0"/>
              <w:right w:val="single" w:color="000000" w:sz="4" w:space="0"/>
            </w:tcBorders>
            <w:vAlign w:val="center"/>
          </w:tcPr>
          <w:p w14:paraId="1DCB408B">
            <w:pPr>
              <w:spacing w:line="600" w:lineRule="exact"/>
              <w:rPr>
                <w:rFonts w:hint="eastAsia" w:asciiTheme="minorEastAsia" w:hAnsiTheme="minorEastAsia" w:eastAsiaTheme="minorEastAsia" w:cstheme="minorEastAsia"/>
                <w:color w:val="auto"/>
                <w:kern w:val="2"/>
                <w:sz w:val="24"/>
                <w:szCs w:val="24"/>
                <w:highlight w:val="none"/>
                <w:lang w:val="en-US" w:eastAsia="zh-CN"/>
              </w:rPr>
            </w:pPr>
          </w:p>
        </w:tc>
        <w:tc>
          <w:tcPr>
            <w:tcW w:w="1014" w:type="dxa"/>
            <w:vMerge w:val="continue"/>
            <w:tcBorders>
              <w:top w:val="single" w:color="000000" w:sz="4" w:space="0"/>
              <w:left w:val="single" w:color="000000" w:sz="4" w:space="0"/>
              <w:bottom w:val="single" w:color="auto" w:sz="4" w:space="0"/>
              <w:right w:val="single" w:color="000000" w:sz="4" w:space="0"/>
            </w:tcBorders>
            <w:vAlign w:val="center"/>
          </w:tcPr>
          <w:p w14:paraId="2EA10F07">
            <w:pPr>
              <w:spacing w:line="600" w:lineRule="exact"/>
              <w:jc w:val="center"/>
              <w:rPr>
                <w:rFonts w:hint="eastAsia" w:asciiTheme="minorEastAsia" w:hAnsiTheme="minorEastAsia" w:eastAsiaTheme="minorEastAsia" w:cstheme="minorEastAsia"/>
                <w:color w:val="auto"/>
                <w:kern w:val="2"/>
                <w:sz w:val="24"/>
                <w:szCs w:val="24"/>
                <w:highlight w:val="none"/>
              </w:rPr>
            </w:pP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F68D6">
            <w:pPr>
              <w:widowControl/>
              <w:autoSpaceDE w:val="0"/>
              <w:autoSpaceDN w:val="0"/>
              <w:spacing w:before="0" w:beforeLines="0" w:beforeAutospacing="0" w:afterAutospacing="0" w:line="240" w:lineRule="auto"/>
              <w:ind w:right="0" w:rightChars="0"/>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sz w:val="24"/>
                <w:szCs w:val="24"/>
                <w:lang w:val="en-US" w:eastAsia="zh-CN" w:bidi="ar-SA"/>
              </w:rPr>
              <w:t>响应</w:t>
            </w:r>
            <w:r>
              <w:rPr>
                <w:rFonts w:hint="eastAsia" w:asciiTheme="minorEastAsia" w:hAnsiTheme="minorEastAsia" w:eastAsiaTheme="minorEastAsia" w:cstheme="minorEastAsia"/>
                <w:sz w:val="24"/>
                <w:szCs w:val="24"/>
                <w:lang w:val="en-US" w:eastAsia="en-US" w:bidi="ar-SA"/>
              </w:rPr>
              <w:t>文件格式</w:t>
            </w:r>
          </w:p>
        </w:tc>
        <w:tc>
          <w:tcPr>
            <w:tcW w:w="5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2351C">
            <w:pPr>
              <w:keepNext w:val="0"/>
              <w:keepLines w:val="0"/>
              <w:pageBreakBefore w:val="0"/>
              <w:widowControl/>
              <w:kinsoku/>
              <w:wordWrap/>
              <w:overflowPunct/>
              <w:topLinePunct w:val="0"/>
              <w:autoSpaceDE w:val="0"/>
              <w:autoSpaceDN w:val="0"/>
              <w:bidi w:val="0"/>
              <w:adjustRightInd/>
              <w:snapToGrid/>
              <w:spacing w:before="0" w:beforeLines="0" w:beforeAutospacing="0" w:afterAutospacing="0" w:line="288" w:lineRule="auto"/>
              <w:ind w:left="0" w:leftChars="0" w:right="0" w:rightChars="0"/>
              <w:jc w:val="both"/>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sz w:val="24"/>
                <w:szCs w:val="24"/>
                <w:lang w:val="en-US" w:eastAsia="en-US" w:bidi="ar-SA"/>
              </w:rPr>
              <w:t>符合</w:t>
            </w:r>
            <w:r>
              <w:rPr>
                <w:rFonts w:hint="eastAsia" w:asciiTheme="minorEastAsia" w:hAnsiTheme="minorEastAsia" w:eastAsiaTheme="minorEastAsia" w:cstheme="minorEastAsia"/>
                <w:sz w:val="24"/>
                <w:szCs w:val="24"/>
                <w:lang w:val="en-US" w:eastAsia="zh-CN" w:bidi="ar-SA"/>
              </w:rPr>
              <w:t>磋商</w:t>
            </w:r>
            <w:r>
              <w:rPr>
                <w:rFonts w:hint="eastAsia" w:asciiTheme="minorEastAsia" w:hAnsiTheme="minorEastAsia" w:eastAsiaTheme="minorEastAsia" w:cstheme="minorEastAsia"/>
                <w:sz w:val="24"/>
                <w:szCs w:val="24"/>
                <w:lang w:val="en-US" w:eastAsia="en-US" w:bidi="ar-SA"/>
              </w:rPr>
              <w:t>文件要求</w:t>
            </w:r>
          </w:p>
        </w:tc>
      </w:tr>
      <w:tr w14:paraId="76DF3721">
        <w:tblPrEx>
          <w:tblCellMar>
            <w:top w:w="0" w:type="dxa"/>
            <w:left w:w="108" w:type="dxa"/>
            <w:bottom w:w="0" w:type="dxa"/>
            <w:right w:w="108" w:type="dxa"/>
          </w:tblCellMar>
        </w:tblPrEx>
        <w:trPr>
          <w:trHeight w:val="736" w:hRule="atLeast"/>
          <w:jc w:val="center"/>
        </w:trPr>
        <w:tc>
          <w:tcPr>
            <w:tcW w:w="961" w:type="dxa"/>
            <w:vMerge w:val="restart"/>
            <w:tcBorders>
              <w:top w:val="single" w:color="auto" w:sz="4" w:space="0"/>
              <w:left w:val="single" w:color="auto" w:sz="4" w:space="0"/>
              <w:bottom w:val="single" w:color="auto" w:sz="4" w:space="0"/>
              <w:right w:val="single" w:color="auto" w:sz="4" w:space="0"/>
            </w:tcBorders>
            <w:vAlign w:val="center"/>
          </w:tcPr>
          <w:p w14:paraId="085DB72F">
            <w:pPr>
              <w:keepNext w:val="0"/>
              <w:keepLines w:val="0"/>
              <w:pageBreakBefore w:val="0"/>
              <w:widowControl w:val="0"/>
              <w:kinsoku/>
              <w:wordWrap w:val="0"/>
              <w:overflowPunct/>
              <w:topLinePunct w:val="0"/>
              <w:autoSpaceDE/>
              <w:autoSpaceDN/>
              <w:bidi w:val="0"/>
              <w:adjustRightInd/>
              <w:snapToGrid/>
              <w:spacing w:line="600" w:lineRule="exact"/>
              <w:jc w:val="center"/>
              <w:textAlignment w:val="auto"/>
              <w:rPr>
                <w:rFonts w:hint="default"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rPr>
              <w:t>1.1.</w:t>
            </w:r>
            <w:bookmarkStart w:id="77" w:name="_GoBack"/>
            <w:bookmarkEnd w:id="77"/>
            <w:r>
              <w:rPr>
                <w:rFonts w:hint="eastAsia" w:asciiTheme="minorEastAsia" w:hAnsiTheme="minorEastAsia" w:eastAsiaTheme="minorEastAsia" w:cstheme="minorEastAsia"/>
                <w:color w:val="auto"/>
                <w:kern w:val="2"/>
                <w:sz w:val="24"/>
                <w:szCs w:val="24"/>
                <w:highlight w:val="none"/>
                <w:lang w:val="en-US" w:eastAsia="zh-CN"/>
              </w:rPr>
              <w:t>2</w:t>
            </w:r>
          </w:p>
        </w:tc>
        <w:tc>
          <w:tcPr>
            <w:tcW w:w="1014" w:type="dxa"/>
            <w:vMerge w:val="restart"/>
            <w:tcBorders>
              <w:top w:val="single" w:color="auto" w:sz="4" w:space="0"/>
              <w:left w:val="single" w:color="auto" w:sz="4" w:space="0"/>
              <w:bottom w:val="single" w:color="auto" w:sz="4" w:space="0"/>
              <w:right w:val="single" w:color="auto" w:sz="4" w:space="0"/>
            </w:tcBorders>
            <w:vAlign w:val="center"/>
          </w:tcPr>
          <w:p w14:paraId="35A40776">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rPr>
              <w:t>资格</w:t>
            </w:r>
            <w:r>
              <w:rPr>
                <w:rFonts w:hint="eastAsia" w:asciiTheme="minorEastAsia" w:hAnsiTheme="minorEastAsia" w:eastAsiaTheme="minorEastAsia" w:cstheme="minorEastAsia"/>
                <w:color w:val="auto"/>
                <w:kern w:val="2"/>
                <w:sz w:val="24"/>
                <w:szCs w:val="24"/>
                <w:highlight w:val="none"/>
                <w:lang w:val="en-US" w:eastAsia="zh-CN"/>
              </w:rPr>
              <w:t>性</w:t>
            </w:r>
          </w:p>
          <w:p w14:paraId="10919D2E">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评审</w:t>
            </w:r>
          </w:p>
        </w:tc>
        <w:tc>
          <w:tcPr>
            <w:tcW w:w="2629" w:type="dxa"/>
            <w:tcBorders>
              <w:top w:val="single" w:color="000000" w:sz="4" w:space="0"/>
              <w:left w:val="nil"/>
              <w:bottom w:val="single" w:color="auto" w:sz="4" w:space="0"/>
              <w:right w:val="single" w:color="auto" w:sz="4" w:space="0"/>
            </w:tcBorders>
            <w:shd w:val="clear" w:color="auto" w:fill="auto"/>
            <w:vAlign w:val="center"/>
          </w:tcPr>
          <w:p w14:paraId="73CD8DAC">
            <w:pPr>
              <w:pStyle w:val="29"/>
              <w:spacing w:line="240" w:lineRule="auto"/>
              <w:ind w:left="0" w:leftChars="0" w:right="0" w:rightChars="0" w:firstLine="0" w:firstLineChar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供应商符合《中华人民共和国政府采购法》的第二十二条的规定</w:t>
            </w:r>
          </w:p>
        </w:tc>
        <w:tc>
          <w:tcPr>
            <w:tcW w:w="5889" w:type="dxa"/>
            <w:tcBorders>
              <w:top w:val="single" w:color="000000" w:sz="4" w:space="0"/>
              <w:left w:val="nil"/>
              <w:bottom w:val="single" w:color="auto" w:sz="4" w:space="0"/>
              <w:right w:val="single" w:color="auto" w:sz="4" w:space="0"/>
            </w:tcBorders>
            <w:shd w:val="clear" w:color="auto" w:fill="auto"/>
            <w:vAlign w:val="center"/>
          </w:tcPr>
          <w:p w14:paraId="0FDFC614">
            <w:pPr>
              <w:pStyle w:val="29"/>
              <w:keepNext w:val="0"/>
              <w:keepLines w:val="0"/>
              <w:pageBreakBefore w:val="0"/>
              <w:kinsoku/>
              <w:wordWrap/>
              <w:overflowPunct/>
              <w:topLinePunct w:val="0"/>
              <w:bidi w:val="0"/>
              <w:adjustRightInd/>
              <w:snapToGrid/>
              <w:spacing w:line="288" w:lineRule="auto"/>
              <w:jc w:val="both"/>
              <w:textAlignment w:val="auto"/>
              <w:rPr>
                <w:rFonts w:hint="eastAsia" w:asciiTheme="minorEastAsia" w:hAnsiTheme="minorEastAsia" w:eastAsiaTheme="minorEastAsia" w:cstheme="minorEastAsia"/>
                <w:spacing w:val="-20"/>
                <w:sz w:val="24"/>
                <w:szCs w:val="24"/>
                <w:lang w:eastAsia="zh-CN"/>
              </w:rPr>
            </w:pPr>
            <w:r>
              <w:rPr>
                <w:rFonts w:hint="eastAsia" w:asciiTheme="minorEastAsia" w:hAnsiTheme="minorEastAsia" w:eastAsiaTheme="minorEastAsia" w:cstheme="minorEastAsia"/>
                <w:spacing w:val="-20"/>
                <w:sz w:val="24"/>
                <w:szCs w:val="24"/>
                <w:lang w:eastAsia="zh-CN"/>
              </w:rPr>
              <w:t>供应商符合《中华人民共和国政府采购法》的第二十二条的规定</w:t>
            </w:r>
          </w:p>
        </w:tc>
      </w:tr>
      <w:tr w14:paraId="4EED9B99">
        <w:tblPrEx>
          <w:tblCellMar>
            <w:top w:w="0" w:type="dxa"/>
            <w:left w:w="108" w:type="dxa"/>
            <w:bottom w:w="0" w:type="dxa"/>
            <w:right w:w="108" w:type="dxa"/>
          </w:tblCellMar>
        </w:tblPrEx>
        <w:trPr>
          <w:trHeight w:val="736" w:hRule="atLeast"/>
          <w:jc w:val="center"/>
        </w:trPr>
        <w:tc>
          <w:tcPr>
            <w:tcW w:w="961" w:type="dxa"/>
            <w:vMerge w:val="continue"/>
            <w:tcBorders>
              <w:top w:val="single" w:color="auto" w:sz="4" w:space="0"/>
              <w:left w:val="single" w:color="auto" w:sz="4" w:space="0"/>
              <w:bottom w:val="single" w:color="auto" w:sz="4" w:space="0"/>
              <w:right w:val="single" w:color="auto" w:sz="4" w:space="0"/>
            </w:tcBorders>
            <w:vAlign w:val="center"/>
          </w:tcPr>
          <w:p w14:paraId="7F19F4A0">
            <w:pPr>
              <w:keepNext w:val="0"/>
              <w:keepLines w:val="0"/>
              <w:pageBreakBefore w:val="0"/>
              <w:widowControl w:val="0"/>
              <w:kinsoku/>
              <w:wordWrap w:val="0"/>
              <w:overflowPunct/>
              <w:topLinePunct w:val="0"/>
              <w:autoSpaceDE/>
              <w:autoSpaceDN/>
              <w:bidi w:val="0"/>
              <w:adjustRightInd/>
              <w:snapToGrid/>
              <w:spacing w:line="600" w:lineRule="exact"/>
              <w:jc w:val="center"/>
              <w:textAlignment w:val="auto"/>
              <w:rPr>
                <w:rFonts w:hint="default" w:asciiTheme="minorEastAsia" w:hAnsiTheme="minorEastAsia" w:eastAsiaTheme="minorEastAsia" w:cstheme="minorEastAsia"/>
                <w:color w:val="auto"/>
                <w:kern w:val="2"/>
                <w:sz w:val="24"/>
                <w:szCs w:val="24"/>
                <w:highlight w:val="none"/>
                <w:lang w:val="en-US" w:eastAsia="zh-CN"/>
              </w:rPr>
            </w:pPr>
          </w:p>
        </w:tc>
        <w:tc>
          <w:tcPr>
            <w:tcW w:w="1014" w:type="dxa"/>
            <w:vMerge w:val="continue"/>
            <w:tcBorders>
              <w:top w:val="single" w:color="auto" w:sz="4" w:space="0"/>
              <w:left w:val="single" w:color="auto" w:sz="4" w:space="0"/>
              <w:bottom w:val="single" w:color="auto" w:sz="4" w:space="0"/>
              <w:right w:val="single" w:color="auto" w:sz="4" w:space="0"/>
            </w:tcBorders>
            <w:vAlign w:val="center"/>
          </w:tcPr>
          <w:p w14:paraId="72F54627">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kern w:val="2"/>
                <w:sz w:val="24"/>
                <w:szCs w:val="24"/>
                <w:highlight w:val="none"/>
              </w:rPr>
            </w:pPr>
          </w:p>
        </w:tc>
        <w:tc>
          <w:tcPr>
            <w:tcW w:w="2629" w:type="dxa"/>
            <w:tcBorders>
              <w:top w:val="single" w:color="000000" w:sz="4" w:space="0"/>
              <w:left w:val="nil"/>
              <w:bottom w:val="single" w:color="auto" w:sz="4" w:space="0"/>
              <w:right w:val="single" w:color="auto" w:sz="4" w:space="0"/>
            </w:tcBorders>
            <w:shd w:val="clear" w:color="auto" w:fill="auto"/>
            <w:vAlign w:val="center"/>
          </w:tcPr>
          <w:p w14:paraId="52D9CB0B">
            <w:pPr>
              <w:pStyle w:val="29"/>
              <w:spacing w:before="8" w:line="310" w:lineRule="atLeast"/>
              <w:ind w:left="512" w:leftChars="0" w:right="168" w:rightChars="0" w:hanging="329" w:firstLineChar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eastAsia="zh-CN"/>
              </w:rPr>
              <w:t>营业执照</w:t>
            </w:r>
          </w:p>
        </w:tc>
        <w:tc>
          <w:tcPr>
            <w:tcW w:w="5889" w:type="dxa"/>
            <w:tcBorders>
              <w:top w:val="single" w:color="000000" w:sz="4" w:space="0"/>
              <w:left w:val="nil"/>
              <w:bottom w:val="single" w:color="auto" w:sz="4" w:space="0"/>
              <w:right w:val="single" w:color="auto" w:sz="4" w:space="0"/>
            </w:tcBorders>
            <w:shd w:val="clear" w:color="auto" w:fill="auto"/>
            <w:vAlign w:val="center"/>
          </w:tcPr>
          <w:p w14:paraId="617A74D3">
            <w:pPr>
              <w:pStyle w:val="29"/>
              <w:keepNext w:val="0"/>
              <w:keepLines w:val="0"/>
              <w:pageBreakBefore w:val="0"/>
              <w:kinsoku/>
              <w:wordWrap/>
              <w:overflowPunct/>
              <w:topLinePunct w:val="0"/>
              <w:bidi w:val="0"/>
              <w:adjustRightInd/>
              <w:snapToGrid/>
              <w:spacing w:line="288" w:lineRule="auto"/>
              <w:jc w:val="both"/>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pacing w:val="-20"/>
                <w:sz w:val="24"/>
                <w:szCs w:val="24"/>
                <w:lang w:eastAsia="zh-CN"/>
              </w:rPr>
              <w:t>在中华人民共和国境内具有能够独立承担民事责任能力；具有有效的营业执照或其他证明材料；</w:t>
            </w:r>
          </w:p>
        </w:tc>
      </w:tr>
      <w:tr w14:paraId="0EDBF799">
        <w:tblPrEx>
          <w:tblCellMar>
            <w:top w:w="0" w:type="dxa"/>
            <w:left w:w="108" w:type="dxa"/>
            <w:bottom w:w="0" w:type="dxa"/>
            <w:right w:w="108" w:type="dxa"/>
          </w:tblCellMar>
        </w:tblPrEx>
        <w:trPr>
          <w:trHeight w:val="606" w:hRule="atLeast"/>
          <w:jc w:val="center"/>
        </w:trPr>
        <w:tc>
          <w:tcPr>
            <w:tcW w:w="961" w:type="dxa"/>
            <w:vMerge w:val="continue"/>
            <w:tcBorders>
              <w:top w:val="single" w:color="auto" w:sz="4" w:space="0"/>
              <w:left w:val="single" w:color="auto" w:sz="4" w:space="0"/>
              <w:bottom w:val="single" w:color="auto" w:sz="4" w:space="0"/>
              <w:right w:val="single" w:color="auto" w:sz="4" w:space="0"/>
            </w:tcBorders>
            <w:vAlign w:val="center"/>
          </w:tcPr>
          <w:p w14:paraId="347AC88F">
            <w:pPr>
              <w:keepNext w:val="0"/>
              <w:keepLines w:val="0"/>
              <w:pageBreakBefore w:val="0"/>
              <w:widowControl w:val="0"/>
              <w:kinsoku/>
              <w:wordWrap w:val="0"/>
              <w:overflowPunct/>
              <w:topLinePunct w:val="0"/>
              <w:autoSpaceDE/>
              <w:autoSpaceDN/>
              <w:bidi w:val="0"/>
              <w:adjustRightInd/>
              <w:snapToGrid/>
              <w:spacing w:line="600" w:lineRule="exact"/>
              <w:jc w:val="center"/>
              <w:textAlignment w:val="auto"/>
              <w:rPr>
                <w:rFonts w:hint="eastAsia" w:asciiTheme="minorEastAsia" w:hAnsiTheme="minorEastAsia" w:eastAsiaTheme="minorEastAsia" w:cstheme="minorEastAsia"/>
                <w:color w:val="auto"/>
                <w:kern w:val="2"/>
                <w:sz w:val="24"/>
                <w:szCs w:val="24"/>
                <w:highlight w:val="none"/>
                <w:lang w:val="en-US" w:eastAsia="zh-CN"/>
              </w:rPr>
            </w:pPr>
          </w:p>
        </w:tc>
        <w:tc>
          <w:tcPr>
            <w:tcW w:w="1014" w:type="dxa"/>
            <w:vMerge w:val="continue"/>
            <w:tcBorders>
              <w:top w:val="single" w:color="auto" w:sz="4" w:space="0"/>
              <w:left w:val="single" w:color="auto" w:sz="4" w:space="0"/>
              <w:bottom w:val="single" w:color="auto" w:sz="4" w:space="0"/>
              <w:right w:val="single" w:color="auto" w:sz="4" w:space="0"/>
            </w:tcBorders>
            <w:vAlign w:val="center"/>
          </w:tcPr>
          <w:p w14:paraId="7752EA4F">
            <w:pPr>
              <w:keepNext w:val="0"/>
              <w:keepLines w:val="0"/>
              <w:pageBreakBefore w:val="0"/>
              <w:widowControl w:val="0"/>
              <w:kinsoku/>
              <w:wordWrap w:val="0"/>
              <w:overflowPunct/>
              <w:topLinePunct w:val="0"/>
              <w:autoSpaceDE/>
              <w:autoSpaceDN/>
              <w:bidi w:val="0"/>
              <w:adjustRightInd/>
              <w:snapToGrid/>
              <w:spacing w:line="600" w:lineRule="exact"/>
              <w:jc w:val="center"/>
              <w:textAlignment w:val="auto"/>
              <w:rPr>
                <w:rFonts w:hint="eastAsia" w:asciiTheme="minorEastAsia" w:hAnsiTheme="minorEastAsia" w:eastAsiaTheme="minorEastAsia" w:cstheme="minorEastAsia"/>
                <w:color w:val="auto"/>
                <w:kern w:val="2"/>
                <w:sz w:val="24"/>
                <w:szCs w:val="24"/>
                <w:highlight w:val="none"/>
              </w:rPr>
            </w:pPr>
          </w:p>
        </w:tc>
        <w:tc>
          <w:tcPr>
            <w:tcW w:w="2629" w:type="dxa"/>
            <w:tcBorders>
              <w:top w:val="single" w:color="000000" w:sz="4" w:space="0"/>
              <w:left w:val="nil"/>
              <w:bottom w:val="single" w:color="auto" w:sz="4" w:space="0"/>
              <w:right w:val="single" w:color="auto" w:sz="4" w:space="0"/>
            </w:tcBorders>
            <w:shd w:val="clear" w:color="auto" w:fill="auto"/>
            <w:vAlign w:val="center"/>
          </w:tcPr>
          <w:p w14:paraId="572D1818">
            <w:pPr>
              <w:pStyle w:val="29"/>
              <w:spacing w:before="142"/>
              <w:ind w:left="222" w:leftChars="0" w:right="209" w:rightChars="0"/>
              <w:jc w:val="center"/>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sz w:val="24"/>
                <w:szCs w:val="24"/>
              </w:rPr>
              <w:t>资质</w:t>
            </w:r>
          </w:p>
        </w:tc>
        <w:tc>
          <w:tcPr>
            <w:tcW w:w="5889" w:type="dxa"/>
            <w:tcBorders>
              <w:top w:val="single" w:color="000000" w:sz="4" w:space="0"/>
              <w:left w:val="nil"/>
              <w:bottom w:val="single" w:color="auto" w:sz="4" w:space="0"/>
              <w:right w:val="single" w:color="auto" w:sz="4" w:space="0"/>
            </w:tcBorders>
            <w:shd w:val="clear" w:color="auto" w:fill="auto"/>
            <w:vAlign w:val="center"/>
          </w:tcPr>
          <w:p w14:paraId="051A14A5">
            <w:pPr>
              <w:pStyle w:val="29"/>
              <w:keepNext w:val="0"/>
              <w:keepLines w:val="0"/>
              <w:pageBreakBefore w:val="0"/>
              <w:kinsoku/>
              <w:wordWrap/>
              <w:overflowPunct/>
              <w:topLinePunct w:val="0"/>
              <w:bidi w:val="0"/>
              <w:adjustRightInd/>
              <w:snapToGrid/>
              <w:spacing w:line="288" w:lineRule="auto"/>
              <w:ind w:left="0" w:leftChars="0"/>
              <w:jc w:val="both"/>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pacing w:val="-20"/>
                <w:sz w:val="24"/>
                <w:szCs w:val="24"/>
                <w:lang w:eastAsia="zh-CN"/>
              </w:rPr>
              <w:t>供应商具有测绘地理信息行政主管部门颁发的测绘乙级及以上资质；</w:t>
            </w:r>
          </w:p>
        </w:tc>
      </w:tr>
      <w:tr w14:paraId="320E73A6">
        <w:tblPrEx>
          <w:tblCellMar>
            <w:top w:w="0" w:type="dxa"/>
            <w:left w:w="108" w:type="dxa"/>
            <w:bottom w:w="0" w:type="dxa"/>
            <w:right w:w="108" w:type="dxa"/>
          </w:tblCellMar>
        </w:tblPrEx>
        <w:trPr>
          <w:trHeight w:val="606" w:hRule="atLeast"/>
          <w:jc w:val="center"/>
        </w:trPr>
        <w:tc>
          <w:tcPr>
            <w:tcW w:w="961" w:type="dxa"/>
            <w:vMerge w:val="continue"/>
            <w:tcBorders>
              <w:top w:val="single" w:color="auto" w:sz="4" w:space="0"/>
              <w:left w:val="single" w:color="auto" w:sz="4" w:space="0"/>
              <w:bottom w:val="single" w:color="auto" w:sz="4" w:space="0"/>
              <w:right w:val="single" w:color="auto" w:sz="4" w:space="0"/>
            </w:tcBorders>
            <w:vAlign w:val="center"/>
          </w:tcPr>
          <w:p w14:paraId="0A235BD5">
            <w:pPr>
              <w:keepNext w:val="0"/>
              <w:keepLines w:val="0"/>
              <w:pageBreakBefore w:val="0"/>
              <w:widowControl w:val="0"/>
              <w:kinsoku/>
              <w:wordWrap w:val="0"/>
              <w:overflowPunct/>
              <w:topLinePunct w:val="0"/>
              <w:autoSpaceDE/>
              <w:autoSpaceDN/>
              <w:bidi w:val="0"/>
              <w:adjustRightInd/>
              <w:snapToGrid/>
              <w:spacing w:line="600" w:lineRule="exact"/>
              <w:jc w:val="center"/>
              <w:textAlignment w:val="auto"/>
              <w:rPr>
                <w:rFonts w:hint="eastAsia" w:asciiTheme="minorEastAsia" w:hAnsiTheme="minorEastAsia" w:eastAsiaTheme="minorEastAsia" w:cstheme="minorEastAsia"/>
                <w:color w:val="auto"/>
                <w:kern w:val="2"/>
                <w:sz w:val="24"/>
                <w:szCs w:val="24"/>
                <w:highlight w:val="none"/>
                <w:lang w:val="en-US" w:eastAsia="zh-CN"/>
              </w:rPr>
            </w:pPr>
          </w:p>
        </w:tc>
        <w:tc>
          <w:tcPr>
            <w:tcW w:w="1014" w:type="dxa"/>
            <w:vMerge w:val="continue"/>
            <w:tcBorders>
              <w:top w:val="single" w:color="auto" w:sz="4" w:space="0"/>
              <w:left w:val="single" w:color="auto" w:sz="4" w:space="0"/>
              <w:bottom w:val="single" w:color="auto" w:sz="4" w:space="0"/>
              <w:right w:val="single" w:color="auto" w:sz="4" w:space="0"/>
            </w:tcBorders>
            <w:vAlign w:val="center"/>
          </w:tcPr>
          <w:p w14:paraId="23A86EED">
            <w:pPr>
              <w:keepNext w:val="0"/>
              <w:keepLines w:val="0"/>
              <w:pageBreakBefore w:val="0"/>
              <w:widowControl w:val="0"/>
              <w:kinsoku/>
              <w:wordWrap w:val="0"/>
              <w:overflowPunct/>
              <w:topLinePunct w:val="0"/>
              <w:autoSpaceDE/>
              <w:autoSpaceDN/>
              <w:bidi w:val="0"/>
              <w:adjustRightInd/>
              <w:snapToGrid/>
              <w:spacing w:line="600" w:lineRule="exact"/>
              <w:jc w:val="center"/>
              <w:textAlignment w:val="auto"/>
              <w:rPr>
                <w:rFonts w:hint="eastAsia" w:asciiTheme="minorEastAsia" w:hAnsiTheme="minorEastAsia" w:eastAsiaTheme="minorEastAsia" w:cstheme="minorEastAsia"/>
                <w:color w:val="auto"/>
                <w:kern w:val="2"/>
                <w:sz w:val="24"/>
                <w:szCs w:val="24"/>
                <w:highlight w:val="none"/>
              </w:rPr>
            </w:pPr>
          </w:p>
        </w:tc>
        <w:tc>
          <w:tcPr>
            <w:tcW w:w="2629" w:type="dxa"/>
            <w:tcBorders>
              <w:top w:val="single" w:color="auto" w:sz="4" w:space="0"/>
              <w:left w:val="nil"/>
              <w:bottom w:val="single" w:color="auto" w:sz="4" w:space="0"/>
              <w:right w:val="single" w:color="auto" w:sz="4" w:space="0"/>
            </w:tcBorders>
            <w:vAlign w:val="center"/>
          </w:tcPr>
          <w:p w14:paraId="703A49A4">
            <w:pPr>
              <w:pStyle w:val="29"/>
              <w:spacing w:before="179"/>
              <w:ind w:left="221" w:leftChars="0" w:right="211" w:rightChars="0"/>
              <w:jc w:val="center"/>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sz w:val="24"/>
                <w:szCs w:val="24"/>
              </w:rPr>
              <w:t>项目负责人</w:t>
            </w:r>
          </w:p>
        </w:tc>
        <w:tc>
          <w:tcPr>
            <w:tcW w:w="5889" w:type="dxa"/>
            <w:tcBorders>
              <w:top w:val="single" w:color="auto" w:sz="4" w:space="0"/>
              <w:left w:val="nil"/>
              <w:bottom w:val="single" w:color="auto" w:sz="4" w:space="0"/>
              <w:right w:val="single" w:color="auto" w:sz="4" w:space="0"/>
            </w:tcBorders>
            <w:vAlign w:val="center"/>
          </w:tcPr>
          <w:p w14:paraId="28B07F0C">
            <w:pPr>
              <w:pStyle w:val="29"/>
              <w:keepNext w:val="0"/>
              <w:keepLines w:val="0"/>
              <w:pageBreakBefore w:val="0"/>
              <w:kinsoku/>
              <w:wordWrap/>
              <w:overflowPunct/>
              <w:topLinePunct w:val="0"/>
              <w:bidi w:val="0"/>
              <w:adjustRightInd/>
              <w:snapToGrid/>
              <w:spacing w:line="288" w:lineRule="auto"/>
              <w:ind w:left="0" w:leftChars="0"/>
              <w:jc w:val="both"/>
              <w:textAlignment w:val="auto"/>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spacing w:val="-20"/>
                <w:sz w:val="24"/>
                <w:szCs w:val="24"/>
                <w:lang w:eastAsia="zh-CN"/>
              </w:rPr>
              <w:t>拟派项目负责人需具有相关专业</w:t>
            </w:r>
            <w:r>
              <w:rPr>
                <w:rFonts w:hint="eastAsia" w:asciiTheme="minorEastAsia" w:hAnsiTheme="minorEastAsia" w:eastAsiaTheme="minorEastAsia" w:cstheme="minorEastAsia"/>
                <w:spacing w:val="-20"/>
                <w:sz w:val="24"/>
                <w:szCs w:val="24"/>
                <w:lang w:val="en-US" w:eastAsia="zh-CN"/>
              </w:rPr>
              <w:t>中</w:t>
            </w:r>
            <w:r>
              <w:rPr>
                <w:rFonts w:hint="eastAsia" w:asciiTheme="minorEastAsia" w:hAnsiTheme="minorEastAsia" w:eastAsiaTheme="minorEastAsia" w:cstheme="minorEastAsia"/>
                <w:spacing w:val="-20"/>
                <w:sz w:val="24"/>
                <w:szCs w:val="24"/>
                <w:lang w:eastAsia="zh-CN"/>
              </w:rPr>
              <w:t>级（含）及以上职称，</w:t>
            </w:r>
            <w:r>
              <w:rPr>
                <w:rFonts w:hint="eastAsia" w:asciiTheme="minorEastAsia" w:hAnsiTheme="minorEastAsia" w:eastAsiaTheme="minorEastAsia" w:cstheme="minorEastAsia"/>
                <w:spacing w:val="-20"/>
                <w:sz w:val="24"/>
                <w:szCs w:val="24"/>
                <w:lang w:val="en-US" w:eastAsia="zh-CN"/>
              </w:rPr>
              <w:t>（提供职称证原件扫描件、劳动合同及近半年任意一个月以来社保缴纳证明）</w:t>
            </w:r>
          </w:p>
        </w:tc>
      </w:tr>
      <w:tr w14:paraId="1FA5BE3E">
        <w:tblPrEx>
          <w:tblCellMar>
            <w:top w:w="0" w:type="dxa"/>
            <w:left w:w="108" w:type="dxa"/>
            <w:bottom w:w="0" w:type="dxa"/>
            <w:right w:w="108" w:type="dxa"/>
          </w:tblCellMar>
        </w:tblPrEx>
        <w:trPr>
          <w:trHeight w:val="1431" w:hRule="atLeast"/>
          <w:jc w:val="center"/>
        </w:trPr>
        <w:tc>
          <w:tcPr>
            <w:tcW w:w="961" w:type="dxa"/>
            <w:vMerge w:val="continue"/>
            <w:tcBorders>
              <w:top w:val="single" w:color="auto" w:sz="4" w:space="0"/>
              <w:left w:val="single" w:color="auto" w:sz="4" w:space="0"/>
              <w:bottom w:val="single" w:color="auto" w:sz="4" w:space="0"/>
              <w:right w:val="single" w:color="auto" w:sz="4" w:space="0"/>
            </w:tcBorders>
            <w:vAlign w:val="center"/>
          </w:tcPr>
          <w:p w14:paraId="2E99969F">
            <w:pPr>
              <w:keepNext w:val="0"/>
              <w:keepLines w:val="0"/>
              <w:pageBreakBefore w:val="0"/>
              <w:kinsoku/>
              <w:wordWrap w:val="0"/>
              <w:overflowPunct/>
              <w:topLinePunct w:val="0"/>
              <w:autoSpaceDE/>
              <w:autoSpaceDN/>
              <w:bidi w:val="0"/>
              <w:adjustRightInd/>
              <w:snapToGrid/>
              <w:spacing w:line="600" w:lineRule="exact"/>
              <w:textAlignment w:val="auto"/>
              <w:rPr>
                <w:rFonts w:hint="eastAsia" w:asciiTheme="minorEastAsia" w:hAnsiTheme="minorEastAsia" w:eastAsiaTheme="minorEastAsia" w:cstheme="minorEastAsia"/>
                <w:color w:val="auto"/>
                <w:kern w:val="2"/>
                <w:sz w:val="24"/>
                <w:szCs w:val="24"/>
                <w:highlight w:val="none"/>
              </w:rPr>
            </w:pPr>
          </w:p>
        </w:tc>
        <w:tc>
          <w:tcPr>
            <w:tcW w:w="1014" w:type="dxa"/>
            <w:vMerge w:val="continue"/>
            <w:tcBorders>
              <w:top w:val="single" w:color="auto" w:sz="4" w:space="0"/>
              <w:left w:val="single" w:color="auto" w:sz="4" w:space="0"/>
              <w:bottom w:val="single" w:color="auto" w:sz="4" w:space="0"/>
              <w:right w:val="single" w:color="auto" w:sz="4" w:space="0"/>
            </w:tcBorders>
            <w:vAlign w:val="center"/>
          </w:tcPr>
          <w:p w14:paraId="395A2CFE">
            <w:pPr>
              <w:keepNext w:val="0"/>
              <w:keepLines w:val="0"/>
              <w:pageBreakBefore w:val="0"/>
              <w:kinsoku/>
              <w:wordWrap w:val="0"/>
              <w:overflowPunct/>
              <w:topLinePunct w:val="0"/>
              <w:autoSpaceDE/>
              <w:autoSpaceDN/>
              <w:bidi w:val="0"/>
              <w:adjustRightInd/>
              <w:snapToGrid/>
              <w:spacing w:line="600" w:lineRule="exact"/>
              <w:textAlignment w:val="auto"/>
              <w:rPr>
                <w:rFonts w:hint="eastAsia" w:asciiTheme="minorEastAsia" w:hAnsiTheme="minorEastAsia" w:eastAsiaTheme="minorEastAsia" w:cstheme="minorEastAsia"/>
                <w:color w:val="auto"/>
                <w:kern w:val="2"/>
                <w:sz w:val="24"/>
                <w:szCs w:val="24"/>
                <w:highlight w:val="none"/>
              </w:rPr>
            </w:pPr>
          </w:p>
        </w:tc>
        <w:tc>
          <w:tcPr>
            <w:tcW w:w="2629" w:type="dxa"/>
            <w:tcBorders>
              <w:top w:val="single" w:color="auto" w:sz="4" w:space="0"/>
              <w:left w:val="nil"/>
              <w:bottom w:val="single" w:color="auto" w:sz="4" w:space="0"/>
              <w:right w:val="single" w:color="auto" w:sz="4" w:space="0"/>
            </w:tcBorders>
            <w:vAlign w:val="center"/>
          </w:tcPr>
          <w:p w14:paraId="2403053B">
            <w:pPr>
              <w:pStyle w:val="29"/>
              <w:spacing w:before="179"/>
              <w:jc w:val="center"/>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spacing w:val="-20"/>
                <w:sz w:val="24"/>
                <w:szCs w:val="24"/>
                <w:lang w:eastAsia="zh-CN"/>
              </w:rPr>
              <w:t>具有良好的商业信誉和健全的财务会计制度</w:t>
            </w:r>
          </w:p>
        </w:tc>
        <w:tc>
          <w:tcPr>
            <w:tcW w:w="5889" w:type="dxa"/>
            <w:tcBorders>
              <w:top w:val="single" w:color="auto" w:sz="4" w:space="0"/>
              <w:left w:val="nil"/>
              <w:bottom w:val="single" w:color="auto" w:sz="4" w:space="0"/>
              <w:right w:val="single" w:color="auto" w:sz="4" w:space="0"/>
            </w:tcBorders>
            <w:vAlign w:val="center"/>
          </w:tcPr>
          <w:p w14:paraId="164DD718">
            <w:pPr>
              <w:pStyle w:val="29"/>
              <w:keepNext w:val="0"/>
              <w:keepLines w:val="0"/>
              <w:pageBreakBefore w:val="0"/>
              <w:kinsoku/>
              <w:wordWrap/>
              <w:overflowPunct/>
              <w:topLinePunct w:val="0"/>
              <w:bidi w:val="0"/>
              <w:adjustRightInd/>
              <w:snapToGrid/>
              <w:spacing w:line="288" w:lineRule="auto"/>
              <w:ind w:left="0" w:leftChars="0"/>
              <w:jc w:val="both"/>
              <w:textAlignment w:val="auto"/>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spacing w:val="-20"/>
                <w:sz w:val="24"/>
                <w:szCs w:val="24"/>
                <w:lang w:eastAsia="zh-CN"/>
              </w:rPr>
              <w:t>具有良好的商业信誉和健全的财务会计制度，提供2023年度至2025年度三年中任意一年经会计师事务所审计的财务报告或供应商自行出具具有良好的商业信誉和健全的财务会计制度的承诺书；</w:t>
            </w:r>
          </w:p>
        </w:tc>
      </w:tr>
      <w:tr w14:paraId="4975BE04">
        <w:tblPrEx>
          <w:tblCellMar>
            <w:top w:w="0" w:type="dxa"/>
            <w:left w:w="108" w:type="dxa"/>
            <w:bottom w:w="0" w:type="dxa"/>
            <w:right w:w="108" w:type="dxa"/>
          </w:tblCellMar>
        </w:tblPrEx>
        <w:trPr>
          <w:trHeight w:val="90" w:hRule="atLeast"/>
          <w:jc w:val="center"/>
        </w:trPr>
        <w:tc>
          <w:tcPr>
            <w:tcW w:w="961" w:type="dxa"/>
            <w:vMerge w:val="continue"/>
            <w:tcBorders>
              <w:top w:val="single" w:color="auto" w:sz="4" w:space="0"/>
              <w:left w:val="single" w:color="auto" w:sz="4" w:space="0"/>
              <w:bottom w:val="single" w:color="auto" w:sz="4" w:space="0"/>
              <w:right w:val="single" w:color="auto" w:sz="4" w:space="0"/>
            </w:tcBorders>
            <w:vAlign w:val="center"/>
          </w:tcPr>
          <w:p w14:paraId="2BF393F3">
            <w:pPr>
              <w:keepNext w:val="0"/>
              <w:keepLines w:val="0"/>
              <w:pageBreakBefore w:val="0"/>
              <w:kinsoku/>
              <w:wordWrap w:val="0"/>
              <w:overflowPunct/>
              <w:topLinePunct w:val="0"/>
              <w:autoSpaceDE/>
              <w:autoSpaceDN/>
              <w:bidi w:val="0"/>
              <w:adjustRightInd/>
              <w:snapToGrid/>
              <w:spacing w:line="600" w:lineRule="exact"/>
              <w:textAlignment w:val="auto"/>
              <w:rPr>
                <w:rFonts w:hint="eastAsia" w:asciiTheme="minorEastAsia" w:hAnsiTheme="minorEastAsia" w:eastAsiaTheme="minorEastAsia" w:cstheme="minorEastAsia"/>
                <w:color w:val="auto"/>
                <w:kern w:val="2"/>
                <w:sz w:val="24"/>
                <w:szCs w:val="24"/>
                <w:highlight w:val="none"/>
              </w:rPr>
            </w:pPr>
          </w:p>
        </w:tc>
        <w:tc>
          <w:tcPr>
            <w:tcW w:w="1014" w:type="dxa"/>
            <w:vMerge w:val="continue"/>
            <w:tcBorders>
              <w:top w:val="single" w:color="auto" w:sz="4" w:space="0"/>
              <w:left w:val="single" w:color="auto" w:sz="4" w:space="0"/>
              <w:bottom w:val="single" w:color="auto" w:sz="4" w:space="0"/>
              <w:right w:val="single" w:color="auto" w:sz="4" w:space="0"/>
            </w:tcBorders>
            <w:vAlign w:val="center"/>
          </w:tcPr>
          <w:p w14:paraId="4D3EF66E">
            <w:pPr>
              <w:keepNext w:val="0"/>
              <w:keepLines w:val="0"/>
              <w:pageBreakBefore w:val="0"/>
              <w:kinsoku/>
              <w:wordWrap w:val="0"/>
              <w:overflowPunct/>
              <w:topLinePunct w:val="0"/>
              <w:autoSpaceDE/>
              <w:autoSpaceDN/>
              <w:bidi w:val="0"/>
              <w:adjustRightInd/>
              <w:snapToGrid/>
              <w:spacing w:line="600" w:lineRule="exact"/>
              <w:textAlignment w:val="auto"/>
              <w:rPr>
                <w:rFonts w:hint="eastAsia" w:asciiTheme="minorEastAsia" w:hAnsiTheme="minorEastAsia" w:eastAsiaTheme="minorEastAsia" w:cstheme="minorEastAsia"/>
                <w:color w:val="auto"/>
                <w:kern w:val="2"/>
                <w:sz w:val="24"/>
                <w:szCs w:val="24"/>
                <w:highlight w:val="none"/>
              </w:rPr>
            </w:pPr>
          </w:p>
        </w:tc>
        <w:tc>
          <w:tcPr>
            <w:tcW w:w="2629" w:type="dxa"/>
            <w:tcBorders>
              <w:top w:val="single" w:color="auto" w:sz="4" w:space="0"/>
              <w:left w:val="nil"/>
              <w:bottom w:val="single" w:color="auto" w:sz="4" w:space="0"/>
              <w:right w:val="single" w:color="auto" w:sz="4" w:space="0"/>
            </w:tcBorders>
            <w:vAlign w:val="center"/>
          </w:tcPr>
          <w:p w14:paraId="65562855">
            <w:pPr>
              <w:pStyle w:val="29"/>
              <w:spacing w:before="179"/>
              <w:ind w:left="107" w:leftChars="0"/>
              <w:jc w:val="center"/>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spacing w:val="-20"/>
                <w:sz w:val="24"/>
                <w:szCs w:val="24"/>
                <w:lang w:eastAsia="zh-CN"/>
              </w:rPr>
              <w:t>供应商具有依法缴纳税收和社会保障资金的良好记录</w:t>
            </w:r>
          </w:p>
        </w:tc>
        <w:tc>
          <w:tcPr>
            <w:tcW w:w="5889" w:type="dxa"/>
            <w:tcBorders>
              <w:top w:val="single" w:color="auto" w:sz="4" w:space="0"/>
              <w:left w:val="nil"/>
              <w:bottom w:val="single" w:color="auto" w:sz="4" w:space="0"/>
              <w:right w:val="single" w:color="auto" w:sz="4" w:space="0"/>
            </w:tcBorders>
            <w:vAlign w:val="center"/>
          </w:tcPr>
          <w:p w14:paraId="70753696">
            <w:pPr>
              <w:pStyle w:val="29"/>
              <w:keepNext w:val="0"/>
              <w:keepLines w:val="0"/>
              <w:pageBreakBefore w:val="0"/>
              <w:kinsoku/>
              <w:wordWrap/>
              <w:overflowPunct/>
              <w:topLinePunct w:val="0"/>
              <w:bidi w:val="0"/>
              <w:adjustRightInd/>
              <w:snapToGrid/>
              <w:spacing w:line="288" w:lineRule="auto"/>
              <w:ind w:left="0" w:leftChars="0"/>
              <w:jc w:val="both"/>
              <w:textAlignment w:val="auto"/>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spacing w:val="-20"/>
                <w:sz w:val="24"/>
                <w:szCs w:val="24"/>
                <w:lang w:eastAsia="zh-CN"/>
              </w:rPr>
              <w:t>供应商具有依法缴纳税收和社会保障资金的良好记录（需提供证明材料</w:t>
            </w:r>
            <w:r>
              <w:rPr>
                <w:rFonts w:hint="eastAsia" w:asciiTheme="minorEastAsia" w:hAnsiTheme="minorEastAsia" w:eastAsiaTheme="minorEastAsia" w:cstheme="minorEastAsia"/>
                <w:spacing w:val="-20"/>
                <w:sz w:val="24"/>
                <w:szCs w:val="24"/>
                <w:lang w:val="en-US" w:eastAsia="zh-CN"/>
              </w:rPr>
              <w:t>或自行承诺</w:t>
            </w:r>
            <w:r>
              <w:rPr>
                <w:rFonts w:hint="eastAsia" w:asciiTheme="minorEastAsia" w:hAnsiTheme="minorEastAsia" w:eastAsiaTheme="minorEastAsia" w:cstheme="minorEastAsia"/>
                <w:spacing w:val="-20"/>
                <w:sz w:val="24"/>
                <w:szCs w:val="24"/>
                <w:lang w:eastAsia="zh-CN"/>
              </w:rPr>
              <w:t>）</w:t>
            </w:r>
          </w:p>
        </w:tc>
      </w:tr>
      <w:tr w14:paraId="230B1192">
        <w:tblPrEx>
          <w:tblCellMar>
            <w:top w:w="0" w:type="dxa"/>
            <w:left w:w="108" w:type="dxa"/>
            <w:bottom w:w="0" w:type="dxa"/>
            <w:right w:w="108" w:type="dxa"/>
          </w:tblCellMar>
        </w:tblPrEx>
        <w:trPr>
          <w:trHeight w:val="1385" w:hRule="atLeast"/>
          <w:jc w:val="center"/>
        </w:trPr>
        <w:tc>
          <w:tcPr>
            <w:tcW w:w="961" w:type="dxa"/>
            <w:vMerge w:val="continue"/>
            <w:tcBorders>
              <w:top w:val="single" w:color="auto" w:sz="4" w:space="0"/>
              <w:left w:val="single" w:color="auto" w:sz="4" w:space="0"/>
              <w:bottom w:val="single" w:color="auto" w:sz="4" w:space="0"/>
              <w:right w:val="single" w:color="auto" w:sz="4" w:space="0"/>
            </w:tcBorders>
            <w:vAlign w:val="center"/>
          </w:tcPr>
          <w:p w14:paraId="00EC7076">
            <w:pPr>
              <w:keepNext w:val="0"/>
              <w:keepLines w:val="0"/>
              <w:pageBreakBefore w:val="0"/>
              <w:kinsoku/>
              <w:wordWrap w:val="0"/>
              <w:overflowPunct/>
              <w:topLinePunct w:val="0"/>
              <w:autoSpaceDE/>
              <w:autoSpaceDN/>
              <w:bidi w:val="0"/>
              <w:adjustRightInd/>
              <w:snapToGrid/>
              <w:spacing w:line="600" w:lineRule="exact"/>
              <w:textAlignment w:val="auto"/>
              <w:rPr>
                <w:rFonts w:hint="eastAsia" w:asciiTheme="minorEastAsia" w:hAnsiTheme="minorEastAsia" w:eastAsiaTheme="minorEastAsia" w:cstheme="minorEastAsia"/>
                <w:color w:val="auto"/>
                <w:kern w:val="2"/>
                <w:sz w:val="24"/>
                <w:szCs w:val="24"/>
                <w:highlight w:val="none"/>
              </w:rPr>
            </w:pPr>
          </w:p>
        </w:tc>
        <w:tc>
          <w:tcPr>
            <w:tcW w:w="1014" w:type="dxa"/>
            <w:vMerge w:val="continue"/>
            <w:tcBorders>
              <w:top w:val="single" w:color="auto" w:sz="4" w:space="0"/>
              <w:left w:val="single" w:color="auto" w:sz="4" w:space="0"/>
              <w:bottom w:val="single" w:color="auto" w:sz="4" w:space="0"/>
              <w:right w:val="single" w:color="auto" w:sz="4" w:space="0"/>
            </w:tcBorders>
            <w:vAlign w:val="center"/>
          </w:tcPr>
          <w:p w14:paraId="21F203B6">
            <w:pPr>
              <w:keepNext w:val="0"/>
              <w:keepLines w:val="0"/>
              <w:pageBreakBefore w:val="0"/>
              <w:kinsoku/>
              <w:wordWrap w:val="0"/>
              <w:overflowPunct/>
              <w:topLinePunct w:val="0"/>
              <w:autoSpaceDE/>
              <w:autoSpaceDN/>
              <w:bidi w:val="0"/>
              <w:adjustRightInd/>
              <w:snapToGrid/>
              <w:spacing w:line="600" w:lineRule="exact"/>
              <w:textAlignment w:val="auto"/>
              <w:rPr>
                <w:rFonts w:hint="eastAsia" w:asciiTheme="minorEastAsia" w:hAnsiTheme="minorEastAsia" w:eastAsiaTheme="minorEastAsia" w:cstheme="minorEastAsia"/>
                <w:color w:val="auto"/>
                <w:kern w:val="2"/>
                <w:sz w:val="24"/>
                <w:szCs w:val="24"/>
                <w:highlight w:val="none"/>
              </w:rPr>
            </w:pPr>
          </w:p>
        </w:tc>
        <w:tc>
          <w:tcPr>
            <w:tcW w:w="2629" w:type="dxa"/>
            <w:tcBorders>
              <w:top w:val="single" w:color="auto" w:sz="4" w:space="0"/>
              <w:left w:val="nil"/>
              <w:bottom w:val="single" w:color="auto" w:sz="4" w:space="0"/>
              <w:right w:val="single" w:color="auto" w:sz="4" w:space="0"/>
            </w:tcBorders>
            <w:vAlign w:val="center"/>
          </w:tcPr>
          <w:p w14:paraId="55A66C2E">
            <w:pPr>
              <w:pStyle w:val="29"/>
              <w:spacing w:before="179"/>
              <w:jc w:val="center"/>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spacing w:val="-20"/>
                <w:sz w:val="24"/>
                <w:szCs w:val="24"/>
                <w:lang w:eastAsia="zh-CN"/>
              </w:rPr>
              <w:t>无行贿记录</w:t>
            </w:r>
          </w:p>
        </w:tc>
        <w:tc>
          <w:tcPr>
            <w:tcW w:w="5889" w:type="dxa"/>
            <w:tcBorders>
              <w:top w:val="single" w:color="auto" w:sz="4" w:space="0"/>
              <w:left w:val="nil"/>
              <w:bottom w:val="single" w:color="auto" w:sz="4" w:space="0"/>
              <w:right w:val="single" w:color="auto" w:sz="4" w:space="0"/>
            </w:tcBorders>
            <w:vAlign w:val="center"/>
          </w:tcPr>
          <w:p w14:paraId="64F03941">
            <w:pPr>
              <w:pStyle w:val="29"/>
              <w:keepNext w:val="0"/>
              <w:keepLines w:val="0"/>
              <w:pageBreakBefore w:val="0"/>
              <w:kinsoku/>
              <w:wordWrap/>
              <w:overflowPunct/>
              <w:topLinePunct w:val="0"/>
              <w:bidi w:val="0"/>
              <w:adjustRightInd/>
              <w:snapToGrid/>
              <w:spacing w:line="288" w:lineRule="auto"/>
              <w:ind w:left="0" w:leftChars="0"/>
              <w:jc w:val="both"/>
              <w:textAlignment w:val="auto"/>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spacing w:val="-20"/>
                <w:sz w:val="24"/>
                <w:szCs w:val="24"/>
                <w:lang w:eastAsia="zh-CN"/>
              </w:rPr>
              <w:t>参加政府采购活动前3年内无行贿犯罪记录，（开标时提供《中国裁判文书网》查询结果网页截图或企业自行承诺的无行贿犯罪承诺书，查询&lt;承诺&gt;对象为“企业，法定代表人，项目</w:t>
            </w:r>
            <w:r>
              <w:rPr>
                <w:rFonts w:hint="eastAsia" w:asciiTheme="minorEastAsia" w:hAnsiTheme="minorEastAsia" w:eastAsiaTheme="minorEastAsia" w:cstheme="minorEastAsia"/>
                <w:spacing w:val="-20"/>
                <w:sz w:val="24"/>
                <w:szCs w:val="24"/>
                <w:lang w:val="en-US" w:eastAsia="zh-CN"/>
              </w:rPr>
              <w:t>负责人</w:t>
            </w:r>
            <w:r>
              <w:rPr>
                <w:rFonts w:hint="eastAsia" w:asciiTheme="minorEastAsia" w:hAnsiTheme="minorEastAsia" w:eastAsiaTheme="minorEastAsia" w:cstheme="minorEastAsia"/>
                <w:spacing w:val="-20"/>
                <w:sz w:val="24"/>
                <w:szCs w:val="24"/>
                <w:lang w:eastAsia="zh-CN"/>
              </w:rPr>
              <w:t>”）；</w:t>
            </w:r>
          </w:p>
        </w:tc>
      </w:tr>
      <w:tr w14:paraId="2FE38AC4">
        <w:tblPrEx>
          <w:tblCellMar>
            <w:top w:w="0" w:type="dxa"/>
            <w:left w:w="108" w:type="dxa"/>
            <w:bottom w:w="0" w:type="dxa"/>
            <w:right w:w="108" w:type="dxa"/>
          </w:tblCellMar>
        </w:tblPrEx>
        <w:trPr>
          <w:trHeight w:val="418" w:hRule="atLeast"/>
          <w:jc w:val="center"/>
        </w:trPr>
        <w:tc>
          <w:tcPr>
            <w:tcW w:w="961" w:type="dxa"/>
            <w:vMerge w:val="continue"/>
            <w:tcBorders>
              <w:top w:val="single" w:color="auto" w:sz="4" w:space="0"/>
              <w:left w:val="single" w:color="auto" w:sz="4" w:space="0"/>
              <w:bottom w:val="single" w:color="auto" w:sz="4" w:space="0"/>
              <w:right w:val="single" w:color="auto" w:sz="4" w:space="0"/>
            </w:tcBorders>
            <w:vAlign w:val="center"/>
          </w:tcPr>
          <w:p w14:paraId="138312D3">
            <w:pPr>
              <w:keepNext w:val="0"/>
              <w:keepLines w:val="0"/>
              <w:pageBreakBefore w:val="0"/>
              <w:kinsoku/>
              <w:wordWrap w:val="0"/>
              <w:overflowPunct/>
              <w:topLinePunct w:val="0"/>
              <w:autoSpaceDE/>
              <w:autoSpaceDN/>
              <w:bidi w:val="0"/>
              <w:adjustRightInd/>
              <w:snapToGrid/>
              <w:spacing w:line="600" w:lineRule="exact"/>
              <w:textAlignment w:val="auto"/>
              <w:rPr>
                <w:rFonts w:hint="eastAsia" w:asciiTheme="minorEastAsia" w:hAnsiTheme="minorEastAsia" w:eastAsiaTheme="minorEastAsia" w:cstheme="minorEastAsia"/>
                <w:color w:val="auto"/>
                <w:kern w:val="2"/>
                <w:sz w:val="24"/>
                <w:szCs w:val="24"/>
                <w:highlight w:val="none"/>
              </w:rPr>
            </w:pPr>
          </w:p>
        </w:tc>
        <w:tc>
          <w:tcPr>
            <w:tcW w:w="1014" w:type="dxa"/>
            <w:vMerge w:val="continue"/>
            <w:tcBorders>
              <w:top w:val="single" w:color="auto" w:sz="4" w:space="0"/>
              <w:left w:val="single" w:color="auto" w:sz="4" w:space="0"/>
              <w:bottom w:val="single" w:color="auto" w:sz="4" w:space="0"/>
              <w:right w:val="single" w:color="auto" w:sz="4" w:space="0"/>
            </w:tcBorders>
            <w:vAlign w:val="center"/>
          </w:tcPr>
          <w:p w14:paraId="7C151303">
            <w:pPr>
              <w:keepNext w:val="0"/>
              <w:keepLines w:val="0"/>
              <w:pageBreakBefore w:val="0"/>
              <w:kinsoku/>
              <w:wordWrap w:val="0"/>
              <w:overflowPunct/>
              <w:topLinePunct w:val="0"/>
              <w:autoSpaceDE/>
              <w:autoSpaceDN/>
              <w:bidi w:val="0"/>
              <w:adjustRightInd/>
              <w:snapToGrid/>
              <w:spacing w:line="600" w:lineRule="exact"/>
              <w:textAlignment w:val="auto"/>
              <w:rPr>
                <w:rFonts w:hint="eastAsia" w:asciiTheme="minorEastAsia" w:hAnsiTheme="minorEastAsia" w:eastAsiaTheme="minorEastAsia" w:cstheme="minorEastAsia"/>
                <w:color w:val="auto"/>
                <w:kern w:val="2"/>
                <w:sz w:val="24"/>
                <w:szCs w:val="24"/>
                <w:highlight w:val="none"/>
              </w:rPr>
            </w:pPr>
          </w:p>
        </w:tc>
        <w:tc>
          <w:tcPr>
            <w:tcW w:w="2629" w:type="dxa"/>
            <w:tcBorders>
              <w:top w:val="single" w:color="auto" w:sz="4" w:space="0"/>
              <w:left w:val="nil"/>
              <w:bottom w:val="single" w:color="auto" w:sz="4" w:space="0"/>
              <w:right w:val="single" w:color="auto" w:sz="4" w:space="0"/>
            </w:tcBorders>
            <w:vAlign w:val="center"/>
          </w:tcPr>
          <w:p w14:paraId="6B3307B4">
            <w:pPr>
              <w:pStyle w:val="29"/>
              <w:spacing w:before="179"/>
              <w:ind w:left="107" w:leftChars="0"/>
              <w:jc w:val="center"/>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spacing w:val="-20"/>
                <w:sz w:val="24"/>
                <w:szCs w:val="24"/>
                <w:lang w:eastAsia="zh-CN"/>
              </w:rPr>
              <w:t>无商业贿赂和不正当竞争行为承诺书</w:t>
            </w:r>
          </w:p>
        </w:tc>
        <w:tc>
          <w:tcPr>
            <w:tcW w:w="5889" w:type="dxa"/>
            <w:tcBorders>
              <w:top w:val="single" w:color="auto" w:sz="4" w:space="0"/>
              <w:left w:val="nil"/>
              <w:bottom w:val="single" w:color="auto" w:sz="4" w:space="0"/>
              <w:right w:val="single" w:color="auto" w:sz="4" w:space="0"/>
            </w:tcBorders>
            <w:vAlign w:val="center"/>
          </w:tcPr>
          <w:p w14:paraId="1D3499B2">
            <w:pPr>
              <w:pStyle w:val="29"/>
              <w:keepNext w:val="0"/>
              <w:keepLines w:val="0"/>
              <w:pageBreakBefore w:val="0"/>
              <w:kinsoku/>
              <w:wordWrap/>
              <w:overflowPunct/>
              <w:topLinePunct w:val="0"/>
              <w:bidi w:val="0"/>
              <w:adjustRightInd/>
              <w:snapToGrid/>
              <w:spacing w:line="288" w:lineRule="auto"/>
              <w:ind w:left="0" w:leftChars="0"/>
              <w:jc w:val="both"/>
              <w:textAlignment w:val="auto"/>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spacing w:val="-20"/>
                <w:sz w:val="24"/>
                <w:szCs w:val="24"/>
                <w:lang w:eastAsia="zh-CN"/>
              </w:rPr>
              <w:t>参加政府采购活动前3年内无商业贿赂、不正当竞争行为、骗取中标、严重违约及重大工程质量等问题；</w:t>
            </w:r>
          </w:p>
        </w:tc>
      </w:tr>
      <w:tr w14:paraId="63169DE4">
        <w:tblPrEx>
          <w:tblCellMar>
            <w:top w:w="0" w:type="dxa"/>
            <w:left w:w="108" w:type="dxa"/>
            <w:bottom w:w="0" w:type="dxa"/>
            <w:right w:w="108" w:type="dxa"/>
          </w:tblCellMar>
        </w:tblPrEx>
        <w:trPr>
          <w:trHeight w:val="471" w:hRule="atLeast"/>
          <w:jc w:val="center"/>
        </w:trPr>
        <w:tc>
          <w:tcPr>
            <w:tcW w:w="961" w:type="dxa"/>
            <w:vMerge w:val="continue"/>
            <w:tcBorders>
              <w:top w:val="single" w:color="auto" w:sz="4" w:space="0"/>
              <w:left w:val="single" w:color="auto" w:sz="4" w:space="0"/>
              <w:bottom w:val="single" w:color="auto" w:sz="4" w:space="0"/>
              <w:right w:val="single" w:color="auto" w:sz="4" w:space="0"/>
            </w:tcBorders>
            <w:vAlign w:val="center"/>
          </w:tcPr>
          <w:p w14:paraId="749CF6B3">
            <w:pPr>
              <w:keepNext w:val="0"/>
              <w:keepLines w:val="0"/>
              <w:pageBreakBefore w:val="0"/>
              <w:kinsoku/>
              <w:wordWrap w:val="0"/>
              <w:overflowPunct/>
              <w:topLinePunct w:val="0"/>
              <w:autoSpaceDE/>
              <w:autoSpaceDN/>
              <w:bidi w:val="0"/>
              <w:adjustRightInd/>
              <w:snapToGrid/>
              <w:spacing w:line="600" w:lineRule="exact"/>
              <w:textAlignment w:val="auto"/>
              <w:rPr>
                <w:rFonts w:hint="eastAsia" w:asciiTheme="minorEastAsia" w:hAnsiTheme="minorEastAsia" w:eastAsiaTheme="minorEastAsia" w:cstheme="minorEastAsia"/>
                <w:color w:val="auto"/>
                <w:kern w:val="2"/>
                <w:sz w:val="24"/>
                <w:szCs w:val="24"/>
                <w:highlight w:val="none"/>
              </w:rPr>
            </w:pPr>
          </w:p>
        </w:tc>
        <w:tc>
          <w:tcPr>
            <w:tcW w:w="1014" w:type="dxa"/>
            <w:vMerge w:val="continue"/>
            <w:tcBorders>
              <w:top w:val="single" w:color="auto" w:sz="4" w:space="0"/>
              <w:left w:val="single" w:color="auto" w:sz="4" w:space="0"/>
              <w:bottom w:val="single" w:color="auto" w:sz="4" w:space="0"/>
              <w:right w:val="single" w:color="auto" w:sz="4" w:space="0"/>
            </w:tcBorders>
            <w:vAlign w:val="center"/>
          </w:tcPr>
          <w:p w14:paraId="15FC2CDC">
            <w:pPr>
              <w:keepNext w:val="0"/>
              <w:keepLines w:val="0"/>
              <w:pageBreakBefore w:val="0"/>
              <w:kinsoku/>
              <w:wordWrap w:val="0"/>
              <w:overflowPunct/>
              <w:topLinePunct w:val="0"/>
              <w:autoSpaceDE/>
              <w:autoSpaceDN/>
              <w:bidi w:val="0"/>
              <w:adjustRightInd/>
              <w:snapToGrid/>
              <w:spacing w:line="600" w:lineRule="exact"/>
              <w:textAlignment w:val="auto"/>
              <w:rPr>
                <w:rFonts w:hint="eastAsia" w:asciiTheme="minorEastAsia" w:hAnsiTheme="minorEastAsia" w:eastAsiaTheme="minorEastAsia" w:cstheme="minorEastAsia"/>
                <w:color w:val="auto"/>
                <w:kern w:val="2"/>
                <w:sz w:val="24"/>
                <w:szCs w:val="24"/>
                <w:highlight w:val="none"/>
              </w:rPr>
            </w:pPr>
          </w:p>
        </w:tc>
        <w:tc>
          <w:tcPr>
            <w:tcW w:w="2629" w:type="dxa"/>
            <w:tcBorders>
              <w:top w:val="single" w:color="auto" w:sz="4" w:space="0"/>
              <w:left w:val="nil"/>
              <w:bottom w:val="single" w:color="auto" w:sz="4" w:space="0"/>
              <w:right w:val="single" w:color="auto" w:sz="4" w:space="0"/>
            </w:tcBorders>
            <w:vAlign w:val="center"/>
          </w:tcPr>
          <w:p w14:paraId="6B592ED4">
            <w:pPr>
              <w:pStyle w:val="29"/>
              <w:spacing w:before="179"/>
              <w:ind w:left="107"/>
              <w:jc w:val="center"/>
              <w:rPr>
                <w:rFonts w:hint="eastAsia" w:asciiTheme="minorEastAsia" w:hAnsiTheme="minorEastAsia" w:eastAsiaTheme="minorEastAsia" w:cstheme="minorEastAsia"/>
                <w:spacing w:val="-20"/>
                <w:sz w:val="24"/>
                <w:szCs w:val="24"/>
                <w:lang w:eastAsia="zh-CN"/>
              </w:rPr>
            </w:pPr>
          </w:p>
          <w:p w14:paraId="1DA184F0">
            <w:pPr>
              <w:pStyle w:val="29"/>
              <w:spacing w:before="179"/>
              <w:jc w:val="center"/>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spacing w:val="-20"/>
                <w:sz w:val="24"/>
                <w:szCs w:val="24"/>
                <w:lang w:eastAsia="zh-CN"/>
              </w:rPr>
              <w:t>信用查询</w:t>
            </w:r>
          </w:p>
        </w:tc>
        <w:tc>
          <w:tcPr>
            <w:tcW w:w="5889" w:type="dxa"/>
            <w:tcBorders>
              <w:top w:val="single" w:color="auto" w:sz="4" w:space="0"/>
              <w:left w:val="nil"/>
              <w:bottom w:val="single" w:color="auto" w:sz="4" w:space="0"/>
              <w:right w:val="single" w:color="auto" w:sz="4" w:space="0"/>
            </w:tcBorders>
            <w:vAlign w:val="center"/>
          </w:tcPr>
          <w:p w14:paraId="367D020B">
            <w:pPr>
              <w:pStyle w:val="29"/>
              <w:keepNext w:val="0"/>
              <w:keepLines w:val="0"/>
              <w:pageBreakBefore w:val="0"/>
              <w:kinsoku/>
              <w:wordWrap/>
              <w:overflowPunct/>
              <w:topLinePunct w:val="0"/>
              <w:bidi w:val="0"/>
              <w:adjustRightInd/>
              <w:snapToGrid/>
              <w:spacing w:line="288" w:lineRule="auto"/>
              <w:jc w:val="both"/>
              <w:textAlignment w:val="auto"/>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spacing w:val="-20"/>
                <w:sz w:val="24"/>
                <w:szCs w:val="24"/>
                <w:lang w:val="en-US" w:eastAsia="zh-CN"/>
              </w:rPr>
              <w:t>根据《关于在政府采购活动中查询及使用信用记录有关问题的通知》(财库[2016]125号) 和豫财购【2016】15号的规定，企业没有被列入“信用中国”网站的“失信被执行人”、“重大税收违法失信主体”及“中国政府采购网”网站的“政府采购严重违法失信行为信息记录”的供应商；（查询渠道：“信用中国”网站（www.creditchina.gov.cn）、中国政府采购网（www.ccgp.gov.cn）</w:t>
            </w:r>
            <w:r>
              <w:rPr>
                <w:rFonts w:hint="eastAsia" w:asciiTheme="minorEastAsia" w:hAnsiTheme="minorEastAsia" w:eastAsiaTheme="minorEastAsia" w:cstheme="minorEastAsia"/>
                <w:spacing w:val="-20"/>
                <w:sz w:val="24"/>
                <w:szCs w:val="24"/>
                <w:lang w:eastAsia="zh-CN"/>
              </w:rPr>
              <w:t>(注：査询时间必须是公告发布之后开标之前，查询结果清晰可见)</w:t>
            </w:r>
          </w:p>
        </w:tc>
      </w:tr>
      <w:tr w14:paraId="2BC52C67">
        <w:tblPrEx>
          <w:tblCellMar>
            <w:top w:w="0" w:type="dxa"/>
            <w:left w:w="108" w:type="dxa"/>
            <w:bottom w:w="0" w:type="dxa"/>
            <w:right w:w="108" w:type="dxa"/>
          </w:tblCellMar>
        </w:tblPrEx>
        <w:trPr>
          <w:trHeight w:val="648" w:hRule="atLeast"/>
          <w:jc w:val="center"/>
        </w:trPr>
        <w:tc>
          <w:tcPr>
            <w:tcW w:w="961" w:type="dxa"/>
            <w:vMerge w:val="continue"/>
            <w:tcBorders>
              <w:top w:val="single" w:color="auto" w:sz="4" w:space="0"/>
              <w:left w:val="single" w:color="auto" w:sz="4" w:space="0"/>
              <w:bottom w:val="single" w:color="auto" w:sz="4" w:space="0"/>
              <w:right w:val="single" w:color="auto" w:sz="4" w:space="0"/>
            </w:tcBorders>
            <w:vAlign w:val="center"/>
          </w:tcPr>
          <w:p w14:paraId="19C7EF4E">
            <w:pPr>
              <w:keepNext w:val="0"/>
              <w:keepLines w:val="0"/>
              <w:pageBreakBefore w:val="0"/>
              <w:kinsoku/>
              <w:wordWrap w:val="0"/>
              <w:overflowPunct/>
              <w:topLinePunct w:val="0"/>
              <w:autoSpaceDE/>
              <w:autoSpaceDN/>
              <w:bidi w:val="0"/>
              <w:adjustRightInd/>
              <w:snapToGrid/>
              <w:spacing w:line="600" w:lineRule="exact"/>
              <w:textAlignment w:val="auto"/>
              <w:rPr>
                <w:rFonts w:hint="eastAsia" w:asciiTheme="minorEastAsia" w:hAnsiTheme="minorEastAsia" w:eastAsiaTheme="minorEastAsia" w:cstheme="minorEastAsia"/>
                <w:color w:val="auto"/>
                <w:kern w:val="2"/>
                <w:sz w:val="24"/>
                <w:szCs w:val="24"/>
                <w:highlight w:val="none"/>
              </w:rPr>
            </w:pPr>
          </w:p>
        </w:tc>
        <w:tc>
          <w:tcPr>
            <w:tcW w:w="1014" w:type="dxa"/>
            <w:vMerge w:val="continue"/>
            <w:tcBorders>
              <w:top w:val="single" w:color="auto" w:sz="4" w:space="0"/>
              <w:left w:val="single" w:color="auto" w:sz="4" w:space="0"/>
              <w:bottom w:val="single" w:color="auto" w:sz="4" w:space="0"/>
              <w:right w:val="single" w:color="auto" w:sz="4" w:space="0"/>
            </w:tcBorders>
            <w:vAlign w:val="center"/>
          </w:tcPr>
          <w:p w14:paraId="2B27BD76">
            <w:pPr>
              <w:keepNext w:val="0"/>
              <w:keepLines w:val="0"/>
              <w:pageBreakBefore w:val="0"/>
              <w:kinsoku/>
              <w:wordWrap w:val="0"/>
              <w:overflowPunct/>
              <w:topLinePunct w:val="0"/>
              <w:autoSpaceDE/>
              <w:autoSpaceDN/>
              <w:bidi w:val="0"/>
              <w:adjustRightInd/>
              <w:snapToGrid/>
              <w:spacing w:line="600" w:lineRule="exact"/>
              <w:textAlignment w:val="auto"/>
              <w:rPr>
                <w:rFonts w:hint="eastAsia" w:asciiTheme="minorEastAsia" w:hAnsiTheme="minorEastAsia" w:eastAsiaTheme="minorEastAsia" w:cstheme="minorEastAsia"/>
                <w:color w:val="auto"/>
                <w:kern w:val="2"/>
                <w:sz w:val="24"/>
                <w:szCs w:val="24"/>
                <w:highlight w:val="none"/>
              </w:rPr>
            </w:pPr>
          </w:p>
        </w:tc>
        <w:tc>
          <w:tcPr>
            <w:tcW w:w="2629" w:type="dxa"/>
            <w:tcBorders>
              <w:top w:val="single" w:color="auto" w:sz="4" w:space="0"/>
              <w:left w:val="nil"/>
              <w:bottom w:val="single" w:color="auto" w:sz="4" w:space="0"/>
              <w:right w:val="single" w:color="auto" w:sz="4" w:space="0"/>
            </w:tcBorders>
            <w:vAlign w:val="center"/>
          </w:tcPr>
          <w:p w14:paraId="7AE690E9">
            <w:pPr>
              <w:pStyle w:val="29"/>
              <w:jc w:val="center"/>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sz w:val="24"/>
                <w:szCs w:val="24"/>
              </w:rPr>
              <w:t>非联合体投标</w:t>
            </w:r>
          </w:p>
        </w:tc>
        <w:tc>
          <w:tcPr>
            <w:tcW w:w="5889" w:type="dxa"/>
            <w:tcBorders>
              <w:top w:val="single" w:color="auto" w:sz="4" w:space="0"/>
              <w:left w:val="nil"/>
              <w:bottom w:val="single" w:color="auto" w:sz="4" w:space="0"/>
              <w:right w:val="single" w:color="auto" w:sz="4" w:space="0"/>
            </w:tcBorders>
            <w:vAlign w:val="center"/>
          </w:tcPr>
          <w:p w14:paraId="6A50779A">
            <w:pPr>
              <w:pStyle w:val="29"/>
              <w:keepNext w:val="0"/>
              <w:keepLines w:val="0"/>
              <w:pageBreakBefore w:val="0"/>
              <w:kinsoku/>
              <w:wordWrap/>
              <w:overflowPunct/>
              <w:topLinePunct w:val="0"/>
              <w:bidi w:val="0"/>
              <w:adjustRightInd/>
              <w:snapToGrid/>
              <w:spacing w:before="141" w:line="288" w:lineRule="auto"/>
              <w:ind w:right="-29" w:rightChars="0"/>
              <w:jc w:val="both"/>
              <w:textAlignment w:val="auto"/>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spacing w:val="-11"/>
                <w:sz w:val="24"/>
                <w:szCs w:val="24"/>
                <w:lang w:eastAsia="zh-CN"/>
              </w:rPr>
              <w:t>本项目不接受联合体投标，提供非联合体承诺，格式自拟；</w:t>
            </w:r>
          </w:p>
        </w:tc>
      </w:tr>
      <w:tr w14:paraId="41B84291">
        <w:tblPrEx>
          <w:tblCellMar>
            <w:top w:w="0" w:type="dxa"/>
            <w:left w:w="108" w:type="dxa"/>
            <w:bottom w:w="0" w:type="dxa"/>
            <w:right w:w="108" w:type="dxa"/>
          </w:tblCellMar>
        </w:tblPrEx>
        <w:trPr>
          <w:trHeight w:val="520" w:hRule="atLeast"/>
          <w:jc w:val="center"/>
        </w:trPr>
        <w:tc>
          <w:tcPr>
            <w:tcW w:w="961" w:type="dxa"/>
            <w:vMerge w:val="restart"/>
            <w:tcBorders>
              <w:top w:val="single" w:color="auto" w:sz="4" w:space="0"/>
              <w:left w:val="single" w:color="auto" w:sz="4" w:space="0"/>
              <w:bottom w:val="single" w:color="auto" w:sz="4" w:space="0"/>
              <w:right w:val="single" w:color="auto" w:sz="4" w:space="0"/>
            </w:tcBorders>
            <w:vAlign w:val="center"/>
          </w:tcPr>
          <w:p w14:paraId="7EDF0112">
            <w:pPr>
              <w:widowControl w:val="0"/>
              <w:spacing w:line="600" w:lineRule="exact"/>
              <w:jc w:val="center"/>
              <w:rPr>
                <w:rFonts w:hint="default"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rPr>
              <w:t>1.1.3</w:t>
            </w:r>
          </w:p>
        </w:tc>
        <w:tc>
          <w:tcPr>
            <w:tcW w:w="1014" w:type="dxa"/>
            <w:vMerge w:val="restart"/>
            <w:tcBorders>
              <w:top w:val="single" w:color="auto" w:sz="4" w:space="0"/>
              <w:left w:val="nil"/>
              <w:bottom w:val="single" w:color="auto" w:sz="4" w:space="0"/>
              <w:right w:val="single" w:color="auto" w:sz="4" w:space="0"/>
            </w:tcBorders>
            <w:vAlign w:val="center"/>
          </w:tcPr>
          <w:p w14:paraId="2005C00D">
            <w:pPr>
              <w:widowControl w:val="0"/>
              <w:spacing w:line="240" w:lineRule="auto"/>
              <w:jc w:val="center"/>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响应性</w:t>
            </w:r>
          </w:p>
          <w:p w14:paraId="582AF470">
            <w:pPr>
              <w:widowControl w:val="0"/>
              <w:spacing w:line="240" w:lineRule="auto"/>
              <w:jc w:val="center"/>
              <w:rPr>
                <w:rFonts w:hint="eastAsia"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rPr>
              <w:t>评审</w:t>
            </w:r>
          </w:p>
        </w:tc>
        <w:tc>
          <w:tcPr>
            <w:tcW w:w="2629" w:type="dxa"/>
            <w:tcBorders>
              <w:top w:val="single" w:color="auto" w:sz="4" w:space="0"/>
              <w:left w:val="nil"/>
              <w:bottom w:val="single" w:color="auto" w:sz="4" w:space="0"/>
              <w:right w:val="single" w:color="auto" w:sz="4" w:space="0"/>
            </w:tcBorders>
            <w:vAlign w:val="center"/>
          </w:tcPr>
          <w:p w14:paraId="04181EF5">
            <w:pPr>
              <w:pStyle w:val="29"/>
              <w:spacing w:line="240" w:lineRule="auto"/>
              <w:ind w:left="0" w:leftChars="0" w:firstLine="0" w:firstLineChars="0"/>
              <w:jc w:val="center"/>
              <w:rPr>
                <w:rFonts w:hint="eastAsia"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sz w:val="24"/>
                <w:szCs w:val="24"/>
              </w:rPr>
              <w:t>服务周期</w:t>
            </w:r>
          </w:p>
        </w:tc>
        <w:tc>
          <w:tcPr>
            <w:tcW w:w="5889" w:type="dxa"/>
            <w:tcBorders>
              <w:top w:val="single" w:color="auto" w:sz="4" w:space="0"/>
              <w:left w:val="nil"/>
              <w:bottom w:val="single" w:color="auto" w:sz="4" w:space="0"/>
              <w:right w:val="single" w:color="auto" w:sz="4" w:space="0"/>
            </w:tcBorders>
            <w:vAlign w:val="center"/>
          </w:tcPr>
          <w:p w14:paraId="2BB8D558">
            <w:pPr>
              <w:pStyle w:val="29"/>
              <w:keepNext w:val="0"/>
              <w:keepLines w:val="0"/>
              <w:pageBreakBefore w:val="0"/>
              <w:kinsoku/>
              <w:wordWrap/>
              <w:overflowPunct/>
              <w:topLinePunct w:val="0"/>
              <w:bidi w:val="0"/>
              <w:adjustRightInd/>
              <w:snapToGrid/>
              <w:spacing w:line="288" w:lineRule="auto"/>
              <w:ind w:left="0" w:leftChars="0"/>
              <w:jc w:val="both"/>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sz w:val="24"/>
                <w:szCs w:val="24"/>
                <w:lang w:eastAsia="zh-CN"/>
              </w:rPr>
              <w:t>合同签订后90日历天内完成</w:t>
            </w:r>
          </w:p>
        </w:tc>
      </w:tr>
      <w:tr w14:paraId="34A5868D">
        <w:tblPrEx>
          <w:tblCellMar>
            <w:top w:w="0" w:type="dxa"/>
            <w:left w:w="108" w:type="dxa"/>
            <w:bottom w:w="0" w:type="dxa"/>
            <w:right w:w="108" w:type="dxa"/>
          </w:tblCellMar>
        </w:tblPrEx>
        <w:trPr>
          <w:trHeight w:val="469" w:hRule="atLeast"/>
          <w:jc w:val="center"/>
        </w:trPr>
        <w:tc>
          <w:tcPr>
            <w:tcW w:w="961" w:type="dxa"/>
            <w:vMerge w:val="continue"/>
            <w:tcBorders>
              <w:top w:val="single" w:color="auto" w:sz="4" w:space="0"/>
              <w:left w:val="single" w:color="auto" w:sz="4" w:space="0"/>
              <w:bottom w:val="single" w:color="auto" w:sz="4" w:space="0"/>
              <w:right w:val="single" w:color="auto" w:sz="4" w:space="0"/>
            </w:tcBorders>
            <w:vAlign w:val="center"/>
          </w:tcPr>
          <w:p w14:paraId="7435783C">
            <w:pPr>
              <w:widowControl w:val="0"/>
              <w:spacing w:line="600" w:lineRule="exact"/>
              <w:jc w:val="center"/>
              <w:rPr>
                <w:rFonts w:hint="eastAsia" w:asciiTheme="minorEastAsia" w:hAnsiTheme="minorEastAsia" w:eastAsiaTheme="minorEastAsia" w:cstheme="minorEastAsia"/>
                <w:color w:val="auto"/>
                <w:kern w:val="2"/>
                <w:sz w:val="24"/>
                <w:szCs w:val="24"/>
                <w:highlight w:val="none"/>
                <w:lang w:val="en-US" w:eastAsia="zh-CN"/>
              </w:rPr>
            </w:pPr>
          </w:p>
        </w:tc>
        <w:tc>
          <w:tcPr>
            <w:tcW w:w="1014" w:type="dxa"/>
            <w:vMerge w:val="continue"/>
            <w:tcBorders>
              <w:top w:val="single" w:color="auto" w:sz="4" w:space="0"/>
              <w:left w:val="nil"/>
              <w:bottom w:val="single" w:color="auto" w:sz="4" w:space="0"/>
              <w:right w:val="single" w:color="auto" w:sz="4" w:space="0"/>
            </w:tcBorders>
            <w:vAlign w:val="center"/>
          </w:tcPr>
          <w:p w14:paraId="2734E267">
            <w:pPr>
              <w:widowControl w:val="0"/>
              <w:spacing w:line="600" w:lineRule="exact"/>
              <w:jc w:val="center"/>
              <w:rPr>
                <w:rFonts w:hint="eastAsia" w:asciiTheme="minorEastAsia" w:hAnsiTheme="minorEastAsia" w:eastAsiaTheme="minorEastAsia" w:cstheme="minorEastAsia"/>
                <w:color w:val="auto"/>
                <w:kern w:val="2"/>
                <w:sz w:val="24"/>
                <w:szCs w:val="24"/>
                <w:highlight w:val="none"/>
              </w:rPr>
            </w:pPr>
          </w:p>
        </w:tc>
        <w:tc>
          <w:tcPr>
            <w:tcW w:w="2629" w:type="dxa"/>
            <w:tcBorders>
              <w:top w:val="single" w:color="auto" w:sz="4" w:space="0"/>
              <w:left w:val="nil"/>
              <w:bottom w:val="single" w:color="auto" w:sz="4" w:space="0"/>
              <w:right w:val="single" w:color="auto" w:sz="4" w:space="0"/>
            </w:tcBorders>
            <w:vAlign w:val="center"/>
          </w:tcPr>
          <w:p w14:paraId="084A2861">
            <w:pPr>
              <w:pStyle w:val="29"/>
              <w:spacing w:line="240" w:lineRule="auto"/>
              <w:ind w:left="0" w:leftChars="0" w:firstLine="0" w:firstLineChars="0"/>
              <w:jc w:val="center"/>
              <w:rPr>
                <w:rFonts w:hint="eastAsia"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sz w:val="24"/>
                <w:szCs w:val="24"/>
              </w:rPr>
              <w:t>质量要求</w:t>
            </w:r>
          </w:p>
        </w:tc>
        <w:tc>
          <w:tcPr>
            <w:tcW w:w="5889" w:type="dxa"/>
            <w:tcBorders>
              <w:top w:val="single" w:color="auto" w:sz="4" w:space="0"/>
              <w:left w:val="nil"/>
              <w:bottom w:val="single" w:color="auto" w:sz="4" w:space="0"/>
              <w:right w:val="single" w:color="auto" w:sz="4" w:space="0"/>
            </w:tcBorders>
            <w:vAlign w:val="center"/>
          </w:tcPr>
          <w:p w14:paraId="6D4EAC56">
            <w:pPr>
              <w:pStyle w:val="29"/>
              <w:keepNext w:val="0"/>
              <w:keepLines w:val="0"/>
              <w:pageBreakBefore w:val="0"/>
              <w:kinsoku/>
              <w:wordWrap/>
              <w:overflowPunct/>
              <w:topLinePunct w:val="0"/>
              <w:bidi w:val="0"/>
              <w:adjustRightInd/>
              <w:snapToGrid/>
              <w:spacing w:line="288" w:lineRule="auto"/>
              <w:ind w:left="0" w:leftChars="0"/>
              <w:jc w:val="both"/>
              <w:textAlignment w:val="auto"/>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sz w:val="24"/>
                <w:szCs w:val="24"/>
                <w:lang w:eastAsia="zh-CN"/>
              </w:rPr>
              <w:t>合格，符合国家相关规定及行业标准要求</w:t>
            </w:r>
          </w:p>
        </w:tc>
      </w:tr>
      <w:tr w14:paraId="4ED1C5AF">
        <w:tblPrEx>
          <w:tblCellMar>
            <w:top w:w="0" w:type="dxa"/>
            <w:left w:w="108" w:type="dxa"/>
            <w:bottom w:w="0" w:type="dxa"/>
            <w:right w:w="108" w:type="dxa"/>
          </w:tblCellMar>
        </w:tblPrEx>
        <w:trPr>
          <w:trHeight w:val="610" w:hRule="atLeast"/>
          <w:jc w:val="center"/>
        </w:trPr>
        <w:tc>
          <w:tcPr>
            <w:tcW w:w="961" w:type="dxa"/>
            <w:vMerge w:val="continue"/>
            <w:tcBorders>
              <w:top w:val="single" w:color="auto" w:sz="4" w:space="0"/>
              <w:left w:val="single" w:color="auto" w:sz="4" w:space="0"/>
              <w:bottom w:val="single" w:color="auto" w:sz="4" w:space="0"/>
              <w:right w:val="single" w:color="auto" w:sz="4" w:space="0"/>
            </w:tcBorders>
            <w:vAlign w:val="center"/>
          </w:tcPr>
          <w:p w14:paraId="1335AD3A">
            <w:pPr>
              <w:spacing w:line="600" w:lineRule="exact"/>
              <w:rPr>
                <w:rFonts w:hint="eastAsia" w:asciiTheme="minorEastAsia" w:hAnsiTheme="minorEastAsia" w:eastAsiaTheme="minorEastAsia" w:cstheme="minorEastAsia"/>
                <w:color w:val="auto"/>
                <w:kern w:val="2"/>
                <w:sz w:val="24"/>
                <w:szCs w:val="24"/>
                <w:highlight w:val="none"/>
              </w:rPr>
            </w:pPr>
          </w:p>
        </w:tc>
        <w:tc>
          <w:tcPr>
            <w:tcW w:w="1014" w:type="dxa"/>
            <w:vMerge w:val="continue"/>
            <w:tcBorders>
              <w:top w:val="single" w:color="auto" w:sz="4" w:space="0"/>
              <w:left w:val="nil"/>
              <w:bottom w:val="single" w:color="auto" w:sz="4" w:space="0"/>
              <w:right w:val="single" w:color="auto" w:sz="4" w:space="0"/>
            </w:tcBorders>
            <w:vAlign w:val="center"/>
          </w:tcPr>
          <w:p w14:paraId="12342373">
            <w:pPr>
              <w:spacing w:line="600" w:lineRule="exact"/>
              <w:rPr>
                <w:rFonts w:hint="eastAsia" w:asciiTheme="minorEastAsia" w:hAnsiTheme="minorEastAsia" w:eastAsiaTheme="minorEastAsia" w:cstheme="minorEastAsia"/>
                <w:color w:val="auto"/>
                <w:kern w:val="2"/>
                <w:sz w:val="24"/>
                <w:szCs w:val="24"/>
                <w:highlight w:val="none"/>
              </w:rPr>
            </w:pPr>
          </w:p>
        </w:tc>
        <w:tc>
          <w:tcPr>
            <w:tcW w:w="2629" w:type="dxa"/>
            <w:tcBorders>
              <w:top w:val="single" w:color="auto" w:sz="4" w:space="0"/>
              <w:left w:val="nil"/>
              <w:bottom w:val="single" w:color="auto" w:sz="4" w:space="0"/>
              <w:right w:val="single" w:color="auto" w:sz="4" w:space="0"/>
            </w:tcBorders>
            <w:vAlign w:val="center"/>
          </w:tcPr>
          <w:p w14:paraId="32049D11">
            <w:pPr>
              <w:widowControl/>
              <w:autoSpaceDE w:val="0"/>
              <w:autoSpaceDN w:val="0"/>
              <w:spacing w:beforeAutospacing="0" w:afterAutospacing="0" w:line="240" w:lineRule="auto"/>
              <w:ind w:left="0" w:leftChars="0" w:right="0" w:rightChars="0" w:firstLine="0" w:firstLineChars="0"/>
              <w:jc w:val="center"/>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sz w:val="24"/>
                <w:szCs w:val="24"/>
                <w:lang w:val="en-US" w:eastAsia="zh-CN" w:bidi="ar-SA"/>
              </w:rPr>
              <w:t>服务</w:t>
            </w:r>
            <w:r>
              <w:rPr>
                <w:rFonts w:hint="eastAsia" w:asciiTheme="minorEastAsia" w:hAnsiTheme="minorEastAsia" w:eastAsiaTheme="minorEastAsia" w:cstheme="minorEastAsia"/>
                <w:sz w:val="24"/>
                <w:szCs w:val="24"/>
                <w:lang w:val="en-US" w:eastAsia="en-US" w:bidi="ar-SA"/>
              </w:rPr>
              <w:t>内容</w:t>
            </w:r>
          </w:p>
        </w:tc>
        <w:tc>
          <w:tcPr>
            <w:tcW w:w="5889" w:type="dxa"/>
            <w:tcBorders>
              <w:top w:val="single" w:color="auto" w:sz="4" w:space="0"/>
              <w:left w:val="nil"/>
              <w:bottom w:val="single" w:color="auto" w:sz="4" w:space="0"/>
              <w:right w:val="single" w:color="auto" w:sz="4" w:space="0"/>
            </w:tcBorders>
            <w:vAlign w:val="center"/>
          </w:tcPr>
          <w:p w14:paraId="6B1C239A">
            <w:pPr>
              <w:keepNext w:val="0"/>
              <w:keepLines w:val="0"/>
              <w:pageBreakBefore w:val="0"/>
              <w:widowControl/>
              <w:kinsoku/>
              <w:wordWrap/>
              <w:overflowPunct/>
              <w:topLinePunct w:val="0"/>
              <w:autoSpaceDE w:val="0"/>
              <w:autoSpaceDN w:val="0"/>
              <w:bidi w:val="0"/>
              <w:adjustRightInd/>
              <w:snapToGrid/>
              <w:spacing w:before="0" w:beforeLines="0" w:beforeAutospacing="0" w:afterAutospacing="0" w:line="288" w:lineRule="auto"/>
              <w:ind w:left="0" w:leftChars="0" w:right="0" w:rightChars="0"/>
              <w:jc w:val="both"/>
              <w:textAlignment w:val="auto"/>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sz w:val="24"/>
                <w:szCs w:val="24"/>
                <w:lang w:val="en-US" w:eastAsia="en-US" w:bidi="ar-SA"/>
              </w:rPr>
              <w:t>符合</w:t>
            </w:r>
            <w:r>
              <w:rPr>
                <w:rFonts w:hint="eastAsia" w:asciiTheme="minorEastAsia" w:hAnsiTheme="minorEastAsia" w:eastAsiaTheme="minorEastAsia" w:cstheme="minorEastAsia"/>
                <w:sz w:val="24"/>
                <w:szCs w:val="24"/>
                <w:lang w:val="en-US" w:eastAsia="zh-CN" w:bidi="ar-SA"/>
              </w:rPr>
              <w:t>磋商</w:t>
            </w:r>
            <w:r>
              <w:rPr>
                <w:rFonts w:hint="eastAsia" w:asciiTheme="minorEastAsia" w:hAnsiTheme="minorEastAsia" w:eastAsiaTheme="minorEastAsia" w:cstheme="minorEastAsia"/>
                <w:sz w:val="24"/>
                <w:szCs w:val="24"/>
                <w:lang w:val="en-US" w:eastAsia="en-US" w:bidi="ar-SA"/>
              </w:rPr>
              <w:t>文件的规定</w:t>
            </w:r>
          </w:p>
        </w:tc>
      </w:tr>
      <w:tr w14:paraId="503D785C">
        <w:tblPrEx>
          <w:tblCellMar>
            <w:top w:w="0" w:type="dxa"/>
            <w:left w:w="108" w:type="dxa"/>
            <w:bottom w:w="0" w:type="dxa"/>
            <w:right w:w="108" w:type="dxa"/>
          </w:tblCellMar>
        </w:tblPrEx>
        <w:trPr>
          <w:trHeight w:val="606" w:hRule="atLeast"/>
          <w:jc w:val="center"/>
        </w:trPr>
        <w:tc>
          <w:tcPr>
            <w:tcW w:w="961" w:type="dxa"/>
            <w:vMerge w:val="continue"/>
            <w:tcBorders>
              <w:top w:val="single" w:color="auto" w:sz="4" w:space="0"/>
              <w:left w:val="single" w:color="auto" w:sz="4" w:space="0"/>
              <w:bottom w:val="single" w:color="auto" w:sz="4" w:space="0"/>
              <w:right w:val="single" w:color="auto" w:sz="4" w:space="0"/>
            </w:tcBorders>
            <w:vAlign w:val="center"/>
          </w:tcPr>
          <w:p w14:paraId="45A8AB81">
            <w:pPr>
              <w:spacing w:line="600" w:lineRule="exact"/>
              <w:rPr>
                <w:rFonts w:hint="eastAsia" w:asciiTheme="minorEastAsia" w:hAnsiTheme="minorEastAsia" w:eastAsiaTheme="minorEastAsia" w:cstheme="minorEastAsia"/>
                <w:color w:val="auto"/>
                <w:kern w:val="2"/>
                <w:sz w:val="24"/>
                <w:szCs w:val="24"/>
                <w:highlight w:val="none"/>
              </w:rPr>
            </w:pPr>
          </w:p>
        </w:tc>
        <w:tc>
          <w:tcPr>
            <w:tcW w:w="1014" w:type="dxa"/>
            <w:vMerge w:val="continue"/>
            <w:tcBorders>
              <w:top w:val="single" w:color="auto" w:sz="4" w:space="0"/>
              <w:left w:val="nil"/>
              <w:bottom w:val="single" w:color="auto" w:sz="4" w:space="0"/>
              <w:right w:val="single" w:color="auto" w:sz="4" w:space="0"/>
            </w:tcBorders>
            <w:vAlign w:val="center"/>
          </w:tcPr>
          <w:p w14:paraId="28E7B312">
            <w:pPr>
              <w:spacing w:line="600" w:lineRule="exact"/>
              <w:rPr>
                <w:rFonts w:hint="eastAsia" w:asciiTheme="minorEastAsia" w:hAnsiTheme="minorEastAsia" w:eastAsiaTheme="minorEastAsia" w:cstheme="minorEastAsia"/>
                <w:color w:val="auto"/>
                <w:kern w:val="2"/>
                <w:sz w:val="24"/>
                <w:szCs w:val="24"/>
                <w:highlight w:val="none"/>
              </w:rPr>
            </w:pPr>
          </w:p>
        </w:tc>
        <w:tc>
          <w:tcPr>
            <w:tcW w:w="2629" w:type="dxa"/>
            <w:tcBorders>
              <w:top w:val="single" w:color="auto" w:sz="4" w:space="0"/>
              <w:left w:val="nil"/>
              <w:bottom w:val="single" w:color="auto" w:sz="4" w:space="0"/>
              <w:right w:val="single" w:color="auto" w:sz="4" w:space="0"/>
            </w:tcBorders>
            <w:vAlign w:val="center"/>
          </w:tcPr>
          <w:p w14:paraId="0F26AC24">
            <w:pPr>
              <w:widowControl/>
              <w:autoSpaceDE w:val="0"/>
              <w:autoSpaceDN w:val="0"/>
              <w:spacing w:beforeAutospacing="0" w:afterAutospacing="0" w:line="240" w:lineRule="auto"/>
              <w:ind w:left="0" w:leftChars="0" w:right="0" w:rightChars="0" w:firstLine="0" w:firstLineChars="0"/>
              <w:jc w:val="center"/>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sz w:val="24"/>
                <w:szCs w:val="24"/>
                <w:lang w:val="en-US" w:eastAsia="zh-CN" w:bidi="ar-SA"/>
              </w:rPr>
              <w:t>服务</w:t>
            </w:r>
            <w:r>
              <w:rPr>
                <w:rFonts w:hint="eastAsia" w:asciiTheme="minorEastAsia" w:hAnsiTheme="minorEastAsia" w:eastAsiaTheme="minorEastAsia" w:cstheme="minorEastAsia"/>
                <w:sz w:val="24"/>
                <w:szCs w:val="24"/>
                <w:lang w:val="en-US" w:eastAsia="en-US" w:bidi="ar-SA"/>
              </w:rPr>
              <w:t>地点</w:t>
            </w:r>
          </w:p>
        </w:tc>
        <w:tc>
          <w:tcPr>
            <w:tcW w:w="5889" w:type="dxa"/>
            <w:tcBorders>
              <w:top w:val="single" w:color="auto" w:sz="4" w:space="0"/>
              <w:left w:val="nil"/>
              <w:bottom w:val="single" w:color="auto" w:sz="4" w:space="0"/>
              <w:right w:val="single" w:color="auto" w:sz="4" w:space="0"/>
            </w:tcBorders>
            <w:vAlign w:val="center"/>
          </w:tcPr>
          <w:p w14:paraId="1A03B07F">
            <w:pPr>
              <w:keepNext w:val="0"/>
              <w:keepLines w:val="0"/>
              <w:pageBreakBefore w:val="0"/>
              <w:widowControl/>
              <w:kinsoku/>
              <w:wordWrap/>
              <w:overflowPunct/>
              <w:topLinePunct w:val="0"/>
              <w:autoSpaceDE w:val="0"/>
              <w:autoSpaceDN w:val="0"/>
              <w:bidi w:val="0"/>
              <w:adjustRightInd/>
              <w:snapToGrid/>
              <w:spacing w:before="0" w:beforeLines="0" w:beforeAutospacing="0" w:afterAutospacing="0" w:line="288" w:lineRule="auto"/>
              <w:ind w:left="0" w:leftChars="0" w:right="0" w:rightChars="0"/>
              <w:jc w:val="both"/>
              <w:textAlignment w:val="auto"/>
              <w:rPr>
                <w:rFonts w:hint="default"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sz w:val="24"/>
                <w:szCs w:val="24"/>
                <w:lang w:val="en-US" w:eastAsia="en-US" w:bidi="ar-SA"/>
              </w:rPr>
              <w:t>符合</w:t>
            </w:r>
            <w:r>
              <w:rPr>
                <w:rFonts w:hint="eastAsia" w:asciiTheme="minorEastAsia" w:hAnsiTheme="minorEastAsia" w:eastAsiaTheme="minorEastAsia" w:cstheme="minorEastAsia"/>
                <w:sz w:val="24"/>
                <w:szCs w:val="24"/>
                <w:lang w:val="en-US" w:eastAsia="zh-CN" w:bidi="ar-SA"/>
              </w:rPr>
              <w:t>磋商</w:t>
            </w:r>
            <w:r>
              <w:rPr>
                <w:rFonts w:hint="eastAsia" w:asciiTheme="minorEastAsia" w:hAnsiTheme="minorEastAsia" w:eastAsiaTheme="minorEastAsia" w:cstheme="minorEastAsia"/>
                <w:sz w:val="24"/>
                <w:szCs w:val="24"/>
                <w:lang w:val="en-US" w:eastAsia="en-US" w:bidi="ar-SA"/>
              </w:rPr>
              <w:t>文件</w:t>
            </w:r>
            <w:r>
              <w:rPr>
                <w:rFonts w:hint="eastAsia" w:asciiTheme="minorEastAsia" w:hAnsiTheme="minorEastAsia" w:eastAsiaTheme="minorEastAsia" w:cstheme="minorEastAsia"/>
                <w:sz w:val="24"/>
                <w:szCs w:val="24"/>
                <w:lang w:val="en-US" w:eastAsia="zh-CN" w:bidi="ar-SA"/>
              </w:rPr>
              <w:t>的规定</w:t>
            </w:r>
          </w:p>
        </w:tc>
      </w:tr>
      <w:tr w14:paraId="3E9C4DDD">
        <w:tblPrEx>
          <w:tblCellMar>
            <w:top w:w="0" w:type="dxa"/>
            <w:left w:w="108" w:type="dxa"/>
            <w:bottom w:w="0" w:type="dxa"/>
            <w:right w:w="108" w:type="dxa"/>
          </w:tblCellMar>
        </w:tblPrEx>
        <w:trPr>
          <w:trHeight w:val="459" w:hRule="atLeast"/>
          <w:jc w:val="center"/>
        </w:trPr>
        <w:tc>
          <w:tcPr>
            <w:tcW w:w="961" w:type="dxa"/>
            <w:vMerge w:val="continue"/>
            <w:tcBorders>
              <w:top w:val="single" w:color="auto" w:sz="4" w:space="0"/>
              <w:left w:val="single" w:color="auto" w:sz="4" w:space="0"/>
              <w:bottom w:val="single" w:color="auto" w:sz="4" w:space="0"/>
              <w:right w:val="single" w:color="auto" w:sz="4" w:space="0"/>
            </w:tcBorders>
            <w:vAlign w:val="center"/>
          </w:tcPr>
          <w:p w14:paraId="40F36856">
            <w:pPr>
              <w:spacing w:line="600" w:lineRule="exact"/>
              <w:rPr>
                <w:rFonts w:hint="eastAsia" w:asciiTheme="minorEastAsia" w:hAnsiTheme="minorEastAsia" w:eastAsiaTheme="minorEastAsia" w:cstheme="minorEastAsia"/>
                <w:color w:val="auto"/>
                <w:kern w:val="2"/>
                <w:sz w:val="24"/>
                <w:szCs w:val="24"/>
                <w:highlight w:val="none"/>
              </w:rPr>
            </w:pPr>
          </w:p>
        </w:tc>
        <w:tc>
          <w:tcPr>
            <w:tcW w:w="1014" w:type="dxa"/>
            <w:vMerge w:val="continue"/>
            <w:tcBorders>
              <w:top w:val="single" w:color="auto" w:sz="4" w:space="0"/>
              <w:left w:val="nil"/>
              <w:bottom w:val="single" w:color="auto" w:sz="4" w:space="0"/>
              <w:right w:val="single" w:color="auto" w:sz="4" w:space="0"/>
            </w:tcBorders>
            <w:vAlign w:val="center"/>
          </w:tcPr>
          <w:p w14:paraId="05155B0F">
            <w:pPr>
              <w:spacing w:line="600" w:lineRule="exact"/>
              <w:rPr>
                <w:rFonts w:hint="eastAsia" w:asciiTheme="minorEastAsia" w:hAnsiTheme="minorEastAsia" w:eastAsiaTheme="minorEastAsia" w:cstheme="minorEastAsia"/>
                <w:color w:val="auto"/>
                <w:kern w:val="2"/>
                <w:sz w:val="24"/>
                <w:szCs w:val="24"/>
                <w:highlight w:val="none"/>
              </w:rPr>
            </w:pPr>
          </w:p>
        </w:tc>
        <w:tc>
          <w:tcPr>
            <w:tcW w:w="2629" w:type="dxa"/>
            <w:tcBorders>
              <w:top w:val="single" w:color="auto" w:sz="4" w:space="0"/>
              <w:left w:val="nil"/>
              <w:bottom w:val="single" w:color="auto" w:sz="4" w:space="0"/>
              <w:right w:val="single" w:color="auto" w:sz="4" w:space="0"/>
            </w:tcBorders>
            <w:vAlign w:val="center"/>
          </w:tcPr>
          <w:p w14:paraId="67A7E8B8">
            <w:pPr>
              <w:widowControl/>
              <w:autoSpaceDE w:val="0"/>
              <w:autoSpaceDN w:val="0"/>
              <w:spacing w:beforeAutospacing="0" w:afterAutospacing="0" w:line="240" w:lineRule="auto"/>
              <w:ind w:left="0" w:leftChars="0" w:right="0" w:rightChars="0" w:firstLine="0" w:firstLineChars="0"/>
              <w:jc w:val="center"/>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sz w:val="24"/>
                <w:szCs w:val="24"/>
                <w:lang w:val="en-US" w:eastAsia="en-US" w:bidi="ar-SA"/>
              </w:rPr>
              <w:t>投标有效期</w:t>
            </w:r>
          </w:p>
        </w:tc>
        <w:tc>
          <w:tcPr>
            <w:tcW w:w="5889" w:type="dxa"/>
            <w:tcBorders>
              <w:top w:val="single" w:color="auto" w:sz="4" w:space="0"/>
              <w:left w:val="nil"/>
              <w:bottom w:val="single" w:color="auto" w:sz="4" w:space="0"/>
              <w:right w:val="single" w:color="auto" w:sz="4" w:space="0"/>
            </w:tcBorders>
            <w:vAlign w:val="center"/>
          </w:tcPr>
          <w:p w14:paraId="3CAD7EA0">
            <w:pPr>
              <w:keepNext w:val="0"/>
              <w:keepLines w:val="0"/>
              <w:pageBreakBefore w:val="0"/>
              <w:widowControl/>
              <w:kinsoku/>
              <w:wordWrap/>
              <w:overflowPunct/>
              <w:topLinePunct w:val="0"/>
              <w:autoSpaceDE w:val="0"/>
              <w:autoSpaceDN w:val="0"/>
              <w:bidi w:val="0"/>
              <w:adjustRightInd/>
              <w:snapToGrid/>
              <w:spacing w:before="0" w:beforeLines="0" w:beforeAutospacing="0" w:afterAutospacing="0" w:line="288" w:lineRule="auto"/>
              <w:ind w:left="0" w:leftChars="0" w:right="0" w:rightChars="0"/>
              <w:jc w:val="both"/>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sz w:val="24"/>
                <w:szCs w:val="24"/>
                <w:lang w:val="en-US" w:eastAsia="en-US" w:bidi="ar-SA"/>
              </w:rPr>
              <w:t>符合</w:t>
            </w:r>
            <w:r>
              <w:rPr>
                <w:rFonts w:hint="eastAsia" w:asciiTheme="minorEastAsia" w:hAnsiTheme="minorEastAsia" w:eastAsiaTheme="minorEastAsia" w:cstheme="minorEastAsia"/>
                <w:sz w:val="24"/>
                <w:szCs w:val="24"/>
                <w:lang w:val="en-US" w:eastAsia="zh-CN" w:bidi="ar-SA"/>
              </w:rPr>
              <w:t>磋商</w:t>
            </w:r>
            <w:r>
              <w:rPr>
                <w:rFonts w:hint="eastAsia" w:asciiTheme="minorEastAsia" w:hAnsiTheme="minorEastAsia" w:eastAsiaTheme="minorEastAsia" w:cstheme="minorEastAsia"/>
                <w:sz w:val="24"/>
                <w:szCs w:val="24"/>
                <w:lang w:val="en-US" w:eastAsia="en-US" w:bidi="ar-SA"/>
              </w:rPr>
              <w:t>文件的规定</w:t>
            </w:r>
          </w:p>
        </w:tc>
      </w:tr>
      <w:tr w14:paraId="25A2E02D">
        <w:tblPrEx>
          <w:tblCellMar>
            <w:top w:w="0" w:type="dxa"/>
            <w:left w:w="108" w:type="dxa"/>
            <w:bottom w:w="0" w:type="dxa"/>
            <w:right w:w="108" w:type="dxa"/>
          </w:tblCellMar>
        </w:tblPrEx>
        <w:trPr>
          <w:trHeight w:val="459" w:hRule="atLeast"/>
          <w:jc w:val="center"/>
        </w:trPr>
        <w:tc>
          <w:tcPr>
            <w:tcW w:w="10493" w:type="dxa"/>
            <w:gridSpan w:val="4"/>
            <w:tcBorders>
              <w:top w:val="single" w:color="auto" w:sz="4" w:space="0"/>
              <w:left w:val="single" w:color="auto" w:sz="4" w:space="0"/>
              <w:bottom w:val="single" w:color="auto" w:sz="4" w:space="0"/>
              <w:right w:val="single" w:color="auto" w:sz="4" w:space="0"/>
            </w:tcBorders>
            <w:vAlign w:val="center"/>
          </w:tcPr>
          <w:p w14:paraId="493DA0C0">
            <w:pPr>
              <w:keepNext w:val="0"/>
              <w:keepLines w:val="0"/>
              <w:pageBreakBefore w:val="0"/>
              <w:widowControl/>
              <w:kinsoku/>
              <w:wordWrap/>
              <w:overflowPunct/>
              <w:topLinePunct w:val="0"/>
              <w:autoSpaceDE w:val="0"/>
              <w:autoSpaceDN w:val="0"/>
              <w:bidi w:val="0"/>
              <w:adjustRightInd/>
              <w:snapToGrid/>
              <w:spacing w:before="0" w:beforeLines="0" w:beforeAutospacing="0" w:afterAutospacing="0" w:line="288" w:lineRule="auto"/>
              <w:ind w:left="0" w:leftChars="0" w:right="0" w:rightChars="0"/>
              <w:jc w:val="both"/>
              <w:textAlignment w:val="auto"/>
              <w:rPr>
                <w:rFonts w:hint="eastAsia" w:asciiTheme="minorEastAsia" w:hAnsiTheme="minorEastAsia" w:eastAsiaTheme="minorEastAsia" w:cstheme="minorEastAsia"/>
                <w:sz w:val="24"/>
                <w:szCs w:val="24"/>
                <w:lang w:val="en-US" w:eastAsia="en-US" w:bidi="ar-SA"/>
              </w:rPr>
            </w:pPr>
            <w:r>
              <w:rPr>
                <w:rFonts w:hint="eastAsia" w:asciiTheme="minorEastAsia" w:hAnsiTheme="minorEastAsia" w:eastAsiaTheme="minorEastAsia" w:cstheme="minorEastAsia"/>
                <w:b/>
                <w:color w:val="auto"/>
                <w:sz w:val="24"/>
                <w:szCs w:val="24"/>
              </w:rPr>
              <w:t>对以上形式评审、资格评审、响应性评审中的各项要求如有一项不合格将按无效投标处理。</w:t>
            </w:r>
          </w:p>
        </w:tc>
      </w:tr>
      <w:tr w14:paraId="7B55ABF9">
        <w:tblPrEx>
          <w:tblCellMar>
            <w:top w:w="0" w:type="dxa"/>
            <w:left w:w="108" w:type="dxa"/>
            <w:bottom w:w="0" w:type="dxa"/>
            <w:right w:w="108" w:type="dxa"/>
          </w:tblCellMar>
        </w:tblPrEx>
        <w:trPr>
          <w:trHeight w:val="459" w:hRule="atLeast"/>
          <w:jc w:val="center"/>
        </w:trPr>
        <w:tc>
          <w:tcPr>
            <w:tcW w:w="10493" w:type="dxa"/>
            <w:gridSpan w:val="4"/>
            <w:tcBorders>
              <w:top w:val="single" w:color="auto" w:sz="4" w:space="0"/>
              <w:left w:val="single" w:color="auto" w:sz="4" w:space="0"/>
              <w:bottom w:val="single" w:color="auto" w:sz="4" w:space="0"/>
              <w:right w:val="single" w:color="auto" w:sz="4" w:space="0"/>
            </w:tcBorders>
            <w:vAlign w:val="center"/>
          </w:tcPr>
          <w:p w14:paraId="4C6C0B57">
            <w:pPr>
              <w:keepNext w:val="0"/>
              <w:keepLines w:val="0"/>
              <w:pageBreakBefore w:val="0"/>
              <w:widowControl/>
              <w:kinsoku/>
              <w:wordWrap/>
              <w:overflowPunct/>
              <w:topLinePunct w:val="0"/>
              <w:autoSpaceDE w:val="0"/>
              <w:autoSpaceDN w:val="0"/>
              <w:bidi w:val="0"/>
              <w:adjustRightInd/>
              <w:snapToGrid/>
              <w:spacing w:before="0" w:beforeLines="0" w:beforeAutospacing="0" w:afterAutospacing="0" w:line="240" w:lineRule="auto"/>
              <w:ind w:left="0" w:leftChars="0" w:right="0" w:rightChars="0"/>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lang w:val="en-US" w:eastAsia="zh-CN"/>
              </w:rPr>
              <w:t>详细</w:t>
            </w:r>
            <w:r>
              <w:rPr>
                <w:rFonts w:hint="eastAsia" w:asciiTheme="minorEastAsia" w:hAnsiTheme="minorEastAsia" w:eastAsiaTheme="minorEastAsia" w:cstheme="minorEastAsia"/>
                <w:b/>
                <w:color w:val="auto"/>
                <w:sz w:val="24"/>
                <w:szCs w:val="24"/>
              </w:rPr>
              <w:t>评审</w:t>
            </w:r>
          </w:p>
        </w:tc>
      </w:tr>
    </w:tbl>
    <w:tbl>
      <w:tblPr>
        <w:tblStyle w:val="27"/>
        <w:tblW w:w="10469" w:type="dxa"/>
        <w:tblInd w:w="-3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1"/>
        <w:gridCol w:w="1016"/>
        <w:gridCol w:w="2291"/>
        <w:gridCol w:w="6211"/>
      </w:tblGrid>
      <w:tr w14:paraId="55F255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967" w:type="dxa"/>
            <w:gridSpan w:val="2"/>
            <w:tcBorders>
              <w:bottom w:val="single" w:color="000000" w:sz="6" w:space="0"/>
              <w:right w:val="single" w:color="000000" w:sz="6" w:space="0"/>
            </w:tcBorders>
            <w:vAlign w:val="center"/>
          </w:tcPr>
          <w:p w14:paraId="10949A43">
            <w:pPr>
              <w:pStyle w:val="29"/>
              <w:ind w:left="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条款号</w:t>
            </w:r>
          </w:p>
        </w:tc>
        <w:tc>
          <w:tcPr>
            <w:tcW w:w="2291" w:type="dxa"/>
            <w:tcBorders>
              <w:left w:val="single" w:color="000000" w:sz="6" w:space="0"/>
              <w:bottom w:val="single" w:color="000000" w:sz="6" w:space="0"/>
              <w:right w:val="single" w:color="000000" w:sz="6" w:space="0"/>
            </w:tcBorders>
            <w:vAlign w:val="center"/>
          </w:tcPr>
          <w:p w14:paraId="0D361EBD">
            <w:pPr>
              <w:pStyle w:val="29"/>
              <w:ind w:left="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评审因素</w:t>
            </w:r>
          </w:p>
        </w:tc>
        <w:tc>
          <w:tcPr>
            <w:tcW w:w="6211" w:type="dxa"/>
            <w:tcBorders>
              <w:left w:val="single" w:color="000000" w:sz="6" w:space="0"/>
              <w:bottom w:val="single" w:color="000000" w:sz="6" w:space="0"/>
            </w:tcBorders>
            <w:vAlign w:val="center"/>
          </w:tcPr>
          <w:p w14:paraId="20F3ED61">
            <w:pPr>
              <w:pStyle w:val="29"/>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评审标准</w:t>
            </w:r>
          </w:p>
        </w:tc>
      </w:tr>
      <w:tr w14:paraId="2E5949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4" w:hRule="atLeast"/>
        </w:trPr>
        <w:tc>
          <w:tcPr>
            <w:tcW w:w="4258" w:type="dxa"/>
            <w:gridSpan w:val="3"/>
            <w:tcBorders>
              <w:top w:val="single" w:color="000000" w:sz="6" w:space="0"/>
              <w:right w:val="single" w:color="000000" w:sz="6" w:space="0"/>
            </w:tcBorders>
            <w:vAlign w:val="center"/>
          </w:tcPr>
          <w:p w14:paraId="1C680B9E">
            <w:pPr>
              <w:pStyle w:val="29"/>
              <w:jc w:val="center"/>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sz w:val="24"/>
                <w:szCs w:val="24"/>
              </w:rPr>
              <w:t>分值构成</w:t>
            </w:r>
            <w:r>
              <w:rPr>
                <w:rFonts w:hint="eastAsia" w:asciiTheme="minorEastAsia" w:hAnsiTheme="minorEastAsia" w:eastAsiaTheme="minorEastAsia" w:cstheme="minorEastAsia"/>
                <w:color w:val="auto"/>
                <w:sz w:val="24"/>
                <w:szCs w:val="24"/>
                <w:highlight w:val="none"/>
              </w:rPr>
              <w:t>（总分100分）</w:t>
            </w:r>
          </w:p>
        </w:tc>
        <w:tc>
          <w:tcPr>
            <w:tcW w:w="6211" w:type="dxa"/>
            <w:tcBorders>
              <w:top w:val="single" w:color="000000" w:sz="6" w:space="0"/>
              <w:left w:val="single" w:color="000000" w:sz="6" w:space="0"/>
            </w:tcBorders>
          </w:tcPr>
          <w:p w14:paraId="3060E523">
            <w:pPr>
              <w:pStyle w:val="29"/>
              <w:spacing w:before="95"/>
              <w:ind w:left="103"/>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
                <w:sz w:val="24"/>
                <w:szCs w:val="24"/>
                <w:lang w:eastAsia="zh-CN"/>
              </w:rPr>
              <w:t>报价部分：</w:t>
            </w:r>
            <w:r>
              <w:rPr>
                <w:rFonts w:hint="eastAsia" w:asciiTheme="minorEastAsia" w:hAnsiTheme="minorEastAsia" w:eastAsiaTheme="minorEastAsia" w:cstheme="minorEastAsia"/>
                <w:sz w:val="24"/>
                <w:szCs w:val="24"/>
                <w:lang w:eastAsia="zh-CN"/>
              </w:rPr>
              <w:t>20</w:t>
            </w:r>
            <w:r>
              <w:rPr>
                <w:rFonts w:hint="eastAsia" w:asciiTheme="minorEastAsia" w:hAnsiTheme="minorEastAsia" w:eastAsiaTheme="minorEastAsia" w:cstheme="minorEastAsia"/>
                <w:spacing w:val="-28"/>
                <w:sz w:val="24"/>
                <w:szCs w:val="24"/>
                <w:lang w:eastAsia="zh-CN"/>
              </w:rPr>
              <w:t xml:space="preserve"> 分</w:t>
            </w:r>
          </w:p>
          <w:p w14:paraId="1A2DE765">
            <w:pPr>
              <w:pStyle w:val="29"/>
              <w:spacing w:before="8" w:line="460" w:lineRule="atLeast"/>
              <w:ind w:left="103" w:right="4002"/>
              <w:rPr>
                <w:rFonts w:hint="eastAsia" w:asciiTheme="minorEastAsia" w:hAnsiTheme="minorEastAsia" w:eastAsiaTheme="minorEastAsia" w:cstheme="minorEastAsia"/>
                <w:spacing w:val="-35"/>
                <w:sz w:val="24"/>
                <w:szCs w:val="24"/>
                <w:lang w:eastAsia="zh-CN"/>
              </w:rPr>
            </w:pPr>
            <w:r>
              <w:rPr>
                <w:rFonts w:hint="eastAsia" w:asciiTheme="minorEastAsia" w:hAnsiTheme="minorEastAsia" w:eastAsiaTheme="minorEastAsia" w:cstheme="minorEastAsia"/>
                <w:spacing w:val="-2"/>
                <w:sz w:val="24"/>
                <w:szCs w:val="24"/>
                <w:lang w:eastAsia="zh-CN"/>
              </w:rPr>
              <w:t>技术部分：</w:t>
            </w:r>
            <w:r>
              <w:rPr>
                <w:rFonts w:hint="eastAsia" w:asciiTheme="minorEastAsia" w:hAnsiTheme="minorEastAsia" w:eastAsiaTheme="minorEastAsia" w:cstheme="minorEastAsia"/>
                <w:sz w:val="24"/>
                <w:szCs w:val="24"/>
                <w:lang w:val="en-US" w:eastAsia="zh-CN"/>
              </w:rPr>
              <w:t>50</w:t>
            </w:r>
            <w:r>
              <w:rPr>
                <w:rFonts w:hint="eastAsia" w:asciiTheme="minorEastAsia" w:hAnsiTheme="minorEastAsia" w:eastAsiaTheme="minorEastAsia" w:cstheme="minorEastAsia"/>
                <w:spacing w:val="-35"/>
                <w:sz w:val="24"/>
                <w:szCs w:val="24"/>
                <w:lang w:eastAsia="zh-CN"/>
              </w:rPr>
              <w:t>分</w:t>
            </w:r>
          </w:p>
          <w:p w14:paraId="54C2D39A">
            <w:pPr>
              <w:pStyle w:val="29"/>
              <w:spacing w:before="8" w:line="460" w:lineRule="atLeast"/>
              <w:ind w:left="103" w:right="4002"/>
              <w:rPr>
                <w:rFonts w:hint="eastAsia" w:asciiTheme="minorEastAsia" w:hAnsiTheme="minorEastAsia" w:eastAsiaTheme="minorEastAsia" w:cstheme="minorEastAsia"/>
                <w:sz w:val="24"/>
                <w:szCs w:val="24"/>
                <w:highlight w:val="yellow"/>
                <w:lang w:eastAsia="zh-CN"/>
              </w:rPr>
            </w:pPr>
            <w:r>
              <w:rPr>
                <w:rFonts w:hint="eastAsia" w:asciiTheme="minorEastAsia" w:hAnsiTheme="minorEastAsia" w:eastAsiaTheme="minorEastAsia" w:cstheme="minorEastAsia"/>
                <w:spacing w:val="-35"/>
                <w:sz w:val="24"/>
                <w:szCs w:val="24"/>
                <w:lang w:eastAsia="zh-CN"/>
              </w:rPr>
              <w:t>综合</w:t>
            </w:r>
            <w:r>
              <w:rPr>
                <w:rFonts w:hint="eastAsia" w:asciiTheme="minorEastAsia" w:hAnsiTheme="minorEastAsia" w:eastAsiaTheme="minorEastAsia" w:cstheme="minorEastAsia"/>
                <w:spacing w:val="-2"/>
                <w:sz w:val="24"/>
                <w:szCs w:val="24"/>
                <w:lang w:eastAsia="zh-CN"/>
              </w:rPr>
              <w:t>部分：</w:t>
            </w:r>
            <w:r>
              <w:rPr>
                <w:rFonts w:hint="eastAsia" w:asciiTheme="minorEastAsia" w:hAnsiTheme="minorEastAsia" w:eastAsiaTheme="minorEastAsia" w:cstheme="minorEastAsia"/>
                <w:sz w:val="24"/>
                <w:szCs w:val="24"/>
                <w:lang w:val="en-US" w:eastAsia="zh-CN"/>
              </w:rPr>
              <w:t>30</w:t>
            </w:r>
            <w:r>
              <w:rPr>
                <w:rFonts w:hint="eastAsia" w:asciiTheme="minorEastAsia" w:hAnsiTheme="minorEastAsia" w:eastAsiaTheme="minorEastAsia" w:cstheme="minorEastAsia"/>
                <w:spacing w:val="-35"/>
                <w:sz w:val="24"/>
                <w:szCs w:val="24"/>
                <w:lang w:eastAsia="zh-CN"/>
              </w:rPr>
              <w:t>分</w:t>
            </w:r>
          </w:p>
        </w:tc>
      </w:tr>
      <w:tr w14:paraId="71D903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7" w:hRule="atLeast"/>
        </w:trPr>
        <w:tc>
          <w:tcPr>
            <w:tcW w:w="951" w:type="dxa"/>
            <w:tcBorders>
              <w:right w:val="single" w:color="000000" w:sz="6" w:space="0"/>
            </w:tcBorders>
            <w:vAlign w:val="center"/>
          </w:tcPr>
          <w:p w14:paraId="5AA2CB08">
            <w:pPr>
              <w:pStyle w:val="29"/>
              <w:keepNext w:val="0"/>
              <w:keepLines w:val="0"/>
              <w:pageBreakBefore w:val="0"/>
              <w:widowControl w:val="0"/>
              <w:kinsoku/>
              <w:wordWrap/>
              <w:overflowPunct/>
              <w:topLinePunct w:val="0"/>
              <w:autoSpaceDE w:val="0"/>
              <w:autoSpaceDN w:val="0"/>
              <w:bidi w:val="0"/>
              <w:adjustRightInd/>
              <w:snapToGrid/>
              <w:spacing w:before="2" w:line="288" w:lineRule="auto"/>
              <w:jc w:val="center"/>
              <w:textAlignment w:val="auto"/>
              <w:rPr>
                <w:rFonts w:hint="eastAsia" w:asciiTheme="minorEastAsia" w:hAnsiTheme="minorEastAsia" w:eastAsiaTheme="minorEastAsia" w:cstheme="minorEastAsia"/>
                <w:sz w:val="24"/>
                <w:szCs w:val="24"/>
                <w:lang w:eastAsia="zh-CN"/>
              </w:rPr>
            </w:pPr>
          </w:p>
          <w:p w14:paraId="0B6D3840">
            <w:pPr>
              <w:pStyle w:val="29"/>
              <w:keepNext w:val="0"/>
              <w:keepLines w:val="0"/>
              <w:pageBreakBefore w:val="0"/>
              <w:widowControl w:val="0"/>
              <w:kinsoku/>
              <w:wordWrap/>
              <w:overflowPunct/>
              <w:topLinePunct w:val="0"/>
              <w:autoSpaceDE w:val="0"/>
              <w:autoSpaceDN w:val="0"/>
              <w:bidi w:val="0"/>
              <w:adjustRightInd/>
              <w:snapToGrid/>
              <w:spacing w:line="288" w:lineRule="auto"/>
              <w:ind w:left="16"/>
              <w:jc w:val="center"/>
              <w:textAlignment w:val="auto"/>
              <w:rPr>
                <w:rFonts w:hint="eastAsia" w:asciiTheme="minorEastAsia" w:hAnsiTheme="minorEastAsia" w:eastAsiaTheme="minorEastAsia" w:cstheme="minorEastAsia"/>
                <w:sz w:val="24"/>
                <w:szCs w:val="24"/>
                <w:lang w:eastAsia="zh-CN"/>
              </w:rPr>
            </w:pPr>
          </w:p>
          <w:p w14:paraId="2C9F6FED">
            <w:pPr>
              <w:pStyle w:val="29"/>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kern w:val="2"/>
                <w:sz w:val="24"/>
                <w:szCs w:val="24"/>
                <w:highlight w:val="none"/>
                <w:lang w:val="en-US" w:eastAsia="zh-CN" w:bidi="ar-SA"/>
              </w:rPr>
              <w:t>2.1.1</w:t>
            </w:r>
          </w:p>
        </w:tc>
        <w:tc>
          <w:tcPr>
            <w:tcW w:w="1016" w:type="dxa"/>
            <w:tcBorders>
              <w:left w:val="single" w:color="000000" w:sz="6" w:space="0"/>
              <w:right w:val="single" w:color="000000" w:sz="6" w:space="0"/>
            </w:tcBorders>
            <w:vAlign w:val="center"/>
          </w:tcPr>
          <w:p w14:paraId="486D2056">
            <w:pPr>
              <w:pStyle w:val="29"/>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报价部分</w:t>
            </w:r>
          </w:p>
          <w:p w14:paraId="3EC1C7EE">
            <w:pPr>
              <w:pStyle w:val="29"/>
              <w:keepNext w:val="0"/>
              <w:keepLines w:val="0"/>
              <w:pageBreakBefore w:val="0"/>
              <w:widowControl w:val="0"/>
              <w:kinsoku/>
              <w:wordWrap/>
              <w:overflowPunct/>
              <w:topLinePunct w:val="0"/>
              <w:autoSpaceDE w:val="0"/>
              <w:autoSpaceDN w:val="0"/>
              <w:bidi w:val="0"/>
              <w:adjustRightInd/>
              <w:snapToGrid/>
              <w:spacing w:line="288" w:lineRule="auto"/>
              <w:ind w:lef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w:t>
            </w:r>
            <w:r>
              <w:rPr>
                <w:rFonts w:hint="eastAsia" w:asciiTheme="minorEastAsia" w:hAnsiTheme="minorEastAsia" w:eastAsiaTheme="minorEastAsia" w:cstheme="minorEastAsia"/>
                <w:spacing w:val="-28"/>
                <w:sz w:val="24"/>
                <w:szCs w:val="24"/>
              </w:rPr>
              <w:t>分</w:t>
            </w:r>
            <w:r>
              <w:rPr>
                <w:rFonts w:hint="eastAsia" w:asciiTheme="minorEastAsia" w:hAnsiTheme="minorEastAsia" w:eastAsiaTheme="minorEastAsia" w:cstheme="minorEastAsia"/>
                <w:sz w:val="24"/>
                <w:szCs w:val="24"/>
              </w:rPr>
              <w:t>）</w:t>
            </w:r>
          </w:p>
        </w:tc>
        <w:tc>
          <w:tcPr>
            <w:tcW w:w="2291" w:type="dxa"/>
            <w:tcBorders>
              <w:left w:val="single" w:color="000000" w:sz="6" w:space="0"/>
              <w:right w:val="single" w:color="000000" w:sz="6" w:space="0"/>
            </w:tcBorders>
            <w:vAlign w:val="center"/>
          </w:tcPr>
          <w:p w14:paraId="7615CA26">
            <w:pPr>
              <w:pStyle w:val="29"/>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磋商</w:t>
            </w:r>
            <w:r>
              <w:rPr>
                <w:rFonts w:hint="eastAsia" w:asciiTheme="minorEastAsia" w:hAnsiTheme="minorEastAsia" w:eastAsiaTheme="minorEastAsia" w:cstheme="minorEastAsia"/>
                <w:sz w:val="24"/>
                <w:szCs w:val="24"/>
              </w:rPr>
              <w:t>报价</w:t>
            </w:r>
          </w:p>
          <w:p w14:paraId="63464399">
            <w:pPr>
              <w:pStyle w:val="29"/>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w:t>
            </w:r>
            <w:r>
              <w:rPr>
                <w:rFonts w:hint="eastAsia" w:asciiTheme="minorEastAsia" w:hAnsiTheme="minorEastAsia" w:eastAsiaTheme="minorEastAsia" w:cstheme="minorEastAsia"/>
                <w:spacing w:val="-28"/>
                <w:sz w:val="24"/>
                <w:szCs w:val="24"/>
              </w:rPr>
              <w:t xml:space="preserve"> 分</w:t>
            </w:r>
            <w:r>
              <w:rPr>
                <w:rFonts w:hint="eastAsia" w:asciiTheme="minorEastAsia" w:hAnsiTheme="minorEastAsia" w:eastAsiaTheme="minorEastAsia" w:cstheme="minorEastAsia"/>
                <w:sz w:val="24"/>
                <w:szCs w:val="24"/>
              </w:rPr>
              <w:t>）</w:t>
            </w:r>
          </w:p>
        </w:tc>
        <w:tc>
          <w:tcPr>
            <w:tcW w:w="6211" w:type="dxa"/>
            <w:tcBorders>
              <w:left w:val="single" w:color="000000" w:sz="6" w:space="0"/>
            </w:tcBorders>
            <w:vAlign w:val="center"/>
          </w:tcPr>
          <w:p w14:paraId="3F7ECEFA">
            <w:pPr>
              <w:keepNext w:val="0"/>
              <w:keepLines w:val="0"/>
              <w:pageBreakBefore w:val="0"/>
              <w:widowControl w:val="0"/>
              <w:kinsoku/>
              <w:wordWrap/>
              <w:overflowPunct/>
              <w:topLinePunct w:val="0"/>
              <w:autoSpaceDE w:val="0"/>
              <w:autoSpaceDN w:val="0"/>
              <w:bidi w:val="0"/>
              <w:adjustRightInd/>
              <w:snapToGrid/>
              <w:spacing w:line="240" w:lineRule="auto"/>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价格分采用低价优先法计算，即满足文件要求且评标报价最低的为评标基准价，其价格分为满分。其他供应商的价格分按此公式计算。</w:t>
            </w:r>
          </w:p>
          <w:p w14:paraId="4316DDFF">
            <w:pPr>
              <w:pStyle w:val="29"/>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报价得分=（评审基准价/报价）×20</w:t>
            </w:r>
          </w:p>
        </w:tc>
      </w:tr>
      <w:tr w14:paraId="5DF72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5" w:hRule="atLeast"/>
        </w:trPr>
        <w:tc>
          <w:tcPr>
            <w:tcW w:w="951" w:type="dxa"/>
            <w:vMerge w:val="restart"/>
            <w:tcBorders>
              <w:right w:val="single" w:color="000000" w:sz="6" w:space="0"/>
            </w:tcBorders>
            <w:vAlign w:val="center"/>
          </w:tcPr>
          <w:p w14:paraId="667BF4C3">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p>
          <w:p w14:paraId="21880235">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p>
          <w:p w14:paraId="2209CD8F">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p>
          <w:p w14:paraId="370CF105">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p>
          <w:p w14:paraId="0549B162">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p>
          <w:p w14:paraId="634E021F">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p>
          <w:p w14:paraId="7B1296A0">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p>
          <w:p w14:paraId="6AFCEA83">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p>
          <w:p w14:paraId="5047530B">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p>
          <w:p w14:paraId="2D89DFC5">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p>
          <w:p w14:paraId="7759E2F3">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p>
          <w:p w14:paraId="658B4CC8">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heme="minorEastAsia" w:hAnsiTheme="minorEastAsia" w:eastAsiaTheme="minorEastAsia" w:cstheme="minorEastAsia"/>
                <w:sz w:val="24"/>
                <w:szCs w:val="24"/>
                <w:lang w:val="en-US" w:eastAsia="en-US" w:bidi="ar-SA"/>
              </w:rPr>
            </w:pPr>
            <w:r>
              <w:rPr>
                <w:rFonts w:hint="eastAsia" w:asciiTheme="minorEastAsia" w:hAnsiTheme="minorEastAsia" w:eastAsiaTheme="minorEastAsia" w:cstheme="minorEastAsia"/>
                <w:color w:val="auto"/>
                <w:kern w:val="2"/>
                <w:sz w:val="24"/>
                <w:szCs w:val="24"/>
                <w:highlight w:val="none"/>
                <w:lang w:val="en-US" w:eastAsia="zh-CN" w:bidi="ar-SA"/>
              </w:rPr>
              <w:t>2.1.2</w:t>
            </w:r>
          </w:p>
        </w:tc>
        <w:tc>
          <w:tcPr>
            <w:tcW w:w="1016" w:type="dxa"/>
            <w:vMerge w:val="restart"/>
            <w:tcBorders>
              <w:left w:val="single" w:color="000000" w:sz="6" w:space="0"/>
              <w:right w:val="single" w:color="000000" w:sz="6" w:space="0"/>
            </w:tcBorders>
          </w:tcPr>
          <w:p w14:paraId="798571A9">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zh-CN" w:bidi="ar-SA"/>
              </w:rPr>
            </w:pPr>
          </w:p>
          <w:p w14:paraId="07B052FC">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zh-CN" w:bidi="ar-SA"/>
              </w:rPr>
            </w:pPr>
          </w:p>
          <w:p w14:paraId="58A772A0">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zh-CN" w:bidi="ar-SA"/>
              </w:rPr>
            </w:pPr>
          </w:p>
          <w:p w14:paraId="274B0885">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zh-CN" w:bidi="ar-SA"/>
              </w:rPr>
            </w:pPr>
          </w:p>
          <w:p w14:paraId="1722E5B4">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zh-CN" w:bidi="ar-SA"/>
              </w:rPr>
            </w:pPr>
          </w:p>
          <w:p w14:paraId="12419EF2">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zh-CN" w:bidi="ar-SA"/>
              </w:rPr>
            </w:pPr>
          </w:p>
          <w:p w14:paraId="1CE8E86C">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zh-CN" w:bidi="ar-SA"/>
              </w:rPr>
            </w:pPr>
          </w:p>
          <w:p w14:paraId="0B84DCB3">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zh-CN" w:bidi="ar-SA"/>
              </w:rPr>
            </w:pPr>
          </w:p>
          <w:p w14:paraId="5C6A12E0">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zh-CN" w:bidi="ar-SA"/>
              </w:rPr>
            </w:pPr>
          </w:p>
          <w:p w14:paraId="317BFDBF">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技术部分（50分）</w:t>
            </w:r>
          </w:p>
          <w:p w14:paraId="4F9CAD22">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zh-CN" w:bidi="ar-SA"/>
              </w:rPr>
            </w:pPr>
          </w:p>
        </w:tc>
        <w:tc>
          <w:tcPr>
            <w:tcW w:w="2291" w:type="dxa"/>
            <w:tcBorders>
              <w:left w:val="single" w:color="000000" w:sz="6" w:space="0"/>
              <w:right w:val="single" w:color="000000" w:sz="6" w:space="0"/>
            </w:tcBorders>
            <w:vAlign w:val="center"/>
          </w:tcPr>
          <w:p w14:paraId="25525912">
            <w:pPr>
              <w:keepNext w:val="0"/>
              <w:keepLines w:val="0"/>
              <w:pageBreakBefore w:val="0"/>
              <w:widowControl w:val="0"/>
              <w:kinsoku/>
              <w:wordWrap/>
              <w:overflowPunct/>
              <w:topLinePunct w:val="0"/>
              <w:autoSpaceDE w:val="0"/>
              <w:autoSpaceDN w:val="0"/>
              <w:bidi w:val="0"/>
              <w:adjustRightInd/>
              <w:snapToGrid/>
              <w:spacing w:line="288" w:lineRule="auto"/>
              <w:jc w:val="center"/>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针对本项目的整体理解及认识（8分）</w:t>
            </w:r>
          </w:p>
        </w:tc>
        <w:tc>
          <w:tcPr>
            <w:tcW w:w="6211" w:type="dxa"/>
            <w:tcBorders>
              <w:left w:val="single" w:color="000000" w:sz="6" w:space="0"/>
            </w:tcBorders>
            <w:vAlign w:val="center"/>
          </w:tcPr>
          <w:p w14:paraId="4D8DA611">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对项目的理解及认识从服务好招标人的角度出发对项目的整体统筹规划、认识深刻、定位合理的得8分，较为合理的得5分，一般的得3分，未提供不得分</w:t>
            </w:r>
          </w:p>
        </w:tc>
      </w:tr>
      <w:tr w14:paraId="495651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4" w:hRule="atLeast"/>
        </w:trPr>
        <w:tc>
          <w:tcPr>
            <w:tcW w:w="951" w:type="dxa"/>
            <w:vMerge w:val="continue"/>
            <w:tcBorders>
              <w:right w:val="single" w:color="000000" w:sz="6" w:space="0"/>
            </w:tcBorders>
          </w:tcPr>
          <w:p w14:paraId="0420C6FA">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en-US" w:bidi="ar-SA"/>
              </w:rPr>
            </w:pPr>
          </w:p>
        </w:tc>
        <w:tc>
          <w:tcPr>
            <w:tcW w:w="1016" w:type="dxa"/>
            <w:vMerge w:val="continue"/>
            <w:tcBorders>
              <w:left w:val="single" w:color="000000" w:sz="6" w:space="0"/>
              <w:right w:val="single" w:color="000000" w:sz="6" w:space="0"/>
            </w:tcBorders>
          </w:tcPr>
          <w:p w14:paraId="39AA15C1">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en-US" w:bidi="ar-SA"/>
              </w:rPr>
            </w:pPr>
          </w:p>
        </w:tc>
        <w:tc>
          <w:tcPr>
            <w:tcW w:w="2291" w:type="dxa"/>
            <w:tcBorders>
              <w:left w:val="single" w:color="000000" w:sz="6" w:space="0"/>
              <w:right w:val="single" w:color="000000" w:sz="6" w:space="0"/>
            </w:tcBorders>
            <w:vAlign w:val="center"/>
          </w:tcPr>
          <w:p w14:paraId="1202CEFF">
            <w:pPr>
              <w:keepNext w:val="0"/>
              <w:keepLines w:val="0"/>
              <w:pageBreakBefore w:val="0"/>
              <w:widowControl w:val="0"/>
              <w:kinsoku/>
              <w:wordWrap/>
              <w:overflowPunct/>
              <w:topLinePunct w:val="0"/>
              <w:autoSpaceDE w:val="0"/>
              <w:autoSpaceDN w:val="0"/>
              <w:bidi w:val="0"/>
              <w:adjustRightInd/>
              <w:snapToGrid/>
              <w:spacing w:line="288" w:lineRule="auto"/>
              <w:jc w:val="center"/>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针对本项目质量保障措施目标明确措施、信息安全保密措施（12分）</w:t>
            </w:r>
          </w:p>
        </w:tc>
        <w:tc>
          <w:tcPr>
            <w:tcW w:w="6211" w:type="dxa"/>
            <w:tcBorders>
              <w:left w:val="single" w:color="000000" w:sz="6" w:space="0"/>
            </w:tcBorders>
            <w:vAlign w:val="center"/>
          </w:tcPr>
          <w:p w14:paraId="365FDE7C">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有详细的质量保障措施、目标明确、保密措施具体并具有针对性得12分；质量保障措施、目标基本明确、保密措施基本健全有效且合理的得9分；一般的得5分，未提供不得分</w:t>
            </w:r>
          </w:p>
        </w:tc>
      </w:tr>
      <w:tr w14:paraId="76ED2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1" w:hRule="atLeast"/>
        </w:trPr>
        <w:tc>
          <w:tcPr>
            <w:tcW w:w="951" w:type="dxa"/>
            <w:vMerge w:val="continue"/>
            <w:tcBorders>
              <w:right w:val="single" w:color="000000" w:sz="6" w:space="0"/>
            </w:tcBorders>
          </w:tcPr>
          <w:p w14:paraId="1D8BBCCF">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en-US" w:bidi="ar-SA"/>
              </w:rPr>
            </w:pPr>
          </w:p>
        </w:tc>
        <w:tc>
          <w:tcPr>
            <w:tcW w:w="1016" w:type="dxa"/>
            <w:vMerge w:val="continue"/>
            <w:tcBorders>
              <w:left w:val="single" w:color="000000" w:sz="6" w:space="0"/>
              <w:right w:val="single" w:color="000000" w:sz="6" w:space="0"/>
            </w:tcBorders>
          </w:tcPr>
          <w:p w14:paraId="562EE1A8">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en-US" w:bidi="ar-SA"/>
              </w:rPr>
            </w:pPr>
          </w:p>
        </w:tc>
        <w:tc>
          <w:tcPr>
            <w:tcW w:w="2291" w:type="dxa"/>
            <w:tcBorders>
              <w:left w:val="single" w:color="000000" w:sz="6" w:space="0"/>
              <w:right w:val="single" w:color="000000" w:sz="6" w:space="0"/>
            </w:tcBorders>
            <w:vAlign w:val="center"/>
          </w:tcPr>
          <w:p w14:paraId="7A67D407">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针对本项目工作思路、方法、技术路线，实施重点、难点、关键过程的把握（10 分）</w:t>
            </w:r>
          </w:p>
        </w:tc>
        <w:tc>
          <w:tcPr>
            <w:tcW w:w="6211" w:type="dxa"/>
            <w:tcBorders>
              <w:left w:val="single" w:color="000000" w:sz="6" w:space="0"/>
            </w:tcBorders>
            <w:vAlign w:val="center"/>
          </w:tcPr>
          <w:p w14:paraId="7E419834">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en-US" w:bidi="ar-SA"/>
              </w:rPr>
              <w:t>1、</w:t>
            </w:r>
            <w:r>
              <w:rPr>
                <w:rFonts w:hint="eastAsia" w:asciiTheme="minorEastAsia" w:hAnsiTheme="minorEastAsia" w:eastAsiaTheme="minorEastAsia" w:cstheme="minorEastAsia"/>
                <w:sz w:val="24"/>
                <w:szCs w:val="24"/>
                <w:lang w:val="en-US" w:eastAsia="zh-CN" w:bidi="ar-SA"/>
              </w:rPr>
              <w:t>工作思路清晰、方法合理得5分，思路基本清晰、方法 基本合理得 3 分；一般的得1分，未提供不得分</w:t>
            </w:r>
          </w:p>
          <w:p w14:paraId="17620768">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2、实施重点、难点、关键过程分析及对策详细、完善、合理、可行的得 5分；实施重点、难点、关键过程分析及对策基本完善、合理、可行的得3分；一般的得1分，未提供不得分</w:t>
            </w:r>
          </w:p>
        </w:tc>
      </w:tr>
      <w:tr w14:paraId="4C437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70" w:hRule="atLeast"/>
        </w:trPr>
        <w:tc>
          <w:tcPr>
            <w:tcW w:w="951" w:type="dxa"/>
            <w:vMerge w:val="continue"/>
            <w:tcBorders>
              <w:right w:val="single" w:color="000000" w:sz="6" w:space="0"/>
            </w:tcBorders>
          </w:tcPr>
          <w:p w14:paraId="674AA02E">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en-US" w:bidi="ar-SA"/>
              </w:rPr>
            </w:pPr>
          </w:p>
        </w:tc>
        <w:tc>
          <w:tcPr>
            <w:tcW w:w="1016" w:type="dxa"/>
            <w:vMerge w:val="continue"/>
            <w:tcBorders>
              <w:left w:val="single" w:color="000000" w:sz="6" w:space="0"/>
              <w:right w:val="single" w:color="000000" w:sz="6" w:space="0"/>
            </w:tcBorders>
          </w:tcPr>
          <w:p w14:paraId="5C1DCEF7">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en-US" w:bidi="ar-SA"/>
              </w:rPr>
            </w:pPr>
          </w:p>
        </w:tc>
        <w:tc>
          <w:tcPr>
            <w:tcW w:w="2291" w:type="dxa"/>
            <w:tcBorders>
              <w:left w:val="single" w:color="000000" w:sz="6" w:space="0"/>
              <w:right w:val="single" w:color="000000" w:sz="6" w:space="0"/>
            </w:tcBorders>
            <w:vAlign w:val="center"/>
          </w:tcPr>
          <w:p w14:paraId="3CDD336C">
            <w:pPr>
              <w:keepNext w:val="0"/>
              <w:keepLines w:val="0"/>
              <w:pageBreakBefore w:val="0"/>
              <w:widowControl w:val="0"/>
              <w:kinsoku/>
              <w:wordWrap/>
              <w:overflowPunct/>
              <w:topLinePunct w:val="0"/>
              <w:autoSpaceDE w:val="0"/>
              <w:autoSpaceDN w:val="0"/>
              <w:bidi w:val="0"/>
              <w:adjustRightInd/>
              <w:snapToGrid/>
              <w:spacing w:line="288" w:lineRule="auto"/>
              <w:jc w:val="center"/>
              <w:textAlignment w:val="auto"/>
              <w:rPr>
                <w:rFonts w:hint="eastAsia" w:asciiTheme="minorEastAsia" w:hAnsiTheme="minorEastAsia" w:eastAsiaTheme="minorEastAsia" w:cstheme="minorEastAsia"/>
                <w:sz w:val="24"/>
                <w:szCs w:val="24"/>
                <w:lang w:val="en-US" w:eastAsia="zh-CN" w:bidi="ar-SA"/>
              </w:rPr>
            </w:pPr>
          </w:p>
          <w:p w14:paraId="31F01EB5">
            <w:pPr>
              <w:keepNext w:val="0"/>
              <w:keepLines w:val="0"/>
              <w:pageBreakBefore w:val="0"/>
              <w:widowControl w:val="0"/>
              <w:kinsoku/>
              <w:wordWrap/>
              <w:overflowPunct/>
              <w:topLinePunct w:val="0"/>
              <w:autoSpaceDE w:val="0"/>
              <w:autoSpaceDN w:val="0"/>
              <w:bidi w:val="0"/>
              <w:adjustRightInd/>
              <w:snapToGrid/>
              <w:spacing w:line="288" w:lineRule="auto"/>
              <w:jc w:val="center"/>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针对本项目工作进度保证措施</w:t>
            </w:r>
          </w:p>
          <w:p w14:paraId="40D2D74B">
            <w:pPr>
              <w:keepNext w:val="0"/>
              <w:keepLines w:val="0"/>
              <w:pageBreakBefore w:val="0"/>
              <w:widowControl w:val="0"/>
              <w:kinsoku/>
              <w:wordWrap/>
              <w:overflowPunct/>
              <w:topLinePunct w:val="0"/>
              <w:autoSpaceDE w:val="0"/>
              <w:autoSpaceDN w:val="0"/>
              <w:bidi w:val="0"/>
              <w:adjustRightInd/>
              <w:snapToGrid/>
              <w:spacing w:line="288" w:lineRule="auto"/>
              <w:jc w:val="center"/>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（10分）</w:t>
            </w:r>
          </w:p>
        </w:tc>
        <w:tc>
          <w:tcPr>
            <w:tcW w:w="6211" w:type="dxa"/>
            <w:tcBorders>
              <w:left w:val="single" w:color="000000" w:sz="6" w:space="0"/>
            </w:tcBorders>
            <w:vAlign w:val="center"/>
          </w:tcPr>
          <w:p w14:paraId="07327662">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有详细的进度保障措施，措施明确,工作进度计划合理，保证措施具有针对性、措施先进可行得10分；工作进度计划基本合理，保证措施基本具有针对性、措施基本可行得7分；工作进度计划合理，保证措施针对性不强、措施基本一般得5分，未提供不得分。</w:t>
            </w:r>
          </w:p>
        </w:tc>
      </w:tr>
      <w:tr w14:paraId="7043FE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92" w:hRule="atLeast"/>
        </w:trPr>
        <w:tc>
          <w:tcPr>
            <w:tcW w:w="951" w:type="dxa"/>
            <w:vMerge w:val="continue"/>
            <w:tcBorders>
              <w:right w:val="single" w:color="000000" w:sz="6" w:space="0"/>
            </w:tcBorders>
          </w:tcPr>
          <w:p w14:paraId="3CE8AEF3">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en-US" w:bidi="ar-SA"/>
              </w:rPr>
            </w:pPr>
          </w:p>
        </w:tc>
        <w:tc>
          <w:tcPr>
            <w:tcW w:w="1016" w:type="dxa"/>
            <w:vMerge w:val="continue"/>
            <w:tcBorders>
              <w:left w:val="single" w:color="000000" w:sz="6" w:space="0"/>
              <w:right w:val="single" w:color="000000" w:sz="6" w:space="0"/>
            </w:tcBorders>
          </w:tcPr>
          <w:p w14:paraId="1137C3C4">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en-US" w:bidi="ar-SA"/>
              </w:rPr>
            </w:pPr>
          </w:p>
        </w:tc>
        <w:tc>
          <w:tcPr>
            <w:tcW w:w="2291" w:type="dxa"/>
            <w:tcBorders>
              <w:left w:val="single" w:color="000000" w:sz="6" w:space="0"/>
              <w:right w:val="single" w:color="000000" w:sz="6" w:space="0"/>
            </w:tcBorders>
            <w:vAlign w:val="center"/>
          </w:tcPr>
          <w:p w14:paraId="05F71653">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针对本项目的任务分解及责任分工</w:t>
            </w:r>
          </w:p>
          <w:p w14:paraId="2B573296">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（10分）</w:t>
            </w:r>
          </w:p>
        </w:tc>
        <w:tc>
          <w:tcPr>
            <w:tcW w:w="6211" w:type="dxa"/>
            <w:tcBorders>
              <w:left w:val="single" w:color="000000" w:sz="6" w:space="0"/>
            </w:tcBorders>
            <w:vAlign w:val="center"/>
          </w:tcPr>
          <w:p w14:paraId="14211557">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en-US" w:bidi="ar-SA"/>
              </w:rPr>
              <w:t>1、</w:t>
            </w:r>
            <w:r>
              <w:rPr>
                <w:rFonts w:hint="eastAsia" w:asciiTheme="minorEastAsia" w:hAnsiTheme="minorEastAsia" w:eastAsiaTheme="minorEastAsia" w:cstheme="minorEastAsia"/>
                <w:sz w:val="24"/>
                <w:szCs w:val="24"/>
                <w:lang w:val="en-US" w:eastAsia="zh-CN" w:bidi="ar-SA"/>
              </w:rPr>
              <w:t xml:space="preserve">针对本项目的任务分解科学、合理得5分；任务分解基本科学、合理得3分；一般的得1分，未提供不得分 </w:t>
            </w:r>
          </w:p>
          <w:p w14:paraId="77EC7733">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en-US" w:bidi="ar-SA"/>
              </w:rPr>
              <w:t>2、</w:t>
            </w:r>
            <w:r>
              <w:rPr>
                <w:rFonts w:hint="eastAsia" w:asciiTheme="minorEastAsia" w:hAnsiTheme="minorEastAsia" w:eastAsiaTheme="minorEastAsia" w:cstheme="minorEastAsia"/>
                <w:sz w:val="24"/>
                <w:szCs w:val="24"/>
                <w:lang w:val="en-US" w:eastAsia="zh-CN" w:bidi="ar-SA"/>
              </w:rPr>
              <w:t>项目各科室及拟派管理机构人员责任明确、工作标准及考评方法科学合理的得5分；项目各科室及拟派管理机构人员责任基本明确、工作标准及考评方法基本合理的得3分；一般的得1分，未提供不得分</w:t>
            </w:r>
          </w:p>
        </w:tc>
      </w:tr>
      <w:tr w14:paraId="7C4948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1" w:hRule="atLeast"/>
        </w:trPr>
        <w:tc>
          <w:tcPr>
            <w:tcW w:w="951" w:type="dxa"/>
            <w:vMerge w:val="restart"/>
            <w:tcBorders>
              <w:right w:val="single" w:color="000000" w:sz="6" w:space="0"/>
            </w:tcBorders>
            <w:vAlign w:val="center"/>
          </w:tcPr>
          <w:p w14:paraId="5583989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2.1.3</w:t>
            </w:r>
          </w:p>
        </w:tc>
        <w:tc>
          <w:tcPr>
            <w:tcW w:w="1016" w:type="dxa"/>
            <w:vMerge w:val="restart"/>
            <w:tcBorders>
              <w:left w:val="single" w:color="000000" w:sz="6" w:space="0"/>
              <w:right w:val="single" w:color="000000" w:sz="6" w:space="0"/>
            </w:tcBorders>
          </w:tcPr>
          <w:p w14:paraId="4FBCBF13">
            <w:pPr>
              <w:keepNext w:val="0"/>
              <w:keepLines w:val="0"/>
              <w:pageBreakBefore w:val="0"/>
              <w:widowControl w:val="0"/>
              <w:kinsoku/>
              <w:wordWrap/>
              <w:overflowPunct/>
              <w:topLinePunct w:val="0"/>
              <w:autoSpaceDE w:val="0"/>
              <w:autoSpaceDN w:val="0"/>
              <w:bidi w:val="0"/>
              <w:adjustRightInd/>
              <w:snapToGrid/>
              <w:spacing w:line="288" w:lineRule="auto"/>
              <w:ind w:left="3" w:leftChars="-4" w:hanging="12" w:hangingChars="5"/>
              <w:jc w:val="center"/>
              <w:textAlignment w:val="auto"/>
              <w:rPr>
                <w:rFonts w:hint="eastAsia" w:asciiTheme="minorEastAsia" w:hAnsiTheme="minorEastAsia" w:eastAsiaTheme="minorEastAsia" w:cstheme="minorEastAsia"/>
                <w:sz w:val="24"/>
                <w:szCs w:val="24"/>
                <w:lang w:val="en-US" w:eastAsia="zh-CN" w:bidi="ar-SA"/>
              </w:rPr>
            </w:pPr>
          </w:p>
          <w:p w14:paraId="32C4FEFD">
            <w:pPr>
              <w:keepNext w:val="0"/>
              <w:keepLines w:val="0"/>
              <w:pageBreakBefore w:val="0"/>
              <w:widowControl w:val="0"/>
              <w:kinsoku/>
              <w:wordWrap/>
              <w:overflowPunct/>
              <w:topLinePunct w:val="0"/>
              <w:autoSpaceDE w:val="0"/>
              <w:autoSpaceDN w:val="0"/>
              <w:bidi w:val="0"/>
              <w:adjustRightInd/>
              <w:snapToGrid/>
              <w:spacing w:line="288" w:lineRule="auto"/>
              <w:ind w:left="3" w:leftChars="-4" w:hanging="12" w:hangingChars="5"/>
              <w:jc w:val="center"/>
              <w:textAlignment w:val="auto"/>
              <w:rPr>
                <w:rFonts w:hint="eastAsia" w:asciiTheme="minorEastAsia" w:hAnsiTheme="minorEastAsia" w:eastAsiaTheme="minorEastAsia" w:cstheme="minorEastAsia"/>
                <w:sz w:val="24"/>
                <w:szCs w:val="24"/>
                <w:lang w:val="en-US" w:eastAsia="zh-CN" w:bidi="ar-SA"/>
              </w:rPr>
            </w:pPr>
          </w:p>
          <w:p w14:paraId="1BFFA392">
            <w:pPr>
              <w:keepNext w:val="0"/>
              <w:keepLines w:val="0"/>
              <w:pageBreakBefore w:val="0"/>
              <w:widowControl w:val="0"/>
              <w:kinsoku/>
              <w:wordWrap/>
              <w:overflowPunct/>
              <w:topLinePunct w:val="0"/>
              <w:autoSpaceDE w:val="0"/>
              <w:autoSpaceDN w:val="0"/>
              <w:bidi w:val="0"/>
              <w:adjustRightInd/>
              <w:snapToGrid/>
              <w:spacing w:line="288" w:lineRule="auto"/>
              <w:ind w:left="3" w:leftChars="-4" w:hanging="12" w:hangingChars="5"/>
              <w:jc w:val="center"/>
              <w:textAlignment w:val="auto"/>
              <w:rPr>
                <w:rFonts w:hint="eastAsia" w:asciiTheme="minorEastAsia" w:hAnsiTheme="minorEastAsia" w:eastAsiaTheme="minorEastAsia" w:cstheme="minorEastAsia"/>
                <w:sz w:val="24"/>
                <w:szCs w:val="24"/>
                <w:lang w:val="en-US" w:eastAsia="zh-CN" w:bidi="ar-SA"/>
              </w:rPr>
            </w:pPr>
          </w:p>
          <w:p w14:paraId="1E8DAF2E">
            <w:pPr>
              <w:keepNext w:val="0"/>
              <w:keepLines w:val="0"/>
              <w:pageBreakBefore w:val="0"/>
              <w:widowControl w:val="0"/>
              <w:kinsoku/>
              <w:wordWrap/>
              <w:overflowPunct/>
              <w:topLinePunct w:val="0"/>
              <w:autoSpaceDE w:val="0"/>
              <w:autoSpaceDN w:val="0"/>
              <w:bidi w:val="0"/>
              <w:adjustRightInd/>
              <w:snapToGrid/>
              <w:spacing w:line="288" w:lineRule="auto"/>
              <w:ind w:left="3" w:leftChars="-4" w:hanging="12" w:hangingChars="5"/>
              <w:jc w:val="center"/>
              <w:textAlignment w:val="auto"/>
              <w:rPr>
                <w:rFonts w:hint="eastAsia" w:asciiTheme="minorEastAsia" w:hAnsiTheme="minorEastAsia" w:eastAsiaTheme="minorEastAsia" w:cstheme="minorEastAsia"/>
                <w:sz w:val="24"/>
                <w:szCs w:val="24"/>
                <w:lang w:val="en-US" w:eastAsia="zh-CN" w:bidi="ar-SA"/>
              </w:rPr>
            </w:pPr>
          </w:p>
          <w:p w14:paraId="54D26170">
            <w:pPr>
              <w:keepNext w:val="0"/>
              <w:keepLines w:val="0"/>
              <w:pageBreakBefore w:val="0"/>
              <w:widowControl w:val="0"/>
              <w:kinsoku/>
              <w:wordWrap/>
              <w:overflowPunct/>
              <w:topLinePunct w:val="0"/>
              <w:autoSpaceDE w:val="0"/>
              <w:autoSpaceDN w:val="0"/>
              <w:bidi w:val="0"/>
              <w:adjustRightInd/>
              <w:snapToGrid/>
              <w:spacing w:line="288" w:lineRule="auto"/>
              <w:ind w:left="3" w:leftChars="-4" w:hanging="12" w:hangingChars="5"/>
              <w:jc w:val="center"/>
              <w:textAlignment w:val="auto"/>
              <w:rPr>
                <w:rFonts w:hint="eastAsia" w:asciiTheme="minorEastAsia" w:hAnsiTheme="minorEastAsia" w:eastAsiaTheme="minorEastAsia" w:cstheme="minorEastAsia"/>
                <w:sz w:val="24"/>
                <w:szCs w:val="24"/>
                <w:lang w:val="en-US" w:eastAsia="zh-CN" w:bidi="ar-SA"/>
              </w:rPr>
            </w:pPr>
          </w:p>
          <w:p w14:paraId="3C99FE5A">
            <w:pPr>
              <w:keepNext w:val="0"/>
              <w:keepLines w:val="0"/>
              <w:pageBreakBefore w:val="0"/>
              <w:widowControl w:val="0"/>
              <w:kinsoku/>
              <w:wordWrap/>
              <w:overflowPunct/>
              <w:topLinePunct w:val="0"/>
              <w:autoSpaceDE w:val="0"/>
              <w:autoSpaceDN w:val="0"/>
              <w:bidi w:val="0"/>
              <w:adjustRightInd/>
              <w:snapToGrid/>
              <w:spacing w:line="288" w:lineRule="auto"/>
              <w:ind w:left="3" w:leftChars="-4" w:hanging="12" w:hangingChars="5"/>
              <w:jc w:val="center"/>
              <w:textAlignment w:val="auto"/>
              <w:rPr>
                <w:rFonts w:hint="eastAsia" w:asciiTheme="minorEastAsia" w:hAnsiTheme="minorEastAsia" w:eastAsiaTheme="minorEastAsia" w:cstheme="minorEastAsia"/>
                <w:sz w:val="24"/>
                <w:szCs w:val="24"/>
                <w:lang w:val="en-US" w:eastAsia="zh-CN" w:bidi="ar-SA"/>
              </w:rPr>
            </w:pPr>
          </w:p>
          <w:p w14:paraId="4700335F">
            <w:pPr>
              <w:keepNext w:val="0"/>
              <w:keepLines w:val="0"/>
              <w:pageBreakBefore w:val="0"/>
              <w:widowControl w:val="0"/>
              <w:kinsoku/>
              <w:wordWrap/>
              <w:overflowPunct/>
              <w:topLinePunct w:val="0"/>
              <w:autoSpaceDE w:val="0"/>
              <w:autoSpaceDN w:val="0"/>
              <w:bidi w:val="0"/>
              <w:adjustRightInd/>
              <w:snapToGrid/>
              <w:spacing w:line="288" w:lineRule="auto"/>
              <w:ind w:left="3" w:leftChars="-4" w:hanging="12" w:hangingChars="5"/>
              <w:jc w:val="center"/>
              <w:textAlignment w:val="auto"/>
              <w:rPr>
                <w:rFonts w:hint="eastAsia" w:asciiTheme="minorEastAsia" w:hAnsiTheme="minorEastAsia" w:eastAsiaTheme="minorEastAsia" w:cstheme="minorEastAsia"/>
                <w:sz w:val="24"/>
                <w:szCs w:val="24"/>
                <w:lang w:val="en-US" w:eastAsia="zh-CN" w:bidi="ar-SA"/>
              </w:rPr>
            </w:pPr>
          </w:p>
          <w:p w14:paraId="1FE34B94">
            <w:pPr>
              <w:keepNext w:val="0"/>
              <w:keepLines w:val="0"/>
              <w:pageBreakBefore w:val="0"/>
              <w:widowControl w:val="0"/>
              <w:kinsoku/>
              <w:wordWrap/>
              <w:overflowPunct/>
              <w:topLinePunct w:val="0"/>
              <w:autoSpaceDE w:val="0"/>
              <w:autoSpaceDN w:val="0"/>
              <w:bidi w:val="0"/>
              <w:adjustRightInd/>
              <w:snapToGrid/>
              <w:spacing w:line="288" w:lineRule="auto"/>
              <w:ind w:left="3" w:leftChars="-4" w:hanging="12" w:hangingChars="5"/>
              <w:jc w:val="center"/>
              <w:textAlignment w:val="auto"/>
              <w:rPr>
                <w:rFonts w:hint="eastAsia" w:asciiTheme="minorEastAsia" w:hAnsiTheme="minorEastAsia" w:eastAsiaTheme="minorEastAsia" w:cstheme="minorEastAsia"/>
                <w:sz w:val="24"/>
                <w:szCs w:val="24"/>
                <w:lang w:val="en-US" w:eastAsia="zh-CN" w:bidi="ar-SA"/>
              </w:rPr>
            </w:pPr>
          </w:p>
          <w:p w14:paraId="569FD453">
            <w:pPr>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综合部分（30分）</w:t>
            </w:r>
          </w:p>
          <w:p w14:paraId="6430EA0A">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en-US" w:bidi="ar-SA"/>
              </w:rPr>
            </w:pPr>
          </w:p>
        </w:tc>
        <w:tc>
          <w:tcPr>
            <w:tcW w:w="2291" w:type="dxa"/>
            <w:tcBorders>
              <w:left w:val="single" w:color="000000" w:sz="6" w:space="0"/>
              <w:right w:val="single" w:color="000000" w:sz="6" w:space="0"/>
            </w:tcBorders>
            <w:shd w:val="clear" w:color="auto" w:fill="auto"/>
            <w:vAlign w:val="center"/>
          </w:tcPr>
          <w:p w14:paraId="47811E51">
            <w:pPr>
              <w:keepNext w:val="0"/>
              <w:keepLines w:val="0"/>
              <w:pageBreakBefore w:val="0"/>
              <w:widowControl w:val="0"/>
              <w:kinsoku/>
              <w:wordWrap/>
              <w:overflowPunct/>
              <w:topLinePunct w:val="0"/>
              <w:autoSpaceDE w:val="0"/>
              <w:autoSpaceDN w:val="0"/>
              <w:bidi w:val="0"/>
              <w:adjustRightInd/>
              <w:snapToGrid/>
              <w:spacing w:line="288" w:lineRule="auto"/>
              <w:jc w:val="center"/>
              <w:textAlignment w:val="auto"/>
              <w:rPr>
                <w:rFonts w:hint="eastAsia" w:asciiTheme="minorEastAsia" w:hAnsiTheme="minorEastAsia" w:eastAsiaTheme="minorEastAsia" w:cstheme="minorEastAsia"/>
                <w:sz w:val="24"/>
                <w:szCs w:val="24"/>
                <w:lang w:val="en-US" w:eastAsia="zh-CN" w:bidi="ar-SA"/>
              </w:rPr>
            </w:pPr>
          </w:p>
          <w:p w14:paraId="4B5EA310">
            <w:pPr>
              <w:keepNext w:val="0"/>
              <w:keepLines w:val="0"/>
              <w:pageBreakBefore w:val="0"/>
              <w:widowControl w:val="0"/>
              <w:kinsoku/>
              <w:wordWrap/>
              <w:overflowPunct/>
              <w:topLinePunct w:val="0"/>
              <w:autoSpaceDE w:val="0"/>
              <w:autoSpaceDN w:val="0"/>
              <w:bidi w:val="0"/>
              <w:adjustRightInd/>
              <w:snapToGrid/>
              <w:spacing w:line="288" w:lineRule="auto"/>
              <w:jc w:val="center"/>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项目组成人员</w:t>
            </w:r>
          </w:p>
          <w:p w14:paraId="6F9B9D36">
            <w:pPr>
              <w:keepNext w:val="0"/>
              <w:keepLines w:val="0"/>
              <w:pageBreakBefore w:val="0"/>
              <w:widowControl w:val="0"/>
              <w:kinsoku/>
              <w:wordWrap/>
              <w:overflowPunct/>
              <w:topLinePunct w:val="0"/>
              <w:autoSpaceDE w:val="0"/>
              <w:autoSpaceDN w:val="0"/>
              <w:bidi w:val="0"/>
              <w:adjustRightInd/>
              <w:snapToGrid/>
              <w:spacing w:line="288" w:lineRule="auto"/>
              <w:jc w:val="center"/>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（10分）</w:t>
            </w:r>
          </w:p>
          <w:p w14:paraId="6277796A">
            <w:pPr>
              <w:keepNext w:val="0"/>
              <w:keepLines w:val="0"/>
              <w:pageBreakBefore w:val="0"/>
              <w:widowControl w:val="0"/>
              <w:kinsoku/>
              <w:wordWrap/>
              <w:overflowPunct/>
              <w:topLinePunct w:val="0"/>
              <w:autoSpaceDE w:val="0"/>
              <w:autoSpaceDN w:val="0"/>
              <w:bidi w:val="0"/>
              <w:adjustRightInd/>
              <w:snapToGrid/>
              <w:spacing w:line="288" w:lineRule="auto"/>
              <w:jc w:val="center"/>
              <w:textAlignment w:val="auto"/>
              <w:rPr>
                <w:rFonts w:hint="eastAsia" w:asciiTheme="minorEastAsia" w:hAnsiTheme="minorEastAsia" w:eastAsiaTheme="minorEastAsia" w:cstheme="minorEastAsia"/>
                <w:sz w:val="24"/>
                <w:szCs w:val="24"/>
                <w:lang w:val="en-US" w:eastAsia="zh-CN" w:bidi="ar-SA"/>
              </w:rPr>
            </w:pPr>
          </w:p>
        </w:tc>
        <w:tc>
          <w:tcPr>
            <w:tcW w:w="6211" w:type="dxa"/>
            <w:tcBorders>
              <w:left w:val="single" w:color="000000" w:sz="6" w:space="0"/>
            </w:tcBorders>
            <w:shd w:val="clear" w:color="auto" w:fill="auto"/>
            <w:vAlign w:val="center"/>
          </w:tcPr>
          <w:p w14:paraId="22564DB4">
            <w:pPr>
              <w:keepNext w:val="0"/>
              <w:keepLines w:val="0"/>
              <w:pageBreakBefore w:val="0"/>
              <w:widowControl w:val="0"/>
              <w:kinsoku/>
              <w:wordWrap/>
              <w:overflowPunct/>
              <w:topLinePunct w:val="0"/>
              <w:autoSpaceDE w:val="0"/>
              <w:autoSpaceDN w:val="0"/>
              <w:bidi w:val="0"/>
              <w:adjustRightInd/>
              <w:snapToGrid/>
              <w:spacing w:line="240" w:lineRule="auto"/>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拟派项目组成员中，具备土地管理或测绘等相关专业高级职称的每有一人得2分，具备注册测绘师资格证书每有一人得2分，本项最高得10分，提供人员职称证、劳动合同及近半年以来任意一个月的社保缴纳证明，未提供不得分</w:t>
            </w:r>
          </w:p>
        </w:tc>
      </w:tr>
      <w:tr w14:paraId="578F2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8" w:hRule="atLeast"/>
        </w:trPr>
        <w:tc>
          <w:tcPr>
            <w:tcW w:w="951" w:type="dxa"/>
            <w:vMerge w:val="continue"/>
            <w:tcBorders>
              <w:right w:val="single" w:color="000000" w:sz="6" w:space="0"/>
            </w:tcBorders>
          </w:tcPr>
          <w:p w14:paraId="5D8900BA">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en-US" w:bidi="ar-SA"/>
              </w:rPr>
            </w:pPr>
          </w:p>
        </w:tc>
        <w:tc>
          <w:tcPr>
            <w:tcW w:w="1016" w:type="dxa"/>
            <w:vMerge w:val="continue"/>
            <w:tcBorders>
              <w:left w:val="single" w:color="000000" w:sz="6" w:space="0"/>
              <w:right w:val="single" w:color="000000" w:sz="6" w:space="0"/>
            </w:tcBorders>
          </w:tcPr>
          <w:p w14:paraId="142F605B">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en-US" w:bidi="ar-SA"/>
              </w:rPr>
            </w:pPr>
          </w:p>
        </w:tc>
        <w:tc>
          <w:tcPr>
            <w:tcW w:w="2291" w:type="dxa"/>
            <w:tcBorders>
              <w:left w:val="single" w:color="000000" w:sz="6" w:space="0"/>
              <w:right w:val="single" w:color="000000" w:sz="6" w:space="0"/>
            </w:tcBorders>
            <w:shd w:val="clear" w:color="auto" w:fill="auto"/>
            <w:vAlign w:val="center"/>
          </w:tcPr>
          <w:p w14:paraId="7AA34B34">
            <w:pPr>
              <w:keepNext w:val="0"/>
              <w:keepLines w:val="0"/>
              <w:pageBreakBefore w:val="0"/>
              <w:widowControl w:val="0"/>
              <w:kinsoku/>
              <w:wordWrap/>
              <w:overflowPunct/>
              <w:topLinePunct w:val="0"/>
              <w:autoSpaceDE w:val="0"/>
              <w:autoSpaceDN w:val="0"/>
              <w:bidi w:val="0"/>
              <w:adjustRightInd/>
              <w:snapToGrid/>
              <w:spacing w:line="288" w:lineRule="auto"/>
              <w:jc w:val="center"/>
              <w:textAlignment w:val="auto"/>
              <w:rPr>
                <w:rFonts w:hint="eastAsia" w:asciiTheme="minorEastAsia" w:hAnsiTheme="minorEastAsia" w:eastAsiaTheme="minorEastAsia" w:cstheme="minorEastAsia"/>
                <w:sz w:val="24"/>
                <w:szCs w:val="24"/>
                <w:lang w:val="en-US" w:eastAsia="zh-CN" w:bidi="ar-SA"/>
              </w:rPr>
            </w:pPr>
          </w:p>
          <w:p w14:paraId="7BBA754E">
            <w:pPr>
              <w:keepNext w:val="0"/>
              <w:keepLines w:val="0"/>
              <w:pageBreakBefore w:val="0"/>
              <w:widowControl w:val="0"/>
              <w:kinsoku/>
              <w:wordWrap/>
              <w:overflowPunct/>
              <w:topLinePunct w:val="0"/>
              <w:autoSpaceDE w:val="0"/>
              <w:autoSpaceDN w:val="0"/>
              <w:bidi w:val="0"/>
              <w:adjustRightInd/>
              <w:snapToGrid/>
              <w:spacing w:line="288" w:lineRule="auto"/>
              <w:jc w:val="center"/>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企业业绩</w:t>
            </w:r>
          </w:p>
          <w:p w14:paraId="1E205852">
            <w:pPr>
              <w:keepNext w:val="0"/>
              <w:keepLines w:val="0"/>
              <w:pageBreakBefore w:val="0"/>
              <w:widowControl w:val="0"/>
              <w:kinsoku/>
              <w:wordWrap/>
              <w:overflowPunct/>
              <w:topLinePunct w:val="0"/>
              <w:autoSpaceDE w:val="0"/>
              <w:autoSpaceDN w:val="0"/>
              <w:bidi w:val="0"/>
              <w:adjustRightInd/>
              <w:snapToGrid/>
              <w:spacing w:line="288" w:lineRule="auto"/>
              <w:jc w:val="center"/>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（9分）</w:t>
            </w:r>
          </w:p>
        </w:tc>
        <w:tc>
          <w:tcPr>
            <w:tcW w:w="6211" w:type="dxa"/>
            <w:tcBorders>
              <w:left w:val="single" w:color="000000" w:sz="6" w:space="0"/>
            </w:tcBorders>
            <w:shd w:val="clear" w:color="auto" w:fill="auto"/>
            <w:vAlign w:val="center"/>
          </w:tcPr>
          <w:p w14:paraId="23609234">
            <w:pPr>
              <w:keepNext w:val="0"/>
              <w:keepLines w:val="0"/>
              <w:pageBreakBefore w:val="0"/>
              <w:widowControl w:val="0"/>
              <w:kinsoku/>
              <w:wordWrap/>
              <w:overflowPunct/>
              <w:topLinePunct w:val="0"/>
              <w:autoSpaceDE w:val="0"/>
              <w:autoSpaceDN w:val="0"/>
              <w:bidi w:val="0"/>
              <w:adjustRightInd/>
              <w:snapToGrid/>
              <w:spacing w:line="240" w:lineRule="auto"/>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供应商近三年承接过类似项目，每份业绩得3分，本项最高得9分。投标文件中提供中标通知书或合同的复印件或扫描件，未提供不得分；</w:t>
            </w:r>
          </w:p>
        </w:tc>
      </w:tr>
      <w:tr w14:paraId="03316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6" w:hRule="atLeast"/>
        </w:trPr>
        <w:tc>
          <w:tcPr>
            <w:tcW w:w="951" w:type="dxa"/>
            <w:vMerge w:val="continue"/>
            <w:tcBorders>
              <w:right w:val="single" w:color="000000" w:sz="6" w:space="0"/>
            </w:tcBorders>
          </w:tcPr>
          <w:p w14:paraId="5D2F1809">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en-US" w:bidi="ar-SA"/>
              </w:rPr>
            </w:pPr>
          </w:p>
        </w:tc>
        <w:tc>
          <w:tcPr>
            <w:tcW w:w="1016" w:type="dxa"/>
            <w:vMerge w:val="continue"/>
            <w:tcBorders>
              <w:left w:val="single" w:color="000000" w:sz="6" w:space="0"/>
              <w:right w:val="single" w:color="000000" w:sz="6" w:space="0"/>
            </w:tcBorders>
          </w:tcPr>
          <w:p w14:paraId="070C69A4">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en-US" w:bidi="ar-SA"/>
              </w:rPr>
            </w:pPr>
          </w:p>
        </w:tc>
        <w:tc>
          <w:tcPr>
            <w:tcW w:w="2291" w:type="dxa"/>
            <w:tcBorders>
              <w:left w:val="single" w:color="000000" w:sz="6" w:space="0"/>
              <w:right w:val="single" w:color="000000" w:sz="6" w:space="0"/>
            </w:tcBorders>
            <w:shd w:val="clear" w:color="auto" w:fill="auto"/>
            <w:vAlign w:val="center"/>
          </w:tcPr>
          <w:p w14:paraId="39EF6D15">
            <w:pPr>
              <w:keepNext w:val="0"/>
              <w:keepLines w:val="0"/>
              <w:pageBreakBefore w:val="0"/>
              <w:widowControl w:val="0"/>
              <w:kinsoku/>
              <w:wordWrap/>
              <w:overflowPunct/>
              <w:topLinePunct w:val="0"/>
              <w:autoSpaceDE w:val="0"/>
              <w:autoSpaceDN w:val="0"/>
              <w:bidi w:val="0"/>
              <w:adjustRightInd/>
              <w:snapToGrid/>
              <w:spacing w:line="288" w:lineRule="auto"/>
              <w:jc w:val="center"/>
              <w:textAlignment w:val="auto"/>
              <w:rPr>
                <w:rFonts w:hint="eastAsia" w:asciiTheme="minorEastAsia" w:hAnsiTheme="minorEastAsia" w:eastAsiaTheme="minorEastAsia" w:cstheme="minorEastAsia"/>
                <w:sz w:val="24"/>
                <w:szCs w:val="24"/>
                <w:lang w:val="en-US" w:eastAsia="zh-CN" w:bidi="ar-SA"/>
              </w:rPr>
            </w:pPr>
          </w:p>
          <w:p w14:paraId="6DD14840">
            <w:pPr>
              <w:keepNext w:val="0"/>
              <w:keepLines w:val="0"/>
              <w:pageBreakBefore w:val="0"/>
              <w:widowControl w:val="0"/>
              <w:kinsoku/>
              <w:wordWrap/>
              <w:overflowPunct/>
              <w:topLinePunct w:val="0"/>
              <w:autoSpaceDE w:val="0"/>
              <w:autoSpaceDN w:val="0"/>
              <w:bidi w:val="0"/>
              <w:adjustRightInd/>
              <w:snapToGrid/>
              <w:spacing w:line="288" w:lineRule="auto"/>
              <w:jc w:val="center"/>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项目负责人业绩</w:t>
            </w:r>
          </w:p>
          <w:p w14:paraId="551FB638">
            <w:pPr>
              <w:keepNext w:val="0"/>
              <w:keepLines w:val="0"/>
              <w:pageBreakBefore w:val="0"/>
              <w:widowControl w:val="0"/>
              <w:kinsoku/>
              <w:wordWrap/>
              <w:overflowPunct/>
              <w:topLinePunct w:val="0"/>
              <w:autoSpaceDE w:val="0"/>
              <w:autoSpaceDN w:val="0"/>
              <w:bidi w:val="0"/>
              <w:adjustRightInd/>
              <w:snapToGrid/>
              <w:spacing w:line="288" w:lineRule="auto"/>
              <w:jc w:val="center"/>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（3分）</w:t>
            </w:r>
          </w:p>
        </w:tc>
        <w:tc>
          <w:tcPr>
            <w:tcW w:w="6211" w:type="dxa"/>
            <w:tcBorders>
              <w:left w:val="single" w:color="000000" w:sz="6" w:space="0"/>
            </w:tcBorders>
            <w:shd w:val="clear" w:color="auto" w:fill="auto"/>
            <w:vAlign w:val="center"/>
          </w:tcPr>
          <w:p w14:paraId="7E85D3DC">
            <w:pPr>
              <w:keepNext w:val="0"/>
              <w:keepLines w:val="0"/>
              <w:pageBreakBefore w:val="0"/>
              <w:widowControl w:val="0"/>
              <w:kinsoku/>
              <w:wordWrap/>
              <w:overflowPunct/>
              <w:topLinePunct w:val="0"/>
              <w:autoSpaceDE w:val="0"/>
              <w:autoSpaceDN w:val="0"/>
              <w:bidi w:val="0"/>
              <w:adjustRightInd/>
              <w:snapToGrid/>
              <w:spacing w:line="240" w:lineRule="auto"/>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供应商提供近三年项目负责人承接过类似项目，每份业绩得3分，本项最高得3分。投标文件中提供中标通知书或合同的复印件或扫描件，未提供不得分；（企业业绩和项目负责人业绩不得重复）</w:t>
            </w:r>
          </w:p>
        </w:tc>
      </w:tr>
      <w:tr w14:paraId="678183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3" w:hRule="exact"/>
        </w:trPr>
        <w:tc>
          <w:tcPr>
            <w:tcW w:w="951" w:type="dxa"/>
            <w:vMerge w:val="continue"/>
            <w:tcBorders>
              <w:right w:val="single" w:color="000000" w:sz="6" w:space="0"/>
            </w:tcBorders>
          </w:tcPr>
          <w:p w14:paraId="58815C69">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en-US" w:bidi="ar-SA"/>
              </w:rPr>
            </w:pPr>
          </w:p>
        </w:tc>
        <w:tc>
          <w:tcPr>
            <w:tcW w:w="1016" w:type="dxa"/>
            <w:vMerge w:val="continue"/>
            <w:tcBorders>
              <w:left w:val="single" w:color="000000" w:sz="6" w:space="0"/>
              <w:right w:val="single" w:color="000000" w:sz="6" w:space="0"/>
            </w:tcBorders>
          </w:tcPr>
          <w:p w14:paraId="7C92814A">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en-US" w:bidi="ar-SA"/>
              </w:rPr>
            </w:pPr>
          </w:p>
        </w:tc>
        <w:tc>
          <w:tcPr>
            <w:tcW w:w="2291" w:type="dxa"/>
            <w:tcBorders>
              <w:left w:val="single" w:color="000000" w:sz="6" w:space="0"/>
              <w:right w:val="single" w:color="000000" w:sz="6" w:space="0"/>
            </w:tcBorders>
            <w:shd w:val="clear" w:color="auto" w:fill="auto"/>
            <w:vAlign w:val="center"/>
          </w:tcPr>
          <w:p w14:paraId="089C8812">
            <w:pPr>
              <w:pStyle w:val="29"/>
              <w:keepNext w:val="0"/>
              <w:keepLines w:val="0"/>
              <w:pageBreakBefore w:val="0"/>
              <w:widowControl w:val="0"/>
              <w:kinsoku/>
              <w:wordWrap/>
              <w:overflowPunct/>
              <w:topLinePunct w:val="0"/>
              <w:autoSpaceDE w:val="0"/>
              <w:autoSpaceDN w:val="0"/>
              <w:bidi w:val="0"/>
              <w:adjustRightInd/>
              <w:snapToGrid/>
              <w:spacing w:before="8" w:line="288" w:lineRule="auto"/>
              <w:jc w:val="center"/>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服务承诺</w:t>
            </w:r>
          </w:p>
          <w:p w14:paraId="0EA88551">
            <w:pPr>
              <w:pStyle w:val="29"/>
              <w:keepNext w:val="0"/>
              <w:keepLines w:val="0"/>
              <w:pageBreakBefore w:val="0"/>
              <w:widowControl w:val="0"/>
              <w:kinsoku/>
              <w:wordWrap/>
              <w:overflowPunct/>
              <w:topLinePunct w:val="0"/>
              <w:autoSpaceDE w:val="0"/>
              <w:autoSpaceDN w:val="0"/>
              <w:bidi w:val="0"/>
              <w:adjustRightInd/>
              <w:snapToGrid/>
              <w:spacing w:before="8" w:line="288" w:lineRule="auto"/>
              <w:jc w:val="center"/>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（8分）</w:t>
            </w:r>
          </w:p>
          <w:p w14:paraId="586C93F9">
            <w:pPr>
              <w:pStyle w:val="29"/>
              <w:keepNext w:val="0"/>
              <w:keepLines w:val="0"/>
              <w:pageBreakBefore w:val="0"/>
              <w:widowControl w:val="0"/>
              <w:kinsoku/>
              <w:wordWrap/>
              <w:overflowPunct/>
              <w:topLinePunct w:val="0"/>
              <w:autoSpaceDE w:val="0"/>
              <w:autoSpaceDN w:val="0"/>
              <w:bidi w:val="0"/>
              <w:adjustRightInd/>
              <w:snapToGrid/>
              <w:spacing w:before="31" w:line="288" w:lineRule="auto"/>
              <w:ind w:left="620" w:leftChars="0"/>
              <w:jc w:val="center"/>
              <w:textAlignment w:val="auto"/>
              <w:rPr>
                <w:rFonts w:hint="eastAsia" w:asciiTheme="minorEastAsia" w:hAnsiTheme="minorEastAsia" w:eastAsiaTheme="minorEastAsia" w:cstheme="minorEastAsia"/>
                <w:sz w:val="24"/>
                <w:szCs w:val="24"/>
                <w:lang w:val="en-US" w:eastAsia="zh-CN" w:bidi="ar-SA"/>
              </w:rPr>
            </w:pPr>
          </w:p>
        </w:tc>
        <w:tc>
          <w:tcPr>
            <w:tcW w:w="6211" w:type="dxa"/>
            <w:tcBorders>
              <w:left w:val="single" w:color="000000" w:sz="6" w:space="0"/>
            </w:tcBorders>
            <w:shd w:val="clear" w:color="auto" w:fill="auto"/>
            <w:vAlign w:val="center"/>
          </w:tcPr>
          <w:p w14:paraId="68E89B84">
            <w:pPr>
              <w:keepNext w:val="0"/>
              <w:keepLines w:val="0"/>
              <w:pageBreakBefore w:val="0"/>
              <w:widowControl w:val="0"/>
              <w:kinsoku/>
              <w:wordWrap/>
              <w:overflowPunct/>
              <w:topLinePunct w:val="0"/>
              <w:autoSpaceDE w:val="0"/>
              <w:autoSpaceDN w:val="0"/>
              <w:bidi w:val="0"/>
              <w:adjustRightInd/>
              <w:snapToGrid/>
              <w:spacing w:line="240" w:lineRule="auto"/>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1、供应商在项目实施完成后所承诺的责任、服务内容，并承诺如有相关文件要求下发后，无条件调整和完善工作方案、调查内容和合同，承诺内容详细全面具体可行得5分，详尽程度及可行性一般得3分，不具体可行性较差得2分，未提供不得分。</w:t>
            </w:r>
          </w:p>
          <w:p w14:paraId="49835A87">
            <w:pPr>
              <w:keepNext w:val="0"/>
              <w:keepLines w:val="0"/>
              <w:pageBreakBefore w:val="0"/>
              <w:widowControl w:val="0"/>
              <w:kinsoku/>
              <w:wordWrap/>
              <w:overflowPunct/>
              <w:topLinePunct w:val="0"/>
              <w:autoSpaceDE w:val="0"/>
              <w:autoSpaceDN w:val="0"/>
              <w:bidi w:val="0"/>
              <w:adjustRightInd/>
              <w:snapToGrid/>
              <w:spacing w:line="288" w:lineRule="auto"/>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2、供应商的其他实质性的服务承诺：全面具体，经济可行得3分，合理性和可行性一般得2分，不具体可行性较差得1分，未提供不得分。</w:t>
            </w:r>
          </w:p>
        </w:tc>
      </w:tr>
      <w:tr w14:paraId="42E4C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1" w:hRule="atLeast"/>
        </w:trPr>
        <w:tc>
          <w:tcPr>
            <w:tcW w:w="10469" w:type="dxa"/>
            <w:gridSpan w:val="4"/>
            <w:tcBorders>
              <w:bottom w:val="single" w:color="000000" w:sz="12" w:space="0"/>
            </w:tcBorders>
          </w:tcPr>
          <w:p w14:paraId="241FEBD1">
            <w:pPr>
              <w:keepNext w:val="0"/>
              <w:keepLines w:val="0"/>
              <w:pageBreakBefore w:val="0"/>
              <w:widowControl w:val="0"/>
              <w:tabs>
                <w:tab w:val="left" w:pos="9720"/>
              </w:tabs>
              <w:kinsoku/>
              <w:overflowPunct/>
              <w:topLinePunct w:val="0"/>
              <w:autoSpaceDE w:val="0"/>
              <w:autoSpaceDN w:val="0"/>
              <w:bidi w:val="0"/>
              <w:adjustRightInd/>
              <w:snapToGrid/>
              <w:spacing w:after="0" w:afterAutospacing="0" w:line="440" w:lineRule="exact"/>
              <w:rPr>
                <w:rFonts w:hint="eastAsia" w:asciiTheme="minorEastAsia" w:hAnsiTheme="minorEastAsia" w:eastAsiaTheme="minorEastAsia" w:cstheme="minorEastAsia"/>
                <w:b/>
                <w:bCs/>
                <w:sz w:val="24"/>
                <w:szCs w:val="24"/>
                <w:lang w:val="en-US" w:eastAsia="zh-CN" w:bidi="ar-SA"/>
              </w:rPr>
            </w:pPr>
            <w:r>
              <w:rPr>
                <w:rFonts w:hint="eastAsia" w:asciiTheme="minorEastAsia" w:hAnsiTheme="minorEastAsia" w:eastAsiaTheme="minorEastAsia" w:cstheme="minorEastAsia"/>
                <w:b/>
                <w:bCs/>
                <w:sz w:val="24"/>
                <w:szCs w:val="24"/>
                <w:lang w:val="en-US" w:eastAsia="zh-CN" w:bidi="ar-SA"/>
              </w:rPr>
              <w:t xml:space="preserve">注：1、以上加分项须提供相对应的证明材料（如各类证书、证件、合同等）文件中须附加盖公章的扫描复印件 </w:t>
            </w:r>
          </w:p>
          <w:p w14:paraId="7F949481">
            <w:pPr>
              <w:keepNext w:val="0"/>
              <w:keepLines w:val="0"/>
              <w:pageBreakBefore w:val="0"/>
              <w:widowControl w:val="0"/>
              <w:tabs>
                <w:tab w:val="left" w:pos="9720"/>
              </w:tabs>
              <w:kinsoku/>
              <w:overflowPunct/>
              <w:topLinePunct w:val="0"/>
              <w:autoSpaceDE w:val="0"/>
              <w:autoSpaceDN w:val="0"/>
              <w:bidi w:val="0"/>
              <w:adjustRightInd/>
              <w:snapToGrid/>
              <w:spacing w:after="0" w:afterAutospacing="0" w:line="440" w:lineRule="exact"/>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b/>
                <w:bCs/>
                <w:color w:val="auto"/>
                <w:sz w:val="24"/>
                <w:szCs w:val="24"/>
              </w:rPr>
              <w:t>2、评标开始后，不再接受任何补充材料。</w:t>
            </w:r>
          </w:p>
        </w:tc>
      </w:tr>
    </w:tbl>
    <w:p w14:paraId="58E69518">
      <w:pPr>
        <w:pStyle w:val="5"/>
        <w:tabs>
          <w:tab w:val="left" w:pos="1704"/>
        </w:tabs>
        <w:spacing w:line="360" w:lineRule="auto"/>
        <w:ind w:left="482" w:firstLine="0"/>
        <w:rPr>
          <w:rFonts w:hint="eastAsia"/>
          <w:lang w:eastAsia="zh-CN"/>
        </w:rPr>
      </w:pPr>
    </w:p>
    <w:p w14:paraId="46F70B01">
      <w:pPr>
        <w:pStyle w:val="5"/>
        <w:tabs>
          <w:tab w:val="left" w:pos="1704"/>
        </w:tabs>
        <w:spacing w:line="360" w:lineRule="auto"/>
        <w:ind w:left="482" w:firstLine="0"/>
        <w:rPr>
          <w:rFonts w:hint="eastAsia"/>
          <w:lang w:eastAsia="zh-CN"/>
        </w:rPr>
      </w:pPr>
    </w:p>
    <w:p w14:paraId="40378361">
      <w:pPr>
        <w:pStyle w:val="5"/>
        <w:tabs>
          <w:tab w:val="left" w:pos="1704"/>
        </w:tabs>
        <w:spacing w:line="360" w:lineRule="auto"/>
        <w:ind w:left="482" w:firstLine="0"/>
      </w:pPr>
      <w:r>
        <w:rPr>
          <w:rFonts w:hint="eastAsia"/>
          <w:lang w:eastAsia="zh-CN"/>
        </w:rPr>
        <w:t>1</w:t>
      </w:r>
      <w:r>
        <w:rPr>
          <w:lang w:eastAsia="zh-CN"/>
        </w:rPr>
        <w:t>.</w:t>
      </w:r>
      <w:r>
        <w:t>评标方法</w:t>
      </w:r>
    </w:p>
    <w:p w14:paraId="09A6AA63">
      <w:pPr>
        <w:pStyle w:val="6"/>
        <w:spacing w:line="360" w:lineRule="auto"/>
        <w:ind w:left="0" w:firstLine="480" w:firstLineChars="200"/>
        <w:rPr>
          <w:lang w:eastAsia="zh-CN"/>
        </w:rPr>
      </w:pPr>
      <w:r>
        <w:rPr>
          <w:lang w:eastAsia="zh-CN"/>
        </w:rPr>
        <w:t>本次评标先进行资格审查。通过资格审查的单位进行下一步的综合得分评审。形式评审、资格评审、响应性评审未合格的按无效标处理。</w:t>
      </w:r>
    </w:p>
    <w:p w14:paraId="44722646">
      <w:pPr>
        <w:spacing w:line="360" w:lineRule="auto"/>
        <w:ind w:firstLine="480" w:firstLineChars="200"/>
        <w:jc w:val="both"/>
        <w:rPr>
          <w:sz w:val="24"/>
          <w:lang w:eastAsia="zh-CN"/>
        </w:rPr>
      </w:pPr>
      <w:r>
        <w:rPr>
          <w:sz w:val="24"/>
          <w:lang w:eastAsia="zh-CN"/>
        </w:rPr>
        <w:t>本次评标采用综合评</w:t>
      </w:r>
      <w:r>
        <w:rPr>
          <w:rFonts w:hint="eastAsia"/>
          <w:sz w:val="24"/>
          <w:lang w:val="en-US" w:eastAsia="zh-CN"/>
        </w:rPr>
        <w:t>分</w:t>
      </w:r>
      <w:r>
        <w:rPr>
          <w:sz w:val="24"/>
          <w:lang w:eastAsia="zh-CN"/>
        </w:rPr>
        <w:t>法。竞争性磋商小组对满足磋商文件实质性要求的响应文件，按照</w:t>
      </w:r>
      <w:r>
        <w:rPr>
          <w:rFonts w:hint="eastAsia"/>
          <w:sz w:val="24"/>
          <w:lang w:val="en-US" w:eastAsia="zh-CN"/>
        </w:rPr>
        <w:t>本章评标办法</w:t>
      </w:r>
      <w:r>
        <w:rPr>
          <w:sz w:val="24"/>
          <w:lang w:eastAsia="zh-CN"/>
        </w:rPr>
        <w:t>规定的评分标准进行打分，并按得分由高到低顺序推荐成交候选人，或根据采购人授权直接确定成交供应商，但报价低于国家规定的除外。</w:t>
      </w:r>
      <w:r>
        <w:rPr>
          <w:b/>
          <w:sz w:val="24"/>
          <w:lang w:eastAsia="zh-CN"/>
        </w:rPr>
        <w:t>最终评分相等时，以最终报价低的优先；最终报价也相等的，由采购人自行确定</w:t>
      </w:r>
      <w:r>
        <w:rPr>
          <w:sz w:val="24"/>
          <w:lang w:eastAsia="zh-CN"/>
        </w:rPr>
        <w:t>。</w:t>
      </w:r>
    </w:p>
    <w:p w14:paraId="0C8AE88C">
      <w:pPr>
        <w:pStyle w:val="5"/>
        <w:tabs>
          <w:tab w:val="left" w:pos="1823"/>
        </w:tabs>
        <w:spacing w:line="360" w:lineRule="auto"/>
        <w:ind w:left="482" w:firstLine="0"/>
        <w:rPr>
          <w:lang w:eastAsia="zh-CN"/>
        </w:rPr>
      </w:pPr>
      <w:r>
        <w:rPr>
          <w:rFonts w:hint="eastAsia"/>
          <w:lang w:eastAsia="zh-CN"/>
        </w:rPr>
        <w:t>2</w:t>
      </w:r>
      <w:r>
        <w:rPr>
          <w:lang w:eastAsia="zh-CN"/>
        </w:rPr>
        <w:t>.评审标准</w:t>
      </w:r>
    </w:p>
    <w:p w14:paraId="4816BA30">
      <w:pPr>
        <w:pStyle w:val="5"/>
        <w:tabs>
          <w:tab w:val="left" w:pos="1943"/>
        </w:tabs>
        <w:spacing w:line="360" w:lineRule="auto"/>
        <w:ind w:left="482" w:firstLine="0"/>
        <w:rPr>
          <w:lang w:eastAsia="zh-CN"/>
        </w:rPr>
      </w:pPr>
      <w:r>
        <w:rPr>
          <w:rFonts w:hint="eastAsia"/>
          <w:lang w:eastAsia="zh-CN"/>
        </w:rPr>
        <w:t>2</w:t>
      </w:r>
      <w:r>
        <w:rPr>
          <w:lang w:eastAsia="zh-CN"/>
        </w:rPr>
        <w:t>.1 初步评审标准</w:t>
      </w:r>
    </w:p>
    <w:p w14:paraId="74976EBD">
      <w:pPr>
        <w:pStyle w:val="28"/>
        <w:tabs>
          <w:tab w:val="left" w:pos="2180"/>
        </w:tabs>
        <w:spacing w:line="360" w:lineRule="auto"/>
        <w:ind w:left="480" w:firstLine="0"/>
        <w:rPr>
          <w:sz w:val="24"/>
          <w:lang w:eastAsia="zh-CN"/>
        </w:rPr>
      </w:pPr>
      <w:r>
        <w:rPr>
          <w:rFonts w:hint="eastAsia"/>
          <w:sz w:val="24"/>
          <w:lang w:eastAsia="zh-CN"/>
        </w:rPr>
        <w:t>2</w:t>
      </w:r>
      <w:r>
        <w:rPr>
          <w:sz w:val="24"/>
          <w:lang w:eastAsia="zh-CN"/>
        </w:rPr>
        <w:t>.1.1形式评审标准：见评标办法前附表。</w:t>
      </w:r>
    </w:p>
    <w:p w14:paraId="0516408A">
      <w:pPr>
        <w:pStyle w:val="28"/>
        <w:tabs>
          <w:tab w:val="left" w:pos="2180"/>
        </w:tabs>
        <w:spacing w:line="360" w:lineRule="auto"/>
        <w:ind w:left="480" w:firstLine="0"/>
        <w:rPr>
          <w:sz w:val="24"/>
          <w:lang w:eastAsia="zh-CN"/>
        </w:rPr>
      </w:pPr>
      <w:r>
        <w:rPr>
          <w:sz w:val="24"/>
          <w:lang w:eastAsia="zh-CN"/>
        </w:rPr>
        <w:t>2.1.2资格评审标准：见评标办法前附表。</w:t>
      </w:r>
    </w:p>
    <w:p w14:paraId="1184F1FE">
      <w:pPr>
        <w:pStyle w:val="28"/>
        <w:tabs>
          <w:tab w:val="left" w:pos="2180"/>
        </w:tabs>
        <w:spacing w:line="360" w:lineRule="auto"/>
        <w:ind w:left="480" w:firstLine="0"/>
        <w:rPr>
          <w:sz w:val="24"/>
          <w:lang w:eastAsia="zh-CN"/>
        </w:rPr>
      </w:pPr>
      <w:r>
        <w:rPr>
          <w:sz w:val="24"/>
          <w:lang w:eastAsia="zh-CN"/>
        </w:rPr>
        <w:t>2.1.3响应性评审标准：见评标办法前附表。</w:t>
      </w:r>
    </w:p>
    <w:p w14:paraId="50625348">
      <w:pPr>
        <w:pStyle w:val="5"/>
        <w:tabs>
          <w:tab w:val="left" w:pos="1943"/>
        </w:tabs>
        <w:spacing w:line="360" w:lineRule="auto"/>
        <w:ind w:left="482" w:firstLine="0"/>
        <w:rPr>
          <w:lang w:eastAsia="zh-CN"/>
        </w:rPr>
      </w:pPr>
      <w:r>
        <w:rPr>
          <w:rFonts w:hint="eastAsia"/>
          <w:lang w:eastAsia="zh-CN"/>
        </w:rPr>
        <w:t>2</w:t>
      </w:r>
      <w:r>
        <w:rPr>
          <w:lang w:eastAsia="zh-CN"/>
        </w:rPr>
        <w:t>.2 分值构成与评分标准</w:t>
      </w:r>
    </w:p>
    <w:p w14:paraId="22068895">
      <w:pPr>
        <w:pStyle w:val="5"/>
        <w:tabs>
          <w:tab w:val="left" w:pos="2185"/>
        </w:tabs>
        <w:spacing w:line="360" w:lineRule="auto"/>
        <w:ind w:left="482" w:firstLine="0"/>
        <w:rPr>
          <w:lang w:eastAsia="zh-CN"/>
        </w:rPr>
      </w:pPr>
      <w:r>
        <w:rPr>
          <w:rFonts w:hint="eastAsia"/>
          <w:lang w:eastAsia="zh-CN"/>
        </w:rPr>
        <w:t>2</w:t>
      </w:r>
      <w:r>
        <w:rPr>
          <w:lang w:eastAsia="zh-CN"/>
        </w:rPr>
        <w:t>.2.1分值构成</w:t>
      </w:r>
    </w:p>
    <w:p w14:paraId="0CCE05C8">
      <w:pPr>
        <w:pStyle w:val="28"/>
        <w:tabs>
          <w:tab w:val="left" w:pos="2061"/>
        </w:tabs>
        <w:spacing w:line="360" w:lineRule="auto"/>
        <w:ind w:left="480" w:firstLine="0"/>
        <w:rPr>
          <w:sz w:val="24"/>
          <w:lang w:eastAsia="zh-CN"/>
        </w:rPr>
      </w:pPr>
      <w:r>
        <w:rPr>
          <w:rFonts w:hint="eastAsia"/>
          <w:sz w:val="24"/>
          <w:lang w:eastAsia="zh-CN"/>
        </w:rPr>
        <w:t>（1）</w:t>
      </w:r>
      <w:r>
        <w:rPr>
          <w:sz w:val="24"/>
          <w:lang w:eastAsia="zh-CN"/>
        </w:rPr>
        <w:t>报价部分：见评标办法前附表；</w:t>
      </w:r>
    </w:p>
    <w:p w14:paraId="6D4AECC0">
      <w:pPr>
        <w:pStyle w:val="28"/>
        <w:tabs>
          <w:tab w:val="left" w:pos="2061"/>
        </w:tabs>
        <w:spacing w:line="360" w:lineRule="auto"/>
        <w:ind w:left="480" w:firstLine="0"/>
        <w:rPr>
          <w:sz w:val="24"/>
          <w:lang w:eastAsia="zh-CN"/>
        </w:rPr>
      </w:pPr>
      <w:r>
        <w:rPr>
          <w:rFonts w:hint="eastAsia"/>
          <w:sz w:val="24"/>
          <w:lang w:eastAsia="zh-CN"/>
        </w:rPr>
        <w:t>（2）</w:t>
      </w:r>
      <w:r>
        <w:rPr>
          <w:rFonts w:hint="eastAsia"/>
          <w:sz w:val="24"/>
          <w:lang w:val="en-US" w:eastAsia="zh-CN"/>
        </w:rPr>
        <w:t>技术</w:t>
      </w:r>
      <w:r>
        <w:rPr>
          <w:sz w:val="24"/>
          <w:lang w:eastAsia="zh-CN"/>
        </w:rPr>
        <w:t>部分：见评标办法前附表；</w:t>
      </w:r>
    </w:p>
    <w:p w14:paraId="438B83E1">
      <w:pPr>
        <w:pStyle w:val="5"/>
        <w:spacing w:line="360" w:lineRule="auto"/>
        <w:ind w:left="0" w:firstLine="472" w:firstLineChars="200"/>
        <w:rPr>
          <w:rFonts w:ascii="宋体" w:hAnsi="宋体" w:eastAsia="宋体" w:cs="宋体"/>
          <w:b w:val="0"/>
          <w:bCs w:val="0"/>
          <w:spacing w:val="-2"/>
          <w:sz w:val="24"/>
          <w:szCs w:val="22"/>
          <w:lang w:val="en-US" w:eastAsia="zh-CN" w:bidi="ar-SA"/>
        </w:rPr>
      </w:pPr>
      <w:r>
        <w:rPr>
          <w:rFonts w:hint="eastAsia" w:ascii="宋体" w:hAnsi="宋体" w:eastAsia="宋体" w:cs="宋体"/>
          <w:b w:val="0"/>
          <w:bCs w:val="0"/>
          <w:spacing w:val="-2"/>
          <w:sz w:val="24"/>
          <w:szCs w:val="22"/>
          <w:lang w:val="en-US" w:eastAsia="zh-CN" w:bidi="ar-SA"/>
        </w:rPr>
        <w:t>（3）</w:t>
      </w:r>
      <w:r>
        <w:rPr>
          <w:rFonts w:ascii="宋体" w:hAnsi="宋体" w:eastAsia="宋体" w:cs="宋体"/>
          <w:b w:val="0"/>
          <w:bCs w:val="0"/>
          <w:spacing w:val="-2"/>
          <w:sz w:val="24"/>
          <w:szCs w:val="22"/>
          <w:lang w:val="en-US" w:eastAsia="zh-CN" w:bidi="ar-SA"/>
        </w:rPr>
        <w:t>综合部分：见评标办法前附表；</w:t>
      </w:r>
    </w:p>
    <w:p w14:paraId="4660EEF7">
      <w:pPr>
        <w:pStyle w:val="5"/>
        <w:spacing w:line="360" w:lineRule="auto"/>
        <w:ind w:left="0" w:firstLine="482" w:firstLineChars="200"/>
        <w:rPr>
          <w:lang w:eastAsia="zh-CN"/>
        </w:rPr>
      </w:pPr>
      <w:r>
        <w:rPr>
          <w:lang w:eastAsia="zh-CN"/>
        </w:rPr>
        <w:t>2.2.4 评分标准</w:t>
      </w:r>
    </w:p>
    <w:p w14:paraId="5A59FDFE">
      <w:pPr>
        <w:pStyle w:val="28"/>
        <w:tabs>
          <w:tab w:val="left" w:pos="2061"/>
        </w:tabs>
        <w:spacing w:line="360" w:lineRule="auto"/>
        <w:ind w:left="480" w:firstLine="0"/>
        <w:rPr>
          <w:sz w:val="24"/>
          <w:lang w:eastAsia="zh-CN"/>
        </w:rPr>
      </w:pPr>
      <w:r>
        <w:rPr>
          <w:rFonts w:hint="eastAsia"/>
          <w:sz w:val="24"/>
          <w:lang w:eastAsia="zh-CN"/>
        </w:rPr>
        <w:t>（1）</w:t>
      </w:r>
      <w:r>
        <w:rPr>
          <w:sz w:val="24"/>
          <w:lang w:eastAsia="zh-CN"/>
        </w:rPr>
        <w:t>报价部分：见评标办法前附表；</w:t>
      </w:r>
    </w:p>
    <w:p w14:paraId="185C3897">
      <w:pPr>
        <w:pStyle w:val="28"/>
        <w:tabs>
          <w:tab w:val="left" w:pos="2061"/>
        </w:tabs>
        <w:spacing w:line="360" w:lineRule="auto"/>
        <w:ind w:left="480" w:firstLine="0"/>
        <w:rPr>
          <w:sz w:val="24"/>
          <w:lang w:eastAsia="zh-CN"/>
        </w:rPr>
      </w:pPr>
      <w:r>
        <w:rPr>
          <w:rFonts w:hint="eastAsia"/>
          <w:sz w:val="24"/>
          <w:lang w:eastAsia="zh-CN"/>
        </w:rPr>
        <w:t>（2）</w:t>
      </w:r>
      <w:r>
        <w:rPr>
          <w:rFonts w:hint="eastAsia"/>
          <w:sz w:val="24"/>
          <w:lang w:val="en-US" w:eastAsia="zh-CN"/>
        </w:rPr>
        <w:t>技术</w:t>
      </w:r>
      <w:r>
        <w:rPr>
          <w:sz w:val="24"/>
          <w:lang w:eastAsia="zh-CN"/>
        </w:rPr>
        <w:t>部分：见评标办法前附表；</w:t>
      </w:r>
    </w:p>
    <w:p w14:paraId="617DC508">
      <w:pPr>
        <w:pStyle w:val="28"/>
        <w:tabs>
          <w:tab w:val="left" w:pos="2061"/>
        </w:tabs>
        <w:spacing w:line="360" w:lineRule="auto"/>
        <w:ind w:left="476" w:firstLine="0"/>
        <w:rPr>
          <w:spacing w:val="-2"/>
          <w:sz w:val="24"/>
          <w:lang w:eastAsia="zh-CN"/>
        </w:rPr>
      </w:pPr>
      <w:r>
        <w:rPr>
          <w:rFonts w:hint="eastAsia"/>
          <w:spacing w:val="-2"/>
          <w:sz w:val="24"/>
          <w:lang w:eastAsia="zh-CN"/>
        </w:rPr>
        <w:t>（3）</w:t>
      </w:r>
      <w:r>
        <w:rPr>
          <w:sz w:val="24"/>
          <w:lang w:eastAsia="zh-CN"/>
        </w:rPr>
        <w:t>综合</w:t>
      </w:r>
      <w:r>
        <w:rPr>
          <w:spacing w:val="-2"/>
          <w:sz w:val="24"/>
          <w:lang w:eastAsia="zh-CN"/>
        </w:rPr>
        <w:t xml:space="preserve">部分：见评标办法前附表； </w:t>
      </w:r>
    </w:p>
    <w:p w14:paraId="427CE3A9">
      <w:pPr>
        <w:pStyle w:val="28"/>
        <w:tabs>
          <w:tab w:val="left" w:pos="2061"/>
        </w:tabs>
        <w:spacing w:line="360" w:lineRule="auto"/>
        <w:ind w:left="476" w:firstLine="0"/>
        <w:rPr>
          <w:b/>
          <w:sz w:val="24"/>
          <w:lang w:eastAsia="zh-CN"/>
        </w:rPr>
      </w:pPr>
      <w:r>
        <w:rPr>
          <w:b/>
          <w:sz w:val="24"/>
          <w:lang w:eastAsia="zh-CN"/>
        </w:rPr>
        <w:t>3.评标程序</w:t>
      </w:r>
    </w:p>
    <w:p w14:paraId="09AECE05">
      <w:pPr>
        <w:pStyle w:val="5"/>
        <w:tabs>
          <w:tab w:val="left" w:pos="1943"/>
        </w:tabs>
        <w:spacing w:line="360" w:lineRule="auto"/>
        <w:ind w:left="482" w:firstLine="0"/>
        <w:rPr>
          <w:lang w:eastAsia="zh-CN"/>
        </w:rPr>
      </w:pPr>
      <w:r>
        <w:rPr>
          <w:rFonts w:hint="eastAsia"/>
          <w:lang w:eastAsia="zh-CN"/>
        </w:rPr>
        <w:t>3</w:t>
      </w:r>
      <w:r>
        <w:rPr>
          <w:lang w:eastAsia="zh-CN"/>
        </w:rPr>
        <w:t>.1 初步评审</w:t>
      </w:r>
    </w:p>
    <w:p w14:paraId="375E27BC">
      <w:pPr>
        <w:pStyle w:val="28"/>
        <w:tabs>
          <w:tab w:val="left" w:pos="2123"/>
        </w:tabs>
        <w:spacing w:line="360" w:lineRule="auto"/>
        <w:ind w:left="482" w:firstLine="0"/>
        <w:rPr>
          <w:sz w:val="24"/>
          <w:lang w:eastAsia="zh-CN"/>
        </w:rPr>
      </w:pPr>
      <w:r>
        <w:rPr>
          <w:rFonts w:hint="eastAsia"/>
          <w:spacing w:val="1"/>
          <w:sz w:val="24"/>
          <w:lang w:eastAsia="zh-CN"/>
        </w:rPr>
        <w:t>3</w:t>
      </w:r>
      <w:r>
        <w:rPr>
          <w:spacing w:val="1"/>
          <w:sz w:val="24"/>
          <w:lang w:eastAsia="zh-CN"/>
        </w:rPr>
        <w:t xml:space="preserve">.1.1竞争性磋商小组依据本章第 </w:t>
      </w:r>
      <w:r>
        <w:rPr>
          <w:rFonts w:hint="eastAsia"/>
          <w:spacing w:val="1"/>
          <w:sz w:val="24"/>
          <w:lang w:val="en-US" w:eastAsia="zh-CN"/>
        </w:rPr>
        <w:t>1.1.1、1.1.2、1.1.3</w:t>
      </w:r>
      <w:r>
        <w:rPr>
          <w:spacing w:val="-5"/>
          <w:sz w:val="24"/>
          <w:lang w:eastAsia="zh-CN"/>
        </w:rPr>
        <w:t>项规定的评审标准对响应文件进行初步评审。有一项不符合评审标准的，作废标处理。</w:t>
      </w:r>
    </w:p>
    <w:p w14:paraId="3D78DBEC">
      <w:pPr>
        <w:pStyle w:val="28"/>
        <w:tabs>
          <w:tab w:val="left" w:pos="2180"/>
        </w:tabs>
        <w:spacing w:line="360" w:lineRule="auto"/>
        <w:ind w:left="480" w:firstLine="0"/>
        <w:rPr>
          <w:sz w:val="24"/>
          <w:lang w:eastAsia="zh-CN"/>
        </w:rPr>
      </w:pPr>
      <w:r>
        <w:rPr>
          <w:sz w:val="24"/>
          <w:lang w:eastAsia="zh-CN"/>
        </w:rPr>
        <w:t>3.1.2供应商有以下情形之一的，其投标作废标处理：</w:t>
      </w:r>
    </w:p>
    <w:p w14:paraId="0DE83774">
      <w:pPr>
        <w:pStyle w:val="28"/>
        <w:tabs>
          <w:tab w:val="left" w:pos="2061"/>
        </w:tabs>
        <w:spacing w:line="360" w:lineRule="auto"/>
        <w:ind w:left="480" w:firstLine="0"/>
        <w:rPr>
          <w:sz w:val="24"/>
          <w:lang w:eastAsia="zh-CN"/>
        </w:rPr>
      </w:pPr>
      <w:r>
        <w:rPr>
          <w:rFonts w:hint="eastAsia"/>
          <w:sz w:val="24"/>
          <w:lang w:eastAsia="zh-CN"/>
        </w:rPr>
        <w:t>（1）</w:t>
      </w:r>
      <w:r>
        <w:rPr>
          <w:sz w:val="24"/>
          <w:lang w:eastAsia="zh-CN"/>
        </w:rPr>
        <w:t>串通投标或弄虚作假或有其他违法行为的；</w:t>
      </w:r>
    </w:p>
    <w:p w14:paraId="7392E516">
      <w:pPr>
        <w:pStyle w:val="28"/>
        <w:tabs>
          <w:tab w:val="left" w:pos="2061"/>
        </w:tabs>
        <w:spacing w:line="360" w:lineRule="auto"/>
        <w:ind w:left="480" w:firstLine="0"/>
        <w:rPr>
          <w:sz w:val="24"/>
          <w:lang w:eastAsia="zh-CN"/>
        </w:rPr>
      </w:pPr>
      <w:r>
        <w:rPr>
          <w:rFonts w:hint="eastAsia"/>
          <w:sz w:val="24"/>
          <w:lang w:eastAsia="zh-CN"/>
        </w:rPr>
        <w:t>（2）</w:t>
      </w:r>
      <w:r>
        <w:rPr>
          <w:sz w:val="24"/>
          <w:lang w:eastAsia="zh-CN"/>
        </w:rPr>
        <w:t>不按竞争性磋商小组要求澄清、说明或补正的。</w:t>
      </w:r>
    </w:p>
    <w:p w14:paraId="2CC8A778">
      <w:pPr>
        <w:pStyle w:val="28"/>
        <w:tabs>
          <w:tab w:val="left" w:pos="2120"/>
        </w:tabs>
        <w:spacing w:line="360" w:lineRule="auto"/>
        <w:ind w:left="466" w:firstLine="0"/>
        <w:rPr>
          <w:rFonts w:ascii="宋体" w:hAnsi="宋体" w:eastAsia="宋体" w:cs="宋体"/>
          <w:sz w:val="24"/>
          <w:szCs w:val="24"/>
          <w:lang w:val="en-US" w:eastAsia="zh-CN" w:bidi="ar-SA"/>
        </w:rPr>
      </w:pPr>
      <w:r>
        <w:rPr>
          <w:spacing w:val="-7"/>
          <w:sz w:val="24"/>
          <w:lang w:eastAsia="zh-CN"/>
        </w:rPr>
        <w:t>3.1.3投标报价有算术错误的，竞争性磋商小组按以下原则对报价进行修正</w:t>
      </w:r>
      <w:r>
        <w:rPr>
          <w:rFonts w:hint="eastAsia"/>
          <w:spacing w:val="-7"/>
          <w:sz w:val="24"/>
          <w:lang w:eastAsia="zh-CN"/>
        </w:rPr>
        <w:t>，</w:t>
      </w:r>
      <w:r>
        <w:rPr>
          <w:lang w:eastAsia="zh-CN"/>
        </w:rPr>
        <w:t>修正的价格经</w:t>
      </w:r>
      <w:r>
        <w:rPr>
          <w:rFonts w:ascii="宋体" w:hAnsi="宋体" w:eastAsia="宋体" w:cs="宋体"/>
          <w:sz w:val="24"/>
          <w:szCs w:val="24"/>
          <w:lang w:val="en-US" w:eastAsia="zh-CN" w:bidi="ar-SA"/>
        </w:rPr>
        <w:t>供应商书面确认后具有约束力。供应商不接受修正价格的，其投标作废标处理。响应文件中填报的投标报价、服务周期、质量目标前后不一致时，以磋商响应书中填报的相应内容为准。</w:t>
      </w:r>
    </w:p>
    <w:p w14:paraId="259BCFAD">
      <w:pPr>
        <w:pStyle w:val="6"/>
        <w:spacing w:line="360" w:lineRule="auto"/>
        <w:ind w:left="0" w:firstLine="480" w:firstLineChars="200"/>
        <w:rPr>
          <w:lang w:eastAsia="zh-CN"/>
        </w:rPr>
      </w:pPr>
      <w:r>
        <w:rPr>
          <w:lang w:eastAsia="zh-CN"/>
        </w:rPr>
        <w:t xml:space="preserve">(1）响应文件中的大写金额与小写金额不一致的，以大写金额为准； </w:t>
      </w:r>
    </w:p>
    <w:p w14:paraId="226A46AB">
      <w:pPr>
        <w:pStyle w:val="6"/>
        <w:spacing w:line="360" w:lineRule="auto"/>
        <w:ind w:left="0" w:firstLine="488" w:firstLineChars="200"/>
        <w:rPr>
          <w:lang w:eastAsia="zh-CN"/>
        </w:rPr>
      </w:pPr>
      <w:r>
        <w:rPr>
          <w:spacing w:val="2"/>
          <w:lang w:eastAsia="zh-CN"/>
        </w:rPr>
        <w:t>(2）</w:t>
      </w:r>
      <w:r>
        <w:rPr>
          <w:lang w:eastAsia="zh-CN"/>
        </w:rPr>
        <w:t>总价金额与依据单价计算出的结果不一致的，以单价金额为准修正总价，但单价金额小数点有明显错误的除外。</w:t>
      </w:r>
    </w:p>
    <w:p w14:paraId="621FFF1F">
      <w:pPr>
        <w:pStyle w:val="5"/>
        <w:tabs>
          <w:tab w:val="left" w:pos="1943"/>
        </w:tabs>
        <w:spacing w:line="360" w:lineRule="auto"/>
        <w:ind w:left="482" w:firstLine="0"/>
        <w:rPr>
          <w:lang w:eastAsia="zh-CN"/>
        </w:rPr>
      </w:pPr>
      <w:r>
        <w:rPr>
          <w:rFonts w:hint="eastAsia"/>
          <w:lang w:eastAsia="zh-CN"/>
        </w:rPr>
        <w:t>3</w:t>
      </w:r>
      <w:r>
        <w:rPr>
          <w:lang w:eastAsia="zh-CN"/>
        </w:rPr>
        <w:t>.2 详细评审</w:t>
      </w:r>
    </w:p>
    <w:p w14:paraId="5480C454">
      <w:pPr>
        <w:pStyle w:val="28"/>
        <w:tabs>
          <w:tab w:val="left" w:pos="2180"/>
        </w:tabs>
        <w:spacing w:line="360" w:lineRule="auto"/>
        <w:ind w:left="484" w:firstLine="0"/>
        <w:rPr>
          <w:b/>
          <w:sz w:val="24"/>
          <w:lang w:eastAsia="zh-CN"/>
        </w:rPr>
      </w:pPr>
      <w:r>
        <w:rPr>
          <w:rFonts w:hint="eastAsia"/>
          <w:spacing w:val="2"/>
          <w:sz w:val="24"/>
          <w:lang w:eastAsia="zh-CN"/>
        </w:rPr>
        <w:t>3</w:t>
      </w:r>
      <w:r>
        <w:rPr>
          <w:spacing w:val="2"/>
          <w:sz w:val="24"/>
          <w:lang w:eastAsia="zh-CN"/>
        </w:rPr>
        <w:t xml:space="preserve">.2.1 竞争性磋商小组按本章第 </w:t>
      </w:r>
      <w:r>
        <w:rPr>
          <w:sz w:val="24"/>
          <w:lang w:eastAsia="zh-CN"/>
        </w:rPr>
        <w:t>2.</w:t>
      </w:r>
      <w:r>
        <w:rPr>
          <w:rFonts w:hint="eastAsia"/>
          <w:sz w:val="24"/>
          <w:lang w:val="en-US" w:eastAsia="zh-CN"/>
        </w:rPr>
        <w:t>1.1、2.1.2、2.1.3</w:t>
      </w:r>
      <w:r>
        <w:rPr>
          <w:spacing w:val="-7"/>
          <w:sz w:val="24"/>
          <w:lang w:eastAsia="zh-CN"/>
        </w:rPr>
        <w:t xml:space="preserve"> </w:t>
      </w:r>
      <w:r>
        <w:rPr>
          <w:rFonts w:hint="eastAsia"/>
          <w:spacing w:val="-7"/>
          <w:sz w:val="24"/>
          <w:lang w:val="en-US" w:eastAsia="zh-CN"/>
        </w:rPr>
        <w:t>项</w:t>
      </w:r>
      <w:r>
        <w:rPr>
          <w:spacing w:val="-7"/>
          <w:sz w:val="24"/>
          <w:lang w:eastAsia="zh-CN"/>
        </w:rPr>
        <w:t>规定的量化因素和分值进行打分， 并计算出综合评估得分。</w:t>
      </w:r>
      <w:r>
        <w:rPr>
          <w:b/>
          <w:spacing w:val="-7"/>
          <w:sz w:val="24"/>
          <w:lang w:eastAsia="zh-CN"/>
        </w:rPr>
        <w:t>每个供应商最终得分为各评委打分的算术平均值。</w:t>
      </w:r>
    </w:p>
    <w:p w14:paraId="78CDCEA9">
      <w:pPr>
        <w:pStyle w:val="6"/>
        <w:spacing w:line="360" w:lineRule="auto"/>
        <w:ind w:left="0" w:firstLine="396" w:firstLineChars="200"/>
        <w:jc w:val="both"/>
        <w:rPr>
          <w:spacing w:val="-9"/>
          <w:lang w:eastAsia="zh-CN"/>
        </w:rPr>
      </w:pPr>
      <w:r>
        <w:rPr>
          <w:spacing w:val="-21"/>
          <w:lang w:eastAsia="zh-CN"/>
        </w:rPr>
        <w:t>(1）</w:t>
      </w:r>
      <w:r>
        <w:rPr>
          <w:spacing w:val="-12"/>
          <w:lang w:eastAsia="zh-CN"/>
        </w:rPr>
        <w:t xml:space="preserve">按本章第 </w:t>
      </w:r>
      <w:r>
        <w:rPr>
          <w:spacing w:val="-9"/>
          <w:lang w:eastAsia="zh-CN"/>
        </w:rPr>
        <w:t>2.</w:t>
      </w:r>
      <w:r>
        <w:rPr>
          <w:rFonts w:hint="eastAsia"/>
          <w:spacing w:val="-9"/>
          <w:lang w:val="en-US" w:eastAsia="zh-CN"/>
        </w:rPr>
        <w:t>1</w:t>
      </w:r>
      <w:r>
        <w:rPr>
          <w:spacing w:val="-9"/>
          <w:lang w:eastAsia="zh-CN"/>
        </w:rPr>
        <w:t>.</w:t>
      </w:r>
      <w:r>
        <w:rPr>
          <w:rFonts w:hint="eastAsia"/>
          <w:spacing w:val="-9"/>
          <w:lang w:val="en-US" w:eastAsia="zh-CN"/>
        </w:rPr>
        <w:t>1</w:t>
      </w:r>
      <w:r>
        <w:rPr>
          <w:spacing w:val="-3"/>
          <w:lang w:eastAsia="zh-CN"/>
        </w:rPr>
        <w:t xml:space="preserve">规定的评审因素和分值对报价部分计算出得分 </w:t>
      </w:r>
      <w:r>
        <w:rPr>
          <w:spacing w:val="-9"/>
          <w:lang w:eastAsia="zh-CN"/>
        </w:rPr>
        <w:t>A；</w:t>
      </w:r>
    </w:p>
    <w:p w14:paraId="084E5797">
      <w:pPr>
        <w:pStyle w:val="6"/>
        <w:spacing w:line="360" w:lineRule="auto"/>
        <w:ind w:left="0" w:firstLine="396" w:firstLineChars="200"/>
        <w:jc w:val="both"/>
        <w:rPr>
          <w:spacing w:val="-9"/>
          <w:lang w:eastAsia="zh-CN"/>
        </w:rPr>
      </w:pPr>
      <w:r>
        <w:rPr>
          <w:spacing w:val="-21"/>
          <w:lang w:eastAsia="zh-CN"/>
        </w:rPr>
        <w:t>(2）</w:t>
      </w:r>
      <w:r>
        <w:rPr>
          <w:spacing w:val="-12"/>
          <w:lang w:eastAsia="zh-CN"/>
        </w:rPr>
        <w:t xml:space="preserve">按本章第 </w:t>
      </w:r>
      <w:r>
        <w:rPr>
          <w:spacing w:val="-9"/>
          <w:lang w:eastAsia="zh-CN"/>
        </w:rPr>
        <w:t>2.</w:t>
      </w:r>
      <w:r>
        <w:rPr>
          <w:rFonts w:hint="eastAsia"/>
          <w:spacing w:val="-9"/>
          <w:lang w:val="en-US" w:eastAsia="zh-CN"/>
        </w:rPr>
        <w:t>1</w:t>
      </w:r>
      <w:r>
        <w:rPr>
          <w:spacing w:val="-9"/>
          <w:lang w:eastAsia="zh-CN"/>
        </w:rPr>
        <w:t>.</w:t>
      </w:r>
      <w:r>
        <w:rPr>
          <w:rFonts w:hint="eastAsia"/>
          <w:spacing w:val="-9"/>
          <w:lang w:val="en-US" w:eastAsia="zh-CN"/>
        </w:rPr>
        <w:t>2</w:t>
      </w:r>
      <w:r>
        <w:rPr>
          <w:spacing w:val="-3"/>
          <w:lang w:eastAsia="zh-CN"/>
        </w:rPr>
        <w:t>规定的评审因素和分值对</w:t>
      </w:r>
      <w:r>
        <w:rPr>
          <w:rFonts w:hint="eastAsia"/>
          <w:spacing w:val="-3"/>
          <w:lang w:val="en-US" w:eastAsia="zh-CN"/>
        </w:rPr>
        <w:t>技术</w:t>
      </w:r>
      <w:r>
        <w:rPr>
          <w:spacing w:val="-3"/>
          <w:lang w:eastAsia="zh-CN"/>
        </w:rPr>
        <w:t xml:space="preserve">部分计算出得分 </w:t>
      </w:r>
      <w:r>
        <w:rPr>
          <w:spacing w:val="-9"/>
          <w:lang w:eastAsia="zh-CN"/>
        </w:rPr>
        <w:t>B；</w:t>
      </w:r>
    </w:p>
    <w:p w14:paraId="29D1F8B1">
      <w:pPr>
        <w:pStyle w:val="6"/>
        <w:spacing w:line="360" w:lineRule="auto"/>
        <w:ind w:left="0" w:firstLine="396" w:firstLineChars="200"/>
        <w:jc w:val="both"/>
        <w:rPr>
          <w:lang w:eastAsia="zh-CN"/>
        </w:rPr>
      </w:pPr>
      <w:r>
        <w:rPr>
          <w:spacing w:val="-21"/>
          <w:lang w:eastAsia="zh-CN"/>
        </w:rPr>
        <w:t>(3）</w:t>
      </w:r>
      <w:r>
        <w:rPr>
          <w:spacing w:val="-12"/>
          <w:lang w:eastAsia="zh-CN"/>
        </w:rPr>
        <w:t xml:space="preserve">按本章第 </w:t>
      </w:r>
      <w:r>
        <w:rPr>
          <w:spacing w:val="-9"/>
          <w:lang w:eastAsia="zh-CN"/>
        </w:rPr>
        <w:t>2.</w:t>
      </w:r>
      <w:r>
        <w:rPr>
          <w:rFonts w:hint="eastAsia"/>
          <w:spacing w:val="-9"/>
          <w:lang w:val="en-US" w:eastAsia="zh-CN"/>
        </w:rPr>
        <w:t>1</w:t>
      </w:r>
      <w:r>
        <w:rPr>
          <w:spacing w:val="-9"/>
          <w:lang w:eastAsia="zh-CN"/>
        </w:rPr>
        <w:t>.</w:t>
      </w:r>
      <w:r>
        <w:rPr>
          <w:rFonts w:hint="eastAsia"/>
          <w:spacing w:val="-9"/>
          <w:lang w:val="en-US" w:eastAsia="zh-CN"/>
        </w:rPr>
        <w:t>3</w:t>
      </w:r>
      <w:r>
        <w:rPr>
          <w:spacing w:val="-3"/>
          <w:lang w:eastAsia="zh-CN"/>
        </w:rPr>
        <w:t>规定的评审因素和分值对</w:t>
      </w:r>
      <w:r>
        <w:rPr>
          <w:rFonts w:hint="eastAsia"/>
          <w:spacing w:val="-3"/>
          <w:lang w:val="en-US" w:eastAsia="zh-CN"/>
        </w:rPr>
        <w:t>综合</w:t>
      </w:r>
      <w:r>
        <w:rPr>
          <w:spacing w:val="-3"/>
          <w:lang w:eastAsia="zh-CN"/>
        </w:rPr>
        <w:t xml:space="preserve">部分计算出得分 </w:t>
      </w:r>
      <w:r>
        <w:rPr>
          <w:spacing w:val="-9"/>
          <w:lang w:eastAsia="zh-CN"/>
        </w:rPr>
        <w:t>C；</w:t>
      </w:r>
    </w:p>
    <w:p w14:paraId="44F08043">
      <w:pPr>
        <w:pStyle w:val="28"/>
        <w:tabs>
          <w:tab w:val="left" w:pos="2180"/>
        </w:tabs>
        <w:spacing w:line="360" w:lineRule="auto"/>
        <w:ind w:left="480" w:firstLine="0"/>
        <w:jc w:val="both"/>
        <w:rPr>
          <w:sz w:val="24"/>
          <w:lang w:eastAsia="zh-CN"/>
        </w:rPr>
      </w:pPr>
      <w:r>
        <w:rPr>
          <w:rFonts w:hint="eastAsia"/>
          <w:sz w:val="24"/>
          <w:lang w:eastAsia="zh-CN"/>
        </w:rPr>
        <w:t>3</w:t>
      </w:r>
      <w:r>
        <w:rPr>
          <w:sz w:val="24"/>
          <w:lang w:eastAsia="zh-CN"/>
        </w:rPr>
        <w:t>.2.2 评分分值计算保留小数点后两位，小数点后第三位“四舍五入”。</w:t>
      </w:r>
    </w:p>
    <w:p w14:paraId="46E5AF7E">
      <w:pPr>
        <w:pStyle w:val="28"/>
        <w:tabs>
          <w:tab w:val="left" w:pos="2180"/>
        </w:tabs>
        <w:spacing w:line="360" w:lineRule="auto"/>
        <w:ind w:left="480" w:firstLine="0"/>
        <w:jc w:val="both"/>
        <w:rPr>
          <w:sz w:val="24"/>
          <w:lang w:eastAsia="zh-CN"/>
        </w:rPr>
      </w:pPr>
      <w:r>
        <w:rPr>
          <w:rFonts w:hint="eastAsia"/>
          <w:sz w:val="24"/>
          <w:lang w:eastAsia="zh-CN"/>
        </w:rPr>
        <w:t>3</w:t>
      </w:r>
      <w:r>
        <w:rPr>
          <w:sz w:val="24"/>
          <w:lang w:eastAsia="zh-CN"/>
        </w:rPr>
        <w:t>.2.3 供应商得分=A</w:t>
      </w:r>
      <w:r>
        <w:rPr>
          <w:spacing w:val="-20"/>
          <w:sz w:val="24"/>
          <w:lang w:eastAsia="zh-CN"/>
        </w:rPr>
        <w:t xml:space="preserve"> 十 </w:t>
      </w:r>
      <w:r>
        <w:rPr>
          <w:sz w:val="24"/>
          <w:lang w:eastAsia="zh-CN"/>
        </w:rPr>
        <w:t>B</w:t>
      </w:r>
      <w:r>
        <w:rPr>
          <w:spacing w:val="-20"/>
          <w:sz w:val="24"/>
          <w:lang w:eastAsia="zh-CN"/>
        </w:rPr>
        <w:t xml:space="preserve"> 十 </w:t>
      </w:r>
      <w:r>
        <w:rPr>
          <w:sz w:val="24"/>
          <w:lang w:eastAsia="zh-CN"/>
        </w:rPr>
        <w:t>C 。</w:t>
      </w:r>
    </w:p>
    <w:p w14:paraId="50B967A6">
      <w:pPr>
        <w:pStyle w:val="28"/>
        <w:tabs>
          <w:tab w:val="left" w:pos="2183"/>
        </w:tabs>
        <w:spacing w:line="360" w:lineRule="auto"/>
        <w:ind w:left="480" w:firstLine="0"/>
        <w:jc w:val="both"/>
        <w:rPr>
          <w:sz w:val="24"/>
          <w:lang w:eastAsia="zh-CN"/>
        </w:rPr>
      </w:pPr>
      <w:r>
        <w:rPr>
          <w:rFonts w:hint="eastAsia"/>
          <w:sz w:val="24"/>
          <w:lang w:eastAsia="zh-CN"/>
        </w:rPr>
        <w:t>3</w:t>
      </w:r>
      <w:r>
        <w:rPr>
          <w:sz w:val="24"/>
          <w:lang w:eastAsia="zh-CN"/>
        </w:rPr>
        <w:t>.2.4 竞争性磋商小组发现供应商的报价明显低于其他投标报价，或者在设有拦标价时</w:t>
      </w:r>
    </w:p>
    <w:p w14:paraId="01BD0792">
      <w:pPr>
        <w:tabs>
          <w:tab w:val="left" w:pos="2183"/>
        </w:tabs>
        <w:spacing w:line="360" w:lineRule="auto"/>
        <w:jc w:val="both"/>
        <w:rPr>
          <w:sz w:val="24"/>
          <w:lang w:eastAsia="zh-CN"/>
        </w:rPr>
      </w:pPr>
      <w:r>
        <w:rPr>
          <w:sz w:val="24"/>
          <w:lang w:eastAsia="zh-CN"/>
        </w:rPr>
        <w:t>明显低于拦标价，使得其投标报价可能低于其个别成本的，应当要求该供应商作出书面说明并提供相应的证明材料。供应商不能合理说明或者不能提供相应证明材料的，由竞争性磋商小组认定该供应商以低于成本报价竞标，其投标作废标处理。</w:t>
      </w:r>
    </w:p>
    <w:p w14:paraId="20BDECD3">
      <w:pPr>
        <w:pStyle w:val="5"/>
        <w:tabs>
          <w:tab w:val="left" w:pos="1943"/>
        </w:tabs>
        <w:spacing w:line="360" w:lineRule="auto"/>
        <w:ind w:left="482" w:firstLine="0"/>
        <w:jc w:val="both"/>
        <w:rPr>
          <w:lang w:eastAsia="zh-CN"/>
        </w:rPr>
      </w:pPr>
      <w:r>
        <w:rPr>
          <w:rFonts w:hint="eastAsia"/>
          <w:lang w:eastAsia="zh-CN"/>
        </w:rPr>
        <w:t>3</w:t>
      </w:r>
      <w:r>
        <w:rPr>
          <w:lang w:eastAsia="zh-CN"/>
        </w:rPr>
        <w:t>.3 响应文件的澄清和补正</w:t>
      </w:r>
    </w:p>
    <w:p w14:paraId="0DF5A9DF">
      <w:pPr>
        <w:pStyle w:val="28"/>
        <w:tabs>
          <w:tab w:val="left" w:pos="2183"/>
        </w:tabs>
        <w:spacing w:line="360" w:lineRule="auto"/>
        <w:ind w:left="480" w:firstLine="0"/>
        <w:jc w:val="both"/>
        <w:rPr>
          <w:sz w:val="24"/>
          <w:lang w:eastAsia="zh-CN"/>
        </w:rPr>
      </w:pPr>
      <w:r>
        <w:rPr>
          <w:rFonts w:hint="eastAsia"/>
          <w:sz w:val="24"/>
          <w:lang w:eastAsia="zh-CN"/>
        </w:rPr>
        <w:t>3</w:t>
      </w:r>
      <w:r>
        <w:rPr>
          <w:sz w:val="24"/>
          <w:lang w:eastAsia="zh-CN"/>
        </w:rPr>
        <w:t>.3.1在评标过程中，竞争性磋商小组可以书面形式要求供应商对所提交响应文件中不明</w:t>
      </w:r>
    </w:p>
    <w:p w14:paraId="0CDE7A88">
      <w:pPr>
        <w:tabs>
          <w:tab w:val="left" w:pos="2183"/>
        </w:tabs>
        <w:spacing w:line="360" w:lineRule="auto"/>
        <w:jc w:val="both"/>
        <w:rPr>
          <w:sz w:val="24"/>
          <w:lang w:eastAsia="zh-CN"/>
        </w:rPr>
      </w:pPr>
      <w:r>
        <w:rPr>
          <w:sz w:val="24"/>
          <w:lang w:eastAsia="zh-CN"/>
        </w:rPr>
        <w:t>确的内容进行书面澄清或说明，或者对细微偏差进行补正。竞争性磋商小组不接受供应商主动提出的澄清、说明或补正。</w:t>
      </w:r>
    </w:p>
    <w:p w14:paraId="244202D5">
      <w:pPr>
        <w:pStyle w:val="28"/>
        <w:tabs>
          <w:tab w:val="left" w:pos="2120"/>
        </w:tabs>
        <w:spacing w:line="360" w:lineRule="auto"/>
        <w:ind w:left="464" w:firstLine="0"/>
        <w:jc w:val="both"/>
        <w:rPr>
          <w:sz w:val="24"/>
          <w:lang w:eastAsia="zh-CN"/>
        </w:rPr>
      </w:pPr>
      <w:r>
        <w:rPr>
          <w:rFonts w:hint="eastAsia"/>
          <w:spacing w:val="-8"/>
          <w:sz w:val="24"/>
          <w:lang w:eastAsia="zh-CN"/>
        </w:rPr>
        <w:t>3</w:t>
      </w:r>
      <w:r>
        <w:rPr>
          <w:spacing w:val="-8"/>
          <w:sz w:val="24"/>
          <w:lang w:eastAsia="zh-CN"/>
        </w:rPr>
        <w:t>.3.2 澄清、说明和补正不得改变响应文件的实质性内容</w:t>
      </w:r>
      <w:r>
        <w:rPr>
          <w:sz w:val="24"/>
          <w:lang w:eastAsia="zh-CN"/>
        </w:rPr>
        <w:t>（</w:t>
      </w:r>
      <w:r>
        <w:rPr>
          <w:spacing w:val="-3"/>
          <w:sz w:val="24"/>
          <w:lang w:eastAsia="zh-CN"/>
        </w:rPr>
        <w:t>算术性错误修正</w:t>
      </w:r>
      <w:r>
        <w:rPr>
          <w:sz w:val="24"/>
          <w:lang w:eastAsia="zh-CN"/>
        </w:rPr>
        <w:t>的除外）。供</w:t>
      </w:r>
    </w:p>
    <w:p w14:paraId="6D4FAA49">
      <w:pPr>
        <w:tabs>
          <w:tab w:val="left" w:pos="2120"/>
        </w:tabs>
        <w:spacing w:line="360" w:lineRule="auto"/>
        <w:jc w:val="both"/>
        <w:rPr>
          <w:sz w:val="24"/>
          <w:lang w:eastAsia="zh-CN"/>
        </w:rPr>
      </w:pPr>
      <w:r>
        <w:rPr>
          <w:sz w:val="24"/>
          <w:lang w:eastAsia="zh-CN"/>
        </w:rPr>
        <w:t>应商的书面澄清、说明和补正属于响应文件的组成部分。</w:t>
      </w:r>
    </w:p>
    <w:p w14:paraId="1E07DC98">
      <w:pPr>
        <w:pStyle w:val="28"/>
        <w:tabs>
          <w:tab w:val="left" w:pos="2183"/>
        </w:tabs>
        <w:spacing w:line="360" w:lineRule="auto"/>
        <w:ind w:left="480" w:firstLine="0"/>
        <w:jc w:val="both"/>
        <w:rPr>
          <w:sz w:val="24"/>
          <w:lang w:eastAsia="zh-CN"/>
        </w:rPr>
      </w:pPr>
      <w:r>
        <w:rPr>
          <w:sz w:val="24"/>
          <w:lang w:eastAsia="zh-CN"/>
        </w:rPr>
        <w:t>3.3.3竞争性磋商小组对供应商提交的澄清、说明或补正有疑问的，可以要求供应商进一</w:t>
      </w:r>
    </w:p>
    <w:p w14:paraId="3F3F91E2">
      <w:pPr>
        <w:tabs>
          <w:tab w:val="left" w:pos="2183"/>
        </w:tabs>
        <w:spacing w:line="360" w:lineRule="auto"/>
        <w:jc w:val="both"/>
        <w:rPr>
          <w:sz w:val="24"/>
          <w:lang w:eastAsia="zh-CN"/>
        </w:rPr>
      </w:pPr>
      <w:r>
        <w:rPr>
          <w:sz w:val="24"/>
          <w:lang w:eastAsia="zh-CN"/>
        </w:rPr>
        <w:t>步澄清、说明或补正，直至满足竞争性磋商小组的要求。</w:t>
      </w:r>
    </w:p>
    <w:p w14:paraId="6C11F2CF">
      <w:pPr>
        <w:pStyle w:val="5"/>
        <w:tabs>
          <w:tab w:val="left" w:pos="1883"/>
        </w:tabs>
        <w:spacing w:line="360" w:lineRule="auto"/>
        <w:ind w:left="482" w:firstLine="0"/>
        <w:jc w:val="both"/>
        <w:rPr>
          <w:lang w:eastAsia="zh-CN"/>
        </w:rPr>
      </w:pPr>
      <w:r>
        <w:rPr>
          <w:rFonts w:hint="eastAsia"/>
          <w:lang w:eastAsia="zh-CN"/>
        </w:rPr>
        <w:t>3</w:t>
      </w:r>
      <w:r>
        <w:rPr>
          <w:lang w:eastAsia="zh-CN"/>
        </w:rPr>
        <w:t>.4 定标办法</w:t>
      </w:r>
    </w:p>
    <w:p w14:paraId="0287A3B2">
      <w:pPr>
        <w:pStyle w:val="28"/>
        <w:tabs>
          <w:tab w:val="left" w:pos="2183"/>
        </w:tabs>
        <w:spacing w:line="360" w:lineRule="auto"/>
        <w:ind w:left="480" w:firstLine="0"/>
        <w:jc w:val="both"/>
        <w:rPr>
          <w:sz w:val="24"/>
          <w:lang w:eastAsia="zh-CN"/>
        </w:rPr>
      </w:pPr>
      <w:r>
        <w:rPr>
          <w:rFonts w:hint="eastAsia"/>
          <w:sz w:val="24"/>
          <w:lang w:eastAsia="zh-CN"/>
        </w:rPr>
        <w:t>3</w:t>
      </w:r>
      <w:r>
        <w:rPr>
          <w:sz w:val="24"/>
          <w:lang w:eastAsia="zh-CN"/>
        </w:rPr>
        <w:t>.4.1竞争性磋商小组按照上述办法打分，最后按照各供应商最终得分从高到低排序。</w:t>
      </w:r>
    </w:p>
    <w:p w14:paraId="5AAE05F9">
      <w:pPr>
        <w:spacing w:line="360" w:lineRule="auto"/>
        <w:ind w:firstLine="480" w:firstLineChars="200"/>
        <w:jc w:val="both"/>
        <w:rPr>
          <w:sz w:val="24"/>
          <w:lang w:eastAsia="zh-CN"/>
        </w:rPr>
        <w:sectPr>
          <w:pgSz w:w="11910" w:h="16840"/>
          <w:pgMar w:top="1440" w:right="1080" w:bottom="1440" w:left="1080" w:header="0" w:footer="909" w:gutter="0"/>
          <w:pgNumType w:fmt="decimal"/>
          <w:cols w:space="720" w:num="1"/>
          <w:docGrid w:linePitch="299" w:charSpace="0"/>
        </w:sectPr>
      </w:pPr>
    </w:p>
    <w:p w14:paraId="1DB33875">
      <w:pPr>
        <w:pStyle w:val="28"/>
        <w:tabs>
          <w:tab w:val="left" w:pos="2120"/>
        </w:tabs>
        <w:spacing w:line="360" w:lineRule="auto"/>
        <w:ind w:left="470" w:firstLine="0"/>
        <w:rPr>
          <w:spacing w:val="-9"/>
          <w:sz w:val="24"/>
          <w:lang w:eastAsia="zh-CN"/>
        </w:rPr>
      </w:pPr>
      <w:bookmarkStart w:id="56" w:name="____第四章__合同条款及格式"/>
      <w:bookmarkEnd w:id="56"/>
      <w:r>
        <w:rPr>
          <w:rFonts w:hint="eastAsia"/>
          <w:spacing w:val="-5"/>
          <w:sz w:val="24"/>
          <w:lang w:eastAsia="zh-CN"/>
        </w:rPr>
        <w:t>3</w:t>
      </w:r>
      <w:r>
        <w:rPr>
          <w:spacing w:val="-5"/>
          <w:sz w:val="24"/>
          <w:lang w:eastAsia="zh-CN"/>
        </w:rPr>
        <w:t>.4.2 竞争性磋商小组完成评标后，应当向采购人提交书面评标报告。向采</w:t>
      </w:r>
      <w:r>
        <w:rPr>
          <w:spacing w:val="-16"/>
          <w:sz w:val="24"/>
          <w:lang w:eastAsia="zh-CN"/>
        </w:rPr>
        <w:t xml:space="preserve">购人推荐 </w:t>
      </w:r>
      <w:r>
        <w:rPr>
          <w:sz w:val="24"/>
          <w:lang w:eastAsia="zh-CN"/>
        </w:rPr>
        <w:t>3</w:t>
      </w:r>
      <w:r>
        <w:rPr>
          <w:spacing w:val="-9"/>
          <w:sz w:val="24"/>
          <w:lang w:eastAsia="zh-CN"/>
        </w:rPr>
        <w:t xml:space="preserve"> 名</w:t>
      </w:r>
    </w:p>
    <w:p w14:paraId="0712C2F7">
      <w:pPr>
        <w:tabs>
          <w:tab w:val="left" w:pos="2120"/>
        </w:tabs>
        <w:spacing w:line="360" w:lineRule="auto"/>
        <w:rPr>
          <w:sz w:val="24"/>
          <w:lang w:eastAsia="zh-CN"/>
        </w:rPr>
      </w:pPr>
      <w:r>
        <w:rPr>
          <w:spacing w:val="-9"/>
          <w:sz w:val="24"/>
          <w:lang w:eastAsia="zh-CN"/>
        </w:rPr>
        <w:t>成交候选人，根据《政府采购竞争性磋商采购方式管理暂行办法》</w:t>
      </w:r>
      <w:r>
        <w:rPr>
          <w:spacing w:val="-5"/>
          <w:sz w:val="24"/>
          <w:lang w:eastAsia="zh-CN"/>
        </w:rPr>
        <w:t xml:space="preserve">第二十一条规定，供应商不足 </w:t>
      </w:r>
      <w:r>
        <w:rPr>
          <w:sz w:val="24"/>
          <w:lang w:eastAsia="zh-CN"/>
        </w:rPr>
        <w:t>3</w:t>
      </w:r>
      <w:r>
        <w:rPr>
          <w:spacing w:val="-20"/>
          <w:sz w:val="24"/>
          <w:lang w:eastAsia="zh-CN"/>
        </w:rPr>
        <w:t xml:space="preserve"> 家可推荐 </w:t>
      </w:r>
      <w:r>
        <w:rPr>
          <w:sz w:val="24"/>
          <w:lang w:eastAsia="zh-CN"/>
        </w:rPr>
        <w:t>2</w:t>
      </w:r>
      <w:r>
        <w:rPr>
          <w:spacing w:val="-8"/>
          <w:sz w:val="24"/>
          <w:lang w:eastAsia="zh-CN"/>
        </w:rPr>
        <w:t xml:space="preserve"> 名成交候选人。</w:t>
      </w:r>
    </w:p>
    <w:p w14:paraId="74C8516C">
      <w:pPr>
        <w:pStyle w:val="28"/>
        <w:tabs>
          <w:tab w:val="left" w:pos="2120"/>
        </w:tabs>
        <w:spacing w:line="360" w:lineRule="auto"/>
        <w:ind w:left="466" w:firstLine="0"/>
        <w:jc w:val="both"/>
        <w:rPr>
          <w:sz w:val="24"/>
          <w:lang w:eastAsia="zh-CN"/>
        </w:rPr>
      </w:pPr>
      <w:r>
        <w:rPr>
          <w:spacing w:val="-7"/>
          <w:sz w:val="24"/>
          <w:lang w:eastAsia="zh-CN"/>
        </w:rPr>
        <w:t>3.4.3 按供应商得分由高到低排序，采购人应当确定排名第一的成交候选人</w:t>
      </w:r>
      <w:r>
        <w:rPr>
          <w:sz w:val="24"/>
          <w:lang w:eastAsia="zh-CN"/>
        </w:rPr>
        <w:t>为成交人。排</w:t>
      </w:r>
    </w:p>
    <w:p w14:paraId="2C2899F4">
      <w:pPr>
        <w:tabs>
          <w:tab w:val="left" w:pos="2120"/>
        </w:tabs>
        <w:spacing w:line="360" w:lineRule="auto"/>
        <w:jc w:val="both"/>
        <w:rPr>
          <w:sz w:val="24"/>
          <w:lang w:eastAsia="zh-CN"/>
        </w:rPr>
      </w:pPr>
      <w:r>
        <w:rPr>
          <w:sz w:val="24"/>
          <w:lang w:eastAsia="zh-CN"/>
        </w:rPr>
        <w:t>名第一的成交候选人放弃中标、因不可抗力提出不能履行合同或者磋商文件规定应当提交履约供应商而在规定的期限内未能提交的，采购人可确定另一名成交候选人为成交人。</w:t>
      </w:r>
    </w:p>
    <w:p w14:paraId="68629D3E">
      <w:pPr>
        <w:pStyle w:val="28"/>
        <w:tabs>
          <w:tab w:val="left" w:pos="2183"/>
        </w:tabs>
        <w:spacing w:line="360" w:lineRule="auto"/>
        <w:ind w:left="474" w:firstLine="0"/>
        <w:jc w:val="both"/>
        <w:rPr>
          <w:spacing w:val="-7"/>
          <w:sz w:val="24"/>
          <w:lang w:eastAsia="zh-CN"/>
        </w:rPr>
      </w:pPr>
      <w:r>
        <w:rPr>
          <w:rFonts w:hint="eastAsia"/>
          <w:spacing w:val="-3"/>
          <w:sz w:val="24"/>
          <w:lang w:eastAsia="zh-CN"/>
        </w:rPr>
        <w:t>3</w:t>
      </w:r>
      <w:r>
        <w:rPr>
          <w:spacing w:val="-3"/>
          <w:sz w:val="24"/>
          <w:lang w:eastAsia="zh-CN"/>
        </w:rPr>
        <w:t xml:space="preserve">.4.4成交人确定后，面向社会公示，公示期为 </w:t>
      </w:r>
      <w:r>
        <w:rPr>
          <w:sz w:val="24"/>
          <w:lang w:eastAsia="zh-CN"/>
        </w:rPr>
        <w:t>1</w:t>
      </w:r>
      <w:r>
        <w:rPr>
          <w:spacing w:val="-5"/>
          <w:sz w:val="24"/>
          <w:lang w:eastAsia="zh-CN"/>
        </w:rPr>
        <w:t>个工作日，采购人向成</w:t>
      </w:r>
      <w:r>
        <w:rPr>
          <w:spacing w:val="-7"/>
          <w:sz w:val="24"/>
          <w:lang w:eastAsia="zh-CN"/>
        </w:rPr>
        <w:t>交供应商签发成</w:t>
      </w:r>
    </w:p>
    <w:p w14:paraId="7D648C16">
      <w:pPr>
        <w:tabs>
          <w:tab w:val="left" w:pos="2183"/>
        </w:tabs>
        <w:spacing w:line="360" w:lineRule="auto"/>
        <w:jc w:val="both"/>
        <w:rPr>
          <w:rFonts w:hint="eastAsia"/>
          <w:spacing w:val="-7"/>
          <w:sz w:val="24"/>
          <w:lang w:val="en-US" w:eastAsia="zh-CN"/>
        </w:rPr>
      </w:pPr>
      <w:r>
        <w:rPr>
          <w:spacing w:val="-7"/>
          <w:sz w:val="24"/>
          <w:lang w:eastAsia="zh-CN"/>
        </w:rPr>
        <w:t>交通知书，采购人与成交供应商应自成交通知书签发之日起</w:t>
      </w:r>
      <w:r>
        <w:rPr>
          <w:rFonts w:hint="eastAsia"/>
          <w:spacing w:val="-7"/>
          <w:sz w:val="24"/>
          <w:lang w:val="en-US" w:eastAsia="zh-CN"/>
        </w:rPr>
        <w:t>1</w:t>
      </w:r>
    </w:p>
    <w:p w14:paraId="39003536">
      <w:pPr>
        <w:tabs>
          <w:tab w:val="left" w:pos="2183"/>
        </w:tabs>
        <w:spacing w:line="360" w:lineRule="auto"/>
        <w:jc w:val="both"/>
        <w:rPr>
          <w:sz w:val="24"/>
          <w:lang w:eastAsia="zh-CN"/>
        </w:rPr>
      </w:pPr>
      <w:r>
        <w:rPr>
          <w:sz w:val="24"/>
          <w:lang w:eastAsia="zh-CN"/>
        </w:rPr>
        <w:t>个工作日内签定合同。</w:t>
      </w:r>
    </w:p>
    <w:p w14:paraId="3D7AF1FB">
      <w:pPr>
        <w:pStyle w:val="5"/>
        <w:tabs>
          <w:tab w:val="left" w:pos="1823"/>
        </w:tabs>
        <w:spacing w:line="360" w:lineRule="auto"/>
        <w:ind w:left="482" w:firstLine="0"/>
        <w:jc w:val="both"/>
        <w:rPr>
          <w:lang w:eastAsia="zh-CN"/>
        </w:rPr>
      </w:pPr>
      <w:r>
        <w:rPr>
          <w:rFonts w:hint="eastAsia"/>
          <w:lang w:eastAsia="zh-CN"/>
        </w:rPr>
        <w:t>4</w:t>
      </w:r>
      <w:r>
        <w:rPr>
          <w:lang w:eastAsia="zh-CN"/>
        </w:rPr>
        <w:t>. 评标注意事项</w:t>
      </w:r>
    </w:p>
    <w:p w14:paraId="27C997F4">
      <w:pPr>
        <w:pStyle w:val="6"/>
        <w:spacing w:line="360" w:lineRule="auto"/>
        <w:ind w:left="0" w:firstLine="480" w:firstLineChars="200"/>
        <w:rPr>
          <w:lang w:eastAsia="zh-CN"/>
        </w:rPr>
      </w:pPr>
      <w:r>
        <w:rPr>
          <w:lang w:eastAsia="zh-CN"/>
        </w:rPr>
        <w:t>竞争性磋商小组应按下列原则进行评分汇总统计：</w:t>
      </w:r>
    </w:p>
    <w:p w14:paraId="46531D28">
      <w:pPr>
        <w:pStyle w:val="6"/>
        <w:spacing w:line="360" w:lineRule="auto"/>
        <w:ind w:left="0" w:firstLine="480" w:firstLineChars="200"/>
        <w:rPr>
          <w:lang w:eastAsia="zh-CN"/>
        </w:rPr>
      </w:pPr>
      <w:r>
        <w:rPr>
          <w:lang w:eastAsia="zh-CN"/>
        </w:rPr>
        <w:t>1、分数计算过程中，保留两位小数，小数点后第三位四舍五入。</w:t>
      </w:r>
    </w:p>
    <w:p w14:paraId="30751E50">
      <w:pPr>
        <w:pStyle w:val="6"/>
        <w:spacing w:line="360" w:lineRule="auto"/>
        <w:ind w:left="0" w:firstLine="480" w:firstLineChars="200"/>
        <w:rPr>
          <w:lang w:eastAsia="zh-CN"/>
        </w:rPr>
      </w:pPr>
      <w:r>
        <w:rPr>
          <w:lang w:eastAsia="zh-CN"/>
        </w:rPr>
        <w:t>2、分数汇总时，将所有评委打分取算术平均值作为该供应商的最终得分。</w:t>
      </w:r>
    </w:p>
    <w:p w14:paraId="3BE1C193">
      <w:pPr>
        <w:pStyle w:val="5"/>
        <w:tabs>
          <w:tab w:val="left" w:pos="1704"/>
        </w:tabs>
        <w:spacing w:line="360" w:lineRule="auto"/>
        <w:ind w:left="482" w:firstLine="0"/>
        <w:rPr>
          <w:lang w:eastAsia="zh-CN"/>
        </w:rPr>
      </w:pPr>
      <w:r>
        <w:rPr>
          <w:rFonts w:hint="eastAsia"/>
          <w:lang w:eastAsia="zh-CN"/>
        </w:rPr>
        <w:t>5</w:t>
      </w:r>
      <w:r>
        <w:rPr>
          <w:lang w:eastAsia="zh-CN"/>
        </w:rPr>
        <w:t>. 评标报告</w:t>
      </w:r>
    </w:p>
    <w:p w14:paraId="568329C1">
      <w:pPr>
        <w:pStyle w:val="6"/>
        <w:spacing w:line="360" w:lineRule="auto"/>
        <w:ind w:left="0" w:firstLine="480" w:firstLineChars="200"/>
        <w:jc w:val="both"/>
        <w:rPr>
          <w:lang w:eastAsia="zh-CN"/>
        </w:rPr>
      </w:pPr>
      <w:r>
        <w:rPr>
          <w:lang w:eastAsia="zh-CN"/>
        </w:rPr>
        <w:t>竞争性磋商小组根据供应商须知前附表的规定向采购人提交评标报告。评标报告应当由全体竞争性磋商小组成员签字，并于评标结束后抄送有关行政监督部门。</w:t>
      </w:r>
    </w:p>
    <w:p w14:paraId="62D853D3">
      <w:pPr>
        <w:pStyle w:val="6"/>
        <w:spacing w:line="360" w:lineRule="auto"/>
        <w:ind w:left="0" w:firstLine="472" w:firstLineChars="200"/>
        <w:jc w:val="both"/>
        <w:rPr>
          <w:lang w:eastAsia="zh-CN"/>
        </w:rPr>
      </w:pPr>
      <w:r>
        <w:rPr>
          <w:spacing w:val="-2"/>
          <w:lang w:eastAsia="zh-CN"/>
        </w:rPr>
        <w:t>对评标结论具有异议的，竞争性磋商小组成员可以书面方式阐述其不同意</w:t>
      </w:r>
      <w:r>
        <w:rPr>
          <w:lang w:eastAsia="zh-CN"/>
        </w:rPr>
        <w:t>见和理由。竞争性磋商小组成员拒绝在评标报告上签字且不陈述其不同意见和理由的，视为同意评标结论。竞争性磋商小组应当对此作出书面说明并记录在案。</w:t>
      </w:r>
    </w:p>
    <w:p w14:paraId="4C135E7D">
      <w:pPr>
        <w:spacing w:line="328" w:lineRule="auto"/>
        <w:jc w:val="both"/>
        <w:rPr>
          <w:lang w:eastAsia="zh-CN"/>
        </w:rPr>
        <w:sectPr>
          <w:pgSz w:w="11910" w:h="16840"/>
          <w:pgMar w:top="1440" w:right="1080" w:bottom="1440" w:left="1080" w:header="0" w:footer="909" w:gutter="0"/>
          <w:pgNumType w:fmt="decimal"/>
          <w:cols w:space="720" w:num="1"/>
          <w:docGrid w:linePitch="299" w:charSpace="0"/>
        </w:sectPr>
      </w:pPr>
    </w:p>
    <w:p w14:paraId="4ADA7D29">
      <w:pPr>
        <w:tabs>
          <w:tab w:val="left" w:pos="1625"/>
        </w:tabs>
        <w:spacing w:before="35"/>
        <w:ind w:left="530"/>
        <w:jc w:val="center"/>
        <w:outlineLvl w:val="0"/>
        <w:rPr>
          <w:b/>
          <w:sz w:val="28"/>
          <w:lang w:eastAsia="zh-CN"/>
        </w:rPr>
      </w:pPr>
      <w:bookmarkStart w:id="57" w:name="_Toc17989"/>
      <w:r>
        <w:rPr>
          <w:b/>
          <w:sz w:val="28"/>
          <w:lang w:eastAsia="zh-CN"/>
        </w:rPr>
        <w:t>第四章</w:t>
      </w:r>
      <w:r>
        <w:rPr>
          <w:b/>
          <w:sz w:val="28"/>
          <w:lang w:eastAsia="zh-CN"/>
        </w:rPr>
        <w:tab/>
      </w:r>
      <w:r>
        <w:rPr>
          <w:b/>
          <w:sz w:val="28"/>
          <w:lang w:eastAsia="zh-CN"/>
        </w:rPr>
        <w:t>合同条款及格式</w:t>
      </w:r>
      <w:bookmarkEnd w:id="57"/>
    </w:p>
    <w:p w14:paraId="3A4AF996">
      <w:pPr>
        <w:pStyle w:val="6"/>
        <w:spacing w:before="11"/>
        <w:ind w:left="0"/>
        <w:jc w:val="center"/>
        <w:rPr>
          <w:b/>
          <w:sz w:val="40"/>
          <w:lang w:eastAsia="zh-CN"/>
        </w:rPr>
      </w:pPr>
    </w:p>
    <w:p w14:paraId="10E4C877">
      <w:pPr>
        <w:pStyle w:val="6"/>
        <w:spacing w:line="240" w:lineRule="auto"/>
        <w:ind w:left="0" w:leftChars="0" w:right="0" w:firstLine="0" w:firstLineChars="0"/>
        <w:jc w:val="center"/>
        <w:rPr>
          <w:rFonts w:hint="eastAsia"/>
          <w:lang w:eastAsia="zh-CN"/>
        </w:rPr>
        <w:sectPr>
          <w:pgSz w:w="11910" w:h="16840"/>
          <w:pgMar w:top="1440" w:right="1080" w:bottom="1440" w:left="1080" w:header="0" w:footer="909" w:gutter="0"/>
          <w:pgNumType w:fmt="decimal"/>
          <w:cols w:space="720" w:num="1"/>
          <w:docGrid w:linePitch="299" w:charSpace="0"/>
        </w:sectPr>
      </w:pPr>
      <w:r>
        <w:rPr>
          <w:rFonts w:hint="eastAsia"/>
          <w:lang w:val="en-US" w:eastAsia="zh-CN"/>
        </w:rPr>
        <w:t xml:space="preserve">   </w:t>
      </w:r>
      <w:r>
        <w:rPr>
          <w:rFonts w:hint="eastAsia"/>
          <w:lang w:eastAsia="zh-CN"/>
        </w:rPr>
        <w:t>（</w:t>
      </w:r>
      <w:r>
        <w:rPr>
          <w:sz w:val="20"/>
          <w:szCs w:val="20"/>
          <w:lang w:eastAsia="zh-CN"/>
        </w:rPr>
        <w:t>供应商中标之后依据根据竞争性磋商文件相关法律规定和行业标准规定以实际签订合同为准</w:t>
      </w:r>
      <w:r>
        <w:rPr>
          <w:rFonts w:hint="eastAsia"/>
          <w:lang w:eastAsia="zh-CN"/>
        </w:rPr>
        <w:t>）</w:t>
      </w:r>
    </w:p>
    <w:p w14:paraId="466691B0">
      <w:pPr>
        <w:spacing w:before="30"/>
        <w:ind w:left="530" w:right="530"/>
        <w:jc w:val="center"/>
        <w:outlineLvl w:val="0"/>
        <w:rPr>
          <w:b/>
          <w:sz w:val="32"/>
          <w:lang w:eastAsia="zh-CN"/>
        </w:rPr>
      </w:pPr>
      <w:r>
        <w:rPr>
          <w:b/>
          <w:sz w:val="32"/>
          <w:lang w:eastAsia="zh-CN"/>
        </w:rPr>
        <w:t>第五章 服务内容</w:t>
      </w:r>
    </w:p>
    <w:p w14:paraId="7290F824">
      <w:pPr>
        <w:pStyle w:val="6"/>
        <w:ind w:left="0"/>
        <w:rPr>
          <w:b/>
          <w:sz w:val="32"/>
          <w:lang w:eastAsia="zh-CN"/>
        </w:rPr>
      </w:pPr>
    </w:p>
    <w:p w14:paraId="5FB741E9">
      <w:pPr>
        <w:spacing w:line="360" w:lineRule="auto"/>
        <w:ind w:firstLine="420" w:firstLineChars="200"/>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一、项目概况与磋商内容</w:t>
      </w:r>
    </w:p>
    <w:p w14:paraId="6461CFB8">
      <w:pPr>
        <w:spacing w:line="360" w:lineRule="auto"/>
        <w:ind w:firstLine="420" w:firstLineChars="200"/>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1、项目名称：</w:t>
      </w:r>
      <w:r>
        <w:rPr>
          <w:rFonts w:hint="eastAsia" w:cs="宋体"/>
          <w:spacing w:val="-15"/>
          <w:sz w:val="24"/>
          <w:szCs w:val="24"/>
          <w:lang w:eastAsia="zh-CN"/>
        </w:rPr>
        <w:t>卢氏县2026年度一体化调查监测工作项目</w:t>
      </w:r>
    </w:p>
    <w:p w14:paraId="19E7DA41">
      <w:pPr>
        <w:spacing w:line="360" w:lineRule="auto"/>
        <w:ind w:firstLine="420" w:firstLineChars="200"/>
        <w:rPr>
          <w:rFonts w:hint="eastAsia" w:ascii="宋体" w:hAnsi="宋体" w:eastAsia="宋体" w:cs="宋体"/>
          <w:color w:val="auto"/>
          <w:spacing w:val="-15"/>
          <w:sz w:val="24"/>
          <w:szCs w:val="24"/>
          <w:lang w:eastAsia="zh-CN"/>
        </w:rPr>
      </w:pPr>
      <w:r>
        <w:rPr>
          <w:rFonts w:hint="eastAsia" w:ascii="宋体" w:hAnsi="宋体" w:eastAsia="宋体" w:cs="宋体"/>
          <w:spacing w:val="-15"/>
          <w:sz w:val="24"/>
          <w:szCs w:val="24"/>
          <w:lang w:eastAsia="zh-CN"/>
        </w:rPr>
        <w:t>2、项目编号：</w:t>
      </w:r>
      <w:r>
        <w:rPr>
          <w:rFonts w:hint="eastAsia" w:cs="宋体"/>
          <w:color w:val="auto"/>
          <w:spacing w:val="-15"/>
          <w:sz w:val="24"/>
          <w:szCs w:val="24"/>
          <w:lang w:eastAsia="zh-CN"/>
        </w:rPr>
        <w:t>三卢竞磋采购-2026-112、LSGZ[2026]259-ZC203</w:t>
      </w:r>
    </w:p>
    <w:p w14:paraId="51B85908">
      <w:pPr>
        <w:spacing w:line="360" w:lineRule="auto"/>
        <w:ind w:firstLine="420" w:firstLineChars="200"/>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3、采购人：卢氏县自然资源局</w:t>
      </w:r>
    </w:p>
    <w:p w14:paraId="18D64FB8">
      <w:pPr>
        <w:spacing w:line="360" w:lineRule="auto"/>
        <w:ind w:firstLine="420" w:firstLineChars="200"/>
        <w:rPr>
          <w:rFonts w:hint="eastAsia" w:ascii="宋体" w:hAnsi="宋体" w:eastAsia="宋体" w:cs="宋体"/>
          <w:spacing w:val="-15"/>
          <w:sz w:val="24"/>
          <w:szCs w:val="24"/>
          <w:lang w:eastAsia="zh-CN"/>
        </w:rPr>
      </w:pPr>
      <w:r>
        <w:rPr>
          <w:rFonts w:hint="eastAsia" w:ascii="宋体" w:hAnsi="宋体" w:eastAsia="宋体" w:cs="宋体"/>
          <w:spacing w:val="-15"/>
          <w:sz w:val="24"/>
          <w:szCs w:val="24"/>
          <w:lang w:eastAsia="zh-CN"/>
        </w:rPr>
        <w:t>4、服务内容：</w:t>
      </w:r>
      <w:r>
        <w:rPr>
          <w:rFonts w:hint="eastAsia" w:cs="宋体"/>
          <w:spacing w:val="-15"/>
          <w:sz w:val="24"/>
          <w:szCs w:val="24"/>
          <w:lang w:val="en-US" w:eastAsia="zh-CN"/>
        </w:rPr>
        <w:t>主要服务内容是对卢氏县域内自然资源监测、国土变更调查、森林草原湿地荒漠调查监测、成果数据集成应用与分析评价等</w:t>
      </w:r>
    </w:p>
    <w:p w14:paraId="04509D8C">
      <w:pPr>
        <w:spacing w:line="360" w:lineRule="auto"/>
        <w:ind w:firstLine="480" w:firstLineChars="200"/>
        <w:rPr>
          <w:sz w:val="24"/>
          <w:szCs w:val="24"/>
          <w:lang w:eastAsia="zh-CN"/>
        </w:rPr>
      </w:pPr>
      <w:r>
        <w:rPr>
          <w:rFonts w:hint="eastAsia"/>
          <w:sz w:val="24"/>
          <w:szCs w:val="24"/>
          <w:lang w:val="en-US" w:eastAsia="zh-CN"/>
        </w:rPr>
        <w:t>5</w:t>
      </w:r>
      <w:r>
        <w:rPr>
          <w:sz w:val="24"/>
          <w:szCs w:val="24"/>
          <w:lang w:eastAsia="zh-CN"/>
        </w:rPr>
        <w:t>、磋商范围：磋商文件及答疑、澄清文件的所有内容</w:t>
      </w:r>
    </w:p>
    <w:p w14:paraId="1829DDC5">
      <w:pPr>
        <w:spacing w:line="360" w:lineRule="auto"/>
        <w:ind w:firstLine="480" w:firstLineChars="200"/>
        <w:rPr>
          <w:rFonts w:hint="default" w:ascii="宋体" w:hAnsi="宋体" w:eastAsia="宋体" w:cs="宋体"/>
          <w:sz w:val="24"/>
          <w:szCs w:val="24"/>
          <w:lang w:val="en-US" w:eastAsia="zh-CN"/>
        </w:rPr>
      </w:pPr>
      <w:r>
        <w:rPr>
          <w:rFonts w:hint="eastAsia"/>
          <w:sz w:val="24"/>
          <w:szCs w:val="24"/>
          <w:lang w:val="en-US" w:eastAsia="zh-CN"/>
        </w:rPr>
        <w:t>6</w:t>
      </w:r>
      <w:r>
        <w:rPr>
          <w:sz w:val="24"/>
          <w:szCs w:val="24"/>
          <w:lang w:eastAsia="zh-CN"/>
        </w:rPr>
        <w:t>、资金来</w:t>
      </w:r>
      <w:r>
        <w:rPr>
          <w:rFonts w:ascii="宋体" w:hAnsi="宋体" w:eastAsia="宋体" w:cs="宋体"/>
          <w:sz w:val="24"/>
          <w:szCs w:val="24"/>
          <w:lang w:eastAsia="zh-CN"/>
        </w:rPr>
        <w:t>源：财政资金，已落实</w:t>
      </w:r>
      <w:r>
        <w:rPr>
          <w:rFonts w:hint="eastAsia" w:cs="宋体"/>
          <w:sz w:val="24"/>
          <w:szCs w:val="24"/>
          <w:lang w:val="en-US" w:eastAsia="zh-CN"/>
        </w:rPr>
        <w:t xml:space="preserve"> </w:t>
      </w:r>
    </w:p>
    <w:p w14:paraId="51F6C278">
      <w:pPr>
        <w:spacing w:line="360" w:lineRule="auto"/>
        <w:ind w:firstLine="480" w:firstLineChars="200"/>
        <w:rPr>
          <w:rFonts w:ascii="宋体" w:hAnsi="宋体" w:eastAsia="宋体" w:cs="宋体"/>
          <w:sz w:val="24"/>
          <w:szCs w:val="24"/>
          <w:lang w:eastAsia="zh-CN"/>
        </w:rPr>
      </w:pPr>
      <w:r>
        <w:rPr>
          <w:rFonts w:hint="eastAsia" w:cs="宋体"/>
          <w:sz w:val="24"/>
          <w:szCs w:val="24"/>
          <w:lang w:val="en-US" w:eastAsia="zh-CN"/>
        </w:rPr>
        <w:t>7</w:t>
      </w:r>
      <w:r>
        <w:rPr>
          <w:rFonts w:ascii="宋体" w:hAnsi="宋体" w:eastAsia="宋体" w:cs="宋体"/>
          <w:sz w:val="24"/>
          <w:szCs w:val="24"/>
          <w:lang w:eastAsia="zh-CN"/>
        </w:rPr>
        <w:t>、预算金额：</w:t>
      </w:r>
      <w:r>
        <w:rPr>
          <w:rFonts w:hint="eastAsia" w:cs="宋体"/>
          <w:sz w:val="24"/>
          <w:szCs w:val="24"/>
          <w:lang w:val="en-US" w:eastAsia="zh-CN"/>
        </w:rPr>
        <w:t>1929000</w:t>
      </w:r>
      <w:r>
        <w:rPr>
          <w:rFonts w:hint="eastAsia" w:ascii="宋体" w:hAnsi="宋体" w:eastAsia="宋体" w:cs="宋体"/>
          <w:sz w:val="24"/>
          <w:szCs w:val="24"/>
          <w:lang w:eastAsia="zh-CN"/>
        </w:rPr>
        <w:t>.00</w:t>
      </w:r>
      <w:r>
        <w:rPr>
          <w:rFonts w:ascii="宋体" w:hAnsi="宋体" w:eastAsia="宋体" w:cs="宋体"/>
          <w:sz w:val="24"/>
          <w:szCs w:val="24"/>
          <w:lang w:eastAsia="zh-CN"/>
        </w:rPr>
        <w:t>元</w:t>
      </w:r>
    </w:p>
    <w:p w14:paraId="28093AEB">
      <w:pPr>
        <w:spacing w:line="360" w:lineRule="auto"/>
        <w:ind w:firstLine="480" w:firstLineChars="200"/>
        <w:rPr>
          <w:rFonts w:ascii="宋体" w:hAnsi="宋体" w:eastAsia="宋体" w:cs="宋体"/>
          <w:sz w:val="24"/>
          <w:szCs w:val="24"/>
          <w:lang w:eastAsia="zh-CN"/>
        </w:rPr>
      </w:pPr>
      <w:r>
        <w:rPr>
          <w:rFonts w:hint="eastAsia"/>
          <w:sz w:val="24"/>
          <w:szCs w:val="24"/>
          <w:lang w:val="en-US" w:eastAsia="zh-CN"/>
        </w:rPr>
        <w:t>8</w:t>
      </w:r>
      <w:r>
        <w:rPr>
          <w:sz w:val="24"/>
          <w:szCs w:val="24"/>
          <w:lang w:eastAsia="zh-CN"/>
        </w:rPr>
        <w:t>、服务周期</w:t>
      </w:r>
      <w:r>
        <w:rPr>
          <w:rFonts w:ascii="宋体" w:hAnsi="宋体" w:eastAsia="宋体" w:cs="宋体"/>
          <w:sz w:val="24"/>
          <w:szCs w:val="24"/>
          <w:lang w:eastAsia="zh-CN"/>
        </w:rPr>
        <w:t>：</w:t>
      </w:r>
      <w:r>
        <w:rPr>
          <w:rFonts w:hint="eastAsia" w:ascii="宋体" w:hAnsi="宋体" w:eastAsia="宋体" w:cs="宋体"/>
          <w:sz w:val="24"/>
          <w:szCs w:val="24"/>
          <w:lang w:eastAsia="zh-CN"/>
        </w:rPr>
        <w:t>合同签订后90日历天内完成</w:t>
      </w:r>
    </w:p>
    <w:p w14:paraId="5F387404">
      <w:pPr>
        <w:spacing w:line="360" w:lineRule="auto"/>
        <w:ind w:firstLine="480" w:firstLineChars="200"/>
        <w:rPr>
          <w:sz w:val="24"/>
          <w:szCs w:val="24"/>
          <w:lang w:eastAsia="zh-CN"/>
        </w:rPr>
      </w:pPr>
      <w:r>
        <w:rPr>
          <w:rFonts w:hint="eastAsia"/>
          <w:sz w:val="24"/>
          <w:szCs w:val="24"/>
          <w:lang w:val="en-US" w:eastAsia="zh-CN"/>
        </w:rPr>
        <w:t>9</w:t>
      </w:r>
      <w:r>
        <w:rPr>
          <w:sz w:val="24"/>
          <w:szCs w:val="24"/>
          <w:lang w:eastAsia="zh-CN"/>
        </w:rPr>
        <w:t>、质量要求：</w:t>
      </w:r>
      <w:r>
        <w:rPr>
          <w:rFonts w:hint="eastAsia" w:asciiTheme="minorEastAsia" w:hAnsiTheme="minorEastAsia"/>
          <w:sz w:val="24"/>
          <w:szCs w:val="24"/>
          <w:lang w:eastAsia="zh-CN"/>
        </w:rPr>
        <w:t>合格，符合国家相关规定及行业标准要求</w:t>
      </w:r>
    </w:p>
    <w:p w14:paraId="11A8B26F">
      <w:pPr>
        <w:spacing w:line="360" w:lineRule="auto"/>
        <w:ind w:firstLine="480" w:firstLineChars="200"/>
        <w:rPr>
          <w:rFonts w:hint="eastAsia"/>
          <w:sz w:val="24"/>
          <w:szCs w:val="24"/>
          <w:lang w:val="en-US" w:eastAsia="zh-CN"/>
        </w:rPr>
      </w:pPr>
      <w:r>
        <w:rPr>
          <w:rFonts w:hint="eastAsia"/>
          <w:sz w:val="24"/>
          <w:szCs w:val="24"/>
          <w:lang w:val="en-US" w:eastAsia="zh-CN"/>
        </w:rPr>
        <w:t>10</w:t>
      </w:r>
      <w:r>
        <w:rPr>
          <w:sz w:val="24"/>
          <w:szCs w:val="24"/>
          <w:lang w:eastAsia="zh-CN"/>
        </w:rPr>
        <w:t>、</w:t>
      </w:r>
      <w:r>
        <w:rPr>
          <w:rFonts w:hint="eastAsia"/>
          <w:sz w:val="24"/>
          <w:szCs w:val="24"/>
          <w:lang w:val="en-US" w:eastAsia="zh-CN"/>
        </w:rPr>
        <w:t>详细服务明细：（如下表）</w:t>
      </w:r>
    </w:p>
    <w:p w14:paraId="5DD6FFEC">
      <w:pPr>
        <w:rPr>
          <w:sz w:val="24"/>
          <w:szCs w:val="24"/>
          <w:lang w:eastAsia="zh-CN"/>
        </w:rPr>
        <w:sectPr>
          <w:pgSz w:w="11910" w:h="16840"/>
          <w:pgMar w:top="1440" w:right="1080" w:bottom="1440" w:left="1080" w:header="0" w:footer="909" w:gutter="0"/>
          <w:pgNumType w:fmt="decimal"/>
          <w:cols w:space="720" w:num="1"/>
          <w:docGrid w:linePitch="299" w:charSpace="0"/>
        </w:sectPr>
      </w:pPr>
    </w:p>
    <w:p w14:paraId="0A1F3E43">
      <w:pPr>
        <w:autoSpaceDE w:val="0"/>
        <w:autoSpaceDN w:val="0"/>
        <w:spacing w:before="0" w:after="0" w:line="383" w:lineRule="exact"/>
        <w:jc w:val="center"/>
        <w:rPr>
          <w:sz w:val="37"/>
        </w:rPr>
      </w:pPr>
      <w:r>
        <w:rPr>
          <w:rFonts w:hint="eastAsia" w:ascii="宋体" w:hAnsi="宋体" w:eastAsia="宋体"/>
          <w:b/>
          <w:color w:val="000000"/>
          <w:sz w:val="37"/>
        </w:rPr>
        <w:t>卢氏县</w:t>
      </w:r>
      <w:r>
        <w:rPr>
          <w:rFonts w:hint="eastAsia" w:ascii="Calibri" w:hAnsi="Calibri" w:eastAsia="Calibri"/>
          <w:b/>
          <w:color w:val="000000"/>
          <w:sz w:val="37"/>
        </w:rPr>
        <w:t>2026</w:t>
      </w:r>
      <w:r>
        <w:rPr>
          <w:rFonts w:hint="eastAsia" w:ascii="宋体" w:hAnsi="宋体" w:eastAsia="宋体"/>
          <w:b/>
          <w:color w:val="000000"/>
          <w:sz w:val="37"/>
        </w:rPr>
        <w:t>年度一体化调查监测工作项目</w:t>
      </w:r>
    </w:p>
    <w:tbl>
      <w:tblPr>
        <w:tblStyle w:val="12"/>
        <w:tblW w:w="10490" w:type="dxa"/>
        <w:tblInd w:w="-315"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451"/>
        <w:gridCol w:w="765"/>
        <w:gridCol w:w="3789"/>
        <w:gridCol w:w="622"/>
        <w:gridCol w:w="549"/>
        <w:gridCol w:w="1354"/>
        <w:gridCol w:w="931"/>
        <w:gridCol w:w="2029"/>
      </w:tblGrid>
      <w:tr w14:paraId="53655F5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860" w:hRule="atLeast"/>
        </w:trPr>
        <w:tc>
          <w:tcPr>
            <w:tcW w:w="451" w:type="dxa"/>
            <w:tcBorders>
              <w:top w:val="single" w:color="000000" w:sz="4" w:space="0"/>
              <w:left w:val="single" w:color="000000" w:sz="4" w:space="0"/>
              <w:bottom w:val="single" w:color="000000" w:sz="4" w:space="0"/>
              <w:right w:val="single" w:color="000000" w:sz="4" w:space="0"/>
            </w:tcBorders>
            <w:vAlign w:val="top"/>
          </w:tcPr>
          <w:p w14:paraId="093AA9EF">
            <w:pPr>
              <w:autoSpaceDE w:val="0"/>
              <w:autoSpaceDN w:val="0"/>
              <w:spacing w:before="0" w:after="0" w:line="285" w:lineRule="exact"/>
              <w:ind w:firstLine="0"/>
              <w:jc w:val="both"/>
              <w:rPr>
                <w:rFonts w:hint="eastAsia" w:ascii="宋体" w:hAnsi="宋体" w:eastAsia="宋体"/>
                <w:color w:val="000000"/>
                <w:sz w:val="22"/>
              </w:rPr>
            </w:pPr>
          </w:p>
          <w:p w14:paraId="127048F7">
            <w:pPr>
              <w:autoSpaceDE w:val="0"/>
              <w:autoSpaceDN w:val="0"/>
              <w:spacing w:before="14" w:after="0" w:line="285" w:lineRule="exact"/>
              <w:jc w:val="center"/>
              <w:rPr>
                <w:sz w:val="22"/>
              </w:rPr>
            </w:pPr>
            <w:r>
              <w:rPr>
                <w:rFonts w:hint="eastAsia" w:ascii="宋体" w:hAnsi="宋体" w:eastAsia="宋体"/>
                <w:color w:val="000000"/>
                <w:sz w:val="22"/>
              </w:rPr>
              <w:t>序号</w:t>
            </w:r>
          </w:p>
        </w:tc>
        <w:tc>
          <w:tcPr>
            <w:tcW w:w="765" w:type="dxa"/>
            <w:tcBorders>
              <w:top w:val="single" w:color="000000" w:sz="4" w:space="0"/>
              <w:left w:val="single" w:color="000000" w:sz="4" w:space="0"/>
              <w:bottom w:val="single" w:color="000000" w:sz="4" w:space="0"/>
              <w:right w:val="single" w:color="000000" w:sz="4" w:space="0"/>
            </w:tcBorders>
            <w:vAlign w:val="top"/>
          </w:tcPr>
          <w:p w14:paraId="3CF1A541">
            <w:pPr>
              <w:autoSpaceDE w:val="0"/>
              <w:autoSpaceDN w:val="0"/>
              <w:spacing w:before="0" w:after="0" w:line="285" w:lineRule="exact"/>
              <w:ind w:firstLine="0"/>
              <w:jc w:val="both"/>
              <w:rPr>
                <w:rFonts w:hint="eastAsia" w:ascii="宋体" w:hAnsi="宋体" w:eastAsia="宋体"/>
                <w:color w:val="000000"/>
                <w:sz w:val="22"/>
              </w:rPr>
            </w:pPr>
          </w:p>
          <w:p w14:paraId="6B051F86">
            <w:pPr>
              <w:autoSpaceDE w:val="0"/>
              <w:autoSpaceDN w:val="0"/>
              <w:spacing w:before="34" w:after="0" w:line="285" w:lineRule="exact"/>
              <w:jc w:val="center"/>
              <w:rPr>
                <w:sz w:val="22"/>
              </w:rPr>
            </w:pPr>
            <w:r>
              <w:rPr>
                <w:rFonts w:hint="eastAsia" w:ascii="宋体" w:hAnsi="宋体" w:eastAsia="宋体"/>
                <w:color w:val="000000"/>
                <w:sz w:val="22"/>
              </w:rPr>
              <w:t>名称</w:t>
            </w:r>
          </w:p>
        </w:tc>
        <w:tc>
          <w:tcPr>
            <w:tcW w:w="3789" w:type="dxa"/>
            <w:tcBorders>
              <w:top w:val="single" w:color="000000" w:sz="4" w:space="0"/>
              <w:left w:val="single" w:color="000000" w:sz="4" w:space="0"/>
              <w:bottom w:val="single" w:color="000000" w:sz="4" w:space="0"/>
              <w:right w:val="single" w:color="000000" w:sz="4" w:space="0"/>
            </w:tcBorders>
            <w:vAlign w:val="top"/>
          </w:tcPr>
          <w:p w14:paraId="0A04F550">
            <w:pPr>
              <w:autoSpaceDE w:val="0"/>
              <w:autoSpaceDN w:val="0"/>
              <w:spacing w:before="0" w:after="0" w:line="285" w:lineRule="exact"/>
              <w:ind w:firstLine="0"/>
              <w:jc w:val="both"/>
              <w:rPr>
                <w:rFonts w:hint="eastAsia" w:ascii="宋体" w:hAnsi="宋体" w:eastAsia="宋体"/>
                <w:color w:val="000000"/>
                <w:sz w:val="22"/>
              </w:rPr>
            </w:pPr>
          </w:p>
          <w:p w14:paraId="4E6DA4AB">
            <w:pPr>
              <w:autoSpaceDE w:val="0"/>
              <w:autoSpaceDN w:val="0"/>
              <w:spacing w:before="54" w:after="0" w:line="285" w:lineRule="exact"/>
              <w:jc w:val="center"/>
              <w:rPr>
                <w:sz w:val="22"/>
              </w:rPr>
            </w:pPr>
            <w:r>
              <w:rPr>
                <w:rFonts w:hint="eastAsia" w:ascii="宋体" w:hAnsi="宋体" w:eastAsia="宋体"/>
                <w:color w:val="000000"/>
                <w:sz w:val="22"/>
              </w:rPr>
              <w:t>工作内容</w:t>
            </w:r>
          </w:p>
        </w:tc>
        <w:tc>
          <w:tcPr>
            <w:tcW w:w="622" w:type="dxa"/>
            <w:tcBorders>
              <w:top w:val="single" w:color="000000" w:sz="4" w:space="0"/>
              <w:left w:val="single" w:color="000000" w:sz="4" w:space="0"/>
              <w:bottom w:val="single" w:color="000000" w:sz="4" w:space="0"/>
              <w:right w:val="single" w:color="000000" w:sz="4" w:space="0"/>
            </w:tcBorders>
            <w:vAlign w:val="top"/>
          </w:tcPr>
          <w:p w14:paraId="4C45B8F4">
            <w:pPr>
              <w:autoSpaceDE w:val="0"/>
              <w:autoSpaceDN w:val="0"/>
              <w:spacing w:before="0" w:after="0" w:line="285" w:lineRule="exact"/>
              <w:ind w:firstLine="0"/>
              <w:jc w:val="both"/>
              <w:rPr>
                <w:rFonts w:hint="eastAsia" w:ascii="宋体" w:hAnsi="宋体" w:eastAsia="宋体"/>
                <w:color w:val="000000"/>
                <w:sz w:val="22"/>
              </w:rPr>
            </w:pPr>
          </w:p>
          <w:p w14:paraId="1B47B1F4">
            <w:pPr>
              <w:autoSpaceDE w:val="0"/>
              <w:autoSpaceDN w:val="0"/>
              <w:spacing w:before="34" w:after="0" w:line="285" w:lineRule="exact"/>
              <w:jc w:val="center"/>
              <w:rPr>
                <w:sz w:val="22"/>
              </w:rPr>
            </w:pPr>
            <w:r>
              <w:rPr>
                <w:rFonts w:hint="eastAsia" w:ascii="宋体" w:hAnsi="宋体" w:eastAsia="宋体"/>
                <w:color w:val="000000"/>
                <w:sz w:val="22"/>
              </w:rPr>
              <w:t>单位</w:t>
            </w:r>
          </w:p>
        </w:tc>
        <w:tc>
          <w:tcPr>
            <w:tcW w:w="549" w:type="dxa"/>
            <w:tcBorders>
              <w:top w:val="single" w:color="000000" w:sz="4" w:space="0"/>
              <w:left w:val="single" w:color="000000" w:sz="4" w:space="0"/>
              <w:bottom w:val="single" w:color="000000" w:sz="4" w:space="0"/>
              <w:right w:val="single" w:color="000000" w:sz="4" w:space="0"/>
            </w:tcBorders>
            <w:vAlign w:val="top"/>
          </w:tcPr>
          <w:p w14:paraId="22244B07">
            <w:pPr>
              <w:autoSpaceDE w:val="0"/>
              <w:autoSpaceDN w:val="0"/>
              <w:spacing w:before="0" w:after="0" w:line="285" w:lineRule="exact"/>
              <w:ind w:firstLine="0"/>
              <w:jc w:val="both"/>
              <w:rPr>
                <w:rFonts w:hint="eastAsia" w:ascii="宋体" w:hAnsi="宋体" w:eastAsia="宋体"/>
                <w:color w:val="000000"/>
                <w:sz w:val="22"/>
              </w:rPr>
            </w:pPr>
          </w:p>
          <w:p w14:paraId="70D891A9">
            <w:pPr>
              <w:autoSpaceDE w:val="0"/>
              <w:autoSpaceDN w:val="0"/>
              <w:spacing w:before="34" w:after="0" w:line="285" w:lineRule="exact"/>
              <w:jc w:val="center"/>
              <w:rPr>
                <w:sz w:val="22"/>
              </w:rPr>
            </w:pPr>
            <w:r>
              <w:rPr>
                <w:rFonts w:hint="eastAsia" w:ascii="宋体" w:hAnsi="宋体" w:eastAsia="宋体"/>
                <w:color w:val="000000"/>
                <w:sz w:val="22"/>
              </w:rPr>
              <w:t>数量</w:t>
            </w:r>
          </w:p>
        </w:tc>
        <w:tc>
          <w:tcPr>
            <w:tcW w:w="1354" w:type="dxa"/>
            <w:tcBorders>
              <w:top w:val="single" w:color="000000" w:sz="4" w:space="0"/>
              <w:left w:val="single" w:color="000000" w:sz="4" w:space="0"/>
              <w:bottom w:val="single" w:color="000000" w:sz="4" w:space="0"/>
              <w:right w:val="single" w:color="000000" w:sz="4" w:space="0"/>
            </w:tcBorders>
            <w:vAlign w:val="top"/>
          </w:tcPr>
          <w:p w14:paraId="3F4CD84B">
            <w:pPr>
              <w:autoSpaceDE w:val="0"/>
              <w:autoSpaceDN w:val="0"/>
              <w:spacing w:before="0" w:after="0" w:line="240" w:lineRule="auto"/>
              <w:jc w:val="left"/>
              <w:rPr>
                <w:rFonts w:hint="eastAsia" w:ascii="宋体" w:hAnsi="宋体" w:eastAsia="宋体"/>
                <w:color w:val="000000"/>
                <w:sz w:val="22"/>
              </w:rPr>
            </w:pPr>
          </w:p>
          <w:p w14:paraId="69F253AA">
            <w:pPr>
              <w:autoSpaceDE w:val="0"/>
              <w:autoSpaceDN w:val="0"/>
              <w:spacing w:before="0" w:after="0" w:line="240" w:lineRule="auto"/>
              <w:jc w:val="left"/>
              <w:rPr>
                <w:sz w:val="21"/>
              </w:rPr>
            </w:pPr>
            <w:r>
              <w:rPr>
                <w:rFonts w:hint="eastAsia" w:ascii="宋体" w:hAnsi="宋体" w:eastAsia="宋体"/>
                <w:color w:val="000000"/>
                <w:sz w:val="22"/>
              </w:rPr>
              <w:t>定额阈值之和</w:t>
            </w:r>
            <w:r>
              <w:rPr>
                <w:rFonts w:hint="eastAsia" w:ascii="宋体" w:hAnsi="宋体" w:eastAsia="宋体" w:cs="宋体"/>
                <w:color w:val="000000"/>
                <w:sz w:val="22"/>
              </w:rPr>
              <w:t>（元／k㎡）</w:t>
            </w:r>
          </w:p>
        </w:tc>
        <w:tc>
          <w:tcPr>
            <w:tcW w:w="931" w:type="dxa"/>
            <w:tcBorders>
              <w:top w:val="single" w:color="000000" w:sz="4" w:space="0"/>
              <w:left w:val="single" w:color="000000" w:sz="4" w:space="0"/>
              <w:bottom w:val="single" w:color="000000" w:sz="4" w:space="0"/>
              <w:right w:val="single" w:color="000000" w:sz="4" w:space="0"/>
            </w:tcBorders>
            <w:vAlign w:val="top"/>
          </w:tcPr>
          <w:p w14:paraId="04AA5B2A">
            <w:pPr>
              <w:autoSpaceDE w:val="0"/>
              <w:autoSpaceDN w:val="0"/>
              <w:spacing w:before="174" w:after="0" w:line="285" w:lineRule="exact"/>
              <w:jc w:val="center"/>
              <w:rPr>
                <w:sz w:val="22"/>
              </w:rPr>
            </w:pPr>
            <w:r>
              <w:rPr>
                <w:rFonts w:hint="eastAsia" w:ascii="宋体" w:hAnsi="宋体" w:eastAsia="宋体"/>
                <w:color w:val="000000"/>
                <w:sz w:val="22"/>
              </w:rPr>
              <w:t>金额</w:t>
            </w:r>
          </w:p>
          <w:p w14:paraId="7345EE3C">
            <w:pPr>
              <w:autoSpaceDE w:val="0"/>
              <w:autoSpaceDN w:val="0"/>
              <w:spacing w:before="0" w:after="0" w:line="260" w:lineRule="exact"/>
              <w:jc w:val="center"/>
              <w:rPr>
                <w:sz w:val="22"/>
              </w:rPr>
            </w:pPr>
            <w:r>
              <w:rPr>
                <w:rFonts w:hint="eastAsia" w:ascii="宋体" w:hAnsi="宋体" w:eastAsia="宋体"/>
                <w:color w:val="000000"/>
                <w:sz w:val="22"/>
              </w:rPr>
              <w:t>（万元）</w:t>
            </w:r>
          </w:p>
        </w:tc>
        <w:tc>
          <w:tcPr>
            <w:tcW w:w="2029" w:type="dxa"/>
            <w:tcBorders>
              <w:top w:val="single" w:color="000000" w:sz="4" w:space="0"/>
              <w:left w:val="single" w:color="000000" w:sz="4" w:space="0"/>
              <w:bottom w:val="single" w:color="000000" w:sz="4" w:space="0"/>
              <w:right w:val="single" w:color="000000" w:sz="4" w:space="0"/>
            </w:tcBorders>
            <w:vAlign w:val="top"/>
          </w:tcPr>
          <w:p w14:paraId="5EB8683E">
            <w:pPr>
              <w:autoSpaceDE w:val="0"/>
              <w:autoSpaceDN w:val="0"/>
              <w:spacing w:before="0" w:after="0" w:line="285" w:lineRule="exact"/>
              <w:ind w:firstLine="0"/>
              <w:jc w:val="both"/>
              <w:rPr>
                <w:rFonts w:hint="eastAsia" w:ascii="宋体" w:hAnsi="宋体" w:eastAsia="宋体"/>
                <w:color w:val="000000"/>
                <w:sz w:val="22"/>
              </w:rPr>
            </w:pPr>
          </w:p>
          <w:p w14:paraId="182A82C6">
            <w:pPr>
              <w:autoSpaceDE w:val="0"/>
              <w:autoSpaceDN w:val="0"/>
              <w:spacing w:before="34" w:after="0" w:line="285" w:lineRule="exact"/>
              <w:jc w:val="center"/>
              <w:rPr>
                <w:sz w:val="22"/>
              </w:rPr>
            </w:pPr>
            <w:r>
              <w:rPr>
                <w:rFonts w:hint="eastAsia" w:ascii="宋体" w:hAnsi="宋体" w:eastAsia="宋体"/>
                <w:color w:val="000000"/>
                <w:sz w:val="22"/>
              </w:rPr>
              <w:t>备注</w:t>
            </w:r>
          </w:p>
        </w:tc>
      </w:tr>
      <w:tr w14:paraId="2061786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596" w:hRule="atLeast"/>
        </w:trPr>
        <w:tc>
          <w:tcPr>
            <w:tcW w:w="451" w:type="dxa"/>
            <w:vMerge w:val="restart"/>
            <w:tcBorders>
              <w:top w:val="single" w:color="000000" w:sz="4" w:space="0"/>
              <w:left w:val="single" w:color="000000" w:sz="4" w:space="0"/>
              <w:bottom w:val="single" w:color="000000" w:sz="4" w:space="0"/>
              <w:right w:val="single" w:color="000000" w:sz="4" w:space="0"/>
            </w:tcBorders>
            <w:vAlign w:val="top"/>
          </w:tcPr>
          <w:p w14:paraId="117AFBD3">
            <w:pPr>
              <w:autoSpaceDE w:val="0"/>
              <w:autoSpaceDN w:val="0"/>
              <w:spacing w:before="0" w:after="0" w:line="285" w:lineRule="exact"/>
              <w:ind w:firstLine="0"/>
              <w:jc w:val="both"/>
              <w:rPr>
                <w:rFonts w:hint="eastAsia" w:ascii="宋体" w:hAnsi="宋体" w:eastAsia="宋体"/>
                <w:color w:val="000000"/>
                <w:sz w:val="22"/>
              </w:rPr>
            </w:pPr>
          </w:p>
          <w:p w14:paraId="6E6F711A">
            <w:pPr>
              <w:autoSpaceDE w:val="0"/>
              <w:autoSpaceDN w:val="0"/>
              <w:spacing w:before="0" w:after="0" w:line="285" w:lineRule="exact"/>
              <w:ind w:firstLine="0"/>
              <w:jc w:val="both"/>
              <w:rPr>
                <w:rFonts w:hint="eastAsia" w:ascii="宋体" w:hAnsi="宋体" w:eastAsia="宋体"/>
                <w:color w:val="000000"/>
                <w:sz w:val="22"/>
              </w:rPr>
            </w:pPr>
          </w:p>
          <w:p w14:paraId="3485FDA4">
            <w:pPr>
              <w:autoSpaceDE w:val="0"/>
              <w:autoSpaceDN w:val="0"/>
              <w:spacing w:before="0" w:after="0" w:line="285" w:lineRule="exact"/>
              <w:ind w:firstLine="0"/>
              <w:jc w:val="both"/>
              <w:rPr>
                <w:rFonts w:hint="eastAsia" w:ascii="宋体" w:hAnsi="宋体" w:eastAsia="宋体"/>
                <w:color w:val="000000"/>
                <w:sz w:val="22"/>
              </w:rPr>
            </w:pPr>
          </w:p>
          <w:p w14:paraId="6265C6FE">
            <w:pPr>
              <w:autoSpaceDE w:val="0"/>
              <w:autoSpaceDN w:val="0"/>
              <w:spacing w:before="0" w:after="0" w:line="285" w:lineRule="exact"/>
              <w:ind w:firstLine="0"/>
              <w:jc w:val="both"/>
              <w:rPr>
                <w:rFonts w:hint="eastAsia" w:ascii="宋体" w:hAnsi="宋体" w:eastAsia="宋体"/>
                <w:color w:val="000000"/>
                <w:sz w:val="22"/>
              </w:rPr>
            </w:pPr>
          </w:p>
          <w:p w14:paraId="7F9BDB52">
            <w:pPr>
              <w:autoSpaceDE w:val="0"/>
              <w:autoSpaceDN w:val="0"/>
              <w:spacing w:before="0" w:after="0" w:line="285" w:lineRule="exact"/>
              <w:ind w:firstLine="0"/>
              <w:jc w:val="both"/>
              <w:rPr>
                <w:rFonts w:hint="eastAsia" w:ascii="宋体" w:hAnsi="宋体" w:eastAsia="宋体"/>
                <w:color w:val="000000"/>
                <w:sz w:val="22"/>
              </w:rPr>
            </w:pPr>
          </w:p>
          <w:p w14:paraId="0C5F7FCE">
            <w:pPr>
              <w:autoSpaceDE w:val="0"/>
              <w:autoSpaceDN w:val="0"/>
              <w:spacing w:before="0" w:after="0" w:line="285" w:lineRule="exact"/>
              <w:ind w:firstLine="0"/>
              <w:jc w:val="both"/>
              <w:rPr>
                <w:rFonts w:hint="eastAsia" w:ascii="宋体" w:hAnsi="宋体" w:eastAsia="宋体"/>
                <w:color w:val="000000"/>
                <w:sz w:val="22"/>
              </w:rPr>
            </w:pPr>
          </w:p>
          <w:p w14:paraId="50B971AD">
            <w:pPr>
              <w:autoSpaceDE w:val="0"/>
              <w:autoSpaceDN w:val="0"/>
              <w:spacing w:before="227" w:after="0" w:line="285" w:lineRule="exact"/>
              <w:ind w:firstLine="260"/>
              <w:jc w:val="both"/>
              <w:rPr>
                <w:sz w:val="22"/>
              </w:rPr>
            </w:pPr>
            <w:r>
              <w:rPr>
                <w:rFonts w:hint="eastAsia" w:ascii="Calibri" w:hAnsi="Calibri" w:eastAsia="Calibri"/>
                <w:color w:val="000000"/>
                <w:sz w:val="22"/>
              </w:rPr>
              <w:t>1</w:t>
            </w:r>
          </w:p>
        </w:tc>
        <w:tc>
          <w:tcPr>
            <w:tcW w:w="765" w:type="dxa"/>
            <w:vMerge w:val="restart"/>
            <w:tcBorders>
              <w:top w:val="single" w:color="000000" w:sz="4" w:space="0"/>
              <w:left w:val="single" w:color="000000" w:sz="4" w:space="0"/>
              <w:bottom w:val="single" w:color="000000" w:sz="4" w:space="0"/>
              <w:right w:val="single" w:color="000000" w:sz="4" w:space="0"/>
            </w:tcBorders>
            <w:vAlign w:val="center"/>
          </w:tcPr>
          <w:p w14:paraId="7B2AA7ED">
            <w:pPr>
              <w:autoSpaceDE w:val="0"/>
              <w:autoSpaceDN w:val="0"/>
              <w:spacing w:after="0" w:line="240" w:lineRule="auto"/>
              <w:ind w:left="0" w:firstLine="0"/>
              <w:jc w:val="both"/>
              <w:rPr>
                <w:sz w:val="22"/>
              </w:rPr>
            </w:pPr>
            <w:r>
              <w:rPr>
                <w:rFonts w:hint="eastAsia" w:ascii="宋体" w:hAnsi="宋体" w:eastAsia="宋体"/>
                <w:color w:val="000000"/>
                <w:sz w:val="22"/>
              </w:rPr>
              <w:t>农村土地利用现状调查</w:t>
            </w:r>
          </w:p>
        </w:tc>
        <w:tc>
          <w:tcPr>
            <w:tcW w:w="3789" w:type="dxa"/>
            <w:tcBorders>
              <w:top w:val="single" w:color="000000" w:sz="4" w:space="0"/>
              <w:left w:val="single" w:color="000000" w:sz="4" w:space="0"/>
              <w:bottom w:val="single" w:color="000000" w:sz="4" w:space="0"/>
              <w:right w:val="single" w:color="000000" w:sz="4" w:space="0"/>
            </w:tcBorders>
            <w:vAlign w:val="center"/>
          </w:tcPr>
          <w:p w14:paraId="009B7D5F">
            <w:pPr>
              <w:autoSpaceDE w:val="0"/>
              <w:autoSpaceDN w:val="0"/>
              <w:spacing w:before="0" w:after="0" w:line="275" w:lineRule="exact"/>
              <w:ind w:right="180" w:firstLine="0"/>
              <w:jc w:val="center"/>
              <w:rPr>
                <w:sz w:val="22"/>
              </w:rPr>
            </w:pPr>
            <w:r>
              <w:rPr>
                <w:rFonts w:hint="eastAsia" w:ascii="宋体" w:hAnsi="宋体" w:eastAsia="宋体"/>
                <w:color w:val="000000"/>
                <w:sz w:val="22"/>
              </w:rPr>
              <w:t>按照以实地现状认定地类的原则，对工作底图中所有的调查图斑，应实地逐图斑核实确认图斑地类，调绘图斑边界，记录更新图斑权属、恢复属性、城镇村、采矿用地、特殊用地、废弃、耕地细化等各类属性信息标注的变化情况；对影像未能反映的新增地物进行补测；确定</w:t>
            </w:r>
            <w:r>
              <w:rPr>
                <w:rFonts w:hint="eastAsia" w:ascii="Calibri" w:hAnsi="Calibri" w:eastAsia="Calibri"/>
                <w:color w:val="000000"/>
                <w:sz w:val="22"/>
              </w:rPr>
              <w:t>2026</w:t>
            </w:r>
            <w:r>
              <w:rPr>
                <w:rFonts w:hint="eastAsia" w:ascii="宋体" w:hAnsi="宋体" w:eastAsia="宋体"/>
                <w:color w:val="000000"/>
                <w:sz w:val="22"/>
              </w:rPr>
              <w:t>年度国土调查数据库中的城市、建制镇、村庄、临时用地、推（堆）土区、光伏板、拆除未尽等单独图层范围变化情况，并及时更新。</w:t>
            </w:r>
          </w:p>
        </w:tc>
        <w:tc>
          <w:tcPr>
            <w:tcW w:w="622" w:type="dxa"/>
            <w:tcBorders>
              <w:top w:val="single" w:color="000000" w:sz="4" w:space="0"/>
              <w:left w:val="single" w:color="000000" w:sz="4" w:space="0"/>
              <w:bottom w:val="single" w:color="000000" w:sz="4" w:space="0"/>
              <w:right w:val="single" w:color="000000" w:sz="4" w:space="0"/>
            </w:tcBorders>
            <w:vAlign w:val="top"/>
          </w:tcPr>
          <w:p w14:paraId="43809754">
            <w:pPr>
              <w:autoSpaceDE w:val="0"/>
              <w:autoSpaceDN w:val="0"/>
              <w:spacing w:before="0" w:after="0" w:line="285" w:lineRule="exact"/>
              <w:ind w:firstLine="0"/>
              <w:jc w:val="both"/>
              <w:rPr>
                <w:rFonts w:hint="eastAsia" w:ascii="宋体" w:hAnsi="宋体" w:eastAsia="宋体"/>
                <w:color w:val="000000"/>
                <w:sz w:val="22"/>
              </w:rPr>
            </w:pPr>
          </w:p>
          <w:p w14:paraId="07D4345F">
            <w:pPr>
              <w:autoSpaceDE w:val="0"/>
              <w:autoSpaceDN w:val="0"/>
              <w:spacing w:before="0" w:after="0" w:line="285" w:lineRule="exact"/>
              <w:ind w:firstLine="0"/>
              <w:jc w:val="both"/>
              <w:rPr>
                <w:rFonts w:hint="eastAsia" w:ascii="宋体" w:hAnsi="宋体" w:eastAsia="宋体"/>
                <w:color w:val="000000"/>
                <w:sz w:val="22"/>
              </w:rPr>
            </w:pPr>
          </w:p>
          <w:p w14:paraId="5F4134D5">
            <w:pPr>
              <w:autoSpaceDE w:val="0"/>
              <w:autoSpaceDN w:val="0"/>
              <w:spacing w:before="0" w:after="0" w:line="285" w:lineRule="exact"/>
              <w:ind w:firstLine="0"/>
              <w:jc w:val="both"/>
              <w:rPr>
                <w:rFonts w:hint="eastAsia" w:ascii="宋体" w:hAnsi="宋体" w:eastAsia="宋体"/>
                <w:color w:val="000000"/>
                <w:sz w:val="22"/>
              </w:rPr>
            </w:pPr>
          </w:p>
          <w:p w14:paraId="33CEE6ED">
            <w:pPr>
              <w:autoSpaceDE w:val="0"/>
              <w:autoSpaceDN w:val="0"/>
              <w:spacing w:before="0" w:after="0" w:line="285" w:lineRule="exact"/>
              <w:ind w:firstLine="0"/>
              <w:jc w:val="both"/>
              <w:rPr>
                <w:rFonts w:hint="eastAsia" w:ascii="宋体" w:hAnsi="宋体" w:eastAsia="宋体"/>
                <w:color w:val="000000"/>
                <w:sz w:val="22"/>
              </w:rPr>
            </w:pPr>
          </w:p>
          <w:p w14:paraId="2E86ABD7">
            <w:pPr>
              <w:autoSpaceDE w:val="0"/>
              <w:autoSpaceDN w:val="0"/>
              <w:spacing w:before="78" w:after="0" w:line="285" w:lineRule="exact"/>
              <w:jc w:val="center"/>
              <w:rPr>
                <w:sz w:val="22"/>
              </w:rPr>
            </w:pPr>
            <w:r>
              <w:rPr>
                <w:rFonts w:hint="eastAsia" w:ascii="Calibri" w:hAnsi="Calibri" w:eastAsia="Calibri"/>
                <w:color w:val="000000"/>
                <w:sz w:val="22"/>
              </w:rPr>
              <w:t>k㎡</w:t>
            </w:r>
          </w:p>
        </w:tc>
        <w:tc>
          <w:tcPr>
            <w:tcW w:w="549" w:type="dxa"/>
            <w:tcBorders>
              <w:top w:val="single" w:color="000000" w:sz="4" w:space="0"/>
              <w:left w:val="single" w:color="000000" w:sz="4" w:space="0"/>
              <w:bottom w:val="single" w:color="000000" w:sz="4" w:space="0"/>
              <w:right w:val="single" w:color="000000" w:sz="4" w:space="0"/>
            </w:tcBorders>
            <w:vAlign w:val="top"/>
          </w:tcPr>
          <w:p w14:paraId="4B4E3791">
            <w:pPr>
              <w:autoSpaceDE w:val="0"/>
              <w:autoSpaceDN w:val="0"/>
              <w:spacing w:before="0" w:after="0" w:line="285" w:lineRule="exact"/>
              <w:ind w:firstLine="0"/>
              <w:jc w:val="both"/>
              <w:rPr>
                <w:rFonts w:hint="eastAsia" w:ascii="宋体" w:hAnsi="宋体" w:eastAsia="宋体"/>
                <w:color w:val="000000"/>
                <w:sz w:val="22"/>
              </w:rPr>
            </w:pPr>
          </w:p>
          <w:p w14:paraId="3AEEA3C6">
            <w:pPr>
              <w:autoSpaceDE w:val="0"/>
              <w:autoSpaceDN w:val="0"/>
              <w:spacing w:before="0" w:after="0" w:line="285" w:lineRule="exact"/>
              <w:ind w:firstLine="0"/>
              <w:jc w:val="both"/>
              <w:rPr>
                <w:rFonts w:hint="eastAsia" w:ascii="宋体" w:hAnsi="宋体" w:eastAsia="宋体"/>
                <w:color w:val="000000"/>
                <w:sz w:val="22"/>
              </w:rPr>
            </w:pPr>
          </w:p>
          <w:p w14:paraId="21C80B35">
            <w:pPr>
              <w:autoSpaceDE w:val="0"/>
              <w:autoSpaceDN w:val="0"/>
              <w:spacing w:before="0" w:after="0" w:line="285" w:lineRule="exact"/>
              <w:ind w:firstLine="0"/>
              <w:jc w:val="both"/>
              <w:rPr>
                <w:rFonts w:hint="eastAsia" w:ascii="宋体" w:hAnsi="宋体" w:eastAsia="宋体"/>
                <w:color w:val="000000"/>
                <w:sz w:val="22"/>
              </w:rPr>
            </w:pPr>
          </w:p>
          <w:p w14:paraId="0A72A388">
            <w:pPr>
              <w:autoSpaceDE w:val="0"/>
              <w:autoSpaceDN w:val="0"/>
              <w:spacing w:before="0" w:after="0" w:line="285" w:lineRule="exact"/>
              <w:ind w:firstLine="0"/>
              <w:jc w:val="both"/>
              <w:rPr>
                <w:rFonts w:hint="eastAsia" w:ascii="宋体" w:hAnsi="宋体" w:eastAsia="宋体"/>
                <w:color w:val="000000"/>
                <w:sz w:val="22"/>
              </w:rPr>
            </w:pPr>
          </w:p>
          <w:p w14:paraId="20C7EDDC">
            <w:pPr>
              <w:autoSpaceDE w:val="0"/>
              <w:autoSpaceDN w:val="0"/>
              <w:spacing w:before="58" w:after="0" w:line="285" w:lineRule="exact"/>
              <w:jc w:val="center"/>
              <w:rPr>
                <w:sz w:val="22"/>
              </w:rPr>
            </w:pPr>
            <w:r>
              <w:rPr>
                <w:rFonts w:hint="eastAsia" w:ascii="Calibri" w:hAnsi="Calibri" w:eastAsia="Calibri"/>
                <w:color w:val="000000"/>
                <w:sz w:val="22"/>
              </w:rPr>
              <w:t>130</w:t>
            </w:r>
          </w:p>
        </w:tc>
        <w:tc>
          <w:tcPr>
            <w:tcW w:w="1354" w:type="dxa"/>
            <w:tcBorders>
              <w:top w:val="single" w:color="000000" w:sz="4" w:space="0"/>
              <w:left w:val="single" w:color="000000" w:sz="4" w:space="0"/>
              <w:bottom w:val="single" w:color="000000" w:sz="4" w:space="0"/>
              <w:right w:val="single" w:color="000000" w:sz="4" w:space="0"/>
            </w:tcBorders>
            <w:vAlign w:val="top"/>
          </w:tcPr>
          <w:p w14:paraId="6845172D">
            <w:pPr>
              <w:autoSpaceDE w:val="0"/>
              <w:autoSpaceDN w:val="0"/>
              <w:spacing w:before="0" w:after="0" w:line="285" w:lineRule="exact"/>
              <w:ind w:firstLine="0"/>
              <w:jc w:val="both"/>
              <w:rPr>
                <w:rFonts w:hint="eastAsia" w:ascii="宋体" w:hAnsi="宋体" w:eastAsia="宋体"/>
                <w:color w:val="000000"/>
                <w:sz w:val="22"/>
              </w:rPr>
            </w:pPr>
          </w:p>
          <w:p w14:paraId="6778F009">
            <w:pPr>
              <w:autoSpaceDE w:val="0"/>
              <w:autoSpaceDN w:val="0"/>
              <w:spacing w:before="0" w:after="0" w:line="285" w:lineRule="exact"/>
              <w:ind w:firstLine="0"/>
              <w:jc w:val="both"/>
              <w:rPr>
                <w:rFonts w:hint="eastAsia" w:ascii="宋体" w:hAnsi="宋体" w:eastAsia="宋体"/>
                <w:color w:val="000000"/>
                <w:sz w:val="22"/>
              </w:rPr>
            </w:pPr>
          </w:p>
          <w:p w14:paraId="7150CC5D">
            <w:pPr>
              <w:autoSpaceDE w:val="0"/>
              <w:autoSpaceDN w:val="0"/>
              <w:spacing w:before="0" w:after="0" w:line="285" w:lineRule="exact"/>
              <w:ind w:firstLine="0"/>
              <w:jc w:val="both"/>
              <w:rPr>
                <w:rFonts w:hint="eastAsia" w:ascii="宋体" w:hAnsi="宋体" w:eastAsia="宋体"/>
                <w:color w:val="000000"/>
                <w:sz w:val="22"/>
              </w:rPr>
            </w:pPr>
          </w:p>
          <w:p w14:paraId="4F2BC5A4">
            <w:pPr>
              <w:autoSpaceDE w:val="0"/>
              <w:autoSpaceDN w:val="0"/>
              <w:spacing w:before="0" w:after="0" w:line="285" w:lineRule="exact"/>
              <w:ind w:firstLine="0"/>
              <w:jc w:val="both"/>
              <w:rPr>
                <w:rFonts w:hint="eastAsia" w:ascii="宋体" w:hAnsi="宋体" w:eastAsia="宋体"/>
                <w:color w:val="000000"/>
                <w:sz w:val="22"/>
              </w:rPr>
            </w:pPr>
          </w:p>
          <w:p w14:paraId="59CEE436">
            <w:pPr>
              <w:autoSpaceDE w:val="0"/>
              <w:autoSpaceDN w:val="0"/>
              <w:spacing w:before="58" w:after="0" w:line="285" w:lineRule="exact"/>
              <w:jc w:val="center"/>
              <w:rPr>
                <w:sz w:val="22"/>
              </w:rPr>
            </w:pPr>
            <w:r>
              <w:rPr>
                <w:rFonts w:hint="eastAsia" w:ascii="Calibri" w:hAnsi="Calibri" w:eastAsia="Calibri"/>
                <w:color w:val="000000"/>
                <w:sz w:val="22"/>
              </w:rPr>
              <w:t>1639.5</w:t>
            </w:r>
          </w:p>
        </w:tc>
        <w:tc>
          <w:tcPr>
            <w:tcW w:w="931" w:type="dxa"/>
            <w:tcBorders>
              <w:top w:val="single" w:color="000000" w:sz="4" w:space="0"/>
              <w:left w:val="single" w:color="000000" w:sz="4" w:space="0"/>
              <w:bottom w:val="single" w:color="000000" w:sz="4" w:space="0"/>
              <w:right w:val="single" w:color="000000" w:sz="4" w:space="0"/>
            </w:tcBorders>
            <w:vAlign w:val="center"/>
          </w:tcPr>
          <w:p w14:paraId="1F35C336">
            <w:pPr>
              <w:autoSpaceDE w:val="0"/>
              <w:autoSpaceDN w:val="0"/>
              <w:spacing w:before="0" w:after="0" w:line="272" w:lineRule="exact"/>
              <w:jc w:val="center"/>
              <w:rPr>
                <w:rFonts w:hint="eastAsia" w:ascii="宋体" w:hAnsi="宋体" w:eastAsia="宋体"/>
                <w:color w:val="000000"/>
                <w:sz w:val="21"/>
              </w:rPr>
            </w:pPr>
          </w:p>
        </w:tc>
        <w:tc>
          <w:tcPr>
            <w:tcW w:w="2029" w:type="dxa"/>
            <w:tcBorders>
              <w:top w:val="single" w:color="000000" w:sz="4" w:space="0"/>
              <w:left w:val="single" w:color="000000" w:sz="4" w:space="0"/>
              <w:bottom w:val="single" w:color="000000" w:sz="4" w:space="0"/>
              <w:right w:val="single" w:color="000000" w:sz="4" w:space="0"/>
            </w:tcBorders>
            <w:vAlign w:val="center"/>
          </w:tcPr>
          <w:p w14:paraId="3FC06588">
            <w:pPr>
              <w:autoSpaceDE w:val="0"/>
              <w:autoSpaceDN w:val="0"/>
              <w:spacing w:before="227" w:after="0" w:line="285" w:lineRule="exact"/>
              <w:ind w:right="80" w:firstLine="0"/>
              <w:jc w:val="both"/>
              <w:rPr>
                <w:sz w:val="22"/>
              </w:rPr>
            </w:pPr>
            <w:r>
              <w:rPr>
                <w:rFonts w:hint="eastAsia" w:ascii="宋体" w:hAnsi="宋体" w:eastAsia="宋体"/>
                <w:color w:val="000000"/>
                <w:sz w:val="22"/>
              </w:rPr>
              <w:t>根据《县级土地资源调查生产成本定额》难度等级划分，结合卢氏县图斑密度、坡度等影响单位工作量的主要因素，本次预算按第</w:t>
            </w:r>
            <w:r>
              <w:rPr>
                <w:rFonts w:hint="eastAsia" w:ascii="Calibri" w:hAnsi="Calibri" w:eastAsia="Calibri"/>
                <w:color w:val="000000"/>
                <w:sz w:val="22"/>
              </w:rPr>
              <w:t>IV</w:t>
            </w:r>
            <w:r>
              <w:rPr>
                <w:rFonts w:hint="eastAsia" w:ascii="宋体" w:hAnsi="宋体" w:eastAsia="宋体"/>
                <w:color w:val="000000"/>
                <w:sz w:val="22"/>
              </w:rPr>
              <w:t>等级难度。</w:t>
            </w:r>
          </w:p>
        </w:tc>
      </w:tr>
      <w:tr w14:paraId="1473CA7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2" w:hRule="atLeast"/>
        </w:trPr>
        <w:tc>
          <w:tcPr>
            <w:tcW w:w="451" w:type="dxa"/>
            <w:vMerge w:val="continue"/>
            <w:tcBorders>
              <w:top w:val="single" w:color="000000" w:sz="4" w:space="0"/>
              <w:left w:val="single" w:color="000000" w:sz="4" w:space="0"/>
              <w:bottom w:val="single" w:color="000000" w:sz="4" w:space="0"/>
              <w:right w:val="single" w:color="000000" w:sz="4" w:space="0"/>
            </w:tcBorders>
          </w:tcPr>
          <w:p w14:paraId="208FAF01"/>
        </w:tc>
        <w:tc>
          <w:tcPr>
            <w:tcW w:w="765" w:type="dxa"/>
            <w:vMerge w:val="continue"/>
            <w:tcBorders>
              <w:top w:val="single" w:color="000000" w:sz="4" w:space="0"/>
              <w:left w:val="single" w:color="000000" w:sz="4" w:space="0"/>
              <w:bottom w:val="single" w:color="000000" w:sz="4" w:space="0"/>
              <w:right w:val="single" w:color="000000" w:sz="4" w:space="0"/>
            </w:tcBorders>
          </w:tcPr>
          <w:p w14:paraId="0350518E"/>
        </w:tc>
        <w:tc>
          <w:tcPr>
            <w:tcW w:w="3789" w:type="dxa"/>
            <w:tcBorders>
              <w:top w:val="single" w:color="000000" w:sz="4" w:space="0"/>
              <w:left w:val="single" w:color="000000" w:sz="4" w:space="0"/>
              <w:bottom w:val="single" w:color="000000" w:sz="4" w:space="0"/>
              <w:right w:val="single" w:color="000000" w:sz="4" w:space="0"/>
            </w:tcBorders>
            <w:vAlign w:val="center"/>
          </w:tcPr>
          <w:p w14:paraId="42E45EC4">
            <w:pPr>
              <w:autoSpaceDE w:val="0"/>
              <w:autoSpaceDN w:val="0"/>
              <w:spacing w:before="198" w:after="0" w:line="285" w:lineRule="exact"/>
              <w:ind w:right="200" w:firstLine="0"/>
              <w:jc w:val="center"/>
              <w:rPr>
                <w:sz w:val="22"/>
              </w:rPr>
            </w:pPr>
            <w:r>
              <w:rPr>
                <w:rFonts w:hint="eastAsia" w:ascii="宋体" w:hAnsi="宋体" w:eastAsia="宋体"/>
                <w:color w:val="000000"/>
                <w:sz w:val="22"/>
              </w:rPr>
              <w:t>更新</w:t>
            </w:r>
            <w:r>
              <w:rPr>
                <w:rFonts w:hint="eastAsia" w:ascii="Calibri" w:hAnsi="Calibri" w:eastAsia="Calibri"/>
                <w:color w:val="000000"/>
                <w:sz w:val="22"/>
              </w:rPr>
              <w:t>2026</w:t>
            </w:r>
            <w:r>
              <w:rPr>
                <w:rFonts w:hint="eastAsia" w:ascii="宋体" w:hAnsi="宋体" w:eastAsia="宋体"/>
                <w:color w:val="000000"/>
                <w:sz w:val="22"/>
              </w:rPr>
              <w:t>年度国土调查数据库的耕地种植属性标注，与农业管理部门、自然资源所及乡村干部沟通，了解耕地改种或轮种菜、棉、油等状况，并组织技术人员外业核实、内业上图</w:t>
            </w:r>
          </w:p>
        </w:tc>
        <w:tc>
          <w:tcPr>
            <w:tcW w:w="622" w:type="dxa"/>
            <w:tcBorders>
              <w:top w:val="single" w:color="000000" w:sz="4" w:space="0"/>
              <w:left w:val="single" w:color="000000" w:sz="4" w:space="0"/>
              <w:bottom w:val="single" w:color="000000" w:sz="4" w:space="0"/>
              <w:right w:val="single" w:color="000000" w:sz="4" w:space="0"/>
            </w:tcBorders>
            <w:vAlign w:val="top"/>
          </w:tcPr>
          <w:p w14:paraId="279AA4B1">
            <w:pPr>
              <w:autoSpaceDE w:val="0"/>
              <w:autoSpaceDN w:val="0"/>
              <w:spacing w:before="0" w:after="0" w:line="285" w:lineRule="exact"/>
              <w:ind w:firstLine="0"/>
              <w:jc w:val="both"/>
              <w:rPr>
                <w:rFonts w:hint="eastAsia" w:ascii="宋体" w:hAnsi="宋体" w:eastAsia="宋体"/>
                <w:color w:val="000000"/>
                <w:sz w:val="22"/>
              </w:rPr>
            </w:pPr>
          </w:p>
          <w:p w14:paraId="3C598725">
            <w:pPr>
              <w:autoSpaceDE w:val="0"/>
              <w:autoSpaceDN w:val="0"/>
              <w:spacing w:before="0" w:after="0" w:line="285" w:lineRule="exact"/>
              <w:ind w:firstLine="0"/>
              <w:jc w:val="both"/>
              <w:rPr>
                <w:rFonts w:hint="eastAsia" w:ascii="宋体" w:hAnsi="宋体" w:eastAsia="宋体"/>
                <w:color w:val="000000"/>
                <w:sz w:val="22"/>
              </w:rPr>
            </w:pPr>
          </w:p>
          <w:p w14:paraId="5D7547F3">
            <w:pPr>
              <w:autoSpaceDE w:val="0"/>
              <w:autoSpaceDN w:val="0"/>
              <w:spacing w:before="169" w:after="0" w:line="285" w:lineRule="exact"/>
              <w:jc w:val="center"/>
              <w:rPr>
                <w:sz w:val="22"/>
              </w:rPr>
            </w:pPr>
            <w:r>
              <w:rPr>
                <w:rFonts w:hint="eastAsia" w:ascii="Calibri" w:hAnsi="Calibri" w:eastAsia="Calibri"/>
                <w:color w:val="000000"/>
                <w:sz w:val="22"/>
              </w:rPr>
              <w:t>k㎡</w:t>
            </w:r>
          </w:p>
        </w:tc>
        <w:tc>
          <w:tcPr>
            <w:tcW w:w="549" w:type="dxa"/>
            <w:tcBorders>
              <w:top w:val="single" w:color="000000" w:sz="4" w:space="0"/>
              <w:left w:val="single" w:color="000000" w:sz="4" w:space="0"/>
              <w:bottom w:val="single" w:color="000000" w:sz="4" w:space="0"/>
              <w:right w:val="single" w:color="000000" w:sz="4" w:space="0"/>
            </w:tcBorders>
            <w:vAlign w:val="top"/>
          </w:tcPr>
          <w:p w14:paraId="5BFAC914">
            <w:pPr>
              <w:autoSpaceDE w:val="0"/>
              <w:autoSpaceDN w:val="0"/>
              <w:spacing w:before="0" w:after="0" w:line="285" w:lineRule="exact"/>
              <w:ind w:firstLine="0"/>
              <w:jc w:val="both"/>
              <w:rPr>
                <w:rFonts w:hint="eastAsia" w:ascii="宋体" w:hAnsi="宋体" w:eastAsia="宋体"/>
                <w:color w:val="000000"/>
                <w:sz w:val="22"/>
              </w:rPr>
            </w:pPr>
          </w:p>
          <w:p w14:paraId="4EBC46C4">
            <w:pPr>
              <w:autoSpaceDE w:val="0"/>
              <w:autoSpaceDN w:val="0"/>
              <w:spacing w:before="0" w:after="0" w:line="285" w:lineRule="exact"/>
              <w:ind w:firstLine="0"/>
              <w:jc w:val="both"/>
              <w:rPr>
                <w:rFonts w:hint="eastAsia" w:ascii="宋体" w:hAnsi="宋体" w:eastAsia="宋体"/>
                <w:color w:val="000000"/>
                <w:sz w:val="22"/>
              </w:rPr>
            </w:pPr>
          </w:p>
          <w:p w14:paraId="4F6994C4">
            <w:pPr>
              <w:autoSpaceDE w:val="0"/>
              <w:autoSpaceDN w:val="0"/>
              <w:spacing w:before="169" w:after="0" w:line="285" w:lineRule="exact"/>
              <w:jc w:val="center"/>
              <w:rPr>
                <w:sz w:val="22"/>
              </w:rPr>
            </w:pPr>
            <w:r>
              <w:rPr>
                <w:rFonts w:hint="eastAsia" w:ascii="Calibri" w:hAnsi="Calibri" w:eastAsia="Calibri"/>
                <w:color w:val="000000"/>
                <w:sz w:val="22"/>
              </w:rPr>
              <w:t>207</w:t>
            </w:r>
          </w:p>
        </w:tc>
        <w:tc>
          <w:tcPr>
            <w:tcW w:w="1354" w:type="dxa"/>
            <w:tcBorders>
              <w:top w:val="single" w:color="000000" w:sz="4" w:space="0"/>
              <w:left w:val="single" w:color="000000" w:sz="4" w:space="0"/>
              <w:bottom w:val="single" w:color="000000" w:sz="4" w:space="0"/>
              <w:right w:val="single" w:color="000000" w:sz="4" w:space="0"/>
            </w:tcBorders>
            <w:vAlign w:val="top"/>
          </w:tcPr>
          <w:p w14:paraId="2B63429B">
            <w:pPr>
              <w:autoSpaceDE w:val="0"/>
              <w:autoSpaceDN w:val="0"/>
              <w:spacing w:before="0" w:after="0" w:line="285" w:lineRule="exact"/>
              <w:ind w:firstLine="0"/>
              <w:jc w:val="both"/>
              <w:rPr>
                <w:rFonts w:hint="eastAsia" w:ascii="宋体" w:hAnsi="宋体" w:eastAsia="宋体"/>
                <w:color w:val="000000"/>
                <w:sz w:val="22"/>
              </w:rPr>
            </w:pPr>
          </w:p>
          <w:p w14:paraId="34B92411">
            <w:pPr>
              <w:autoSpaceDE w:val="0"/>
              <w:autoSpaceDN w:val="0"/>
              <w:spacing w:before="0" w:after="0" w:line="285" w:lineRule="exact"/>
              <w:ind w:firstLine="0"/>
              <w:jc w:val="both"/>
              <w:rPr>
                <w:rFonts w:hint="eastAsia" w:ascii="宋体" w:hAnsi="宋体" w:eastAsia="宋体"/>
                <w:color w:val="000000"/>
                <w:sz w:val="22"/>
              </w:rPr>
            </w:pPr>
          </w:p>
          <w:p w14:paraId="567976E6">
            <w:pPr>
              <w:autoSpaceDE w:val="0"/>
              <w:autoSpaceDN w:val="0"/>
              <w:spacing w:before="129" w:after="0" w:line="285" w:lineRule="exact"/>
              <w:jc w:val="center"/>
              <w:rPr>
                <w:sz w:val="22"/>
              </w:rPr>
            </w:pPr>
            <w:r>
              <w:rPr>
                <w:rFonts w:hint="eastAsia" w:ascii="Calibri" w:hAnsi="Calibri" w:eastAsia="Calibri"/>
                <w:color w:val="000000"/>
                <w:sz w:val="22"/>
              </w:rPr>
              <w:t>1639.5</w:t>
            </w:r>
          </w:p>
        </w:tc>
        <w:tc>
          <w:tcPr>
            <w:tcW w:w="931" w:type="dxa"/>
            <w:tcBorders>
              <w:top w:val="single" w:color="000000" w:sz="4" w:space="0"/>
              <w:left w:val="single" w:color="000000" w:sz="4" w:space="0"/>
              <w:bottom w:val="single" w:color="000000" w:sz="4" w:space="0"/>
              <w:right w:val="single" w:color="000000" w:sz="4" w:space="0"/>
            </w:tcBorders>
            <w:vAlign w:val="center"/>
          </w:tcPr>
          <w:p w14:paraId="040F421F">
            <w:pPr>
              <w:autoSpaceDE w:val="0"/>
              <w:autoSpaceDN w:val="0"/>
              <w:spacing w:before="0" w:after="0" w:line="272" w:lineRule="exact"/>
              <w:jc w:val="center"/>
              <w:rPr>
                <w:rFonts w:hint="eastAsia" w:ascii="宋体" w:hAnsi="宋体" w:eastAsia="宋体"/>
                <w:color w:val="000000"/>
                <w:sz w:val="21"/>
              </w:rPr>
            </w:pPr>
          </w:p>
        </w:tc>
        <w:tc>
          <w:tcPr>
            <w:tcW w:w="2029" w:type="dxa"/>
            <w:tcBorders>
              <w:top w:val="single" w:color="000000" w:sz="4" w:space="0"/>
              <w:left w:val="single" w:color="000000" w:sz="4" w:space="0"/>
              <w:bottom w:val="single" w:color="000000" w:sz="4" w:space="0"/>
              <w:right w:val="single" w:color="000000" w:sz="4" w:space="0"/>
            </w:tcBorders>
            <w:vAlign w:val="center"/>
          </w:tcPr>
          <w:p w14:paraId="2F3E7BA1">
            <w:pPr>
              <w:autoSpaceDE w:val="0"/>
              <w:autoSpaceDN w:val="0"/>
              <w:spacing w:before="0" w:after="0" w:line="285" w:lineRule="exact"/>
              <w:ind w:right="100" w:firstLine="0"/>
              <w:jc w:val="both"/>
              <w:rPr>
                <w:sz w:val="22"/>
              </w:rPr>
            </w:pPr>
            <w:r>
              <w:rPr>
                <w:rFonts w:hint="eastAsia" w:ascii="宋体" w:hAnsi="宋体" w:eastAsia="宋体"/>
                <w:color w:val="000000"/>
                <w:sz w:val="22"/>
              </w:rPr>
              <w:t>根据《县级土地资源调查生产成本定额》难度等级划分，结合卢氏县图斑密度、坡度等影响单位工作量的主要因素，本次预算按第</w:t>
            </w:r>
            <w:r>
              <w:rPr>
                <w:rFonts w:hint="eastAsia" w:ascii="Calibri" w:hAnsi="Calibri" w:eastAsia="Calibri"/>
                <w:color w:val="000000"/>
                <w:sz w:val="22"/>
              </w:rPr>
              <w:t>IV</w:t>
            </w:r>
            <w:r>
              <w:rPr>
                <w:rFonts w:hint="eastAsia" w:ascii="宋体" w:hAnsi="宋体" w:eastAsia="宋体"/>
                <w:color w:val="000000"/>
                <w:sz w:val="22"/>
              </w:rPr>
              <w:t>等级难度。</w:t>
            </w:r>
          </w:p>
        </w:tc>
      </w:tr>
      <w:tr w14:paraId="2F60033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32" w:hRule="atLeast"/>
        </w:trPr>
        <w:tc>
          <w:tcPr>
            <w:tcW w:w="451" w:type="dxa"/>
            <w:tcBorders>
              <w:top w:val="single" w:color="000000" w:sz="4" w:space="0"/>
              <w:left w:val="single" w:color="000000" w:sz="4" w:space="0"/>
              <w:bottom w:val="single" w:color="000000" w:sz="4" w:space="0"/>
              <w:right w:val="single" w:color="000000" w:sz="4" w:space="0"/>
            </w:tcBorders>
            <w:vAlign w:val="top"/>
          </w:tcPr>
          <w:p w14:paraId="21834EE9">
            <w:pPr>
              <w:autoSpaceDE w:val="0"/>
              <w:autoSpaceDN w:val="0"/>
              <w:spacing w:before="0" w:after="0" w:line="285" w:lineRule="exact"/>
              <w:ind w:firstLine="0"/>
              <w:jc w:val="both"/>
              <w:rPr>
                <w:rFonts w:hint="eastAsia" w:ascii="宋体" w:hAnsi="宋体" w:eastAsia="宋体"/>
                <w:color w:val="000000"/>
                <w:sz w:val="22"/>
              </w:rPr>
            </w:pPr>
          </w:p>
          <w:p w14:paraId="5B32AA4E">
            <w:pPr>
              <w:autoSpaceDE w:val="0"/>
              <w:autoSpaceDN w:val="0"/>
              <w:spacing w:before="0" w:after="0" w:line="285" w:lineRule="exact"/>
              <w:ind w:firstLine="0"/>
              <w:jc w:val="both"/>
              <w:rPr>
                <w:rFonts w:hint="eastAsia" w:ascii="宋体" w:hAnsi="宋体" w:eastAsia="宋体"/>
                <w:color w:val="000000"/>
                <w:sz w:val="22"/>
              </w:rPr>
            </w:pPr>
          </w:p>
          <w:p w14:paraId="25A8F07D">
            <w:pPr>
              <w:autoSpaceDE w:val="0"/>
              <w:autoSpaceDN w:val="0"/>
              <w:spacing w:before="0" w:after="0" w:line="285" w:lineRule="exact"/>
              <w:ind w:firstLine="0"/>
              <w:jc w:val="both"/>
              <w:rPr>
                <w:rFonts w:hint="eastAsia" w:ascii="宋体" w:hAnsi="宋体" w:eastAsia="宋体"/>
                <w:color w:val="000000"/>
                <w:sz w:val="22"/>
              </w:rPr>
            </w:pPr>
          </w:p>
          <w:p w14:paraId="64E907D9">
            <w:pPr>
              <w:autoSpaceDE w:val="0"/>
              <w:autoSpaceDN w:val="0"/>
              <w:spacing w:before="24" w:after="0" w:line="285" w:lineRule="exact"/>
              <w:jc w:val="center"/>
              <w:rPr>
                <w:sz w:val="22"/>
              </w:rPr>
            </w:pPr>
            <w:r>
              <w:rPr>
                <w:rFonts w:hint="eastAsia" w:ascii="Calibri" w:hAnsi="Calibri" w:eastAsia="Calibri"/>
                <w:color w:val="000000"/>
                <w:sz w:val="22"/>
              </w:rPr>
              <w:t>2</w:t>
            </w:r>
          </w:p>
        </w:tc>
        <w:tc>
          <w:tcPr>
            <w:tcW w:w="765" w:type="dxa"/>
            <w:tcBorders>
              <w:top w:val="single" w:color="000000" w:sz="4" w:space="0"/>
              <w:left w:val="single" w:color="000000" w:sz="4" w:space="0"/>
              <w:bottom w:val="single" w:color="000000" w:sz="4" w:space="0"/>
              <w:right w:val="single" w:color="000000" w:sz="4" w:space="0"/>
            </w:tcBorders>
            <w:vAlign w:val="center"/>
          </w:tcPr>
          <w:p w14:paraId="4A5F52E8">
            <w:pPr>
              <w:autoSpaceDE w:val="0"/>
              <w:autoSpaceDN w:val="0"/>
              <w:spacing w:after="0" w:line="240" w:lineRule="auto"/>
              <w:ind w:left="0" w:firstLine="0"/>
              <w:jc w:val="center"/>
              <w:rPr>
                <w:sz w:val="22"/>
              </w:rPr>
            </w:pPr>
            <w:r>
              <w:rPr>
                <w:rFonts w:hint="eastAsia" w:ascii="宋体" w:hAnsi="宋体" w:eastAsia="宋体"/>
                <w:color w:val="000000"/>
                <w:sz w:val="22"/>
              </w:rPr>
              <w:t>城镇村庄内部土地利用现状调查</w:t>
            </w:r>
          </w:p>
        </w:tc>
        <w:tc>
          <w:tcPr>
            <w:tcW w:w="3789" w:type="dxa"/>
            <w:tcBorders>
              <w:top w:val="single" w:color="000000" w:sz="4" w:space="0"/>
              <w:left w:val="single" w:color="000000" w:sz="4" w:space="0"/>
              <w:bottom w:val="single" w:color="000000" w:sz="4" w:space="0"/>
              <w:right w:val="single" w:color="000000" w:sz="4" w:space="0"/>
            </w:tcBorders>
            <w:vAlign w:val="center"/>
          </w:tcPr>
          <w:p w14:paraId="7F15165D">
            <w:pPr>
              <w:autoSpaceDE w:val="0"/>
              <w:autoSpaceDN w:val="0"/>
              <w:spacing w:before="113" w:after="0" w:line="285" w:lineRule="exact"/>
              <w:ind w:right="180" w:firstLine="0"/>
              <w:jc w:val="center"/>
              <w:rPr>
                <w:sz w:val="22"/>
              </w:rPr>
            </w:pPr>
            <w:r>
              <w:rPr>
                <w:rFonts w:hint="eastAsia" w:ascii="宋体" w:hAnsi="宋体" w:eastAsia="宋体"/>
                <w:color w:val="000000"/>
                <w:sz w:val="22"/>
              </w:rPr>
              <w:t>与农村土地利用现状变更调查同步开展，在汇总时分别统计。充分利用地籍调查和不动产登记成果，开展</w:t>
            </w:r>
            <w:r>
              <w:rPr>
                <w:rFonts w:hint="eastAsia" w:ascii="Calibri" w:hAnsi="Calibri" w:eastAsia="Calibri"/>
                <w:color w:val="000000"/>
                <w:sz w:val="22"/>
              </w:rPr>
              <w:t>2026</w:t>
            </w:r>
            <w:r>
              <w:rPr>
                <w:rFonts w:hint="eastAsia" w:ascii="宋体" w:hAnsi="宋体" w:eastAsia="宋体"/>
                <w:color w:val="000000"/>
                <w:sz w:val="22"/>
              </w:rPr>
              <w:t>年度变更调查城镇村庄内部土地利用现状二级地类的调查更新。</w:t>
            </w:r>
          </w:p>
        </w:tc>
        <w:tc>
          <w:tcPr>
            <w:tcW w:w="622" w:type="dxa"/>
            <w:tcBorders>
              <w:top w:val="single" w:color="000000" w:sz="4" w:space="0"/>
              <w:left w:val="single" w:color="000000" w:sz="4" w:space="0"/>
              <w:bottom w:val="single" w:color="000000" w:sz="4" w:space="0"/>
              <w:right w:val="single" w:color="000000" w:sz="4" w:space="0"/>
            </w:tcBorders>
            <w:vAlign w:val="top"/>
          </w:tcPr>
          <w:p w14:paraId="373802AA">
            <w:pPr>
              <w:autoSpaceDE w:val="0"/>
              <w:autoSpaceDN w:val="0"/>
              <w:spacing w:before="0" w:after="0" w:line="285" w:lineRule="exact"/>
              <w:ind w:firstLine="0"/>
              <w:jc w:val="both"/>
              <w:rPr>
                <w:rFonts w:hint="eastAsia" w:ascii="宋体" w:hAnsi="宋体" w:eastAsia="宋体"/>
                <w:color w:val="000000"/>
                <w:sz w:val="22"/>
              </w:rPr>
            </w:pPr>
          </w:p>
          <w:p w14:paraId="04D4893B">
            <w:pPr>
              <w:autoSpaceDE w:val="0"/>
              <w:autoSpaceDN w:val="0"/>
              <w:spacing w:before="0" w:after="0" w:line="285" w:lineRule="exact"/>
              <w:ind w:firstLine="0"/>
              <w:jc w:val="both"/>
              <w:rPr>
                <w:rFonts w:hint="eastAsia" w:ascii="宋体" w:hAnsi="宋体" w:eastAsia="宋体"/>
                <w:color w:val="000000"/>
                <w:sz w:val="22"/>
              </w:rPr>
            </w:pPr>
          </w:p>
          <w:p w14:paraId="67022C5B">
            <w:pPr>
              <w:autoSpaceDE w:val="0"/>
              <w:autoSpaceDN w:val="0"/>
              <w:spacing w:before="0" w:after="0" w:line="285" w:lineRule="exact"/>
              <w:ind w:firstLine="0"/>
              <w:jc w:val="both"/>
              <w:rPr>
                <w:rFonts w:hint="eastAsia" w:ascii="宋体" w:hAnsi="宋体" w:eastAsia="宋体"/>
                <w:color w:val="000000"/>
                <w:sz w:val="22"/>
              </w:rPr>
            </w:pPr>
          </w:p>
          <w:p w14:paraId="4B225FA9">
            <w:pPr>
              <w:autoSpaceDE w:val="0"/>
              <w:autoSpaceDN w:val="0"/>
              <w:spacing w:before="24" w:after="0" w:line="285" w:lineRule="exact"/>
              <w:jc w:val="center"/>
              <w:rPr>
                <w:sz w:val="22"/>
              </w:rPr>
            </w:pPr>
            <w:r>
              <w:rPr>
                <w:rFonts w:hint="eastAsia" w:ascii="Calibri" w:hAnsi="Calibri" w:eastAsia="Calibri"/>
                <w:color w:val="000000"/>
                <w:sz w:val="22"/>
              </w:rPr>
              <w:t>k㎡</w:t>
            </w:r>
          </w:p>
        </w:tc>
        <w:tc>
          <w:tcPr>
            <w:tcW w:w="549" w:type="dxa"/>
            <w:tcBorders>
              <w:top w:val="single" w:color="000000" w:sz="4" w:space="0"/>
              <w:left w:val="single" w:color="000000" w:sz="4" w:space="0"/>
              <w:bottom w:val="single" w:color="000000" w:sz="4" w:space="0"/>
              <w:right w:val="single" w:color="000000" w:sz="4" w:space="0"/>
            </w:tcBorders>
            <w:vAlign w:val="top"/>
          </w:tcPr>
          <w:p w14:paraId="5C15D63B">
            <w:pPr>
              <w:autoSpaceDE w:val="0"/>
              <w:autoSpaceDN w:val="0"/>
              <w:spacing w:before="0" w:after="0" w:line="285" w:lineRule="exact"/>
              <w:ind w:firstLine="0"/>
              <w:jc w:val="both"/>
              <w:rPr>
                <w:rFonts w:hint="eastAsia" w:ascii="宋体" w:hAnsi="宋体" w:eastAsia="宋体"/>
                <w:color w:val="000000"/>
                <w:sz w:val="22"/>
              </w:rPr>
            </w:pPr>
          </w:p>
          <w:p w14:paraId="6CE7DA96">
            <w:pPr>
              <w:autoSpaceDE w:val="0"/>
              <w:autoSpaceDN w:val="0"/>
              <w:spacing w:before="0" w:after="0" w:line="285" w:lineRule="exact"/>
              <w:ind w:firstLine="0"/>
              <w:jc w:val="both"/>
              <w:rPr>
                <w:rFonts w:hint="eastAsia" w:ascii="宋体" w:hAnsi="宋体" w:eastAsia="宋体"/>
                <w:color w:val="000000"/>
                <w:sz w:val="22"/>
              </w:rPr>
            </w:pPr>
          </w:p>
          <w:p w14:paraId="279C9DDB">
            <w:pPr>
              <w:autoSpaceDE w:val="0"/>
              <w:autoSpaceDN w:val="0"/>
              <w:spacing w:before="0" w:after="0" w:line="285" w:lineRule="exact"/>
              <w:ind w:firstLine="0"/>
              <w:jc w:val="both"/>
              <w:rPr>
                <w:rFonts w:hint="eastAsia" w:ascii="宋体" w:hAnsi="宋体" w:eastAsia="宋体"/>
                <w:color w:val="000000"/>
                <w:sz w:val="22"/>
              </w:rPr>
            </w:pPr>
          </w:p>
          <w:p w14:paraId="4A5F3E10">
            <w:pPr>
              <w:autoSpaceDE w:val="0"/>
              <w:autoSpaceDN w:val="0"/>
              <w:spacing w:before="64" w:after="0" w:line="285" w:lineRule="exact"/>
              <w:jc w:val="center"/>
              <w:rPr>
                <w:sz w:val="22"/>
              </w:rPr>
            </w:pPr>
            <w:r>
              <w:rPr>
                <w:rFonts w:hint="eastAsia" w:ascii="Calibri" w:hAnsi="Calibri" w:eastAsia="Calibri"/>
                <w:color w:val="000000"/>
                <w:sz w:val="22"/>
              </w:rPr>
              <w:t>20</w:t>
            </w:r>
          </w:p>
        </w:tc>
        <w:tc>
          <w:tcPr>
            <w:tcW w:w="1354" w:type="dxa"/>
            <w:tcBorders>
              <w:top w:val="single" w:color="000000" w:sz="4" w:space="0"/>
              <w:left w:val="single" w:color="000000" w:sz="4" w:space="0"/>
              <w:bottom w:val="single" w:color="000000" w:sz="4" w:space="0"/>
              <w:right w:val="single" w:color="000000" w:sz="4" w:space="0"/>
            </w:tcBorders>
            <w:vAlign w:val="top"/>
          </w:tcPr>
          <w:p w14:paraId="4946EB79">
            <w:pPr>
              <w:autoSpaceDE w:val="0"/>
              <w:autoSpaceDN w:val="0"/>
              <w:spacing w:before="0" w:after="0" w:line="285" w:lineRule="exact"/>
              <w:ind w:firstLine="0"/>
              <w:jc w:val="both"/>
              <w:rPr>
                <w:rFonts w:hint="eastAsia" w:ascii="宋体" w:hAnsi="宋体" w:eastAsia="宋体"/>
                <w:color w:val="000000"/>
                <w:sz w:val="22"/>
              </w:rPr>
            </w:pPr>
          </w:p>
          <w:p w14:paraId="225166B9">
            <w:pPr>
              <w:autoSpaceDE w:val="0"/>
              <w:autoSpaceDN w:val="0"/>
              <w:spacing w:before="0" w:after="0" w:line="285" w:lineRule="exact"/>
              <w:ind w:firstLine="0"/>
              <w:jc w:val="both"/>
              <w:rPr>
                <w:rFonts w:hint="eastAsia" w:ascii="宋体" w:hAnsi="宋体" w:eastAsia="宋体"/>
                <w:color w:val="000000"/>
                <w:sz w:val="22"/>
              </w:rPr>
            </w:pPr>
          </w:p>
          <w:p w14:paraId="261F9DF1">
            <w:pPr>
              <w:autoSpaceDE w:val="0"/>
              <w:autoSpaceDN w:val="0"/>
              <w:spacing w:before="0" w:after="0" w:line="285" w:lineRule="exact"/>
              <w:ind w:firstLine="0"/>
              <w:jc w:val="both"/>
              <w:rPr>
                <w:rFonts w:hint="eastAsia" w:ascii="宋体" w:hAnsi="宋体" w:eastAsia="宋体"/>
                <w:color w:val="000000"/>
                <w:sz w:val="22"/>
              </w:rPr>
            </w:pPr>
          </w:p>
          <w:p w14:paraId="6BAE0AC1">
            <w:pPr>
              <w:autoSpaceDE w:val="0"/>
              <w:autoSpaceDN w:val="0"/>
              <w:spacing w:before="24" w:after="0" w:line="285" w:lineRule="exact"/>
              <w:jc w:val="center"/>
              <w:rPr>
                <w:sz w:val="22"/>
              </w:rPr>
            </w:pPr>
            <w:r>
              <w:rPr>
                <w:rFonts w:hint="eastAsia" w:ascii="Calibri" w:hAnsi="Calibri" w:eastAsia="Calibri"/>
                <w:color w:val="000000"/>
                <w:sz w:val="22"/>
              </w:rPr>
              <w:t>1639.5</w:t>
            </w:r>
          </w:p>
        </w:tc>
        <w:tc>
          <w:tcPr>
            <w:tcW w:w="931" w:type="dxa"/>
            <w:tcBorders>
              <w:top w:val="single" w:color="000000" w:sz="4" w:space="0"/>
              <w:left w:val="single" w:color="000000" w:sz="4" w:space="0"/>
              <w:bottom w:val="single" w:color="000000" w:sz="4" w:space="0"/>
              <w:right w:val="single" w:color="000000" w:sz="4" w:space="0"/>
            </w:tcBorders>
            <w:vAlign w:val="center"/>
          </w:tcPr>
          <w:p w14:paraId="326F56B7">
            <w:pPr>
              <w:autoSpaceDE w:val="0"/>
              <w:autoSpaceDN w:val="0"/>
              <w:spacing w:before="0" w:after="0" w:line="272" w:lineRule="exact"/>
              <w:jc w:val="center"/>
              <w:rPr>
                <w:rFonts w:hint="eastAsia" w:ascii="宋体" w:hAnsi="宋体" w:eastAsia="宋体"/>
                <w:color w:val="000000"/>
                <w:sz w:val="21"/>
              </w:rPr>
            </w:pPr>
          </w:p>
        </w:tc>
        <w:tc>
          <w:tcPr>
            <w:tcW w:w="2029" w:type="dxa"/>
            <w:tcBorders>
              <w:top w:val="single" w:color="000000" w:sz="4" w:space="0"/>
              <w:left w:val="single" w:color="000000" w:sz="4" w:space="0"/>
              <w:bottom w:val="single" w:color="000000" w:sz="4" w:space="0"/>
              <w:right w:val="single" w:color="000000" w:sz="4" w:space="0"/>
            </w:tcBorders>
            <w:vAlign w:val="center"/>
          </w:tcPr>
          <w:p w14:paraId="4EAA7518">
            <w:pPr>
              <w:autoSpaceDE w:val="0"/>
              <w:autoSpaceDN w:val="0"/>
              <w:spacing w:before="213" w:after="0" w:line="285" w:lineRule="exact"/>
              <w:ind w:right="80" w:hanging="20"/>
              <w:jc w:val="both"/>
              <w:rPr>
                <w:sz w:val="22"/>
              </w:rPr>
            </w:pPr>
            <w:r>
              <w:rPr>
                <w:rFonts w:hint="eastAsia" w:ascii="宋体" w:hAnsi="宋体" w:eastAsia="宋体"/>
                <w:color w:val="000000"/>
                <w:sz w:val="22"/>
              </w:rPr>
              <w:t>根据《县级土地资源调查生产成本定额》难度等级划分，结合卢氏县图斑密度、坡度等影响单位工作量的主要因素，本次预算按第</w:t>
            </w:r>
            <w:r>
              <w:rPr>
                <w:rFonts w:hint="eastAsia" w:ascii="Calibri" w:hAnsi="Calibri" w:eastAsia="Calibri"/>
                <w:color w:val="000000"/>
                <w:sz w:val="22"/>
              </w:rPr>
              <w:t>IV</w:t>
            </w:r>
            <w:r>
              <w:rPr>
                <w:rFonts w:hint="eastAsia" w:ascii="宋体" w:hAnsi="宋体" w:eastAsia="宋体"/>
                <w:color w:val="000000"/>
                <w:sz w:val="22"/>
              </w:rPr>
              <w:t>等级难度</w:t>
            </w:r>
          </w:p>
        </w:tc>
      </w:tr>
    </w:tbl>
    <w:p w14:paraId="73F3AD43">
      <w:pPr>
        <w:rPr>
          <w:lang w:eastAsia="zh-CN"/>
        </w:rPr>
        <w:sectPr>
          <w:pgSz w:w="11910" w:h="16840"/>
          <w:pgMar w:top="1440" w:right="1080" w:bottom="1440" w:left="1080" w:header="0" w:footer="909" w:gutter="0"/>
          <w:pgNumType w:fmt="decimal"/>
          <w:cols w:space="720" w:num="1"/>
          <w:docGrid w:linePitch="299" w:charSpace="0"/>
        </w:sectPr>
      </w:pPr>
    </w:p>
    <w:p w14:paraId="06728311">
      <w:pPr>
        <w:spacing w:line="360" w:lineRule="auto"/>
        <w:ind w:firstLine="560" w:firstLineChars="200"/>
        <w:rPr>
          <w:rFonts w:hint="eastAsia"/>
          <w:sz w:val="28"/>
          <w:szCs w:val="28"/>
          <w:lang w:val="en-US" w:eastAsia="zh-CN"/>
        </w:rPr>
      </w:pPr>
    </w:p>
    <w:p w14:paraId="36BD4D86">
      <w:pPr>
        <w:autoSpaceDE w:val="0"/>
        <w:autoSpaceDN w:val="0"/>
        <w:spacing w:before="0" w:after="0" w:line="373" w:lineRule="exact"/>
        <w:jc w:val="center"/>
        <w:rPr>
          <w:sz w:val="36"/>
        </w:rPr>
      </w:pPr>
      <w:r>
        <w:rPr>
          <w:rFonts w:hint="eastAsia" w:ascii="宋体" w:hAnsi="宋体" w:eastAsia="宋体"/>
          <w:b/>
          <w:color w:val="000000"/>
          <w:sz w:val="36"/>
        </w:rPr>
        <w:t>卢氏县</w:t>
      </w:r>
      <w:r>
        <w:rPr>
          <w:rFonts w:hint="eastAsia" w:ascii="Calibri" w:hAnsi="Calibri" w:eastAsia="Calibri"/>
          <w:b/>
          <w:color w:val="000000"/>
          <w:sz w:val="36"/>
        </w:rPr>
        <w:t>2026</w:t>
      </w:r>
      <w:r>
        <w:rPr>
          <w:rFonts w:hint="eastAsia" w:ascii="宋体" w:hAnsi="宋体" w:eastAsia="宋体"/>
          <w:b/>
          <w:color w:val="000000"/>
          <w:sz w:val="36"/>
        </w:rPr>
        <w:t>年度一体化调查监测工作项目</w:t>
      </w:r>
    </w:p>
    <w:tbl>
      <w:tblPr>
        <w:tblStyle w:val="12"/>
        <w:tblW w:w="10513" w:type="dxa"/>
        <w:tblInd w:w="-326"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0" w:type="dxa"/>
          <w:bottom w:w="0" w:type="dxa"/>
          <w:right w:w="0" w:type="dxa"/>
        </w:tblCellMar>
      </w:tblPr>
      <w:tblGrid>
        <w:gridCol w:w="464"/>
        <w:gridCol w:w="756"/>
        <w:gridCol w:w="3610"/>
        <w:gridCol w:w="549"/>
        <w:gridCol w:w="658"/>
        <w:gridCol w:w="1427"/>
        <w:gridCol w:w="1024"/>
        <w:gridCol w:w="2025"/>
      </w:tblGrid>
      <w:tr w14:paraId="1F6B7D4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820" w:hRule="atLeast"/>
        </w:trPr>
        <w:tc>
          <w:tcPr>
            <w:tcW w:w="464" w:type="dxa"/>
            <w:tcBorders>
              <w:top w:val="single" w:color="000000" w:sz="4" w:space="0"/>
              <w:left w:val="single" w:color="000000" w:sz="4" w:space="0"/>
              <w:bottom w:val="single" w:color="000000" w:sz="4" w:space="0"/>
              <w:right w:val="single" w:color="000000" w:sz="4" w:space="0"/>
            </w:tcBorders>
            <w:vAlign w:val="center"/>
          </w:tcPr>
          <w:p w14:paraId="7D6CFD13">
            <w:pPr>
              <w:autoSpaceDE w:val="0"/>
              <w:autoSpaceDN w:val="0"/>
              <w:spacing w:before="0" w:after="0" w:line="285" w:lineRule="exact"/>
              <w:ind w:firstLine="0"/>
              <w:jc w:val="center"/>
              <w:rPr>
                <w:rFonts w:hint="eastAsia" w:ascii="宋体" w:hAnsi="宋体" w:eastAsia="宋体"/>
                <w:color w:val="000000"/>
                <w:sz w:val="22"/>
              </w:rPr>
            </w:pPr>
          </w:p>
          <w:p w14:paraId="6CD62FC3">
            <w:pPr>
              <w:autoSpaceDE w:val="0"/>
              <w:autoSpaceDN w:val="0"/>
              <w:spacing w:before="54" w:after="0" w:line="285" w:lineRule="exact"/>
              <w:jc w:val="center"/>
              <w:rPr>
                <w:sz w:val="22"/>
              </w:rPr>
            </w:pPr>
            <w:r>
              <w:rPr>
                <w:rFonts w:hint="eastAsia" w:ascii="宋体" w:hAnsi="宋体" w:eastAsia="宋体"/>
                <w:color w:val="000000"/>
                <w:sz w:val="22"/>
              </w:rPr>
              <w:t>序号</w:t>
            </w:r>
          </w:p>
        </w:tc>
        <w:tc>
          <w:tcPr>
            <w:tcW w:w="756" w:type="dxa"/>
            <w:tcBorders>
              <w:top w:val="single" w:color="000000" w:sz="4" w:space="0"/>
              <w:left w:val="single" w:color="000000" w:sz="4" w:space="0"/>
              <w:bottom w:val="single" w:color="000000" w:sz="4" w:space="0"/>
              <w:right w:val="single" w:color="000000" w:sz="4" w:space="0"/>
            </w:tcBorders>
            <w:vAlign w:val="center"/>
          </w:tcPr>
          <w:p w14:paraId="6AE0D614">
            <w:pPr>
              <w:autoSpaceDE w:val="0"/>
              <w:autoSpaceDN w:val="0"/>
              <w:spacing w:before="0" w:after="0" w:line="285" w:lineRule="exact"/>
              <w:ind w:firstLine="0"/>
              <w:jc w:val="center"/>
              <w:rPr>
                <w:rFonts w:hint="eastAsia" w:ascii="宋体" w:hAnsi="宋体" w:eastAsia="宋体"/>
                <w:color w:val="000000"/>
                <w:sz w:val="22"/>
              </w:rPr>
            </w:pPr>
          </w:p>
          <w:p w14:paraId="4320582A">
            <w:pPr>
              <w:autoSpaceDE w:val="0"/>
              <w:autoSpaceDN w:val="0"/>
              <w:spacing w:before="34" w:after="0" w:line="285" w:lineRule="exact"/>
              <w:jc w:val="center"/>
              <w:rPr>
                <w:sz w:val="22"/>
              </w:rPr>
            </w:pPr>
            <w:r>
              <w:rPr>
                <w:rFonts w:hint="eastAsia" w:ascii="宋体" w:hAnsi="宋体" w:eastAsia="宋体"/>
                <w:color w:val="000000"/>
                <w:sz w:val="22"/>
              </w:rPr>
              <w:t>名称</w:t>
            </w:r>
          </w:p>
        </w:tc>
        <w:tc>
          <w:tcPr>
            <w:tcW w:w="3610" w:type="dxa"/>
            <w:tcBorders>
              <w:top w:val="single" w:color="000000" w:sz="4" w:space="0"/>
              <w:left w:val="single" w:color="000000" w:sz="4" w:space="0"/>
              <w:bottom w:val="single" w:color="000000" w:sz="4" w:space="0"/>
              <w:right w:val="single" w:color="000000" w:sz="4" w:space="0"/>
            </w:tcBorders>
            <w:vAlign w:val="center"/>
          </w:tcPr>
          <w:p w14:paraId="7F4A91BD">
            <w:pPr>
              <w:autoSpaceDE w:val="0"/>
              <w:autoSpaceDN w:val="0"/>
              <w:spacing w:before="0" w:after="0" w:line="285" w:lineRule="exact"/>
              <w:ind w:firstLine="0"/>
              <w:jc w:val="center"/>
              <w:rPr>
                <w:rFonts w:hint="eastAsia" w:ascii="宋体" w:hAnsi="宋体" w:eastAsia="宋体"/>
                <w:color w:val="000000"/>
                <w:sz w:val="22"/>
              </w:rPr>
            </w:pPr>
          </w:p>
          <w:p w14:paraId="0E7DE007">
            <w:pPr>
              <w:autoSpaceDE w:val="0"/>
              <w:autoSpaceDN w:val="0"/>
              <w:spacing w:after="0" w:line="240" w:lineRule="auto"/>
              <w:ind w:firstLine="0"/>
              <w:jc w:val="center"/>
              <w:rPr>
                <w:sz w:val="22"/>
              </w:rPr>
            </w:pPr>
            <w:r>
              <w:rPr>
                <w:rFonts w:hint="eastAsia" w:ascii="宋体" w:hAnsi="宋体" w:eastAsia="宋体"/>
                <w:color w:val="000000"/>
                <w:sz w:val="22"/>
              </w:rPr>
              <w:t>工作内容</w:t>
            </w:r>
          </w:p>
        </w:tc>
        <w:tc>
          <w:tcPr>
            <w:tcW w:w="549" w:type="dxa"/>
            <w:tcBorders>
              <w:top w:val="single" w:color="000000" w:sz="4" w:space="0"/>
              <w:left w:val="single" w:color="000000" w:sz="4" w:space="0"/>
              <w:bottom w:val="single" w:color="000000" w:sz="4" w:space="0"/>
              <w:right w:val="single" w:color="000000" w:sz="4" w:space="0"/>
            </w:tcBorders>
            <w:vAlign w:val="center"/>
          </w:tcPr>
          <w:p w14:paraId="53245EA3">
            <w:pPr>
              <w:autoSpaceDE w:val="0"/>
              <w:autoSpaceDN w:val="0"/>
              <w:spacing w:before="0" w:after="0" w:line="285" w:lineRule="exact"/>
              <w:ind w:firstLine="0"/>
              <w:jc w:val="center"/>
              <w:rPr>
                <w:rFonts w:hint="eastAsia" w:ascii="宋体" w:hAnsi="宋体" w:eastAsia="宋体"/>
                <w:color w:val="000000"/>
                <w:sz w:val="22"/>
              </w:rPr>
            </w:pPr>
          </w:p>
          <w:p w14:paraId="756F1A0E">
            <w:pPr>
              <w:autoSpaceDE w:val="0"/>
              <w:autoSpaceDN w:val="0"/>
              <w:spacing w:before="34" w:after="0" w:line="285" w:lineRule="exact"/>
              <w:jc w:val="center"/>
              <w:rPr>
                <w:sz w:val="22"/>
              </w:rPr>
            </w:pPr>
            <w:r>
              <w:rPr>
                <w:rFonts w:hint="eastAsia" w:ascii="宋体" w:hAnsi="宋体" w:eastAsia="宋体"/>
                <w:color w:val="000000"/>
                <w:sz w:val="22"/>
              </w:rPr>
              <w:t>单位</w:t>
            </w:r>
          </w:p>
        </w:tc>
        <w:tc>
          <w:tcPr>
            <w:tcW w:w="658" w:type="dxa"/>
            <w:tcBorders>
              <w:top w:val="single" w:color="000000" w:sz="4" w:space="0"/>
              <w:left w:val="single" w:color="000000" w:sz="4" w:space="0"/>
              <w:bottom w:val="single" w:color="000000" w:sz="4" w:space="0"/>
              <w:right w:val="single" w:color="000000" w:sz="4" w:space="0"/>
            </w:tcBorders>
            <w:vAlign w:val="center"/>
          </w:tcPr>
          <w:p w14:paraId="1B65D28C">
            <w:pPr>
              <w:autoSpaceDE w:val="0"/>
              <w:autoSpaceDN w:val="0"/>
              <w:spacing w:before="0" w:after="0" w:line="285" w:lineRule="exact"/>
              <w:ind w:firstLine="0"/>
              <w:jc w:val="center"/>
              <w:rPr>
                <w:rFonts w:hint="eastAsia" w:ascii="宋体" w:hAnsi="宋体" w:eastAsia="宋体"/>
                <w:color w:val="000000"/>
                <w:sz w:val="22"/>
              </w:rPr>
            </w:pPr>
          </w:p>
          <w:p w14:paraId="6493E793">
            <w:pPr>
              <w:autoSpaceDE w:val="0"/>
              <w:autoSpaceDN w:val="0"/>
              <w:spacing w:before="34" w:after="0" w:line="285" w:lineRule="exact"/>
              <w:jc w:val="center"/>
              <w:rPr>
                <w:sz w:val="22"/>
              </w:rPr>
            </w:pPr>
            <w:r>
              <w:rPr>
                <w:rFonts w:hint="eastAsia" w:ascii="宋体" w:hAnsi="宋体" w:eastAsia="宋体"/>
                <w:color w:val="000000"/>
                <w:sz w:val="22"/>
              </w:rPr>
              <w:t>数量</w:t>
            </w:r>
          </w:p>
        </w:tc>
        <w:tc>
          <w:tcPr>
            <w:tcW w:w="1427" w:type="dxa"/>
            <w:tcBorders>
              <w:top w:val="single" w:color="000000" w:sz="4" w:space="0"/>
              <w:left w:val="single" w:color="000000" w:sz="4" w:space="0"/>
              <w:bottom w:val="single" w:color="000000" w:sz="4" w:space="0"/>
              <w:right w:val="single" w:color="000000" w:sz="4" w:space="0"/>
            </w:tcBorders>
            <w:vAlign w:val="center"/>
          </w:tcPr>
          <w:p w14:paraId="35CEBE62">
            <w:pPr>
              <w:autoSpaceDE w:val="0"/>
              <w:autoSpaceDN w:val="0"/>
              <w:spacing w:before="0" w:after="0" w:line="240" w:lineRule="auto"/>
              <w:jc w:val="center"/>
              <w:rPr>
                <w:sz w:val="17"/>
              </w:rPr>
            </w:pPr>
            <w:r>
              <w:rPr>
                <w:rFonts w:hint="eastAsia" w:ascii="宋体" w:hAnsi="宋体" w:eastAsia="宋体"/>
                <w:color w:val="000000"/>
                <w:sz w:val="22"/>
              </w:rPr>
              <w:t>定额阈值之和</w:t>
            </w:r>
            <w:r>
              <w:rPr>
                <w:rFonts w:hint="eastAsia" w:ascii="宋体" w:hAnsi="宋体" w:eastAsia="宋体" w:cs="宋体"/>
                <w:color w:val="000000"/>
                <w:sz w:val="22"/>
              </w:rPr>
              <w:t>（元／k㎡）</w:t>
            </w:r>
          </w:p>
        </w:tc>
        <w:tc>
          <w:tcPr>
            <w:tcW w:w="1024" w:type="dxa"/>
            <w:tcBorders>
              <w:top w:val="single" w:color="000000" w:sz="4" w:space="0"/>
              <w:left w:val="single" w:color="000000" w:sz="4" w:space="0"/>
              <w:bottom w:val="single" w:color="000000" w:sz="4" w:space="0"/>
              <w:right w:val="single" w:color="000000" w:sz="4" w:space="0"/>
            </w:tcBorders>
            <w:vAlign w:val="center"/>
          </w:tcPr>
          <w:p w14:paraId="068500C8">
            <w:pPr>
              <w:autoSpaceDE w:val="0"/>
              <w:autoSpaceDN w:val="0"/>
              <w:spacing w:before="154" w:after="0" w:line="285" w:lineRule="exact"/>
              <w:ind w:firstLine="220" w:firstLineChars="100"/>
              <w:jc w:val="both"/>
              <w:rPr>
                <w:sz w:val="22"/>
              </w:rPr>
            </w:pPr>
            <w:r>
              <w:rPr>
                <w:rFonts w:hint="eastAsia" w:ascii="宋体" w:hAnsi="宋体" w:eastAsia="宋体"/>
                <w:color w:val="000000"/>
                <w:sz w:val="22"/>
              </w:rPr>
              <w:t>金额</w:t>
            </w:r>
          </w:p>
          <w:p w14:paraId="10E71C27">
            <w:pPr>
              <w:autoSpaceDE w:val="0"/>
              <w:autoSpaceDN w:val="0"/>
              <w:spacing w:after="0" w:line="240" w:lineRule="auto"/>
              <w:jc w:val="left"/>
              <w:rPr>
                <w:sz w:val="21"/>
              </w:rPr>
            </w:pPr>
            <w:r>
              <w:rPr>
                <w:rFonts w:hint="eastAsia" w:ascii="宋体" w:hAnsi="宋体" w:eastAsia="宋体" w:cs="宋体"/>
                <w:color w:val="000000"/>
                <w:sz w:val="22"/>
                <w:lang w:eastAsia="zh-CN"/>
              </w:rPr>
              <w:t>（</w:t>
            </w:r>
            <w:r>
              <w:rPr>
                <w:rFonts w:hint="eastAsia" w:ascii="宋体" w:hAnsi="宋体" w:eastAsia="宋体" w:cs="宋体"/>
                <w:color w:val="000000"/>
                <w:sz w:val="22"/>
              </w:rPr>
              <w:t>万元）</w:t>
            </w:r>
          </w:p>
        </w:tc>
        <w:tc>
          <w:tcPr>
            <w:tcW w:w="2025" w:type="dxa"/>
            <w:tcBorders>
              <w:top w:val="single" w:color="000000" w:sz="4" w:space="0"/>
              <w:left w:val="single" w:color="000000" w:sz="4" w:space="0"/>
              <w:bottom w:val="single" w:color="000000" w:sz="4" w:space="0"/>
              <w:right w:val="single" w:color="000000" w:sz="4" w:space="0"/>
            </w:tcBorders>
            <w:vAlign w:val="center"/>
          </w:tcPr>
          <w:p w14:paraId="5A2E2C97">
            <w:pPr>
              <w:autoSpaceDE w:val="0"/>
              <w:autoSpaceDN w:val="0"/>
              <w:spacing w:before="0" w:after="0" w:line="285" w:lineRule="exact"/>
              <w:ind w:firstLine="0"/>
              <w:jc w:val="center"/>
              <w:rPr>
                <w:rFonts w:hint="eastAsia" w:ascii="宋体" w:hAnsi="宋体" w:eastAsia="宋体"/>
                <w:color w:val="000000"/>
                <w:sz w:val="22"/>
              </w:rPr>
            </w:pPr>
          </w:p>
          <w:p w14:paraId="7160DA02">
            <w:pPr>
              <w:autoSpaceDE w:val="0"/>
              <w:autoSpaceDN w:val="0"/>
              <w:spacing w:after="0" w:line="240" w:lineRule="auto"/>
              <w:ind w:firstLine="0"/>
              <w:jc w:val="center"/>
              <w:rPr>
                <w:sz w:val="22"/>
              </w:rPr>
            </w:pPr>
            <w:r>
              <w:rPr>
                <w:rFonts w:hint="eastAsia" w:ascii="宋体" w:hAnsi="宋体" w:eastAsia="宋体"/>
                <w:color w:val="000000"/>
                <w:sz w:val="22"/>
              </w:rPr>
              <w:t>备注</w:t>
            </w:r>
          </w:p>
        </w:tc>
      </w:tr>
      <w:tr w14:paraId="32B24CC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372" w:hRule="atLeast"/>
        </w:trPr>
        <w:tc>
          <w:tcPr>
            <w:tcW w:w="464" w:type="dxa"/>
            <w:tcBorders>
              <w:top w:val="single" w:color="000000" w:sz="4" w:space="0"/>
              <w:left w:val="single" w:color="000000" w:sz="4" w:space="0"/>
              <w:bottom w:val="single" w:color="000000" w:sz="4" w:space="0"/>
              <w:right w:val="single" w:color="000000" w:sz="4" w:space="0"/>
            </w:tcBorders>
            <w:vAlign w:val="center"/>
          </w:tcPr>
          <w:p w14:paraId="283A4430">
            <w:pPr>
              <w:autoSpaceDE w:val="0"/>
              <w:autoSpaceDN w:val="0"/>
              <w:spacing w:before="0" w:after="0" w:line="285" w:lineRule="exact"/>
              <w:ind w:firstLine="0"/>
              <w:jc w:val="center"/>
              <w:rPr>
                <w:rFonts w:hint="eastAsia" w:ascii="宋体" w:hAnsi="宋体" w:eastAsia="宋体"/>
                <w:color w:val="000000"/>
                <w:sz w:val="22"/>
              </w:rPr>
            </w:pPr>
          </w:p>
          <w:p w14:paraId="17F12CF8">
            <w:pPr>
              <w:autoSpaceDE w:val="0"/>
              <w:autoSpaceDN w:val="0"/>
              <w:spacing w:before="0" w:after="0" w:line="285" w:lineRule="exact"/>
              <w:ind w:firstLine="0"/>
              <w:jc w:val="center"/>
              <w:rPr>
                <w:rFonts w:hint="eastAsia" w:ascii="宋体" w:hAnsi="宋体" w:eastAsia="宋体"/>
                <w:color w:val="000000"/>
                <w:sz w:val="22"/>
              </w:rPr>
            </w:pPr>
          </w:p>
          <w:p w14:paraId="6B1510BC">
            <w:pPr>
              <w:autoSpaceDE w:val="0"/>
              <w:autoSpaceDN w:val="0"/>
              <w:spacing w:after="0" w:line="240" w:lineRule="auto"/>
              <w:ind w:firstLine="0"/>
              <w:jc w:val="center"/>
              <w:rPr>
                <w:sz w:val="22"/>
              </w:rPr>
            </w:pPr>
            <w:r>
              <w:rPr>
                <w:rFonts w:hint="eastAsia" w:ascii="Calibri" w:hAnsi="Calibri" w:eastAsia="Calibri"/>
                <w:color w:val="000000"/>
                <w:sz w:val="22"/>
              </w:rPr>
              <w:t>3</w:t>
            </w:r>
          </w:p>
        </w:tc>
        <w:tc>
          <w:tcPr>
            <w:tcW w:w="756" w:type="dxa"/>
            <w:tcBorders>
              <w:top w:val="single" w:color="000000" w:sz="4" w:space="0"/>
              <w:left w:val="single" w:color="000000" w:sz="4" w:space="0"/>
              <w:bottom w:val="single" w:color="000000" w:sz="4" w:space="0"/>
              <w:right w:val="single" w:color="000000" w:sz="4" w:space="0"/>
            </w:tcBorders>
            <w:vAlign w:val="top"/>
          </w:tcPr>
          <w:p w14:paraId="11CF1F88">
            <w:pPr>
              <w:autoSpaceDE w:val="0"/>
              <w:autoSpaceDN w:val="0"/>
              <w:spacing w:before="0" w:after="0" w:line="272" w:lineRule="exact"/>
              <w:ind w:firstLine="0"/>
              <w:jc w:val="both"/>
              <w:rPr>
                <w:rFonts w:hint="eastAsia" w:ascii="宋体" w:hAnsi="宋体" w:eastAsia="宋体"/>
                <w:color w:val="000000"/>
                <w:sz w:val="21"/>
              </w:rPr>
            </w:pPr>
          </w:p>
          <w:p w14:paraId="582FA944">
            <w:pPr>
              <w:autoSpaceDE w:val="0"/>
              <w:autoSpaceDN w:val="0"/>
              <w:spacing w:before="0" w:after="0" w:line="272" w:lineRule="exact"/>
              <w:ind w:firstLine="0"/>
              <w:jc w:val="both"/>
              <w:rPr>
                <w:rFonts w:hint="eastAsia" w:ascii="宋体" w:hAnsi="宋体" w:eastAsia="宋体"/>
                <w:color w:val="000000"/>
                <w:sz w:val="21"/>
              </w:rPr>
            </w:pPr>
          </w:p>
          <w:p w14:paraId="5392E6F7">
            <w:pPr>
              <w:autoSpaceDE w:val="0"/>
              <w:autoSpaceDN w:val="0"/>
              <w:spacing w:before="15" w:after="0" w:line="272" w:lineRule="exact"/>
              <w:jc w:val="center"/>
              <w:rPr>
                <w:sz w:val="21"/>
              </w:rPr>
            </w:pPr>
            <w:r>
              <w:rPr>
                <w:rFonts w:hint="eastAsia" w:ascii="宋体" w:hAnsi="宋体" w:eastAsia="宋体" w:cs="宋体"/>
                <w:color w:val="000000"/>
                <w:sz w:val="22"/>
              </w:rPr>
              <w:t>土地权属调查</w:t>
            </w:r>
          </w:p>
        </w:tc>
        <w:tc>
          <w:tcPr>
            <w:tcW w:w="3610" w:type="dxa"/>
            <w:tcBorders>
              <w:top w:val="single" w:color="000000" w:sz="4" w:space="0"/>
              <w:left w:val="single" w:color="000000" w:sz="4" w:space="0"/>
              <w:bottom w:val="single" w:color="000000" w:sz="4" w:space="0"/>
              <w:right w:val="single" w:color="000000" w:sz="4" w:space="0"/>
            </w:tcBorders>
            <w:vAlign w:val="center"/>
          </w:tcPr>
          <w:p w14:paraId="7AEB3D70">
            <w:pPr>
              <w:autoSpaceDE w:val="0"/>
              <w:autoSpaceDN w:val="0"/>
              <w:spacing w:before="0" w:after="0" w:line="285" w:lineRule="exact"/>
              <w:ind w:right="160" w:firstLine="0"/>
              <w:jc w:val="center"/>
              <w:rPr>
                <w:sz w:val="22"/>
              </w:rPr>
            </w:pPr>
            <w:r>
              <w:rPr>
                <w:rFonts w:hint="eastAsia" w:ascii="宋体" w:hAnsi="宋体" w:eastAsia="宋体"/>
                <w:color w:val="000000"/>
                <w:sz w:val="22"/>
              </w:rPr>
              <w:t>县级调查单元根据集体土地所有权日常登记工作掌握的权属变化情况开展</w:t>
            </w:r>
            <w:r>
              <w:rPr>
                <w:rFonts w:hint="eastAsia" w:ascii="Calibri" w:hAnsi="Calibri" w:eastAsia="Calibri"/>
                <w:color w:val="000000"/>
                <w:sz w:val="22"/>
              </w:rPr>
              <w:t>2026</w:t>
            </w:r>
            <w:r>
              <w:rPr>
                <w:rFonts w:hint="eastAsia" w:ascii="宋体" w:hAnsi="宋体" w:eastAsia="宋体"/>
                <w:color w:val="000000"/>
                <w:sz w:val="22"/>
              </w:rPr>
              <w:t>年度变更调查权属更新，对权属界线发生变化的，要将已按照集体土地所有权地籍调查确定的成果，及时纳入年度国土变更调查。</w:t>
            </w:r>
          </w:p>
        </w:tc>
        <w:tc>
          <w:tcPr>
            <w:tcW w:w="549" w:type="dxa"/>
            <w:tcBorders>
              <w:top w:val="single" w:color="000000" w:sz="4" w:space="0"/>
              <w:left w:val="single" w:color="000000" w:sz="4" w:space="0"/>
              <w:bottom w:val="single" w:color="000000" w:sz="4" w:space="0"/>
              <w:right w:val="single" w:color="000000" w:sz="4" w:space="0"/>
            </w:tcBorders>
            <w:vAlign w:val="center"/>
          </w:tcPr>
          <w:p w14:paraId="12F1EB10">
            <w:pPr>
              <w:autoSpaceDE w:val="0"/>
              <w:autoSpaceDN w:val="0"/>
              <w:spacing w:after="0" w:line="240" w:lineRule="auto"/>
              <w:ind w:firstLine="0"/>
              <w:jc w:val="center"/>
              <w:rPr>
                <w:sz w:val="22"/>
              </w:rPr>
            </w:pPr>
            <w:r>
              <w:rPr>
                <w:rFonts w:hint="eastAsia" w:ascii="Calibri" w:hAnsi="Calibri" w:eastAsia="Calibri"/>
                <w:color w:val="000000"/>
                <w:sz w:val="22"/>
              </w:rPr>
              <w:t>k㎡</w:t>
            </w:r>
          </w:p>
        </w:tc>
        <w:tc>
          <w:tcPr>
            <w:tcW w:w="658" w:type="dxa"/>
            <w:tcBorders>
              <w:top w:val="single" w:color="000000" w:sz="4" w:space="0"/>
              <w:left w:val="single" w:color="000000" w:sz="4" w:space="0"/>
              <w:bottom w:val="single" w:color="000000" w:sz="4" w:space="0"/>
              <w:right w:val="single" w:color="000000" w:sz="4" w:space="0"/>
            </w:tcBorders>
            <w:vAlign w:val="center"/>
          </w:tcPr>
          <w:p w14:paraId="3C2B55B3">
            <w:pPr>
              <w:autoSpaceDE w:val="0"/>
              <w:autoSpaceDN w:val="0"/>
              <w:spacing w:after="0" w:line="240" w:lineRule="auto"/>
              <w:ind w:firstLine="0"/>
              <w:jc w:val="center"/>
              <w:rPr>
                <w:sz w:val="22"/>
              </w:rPr>
            </w:pPr>
            <w:r>
              <w:rPr>
                <w:rFonts w:hint="eastAsia" w:ascii="Calibri" w:hAnsi="Calibri" w:eastAsia="Calibri"/>
                <w:color w:val="000000"/>
                <w:sz w:val="22"/>
              </w:rPr>
              <w:t>15</w:t>
            </w:r>
          </w:p>
        </w:tc>
        <w:tc>
          <w:tcPr>
            <w:tcW w:w="1427" w:type="dxa"/>
            <w:tcBorders>
              <w:top w:val="single" w:color="000000" w:sz="4" w:space="0"/>
              <w:left w:val="single" w:color="000000" w:sz="4" w:space="0"/>
              <w:bottom w:val="single" w:color="000000" w:sz="4" w:space="0"/>
              <w:right w:val="single" w:color="000000" w:sz="4" w:space="0"/>
            </w:tcBorders>
            <w:vAlign w:val="center"/>
          </w:tcPr>
          <w:p w14:paraId="525FDD5F">
            <w:pPr>
              <w:autoSpaceDE w:val="0"/>
              <w:autoSpaceDN w:val="0"/>
              <w:spacing w:after="0" w:line="240" w:lineRule="auto"/>
              <w:ind w:firstLine="0"/>
              <w:jc w:val="center"/>
              <w:rPr>
                <w:sz w:val="22"/>
              </w:rPr>
            </w:pPr>
            <w:r>
              <w:rPr>
                <w:rFonts w:hint="eastAsia" w:ascii="Calibri" w:hAnsi="Calibri" w:eastAsia="Calibri"/>
                <w:color w:val="000000"/>
                <w:sz w:val="22"/>
              </w:rPr>
              <w:t>621.82</w:t>
            </w:r>
          </w:p>
        </w:tc>
        <w:tc>
          <w:tcPr>
            <w:tcW w:w="1024" w:type="dxa"/>
            <w:tcBorders>
              <w:top w:val="single" w:color="000000" w:sz="4" w:space="0"/>
              <w:left w:val="single" w:color="000000" w:sz="4" w:space="0"/>
              <w:bottom w:val="single" w:color="000000" w:sz="4" w:space="0"/>
              <w:right w:val="single" w:color="000000" w:sz="4" w:space="0"/>
            </w:tcBorders>
            <w:vAlign w:val="center"/>
          </w:tcPr>
          <w:p w14:paraId="3E9C337F">
            <w:pPr>
              <w:autoSpaceDE w:val="0"/>
              <w:autoSpaceDN w:val="0"/>
              <w:spacing w:before="0" w:after="0" w:line="272" w:lineRule="exact"/>
              <w:jc w:val="center"/>
              <w:rPr>
                <w:rFonts w:hint="eastAsia" w:ascii="宋体" w:hAnsi="宋体" w:eastAsia="宋体"/>
                <w:color w:val="000000"/>
                <w:sz w:val="21"/>
              </w:rPr>
            </w:pPr>
          </w:p>
        </w:tc>
        <w:tc>
          <w:tcPr>
            <w:tcW w:w="2025" w:type="dxa"/>
            <w:tcBorders>
              <w:top w:val="single" w:color="000000" w:sz="4" w:space="0"/>
              <w:left w:val="single" w:color="000000" w:sz="4" w:space="0"/>
              <w:bottom w:val="single" w:color="000000" w:sz="4" w:space="0"/>
              <w:right w:val="single" w:color="000000" w:sz="4" w:space="0"/>
            </w:tcBorders>
            <w:vAlign w:val="center"/>
          </w:tcPr>
          <w:p w14:paraId="4E472C23">
            <w:pPr>
              <w:autoSpaceDE w:val="0"/>
              <w:autoSpaceDN w:val="0"/>
              <w:spacing w:before="158" w:after="0" w:line="285" w:lineRule="exact"/>
              <w:ind w:right="80" w:firstLine="20"/>
              <w:jc w:val="both"/>
              <w:rPr>
                <w:sz w:val="22"/>
              </w:rPr>
            </w:pPr>
            <w:r>
              <w:rPr>
                <w:rFonts w:hint="eastAsia" w:ascii="宋体" w:hAnsi="宋体" w:eastAsia="宋体"/>
                <w:color w:val="000000"/>
                <w:sz w:val="22"/>
              </w:rPr>
              <w:t>因已做过河南省农村集体土地确权工作，故收费按《县级土地资源调查生产成本定额》第</w:t>
            </w:r>
            <w:r>
              <w:rPr>
                <w:rFonts w:hint="eastAsia" w:ascii="Calibri" w:hAnsi="Calibri" w:eastAsia="Calibri"/>
                <w:color w:val="000000"/>
                <w:sz w:val="22"/>
              </w:rPr>
              <w:t>III</w:t>
            </w:r>
            <w:r>
              <w:rPr>
                <w:rFonts w:hint="eastAsia" w:ascii="宋体" w:hAnsi="宋体" w:eastAsia="宋体"/>
                <w:color w:val="000000"/>
                <w:sz w:val="22"/>
              </w:rPr>
              <w:t>等级难度计算</w:t>
            </w:r>
          </w:p>
        </w:tc>
      </w:tr>
      <w:tr w14:paraId="6311E40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064" w:hRule="atLeast"/>
        </w:trPr>
        <w:tc>
          <w:tcPr>
            <w:tcW w:w="464" w:type="dxa"/>
            <w:tcBorders>
              <w:top w:val="single" w:color="000000" w:sz="4" w:space="0"/>
              <w:left w:val="single" w:color="000000" w:sz="4" w:space="0"/>
              <w:bottom w:val="single" w:color="000000" w:sz="4" w:space="0"/>
              <w:right w:val="single" w:color="000000" w:sz="4" w:space="0"/>
            </w:tcBorders>
            <w:vAlign w:val="center"/>
          </w:tcPr>
          <w:p w14:paraId="2AF492A8">
            <w:pPr>
              <w:autoSpaceDE w:val="0"/>
              <w:autoSpaceDN w:val="0"/>
              <w:spacing w:before="0" w:after="0" w:line="285" w:lineRule="exact"/>
              <w:ind w:firstLine="0"/>
              <w:jc w:val="center"/>
              <w:rPr>
                <w:rFonts w:hint="eastAsia" w:ascii="宋体" w:hAnsi="宋体" w:eastAsia="宋体"/>
                <w:color w:val="000000"/>
                <w:sz w:val="22"/>
              </w:rPr>
            </w:pPr>
          </w:p>
          <w:p w14:paraId="36BEA4F2">
            <w:pPr>
              <w:autoSpaceDE w:val="0"/>
              <w:autoSpaceDN w:val="0"/>
              <w:spacing w:after="0" w:line="240" w:lineRule="auto"/>
              <w:ind w:firstLine="0"/>
              <w:jc w:val="center"/>
              <w:rPr>
                <w:sz w:val="22"/>
              </w:rPr>
            </w:pPr>
            <w:r>
              <w:rPr>
                <w:rFonts w:hint="eastAsia" w:ascii="Calibri" w:hAnsi="Calibri" w:eastAsia="Calibri"/>
                <w:color w:val="000000"/>
                <w:sz w:val="22"/>
              </w:rPr>
              <w:t>4</w:t>
            </w:r>
          </w:p>
        </w:tc>
        <w:tc>
          <w:tcPr>
            <w:tcW w:w="756" w:type="dxa"/>
            <w:vMerge w:val="restart"/>
            <w:tcBorders>
              <w:top w:val="single" w:color="000000" w:sz="4" w:space="0"/>
              <w:left w:val="single" w:color="000000" w:sz="4" w:space="0"/>
              <w:bottom w:val="single" w:color="000000" w:sz="4" w:space="0"/>
              <w:right w:val="single" w:color="000000" w:sz="4" w:space="0"/>
            </w:tcBorders>
            <w:vAlign w:val="top"/>
          </w:tcPr>
          <w:p w14:paraId="6E366817">
            <w:pPr>
              <w:autoSpaceDE w:val="0"/>
              <w:autoSpaceDN w:val="0"/>
              <w:spacing w:before="0" w:after="0" w:line="272" w:lineRule="exact"/>
              <w:ind w:firstLine="0"/>
              <w:jc w:val="both"/>
              <w:rPr>
                <w:rFonts w:hint="eastAsia" w:ascii="宋体" w:hAnsi="宋体" w:eastAsia="宋体"/>
                <w:color w:val="000000"/>
                <w:sz w:val="21"/>
              </w:rPr>
            </w:pPr>
          </w:p>
          <w:p w14:paraId="7AAA04DE">
            <w:pPr>
              <w:autoSpaceDE w:val="0"/>
              <w:autoSpaceDN w:val="0"/>
              <w:spacing w:before="0" w:after="0" w:line="272" w:lineRule="exact"/>
              <w:ind w:firstLine="0"/>
              <w:jc w:val="both"/>
              <w:rPr>
                <w:rFonts w:hint="eastAsia" w:ascii="宋体" w:hAnsi="宋体" w:eastAsia="宋体"/>
                <w:color w:val="000000"/>
                <w:sz w:val="21"/>
              </w:rPr>
            </w:pPr>
          </w:p>
          <w:p w14:paraId="6A7C8919">
            <w:pPr>
              <w:autoSpaceDE w:val="0"/>
              <w:autoSpaceDN w:val="0"/>
              <w:spacing w:before="0" w:after="0" w:line="272" w:lineRule="exact"/>
              <w:ind w:firstLine="0"/>
              <w:jc w:val="both"/>
              <w:rPr>
                <w:rFonts w:hint="eastAsia" w:ascii="宋体" w:hAnsi="宋体" w:eastAsia="宋体"/>
                <w:color w:val="000000"/>
                <w:sz w:val="21"/>
              </w:rPr>
            </w:pPr>
          </w:p>
          <w:p w14:paraId="762C2AE5">
            <w:pPr>
              <w:autoSpaceDE w:val="0"/>
              <w:autoSpaceDN w:val="0"/>
              <w:spacing w:before="242" w:after="0" w:line="272" w:lineRule="exact"/>
              <w:jc w:val="center"/>
              <w:rPr>
                <w:rFonts w:hint="eastAsia" w:ascii="宋体" w:hAnsi="宋体" w:eastAsia="宋体" w:cs="宋体"/>
                <w:color w:val="000000"/>
                <w:sz w:val="22"/>
              </w:rPr>
            </w:pPr>
          </w:p>
          <w:p w14:paraId="732AC9D8">
            <w:pPr>
              <w:autoSpaceDE w:val="0"/>
              <w:autoSpaceDN w:val="0"/>
              <w:spacing w:before="242" w:after="0" w:line="272" w:lineRule="exact"/>
              <w:jc w:val="center"/>
              <w:rPr>
                <w:sz w:val="21"/>
              </w:rPr>
            </w:pPr>
            <w:r>
              <w:rPr>
                <w:rFonts w:hint="eastAsia" w:ascii="宋体" w:hAnsi="宋体" w:eastAsia="宋体" w:cs="宋体"/>
                <w:color w:val="000000"/>
                <w:sz w:val="22"/>
              </w:rPr>
              <w:t>相关细化调查</w:t>
            </w:r>
          </w:p>
        </w:tc>
        <w:tc>
          <w:tcPr>
            <w:tcW w:w="3610" w:type="dxa"/>
            <w:tcBorders>
              <w:top w:val="single" w:color="000000" w:sz="4" w:space="0"/>
              <w:left w:val="single" w:color="000000" w:sz="4" w:space="0"/>
              <w:bottom w:val="single" w:color="000000" w:sz="4" w:space="0"/>
              <w:right w:val="single" w:color="000000" w:sz="4" w:space="0"/>
            </w:tcBorders>
            <w:vAlign w:val="center"/>
          </w:tcPr>
          <w:p w14:paraId="683E3B06">
            <w:pPr>
              <w:autoSpaceDE w:val="0"/>
              <w:autoSpaceDN w:val="0"/>
              <w:spacing w:before="0" w:after="0" w:line="285" w:lineRule="exact"/>
              <w:ind w:right="180" w:firstLine="20"/>
              <w:jc w:val="center"/>
              <w:rPr>
                <w:sz w:val="22"/>
              </w:rPr>
            </w:pPr>
            <w:r>
              <w:rPr>
                <w:rFonts w:hint="eastAsia" w:ascii="Calibri" w:hAnsi="Calibri" w:eastAsia="Calibri"/>
                <w:color w:val="000000"/>
                <w:sz w:val="22"/>
              </w:rPr>
              <w:t>2026</w:t>
            </w:r>
            <w:r>
              <w:rPr>
                <w:rFonts w:hint="eastAsia" w:ascii="宋体" w:hAnsi="宋体" w:eastAsia="宋体"/>
                <w:color w:val="000000"/>
                <w:sz w:val="22"/>
              </w:rPr>
              <w:t>年度国土变更调查完成后，按照《国土空间调查、规划、用途管制用地用海分类指南（试行）》进行汇总，开展对设施农用地和农村道路进行细化调查</w:t>
            </w:r>
          </w:p>
        </w:tc>
        <w:tc>
          <w:tcPr>
            <w:tcW w:w="549" w:type="dxa"/>
            <w:tcBorders>
              <w:top w:val="single" w:color="000000" w:sz="4" w:space="0"/>
              <w:left w:val="single" w:color="000000" w:sz="4" w:space="0"/>
              <w:bottom w:val="single" w:color="000000" w:sz="4" w:space="0"/>
              <w:right w:val="single" w:color="000000" w:sz="4" w:space="0"/>
            </w:tcBorders>
            <w:vAlign w:val="center"/>
          </w:tcPr>
          <w:p w14:paraId="67C6A48A">
            <w:pPr>
              <w:autoSpaceDE w:val="0"/>
              <w:autoSpaceDN w:val="0"/>
              <w:spacing w:after="0" w:line="240" w:lineRule="auto"/>
              <w:jc w:val="center"/>
              <w:rPr>
                <w:rFonts w:hint="eastAsia" w:ascii="Calibri" w:hAnsi="Calibri" w:eastAsia="Calibri"/>
                <w:color w:val="000000"/>
                <w:sz w:val="22"/>
              </w:rPr>
            </w:pPr>
          </w:p>
          <w:p w14:paraId="672B1D61">
            <w:pPr>
              <w:autoSpaceDE w:val="0"/>
              <w:autoSpaceDN w:val="0"/>
              <w:spacing w:after="0" w:line="240" w:lineRule="auto"/>
              <w:jc w:val="center"/>
              <w:rPr>
                <w:sz w:val="22"/>
              </w:rPr>
            </w:pPr>
            <w:r>
              <w:rPr>
                <w:rFonts w:hint="eastAsia" w:ascii="Calibri" w:hAnsi="Calibri" w:eastAsia="Calibri"/>
                <w:color w:val="000000"/>
                <w:sz w:val="22"/>
              </w:rPr>
              <w:t>k㎡</w:t>
            </w:r>
          </w:p>
        </w:tc>
        <w:tc>
          <w:tcPr>
            <w:tcW w:w="658" w:type="dxa"/>
            <w:tcBorders>
              <w:top w:val="single" w:color="000000" w:sz="4" w:space="0"/>
              <w:left w:val="single" w:color="000000" w:sz="4" w:space="0"/>
              <w:bottom w:val="single" w:color="000000" w:sz="4" w:space="0"/>
              <w:right w:val="single" w:color="000000" w:sz="4" w:space="0"/>
            </w:tcBorders>
            <w:vAlign w:val="center"/>
          </w:tcPr>
          <w:p w14:paraId="6B1ED404">
            <w:pPr>
              <w:autoSpaceDE w:val="0"/>
              <w:autoSpaceDN w:val="0"/>
              <w:spacing w:before="274" w:after="0" w:line="285" w:lineRule="exact"/>
              <w:jc w:val="center"/>
              <w:rPr>
                <w:sz w:val="22"/>
              </w:rPr>
            </w:pPr>
            <w:r>
              <w:rPr>
                <w:rFonts w:hint="eastAsia" w:ascii="Calibri" w:hAnsi="Calibri" w:eastAsia="Calibri"/>
                <w:color w:val="000000"/>
                <w:sz w:val="22"/>
              </w:rPr>
              <w:t>15</w:t>
            </w:r>
          </w:p>
        </w:tc>
        <w:tc>
          <w:tcPr>
            <w:tcW w:w="1427" w:type="dxa"/>
            <w:tcBorders>
              <w:top w:val="single" w:color="000000" w:sz="4" w:space="0"/>
              <w:left w:val="single" w:color="000000" w:sz="4" w:space="0"/>
              <w:bottom w:val="single" w:color="000000" w:sz="4" w:space="0"/>
              <w:right w:val="single" w:color="000000" w:sz="4" w:space="0"/>
            </w:tcBorders>
            <w:vAlign w:val="center"/>
          </w:tcPr>
          <w:p w14:paraId="093A640A">
            <w:pPr>
              <w:autoSpaceDE w:val="0"/>
              <w:autoSpaceDN w:val="0"/>
              <w:spacing w:before="234" w:after="0" w:line="285" w:lineRule="exact"/>
              <w:jc w:val="center"/>
              <w:rPr>
                <w:sz w:val="22"/>
              </w:rPr>
            </w:pPr>
            <w:r>
              <w:rPr>
                <w:rFonts w:hint="eastAsia" w:ascii="Calibri" w:hAnsi="Calibri" w:eastAsia="Calibri"/>
                <w:color w:val="000000"/>
                <w:sz w:val="22"/>
              </w:rPr>
              <w:t>1639.50</w:t>
            </w:r>
          </w:p>
        </w:tc>
        <w:tc>
          <w:tcPr>
            <w:tcW w:w="1024" w:type="dxa"/>
            <w:tcBorders>
              <w:top w:val="single" w:color="000000" w:sz="4" w:space="0"/>
              <w:left w:val="single" w:color="000000" w:sz="4" w:space="0"/>
              <w:bottom w:val="single" w:color="000000" w:sz="4" w:space="0"/>
              <w:right w:val="single" w:color="000000" w:sz="4" w:space="0"/>
            </w:tcBorders>
            <w:vAlign w:val="center"/>
          </w:tcPr>
          <w:p w14:paraId="068406F7">
            <w:pPr>
              <w:autoSpaceDE w:val="0"/>
              <w:autoSpaceDN w:val="0"/>
              <w:spacing w:before="0" w:after="0" w:line="272" w:lineRule="exact"/>
              <w:jc w:val="center"/>
              <w:rPr>
                <w:rFonts w:hint="eastAsia" w:ascii="宋体" w:hAnsi="宋体" w:eastAsia="宋体"/>
                <w:color w:val="000000"/>
                <w:sz w:val="21"/>
              </w:rPr>
            </w:pPr>
          </w:p>
        </w:tc>
        <w:tc>
          <w:tcPr>
            <w:tcW w:w="2025" w:type="dxa"/>
            <w:tcBorders>
              <w:top w:val="single" w:color="000000" w:sz="4" w:space="0"/>
              <w:left w:val="single" w:color="000000" w:sz="4" w:space="0"/>
              <w:bottom w:val="single" w:color="000000" w:sz="4" w:space="0"/>
              <w:right w:val="single" w:color="000000" w:sz="4" w:space="0"/>
            </w:tcBorders>
            <w:vAlign w:val="center"/>
          </w:tcPr>
          <w:p w14:paraId="1196358D">
            <w:pPr>
              <w:autoSpaceDE w:val="0"/>
              <w:autoSpaceDN w:val="0"/>
              <w:spacing w:before="0" w:after="0" w:line="227" w:lineRule="exact"/>
              <w:ind w:right="80" w:firstLine="0"/>
              <w:jc w:val="both"/>
              <w:rPr>
                <w:rFonts w:hint="default" w:eastAsia="宋体"/>
                <w:sz w:val="22"/>
                <w:lang w:val="en-US" w:eastAsia="zh-CN"/>
              </w:rPr>
            </w:pPr>
            <w:r>
              <w:rPr>
                <w:rFonts w:hint="eastAsia" w:ascii="宋体" w:hAnsi="宋体" w:eastAsia="宋体"/>
                <w:color w:val="000000"/>
                <w:sz w:val="22"/>
              </w:rPr>
              <w:t>根据《县级土地资源调查生产成本定额》难度等级划分，结合卢氏县图斑密度等影响单位工作量的主要因素，本次预算按第</w:t>
            </w:r>
            <w:r>
              <w:rPr>
                <w:rFonts w:hint="eastAsia" w:ascii="Calibri" w:hAnsi="Calibri" w:eastAsia="Calibri"/>
                <w:color w:val="000000"/>
                <w:sz w:val="22"/>
              </w:rPr>
              <w:t>IV</w:t>
            </w:r>
            <w:r>
              <w:rPr>
                <w:rFonts w:hint="eastAsia" w:ascii="宋体" w:hAnsi="宋体" w:eastAsia="宋体"/>
                <w:color w:val="000000"/>
                <w:sz w:val="22"/>
              </w:rPr>
              <w:t>等级</w:t>
            </w:r>
            <w:r>
              <w:rPr>
                <w:rFonts w:hint="eastAsia"/>
                <w:color w:val="000000"/>
                <w:sz w:val="22"/>
                <w:lang w:val="en-US" w:eastAsia="zh-CN"/>
              </w:rPr>
              <w:t>难度。</w:t>
            </w:r>
          </w:p>
        </w:tc>
      </w:tr>
      <w:tr w14:paraId="5342187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072" w:hRule="atLeast"/>
        </w:trPr>
        <w:tc>
          <w:tcPr>
            <w:tcW w:w="464" w:type="dxa"/>
            <w:tcBorders>
              <w:top w:val="single" w:color="000000" w:sz="4" w:space="0"/>
              <w:left w:val="single" w:color="000000" w:sz="4" w:space="0"/>
              <w:bottom w:val="single" w:color="000000" w:sz="4" w:space="0"/>
              <w:right w:val="single" w:color="000000" w:sz="4" w:space="0"/>
            </w:tcBorders>
            <w:vAlign w:val="center"/>
          </w:tcPr>
          <w:p w14:paraId="6F52D574">
            <w:pPr>
              <w:autoSpaceDE w:val="0"/>
              <w:autoSpaceDN w:val="0"/>
              <w:spacing w:before="0" w:after="0" w:line="285" w:lineRule="exact"/>
              <w:ind w:firstLine="0"/>
              <w:jc w:val="center"/>
              <w:rPr>
                <w:rFonts w:hint="eastAsia" w:ascii="宋体" w:hAnsi="宋体" w:eastAsia="宋体"/>
                <w:color w:val="000000"/>
                <w:sz w:val="22"/>
              </w:rPr>
            </w:pPr>
          </w:p>
          <w:p w14:paraId="4732C7E0">
            <w:pPr>
              <w:autoSpaceDE w:val="0"/>
              <w:autoSpaceDN w:val="0"/>
              <w:spacing w:before="0" w:after="0" w:line="285" w:lineRule="exact"/>
              <w:ind w:firstLine="0"/>
              <w:jc w:val="center"/>
              <w:rPr>
                <w:rFonts w:hint="eastAsia" w:ascii="宋体" w:hAnsi="宋体" w:eastAsia="宋体"/>
                <w:color w:val="000000"/>
                <w:sz w:val="22"/>
              </w:rPr>
            </w:pPr>
          </w:p>
          <w:p w14:paraId="650F1BB0">
            <w:pPr>
              <w:autoSpaceDE w:val="0"/>
              <w:autoSpaceDN w:val="0"/>
              <w:spacing w:after="0" w:line="240" w:lineRule="auto"/>
              <w:ind w:firstLine="0"/>
              <w:jc w:val="center"/>
              <w:rPr>
                <w:sz w:val="22"/>
              </w:rPr>
            </w:pPr>
            <w:r>
              <w:rPr>
                <w:rFonts w:hint="eastAsia" w:ascii="Calibri" w:hAnsi="Calibri" w:eastAsia="Calibri"/>
                <w:color w:val="000000"/>
                <w:sz w:val="22"/>
              </w:rPr>
              <w:t>5</w:t>
            </w:r>
          </w:p>
        </w:tc>
        <w:tc>
          <w:tcPr>
            <w:tcW w:w="756" w:type="dxa"/>
            <w:vMerge w:val="continue"/>
            <w:tcBorders>
              <w:top w:val="single" w:color="000000" w:sz="4" w:space="0"/>
              <w:left w:val="single" w:color="000000" w:sz="4" w:space="0"/>
              <w:bottom w:val="single" w:color="000000" w:sz="4" w:space="0"/>
              <w:right w:val="single" w:color="000000" w:sz="4" w:space="0"/>
            </w:tcBorders>
          </w:tcPr>
          <w:p w14:paraId="0BA59309"/>
        </w:tc>
        <w:tc>
          <w:tcPr>
            <w:tcW w:w="3610" w:type="dxa"/>
            <w:tcBorders>
              <w:top w:val="single" w:color="000000" w:sz="4" w:space="0"/>
              <w:left w:val="single" w:color="000000" w:sz="4" w:space="0"/>
              <w:bottom w:val="single" w:color="000000" w:sz="4" w:space="0"/>
              <w:right w:val="single" w:color="000000" w:sz="4" w:space="0"/>
            </w:tcBorders>
            <w:vAlign w:val="center"/>
          </w:tcPr>
          <w:p w14:paraId="4D317638">
            <w:pPr>
              <w:autoSpaceDE w:val="0"/>
              <w:autoSpaceDN w:val="0"/>
              <w:spacing w:before="0" w:after="0" w:line="285" w:lineRule="exact"/>
              <w:ind w:right="200" w:firstLine="20"/>
              <w:jc w:val="center"/>
              <w:rPr>
                <w:sz w:val="22"/>
              </w:rPr>
            </w:pPr>
            <w:r>
              <w:rPr>
                <w:rFonts w:hint="eastAsia" w:ascii="宋体" w:hAnsi="宋体" w:eastAsia="宋体"/>
                <w:color w:val="000000"/>
                <w:sz w:val="22"/>
              </w:rPr>
              <w:t>原国务院审批城市总体规划、土地利用总体规划的城市，要基于《分类指南》对城市和建制镇用地范围内建设用地开展细化调查工作有条件地区可主动开启此项工作</w:t>
            </w:r>
          </w:p>
        </w:tc>
        <w:tc>
          <w:tcPr>
            <w:tcW w:w="549" w:type="dxa"/>
            <w:tcBorders>
              <w:top w:val="single" w:color="000000" w:sz="4" w:space="0"/>
              <w:left w:val="single" w:color="000000" w:sz="4" w:space="0"/>
              <w:bottom w:val="single" w:color="000000" w:sz="4" w:space="0"/>
              <w:right w:val="single" w:color="000000" w:sz="4" w:space="0"/>
            </w:tcBorders>
            <w:vAlign w:val="center"/>
          </w:tcPr>
          <w:p w14:paraId="289BAD10">
            <w:pPr>
              <w:autoSpaceDE w:val="0"/>
              <w:autoSpaceDN w:val="0"/>
              <w:spacing w:before="0" w:after="0" w:line="285" w:lineRule="exact"/>
              <w:ind w:firstLine="0"/>
              <w:jc w:val="center"/>
              <w:rPr>
                <w:rFonts w:hint="eastAsia" w:ascii="宋体" w:hAnsi="宋体" w:eastAsia="宋体"/>
                <w:color w:val="000000"/>
                <w:sz w:val="22"/>
              </w:rPr>
            </w:pPr>
          </w:p>
          <w:p w14:paraId="53F08643">
            <w:pPr>
              <w:autoSpaceDE w:val="0"/>
              <w:autoSpaceDN w:val="0"/>
              <w:spacing w:after="0" w:line="240" w:lineRule="auto"/>
              <w:jc w:val="center"/>
              <w:rPr>
                <w:sz w:val="22"/>
              </w:rPr>
            </w:pPr>
            <w:r>
              <w:rPr>
                <w:rFonts w:hint="eastAsia" w:ascii="Calibri" w:hAnsi="Calibri" w:eastAsia="Calibri"/>
                <w:color w:val="000000"/>
                <w:sz w:val="22"/>
              </w:rPr>
              <w:t>k㎡</w:t>
            </w:r>
          </w:p>
        </w:tc>
        <w:tc>
          <w:tcPr>
            <w:tcW w:w="658" w:type="dxa"/>
            <w:tcBorders>
              <w:top w:val="single" w:color="000000" w:sz="4" w:space="0"/>
              <w:left w:val="single" w:color="000000" w:sz="4" w:space="0"/>
              <w:bottom w:val="single" w:color="000000" w:sz="4" w:space="0"/>
              <w:right w:val="single" w:color="000000" w:sz="4" w:space="0"/>
            </w:tcBorders>
            <w:vAlign w:val="center"/>
          </w:tcPr>
          <w:p w14:paraId="3C8E31B2">
            <w:pPr>
              <w:autoSpaceDE w:val="0"/>
              <w:autoSpaceDN w:val="0"/>
              <w:spacing w:before="0" w:after="0" w:line="285" w:lineRule="exact"/>
              <w:ind w:firstLine="0"/>
              <w:jc w:val="center"/>
              <w:rPr>
                <w:rFonts w:hint="eastAsia" w:ascii="宋体" w:hAnsi="宋体" w:eastAsia="宋体"/>
                <w:color w:val="000000"/>
                <w:sz w:val="22"/>
              </w:rPr>
            </w:pPr>
          </w:p>
          <w:p w14:paraId="5F25D2F1">
            <w:pPr>
              <w:autoSpaceDE w:val="0"/>
              <w:autoSpaceDN w:val="0"/>
              <w:spacing w:after="0" w:line="240" w:lineRule="auto"/>
              <w:ind w:firstLine="0"/>
              <w:jc w:val="center"/>
              <w:rPr>
                <w:sz w:val="22"/>
              </w:rPr>
            </w:pPr>
            <w:r>
              <w:rPr>
                <w:rFonts w:hint="eastAsia" w:ascii="Calibri" w:hAnsi="Calibri" w:eastAsia="Calibri"/>
                <w:color w:val="000000"/>
                <w:sz w:val="22"/>
              </w:rPr>
              <w:t>11</w:t>
            </w:r>
          </w:p>
        </w:tc>
        <w:tc>
          <w:tcPr>
            <w:tcW w:w="1427" w:type="dxa"/>
            <w:tcBorders>
              <w:top w:val="single" w:color="000000" w:sz="4" w:space="0"/>
              <w:left w:val="single" w:color="000000" w:sz="4" w:space="0"/>
              <w:bottom w:val="single" w:color="000000" w:sz="4" w:space="0"/>
              <w:right w:val="single" w:color="000000" w:sz="4" w:space="0"/>
            </w:tcBorders>
            <w:vAlign w:val="center"/>
          </w:tcPr>
          <w:p w14:paraId="15CA62E3">
            <w:pPr>
              <w:autoSpaceDE w:val="0"/>
              <w:autoSpaceDN w:val="0"/>
              <w:spacing w:before="0" w:after="0" w:line="285" w:lineRule="exact"/>
              <w:ind w:firstLine="0"/>
              <w:jc w:val="center"/>
              <w:rPr>
                <w:rFonts w:hint="eastAsia" w:ascii="宋体" w:hAnsi="宋体" w:eastAsia="宋体"/>
                <w:color w:val="000000"/>
                <w:sz w:val="22"/>
              </w:rPr>
            </w:pPr>
          </w:p>
          <w:p w14:paraId="537E7F2C">
            <w:pPr>
              <w:autoSpaceDE w:val="0"/>
              <w:autoSpaceDN w:val="0"/>
              <w:spacing w:after="0" w:line="240" w:lineRule="auto"/>
              <w:jc w:val="center"/>
              <w:rPr>
                <w:sz w:val="22"/>
              </w:rPr>
            </w:pPr>
            <w:r>
              <w:rPr>
                <w:rFonts w:hint="eastAsia" w:ascii="Calibri" w:hAnsi="Calibri" w:eastAsia="Calibri"/>
                <w:color w:val="000000"/>
                <w:sz w:val="22"/>
              </w:rPr>
              <w:t>893.06</w:t>
            </w:r>
          </w:p>
        </w:tc>
        <w:tc>
          <w:tcPr>
            <w:tcW w:w="1024" w:type="dxa"/>
            <w:tcBorders>
              <w:top w:val="single" w:color="000000" w:sz="4" w:space="0"/>
              <w:left w:val="single" w:color="000000" w:sz="4" w:space="0"/>
              <w:bottom w:val="single" w:color="000000" w:sz="4" w:space="0"/>
              <w:right w:val="single" w:color="000000" w:sz="4" w:space="0"/>
            </w:tcBorders>
            <w:vAlign w:val="center"/>
          </w:tcPr>
          <w:p w14:paraId="436FC866">
            <w:pPr>
              <w:autoSpaceDE w:val="0"/>
              <w:autoSpaceDN w:val="0"/>
              <w:spacing w:before="0" w:after="0" w:line="272" w:lineRule="exact"/>
              <w:jc w:val="center"/>
              <w:rPr>
                <w:rFonts w:hint="eastAsia" w:ascii="宋体" w:hAnsi="宋体" w:eastAsia="宋体"/>
                <w:color w:val="000000"/>
                <w:sz w:val="21"/>
              </w:rPr>
            </w:pPr>
          </w:p>
        </w:tc>
        <w:tc>
          <w:tcPr>
            <w:tcW w:w="2025" w:type="dxa"/>
            <w:tcBorders>
              <w:top w:val="single" w:color="000000" w:sz="4" w:space="0"/>
              <w:left w:val="single" w:color="000000" w:sz="4" w:space="0"/>
              <w:bottom w:val="single" w:color="000000" w:sz="4" w:space="0"/>
              <w:right w:val="single" w:color="000000" w:sz="4" w:space="0"/>
            </w:tcBorders>
            <w:vAlign w:val="center"/>
          </w:tcPr>
          <w:p w14:paraId="132074AA">
            <w:pPr>
              <w:autoSpaceDE w:val="0"/>
              <w:autoSpaceDN w:val="0"/>
              <w:spacing w:before="0" w:after="0" w:line="256" w:lineRule="exact"/>
              <w:ind w:firstLine="0"/>
              <w:jc w:val="both"/>
              <w:rPr>
                <w:sz w:val="22"/>
              </w:rPr>
            </w:pPr>
            <w:r>
              <w:rPr>
                <w:rFonts w:hint="eastAsia" w:ascii="宋体" w:hAnsi="宋体" w:eastAsia="宋体"/>
                <w:color w:val="000000"/>
                <w:sz w:val="22"/>
              </w:rPr>
              <w:t>根据《县级土地资源调查生产成本定额》难度等级划分，结合卢氏县图斑密度等影响单位工作量的主要因素，本次预算按第</w:t>
            </w:r>
            <w:r>
              <w:rPr>
                <w:rFonts w:hint="eastAsia" w:ascii="Calibri" w:hAnsi="Calibri" w:eastAsia="Calibri"/>
                <w:color w:val="000000"/>
                <w:sz w:val="22"/>
              </w:rPr>
              <w:t>III</w:t>
            </w:r>
            <w:r>
              <w:rPr>
                <w:rFonts w:hint="eastAsia" w:ascii="宋体" w:hAnsi="宋体" w:eastAsia="宋体"/>
                <w:color w:val="000000"/>
                <w:sz w:val="22"/>
              </w:rPr>
              <w:t>等级难度。</w:t>
            </w:r>
          </w:p>
        </w:tc>
      </w:tr>
      <w:tr w14:paraId="34CD377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1357" w:hRule="atLeast"/>
        </w:trPr>
        <w:tc>
          <w:tcPr>
            <w:tcW w:w="464" w:type="dxa"/>
            <w:tcBorders>
              <w:top w:val="single" w:color="000000" w:sz="4" w:space="0"/>
              <w:left w:val="single" w:color="000000" w:sz="4" w:space="0"/>
              <w:bottom w:val="single" w:color="000000" w:sz="4" w:space="0"/>
              <w:right w:val="single" w:color="000000" w:sz="4" w:space="0"/>
            </w:tcBorders>
            <w:vAlign w:val="center"/>
          </w:tcPr>
          <w:p w14:paraId="36D72F3B">
            <w:pPr>
              <w:autoSpaceDE w:val="0"/>
              <w:autoSpaceDN w:val="0"/>
              <w:spacing w:before="0" w:after="0" w:line="285" w:lineRule="exact"/>
              <w:ind w:firstLine="0"/>
              <w:jc w:val="center"/>
              <w:rPr>
                <w:rFonts w:hint="eastAsia" w:ascii="宋体" w:hAnsi="宋体" w:eastAsia="宋体"/>
                <w:color w:val="000000"/>
                <w:sz w:val="22"/>
              </w:rPr>
            </w:pPr>
          </w:p>
          <w:p w14:paraId="2C8381BE">
            <w:pPr>
              <w:autoSpaceDE w:val="0"/>
              <w:autoSpaceDN w:val="0"/>
              <w:spacing w:after="0" w:line="240" w:lineRule="auto"/>
              <w:ind w:firstLine="0"/>
              <w:jc w:val="center"/>
              <w:rPr>
                <w:sz w:val="22"/>
              </w:rPr>
            </w:pPr>
            <w:r>
              <w:rPr>
                <w:rFonts w:hint="eastAsia" w:ascii="Calibri" w:hAnsi="Calibri" w:eastAsia="Calibri"/>
                <w:color w:val="000000"/>
                <w:sz w:val="22"/>
              </w:rPr>
              <w:t>6</w:t>
            </w:r>
          </w:p>
        </w:tc>
        <w:tc>
          <w:tcPr>
            <w:tcW w:w="756" w:type="dxa"/>
            <w:tcBorders>
              <w:top w:val="single" w:color="000000" w:sz="4" w:space="0"/>
              <w:left w:val="single" w:color="000000" w:sz="4" w:space="0"/>
              <w:bottom w:val="single" w:color="000000" w:sz="4" w:space="0"/>
              <w:right w:val="single" w:color="000000" w:sz="4" w:space="0"/>
            </w:tcBorders>
            <w:vAlign w:val="center"/>
          </w:tcPr>
          <w:p w14:paraId="541B070D">
            <w:pPr>
              <w:autoSpaceDE w:val="0"/>
              <w:autoSpaceDN w:val="0"/>
              <w:spacing w:before="0" w:after="0" w:line="240" w:lineRule="auto"/>
              <w:ind w:left="0" w:right="0" w:firstLine="0"/>
              <w:jc w:val="center"/>
              <w:rPr>
                <w:sz w:val="22"/>
              </w:rPr>
            </w:pPr>
            <w:r>
              <w:rPr>
                <w:rFonts w:hint="eastAsia" w:ascii="Calibri" w:hAnsi="Calibri" w:eastAsia="Calibri"/>
                <w:color w:val="000000"/>
                <w:sz w:val="22"/>
              </w:rPr>
              <w:t>2026</w:t>
            </w:r>
            <w:r>
              <w:rPr>
                <w:rFonts w:hint="eastAsia" w:ascii="宋体" w:hAnsi="宋体" w:eastAsia="宋体"/>
                <w:color w:val="000000"/>
                <w:sz w:val="22"/>
              </w:rPr>
              <w:t>年日常国土变更调查</w:t>
            </w:r>
          </w:p>
        </w:tc>
        <w:tc>
          <w:tcPr>
            <w:tcW w:w="3610" w:type="dxa"/>
            <w:tcBorders>
              <w:top w:val="single" w:color="000000" w:sz="4" w:space="0"/>
              <w:left w:val="single" w:color="000000" w:sz="4" w:space="0"/>
              <w:bottom w:val="single" w:color="000000" w:sz="4" w:space="0"/>
              <w:right w:val="single" w:color="000000" w:sz="4" w:space="0"/>
            </w:tcBorders>
            <w:vAlign w:val="center"/>
          </w:tcPr>
          <w:p w14:paraId="69DA62B2">
            <w:pPr>
              <w:autoSpaceDE w:val="0"/>
              <w:autoSpaceDN w:val="0"/>
              <w:spacing w:before="0" w:after="0" w:line="259" w:lineRule="exact"/>
              <w:ind w:firstLine="0"/>
              <w:jc w:val="center"/>
              <w:rPr>
                <w:rFonts w:hint="eastAsia" w:ascii="宋体" w:hAnsi="宋体" w:eastAsia="宋体"/>
                <w:color w:val="000000"/>
                <w:sz w:val="20"/>
              </w:rPr>
            </w:pPr>
          </w:p>
          <w:p w14:paraId="25907599">
            <w:pPr>
              <w:autoSpaceDE w:val="0"/>
              <w:autoSpaceDN w:val="0"/>
              <w:spacing w:before="60" w:after="0" w:line="259" w:lineRule="exact"/>
              <w:ind w:left="60" w:right="200" w:hanging="20"/>
              <w:jc w:val="center"/>
              <w:rPr>
                <w:sz w:val="20"/>
              </w:rPr>
            </w:pPr>
            <w:r>
              <w:rPr>
                <w:rFonts w:hint="eastAsia" w:ascii="宋体" w:hAnsi="宋体" w:eastAsia="宋体" w:cs="宋体"/>
                <w:color w:val="000000"/>
                <w:sz w:val="22"/>
              </w:rPr>
              <w:t>2026年日常国土变更调查，对需要变更的图斑及时进行变更</w:t>
            </w:r>
          </w:p>
        </w:tc>
        <w:tc>
          <w:tcPr>
            <w:tcW w:w="549" w:type="dxa"/>
            <w:tcBorders>
              <w:top w:val="single" w:color="000000" w:sz="4" w:space="0"/>
              <w:left w:val="single" w:color="000000" w:sz="4" w:space="0"/>
              <w:bottom w:val="single" w:color="000000" w:sz="4" w:space="0"/>
              <w:right w:val="single" w:color="000000" w:sz="4" w:space="0"/>
            </w:tcBorders>
            <w:vAlign w:val="center"/>
          </w:tcPr>
          <w:p w14:paraId="2C3E429A">
            <w:pPr>
              <w:autoSpaceDE w:val="0"/>
              <w:autoSpaceDN w:val="0"/>
              <w:spacing w:before="0" w:after="0" w:line="285" w:lineRule="exact"/>
              <w:ind w:firstLine="0"/>
              <w:jc w:val="center"/>
              <w:rPr>
                <w:rFonts w:hint="eastAsia" w:ascii="宋体" w:hAnsi="宋体" w:eastAsia="宋体"/>
                <w:color w:val="000000"/>
                <w:sz w:val="22"/>
              </w:rPr>
            </w:pPr>
          </w:p>
          <w:p w14:paraId="139F20EA">
            <w:pPr>
              <w:autoSpaceDE w:val="0"/>
              <w:autoSpaceDN w:val="0"/>
              <w:spacing w:after="0" w:line="240" w:lineRule="auto"/>
              <w:jc w:val="center"/>
              <w:rPr>
                <w:sz w:val="22"/>
              </w:rPr>
            </w:pPr>
            <w:r>
              <w:rPr>
                <w:rFonts w:hint="eastAsia" w:ascii="宋体" w:hAnsi="宋体" w:eastAsia="宋体"/>
                <w:color w:val="000000"/>
                <w:sz w:val="22"/>
              </w:rPr>
              <w:t>项</w:t>
            </w:r>
          </w:p>
        </w:tc>
        <w:tc>
          <w:tcPr>
            <w:tcW w:w="658" w:type="dxa"/>
            <w:tcBorders>
              <w:top w:val="single" w:color="000000" w:sz="4" w:space="0"/>
              <w:left w:val="single" w:color="000000" w:sz="4" w:space="0"/>
              <w:bottom w:val="single" w:color="000000" w:sz="4" w:space="0"/>
              <w:right w:val="single" w:color="000000" w:sz="4" w:space="0"/>
            </w:tcBorders>
            <w:vAlign w:val="center"/>
          </w:tcPr>
          <w:p w14:paraId="5B577DE7">
            <w:pPr>
              <w:autoSpaceDE w:val="0"/>
              <w:autoSpaceDN w:val="0"/>
              <w:spacing w:before="0" w:after="0" w:line="285" w:lineRule="exact"/>
              <w:ind w:firstLine="0"/>
              <w:jc w:val="center"/>
              <w:rPr>
                <w:rFonts w:hint="eastAsia" w:ascii="宋体" w:hAnsi="宋体" w:eastAsia="宋体"/>
                <w:color w:val="000000"/>
                <w:sz w:val="22"/>
              </w:rPr>
            </w:pPr>
          </w:p>
          <w:p w14:paraId="7BCF6435">
            <w:pPr>
              <w:autoSpaceDE w:val="0"/>
              <w:autoSpaceDN w:val="0"/>
              <w:spacing w:after="0" w:line="240" w:lineRule="auto"/>
              <w:ind w:firstLine="0"/>
              <w:jc w:val="center"/>
              <w:rPr>
                <w:sz w:val="22"/>
              </w:rPr>
            </w:pPr>
            <w:r>
              <w:rPr>
                <w:rFonts w:hint="eastAsia" w:ascii="Calibri" w:hAnsi="Calibri" w:eastAsia="Calibri"/>
                <w:color w:val="000000"/>
                <w:sz w:val="22"/>
              </w:rPr>
              <w:t>1</w:t>
            </w:r>
          </w:p>
        </w:tc>
        <w:tc>
          <w:tcPr>
            <w:tcW w:w="1427" w:type="dxa"/>
            <w:tcBorders>
              <w:top w:val="single" w:color="000000" w:sz="4" w:space="0"/>
              <w:left w:val="single" w:color="000000" w:sz="4" w:space="0"/>
              <w:bottom w:val="single" w:color="000000" w:sz="4" w:space="0"/>
              <w:right w:val="single" w:color="000000" w:sz="4" w:space="0"/>
            </w:tcBorders>
            <w:vAlign w:val="center"/>
          </w:tcPr>
          <w:p w14:paraId="74F14807">
            <w:pPr>
              <w:autoSpaceDE w:val="0"/>
              <w:autoSpaceDN w:val="0"/>
              <w:spacing w:before="194" w:after="0" w:line="285" w:lineRule="exact"/>
              <w:jc w:val="center"/>
              <w:rPr>
                <w:sz w:val="22"/>
              </w:rPr>
            </w:pPr>
            <w:r>
              <w:rPr>
                <w:rFonts w:hint="eastAsia" w:ascii="Calibri" w:hAnsi="Calibri" w:eastAsia="Calibri"/>
                <w:color w:val="000000"/>
                <w:sz w:val="22"/>
              </w:rPr>
              <w:t>36.00</w:t>
            </w:r>
          </w:p>
        </w:tc>
        <w:tc>
          <w:tcPr>
            <w:tcW w:w="1024" w:type="dxa"/>
            <w:tcBorders>
              <w:top w:val="single" w:color="000000" w:sz="4" w:space="0"/>
              <w:left w:val="single" w:color="000000" w:sz="4" w:space="0"/>
              <w:bottom w:val="single" w:color="000000" w:sz="4" w:space="0"/>
              <w:right w:val="single" w:color="000000" w:sz="4" w:space="0"/>
            </w:tcBorders>
            <w:vAlign w:val="center"/>
          </w:tcPr>
          <w:p w14:paraId="450FAA09">
            <w:pPr>
              <w:autoSpaceDE w:val="0"/>
              <w:autoSpaceDN w:val="0"/>
              <w:spacing w:before="0" w:after="0" w:line="272" w:lineRule="exact"/>
              <w:jc w:val="center"/>
              <w:rPr>
                <w:rFonts w:hint="eastAsia" w:ascii="宋体" w:hAnsi="宋体" w:eastAsia="宋体"/>
                <w:color w:val="000000"/>
                <w:sz w:val="21"/>
              </w:rPr>
            </w:pPr>
          </w:p>
        </w:tc>
        <w:tc>
          <w:tcPr>
            <w:tcW w:w="2025" w:type="dxa"/>
            <w:tcBorders>
              <w:top w:val="single" w:color="000000" w:sz="4" w:space="0"/>
              <w:left w:val="single" w:color="000000" w:sz="4" w:space="0"/>
              <w:bottom w:val="single" w:color="000000" w:sz="4" w:space="0"/>
              <w:right w:val="single" w:color="000000" w:sz="4" w:space="0"/>
            </w:tcBorders>
            <w:vAlign w:val="center"/>
          </w:tcPr>
          <w:p w14:paraId="30BC2C0F">
            <w:pPr>
              <w:autoSpaceDE w:val="0"/>
              <w:autoSpaceDN w:val="0"/>
              <w:spacing w:before="60" w:after="0" w:line="259" w:lineRule="exact"/>
              <w:ind w:right="200"/>
              <w:jc w:val="both"/>
              <w:rPr>
                <w:sz w:val="21"/>
              </w:rPr>
            </w:pPr>
            <w:r>
              <w:rPr>
                <w:rFonts w:hint="eastAsia" w:ascii="宋体" w:hAnsi="宋体" w:eastAsia="宋体" w:cs="宋体"/>
                <w:color w:val="000000"/>
                <w:sz w:val="22"/>
              </w:rPr>
              <w:t>此项预算根据下一年国家及省厅下发相关文件为依据进行调整</w:t>
            </w:r>
          </w:p>
        </w:tc>
      </w:tr>
      <w:tr w14:paraId="4ED4B5D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1000" w:hRule="atLeast"/>
        </w:trPr>
        <w:tc>
          <w:tcPr>
            <w:tcW w:w="464" w:type="dxa"/>
            <w:tcBorders>
              <w:top w:val="single" w:color="000000" w:sz="4" w:space="0"/>
              <w:left w:val="single" w:color="000000" w:sz="4" w:space="0"/>
              <w:bottom w:val="single" w:color="000000" w:sz="4" w:space="0"/>
              <w:right w:val="single" w:color="000000" w:sz="4" w:space="0"/>
            </w:tcBorders>
            <w:vAlign w:val="center"/>
          </w:tcPr>
          <w:p w14:paraId="1917BA7E">
            <w:pPr>
              <w:autoSpaceDE w:val="0"/>
              <w:autoSpaceDN w:val="0"/>
              <w:spacing w:before="0" w:after="0" w:line="285" w:lineRule="exact"/>
              <w:ind w:firstLine="0"/>
              <w:jc w:val="center"/>
              <w:rPr>
                <w:rFonts w:hint="eastAsia" w:ascii="宋体" w:hAnsi="宋体" w:eastAsia="宋体"/>
                <w:color w:val="000000"/>
                <w:sz w:val="22"/>
              </w:rPr>
            </w:pPr>
          </w:p>
          <w:p w14:paraId="2EB0A872">
            <w:pPr>
              <w:autoSpaceDE w:val="0"/>
              <w:autoSpaceDN w:val="0"/>
              <w:spacing w:after="0" w:line="240" w:lineRule="auto"/>
              <w:ind w:firstLine="0"/>
              <w:jc w:val="center"/>
              <w:rPr>
                <w:sz w:val="22"/>
              </w:rPr>
            </w:pPr>
            <w:r>
              <w:rPr>
                <w:rFonts w:hint="eastAsia" w:ascii="Calibri" w:hAnsi="Calibri" w:eastAsia="Calibri"/>
                <w:color w:val="000000"/>
                <w:sz w:val="22"/>
              </w:rPr>
              <w:t>7</w:t>
            </w:r>
          </w:p>
        </w:tc>
        <w:tc>
          <w:tcPr>
            <w:tcW w:w="756" w:type="dxa"/>
            <w:tcBorders>
              <w:top w:val="single" w:color="000000" w:sz="4" w:space="0"/>
              <w:left w:val="single" w:color="000000" w:sz="4" w:space="0"/>
              <w:bottom w:val="single" w:color="000000" w:sz="4" w:space="0"/>
              <w:right w:val="single" w:color="000000" w:sz="4" w:space="0"/>
            </w:tcBorders>
            <w:vAlign w:val="center"/>
          </w:tcPr>
          <w:p w14:paraId="7F14B567">
            <w:pPr>
              <w:autoSpaceDE w:val="0"/>
              <w:autoSpaceDN w:val="0"/>
              <w:spacing w:after="0" w:line="240" w:lineRule="auto"/>
              <w:jc w:val="both"/>
              <w:rPr>
                <w:sz w:val="20"/>
              </w:rPr>
            </w:pPr>
            <w:r>
              <w:rPr>
                <w:rFonts w:hint="eastAsia" w:ascii="宋体" w:hAnsi="宋体" w:eastAsia="宋体" w:cs="宋体"/>
                <w:color w:val="000000"/>
                <w:sz w:val="22"/>
              </w:rPr>
              <w:t>林草湿荒图斑对接</w:t>
            </w:r>
          </w:p>
        </w:tc>
        <w:tc>
          <w:tcPr>
            <w:tcW w:w="3610" w:type="dxa"/>
            <w:tcBorders>
              <w:top w:val="single" w:color="000000" w:sz="4" w:space="0"/>
              <w:left w:val="single" w:color="000000" w:sz="4" w:space="0"/>
              <w:bottom w:val="single" w:color="000000" w:sz="4" w:space="0"/>
              <w:right w:val="single" w:color="000000" w:sz="4" w:space="0"/>
            </w:tcBorders>
            <w:vAlign w:val="center"/>
          </w:tcPr>
          <w:p w14:paraId="52595785">
            <w:pPr>
              <w:autoSpaceDE w:val="0"/>
              <w:autoSpaceDN w:val="0"/>
              <w:spacing w:before="0" w:after="0" w:line="285" w:lineRule="exact"/>
              <w:ind w:firstLine="0"/>
              <w:jc w:val="center"/>
              <w:rPr>
                <w:rFonts w:hint="eastAsia" w:ascii="宋体" w:hAnsi="宋体" w:eastAsia="宋体"/>
                <w:color w:val="000000"/>
                <w:sz w:val="22"/>
              </w:rPr>
            </w:pPr>
          </w:p>
          <w:p w14:paraId="064884B4">
            <w:pPr>
              <w:autoSpaceDE w:val="0"/>
              <w:autoSpaceDN w:val="0"/>
              <w:spacing w:before="134" w:after="0" w:line="285" w:lineRule="exact"/>
              <w:ind w:firstLine="40"/>
              <w:jc w:val="center"/>
              <w:rPr>
                <w:sz w:val="22"/>
              </w:rPr>
            </w:pPr>
            <w:r>
              <w:rPr>
                <w:rFonts w:hint="eastAsia" w:ascii="宋体" w:hAnsi="宋体" w:eastAsia="宋体"/>
                <w:color w:val="000000"/>
                <w:sz w:val="22"/>
              </w:rPr>
              <w:t>对</w:t>
            </w:r>
            <w:r>
              <w:rPr>
                <w:rFonts w:hint="eastAsia" w:ascii="Calibri" w:hAnsi="Calibri" w:eastAsia="Calibri"/>
                <w:color w:val="000000"/>
                <w:sz w:val="22"/>
              </w:rPr>
              <w:t>2026</w:t>
            </w:r>
            <w:r>
              <w:rPr>
                <w:rFonts w:hint="eastAsia" w:ascii="宋体" w:hAnsi="宋体" w:eastAsia="宋体"/>
                <w:color w:val="000000"/>
                <w:sz w:val="22"/>
              </w:rPr>
              <w:t>年林草湿荒普查数据对接入库</w:t>
            </w:r>
          </w:p>
        </w:tc>
        <w:tc>
          <w:tcPr>
            <w:tcW w:w="549" w:type="dxa"/>
            <w:tcBorders>
              <w:top w:val="single" w:color="000000" w:sz="4" w:space="0"/>
              <w:left w:val="single" w:color="000000" w:sz="4" w:space="0"/>
              <w:bottom w:val="single" w:color="000000" w:sz="4" w:space="0"/>
              <w:right w:val="single" w:color="000000" w:sz="4" w:space="0"/>
            </w:tcBorders>
            <w:vAlign w:val="center"/>
          </w:tcPr>
          <w:p w14:paraId="229A50E7">
            <w:pPr>
              <w:autoSpaceDE w:val="0"/>
              <w:autoSpaceDN w:val="0"/>
              <w:spacing w:before="134" w:after="0" w:line="285" w:lineRule="exact"/>
              <w:jc w:val="center"/>
              <w:rPr>
                <w:sz w:val="22"/>
              </w:rPr>
            </w:pPr>
            <w:r>
              <w:rPr>
                <w:rFonts w:hint="eastAsia" w:ascii="宋体" w:hAnsi="宋体" w:eastAsia="宋体"/>
                <w:color w:val="000000"/>
                <w:sz w:val="22"/>
              </w:rPr>
              <w:t>项</w:t>
            </w:r>
          </w:p>
        </w:tc>
        <w:tc>
          <w:tcPr>
            <w:tcW w:w="658" w:type="dxa"/>
            <w:tcBorders>
              <w:top w:val="single" w:color="000000" w:sz="4" w:space="0"/>
              <w:left w:val="single" w:color="000000" w:sz="4" w:space="0"/>
              <w:bottom w:val="single" w:color="000000" w:sz="4" w:space="0"/>
              <w:right w:val="single" w:color="000000" w:sz="4" w:space="0"/>
            </w:tcBorders>
            <w:vAlign w:val="center"/>
          </w:tcPr>
          <w:p w14:paraId="49D1032D">
            <w:pPr>
              <w:autoSpaceDE w:val="0"/>
              <w:autoSpaceDN w:val="0"/>
              <w:spacing w:after="0" w:line="240" w:lineRule="auto"/>
              <w:jc w:val="center"/>
              <w:rPr>
                <w:sz w:val="22"/>
              </w:rPr>
            </w:pPr>
            <w:r>
              <w:rPr>
                <w:rFonts w:hint="eastAsia" w:ascii="Calibri" w:hAnsi="Calibri" w:eastAsia="Calibri"/>
                <w:color w:val="000000"/>
                <w:sz w:val="22"/>
              </w:rPr>
              <w:t>1</w:t>
            </w:r>
          </w:p>
        </w:tc>
        <w:tc>
          <w:tcPr>
            <w:tcW w:w="1427" w:type="dxa"/>
            <w:tcBorders>
              <w:top w:val="single" w:color="000000" w:sz="4" w:space="0"/>
              <w:left w:val="single" w:color="000000" w:sz="4" w:space="0"/>
              <w:bottom w:val="single" w:color="000000" w:sz="4" w:space="0"/>
              <w:right w:val="single" w:color="000000" w:sz="4" w:space="0"/>
            </w:tcBorders>
            <w:vAlign w:val="center"/>
          </w:tcPr>
          <w:p w14:paraId="30743FDB">
            <w:pPr>
              <w:autoSpaceDE w:val="0"/>
              <w:autoSpaceDN w:val="0"/>
              <w:spacing w:after="0" w:line="240" w:lineRule="auto"/>
              <w:jc w:val="center"/>
              <w:rPr>
                <w:sz w:val="22"/>
              </w:rPr>
            </w:pPr>
            <w:r>
              <w:rPr>
                <w:rFonts w:hint="eastAsia" w:ascii="Calibri" w:hAnsi="Calibri" w:eastAsia="Calibri"/>
                <w:color w:val="000000"/>
                <w:sz w:val="22"/>
              </w:rPr>
              <w:t>32.00</w:t>
            </w:r>
          </w:p>
        </w:tc>
        <w:tc>
          <w:tcPr>
            <w:tcW w:w="1024" w:type="dxa"/>
            <w:tcBorders>
              <w:top w:val="single" w:color="000000" w:sz="4" w:space="0"/>
              <w:left w:val="single" w:color="000000" w:sz="4" w:space="0"/>
              <w:bottom w:val="single" w:color="000000" w:sz="4" w:space="0"/>
              <w:right w:val="single" w:color="000000" w:sz="4" w:space="0"/>
            </w:tcBorders>
            <w:vAlign w:val="center"/>
          </w:tcPr>
          <w:p w14:paraId="17C99198">
            <w:pPr>
              <w:autoSpaceDE w:val="0"/>
              <w:autoSpaceDN w:val="0"/>
              <w:spacing w:before="0" w:after="0" w:line="272" w:lineRule="exact"/>
              <w:jc w:val="center"/>
              <w:rPr>
                <w:rFonts w:hint="eastAsia" w:ascii="宋体" w:hAnsi="宋体" w:eastAsia="宋体"/>
                <w:color w:val="000000"/>
                <w:sz w:val="21"/>
              </w:rPr>
            </w:pPr>
          </w:p>
        </w:tc>
        <w:tc>
          <w:tcPr>
            <w:tcW w:w="2025" w:type="dxa"/>
            <w:tcBorders>
              <w:top w:val="single" w:color="000000" w:sz="4" w:space="0"/>
              <w:left w:val="single" w:color="000000" w:sz="4" w:space="0"/>
              <w:bottom w:val="single" w:color="000000" w:sz="4" w:space="0"/>
              <w:right w:val="single" w:color="000000" w:sz="4" w:space="0"/>
            </w:tcBorders>
            <w:vAlign w:val="center"/>
          </w:tcPr>
          <w:p w14:paraId="2F49F3F7">
            <w:pPr>
              <w:autoSpaceDE w:val="0"/>
              <w:autoSpaceDN w:val="0"/>
              <w:spacing w:before="60" w:after="0" w:line="259" w:lineRule="exact"/>
              <w:ind w:right="200"/>
              <w:jc w:val="both"/>
              <w:rPr>
                <w:sz w:val="20"/>
              </w:rPr>
            </w:pPr>
            <w:r>
              <w:rPr>
                <w:rFonts w:hint="eastAsia" w:ascii="宋体" w:hAnsi="宋体" w:eastAsia="宋体" w:cs="宋体"/>
                <w:color w:val="000000"/>
                <w:sz w:val="22"/>
              </w:rPr>
              <w:t>此预算根据县级林草湿荒调查情况预算</w:t>
            </w:r>
          </w:p>
        </w:tc>
      </w:tr>
    </w:tbl>
    <w:p w14:paraId="3236C2FE">
      <w:pPr>
        <w:rPr>
          <w:lang w:eastAsia="zh-CN"/>
        </w:rPr>
        <w:sectPr>
          <w:pgSz w:w="11910" w:h="16840"/>
          <w:pgMar w:top="1440" w:right="1080" w:bottom="1440" w:left="1080" w:header="0" w:footer="909" w:gutter="0"/>
          <w:pgNumType w:fmt="decimal"/>
          <w:cols w:space="720" w:num="1"/>
          <w:docGrid w:linePitch="299" w:charSpace="0"/>
        </w:sectPr>
      </w:pPr>
    </w:p>
    <w:p w14:paraId="7BBD2B88">
      <w:pPr>
        <w:autoSpaceDE w:val="0"/>
        <w:autoSpaceDN w:val="0"/>
        <w:spacing w:before="0" w:after="0" w:line="383" w:lineRule="exact"/>
        <w:jc w:val="center"/>
        <w:rPr>
          <w:sz w:val="37"/>
        </w:rPr>
      </w:pPr>
      <w:r>
        <w:rPr>
          <w:rFonts w:hint="eastAsia" w:ascii="宋体" w:hAnsi="宋体" w:eastAsia="宋体"/>
          <w:b/>
          <w:color w:val="000000"/>
          <w:sz w:val="37"/>
        </w:rPr>
        <w:t>卢氏县</w:t>
      </w:r>
      <w:r>
        <w:rPr>
          <w:rFonts w:hint="eastAsia" w:ascii="Calibri" w:hAnsi="Calibri" w:eastAsia="Calibri"/>
          <w:b/>
          <w:color w:val="000000"/>
          <w:sz w:val="37"/>
        </w:rPr>
        <w:t>2026</w:t>
      </w:r>
      <w:r>
        <w:rPr>
          <w:rFonts w:hint="eastAsia" w:ascii="宋体" w:hAnsi="宋体" w:eastAsia="宋体"/>
          <w:b/>
          <w:color w:val="000000"/>
          <w:sz w:val="37"/>
        </w:rPr>
        <w:t>年度一体化调查监测工作项目</w:t>
      </w:r>
    </w:p>
    <w:tbl>
      <w:tblPr>
        <w:tblStyle w:val="12"/>
        <w:tblW w:w="10549" w:type="dxa"/>
        <w:tblInd w:w="-326"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0" w:type="dxa"/>
          <w:bottom w:w="0" w:type="dxa"/>
          <w:right w:w="0" w:type="dxa"/>
        </w:tblCellMar>
      </w:tblPr>
      <w:tblGrid>
        <w:gridCol w:w="488"/>
        <w:gridCol w:w="903"/>
        <w:gridCol w:w="3378"/>
        <w:gridCol w:w="597"/>
        <w:gridCol w:w="647"/>
        <w:gridCol w:w="1475"/>
        <w:gridCol w:w="1012"/>
        <w:gridCol w:w="2049"/>
      </w:tblGrid>
      <w:tr w14:paraId="000F145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880" w:hRule="atLeast"/>
        </w:trPr>
        <w:tc>
          <w:tcPr>
            <w:tcW w:w="488" w:type="dxa"/>
            <w:tcBorders>
              <w:top w:val="single" w:color="000000" w:sz="4" w:space="0"/>
              <w:left w:val="single" w:color="000000" w:sz="4" w:space="0"/>
              <w:bottom w:val="single" w:color="000000" w:sz="4" w:space="0"/>
              <w:right w:val="single" w:color="000000" w:sz="4" w:space="0"/>
            </w:tcBorders>
            <w:vAlign w:val="center"/>
          </w:tcPr>
          <w:p w14:paraId="47A4789B">
            <w:pPr>
              <w:autoSpaceDE w:val="0"/>
              <w:autoSpaceDN w:val="0"/>
              <w:spacing w:before="0" w:after="0" w:line="283" w:lineRule="exact"/>
              <w:ind w:right="100" w:firstLine="0"/>
              <w:jc w:val="center"/>
              <w:rPr>
                <w:rFonts w:hint="eastAsia" w:ascii="宋体" w:hAnsi="宋体" w:eastAsia="宋体" w:cs="宋体"/>
                <w:color w:val="000000"/>
                <w:sz w:val="22"/>
              </w:rPr>
            </w:pPr>
          </w:p>
          <w:p w14:paraId="796E01A6">
            <w:pPr>
              <w:autoSpaceDE w:val="0"/>
              <w:autoSpaceDN w:val="0"/>
              <w:spacing w:before="0" w:after="0" w:line="283" w:lineRule="exact"/>
              <w:ind w:right="100" w:firstLine="0"/>
              <w:jc w:val="center"/>
              <w:rPr>
                <w:rFonts w:hint="eastAsia" w:ascii="宋体" w:hAnsi="宋体" w:eastAsia="宋体" w:cs="宋体"/>
                <w:color w:val="000000"/>
                <w:sz w:val="22"/>
              </w:rPr>
            </w:pPr>
            <w:r>
              <w:rPr>
                <w:rFonts w:hint="eastAsia" w:ascii="宋体" w:hAnsi="宋体" w:eastAsia="宋体" w:cs="宋体"/>
                <w:color w:val="000000"/>
                <w:sz w:val="22"/>
              </w:rPr>
              <w:t>序号</w:t>
            </w:r>
          </w:p>
        </w:tc>
        <w:tc>
          <w:tcPr>
            <w:tcW w:w="903" w:type="dxa"/>
            <w:tcBorders>
              <w:top w:val="single" w:color="000000" w:sz="4" w:space="0"/>
              <w:left w:val="single" w:color="000000" w:sz="4" w:space="0"/>
              <w:bottom w:val="single" w:color="000000" w:sz="4" w:space="0"/>
              <w:right w:val="single" w:color="000000" w:sz="4" w:space="0"/>
            </w:tcBorders>
            <w:vAlign w:val="center"/>
          </w:tcPr>
          <w:p w14:paraId="5957486B">
            <w:pPr>
              <w:autoSpaceDE w:val="0"/>
              <w:autoSpaceDN w:val="0"/>
              <w:spacing w:before="0" w:after="0" w:line="283" w:lineRule="exact"/>
              <w:ind w:right="100" w:firstLine="0"/>
              <w:jc w:val="center"/>
              <w:rPr>
                <w:rFonts w:hint="eastAsia" w:ascii="宋体" w:hAnsi="宋体" w:eastAsia="宋体" w:cs="宋体"/>
                <w:color w:val="000000"/>
                <w:sz w:val="22"/>
              </w:rPr>
            </w:pPr>
          </w:p>
          <w:p w14:paraId="0D1B8B10">
            <w:pPr>
              <w:autoSpaceDE w:val="0"/>
              <w:autoSpaceDN w:val="0"/>
              <w:spacing w:before="0" w:after="0" w:line="283" w:lineRule="exact"/>
              <w:ind w:right="100" w:firstLine="0"/>
              <w:jc w:val="center"/>
              <w:rPr>
                <w:rFonts w:hint="eastAsia" w:ascii="宋体" w:hAnsi="宋体" w:eastAsia="宋体" w:cs="宋体"/>
                <w:color w:val="000000"/>
                <w:sz w:val="22"/>
              </w:rPr>
            </w:pPr>
            <w:r>
              <w:rPr>
                <w:rFonts w:hint="eastAsia" w:ascii="宋体" w:hAnsi="宋体" w:eastAsia="宋体" w:cs="宋体"/>
                <w:color w:val="000000"/>
                <w:sz w:val="22"/>
              </w:rPr>
              <w:t>名称</w:t>
            </w:r>
          </w:p>
        </w:tc>
        <w:tc>
          <w:tcPr>
            <w:tcW w:w="3378" w:type="dxa"/>
            <w:tcBorders>
              <w:top w:val="single" w:color="000000" w:sz="4" w:space="0"/>
              <w:left w:val="single" w:color="000000" w:sz="4" w:space="0"/>
              <w:bottom w:val="single" w:color="000000" w:sz="4" w:space="0"/>
              <w:right w:val="single" w:color="000000" w:sz="4" w:space="0"/>
            </w:tcBorders>
            <w:vAlign w:val="center"/>
          </w:tcPr>
          <w:p w14:paraId="2BBF7585">
            <w:pPr>
              <w:autoSpaceDE w:val="0"/>
              <w:autoSpaceDN w:val="0"/>
              <w:spacing w:before="0" w:after="0" w:line="283" w:lineRule="exact"/>
              <w:ind w:right="100" w:firstLine="0"/>
              <w:jc w:val="center"/>
              <w:rPr>
                <w:rFonts w:hint="eastAsia" w:ascii="宋体" w:hAnsi="宋体" w:eastAsia="宋体" w:cs="宋体"/>
                <w:color w:val="000000"/>
                <w:sz w:val="22"/>
              </w:rPr>
            </w:pPr>
          </w:p>
          <w:p w14:paraId="102CB5D5">
            <w:pPr>
              <w:autoSpaceDE w:val="0"/>
              <w:autoSpaceDN w:val="0"/>
              <w:spacing w:before="0" w:after="0" w:line="283" w:lineRule="exact"/>
              <w:ind w:right="100" w:firstLine="0"/>
              <w:jc w:val="center"/>
              <w:rPr>
                <w:rFonts w:hint="eastAsia" w:ascii="宋体" w:hAnsi="宋体" w:eastAsia="宋体" w:cs="宋体"/>
                <w:color w:val="000000"/>
                <w:sz w:val="22"/>
              </w:rPr>
            </w:pPr>
            <w:r>
              <w:rPr>
                <w:rFonts w:hint="eastAsia" w:ascii="宋体" w:hAnsi="宋体" w:eastAsia="宋体" w:cs="宋体"/>
                <w:color w:val="000000"/>
                <w:sz w:val="22"/>
              </w:rPr>
              <w:t>工作内容</w:t>
            </w:r>
          </w:p>
        </w:tc>
        <w:tc>
          <w:tcPr>
            <w:tcW w:w="597" w:type="dxa"/>
            <w:tcBorders>
              <w:top w:val="single" w:color="000000" w:sz="4" w:space="0"/>
              <w:left w:val="single" w:color="000000" w:sz="4" w:space="0"/>
              <w:bottom w:val="single" w:color="000000" w:sz="4" w:space="0"/>
              <w:right w:val="single" w:color="000000" w:sz="4" w:space="0"/>
            </w:tcBorders>
            <w:vAlign w:val="center"/>
          </w:tcPr>
          <w:p w14:paraId="2B461219">
            <w:pPr>
              <w:autoSpaceDE w:val="0"/>
              <w:autoSpaceDN w:val="0"/>
              <w:spacing w:before="0" w:after="0" w:line="283" w:lineRule="exact"/>
              <w:ind w:right="100" w:firstLine="0"/>
              <w:jc w:val="center"/>
              <w:rPr>
                <w:rFonts w:hint="eastAsia" w:ascii="宋体" w:hAnsi="宋体" w:eastAsia="宋体" w:cs="宋体"/>
                <w:color w:val="000000"/>
                <w:sz w:val="22"/>
              </w:rPr>
            </w:pPr>
          </w:p>
          <w:p w14:paraId="7915E4F3">
            <w:pPr>
              <w:autoSpaceDE w:val="0"/>
              <w:autoSpaceDN w:val="0"/>
              <w:spacing w:before="0" w:after="0" w:line="283" w:lineRule="exact"/>
              <w:ind w:right="100" w:firstLine="0"/>
              <w:jc w:val="center"/>
              <w:rPr>
                <w:rFonts w:hint="eastAsia" w:ascii="宋体" w:hAnsi="宋体" w:eastAsia="宋体" w:cs="宋体"/>
                <w:color w:val="000000"/>
                <w:sz w:val="22"/>
              </w:rPr>
            </w:pPr>
            <w:r>
              <w:rPr>
                <w:rFonts w:hint="eastAsia" w:ascii="宋体" w:hAnsi="宋体" w:eastAsia="宋体" w:cs="宋体"/>
                <w:color w:val="000000"/>
                <w:sz w:val="22"/>
              </w:rPr>
              <w:t>单位</w:t>
            </w:r>
          </w:p>
        </w:tc>
        <w:tc>
          <w:tcPr>
            <w:tcW w:w="647" w:type="dxa"/>
            <w:tcBorders>
              <w:top w:val="single" w:color="000000" w:sz="4" w:space="0"/>
              <w:left w:val="single" w:color="000000" w:sz="4" w:space="0"/>
              <w:bottom w:val="single" w:color="000000" w:sz="4" w:space="0"/>
              <w:right w:val="single" w:color="000000" w:sz="4" w:space="0"/>
            </w:tcBorders>
            <w:vAlign w:val="center"/>
          </w:tcPr>
          <w:p w14:paraId="512AC59B">
            <w:pPr>
              <w:autoSpaceDE w:val="0"/>
              <w:autoSpaceDN w:val="0"/>
              <w:spacing w:before="0" w:after="0" w:line="283" w:lineRule="exact"/>
              <w:ind w:right="100" w:firstLine="0"/>
              <w:jc w:val="center"/>
              <w:rPr>
                <w:rFonts w:hint="eastAsia" w:ascii="宋体" w:hAnsi="宋体" w:eastAsia="宋体" w:cs="宋体"/>
                <w:color w:val="000000"/>
                <w:sz w:val="22"/>
              </w:rPr>
            </w:pPr>
          </w:p>
          <w:p w14:paraId="5DAB5CB5">
            <w:pPr>
              <w:autoSpaceDE w:val="0"/>
              <w:autoSpaceDN w:val="0"/>
              <w:spacing w:before="0" w:after="0" w:line="283" w:lineRule="exact"/>
              <w:ind w:right="100" w:firstLine="0"/>
              <w:jc w:val="center"/>
              <w:rPr>
                <w:rFonts w:hint="eastAsia" w:ascii="宋体" w:hAnsi="宋体" w:eastAsia="宋体" w:cs="宋体"/>
                <w:color w:val="000000"/>
                <w:sz w:val="22"/>
              </w:rPr>
            </w:pPr>
            <w:r>
              <w:rPr>
                <w:rFonts w:hint="eastAsia" w:ascii="宋体" w:hAnsi="宋体" w:eastAsia="宋体" w:cs="宋体"/>
                <w:color w:val="000000"/>
                <w:sz w:val="22"/>
              </w:rPr>
              <w:t>数量</w:t>
            </w:r>
          </w:p>
        </w:tc>
        <w:tc>
          <w:tcPr>
            <w:tcW w:w="1475" w:type="dxa"/>
            <w:tcBorders>
              <w:top w:val="single" w:color="000000" w:sz="4" w:space="0"/>
              <w:left w:val="single" w:color="000000" w:sz="4" w:space="0"/>
              <w:bottom w:val="single" w:color="000000" w:sz="4" w:space="0"/>
              <w:right w:val="single" w:color="000000" w:sz="4" w:space="0"/>
            </w:tcBorders>
            <w:vAlign w:val="center"/>
          </w:tcPr>
          <w:p w14:paraId="4EA46864">
            <w:pPr>
              <w:autoSpaceDE w:val="0"/>
              <w:autoSpaceDN w:val="0"/>
              <w:spacing w:before="0" w:after="0" w:line="283" w:lineRule="exact"/>
              <w:ind w:right="100" w:firstLine="0"/>
              <w:jc w:val="center"/>
              <w:rPr>
                <w:rFonts w:hint="eastAsia" w:ascii="宋体" w:hAnsi="宋体" w:eastAsia="宋体" w:cs="宋体"/>
                <w:color w:val="000000"/>
                <w:sz w:val="22"/>
              </w:rPr>
            </w:pPr>
            <w:r>
              <w:rPr>
                <w:rFonts w:hint="eastAsia" w:ascii="宋体" w:hAnsi="宋体" w:eastAsia="宋体" w:cs="宋体"/>
                <w:color w:val="000000"/>
                <w:sz w:val="22"/>
              </w:rPr>
              <w:t>定额阈值之和（元／k㎡）</w:t>
            </w:r>
          </w:p>
        </w:tc>
        <w:tc>
          <w:tcPr>
            <w:tcW w:w="1012" w:type="dxa"/>
            <w:tcBorders>
              <w:top w:val="single" w:color="000000" w:sz="4" w:space="0"/>
              <w:left w:val="single" w:color="000000" w:sz="4" w:space="0"/>
              <w:bottom w:val="single" w:color="000000" w:sz="4" w:space="0"/>
              <w:right w:val="single" w:color="000000" w:sz="4" w:space="0"/>
            </w:tcBorders>
            <w:vAlign w:val="center"/>
          </w:tcPr>
          <w:p w14:paraId="7E879EED">
            <w:pPr>
              <w:autoSpaceDE w:val="0"/>
              <w:autoSpaceDN w:val="0"/>
              <w:spacing w:before="0" w:after="0" w:line="283" w:lineRule="exact"/>
              <w:ind w:right="100" w:firstLine="0"/>
              <w:jc w:val="center"/>
              <w:rPr>
                <w:rFonts w:hint="eastAsia" w:ascii="宋体" w:hAnsi="宋体" w:eastAsia="宋体" w:cs="宋体"/>
                <w:color w:val="000000"/>
                <w:sz w:val="22"/>
              </w:rPr>
            </w:pPr>
            <w:r>
              <w:rPr>
                <w:rFonts w:hint="eastAsia" w:ascii="宋体" w:hAnsi="宋体" w:eastAsia="宋体" w:cs="宋体"/>
                <w:color w:val="000000"/>
                <w:sz w:val="22"/>
              </w:rPr>
              <w:t>金额</w:t>
            </w:r>
          </w:p>
          <w:p w14:paraId="0529E015">
            <w:pPr>
              <w:autoSpaceDE w:val="0"/>
              <w:autoSpaceDN w:val="0"/>
              <w:spacing w:before="0" w:after="0" w:line="283" w:lineRule="exact"/>
              <w:ind w:right="100" w:firstLine="0"/>
              <w:jc w:val="center"/>
              <w:rPr>
                <w:rFonts w:hint="eastAsia" w:ascii="宋体" w:hAnsi="宋体" w:eastAsia="宋体" w:cs="宋体"/>
                <w:color w:val="000000"/>
                <w:sz w:val="22"/>
              </w:rPr>
            </w:pPr>
            <w:r>
              <w:rPr>
                <w:rFonts w:hint="eastAsia" w:ascii="宋体" w:hAnsi="宋体" w:eastAsia="宋体" w:cs="宋体"/>
                <w:color w:val="000000"/>
                <w:sz w:val="22"/>
              </w:rPr>
              <w:t>（万元）</w:t>
            </w:r>
          </w:p>
        </w:tc>
        <w:tc>
          <w:tcPr>
            <w:tcW w:w="2049" w:type="dxa"/>
            <w:tcBorders>
              <w:top w:val="single" w:color="000000" w:sz="4" w:space="0"/>
              <w:left w:val="single" w:color="000000" w:sz="4" w:space="0"/>
              <w:bottom w:val="single" w:color="000000" w:sz="4" w:space="0"/>
              <w:right w:val="single" w:color="000000" w:sz="4" w:space="0"/>
            </w:tcBorders>
            <w:vAlign w:val="center"/>
          </w:tcPr>
          <w:p w14:paraId="18241F6F">
            <w:pPr>
              <w:autoSpaceDE w:val="0"/>
              <w:autoSpaceDN w:val="0"/>
              <w:spacing w:before="0" w:after="0" w:line="283" w:lineRule="exact"/>
              <w:ind w:right="100" w:firstLine="0"/>
              <w:jc w:val="center"/>
              <w:rPr>
                <w:rFonts w:hint="eastAsia" w:ascii="宋体" w:hAnsi="宋体" w:eastAsia="宋体" w:cs="宋体"/>
                <w:color w:val="000000"/>
                <w:sz w:val="22"/>
              </w:rPr>
            </w:pPr>
          </w:p>
          <w:p w14:paraId="28FBBC99">
            <w:pPr>
              <w:autoSpaceDE w:val="0"/>
              <w:autoSpaceDN w:val="0"/>
              <w:spacing w:before="0" w:after="0" w:line="283" w:lineRule="exact"/>
              <w:ind w:right="100" w:firstLine="0"/>
              <w:jc w:val="center"/>
              <w:rPr>
                <w:rFonts w:hint="eastAsia" w:ascii="宋体" w:hAnsi="宋体" w:eastAsia="宋体" w:cs="宋体"/>
                <w:color w:val="000000"/>
                <w:sz w:val="22"/>
              </w:rPr>
            </w:pPr>
            <w:r>
              <w:rPr>
                <w:rFonts w:hint="eastAsia" w:ascii="宋体" w:hAnsi="宋体" w:eastAsia="宋体" w:cs="宋体"/>
                <w:color w:val="000000"/>
                <w:sz w:val="22"/>
              </w:rPr>
              <w:t>备注</w:t>
            </w:r>
          </w:p>
        </w:tc>
      </w:tr>
      <w:tr w14:paraId="5F251F6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1540" w:hRule="atLeast"/>
        </w:trPr>
        <w:tc>
          <w:tcPr>
            <w:tcW w:w="488" w:type="dxa"/>
            <w:tcBorders>
              <w:top w:val="single" w:color="000000" w:sz="4" w:space="0"/>
              <w:left w:val="single" w:color="000000" w:sz="4" w:space="0"/>
              <w:bottom w:val="single" w:color="000000" w:sz="4" w:space="0"/>
              <w:right w:val="single" w:color="000000" w:sz="4" w:space="0"/>
            </w:tcBorders>
            <w:vAlign w:val="center"/>
          </w:tcPr>
          <w:p w14:paraId="1DB63EE0">
            <w:pPr>
              <w:autoSpaceDE w:val="0"/>
              <w:autoSpaceDN w:val="0"/>
              <w:spacing w:after="0" w:line="240" w:lineRule="auto"/>
              <w:ind w:firstLine="0"/>
              <w:jc w:val="center"/>
              <w:rPr>
                <w:rFonts w:hint="eastAsia" w:ascii="宋体" w:hAnsi="宋体" w:eastAsia="宋体"/>
                <w:color w:val="000000"/>
                <w:sz w:val="22"/>
              </w:rPr>
            </w:pPr>
          </w:p>
          <w:p w14:paraId="693559C4">
            <w:pPr>
              <w:autoSpaceDE w:val="0"/>
              <w:autoSpaceDN w:val="0"/>
              <w:spacing w:after="0" w:line="240" w:lineRule="auto"/>
              <w:ind w:firstLine="0"/>
              <w:jc w:val="center"/>
              <w:rPr>
                <w:rFonts w:hint="eastAsia" w:ascii="宋体" w:hAnsi="宋体" w:eastAsia="宋体"/>
                <w:color w:val="000000"/>
                <w:sz w:val="22"/>
              </w:rPr>
            </w:pPr>
          </w:p>
          <w:p w14:paraId="1E80B66D">
            <w:pPr>
              <w:autoSpaceDE w:val="0"/>
              <w:autoSpaceDN w:val="0"/>
              <w:spacing w:after="0" w:line="240" w:lineRule="auto"/>
              <w:jc w:val="center"/>
              <w:rPr>
                <w:sz w:val="22"/>
              </w:rPr>
            </w:pPr>
            <w:r>
              <w:rPr>
                <w:rFonts w:hint="eastAsia" w:ascii="Calibri" w:hAnsi="Calibri" w:eastAsia="Calibri"/>
                <w:color w:val="000000"/>
                <w:sz w:val="22"/>
              </w:rPr>
              <w:t>8</w:t>
            </w:r>
          </w:p>
        </w:tc>
        <w:tc>
          <w:tcPr>
            <w:tcW w:w="903" w:type="dxa"/>
            <w:tcBorders>
              <w:top w:val="single" w:color="000000" w:sz="4" w:space="0"/>
              <w:left w:val="single" w:color="000000" w:sz="4" w:space="0"/>
              <w:bottom w:val="single" w:color="000000" w:sz="4" w:space="0"/>
              <w:right w:val="single" w:color="000000" w:sz="4" w:space="0"/>
            </w:tcBorders>
            <w:vAlign w:val="center"/>
          </w:tcPr>
          <w:p w14:paraId="25949A6C">
            <w:pPr>
              <w:autoSpaceDE w:val="0"/>
              <w:autoSpaceDN w:val="0"/>
              <w:spacing w:before="0" w:after="0" w:line="283" w:lineRule="exact"/>
              <w:ind w:right="100" w:firstLine="0"/>
              <w:jc w:val="center"/>
              <w:rPr>
                <w:rFonts w:hint="eastAsia" w:ascii="宋体" w:hAnsi="宋体" w:eastAsia="宋体" w:cs="宋体"/>
                <w:color w:val="000000"/>
                <w:sz w:val="22"/>
              </w:rPr>
            </w:pPr>
          </w:p>
          <w:p w14:paraId="017A5104">
            <w:pPr>
              <w:autoSpaceDE w:val="0"/>
              <w:autoSpaceDN w:val="0"/>
              <w:spacing w:before="0" w:after="0" w:line="283" w:lineRule="exact"/>
              <w:ind w:right="100" w:firstLine="0"/>
              <w:jc w:val="center"/>
              <w:rPr>
                <w:rFonts w:hint="eastAsia" w:ascii="宋体" w:hAnsi="宋体" w:eastAsia="宋体" w:cs="宋体"/>
                <w:color w:val="000000"/>
                <w:sz w:val="22"/>
              </w:rPr>
            </w:pPr>
          </w:p>
          <w:p w14:paraId="2710A2D9">
            <w:pPr>
              <w:autoSpaceDE w:val="0"/>
              <w:autoSpaceDN w:val="0"/>
              <w:spacing w:before="0" w:after="0" w:line="283" w:lineRule="exact"/>
              <w:ind w:right="100" w:firstLine="0"/>
              <w:jc w:val="center"/>
              <w:rPr>
                <w:rFonts w:hint="eastAsia" w:ascii="宋体" w:hAnsi="宋体" w:eastAsia="宋体" w:cs="宋体"/>
                <w:color w:val="000000"/>
                <w:sz w:val="22"/>
              </w:rPr>
            </w:pPr>
            <w:r>
              <w:rPr>
                <w:rFonts w:hint="eastAsia" w:ascii="宋体" w:hAnsi="宋体" w:eastAsia="宋体" w:cs="宋体"/>
                <w:color w:val="000000"/>
                <w:sz w:val="22"/>
              </w:rPr>
              <w:t>数据库建设</w:t>
            </w:r>
          </w:p>
        </w:tc>
        <w:tc>
          <w:tcPr>
            <w:tcW w:w="3378" w:type="dxa"/>
            <w:tcBorders>
              <w:top w:val="single" w:color="000000" w:sz="4" w:space="0"/>
              <w:left w:val="single" w:color="000000" w:sz="4" w:space="0"/>
              <w:bottom w:val="single" w:color="000000" w:sz="4" w:space="0"/>
              <w:right w:val="single" w:color="000000" w:sz="4" w:space="0"/>
            </w:tcBorders>
            <w:vAlign w:val="center"/>
          </w:tcPr>
          <w:p w14:paraId="40F95FBD">
            <w:pPr>
              <w:autoSpaceDE w:val="0"/>
              <w:autoSpaceDN w:val="0"/>
              <w:spacing w:before="0" w:after="0" w:line="283" w:lineRule="exact"/>
              <w:ind w:right="100" w:firstLine="0"/>
              <w:jc w:val="center"/>
              <w:rPr>
                <w:rFonts w:hint="eastAsia" w:ascii="宋体" w:hAnsi="宋体" w:eastAsia="宋体" w:cs="宋体"/>
                <w:color w:val="000000"/>
                <w:sz w:val="22"/>
              </w:rPr>
            </w:pPr>
          </w:p>
          <w:p w14:paraId="038CE485">
            <w:pPr>
              <w:autoSpaceDE w:val="0"/>
              <w:autoSpaceDN w:val="0"/>
              <w:spacing w:before="0" w:after="0" w:line="283" w:lineRule="exact"/>
              <w:ind w:right="100" w:firstLine="0"/>
              <w:jc w:val="center"/>
              <w:rPr>
                <w:rFonts w:hint="eastAsia" w:ascii="宋体" w:hAnsi="宋体" w:eastAsia="宋体" w:cs="宋体"/>
                <w:color w:val="000000"/>
                <w:sz w:val="22"/>
              </w:rPr>
            </w:pPr>
            <w:r>
              <w:rPr>
                <w:rFonts w:hint="eastAsia" w:ascii="宋体" w:hAnsi="宋体" w:eastAsia="宋体" w:cs="宋体"/>
                <w:color w:val="000000"/>
                <w:sz w:val="22"/>
              </w:rPr>
              <w:t>卢氏县2026年度国土变更调查数据库建设，包括建库软件和数据库建设及更新。</w:t>
            </w:r>
          </w:p>
        </w:tc>
        <w:tc>
          <w:tcPr>
            <w:tcW w:w="597" w:type="dxa"/>
            <w:tcBorders>
              <w:top w:val="single" w:color="000000" w:sz="4" w:space="0"/>
              <w:left w:val="single" w:color="000000" w:sz="4" w:space="0"/>
              <w:bottom w:val="single" w:color="000000" w:sz="4" w:space="0"/>
              <w:right w:val="single" w:color="000000" w:sz="4" w:space="0"/>
            </w:tcBorders>
            <w:vAlign w:val="center"/>
          </w:tcPr>
          <w:p w14:paraId="55F0A4A4">
            <w:pPr>
              <w:autoSpaceDE w:val="0"/>
              <w:autoSpaceDN w:val="0"/>
              <w:spacing w:before="0" w:after="0" w:line="283" w:lineRule="exact"/>
              <w:ind w:right="100" w:firstLine="0"/>
              <w:jc w:val="center"/>
              <w:rPr>
                <w:rFonts w:hint="eastAsia" w:ascii="宋体" w:hAnsi="宋体" w:eastAsia="宋体" w:cs="宋体"/>
                <w:color w:val="000000"/>
                <w:sz w:val="22"/>
              </w:rPr>
            </w:pPr>
          </w:p>
          <w:p w14:paraId="57308543">
            <w:pPr>
              <w:autoSpaceDE w:val="0"/>
              <w:autoSpaceDN w:val="0"/>
              <w:spacing w:before="0" w:after="0" w:line="283" w:lineRule="exact"/>
              <w:ind w:right="100" w:firstLine="0"/>
              <w:jc w:val="center"/>
              <w:rPr>
                <w:rFonts w:hint="eastAsia" w:ascii="宋体" w:hAnsi="宋体" w:eastAsia="宋体" w:cs="宋体"/>
                <w:color w:val="000000"/>
                <w:sz w:val="22"/>
              </w:rPr>
            </w:pPr>
          </w:p>
          <w:p w14:paraId="0214D40E">
            <w:pPr>
              <w:autoSpaceDE w:val="0"/>
              <w:autoSpaceDN w:val="0"/>
              <w:spacing w:before="0" w:after="0" w:line="240" w:lineRule="auto"/>
              <w:ind w:right="0" w:firstLine="0"/>
              <w:jc w:val="center"/>
              <w:rPr>
                <w:rFonts w:hint="eastAsia" w:ascii="宋体" w:hAnsi="宋体" w:eastAsia="宋体" w:cs="宋体"/>
                <w:color w:val="000000"/>
                <w:sz w:val="22"/>
              </w:rPr>
            </w:pPr>
            <w:r>
              <w:rPr>
                <w:rFonts w:hint="eastAsia" w:ascii="宋体" w:hAnsi="宋体" w:eastAsia="宋体" w:cs="宋体"/>
                <w:color w:val="000000"/>
                <w:sz w:val="22"/>
              </w:rPr>
              <w:t>k㎡</w:t>
            </w:r>
          </w:p>
        </w:tc>
        <w:tc>
          <w:tcPr>
            <w:tcW w:w="647" w:type="dxa"/>
            <w:tcBorders>
              <w:top w:val="single" w:color="000000" w:sz="4" w:space="0"/>
              <w:left w:val="single" w:color="000000" w:sz="4" w:space="0"/>
              <w:bottom w:val="single" w:color="000000" w:sz="4" w:space="0"/>
              <w:right w:val="single" w:color="000000" w:sz="4" w:space="0"/>
            </w:tcBorders>
            <w:vAlign w:val="center"/>
          </w:tcPr>
          <w:p w14:paraId="04B6DD3B">
            <w:pPr>
              <w:autoSpaceDE w:val="0"/>
              <w:autoSpaceDN w:val="0"/>
              <w:spacing w:before="0" w:after="0" w:line="283" w:lineRule="exact"/>
              <w:ind w:right="100" w:firstLine="0"/>
              <w:jc w:val="center"/>
              <w:rPr>
                <w:rFonts w:hint="eastAsia" w:ascii="宋体" w:hAnsi="宋体" w:eastAsia="宋体" w:cs="宋体"/>
                <w:color w:val="000000"/>
                <w:sz w:val="22"/>
              </w:rPr>
            </w:pPr>
          </w:p>
          <w:p w14:paraId="5FBC7FD2">
            <w:pPr>
              <w:autoSpaceDE w:val="0"/>
              <w:autoSpaceDN w:val="0"/>
              <w:spacing w:before="0" w:after="0" w:line="283" w:lineRule="exact"/>
              <w:ind w:right="100" w:firstLine="0"/>
              <w:jc w:val="center"/>
              <w:rPr>
                <w:rFonts w:hint="eastAsia" w:ascii="宋体" w:hAnsi="宋体" w:eastAsia="宋体" w:cs="宋体"/>
                <w:color w:val="000000"/>
                <w:sz w:val="22"/>
              </w:rPr>
            </w:pPr>
          </w:p>
          <w:p w14:paraId="643DCA2D">
            <w:pPr>
              <w:autoSpaceDE w:val="0"/>
              <w:autoSpaceDN w:val="0"/>
              <w:spacing w:before="0" w:after="0" w:line="240" w:lineRule="auto"/>
              <w:ind w:right="0" w:firstLine="0"/>
              <w:jc w:val="center"/>
              <w:rPr>
                <w:rFonts w:hint="eastAsia" w:ascii="宋体" w:hAnsi="宋体" w:eastAsia="宋体" w:cs="宋体"/>
                <w:color w:val="000000"/>
                <w:sz w:val="22"/>
              </w:rPr>
            </w:pPr>
            <w:r>
              <w:rPr>
                <w:rFonts w:hint="eastAsia" w:ascii="宋体" w:hAnsi="宋体" w:eastAsia="宋体" w:cs="宋体"/>
                <w:color w:val="000000"/>
                <w:sz w:val="22"/>
              </w:rPr>
              <w:t>398</w:t>
            </w:r>
          </w:p>
        </w:tc>
        <w:tc>
          <w:tcPr>
            <w:tcW w:w="1475" w:type="dxa"/>
            <w:tcBorders>
              <w:top w:val="single" w:color="000000" w:sz="4" w:space="0"/>
              <w:left w:val="single" w:color="000000" w:sz="4" w:space="0"/>
              <w:bottom w:val="single" w:color="000000" w:sz="4" w:space="0"/>
              <w:right w:val="single" w:color="000000" w:sz="4" w:space="0"/>
            </w:tcBorders>
            <w:vAlign w:val="center"/>
          </w:tcPr>
          <w:p w14:paraId="7CF3D211">
            <w:pPr>
              <w:autoSpaceDE w:val="0"/>
              <w:autoSpaceDN w:val="0"/>
              <w:spacing w:before="0" w:after="0" w:line="283" w:lineRule="exact"/>
              <w:ind w:right="100" w:firstLine="0"/>
              <w:jc w:val="center"/>
              <w:rPr>
                <w:rFonts w:hint="eastAsia" w:ascii="宋体" w:hAnsi="宋体" w:eastAsia="宋体" w:cs="宋体"/>
                <w:color w:val="000000"/>
                <w:sz w:val="22"/>
              </w:rPr>
            </w:pPr>
          </w:p>
          <w:p w14:paraId="3F057B23">
            <w:pPr>
              <w:autoSpaceDE w:val="0"/>
              <w:autoSpaceDN w:val="0"/>
              <w:spacing w:before="0" w:after="0" w:line="283" w:lineRule="exact"/>
              <w:ind w:right="100" w:firstLine="0"/>
              <w:jc w:val="center"/>
              <w:rPr>
                <w:rFonts w:hint="eastAsia" w:ascii="宋体" w:hAnsi="宋体" w:eastAsia="宋体" w:cs="宋体"/>
                <w:color w:val="000000"/>
                <w:sz w:val="22"/>
              </w:rPr>
            </w:pPr>
          </w:p>
          <w:p w14:paraId="7433FE40">
            <w:pPr>
              <w:autoSpaceDE w:val="0"/>
              <w:autoSpaceDN w:val="0"/>
              <w:spacing w:before="0" w:after="0" w:line="240" w:lineRule="auto"/>
              <w:ind w:right="0" w:firstLine="0"/>
              <w:jc w:val="center"/>
              <w:rPr>
                <w:rFonts w:hint="eastAsia" w:ascii="宋体" w:hAnsi="宋体" w:eastAsia="宋体" w:cs="宋体"/>
                <w:color w:val="000000"/>
                <w:sz w:val="22"/>
              </w:rPr>
            </w:pPr>
            <w:r>
              <w:rPr>
                <w:rFonts w:hint="eastAsia" w:ascii="宋体" w:hAnsi="宋体" w:eastAsia="宋体" w:cs="宋体"/>
                <w:color w:val="000000"/>
                <w:sz w:val="22"/>
              </w:rPr>
              <w:t>292.81</w:t>
            </w:r>
          </w:p>
        </w:tc>
        <w:tc>
          <w:tcPr>
            <w:tcW w:w="1012" w:type="dxa"/>
            <w:tcBorders>
              <w:top w:val="single" w:color="000000" w:sz="4" w:space="0"/>
              <w:left w:val="single" w:color="000000" w:sz="4" w:space="0"/>
              <w:bottom w:val="single" w:color="000000" w:sz="4" w:space="0"/>
              <w:right w:val="single" w:color="000000" w:sz="4" w:space="0"/>
            </w:tcBorders>
            <w:vAlign w:val="center"/>
          </w:tcPr>
          <w:p w14:paraId="48A1ED5B">
            <w:pPr>
              <w:autoSpaceDE w:val="0"/>
              <w:autoSpaceDN w:val="0"/>
              <w:spacing w:before="0" w:after="0" w:line="272" w:lineRule="exact"/>
              <w:jc w:val="center"/>
              <w:rPr>
                <w:rFonts w:hint="eastAsia" w:ascii="宋体" w:hAnsi="宋体" w:eastAsia="宋体"/>
                <w:color w:val="000000"/>
                <w:sz w:val="21"/>
              </w:rPr>
            </w:pPr>
          </w:p>
        </w:tc>
        <w:tc>
          <w:tcPr>
            <w:tcW w:w="2049" w:type="dxa"/>
            <w:tcBorders>
              <w:top w:val="single" w:color="000000" w:sz="4" w:space="0"/>
              <w:left w:val="single" w:color="000000" w:sz="4" w:space="0"/>
              <w:bottom w:val="single" w:color="000000" w:sz="4" w:space="0"/>
              <w:right w:val="single" w:color="000000" w:sz="4" w:space="0"/>
            </w:tcBorders>
            <w:vAlign w:val="center"/>
          </w:tcPr>
          <w:p w14:paraId="3A1CC450">
            <w:pPr>
              <w:autoSpaceDE w:val="0"/>
              <w:autoSpaceDN w:val="0"/>
              <w:spacing w:before="0" w:after="0" w:line="283" w:lineRule="exact"/>
              <w:ind w:right="100" w:firstLine="0"/>
              <w:jc w:val="both"/>
              <w:rPr>
                <w:sz w:val="22"/>
              </w:rPr>
            </w:pPr>
            <w:r>
              <w:rPr>
                <w:rFonts w:hint="eastAsia" w:ascii="宋体" w:hAnsi="宋体" w:eastAsia="宋体"/>
                <w:color w:val="000000"/>
                <w:sz w:val="22"/>
              </w:rPr>
              <w:t>根据《县级土地资源调查生产成本定额》难度等级划分，结合卢氏县图斑密度、坡度等影响单位工作量的主要因素，本次预算按第</w:t>
            </w:r>
            <w:r>
              <w:rPr>
                <w:rFonts w:hint="eastAsia" w:ascii="Calibri" w:hAnsi="Calibri" w:eastAsia="Calibri"/>
                <w:color w:val="000000"/>
                <w:sz w:val="22"/>
              </w:rPr>
              <w:t>III</w:t>
            </w:r>
            <w:r>
              <w:rPr>
                <w:rFonts w:hint="eastAsia" w:ascii="宋体" w:hAnsi="宋体" w:eastAsia="宋体"/>
                <w:color w:val="000000"/>
                <w:sz w:val="22"/>
              </w:rPr>
              <w:t>等级难度。</w:t>
            </w:r>
          </w:p>
        </w:tc>
      </w:tr>
      <w:tr w14:paraId="6AD419F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80" w:hRule="atLeast"/>
        </w:trPr>
        <w:tc>
          <w:tcPr>
            <w:tcW w:w="488" w:type="dxa"/>
            <w:tcBorders>
              <w:top w:val="single" w:color="000000" w:sz="4" w:space="0"/>
              <w:left w:val="single" w:color="000000" w:sz="4" w:space="0"/>
              <w:bottom w:val="single" w:color="000000" w:sz="4" w:space="0"/>
              <w:right w:val="single" w:color="000000" w:sz="4" w:space="0"/>
            </w:tcBorders>
            <w:vAlign w:val="center"/>
          </w:tcPr>
          <w:p w14:paraId="52339368">
            <w:pPr>
              <w:autoSpaceDE w:val="0"/>
              <w:autoSpaceDN w:val="0"/>
              <w:spacing w:after="0" w:line="240" w:lineRule="auto"/>
              <w:ind w:firstLine="0"/>
              <w:jc w:val="center"/>
              <w:rPr>
                <w:rFonts w:hint="eastAsia" w:ascii="宋体" w:hAnsi="宋体" w:eastAsia="宋体"/>
                <w:color w:val="000000"/>
                <w:sz w:val="22"/>
              </w:rPr>
            </w:pPr>
          </w:p>
          <w:p w14:paraId="431ACF48">
            <w:pPr>
              <w:autoSpaceDE w:val="0"/>
              <w:autoSpaceDN w:val="0"/>
              <w:spacing w:after="0" w:line="240" w:lineRule="auto"/>
              <w:jc w:val="center"/>
              <w:rPr>
                <w:sz w:val="22"/>
              </w:rPr>
            </w:pPr>
            <w:r>
              <w:rPr>
                <w:rFonts w:hint="eastAsia" w:ascii="Calibri" w:hAnsi="Calibri" w:eastAsia="Calibri"/>
                <w:color w:val="000000"/>
                <w:sz w:val="22"/>
              </w:rPr>
              <w:t>9</w:t>
            </w:r>
          </w:p>
        </w:tc>
        <w:tc>
          <w:tcPr>
            <w:tcW w:w="903" w:type="dxa"/>
            <w:vMerge w:val="restart"/>
            <w:tcBorders>
              <w:top w:val="single" w:color="000000" w:sz="4" w:space="0"/>
              <w:left w:val="single" w:color="000000" w:sz="4" w:space="0"/>
              <w:bottom w:val="single" w:color="000000" w:sz="4" w:space="0"/>
              <w:right w:val="single" w:color="000000" w:sz="4" w:space="0"/>
            </w:tcBorders>
            <w:vAlign w:val="top"/>
          </w:tcPr>
          <w:p w14:paraId="6F879826">
            <w:pPr>
              <w:autoSpaceDE w:val="0"/>
              <w:autoSpaceDN w:val="0"/>
              <w:spacing w:before="0" w:after="0" w:line="285" w:lineRule="exact"/>
              <w:ind w:firstLine="0"/>
              <w:jc w:val="both"/>
              <w:rPr>
                <w:rFonts w:hint="eastAsia" w:ascii="宋体" w:hAnsi="宋体" w:eastAsia="宋体"/>
                <w:color w:val="000000"/>
                <w:sz w:val="22"/>
              </w:rPr>
            </w:pPr>
          </w:p>
          <w:p w14:paraId="04CC84A7">
            <w:pPr>
              <w:autoSpaceDE w:val="0"/>
              <w:autoSpaceDN w:val="0"/>
              <w:spacing w:before="0" w:after="0" w:line="285" w:lineRule="exact"/>
              <w:ind w:firstLine="0"/>
              <w:jc w:val="both"/>
              <w:rPr>
                <w:rFonts w:hint="eastAsia" w:ascii="宋体" w:hAnsi="宋体" w:eastAsia="宋体"/>
                <w:color w:val="000000"/>
                <w:sz w:val="22"/>
              </w:rPr>
            </w:pPr>
          </w:p>
          <w:p w14:paraId="4C8D5F5E">
            <w:pPr>
              <w:autoSpaceDE w:val="0"/>
              <w:autoSpaceDN w:val="0"/>
              <w:spacing w:before="0" w:after="0" w:line="285" w:lineRule="exact"/>
              <w:ind w:firstLine="0"/>
              <w:jc w:val="both"/>
              <w:rPr>
                <w:rFonts w:hint="eastAsia" w:ascii="宋体" w:hAnsi="宋体" w:eastAsia="宋体"/>
                <w:color w:val="000000"/>
                <w:sz w:val="22"/>
              </w:rPr>
            </w:pPr>
          </w:p>
          <w:p w14:paraId="0F0B3AAF">
            <w:pPr>
              <w:autoSpaceDE w:val="0"/>
              <w:autoSpaceDN w:val="0"/>
              <w:spacing w:before="0" w:after="0" w:line="285" w:lineRule="exact"/>
              <w:ind w:firstLine="0"/>
              <w:jc w:val="both"/>
              <w:rPr>
                <w:rFonts w:hint="eastAsia" w:ascii="宋体" w:hAnsi="宋体" w:eastAsia="宋体"/>
                <w:color w:val="000000"/>
                <w:sz w:val="22"/>
              </w:rPr>
            </w:pPr>
          </w:p>
          <w:p w14:paraId="70A09F8B">
            <w:pPr>
              <w:autoSpaceDE w:val="0"/>
              <w:autoSpaceDN w:val="0"/>
              <w:spacing w:before="0" w:after="0" w:line="285" w:lineRule="exact"/>
              <w:ind w:firstLine="0"/>
              <w:jc w:val="both"/>
              <w:rPr>
                <w:rFonts w:hint="eastAsia" w:ascii="宋体" w:hAnsi="宋体" w:eastAsia="宋体"/>
                <w:color w:val="000000"/>
                <w:sz w:val="22"/>
              </w:rPr>
            </w:pPr>
          </w:p>
          <w:p w14:paraId="55479829">
            <w:pPr>
              <w:autoSpaceDE w:val="0"/>
              <w:autoSpaceDN w:val="0"/>
              <w:spacing w:before="33" w:after="0" w:line="285" w:lineRule="exact"/>
              <w:jc w:val="center"/>
              <w:rPr>
                <w:sz w:val="22"/>
              </w:rPr>
            </w:pPr>
            <w:r>
              <w:rPr>
                <w:rFonts w:hint="eastAsia" w:ascii="宋体" w:hAnsi="宋体" w:eastAsia="宋体"/>
                <w:color w:val="000000"/>
                <w:sz w:val="22"/>
              </w:rPr>
              <w:t>其他费用</w:t>
            </w:r>
          </w:p>
        </w:tc>
        <w:tc>
          <w:tcPr>
            <w:tcW w:w="3378" w:type="dxa"/>
            <w:tcBorders>
              <w:top w:val="single" w:color="000000" w:sz="4" w:space="0"/>
              <w:left w:val="single" w:color="000000" w:sz="4" w:space="0"/>
              <w:bottom w:val="single" w:color="000000" w:sz="4" w:space="0"/>
              <w:right w:val="single" w:color="000000" w:sz="4" w:space="0"/>
            </w:tcBorders>
            <w:vAlign w:val="center"/>
          </w:tcPr>
          <w:p w14:paraId="03A20453">
            <w:pPr>
              <w:autoSpaceDE w:val="0"/>
              <w:autoSpaceDN w:val="0"/>
              <w:spacing w:before="154" w:after="0" w:line="285" w:lineRule="exact"/>
              <w:jc w:val="center"/>
              <w:rPr>
                <w:sz w:val="22"/>
              </w:rPr>
            </w:pPr>
            <w:r>
              <w:rPr>
                <w:rFonts w:hint="eastAsia" w:ascii="宋体" w:hAnsi="宋体" w:eastAsia="宋体"/>
                <w:color w:val="000000"/>
                <w:sz w:val="22"/>
              </w:rPr>
              <w:t>卢氏县</w:t>
            </w:r>
            <w:r>
              <w:rPr>
                <w:rFonts w:hint="eastAsia" w:ascii="Calibri" w:hAnsi="Calibri" w:eastAsia="Calibri"/>
                <w:color w:val="000000"/>
                <w:sz w:val="22"/>
              </w:rPr>
              <w:t>2026</w:t>
            </w:r>
            <w:r>
              <w:rPr>
                <w:rFonts w:hint="eastAsia" w:ascii="宋体" w:hAnsi="宋体" w:eastAsia="宋体"/>
                <w:color w:val="000000"/>
                <w:sz w:val="22"/>
              </w:rPr>
              <w:t>年度国土变更调查图件及报告编制</w:t>
            </w:r>
          </w:p>
        </w:tc>
        <w:tc>
          <w:tcPr>
            <w:tcW w:w="597" w:type="dxa"/>
            <w:tcBorders>
              <w:top w:val="single" w:color="000000" w:sz="4" w:space="0"/>
              <w:left w:val="single" w:color="000000" w:sz="4" w:space="0"/>
              <w:bottom w:val="single" w:color="000000" w:sz="4" w:space="0"/>
              <w:right w:val="single" w:color="000000" w:sz="4" w:space="0"/>
            </w:tcBorders>
            <w:vAlign w:val="center"/>
          </w:tcPr>
          <w:p w14:paraId="4DA39357">
            <w:pPr>
              <w:autoSpaceDE w:val="0"/>
              <w:autoSpaceDN w:val="0"/>
              <w:spacing w:after="0" w:line="240" w:lineRule="auto"/>
              <w:jc w:val="center"/>
              <w:rPr>
                <w:sz w:val="22"/>
              </w:rPr>
            </w:pPr>
            <w:r>
              <w:rPr>
                <w:rFonts w:hint="eastAsia" w:ascii="Calibri" w:hAnsi="Calibri" w:eastAsia="Calibri"/>
                <w:color w:val="000000"/>
                <w:sz w:val="22"/>
              </w:rPr>
              <w:t>k㎡</w:t>
            </w:r>
          </w:p>
        </w:tc>
        <w:tc>
          <w:tcPr>
            <w:tcW w:w="647" w:type="dxa"/>
            <w:tcBorders>
              <w:top w:val="single" w:color="000000" w:sz="4" w:space="0"/>
              <w:left w:val="single" w:color="000000" w:sz="4" w:space="0"/>
              <w:bottom w:val="single" w:color="000000" w:sz="4" w:space="0"/>
              <w:right w:val="single" w:color="000000" w:sz="4" w:space="0"/>
            </w:tcBorders>
            <w:vAlign w:val="center"/>
          </w:tcPr>
          <w:p w14:paraId="6D8AAC70">
            <w:pPr>
              <w:autoSpaceDE w:val="0"/>
              <w:autoSpaceDN w:val="0"/>
              <w:spacing w:after="0" w:line="240" w:lineRule="auto"/>
              <w:jc w:val="center"/>
              <w:rPr>
                <w:sz w:val="22"/>
              </w:rPr>
            </w:pPr>
            <w:r>
              <w:rPr>
                <w:rFonts w:hint="eastAsia" w:ascii="Calibri" w:hAnsi="Calibri" w:eastAsia="Calibri"/>
                <w:color w:val="000000"/>
                <w:sz w:val="22"/>
              </w:rPr>
              <w:t>398</w:t>
            </w:r>
          </w:p>
        </w:tc>
        <w:tc>
          <w:tcPr>
            <w:tcW w:w="1475" w:type="dxa"/>
            <w:tcBorders>
              <w:top w:val="single" w:color="000000" w:sz="4" w:space="0"/>
              <w:left w:val="single" w:color="000000" w:sz="4" w:space="0"/>
              <w:bottom w:val="single" w:color="000000" w:sz="4" w:space="0"/>
              <w:right w:val="single" w:color="000000" w:sz="4" w:space="0"/>
            </w:tcBorders>
            <w:vAlign w:val="center"/>
          </w:tcPr>
          <w:p w14:paraId="2023F42E">
            <w:pPr>
              <w:autoSpaceDE w:val="0"/>
              <w:autoSpaceDN w:val="0"/>
              <w:spacing w:after="0" w:line="240" w:lineRule="auto"/>
              <w:jc w:val="center"/>
              <w:rPr>
                <w:sz w:val="22"/>
              </w:rPr>
            </w:pPr>
            <w:r>
              <w:rPr>
                <w:rFonts w:hint="eastAsia" w:ascii="Calibri" w:hAnsi="Calibri" w:eastAsia="Calibri"/>
                <w:color w:val="000000"/>
                <w:sz w:val="22"/>
              </w:rPr>
              <w:t>157.88</w:t>
            </w:r>
          </w:p>
        </w:tc>
        <w:tc>
          <w:tcPr>
            <w:tcW w:w="1012" w:type="dxa"/>
            <w:tcBorders>
              <w:top w:val="single" w:color="000000" w:sz="4" w:space="0"/>
              <w:left w:val="single" w:color="000000" w:sz="4" w:space="0"/>
              <w:bottom w:val="single" w:color="000000" w:sz="4" w:space="0"/>
              <w:right w:val="single" w:color="000000" w:sz="4" w:space="0"/>
            </w:tcBorders>
            <w:vAlign w:val="center"/>
          </w:tcPr>
          <w:p w14:paraId="3B62E111">
            <w:pPr>
              <w:autoSpaceDE w:val="0"/>
              <w:autoSpaceDN w:val="0"/>
              <w:spacing w:before="0" w:after="0" w:line="272" w:lineRule="exact"/>
              <w:jc w:val="center"/>
              <w:rPr>
                <w:rFonts w:hint="eastAsia" w:ascii="宋体" w:hAnsi="宋体" w:eastAsia="宋体"/>
                <w:color w:val="000000"/>
                <w:sz w:val="21"/>
              </w:rPr>
            </w:pPr>
          </w:p>
        </w:tc>
        <w:tc>
          <w:tcPr>
            <w:tcW w:w="2049" w:type="dxa"/>
            <w:tcBorders>
              <w:top w:val="single" w:color="000000" w:sz="4" w:space="0"/>
              <w:left w:val="single" w:color="000000" w:sz="4" w:space="0"/>
              <w:bottom w:val="single" w:color="000000" w:sz="4" w:space="0"/>
              <w:right w:val="single" w:color="000000" w:sz="4" w:space="0"/>
            </w:tcBorders>
            <w:vAlign w:val="center"/>
          </w:tcPr>
          <w:p w14:paraId="1C880789">
            <w:pPr>
              <w:autoSpaceDE w:val="0"/>
              <w:autoSpaceDN w:val="0"/>
              <w:spacing w:after="0" w:line="240" w:lineRule="auto"/>
              <w:jc w:val="both"/>
              <w:rPr>
                <w:rFonts w:hint="eastAsia" w:ascii="宋体" w:hAnsi="宋体" w:eastAsia="宋体" w:cs="宋体"/>
                <w:color w:val="000000"/>
                <w:sz w:val="22"/>
              </w:rPr>
            </w:pPr>
            <w:r>
              <w:rPr>
                <w:rFonts w:hint="eastAsia" w:ascii="宋体" w:hAnsi="宋体" w:eastAsia="宋体" w:cs="宋体"/>
                <w:color w:val="000000"/>
                <w:sz w:val="22"/>
              </w:rPr>
              <w:t>此费用包含在项目总费用内不再单独报价</w:t>
            </w:r>
          </w:p>
        </w:tc>
      </w:tr>
      <w:tr w14:paraId="7652E80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1040" w:hRule="atLeast"/>
        </w:trPr>
        <w:tc>
          <w:tcPr>
            <w:tcW w:w="488" w:type="dxa"/>
            <w:tcBorders>
              <w:top w:val="single" w:color="000000" w:sz="4" w:space="0"/>
              <w:left w:val="single" w:color="000000" w:sz="4" w:space="0"/>
              <w:bottom w:val="single" w:color="000000" w:sz="4" w:space="0"/>
              <w:right w:val="single" w:color="000000" w:sz="4" w:space="0"/>
            </w:tcBorders>
            <w:vAlign w:val="center"/>
          </w:tcPr>
          <w:p w14:paraId="3E854BDB">
            <w:pPr>
              <w:autoSpaceDE w:val="0"/>
              <w:autoSpaceDN w:val="0"/>
              <w:spacing w:after="0" w:line="240" w:lineRule="auto"/>
              <w:ind w:firstLine="0"/>
              <w:jc w:val="center"/>
              <w:rPr>
                <w:rFonts w:hint="eastAsia" w:ascii="宋体" w:hAnsi="宋体" w:eastAsia="宋体"/>
                <w:color w:val="000000"/>
                <w:sz w:val="22"/>
              </w:rPr>
            </w:pPr>
          </w:p>
          <w:p w14:paraId="692D72F6">
            <w:pPr>
              <w:autoSpaceDE w:val="0"/>
              <w:autoSpaceDN w:val="0"/>
              <w:spacing w:after="0" w:line="240" w:lineRule="auto"/>
              <w:ind w:firstLine="0"/>
              <w:jc w:val="center"/>
              <w:rPr>
                <w:sz w:val="22"/>
              </w:rPr>
            </w:pPr>
            <w:r>
              <w:rPr>
                <w:rFonts w:hint="eastAsia" w:ascii="Calibri" w:hAnsi="Calibri" w:eastAsia="Calibri"/>
                <w:color w:val="000000"/>
                <w:sz w:val="22"/>
              </w:rPr>
              <w:t>10</w:t>
            </w:r>
          </w:p>
        </w:tc>
        <w:tc>
          <w:tcPr>
            <w:tcW w:w="903" w:type="dxa"/>
            <w:vMerge w:val="continue"/>
            <w:tcBorders>
              <w:top w:val="single" w:color="000000" w:sz="4" w:space="0"/>
              <w:left w:val="single" w:color="000000" w:sz="4" w:space="0"/>
              <w:bottom w:val="single" w:color="000000" w:sz="4" w:space="0"/>
              <w:right w:val="single" w:color="000000" w:sz="4" w:space="0"/>
            </w:tcBorders>
          </w:tcPr>
          <w:p w14:paraId="13DC9D11"/>
        </w:tc>
        <w:tc>
          <w:tcPr>
            <w:tcW w:w="3378" w:type="dxa"/>
            <w:tcBorders>
              <w:top w:val="single" w:color="000000" w:sz="4" w:space="0"/>
              <w:left w:val="single" w:color="000000" w:sz="4" w:space="0"/>
              <w:bottom w:val="single" w:color="000000" w:sz="4" w:space="0"/>
              <w:right w:val="single" w:color="000000" w:sz="4" w:space="0"/>
            </w:tcBorders>
            <w:vAlign w:val="center"/>
          </w:tcPr>
          <w:p w14:paraId="3F5BD415">
            <w:pPr>
              <w:autoSpaceDE w:val="0"/>
              <w:autoSpaceDN w:val="0"/>
              <w:spacing w:after="0" w:line="240" w:lineRule="auto"/>
              <w:ind w:firstLine="0"/>
              <w:jc w:val="center"/>
              <w:rPr>
                <w:sz w:val="22"/>
              </w:rPr>
            </w:pPr>
            <w:r>
              <w:rPr>
                <w:rFonts w:hint="eastAsia" w:ascii="宋体" w:hAnsi="宋体" w:eastAsia="宋体"/>
                <w:color w:val="000000"/>
                <w:sz w:val="22"/>
              </w:rPr>
              <w:t>会议、培训等费用</w:t>
            </w:r>
          </w:p>
        </w:tc>
        <w:tc>
          <w:tcPr>
            <w:tcW w:w="597" w:type="dxa"/>
            <w:tcBorders>
              <w:top w:val="single" w:color="000000" w:sz="4" w:space="0"/>
              <w:left w:val="single" w:color="000000" w:sz="4" w:space="0"/>
              <w:bottom w:val="single" w:color="000000" w:sz="4" w:space="0"/>
              <w:right w:val="single" w:color="000000" w:sz="4" w:space="0"/>
            </w:tcBorders>
            <w:vAlign w:val="center"/>
          </w:tcPr>
          <w:p w14:paraId="6201CF09">
            <w:pPr>
              <w:autoSpaceDE w:val="0"/>
              <w:autoSpaceDN w:val="0"/>
              <w:spacing w:before="0" w:after="0" w:line="285" w:lineRule="exact"/>
              <w:ind w:firstLine="0"/>
              <w:jc w:val="center"/>
              <w:rPr>
                <w:rFonts w:hint="eastAsia" w:ascii="宋体" w:hAnsi="宋体" w:eastAsia="宋体"/>
                <w:color w:val="000000"/>
                <w:sz w:val="22"/>
              </w:rPr>
            </w:pPr>
          </w:p>
          <w:p w14:paraId="7BBB6643">
            <w:pPr>
              <w:autoSpaceDE w:val="0"/>
              <w:autoSpaceDN w:val="0"/>
              <w:spacing w:after="0" w:line="240" w:lineRule="auto"/>
              <w:ind w:firstLine="0" w:firstLineChars="0"/>
              <w:jc w:val="center"/>
              <w:rPr>
                <w:sz w:val="22"/>
              </w:rPr>
            </w:pPr>
            <w:r>
              <w:rPr>
                <w:rFonts w:hint="eastAsia" w:ascii="宋体" w:hAnsi="宋体" w:eastAsia="宋体"/>
                <w:color w:val="000000"/>
                <w:sz w:val="22"/>
              </w:rPr>
              <w:t>项</w:t>
            </w:r>
          </w:p>
        </w:tc>
        <w:tc>
          <w:tcPr>
            <w:tcW w:w="647" w:type="dxa"/>
            <w:tcBorders>
              <w:top w:val="single" w:color="000000" w:sz="4" w:space="0"/>
              <w:left w:val="single" w:color="000000" w:sz="4" w:space="0"/>
              <w:bottom w:val="single" w:color="000000" w:sz="4" w:space="0"/>
              <w:right w:val="single" w:color="000000" w:sz="4" w:space="0"/>
            </w:tcBorders>
            <w:vAlign w:val="center"/>
          </w:tcPr>
          <w:p w14:paraId="2998BCAA">
            <w:pPr>
              <w:autoSpaceDE w:val="0"/>
              <w:autoSpaceDN w:val="0"/>
              <w:spacing w:before="0" w:after="0" w:line="285" w:lineRule="exact"/>
              <w:ind w:firstLine="0"/>
              <w:jc w:val="center"/>
              <w:rPr>
                <w:rFonts w:hint="eastAsia" w:ascii="宋体" w:hAnsi="宋体" w:eastAsia="宋体"/>
                <w:color w:val="000000"/>
                <w:sz w:val="22"/>
              </w:rPr>
            </w:pPr>
          </w:p>
          <w:p w14:paraId="4791407B">
            <w:pPr>
              <w:autoSpaceDE w:val="0"/>
              <w:autoSpaceDN w:val="0"/>
              <w:spacing w:after="0" w:line="240" w:lineRule="auto"/>
              <w:jc w:val="center"/>
              <w:rPr>
                <w:sz w:val="22"/>
              </w:rPr>
            </w:pPr>
            <w:r>
              <w:rPr>
                <w:rFonts w:hint="eastAsia" w:ascii="Calibri" w:hAnsi="Calibri" w:eastAsia="Calibri"/>
                <w:color w:val="000000"/>
                <w:sz w:val="22"/>
              </w:rPr>
              <w:t>1</w:t>
            </w:r>
          </w:p>
        </w:tc>
        <w:tc>
          <w:tcPr>
            <w:tcW w:w="1475" w:type="dxa"/>
            <w:tcBorders>
              <w:top w:val="single" w:color="000000" w:sz="4" w:space="0"/>
              <w:left w:val="single" w:color="000000" w:sz="4" w:space="0"/>
              <w:bottom w:val="single" w:color="000000" w:sz="4" w:space="0"/>
              <w:right w:val="single" w:color="000000" w:sz="4" w:space="0"/>
            </w:tcBorders>
            <w:vAlign w:val="center"/>
          </w:tcPr>
          <w:p w14:paraId="0AC0C5A5">
            <w:pPr>
              <w:autoSpaceDE w:val="0"/>
              <w:autoSpaceDN w:val="0"/>
              <w:spacing w:before="0" w:after="0" w:line="285" w:lineRule="exact"/>
              <w:ind w:firstLine="0"/>
              <w:jc w:val="center"/>
              <w:rPr>
                <w:rFonts w:hint="eastAsia" w:ascii="宋体" w:hAnsi="宋体" w:eastAsia="宋体"/>
                <w:color w:val="000000"/>
                <w:sz w:val="22"/>
              </w:rPr>
            </w:pPr>
          </w:p>
          <w:p w14:paraId="410D7F1C">
            <w:pPr>
              <w:autoSpaceDE w:val="0"/>
              <w:autoSpaceDN w:val="0"/>
              <w:spacing w:after="0" w:line="240" w:lineRule="auto"/>
              <w:ind w:firstLine="0"/>
              <w:jc w:val="center"/>
              <w:rPr>
                <w:sz w:val="22"/>
              </w:rPr>
            </w:pPr>
            <w:r>
              <w:rPr>
                <w:rFonts w:hint="eastAsia" w:ascii="Calibri" w:hAnsi="Calibri" w:eastAsia="Calibri"/>
                <w:color w:val="000000"/>
                <w:sz w:val="22"/>
              </w:rPr>
              <w:t>0.00</w:t>
            </w:r>
          </w:p>
        </w:tc>
        <w:tc>
          <w:tcPr>
            <w:tcW w:w="1012" w:type="dxa"/>
            <w:tcBorders>
              <w:top w:val="single" w:color="000000" w:sz="4" w:space="0"/>
              <w:left w:val="single" w:color="000000" w:sz="4" w:space="0"/>
              <w:bottom w:val="single" w:color="000000" w:sz="4" w:space="0"/>
              <w:right w:val="single" w:color="000000" w:sz="4" w:space="0"/>
            </w:tcBorders>
            <w:vAlign w:val="center"/>
          </w:tcPr>
          <w:p w14:paraId="5A5BDA9A">
            <w:pPr>
              <w:autoSpaceDE w:val="0"/>
              <w:autoSpaceDN w:val="0"/>
              <w:spacing w:before="0" w:after="0" w:line="272" w:lineRule="exact"/>
              <w:jc w:val="center"/>
              <w:rPr>
                <w:rFonts w:hint="eastAsia" w:ascii="宋体" w:hAnsi="宋体" w:eastAsia="宋体"/>
                <w:color w:val="000000"/>
                <w:sz w:val="21"/>
              </w:rPr>
            </w:pPr>
          </w:p>
        </w:tc>
        <w:tc>
          <w:tcPr>
            <w:tcW w:w="2049" w:type="dxa"/>
            <w:tcBorders>
              <w:top w:val="single" w:color="000000" w:sz="4" w:space="0"/>
              <w:left w:val="single" w:color="000000" w:sz="4" w:space="0"/>
              <w:bottom w:val="single" w:color="000000" w:sz="4" w:space="0"/>
              <w:right w:val="single" w:color="000000" w:sz="4" w:space="0"/>
            </w:tcBorders>
            <w:vAlign w:val="center"/>
          </w:tcPr>
          <w:p w14:paraId="7E16513C">
            <w:pPr>
              <w:autoSpaceDE w:val="0"/>
              <w:autoSpaceDN w:val="0"/>
              <w:spacing w:after="0" w:line="240" w:lineRule="auto"/>
              <w:jc w:val="both"/>
              <w:rPr>
                <w:rFonts w:hint="eastAsia" w:ascii="宋体" w:hAnsi="宋体" w:eastAsia="宋体" w:cs="宋体"/>
                <w:color w:val="000000"/>
                <w:sz w:val="22"/>
              </w:rPr>
            </w:pPr>
          </w:p>
          <w:p w14:paraId="192A9FD9">
            <w:pPr>
              <w:autoSpaceDE w:val="0"/>
              <w:autoSpaceDN w:val="0"/>
              <w:spacing w:after="0" w:line="240" w:lineRule="auto"/>
              <w:jc w:val="both"/>
              <w:rPr>
                <w:rFonts w:hint="eastAsia" w:ascii="宋体" w:hAnsi="宋体" w:eastAsia="宋体" w:cs="宋体"/>
                <w:color w:val="000000"/>
                <w:sz w:val="22"/>
              </w:rPr>
            </w:pPr>
            <w:r>
              <w:rPr>
                <w:rFonts w:hint="eastAsia" w:ascii="宋体" w:hAnsi="宋体" w:eastAsia="宋体" w:cs="宋体"/>
                <w:color w:val="000000"/>
                <w:sz w:val="22"/>
              </w:rPr>
              <w:t>此费用包含在项目总费用内不再单独报价</w:t>
            </w:r>
          </w:p>
        </w:tc>
      </w:tr>
      <w:tr w14:paraId="1FB6098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80" w:hRule="atLeast"/>
        </w:trPr>
        <w:tc>
          <w:tcPr>
            <w:tcW w:w="488" w:type="dxa"/>
            <w:tcBorders>
              <w:top w:val="single" w:color="000000" w:sz="4" w:space="0"/>
              <w:left w:val="single" w:color="000000" w:sz="4" w:space="0"/>
              <w:bottom w:val="single" w:color="000000" w:sz="4" w:space="0"/>
              <w:right w:val="single" w:color="000000" w:sz="4" w:space="0"/>
            </w:tcBorders>
            <w:vAlign w:val="center"/>
          </w:tcPr>
          <w:p w14:paraId="1581D745">
            <w:pPr>
              <w:autoSpaceDE w:val="0"/>
              <w:autoSpaceDN w:val="0"/>
              <w:spacing w:after="0" w:line="240" w:lineRule="auto"/>
              <w:ind w:firstLine="0"/>
              <w:jc w:val="center"/>
              <w:rPr>
                <w:rFonts w:hint="eastAsia" w:ascii="宋体" w:hAnsi="宋体" w:eastAsia="宋体"/>
                <w:color w:val="000000"/>
                <w:sz w:val="22"/>
              </w:rPr>
            </w:pPr>
          </w:p>
          <w:p w14:paraId="713B3897">
            <w:pPr>
              <w:autoSpaceDE w:val="0"/>
              <w:autoSpaceDN w:val="0"/>
              <w:spacing w:after="0" w:line="240" w:lineRule="auto"/>
              <w:ind w:firstLine="0"/>
              <w:jc w:val="center"/>
              <w:rPr>
                <w:sz w:val="22"/>
              </w:rPr>
            </w:pPr>
            <w:r>
              <w:rPr>
                <w:rFonts w:hint="eastAsia" w:ascii="Calibri" w:hAnsi="Calibri" w:eastAsia="Calibri"/>
                <w:color w:val="000000"/>
                <w:sz w:val="22"/>
              </w:rPr>
              <w:t>11</w:t>
            </w:r>
          </w:p>
        </w:tc>
        <w:tc>
          <w:tcPr>
            <w:tcW w:w="903" w:type="dxa"/>
            <w:vMerge w:val="continue"/>
            <w:tcBorders>
              <w:top w:val="single" w:color="000000" w:sz="4" w:space="0"/>
              <w:left w:val="single" w:color="000000" w:sz="4" w:space="0"/>
              <w:bottom w:val="single" w:color="000000" w:sz="4" w:space="0"/>
              <w:right w:val="single" w:color="000000" w:sz="4" w:space="0"/>
            </w:tcBorders>
          </w:tcPr>
          <w:p w14:paraId="6220BEC6"/>
        </w:tc>
        <w:tc>
          <w:tcPr>
            <w:tcW w:w="3378" w:type="dxa"/>
            <w:tcBorders>
              <w:top w:val="single" w:color="000000" w:sz="4" w:space="0"/>
              <w:left w:val="single" w:color="000000" w:sz="4" w:space="0"/>
              <w:bottom w:val="single" w:color="000000" w:sz="4" w:space="0"/>
              <w:right w:val="single" w:color="000000" w:sz="4" w:space="0"/>
            </w:tcBorders>
            <w:vAlign w:val="center"/>
          </w:tcPr>
          <w:p w14:paraId="2027D79E">
            <w:pPr>
              <w:autoSpaceDE w:val="0"/>
              <w:autoSpaceDN w:val="0"/>
              <w:spacing w:after="0" w:line="240" w:lineRule="auto"/>
              <w:ind w:firstLine="0"/>
              <w:jc w:val="center"/>
              <w:rPr>
                <w:sz w:val="22"/>
              </w:rPr>
            </w:pPr>
            <w:r>
              <w:rPr>
                <w:rFonts w:hint="eastAsia" w:ascii="宋体" w:hAnsi="宋体" w:eastAsia="宋体"/>
                <w:color w:val="000000"/>
                <w:sz w:val="22"/>
              </w:rPr>
              <w:t>项目不可预见费用</w:t>
            </w:r>
          </w:p>
        </w:tc>
        <w:tc>
          <w:tcPr>
            <w:tcW w:w="597" w:type="dxa"/>
            <w:tcBorders>
              <w:top w:val="single" w:color="000000" w:sz="4" w:space="0"/>
              <w:left w:val="single" w:color="000000" w:sz="4" w:space="0"/>
              <w:bottom w:val="single" w:color="000000" w:sz="4" w:space="0"/>
              <w:right w:val="single" w:color="000000" w:sz="4" w:space="0"/>
            </w:tcBorders>
            <w:vAlign w:val="center"/>
          </w:tcPr>
          <w:p w14:paraId="7752588E">
            <w:pPr>
              <w:autoSpaceDE w:val="0"/>
              <w:autoSpaceDN w:val="0"/>
              <w:spacing w:after="0" w:line="240" w:lineRule="auto"/>
              <w:ind w:firstLine="0" w:firstLineChars="0"/>
              <w:jc w:val="center"/>
              <w:rPr>
                <w:sz w:val="22"/>
              </w:rPr>
            </w:pPr>
            <w:r>
              <w:rPr>
                <w:rFonts w:hint="eastAsia" w:ascii="宋体" w:hAnsi="宋体" w:eastAsia="宋体"/>
                <w:color w:val="000000"/>
                <w:sz w:val="22"/>
              </w:rPr>
              <w:t>项</w:t>
            </w:r>
          </w:p>
        </w:tc>
        <w:tc>
          <w:tcPr>
            <w:tcW w:w="647" w:type="dxa"/>
            <w:tcBorders>
              <w:top w:val="single" w:color="000000" w:sz="4" w:space="0"/>
              <w:left w:val="single" w:color="000000" w:sz="4" w:space="0"/>
              <w:bottom w:val="single" w:color="000000" w:sz="4" w:space="0"/>
              <w:right w:val="single" w:color="000000" w:sz="4" w:space="0"/>
            </w:tcBorders>
            <w:vAlign w:val="center"/>
          </w:tcPr>
          <w:p w14:paraId="26D1E3DE">
            <w:pPr>
              <w:autoSpaceDE w:val="0"/>
              <w:autoSpaceDN w:val="0"/>
              <w:spacing w:after="0" w:line="240" w:lineRule="auto"/>
              <w:jc w:val="center"/>
              <w:rPr>
                <w:sz w:val="22"/>
              </w:rPr>
            </w:pPr>
            <w:r>
              <w:rPr>
                <w:rFonts w:hint="eastAsia" w:ascii="Calibri" w:hAnsi="Calibri" w:eastAsia="Calibri"/>
                <w:color w:val="000000"/>
                <w:sz w:val="22"/>
              </w:rPr>
              <w:t>1.00</w:t>
            </w:r>
          </w:p>
        </w:tc>
        <w:tc>
          <w:tcPr>
            <w:tcW w:w="1475" w:type="dxa"/>
            <w:tcBorders>
              <w:top w:val="single" w:color="000000" w:sz="4" w:space="0"/>
              <w:left w:val="single" w:color="000000" w:sz="4" w:space="0"/>
              <w:bottom w:val="single" w:color="000000" w:sz="4" w:space="0"/>
              <w:right w:val="single" w:color="000000" w:sz="4" w:space="0"/>
            </w:tcBorders>
            <w:vAlign w:val="center"/>
          </w:tcPr>
          <w:p w14:paraId="69E5A8A0">
            <w:pPr>
              <w:autoSpaceDE w:val="0"/>
              <w:autoSpaceDN w:val="0"/>
              <w:spacing w:after="0" w:line="240" w:lineRule="auto"/>
              <w:jc w:val="center"/>
              <w:rPr>
                <w:sz w:val="22"/>
              </w:rPr>
            </w:pPr>
            <w:r>
              <w:rPr>
                <w:rFonts w:hint="eastAsia" w:ascii="Calibri" w:hAnsi="Calibri" w:eastAsia="Calibri"/>
                <w:color w:val="000000"/>
                <w:sz w:val="22"/>
              </w:rPr>
              <w:t>0.00</w:t>
            </w:r>
          </w:p>
        </w:tc>
        <w:tc>
          <w:tcPr>
            <w:tcW w:w="1012" w:type="dxa"/>
            <w:tcBorders>
              <w:top w:val="single" w:color="000000" w:sz="4" w:space="0"/>
              <w:left w:val="single" w:color="000000" w:sz="4" w:space="0"/>
              <w:bottom w:val="single" w:color="000000" w:sz="4" w:space="0"/>
              <w:right w:val="single" w:color="000000" w:sz="4" w:space="0"/>
            </w:tcBorders>
            <w:vAlign w:val="center"/>
          </w:tcPr>
          <w:p w14:paraId="26B8C2E8">
            <w:pPr>
              <w:autoSpaceDE w:val="0"/>
              <w:autoSpaceDN w:val="0"/>
              <w:spacing w:before="0" w:after="0" w:line="272" w:lineRule="exact"/>
              <w:jc w:val="center"/>
              <w:rPr>
                <w:rFonts w:hint="eastAsia" w:ascii="宋体" w:hAnsi="宋体" w:eastAsia="宋体"/>
                <w:color w:val="000000"/>
                <w:sz w:val="21"/>
              </w:rPr>
            </w:pPr>
          </w:p>
        </w:tc>
        <w:tc>
          <w:tcPr>
            <w:tcW w:w="2049" w:type="dxa"/>
            <w:tcBorders>
              <w:top w:val="single" w:color="000000" w:sz="4" w:space="0"/>
              <w:left w:val="single" w:color="000000" w:sz="4" w:space="0"/>
              <w:bottom w:val="single" w:color="000000" w:sz="4" w:space="0"/>
              <w:right w:val="single" w:color="000000" w:sz="4" w:space="0"/>
            </w:tcBorders>
            <w:vAlign w:val="center"/>
          </w:tcPr>
          <w:p w14:paraId="26B1B0FC">
            <w:pPr>
              <w:autoSpaceDE w:val="0"/>
              <w:autoSpaceDN w:val="0"/>
              <w:spacing w:after="0" w:line="240" w:lineRule="auto"/>
              <w:jc w:val="both"/>
              <w:rPr>
                <w:sz w:val="22"/>
              </w:rPr>
            </w:pPr>
            <w:r>
              <w:rPr>
                <w:rFonts w:hint="eastAsia" w:ascii="宋体" w:hAnsi="宋体" w:eastAsia="宋体"/>
                <w:color w:val="000000"/>
                <w:sz w:val="22"/>
              </w:rPr>
              <w:t>工作过程中不可预见费用按</w:t>
            </w:r>
            <w:r>
              <w:rPr>
                <w:rFonts w:hint="eastAsia" w:ascii="Calibri" w:hAnsi="Calibri" w:eastAsia="Calibri"/>
                <w:color w:val="000000"/>
                <w:sz w:val="22"/>
              </w:rPr>
              <w:t>5</w:t>
            </w:r>
            <w:r>
              <w:rPr>
                <w:rFonts w:hint="eastAsia" w:ascii="宋体" w:hAnsi="宋体" w:eastAsia="宋体"/>
                <w:color w:val="000000"/>
                <w:sz w:val="22"/>
              </w:rPr>
              <w:t>％</w:t>
            </w:r>
          </w:p>
        </w:tc>
      </w:tr>
      <w:tr w14:paraId="277CB76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80" w:hRule="atLeast"/>
        </w:trPr>
        <w:tc>
          <w:tcPr>
            <w:tcW w:w="6013" w:type="dxa"/>
            <w:gridSpan w:val="5"/>
            <w:tcBorders>
              <w:top w:val="single" w:color="000000" w:sz="4" w:space="0"/>
              <w:left w:val="single" w:color="000000" w:sz="4" w:space="0"/>
              <w:bottom w:val="single" w:color="000000" w:sz="4" w:space="0"/>
              <w:right w:val="single" w:color="000000" w:sz="4" w:space="0"/>
            </w:tcBorders>
            <w:vAlign w:val="top"/>
          </w:tcPr>
          <w:p w14:paraId="127F828C">
            <w:pPr>
              <w:autoSpaceDE w:val="0"/>
              <w:autoSpaceDN w:val="0"/>
              <w:spacing w:before="220" w:after="0" w:line="285" w:lineRule="exact"/>
              <w:jc w:val="center"/>
              <w:rPr>
                <w:sz w:val="22"/>
              </w:rPr>
            </w:pPr>
            <w:r>
              <w:rPr>
                <w:rFonts w:hint="eastAsia" w:ascii="宋体" w:hAnsi="宋体" w:eastAsia="宋体"/>
                <w:color w:val="000000"/>
                <w:sz w:val="22"/>
              </w:rPr>
              <w:t>合计（万元）</w:t>
            </w:r>
          </w:p>
        </w:tc>
        <w:tc>
          <w:tcPr>
            <w:tcW w:w="1475" w:type="dxa"/>
            <w:tcBorders>
              <w:top w:val="single" w:color="000000" w:sz="4" w:space="0"/>
              <w:left w:val="single" w:color="000000" w:sz="4" w:space="0"/>
              <w:bottom w:val="single" w:color="000000" w:sz="4" w:space="0"/>
              <w:right w:val="single" w:color="000000" w:sz="4" w:space="0"/>
            </w:tcBorders>
            <w:vAlign w:val="center"/>
          </w:tcPr>
          <w:p w14:paraId="0AEE7821">
            <w:pPr>
              <w:autoSpaceDE w:val="0"/>
              <w:autoSpaceDN w:val="0"/>
              <w:spacing w:before="0" w:after="0" w:line="272" w:lineRule="exact"/>
              <w:jc w:val="center"/>
              <w:rPr>
                <w:rFonts w:hint="eastAsia" w:ascii="宋体" w:hAnsi="宋体" w:eastAsia="宋体"/>
                <w:color w:val="000000"/>
                <w:sz w:val="21"/>
              </w:rPr>
            </w:pPr>
          </w:p>
        </w:tc>
        <w:tc>
          <w:tcPr>
            <w:tcW w:w="1012" w:type="dxa"/>
            <w:tcBorders>
              <w:top w:val="single" w:color="000000" w:sz="4" w:space="0"/>
              <w:left w:val="single" w:color="000000" w:sz="4" w:space="0"/>
              <w:bottom w:val="single" w:color="000000" w:sz="4" w:space="0"/>
              <w:right w:val="single" w:color="000000" w:sz="4" w:space="0"/>
            </w:tcBorders>
            <w:vAlign w:val="center"/>
          </w:tcPr>
          <w:p w14:paraId="0A523EAF">
            <w:pPr>
              <w:autoSpaceDE w:val="0"/>
              <w:autoSpaceDN w:val="0"/>
              <w:spacing w:before="0" w:after="0" w:line="272" w:lineRule="exact"/>
              <w:jc w:val="center"/>
              <w:rPr>
                <w:rFonts w:hint="eastAsia" w:ascii="宋体" w:hAnsi="宋体" w:eastAsia="宋体"/>
                <w:color w:val="000000"/>
                <w:sz w:val="21"/>
              </w:rPr>
            </w:pPr>
          </w:p>
        </w:tc>
        <w:tc>
          <w:tcPr>
            <w:tcW w:w="2049" w:type="dxa"/>
            <w:tcBorders>
              <w:top w:val="single" w:color="000000" w:sz="4" w:space="0"/>
              <w:left w:val="single" w:color="000000" w:sz="4" w:space="0"/>
              <w:bottom w:val="single" w:color="000000" w:sz="4" w:space="0"/>
              <w:right w:val="single" w:color="000000" w:sz="4" w:space="0"/>
            </w:tcBorders>
            <w:vAlign w:val="center"/>
          </w:tcPr>
          <w:p w14:paraId="5EB6F4BD">
            <w:pPr>
              <w:autoSpaceDE w:val="0"/>
              <w:autoSpaceDN w:val="0"/>
              <w:spacing w:before="0" w:after="0" w:line="272" w:lineRule="exact"/>
              <w:jc w:val="center"/>
              <w:rPr>
                <w:rFonts w:hint="eastAsia" w:ascii="宋体" w:hAnsi="宋体" w:eastAsia="宋体"/>
                <w:color w:val="000000"/>
                <w:sz w:val="21"/>
              </w:rPr>
            </w:pPr>
          </w:p>
        </w:tc>
      </w:tr>
      <w:tr w14:paraId="4DA27A1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80" w:hRule="atLeast"/>
        </w:trPr>
        <w:tc>
          <w:tcPr>
            <w:tcW w:w="10549" w:type="dxa"/>
            <w:gridSpan w:val="8"/>
            <w:tcBorders>
              <w:top w:val="single" w:color="000000" w:sz="4" w:space="0"/>
              <w:left w:val="single" w:color="000000" w:sz="4" w:space="0"/>
              <w:bottom w:val="single" w:color="000000" w:sz="4" w:space="0"/>
              <w:right w:val="single" w:color="000000" w:sz="4" w:space="0"/>
            </w:tcBorders>
            <w:vAlign w:val="top"/>
          </w:tcPr>
          <w:p w14:paraId="42DD857A">
            <w:pPr>
              <w:autoSpaceDE w:val="0"/>
              <w:autoSpaceDN w:val="0"/>
              <w:spacing w:before="0" w:after="0" w:line="285" w:lineRule="exact"/>
              <w:ind w:firstLine="0"/>
              <w:jc w:val="both"/>
              <w:rPr>
                <w:rFonts w:hint="eastAsia" w:ascii="宋体" w:hAnsi="宋体" w:eastAsia="宋体"/>
                <w:color w:val="000000"/>
                <w:sz w:val="22"/>
              </w:rPr>
            </w:pPr>
          </w:p>
          <w:p w14:paraId="3E7653F5">
            <w:pPr>
              <w:autoSpaceDE w:val="0"/>
              <w:autoSpaceDN w:val="0"/>
              <w:spacing w:before="114" w:after="0" w:line="285" w:lineRule="exact"/>
              <w:jc w:val="both"/>
              <w:rPr>
                <w:sz w:val="22"/>
              </w:rPr>
            </w:pPr>
            <w:r>
              <w:rPr>
                <w:rFonts w:hint="eastAsia" w:ascii="宋体" w:hAnsi="宋体" w:eastAsia="宋体"/>
                <w:color w:val="000000"/>
                <w:sz w:val="22"/>
              </w:rPr>
              <w:t>备注：计算依据参照国土资源部下发的《县级土地资源调查生产成本定额》、《测绘生产成本费用定额计算细则》</w:t>
            </w:r>
          </w:p>
        </w:tc>
      </w:tr>
    </w:tbl>
    <w:p w14:paraId="627AA3F4">
      <w:pPr>
        <w:spacing w:line="1" w:lineRule="exact"/>
      </w:pPr>
    </w:p>
    <w:p w14:paraId="5259159F">
      <w:pPr>
        <w:tabs>
          <w:tab w:val="left" w:pos="1624"/>
        </w:tabs>
        <w:spacing w:before="22"/>
        <w:jc w:val="center"/>
        <w:rPr>
          <w:b/>
          <w:sz w:val="36"/>
          <w:lang w:eastAsia="zh-CN"/>
        </w:rPr>
      </w:pPr>
    </w:p>
    <w:p w14:paraId="5CB98BD2">
      <w:pPr>
        <w:tabs>
          <w:tab w:val="left" w:pos="1624"/>
        </w:tabs>
        <w:spacing w:before="22"/>
        <w:jc w:val="center"/>
        <w:outlineLvl w:val="0"/>
        <w:rPr>
          <w:b/>
          <w:sz w:val="36"/>
          <w:lang w:eastAsia="zh-CN"/>
        </w:rPr>
      </w:pPr>
    </w:p>
    <w:p w14:paraId="3C092F0F">
      <w:pPr>
        <w:rPr>
          <w:lang w:eastAsia="zh-CN"/>
        </w:rPr>
        <w:sectPr>
          <w:pgSz w:w="11910" w:h="16840"/>
          <w:pgMar w:top="1440" w:right="1080" w:bottom="1440" w:left="1080" w:header="0" w:footer="909" w:gutter="0"/>
          <w:pgNumType w:fmt="decimal"/>
          <w:cols w:space="720" w:num="1"/>
          <w:docGrid w:linePitch="299" w:charSpace="0"/>
        </w:sectPr>
      </w:pPr>
    </w:p>
    <w:p w14:paraId="509AC813">
      <w:pPr>
        <w:tabs>
          <w:tab w:val="left" w:pos="1624"/>
        </w:tabs>
        <w:spacing w:before="22"/>
        <w:jc w:val="center"/>
        <w:outlineLvl w:val="0"/>
        <w:rPr>
          <w:b/>
          <w:sz w:val="36"/>
          <w:lang w:eastAsia="zh-CN"/>
        </w:rPr>
      </w:pPr>
      <w:bookmarkStart w:id="58" w:name="_Toc13685"/>
    </w:p>
    <w:p w14:paraId="64FBBB8D">
      <w:pPr>
        <w:tabs>
          <w:tab w:val="left" w:pos="1624"/>
        </w:tabs>
        <w:spacing w:before="22"/>
        <w:jc w:val="center"/>
        <w:outlineLvl w:val="0"/>
        <w:rPr>
          <w:b/>
          <w:sz w:val="36"/>
          <w:lang w:eastAsia="zh-CN"/>
        </w:rPr>
      </w:pPr>
      <w:r>
        <w:rPr>
          <w:b/>
          <w:sz w:val="36"/>
          <w:lang w:eastAsia="zh-CN"/>
        </w:rPr>
        <w:t>第六章</w:t>
      </w:r>
      <w:r>
        <w:rPr>
          <w:b/>
          <w:sz w:val="36"/>
          <w:lang w:eastAsia="zh-CN"/>
        </w:rPr>
        <w:tab/>
      </w:r>
      <w:r>
        <w:rPr>
          <w:b/>
          <w:sz w:val="36"/>
          <w:lang w:eastAsia="zh-CN"/>
        </w:rPr>
        <w:t>响应文件格式</w:t>
      </w:r>
      <w:bookmarkEnd w:id="58"/>
    </w:p>
    <w:p w14:paraId="03CDA0B1">
      <w:pPr>
        <w:pStyle w:val="6"/>
        <w:ind w:left="0"/>
        <w:rPr>
          <w:b/>
          <w:sz w:val="36"/>
          <w:lang w:eastAsia="zh-CN"/>
        </w:rPr>
      </w:pPr>
    </w:p>
    <w:p w14:paraId="75121920">
      <w:pPr>
        <w:pStyle w:val="6"/>
        <w:spacing w:before="7"/>
        <w:ind w:left="0"/>
        <w:rPr>
          <w:b/>
          <w:sz w:val="27"/>
          <w:lang w:eastAsia="zh-CN"/>
        </w:rPr>
      </w:pPr>
    </w:p>
    <w:p w14:paraId="0CDA58AC">
      <w:pPr>
        <w:spacing w:line="364" w:lineRule="auto"/>
        <w:jc w:val="center"/>
        <w:rPr>
          <w:b/>
          <w:sz w:val="32"/>
          <w:lang w:eastAsia="zh-CN"/>
        </w:rPr>
      </w:pPr>
      <w:r>
        <w:rPr>
          <w:b/>
          <w:sz w:val="32"/>
          <w:lang w:eastAsia="zh-CN"/>
        </w:rPr>
        <w:t xml:space="preserve">（项目名称） </w:t>
      </w:r>
    </w:p>
    <w:p w14:paraId="523725C3">
      <w:pPr>
        <w:spacing w:line="364" w:lineRule="auto"/>
        <w:jc w:val="center"/>
        <w:rPr>
          <w:b/>
          <w:sz w:val="32"/>
          <w:lang w:eastAsia="zh-CN"/>
        </w:rPr>
      </w:pPr>
      <w:r>
        <w:rPr>
          <w:b/>
          <w:sz w:val="32"/>
          <w:lang w:eastAsia="zh-CN"/>
        </w:rPr>
        <w:t>项目编号：</w:t>
      </w:r>
    </w:p>
    <w:p w14:paraId="445D88BD">
      <w:pPr>
        <w:pStyle w:val="6"/>
        <w:spacing w:before="11"/>
        <w:ind w:left="0"/>
        <w:rPr>
          <w:b/>
          <w:sz w:val="40"/>
          <w:lang w:eastAsia="zh-CN"/>
        </w:rPr>
      </w:pPr>
    </w:p>
    <w:p w14:paraId="1FDE3E76">
      <w:pPr>
        <w:ind w:left="530" w:right="532"/>
        <w:jc w:val="center"/>
        <w:rPr>
          <w:b/>
          <w:sz w:val="72"/>
          <w:lang w:eastAsia="zh-CN"/>
        </w:rPr>
      </w:pPr>
      <w:r>
        <w:rPr>
          <w:b/>
          <w:sz w:val="72"/>
          <w:lang w:eastAsia="zh-CN"/>
        </w:rPr>
        <w:t>响 应 文 件</w:t>
      </w:r>
    </w:p>
    <w:p w14:paraId="78F74812">
      <w:pPr>
        <w:pStyle w:val="6"/>
        <w:ind w:left="0"/>
        <w:rPr>
          <w:b/>
          <w:sz w:val="72"/>
          <w:lang w:eastAsia="zh-CN"/>
        </w:rPr>
      </w:pPr>
    </w:p>
    <w:p w14:paraId="226BDDD0">
      <w:pPr>
        <w:pStyle w:val="6"/>
        <w:ind w:left="0"/>
        <w:rPr>
          <w:b/>
          <w:sz w:val="72"/>
          <w:lang w:eastAsia="zh-CN"/>
        </w:rPr>
      </w:pPr>
    </w:p>
    <w:p w14:paraId="3AB205D7">
      <w:pPr>
        <w:pStyle w:val="6"/>
        <w:ind w:left="0"/>
        <w:rPr>
          <w:b/>
          <w:sz w:val="72"/>
          <w:lang w:eastAsia="zh-CN"/>
        </w:rPr>
      </w:pPr>
    </w:p>
    <w:p w14:paraId="2F2F2314">
      <w:pPr>
        <w:pStyle w:val="6"/>
        <w:ind w:left="0"/>
        <w:rPr>
          <w:b/>
          <w:sz w:val="72"/>
          <w:lang w:eastAsia="zh-CN"/>
        </w:rPr>
      </w:pPr>
    </w:p>
    <w:p w14:paraId="20FA2B80">
      <w:pPr>
        <w:pStyle w:val="6"/>
        <w:spacing w:before="4"/>
        <w:ind w:left="0"/>
        <w:rPr>
          <w:b/>
          <w:sz w:val="88"/>
          <w:lang w:eastAsia="zh-CN"/>
        </w:rPr>
      </w:pPr>
    </w:p>
    <w:p w14:paraId="33C0D72F">
      <w:pPr>
        <w:tabs>
          <w:tab w:val="left" w:pos="6156"/>
        </w:tabs>
        <w:spacing w:line="720" w:lineRule="auto"/>
        <w:ind w:firstLine="1134"/>
        <w:jc w:val="center"/>
        <w:rPr>
          <w:b/>
          <w:spacing w:val="-13"/>
          <w:sz w:val="28"/>
          <w:lang w:eastAsia="zh-CN"/>
        </w:rPr>
      </w:pPr>
      <w:r>
        <w:rPr>
          <w:b/>
          <w:sz w:val="28"/>
          <w:lang w:eastAsia="zh-CN"/>
        </w:rPr>
        <w:t>供应商：</w:t>
      </w:r>
      <w:r>
        <w:rPr>
          <w:b/>
          <w:sz w:val="28"/>
          <w:u w:val="single"/>
          <w:lang w:eastAsia="zh-CN"/>
        </w:rPr>
        <w:t xml:space="preserve">             </w:t>
      </w:r>
      <w:r>
        <w:rPr>
          <w:b/>
          <w:sz w:val="28"/>
          <w:lang w:eastAsia="zh-CN"/>
        </w:rPr>
        <w:t>（单位签章</w:t>
      </w:r>
      <w:r>
        <w:rPr>
          <w:b/>
          <w:spacing w:val="-13"/>
          <w:sz w:val="28"/>
          <w:lang w:eastAsia="zh-CN"/>
        </w:rPr>
        <w:t>）</w:t>
      </w:r>
    </w:p>
    <w:p w14:paraId="3254CBB8">
      <w:pPr>
        <w:tabs>
          <w:tab w:val="left" w:pos="6156"/>
        </w:tabs>
        <w:spacing w:line="720" w:lineRule="auto"/>
        <w:ind w:firstLine="1134"/>
        <w:jc w:val="center"/>
        <w:rPr>
          <w:b/>
          <w:sz w:val="28"/>
          <w:lang w:eastAsia="zh-CN"/>
        </w:rPr>
      </w:pPr>
      <w:r>
        <w:rPr>
          <w:b/>
          <w:spacing w:val="-4"/>
          <w:sz w:val="28"/>
          <w:lang w:eastAsia="zh-CN"/>
        </w:rPr>
        <w:t>法定代表人</w:t>
      </w:r>
      <w:r>
        <w:rPr>
          <w:rFonts w:hint="eastAsia"/>
          <w:b/>
          <w:spacing w:val="-4"/>
          <w:sz w:val="28"/>
          <w:lang w:val="en-US" w:eastAsia="zh-CN"/>
        </w:rPr>
        <w:t>或委托代理人</w:t>
      </w:r>
      <w:r>
        <w:rPr>
          <w:b/>
          <w:spacing w:val="-4"/>
          <w:sz w:val="28"/>
          <w:lang w:eastAsia="zh-CN"/>
        </w:rPr>
        <w:t>：</w:t>
      </w:r>
      <w:r>
        <w:rPr>
          <w:b/>
          <w:spacing w:val="-4"/>
          <w:sz w:val="28"/>
          <w:u w:val="single"/>
          <w:lang w:eastAsia="zh-CN"/>
        </w:rPr>
        <w:t xml:space="preserve">            </w:t>
      </w:r>
      <w:r>
        <w:rPr>
          <w:b/>
          <w:sz w:val="28"/>
          <w:lang w:eastAsia="zh-CN"/>
        </w:rPr>
        <w:t>（电子签章）</w:t>
      </w:r>
      <w:bookmarkStart w:id="59" w:name="日__期：_____年__月___日"/>
      <w:bookmarkEnd w:id="59"/>
    </w:p>
    <w:p w14:paraId="57C5A45C">
      <w:pPr>
        <w:tabs>
          <w:tab w:val="left" w:pos="6156"/>
        </w:tabs>
        <w:spacing w:line="720" w:lineRule="auto"/>
        <w:ind w:firstLine="1134"/>
        <w:jc w:val="center"/>
        <w:rPr>
          <w:b/>
          <w:sz w:val="28"/>
          <w:lang w:eastAsia="zh-CN"/>
        </w:rPr>
      </w:pPr>
      <w:r>
        <w:rPr>
          <w:b/>
          <w:sz w:val="28"/>
          <w:lang w:eastAsia="zh-CN"/>
        </w:rPr>
        <w:t>日 期 ：</w:t>
      </w:r>
      <w:r>
        <w:rPr>
          <w:b/>
          <w:sz w:val="28"/>
          <w:u w:val="single"/>
          <w:lang w:eastAsia="zh-CN"/>
        </w:rPr>
        <w:t xml:space="preserve">      </w:t>
      </w:r>
      <w:r>
        <w:rPr>
          <w:b/>
          <w:sz w:val="28"/>
          <w:lang w:eastAsia="zh-CN"/>
        </w:rPr>
        <w:t>年</w:t>
      </w:r>
      <w:r>
        <w:rPr>
          <w:b/>
          <w:sz w:val="28"/>
          <w:u w:val="single"/>
          <w:lang w:eastAsia="zh-CN"/>
        </w:rPr>
        <w:t xml:space="preserve">       </w:t>
      </w:r>
      <w:r>
        <w:rPr>
          <w:b/>
          <w:sz w:val="28"/>
          <w:lang w:eastAsia="zh-CN"/>
        </w:rPr>
        <w:t>月</w:t>
      </w:r>
      <w:r>
        <w:rPr>
          <w:b/>
          <w:spacing w:val="134"/>
          <w:sz w:val="28"/>
          <w:u w:val="single"/>
          <w:lang w:eastAsia="zh-CN"/>
        </w:rPr>
        <w:t xml:space="preserve">    </w:t>
      </w:r>
      <w:r>
        <w:rPr>
          <w:b/>
          <w:sz w:val="28"/>
          <w:lang w:eastAsia="zh-CN"/>
        </w:rPr>
        <w:t>日</w:t>
      </w:r>
    </w:p>
    <w:p w14:paraId="6E678600">
      <w:pPr>
        <w:spacing w:line="626" w:lineRule="auto"/>
        <w:jc w:val="center"/>
        <w:rPr>
          <w:sz w:val="28"/>
          <w:lang w:eastAsia="zh-CN"/>
        </w:rPr>
        <w:sectPr>
          <w:footerReference r:id="rId6" w:type="default"/>
          <w:pgSz w:w="11910" w:h="16840"/>
          <w:pgMar w:top="1440" w:right="1080" w:bottom="1440" w:left="1080" w:header="0" w:footer="909" w:gutter="0"/>
          <w:pgNumType w:fmt="decimal"/>
          <w:cols w:space="720" w:num="1"/>
          <w:docGrid w:linePitch="299" w:charSpace="0"/>
        </w:sectPr>
      </w:pPr>
    </w:p>
    <w:p w14:paraId="282CA258">
      <w:pPr>
        <w:tabs>
          <w:tab w:val="left" w:pos="1164"/>
        </w:tabs>
        <w:spacing w:before="22"/>
        <w:ind w:left="81"/>
        <w:jc w:val="center"/>
        <w:rPr>
          <w:b/>
          <w:sz w:val="36"/>
          <w:lang w:eastAsia="zh-CN"/>
        </w:rPr>
      </w:pPr>
      <w:r>
        <w:rPr>
          <w:b/>
          <w:sz w:val="36"/>
          <w:lang w:eastAsia="zh-CN"/>
        </w:rPr>
        <w:t>目</w:t>
      </w:r>
      <w:r>
        <w:rPr>
          <w:b/>
          <w:sz w:val="36"/>
          <w:lang w:eastAsia="zh-CN"/>
        </w:rPr>
        <w:tab/>
      </w:r>
      <w:r>
        <w:rPr>
          <w:b/>
          <w:sz w:val="36"/>
          <w:lang w:eastAsia="zh-CN"/>
        </w:rPr>
        <w:t>录</w:t>
      </w:r>
    </w:p>
    <w:p w14:paraId="3348EA0B">
      <w:pPr>
        <w:pStyle w:val="6"/>
        <w:spacing w:before="1"/>
        <w:ind w:left="0"/>
        <w:rPr>
          <w:b/>
          <w:sz w:val="12"/>
          <w:lang w:eastAsia="zh-CN"/>
        </w:rPr>
      </w:pPr>
    </w:p>
    <w:p w14:paraId="0B96287B">
      <w:pPr>
        <w:spacing w:line="417" w:lineRule="auto"/>
        <w:ind w:firstLine="562" w:firstLineChars="200"/>
        <w:rPr>
          <w:b/>
          <w:sz w:val="28"/>
          <w:lang w:eastAsia="zh-CN"/>
        </w:rPr>
      </w:pPr>
      <w:bookmarkStart w:id="60" w:name="一、磋商函及磋商函附录"/>
      <w:bookmarkEnd w:id="60"/>
      <w:r>
        <w:rPr>
          <w:b/>
          <w:sz w:val="28"/>
          <w:lang w:eastAsia="zh-CN"/>
        </w:rPr>
        <w:t xml:space="preserve">一、磋商函及磋商函附录 </w:t>
      </w:r>
    </w:p>
    <w:p w14:paraId="4E5BEA2E">
      <w:pPr>
        <w:spacing w:line="417" w:lineRule="auto"/>
        <w:ind w:firstLine="562" w:firstLineChars="200"/>
        <w:rPr>
          <w:b/>
          <w:sz w:val="28"/>
          <w:lang w:eastAsia="zh-CN"/>
        </w:rPr>
      </w:pPr>
      <w:r>
        <w:rPr>
          <w:b/>
          <w:sz w:val="28"/>
          <w:lang w:eastAsia="zh-CN"/>
        </w:rPr>
        <w:t>二、法定代表人身份证明书</w:t>
      </w:r>
    </w:p>
    <w:p w14:paraId="4798FADA">
      <w:pPr>
        <w:spacing w:line="417" w:lineRule="auto"/>
        <w:ind w:firstLine="562" w:firstLineChars="200"/>
        <w:rPr>
          <w:b/>
          <w:sz w:val="28"/>
          <w:lang w:eastAsia="zh-CN"/>
        </w:rPr>
      </w:pPr>
      <w:r>
        <w:rPr>
          <w:b/>
          <w:sz w:val="28"/>
          <w:lang w:eastAsia="zh-CN"/>
        </w:rPr>
        <w:t>三、授权委托书</w:t>
      </w:r>
    </w:p>
    <w:p w14:paraId="60F74F73">
      <w:pPr>
        <w:spacing w:line="417" w:lineRule="auto"/>
        <w:ind w:firstLine="554" w:firstLineChars="200"/>
        <w:rPr>
          <w:b/>
          <w:spacing w:val="-2"/>
          <w:sz w:val="28"/>
          <w:lang w:eastAsia="zh-CN"/>
        </w:rPr>
      </w:pPr>
      <w:r>
        <w:rPr>
          <w:b/>
          <w:spacing w:val="-2"/>
          <w:sz w:val="28"/>
          <w:lang w:eastAsia="zh-CN"/>
        </w:rPr>
        <w:t>四、项目实施方案</w:t>
      </w:r>
      <w:bookmarkStart w:id="61" w:name="五、服务承诺书"/>
      <w:bookmarkEnd w:id="61"/>
    </w:p>
    <w:p w14:paraId="0111BBD5">
      <w:pPr>
        <w:spacing w:line="417" w:lineRule="auto"/>
        <w:ind w:firstLine="562" w:firstLineChars="200"/>
        <w:rPr>
          <w:b/>
          <w:sz w:val="28"/>
          <w:lang w:eastAsia="zh-CN"/>
        </w:rPr>
      </w:pPr>
      <w:r>
        <w:rPr>
          <w:b/>
          <w:sz w:val="28"/>
          <w:lang w:eastAsia="zh-CN"/>
        </w:rPr>
        <w:t>五、服务承诺书</w:t>
      </w:r>
    </w:p>
    <w:p w14:paraId="544F2FCA">
      <w:pPr>
        <w:spacing w:line="417" w:lineRule="auto"/>
        <w:ind w:firstLine="554" w:firstLineChars="200"/>
        <w:rPr>
          <w:b/>
          <w:spacing w:val="-2"/>
          <w:sz w:val="28"/>
          <w:lang w:eastAsia="zh-CN"/>
        </w:rPr>
      </w:pPr>
      <w:r>
        <w:rPr>
          <w:b/>
          <w:spacing w:val="-2"/>
          <w:sz w:val="28"/>
          <w:lang w:eastAsia="zh-CN"/>
        </w:rPr>
        <w:t>六、资格审查资料</w:t>
      </w:r>
    </w:p>
    <w:p w14:paraId="1C590ADF">
      <w:pPr>
        <w:spacing w:line="417" w:lineRule="auto"/>
        <w:ind w:firstLine="554" w:firstLineChars="200"/>
        <w:rPr>
          <w:b/>
          <w:sz w:val="28"/>
          <w:lang w:eastAsia="zh-CN"/>
        </w:rPr>
      </w:pPr>
      <w:r>
        <w:rPr>
          <w:b/>
          <w:spacing w:val="-2"/>
          <w:sz w:val="28"/>
          <w:lang w:eastAsia="zh-CN"/>
        </w:rPr>
        <w:t>七、项目组成人员</w:t>
      </w:r>
    </w:p>
    <w:p w14:paraId="1CBB4BB2">
      <w:pPr>
        <w:spacing w:line="417" w:lineRule="auto"/>
        <w:ind w:firstLine="562" w:firstLineChars="200"/>
        <w:rPr>
          <w:b/>
          <w:sz w:val="28"/>
          <w:lang w:eastAsia="zh-CN"/>
        </w:rPr>
      </w:pPr>
      <w:r>
        <w:rPr>
          <w:b/>
          <w:sz w:val="28"/>
          <w:lang w:eastAsia="zh-CN"/>
        </w:rPr>
        <w:t>八、供应商应附的其它资料</w:t>
      </w:r>
    </w:p>
    <w:p w14:paraId="4C96D07C">
      <w:pPr>
        <w:spacing w:line="417" w:lineRule="auto"/>
        <w:ind w:firstLine="562" w:firstLineChars="200"/>
        <w:rPr>
          <w:b/>
          <w:sz w:val="28"/>
          <w:lang w:eastAsia="zh-CN"/>
        </w:rPr>
      </w:pPr>
      <w:r>
        <w:rPr>
          <w:b/>
          <w:sz w:val="28"/>
          <w:lang w:eastAsia="zh-CN"/>
        </w:rPr>
        <w:t>九、中小微企业声明函</w:t>
      </w:r>
    </w:p>
    <w:p w14:paraId="039C657E">
      <w:pPr>
        <w:spacing w:line="358" w:lineRule="exact"/>
        <w:ind w:firstLine="562" w:firstLineChars="200"/>
        <w:rPr>
          <w:b/>
          <w:sz w:val="28"/>
          <w:lang w:eastAsia="zh-CN"/>
        </w:rPr>
      </w:pPr>
      <w:r>
        <w:rPr>
          <w:b/>
          <w:sz w:val="28"/>
          <w:lang w:eastAsia="zh-CN"/>
        </w:rPr>
        <w:t>十、残疾人福利性单位声明函</w:t>
      </w:r>
    </w:p>
    <w:p w14:paraId="71F9B140">
      <w:pPr>
        <w:spacing w:line="358" w:lineRule="exact"/>
        <w:rPr>
          <w:sz w:val="28"/>
          <w:lang w:eastAsia="zh-CN"/>
        </w:rPr>
        <w:sectPr>
          <w:pgSz w:w="11910" w:h="16840"/>
          <w:pgMar w:top="1440" w:right="1080" w:bottom="1440" w:left="1080" w:header="0" w:footer="909" w:gutter="0"/>
          <w:pgNumType w:fmt="decimal"/>
          <w:cols w:space="720" w:num="1"/>
          <w:docGrid w:linePitch="299" w:charSpace="0"/>
        </w:sectPr>
      </w:pPr>
    </w:p>
    <w:p w14:paraId="1F0243DB">
      <w:pPr>
        <w:spacing w:before="35"/>
        <w:ind w:left="530" w:right="531"/>
        <w:jc w:val="center"/>
        <w:rPr>
          <w:b/>
          <w:sz w:val="28"/>
          <w:lang w:eastAsia="zh-CN"/>
        </w:rPr>
      </w:pPr>
      <w:bookmarkStart w:id="62" w:name="（二）磋商函附录"/>
      <w:bookmarkEnd w:id="62"/>
      <w:r>
        <w:rPr>
          <w:b/>
          <w:sz w:val="28"/>
          <w:lang w:eastAsia="zh-CN"/>
        </w:rPr>
        <w:t>一、磋商函及磋商函附录</w:t>
      </w:r>
    </w:p>
    <w:p w14:paraId="540F8A91">
      <w:pPr>
        <w:spacing w:before="134"/>
        <w:ind w:left="530" w:right="531"/>
        <w:jc w:val="center"/>
        <w:rPr>
          <w:b/>
          <w:sz w:val="28"/>
          <w:lang w:eastAsia="zh-CN"/>
        </w:rPr>
      </w:pPr>
      <w:bookmarkStart w:id="63" w:name="（一）磋商函"/>
      <w:bookmarkEnd w:id="63"/>
      <w:r>
        <w:rPr>
          <w:b/>
          <w:sz w:val="28"/>
          <w:lang w:eastAsia="zh-CN"/>
        </w:rPr>
        <w:t>（一）磋商函</w:t>
      </w:r>
    </w:p>
    <w:p w14:paraId="62FDE47A">
      <w:pPr>
        <w:pStyle w:val="6"/>
        <w:ind w:left="0"/>
        <w:rPr>
          <w:lang w:eastAsia="zh-CN"/>
        </w:rPr>
      </w:pPr>
    </w:p>
    <w:p w14:paraId="693E1F66">
      <w:pPr>
        <w:pStyle w:val="6"/>
        <w:ind w:left="0"/>
        <w:rPr>
          <w:lang w:eastAsia="zh-CN"/>
        </w:rPr>
      </w:pPr>
      <w:r>
        <w:rPr>
          <w:lang w:eastAsia="zh-CN"/>
        </w:rPr>
        <w:t>致：（</w:t>
      </w:r>
      <w:r>
        <w:rPr>
          <w:u w:val="single"/>
          <w:lang w:eastAsia="zh-CN"/>
        </w:rPr>
        <w:t>采购单位名称</w:t>
      </w:r>
      <w:r>
        <w:rPr>
          <w:lang w:eastAsia="zh-CN"/>
        </w:rPr>
        <w:t>）：</w:t>
      </w:r>
    </w:p>
    <w:p w14:paraId="1F78C322">
      <w:pPr>
        <w:pStyle w:val="6"/>
        <w:ind w:left="0"/>
        <w:rPr>
          <w:sz w:val="18"/>
          <w:lang w:eastAsia="zh-CN"/>
        </w:rPr>
      </w:pPr>
    </w:p>
    <w:p w14:paraId="2D0598B6">
      <w:pPr>
        <w:pStyle w:val="6"/>
        <w:tabs>
          <w:tab w:val="left" w:pos="5160"/>
          <w:tab w:val="left" w:pos="8304"/>
        </w:tabs>
        <w:spacing w:line="436" w:lineRule="auto"/>
        <w:ind w:left="0" w:firstLine="559"/>
        <w:jc w:val="both"/>
        <w:rPr>
          <w:lang w:eastAsia="zh-CN"/>
        </w:rPr>
      </w:pPr>
      <w:r>
        <w:rPr>
          <w:lang w:eastAsia="zh-CN"/>
        </w:rPr>
        <w:t>1</w:t>
      </w:r>
      <w:r>
        <w:rPr>
          <w:spacing w:val="-99"/>
          <w:lang w:eastAsia="zh-CN"/>
        </w:rPr>
        <w:t>、</w:t>
      </w:r>
      <w:r>
        <w:rPr>
          <w:lang w:eastAsia="zh-CN"/>
        </w:rPr>
        <w:t>根据已收到的项目编号为</w:t>
      </w:r>
      <w:r>
        <w:rPr>
          <w:u w:val="single"/>
          <w:lang w:eastAsia="zh-CN"/>
        </w:rPr>
        <w:t xml:space="preserve"> </w:t>
      </w:r>
      <w:r>
        <w:rPr>
          <w:u w:val="single"/>
          <w:lang w:eastAsia="zh-CN"/>
        </w:rPr>
        <w:tab/>
      </w:r>
      <w:r>
        <w:rPr>
          <w:lang w:eastAsia="zh-CN"/>
        </w:rPr>
        <w:t>的</w:t>
      </w:r>
      <w:r>
        <w:rPr>
          <w:spacing w:val="-1"/>
          <w:u w:val="single"/>
          <w:lang w:eastAsia="zh-CN"/>
        </w:rPr>
        <w:t xml:space="preserve">        </w:t>
      </w:r>
      <w:r>
        <w:rPr>
          <w:rFonts w:hint="eastAsia"/>
          <w:spacing w:val="-1"/>
          <w:u w:val="single"/>
          <w:lang w:val="en-US" w:eastAsia="zh-CN"/>
        </w:rPr>
        <w:t xml:space="preserve">    </w:t>
      </w:r>
      <w:r>
        <w:rPr>
          <w:rFonts w:hint="eastAsia" w:ascii="宋体" w:hAnsi="宋体" w:eastAsia="宋体" w:cs="宋体"/>
          <w:spacing w:val="-1"/>
          <w:u w:val="single"/>
          <w:lang w:eastAsia="zh-CN"/>
        </w:rPr>
        <w:t>(</w:t>
      </w:r>
      <w:r>
        <w:rPr>
          <w:u w:val="single"/>
          <w:lang w:eastAsia="zh-CN"/>
        </w:rPr>
        <w:t>项目名称</w:t>
      </w:r>
      <w:r>
        <w:rPr>
          <w:rFonts w:hint="eastAsia" w:ascii="宋体" w:hAnsi="宋体" w:eastAsia="宋体" w:cs="宋体"/>
          <w:spacing w:val="-1"/>
          <w:u w:val="single"/>
          <w:lang w:eastAsia="zh-CN"/>
        </w:rPr>
        <w:t>)</w:t>
      </w:r>
      <w:r>
        <w:rPr>
          <w:lang w:eastAsia="zh-CN"/>
        </w:rPr>
        <w:t>的磋商文件</w:t>
      </w:r>
      <w:r>
        <w:rPr>
          <w:spacing w:val="-101"/>
          <w:lang w:eastAsia="zh-CN"/>
        </w:rPr>
        <w:t>，</w:t>
      </w:r>
      <w:r>
        <w:rPr>
          <w:lang w:eastAsia="zh-CN"/>
        </w:rPr>
        <w:t>遵</w:t>
      </w:r>
      <w:r>
        <w:rPr>
          <w:spacing w:val="-94"/>
          <w:lang w:eastAsia="zh-CN"/>
        </w:rPr>
        <w:t>守</w:t>
      </w:r>
      <w:r>
        <w:rPr>
          <w:lang w:eastAsia="zh-CN"/>
        </w:rPr>
        <w:t>《</w:t>
      </w:r>
      <w:r>
        <w:rPr>
          <w:spacing w:val="-14"/>
          <w:lang w:eastAsia="zh-CN"/>
        </w:rPr>
        <w:t>中</w:t>
      </w:r>
      <w:r>
        <w:rPr>
          <w:lang w:eastAsia="zh-CN"/>
        </w:rPr>
        <w:t>华人民共和国政府采购法</w:t>
      </w:r>
      <w:r>
        <w:rPr>
          <w:spacing w:val="-63"/>
          <w:lang w:eastAsia="zh-CN"/>
        </w:rPr>
        <w:t>》</w:t>
      </w:r>
      <w:r>
        <w:rPr>
          <w:lang w:eastAsia="zh-CN"/>
        </w:rPr>
        <w:t>《政府采购竞争性磋商采购方式管理暂行办法</w:t>
      </w:r>
      <w:r>
        <w:rPr>
          <w:spacing w:val="-32"/>
          <w:lang w:eastAsia="zh-CN"/>
        </w:rPr>
        <w:t>》</w:t>
      </w:r>
      <w:r>
        <w:rPr>
          <w:lang w:eastAsia="zh-CN"/>
        </w:rPr>
        <w:t>及</w:t>
      </w:r>
      <w:r>
        <w:rPr>
          <w:spacing w:val="-16"/>
          <w:lang w:eastAsia="zh-CN"/>
        </w:rPr>
        <w:t>财</w:t>
      </w:r>
      <w:r>
        <w:rPr>
          <w:spacing w:val="-12"/>
          <w:lang w:eastAsia="zh-CN"/>
        </w:rPr>
        <w:t>库</w:t>
      </w:r>
      <w:r>
        <w:rPr>
          <w:lang w:eastAsia="zh-CN"/>
        </w:rPr>
        <w:t>〔2015</w:t>
      </w:r>
      <w:r>
        <w:rPr>
          <w:spacing w:val="-12"/>
          <w:lang w:eastAsia="zh-CN"/>
        </w:rPr>
        <w:t>〕</w:t>
      </w:r>
      <w:r>
        <w:rPr>
          <w:lang w:eastAsia="zh-CN"/>
        </w:rPr>
        <w:t>124</w:t>
      </w:r>
      <w:r>
        <w:rPr>
          <w:spacing w:val="-60"/>
          <w:lang w:eastAsia="zh-CN"/>
        </w:rPr>
        <w:t xml:space="preserve"> </w:t>
      </w:r>
      <w:r>
        <w:rPr>
          <w:lang w:eastAsia="zh-CN"/>
        </w:rPr>
        <w:t>号文和有关文件的规定</w:t>
      </w:r>
      <w:r>
        <w:rPr>
          <w:spacing w:val="-10"/>
          <w:lang w:eastAsia="zh-CN"/>
        </w:rPr>
        <w:t>，</w:t>
      </w:r>
      <w:r>
        <w:rPr>
          <w:lang w:eastAsia="zh-CN"/>
        </w:rPr>
        <w:t>我单位经考察现场并研究上述项目磋</w:t>
      </w:r>
      <w:r>
        <w:rPr>
          <w:spacing w:val="-17"/>
          <w:lang w:eastAsia="zh-CN"/>
        </w:rPr>
        <w:t>商</w:t>
      </w:r>
      <w:r>
        <w:rPr>
          <w:spacing w:val="7"/>
          <w:lang w:eastAsia="zh-CN"/>
        </w:rPr>
        <w:t>文件的供应商须知和其他有关文件后，我公司愿以(大写</w:t>
      </w:r>
      <w:r>
        <w:rPr>
          <w:lang w:eastAsia="zh-CN"/>
        </w:rPr>
        <w:t>)</w:t>
      </w:r>
      <w:r>
        <w:rPr>
          <w:u w:val="single"/>
          <w:lang w:eastAsia="zh-CN"/>
        </w:rPr>
        <w:t xml:space="preserve"> </w:t>
      </w:r>
      <w:r>
        <w:rPr>
          <w:u w:val="single"/>
          <w:lang w:eastAsia="zh-CN"/>
        </w:rPr>
        <w:tab/>
      </w:r>
      <w:r>
        <w:rPr>
          <w:spacing w:val="7"/>
          <w:lang w:eastAsia="zh-CN"/>
        </w:rPr>
        <w:t>（小写</w:t>
      </w:r>
      <w:r>
        <w:rPr>
          <w:spacing w:val="-16"/>
          <w:lang w:eastAsia="zh-CN"/>
        </w:rPr>
        <w:t>）</w:t>
      </w:r>
      <w:r>
        <w:rPr>
          <w:u w:val="single"/>
          <w:lang w:eastAsia="zh-CN"/>
        </w:rPr>
        <w:tab/>
      </w:r>
      <w:r>
        <w:rPr>
          <w:rFonts w:hint="eastAsia"/>
          <w:spacing w:val="-16"/>
          <w:lang w:eastAsia="zh-CN"/>
        </w:rPr>
        <w:t xml:space="preserve"> </w:t>
      </w:r>
      <w:r>
        <w:rPr>
          <w:lang w:eastAsia="zh-CN"/>
        </w:rPr>
        <w:t>元的报价参加该项目的投标，并按上述文件中的条款承包该项目。</w:t>
      </w:r>
    </w:p>
    <w:p w14:paraId="7AA19F6A">
      <w:pPr>
        <w:pStyle w:val="6"/>
        <w:spacing w:line="436" w:lineRule="auto"/>
        <w:ind w:left="0" w:firstLine="480" w:firstLineChars="200"/>
        <w:rPr>
          <w:lang w:eastAsia="zh-CN"/>
        </w:rPr>
      </w:pPr>
      <w:r>
        <w:rPr>
          <w:lang w:eastAsia="zh-CN"/>
        </w:rPr>
        <w:t>2、我公司完全响应磋商文件中提出的所有实质性要求。</w:t>
      </w:r>
    </w:p>
    <w:p w14:paraId="0ECCE180">
      <w:pPr>
        <w:pStyle w:val="6"/>
        <w:spacing w:line="436" w:lineRule="auto"/>
        <w:ind w:left="0" w:firstLine="480"/>
        <w:rPr>
          <w:lang w:eastAsia="zh-CN"/>
        </w:rPr>
      </w:pPr>
      <w:r>
        <w:rPr>
          <w:lang w:eastAsia="zh-CN"/>
        </w:rPr>
        <w:t>3、我公司同意在磋商文件规定的投标期限内，本响应文件始终对我公司具有约束力，且随时可以按此文件成交。</w:t>
      </w:r>
    </w:p>
    <w:p w14:paraId="09530AC2">
      <w:pPr>
        <w:pStyle w:val="6"/>
        <w:tabs>
          <w:tab w:val="left" w:pos="2655"/>
          <w:tab w:val="left" w:pos="7219"/>
        </w:tabs>
        <w:spacing w:line="439" w:lineRule="auto"/>
        <w:ind w:left="0" w:firstLine="480"/>
        <w:rPr>
          <w:lang w:eastAsia="zh-CN"/>
        </w:rPr>
      </w:pPr>
      <w:r>
        <w:rPr>
          <w:lang w:eastAsia="zh-CN"/>
        </w:rPr>
        <w:t>4、一旦我公司成交，我公司保证在成交后的规定期限内签订项目合同，</w:t>
      </w:r>
      <w:r>
        <w:rPr>
          <w:spacing w:val="-13"/>
          <w:lang w:eastAsia="zh-CN"/>
        </w:rPr>
        <w:t>保</w:t>
      </w:r>
      <w:r>
        <w:rPr>
          <w:lang w:eastAsia="zh-CN"/>
        </w:rPr>
        <w:t>证服务周期</w:t>
      </w:r>
      <w:r>
        <w:rPr>
          <w:u w:val="single"/>
          <w:lang w:eastAsia="zh-CN"/>
        </w:rPr>
        <w:t xml:space="preserve"> </w:t>
      </w:r>
      <w:r>
        <w:rPr>
          <w:u w:val="single"/>
          <w:lang w:eastAsia="zh-CN"/>
        </w:rPr>
        <w:tab/>
      </w:r>
      <w:r>
        <w:rPr>
          <w:lang w:eastAsia="zh-CN"/>
        </w:rPr>
        <w:t>，确保质量要求达到</w:t>
      </w:r>
      <w:r>
        <w:rPr>
          <w:u w:val="single"/>
          <w:lang w:eastAsia="zh-CN"/>
        </w:rPr>
        <w:t xml:space="preserve"> </w:t>
      </w:r>
      <w:r>
        <w:rPr>
          <w:u w:val="single"/>
          <w:lang w:eastAsia="zh-CN"/>
        </w:rPr>
        <w:tab/>
      </w:r>
      <w:r>
        <w:rPr>
          <w:lang w:eastAsia="zh-CN"/>
        </w:rPr>
        <w:t>。</w:t>
      </w:r>
    </w:p>
    <w:p w14:paraId="1883F301">
      <w:pPr>
        <w:pStyle w:val="6"/>
        <w:spacing w:line="436" w:lineRule="auto"/>
        <w:ind w:left="0" w:firstLine="480"/>
        <w:rPr>
          <w:lang w:eastAsia="zh-CN"/>
        </w:rPr>
      </w:pPr>
      <w:r>
        <w:rPr>
          <w:lang w:eastAsia="zh-CN"/>
        </w:rPr>
        <w:t>5、成交后，我公司将提交规定数额的履约保证金（如有），并对此承担责任。</w:t>
      </w:r>
    </w:p>
    <w:p w14:paraId="4CD8939F">
      <w:pPr>
        <w:pStyle w:val="6"/>
        <w:ind w:left="0" w:firstLine="480" w:firstLineChars="200"/>
        <w:rPr>
          <w:lang w:eastAsia="zh-CN"/>
        </w:rPr>
      </w:pPr>
      <w:r>
        <w:rPr>
          <w:lang w:eastAsia="zh-CN"/>
        </w:rPr>
        <w:t>6、我们承诺最低报价是成交的重要选择，但不是唯一选择。</w:t>
      </w:r>
    </w:p>
    <w:p w14:paraId="0D7C43D7">
      <w:pPr>
        <w:pStyle w:val="6"/>
        <w:spacing w:line="560" w:lineRule="atLeast"/>
        <w:ind w:left="0" w:firstLine="480"/>
        <w:rPr>
          <w:lang w:eastAsia="zh-CN"/>
        </w:rPr>
      </w:pPr>
      <w:r>
        <w:rPr>
          <w:lang w:eastAsia="zh-CN"/>
        </w:rPr>
        <w:t>7、除非与贵方另外达成协议并生效，贵方的成交通知书、本响应文件将与双方签订的合同具有同等的约束力。</w:t>
      </w:r>
    </w:p>
    <w:p w14:paraId="09CA52CF">
      <w:pPr>
        <w:pStyle w:val="6"/>
        <w:tabs>
          <w:tab w:val="left" w:pos="4819"/>
        </w:tabs>
        <w:ind w:left="0"/>
        <w:rPr>
          <w:lang w:eastAsia="zh-CN"/>
        </w:rPr>
      </w:pPr>
    </w:p>
    <w:p w14:paraId="73F59937">
      <w:pPr>
        <w:pStyle w:val="6"/>
        <w:tabs>
          <w:tab w:val="left" w:pos="4819"/>
        </w:tabs>
        <w:ind w:left="0"/>
        <w:rPr>
          <w:lang w:eastAsia="zh-CN"/>
        </w:rPr>
      </w:pPr>
    </w:p>
    <w:p w14:paraId="78B36DA9">
      <w:pPr>
        <w:pStyle w:val="6"/>
        <w:tabs>
          <w:tab w:val="left" w:pos="4819"/>
        </w:tabs>
        <w:ind w:left="0"/>
        <w:rPr>
          <w:lang w:eastAsia="zh-CN"/>
        </w:rPr>
      </w:pPr>
    </w:p>
    <w:p w14:paraId="4EE7E28B">
      <w:pPr>
        <w:pStyle w:val="6"/>
        <w:tabs>
          <w:tab w:val="left" w:pos="4819"/>
        </w:tabs>
        <w:ind w:left="0"/>
        <w:rPr>
          <w:lang w:eastAsia="zh-CN"/>
        </w:rPr>
      </w:pPr>
    </w:p>
    <w:p w14:paraId="2297D876">
      <w:pPr>
        <w:pStyle w:val="6"/>
        <w:tabs>
          <w:tab w:val="left" w:pos="4819"/>
        </w:tabs>
        <w:ind w:left="0"/>
        <w:rPr>
          <w:lang w:eastAsia="zh-CN"/>
        </w:rPr>
      </w:pPr>
      <w:r>
        <w:rPr>
          <w:lang w:eastAsia="zh-CN"/>
        </w:rPr>
        <w:t>供应商：</w:t>
      </w:r>
      <w:r>
        <w:rPr>
          <w:u w:val="single"/>
          <w:lang w:eastAsia="zh-CN"/>
        </w:rPr>
        <w:t xml:space="preserve"> </w:t>
      </w:r>
      <w:r>
        <w:rPr>
          <w:u w:val="single"/>
          <w:lang w:eastAsia="zh-CN"/>
        </w:rPr>
        <w:tab/>
      </w:r>
      <w:r>
        <w:rPr>
          <w:lang w:eastAsia="zh-CN"/>
        </w:rPr>
        <w:t>（单位签章）</w:t>
      </w:r>
    </w:p>
    <w:p w14:paraId="7BF5AA01">
      <w:pPr>
        <w:pStyle w:val="6"/>
        <w:ind w:left="0"/>
        <w:rPr>
          <w:lang w:eastAsia="zh-CN"/>
        </w:rPr>
      </w:pPr>
    </w:p>
    <w:p w14:paraId="7B0A3908">
      <w:pPr>
        <w:pStyle w:val="6"/>
        <w:tabs>
          <w:tab w:val="left" w:pos="4935"/>
        </w:tabs>
        <w:ind w:left="0"/>
        <w:rPr>
          <w:lang w:eastAsia="zh-CN"/>
        </w:rPr>
      </w:pPr>
      <w:r>
        <w:rPr>
          <w:lang w:eastAsia="zh-CN"/>
        </w:rPr>
        <w:t>法定代表人</w:t>
      </w:r>
      <w:r>
        <w:rPr>
          <w:rFonts w:hint="eastAsia"/>
          <w:lang w:val="en-US" w:eastAsia="zh-CN"/>
        </w:rPr>
        <w:t>或委托代理人</w:t>
      </w:r>
      <w:r>
        <w:rPr>
          <w:lang w:eastAsia="zh-CN"/>
        </w:rPr>
        <w:t>：</w:t>
      </w:r>
      <w:r>
        <w:rPr>
          <w:u w:val="single"/>
          <w:lang w:eastAsia="zh-CN"/>
        </w:rPr>
        <w:t xml:space="preserve"> </w:t>
      </w:r>
      <w:r>
        <w:rPr>
          <w:u w:val="single"/>
          <w:lang w:eastAsia="zh-CN"/>
        </w:rPr>
        <w:tab/>
      </w:r>
      <w:r>
        <w:rPr>
          <w:lang w:eastAsia="zh-CN"/>
        </w:rPr>
        <w:t>（电子签章）</w:t>
      </w:r>
    </w:p>
    <w:p w14:paraId="55475D81">
      <w:pPr>
        <w:pStyle w:val="6"/>
        <w:ind w:left="0"/>
        <w:rPr>
          <w:sz w:val="19"/>
          <w:lang w:eastAsia="zh-CN"/>
        </w:rPr>
      </w:pPr>
    </w:p>
    <w:p w14:paraId="6A57469D">
      <w:pPr>
        <w:pStyle w:val="6"/>
        <w:tabs>
          <w:tab w:val="left" w:pos="1077"/>
          <w:tab w:val="left" w:pos="1797"/>
          <w:tab w:val="left" w:pos="2757"/>
        </w:tabs>
        <w:ind w:left="0"/>
        <w:jc w:val="center"/>
        <w:rPr>
          <w:rFonts w:ascii="Times New Roman" w:eastAsia="Times New Roman"/>
          <w:u w:val="single"/>
          <w:lang w:eastAsia="zh-CN"/>
        </w:rPr>
      </w:pPr>
      <w:r>
        <w:rPr>
          <w:rFonts w:ascii="Times New Roman" w:eastAsia="Times New Roman"/>
          <w:u w:val="single"/>
          <w:lang w:eastAsia="zh-CN"/>
        </w:rPr>
        <w:t xml:space="preserve"> </w:t>
      </w:r>
    </w:p>
    <w:p w14:paraId="2D559354">
      <w:pPr>
        <w:pStyle w:val="6"/>
        <w:tabs>
          <w:tab w:val="left" w:pos="1077"/>
          <w:tab w:val="left" w:pos="1797"/>
          <w:tab w:val="left" w:pos="2757"/>
        </w:tabs>
        <w:ind w:left="0"/>
        <w:rPr>
          <w:lang w:eastAsia="zh-CN"/>
        </w:rPr>
      </w:pPr>
      <w:r>
        <w:rPr>
          <w:rFonts w:ascii="Times New Roman" w:eastAsia="Times New Roman"/>
          <w:u w:val="single"/>
          <w:lang w:eastAsia="zh-CN"/>
        </w:rPr>
        <w:tab/>
      </w:r>
      <w:r>
        <w:rPr>
          <w:lang w:eastAsia="zh-CN"/>
        </w:rPr>
        <w:t>年</w:t>
      </w:r>
      <w:r>
        <w:rPr>
          <w:u w:val="single"/>
          <w:lang w:eastAsia="zh-CN"/>
        </w:rPr>
        <w:t xml:space="preserve"> </w:t>
      </w:r>
      <w:r>
        <w:rPr>
          <w:u w:val="single"/>
          <w:lang w:eastAsia="zh-CN"/>
        </w:rPr>
        <w:tab/>
      </w:r>
      <w:r>
        <w:rPr>
          <w:lang w:eastAsia="zh-CN"/>
        </w:rPr>
        <w:t>月</w:t>
      </w:r>
      <w:r>
        <w:rPr>
          <w:u w:val="single"/>
          <w:lang w:eastAsia="zh-CN"/>
        </w:rPr>
        <w:t xml:space="preserve"> </w:t>
      </w:r>
      <w:r>
        <w:rPr>
          <w:u w:val="single"/>
          <w:lang w:eastAsia="zh-CN"/>
        </w:rPr>
        <w:tab/>
      </w:r>
      <w:r>
        <w:rPr>
          <w:lang w:eastAsia="zh-CN"/>
        </w:rPr>
        <w:t>日</w:t>
      </w:r>
    </w:p>
    <w:p w14:paraId="45D887C8">
      <w:pPr>
        <w:jc w:val="center"/>
        <w:rPr>
          <w:lang w:eastAsia="zh-CN"/>
        </w:rPr>
        <w:sectPr>
          <w:pgSz w:w="11910" w:h="16840"/>
          <w:pgMar w:top="1440" w:right="1080" w:bottom="1440" w:left="1080" w:header="0" w:footer="909" w:gutter="0"/>
          <w:pgNumType w:fmt="decimal"/>
          <w:cols w:space="720" w:num="1"/>
          <w:docGrid w:linePitch="299" w:charSpace="0"/>
        </w:sectPr>
      </w:pPr>
    </w:p>
    <w:p w14:paraId="1FE6C045">
      <w:pPr>
        <w:spacing w:before="35"/>
        <w:ind w:left="530" w:right="530"/>
        <w:jc w:val="center"/>
        <w:rPr>
          <w:b/>
          <w:sz w:val="32"/>
          <w:lang w:eastAsia="zh-CN"/>
        </w:rPr>
      </w:pPr>
      <w:r>
        <w:rPr>
          <w:b/>
          <w:sz w:val="32"/>
          <w:lang w:eastAsia="zh-CN"/>
        </w:rPr>
        <w:t>（二）磋商函附录</w:t>
      </w:r>
    </w:p>
    <w:p w14:paraId="69A4B31A">
      <w:pPr>
        <w:pStyle w:val="6"/>
        <w:spacing w:before="1"/>
        <w:ind w:left="0"/>
        <w:rPr>
          <w:b/>
          <w:lang w:eastAsia="zh-CN"/>
        </w:rPr>
      </w:pPr>
    </w:p>
    <w:tbl>
      <w:tblPr>
        <w:tblStyle w:val="2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77"/>
        <w:gridCol w:w="7049"/>
      </w:tblGrid>
      <w:tr w14:paraId="2E0FD1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5" w:hRule="atLeast"/>
        </w:trPr>
        <w:tc>
          <w:tcPr>
            <w:tcW w:w="1877" w:type="dxa"/>
          </w:tcPr>
          <w:p w14:paraId="00A75055">
            <w:pPr>
              <w:pStyle w:val="29"/>
              <w:spacing w:before="10"/>
              <w:rPr>
                <w:b/>
                <w:sz w:val="19"/>
                <w:lang w:eastAsia="zh-CN"/>
              </w:rPr>
            </w:pPr>
          </w:p>
          <w:p w14:paraId="3531FACD">
            <w:pPr>
              <w:pStyle w:val="29"/>
              <w:spacing w:before="1"/>
              <w:ind w:left="317" w:right="309"/>
              <w:jc w:val="center"/>
              <w:rPr>
                <w:sz w:val="24"/>
              </w:rPr>
            </w:pPr>
            <w:r>
              <w:rPr>
                <w:sz w:val="24"/>
              </w:rPr>
              <w:t>项目名称</w:t>
            </w:r>
          </w:p>
        </w:tc>
        <w:tc>
          <w:tcPr>
            <w:tcW w:w="7049" w:type="dxa"/>
          </w:tcPr>
          <w:p w14:paraId="4CD03B06">
            <w:pPr>
              <w:pStyle w:val="29"/>
              <w:rPr>
                <w:rFonts w:ascii="Times New Roman"/>
                <w:sz w:val="24"/>
              </w:rPr>
            </w:pPr>
          </w:p>
        </w:tc>
      </w:tr>
      <w:tr w14:paraId="49EA89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trPr>
        <w:tc>
          <w:tcPr>
            <w:tcW w:w="1877" w:type="dxa"/>
          </w:tcPr>
          <w:p w14:paraId="1846F123">
            <w:pPr>
              <w:pStyle w:val="29"/>
              <w:spacing w:before="8"/>
              <w:rPr>
                <w:b/>
                <w:sz w:val="24"/>
              </w:rPr>
            </w:pPr>
          </w:p>
          <w:p w14:paraId="21654E2C">
            <w:pPr>
              <w:pStyle w:val="29"/>
              <w:spacing w:before="1"/>
              <w:ind w:left="317" w:right="309"/>
              <w:jc w:val="center"/>
              <w:rPr>
                <w:sz w:val="24"/>
              </w:rPr>
            </w:pPr>
            <w:r>
              <w:rPr>
                <w:sz w:val="24"/>
              </w:rPr>
              <w:t>供应商名称</w:t>
            </w:r>
          </w:p>
        </w:tc>
        <w:tc>
          <w:tcPr>
            <w:tcW w:w="7049" w:type="dxa"/>
          </w:tcPr>
          <w:p w14:paraId="5B59A91C">
            <w:pPr>
              <w:pStyle w:val="29"/>
              <w:rPr>
                <w:rFonts w:ascii="Times New Roman"/>
                <w:sz w:val="24"/>
              </w:rPr>
            </w:pPr>
          </w:p>
        </w:tc>
      </w:tr>
      <w:tr w14:paraId="4146FB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6" w:hRule="atLeast"/>
        </w:trPr>
        <w:tc>
          <w:tcPr>
            <w:tcW w:w="1877" w:type="dxa"/>
          </w:tcPr>
          <w:p w14:paraId="6F68541E">
            <w:pPr>
              <w:pStyle w:val="29"/>
              <w:spacing w:before="1"/>
              <w:ind w:left="317" w:right="309"/>
              <w:jc w:val="center"/>
              <w:rPr>
                <w:rFonts w:ascii="宋体" w:hAnsi="宋体" w:eastAsia="宋体" w:cs="宋体"/>
                <w:sz w:val="24"/>
              </w:rPr>
            </w:pPr>
          </w:p>
          <w:p w14:paraId="1E9DFA0C">
            <w:pPr>
              <w:pStyle w:val="29"/>
              <w:spacing w:before="1"/>
              <w:ind w:left="317" w:right="309"/>
              <w:jc w:val="center"/>
              <w:rPr>
                <w:rFonts w:ascii="宋体" w:hAnsi="宋体" w:eastAsia="宋体" w:cs="宋体"/>
                <w:sz w:val="24"/>
              </w:rPr>
            </w:pPr>
          </w:p>
          <w:p w14:paraId="48D2C2C8">
            <w:pPr>
              <w:pStyle w:val="29"/>
              <w:spacing w:before="1"/>
              <w:ind w:left="317" w:right="309"/>
              <w:jc w:val="center"/>
              <w:rPr>
                <w:rFonts w:ascii="宋体" w:hAnsi="宋体" w:eastAsia="宋体" w:cs="宋体"/>
                <w:sz w:val="24"/>
              </w:rPr>
            </w:pPr>
            <w:r>
              <w:rPr>
                <w:rFonts w:ascii="宋体" w:hAnsi="宋体" w:eastAsia="宋体" w:cs="宋体"/>
                <w:sz w:val="24"/>
              </w:rPr>
              <w:t>磋商报价</w:t>
            </w:r>
          </w:p>
        </w:tc>
        <w:tc>
          <w:tcPr>
            <w:tcW w:w="7049" w:type="dxa"/>
            <w:tcBorders>
              <w:right w:val="single" w:color="000000" w:sz="8" w:space="0"/>
            </w:tcBorders>
          </w:tcPr>
          <w:p w14:paraId="6F6A8D2D">
            <w:pPr>
              <w:pStyle w:val="29"/>
              <w:rPr>
                <w:b/>
                <w:sz w:val="24"/>
              </w:rPr>
            </w:pPr>
          </w:p>
          <w:p w14:paraId="028E83F4">
            <w:pPr>
              <w:pStyle w:val="29"/>
              <w:spacing w:before="1"/>
              <w:rPr>
                <w:b/>
                <w:sz w:val="35"/>
              </w:rPr>
            </w:pPr>
          </w:p>
          <w:p w14:paraId="2BD764DF">
            <w:pPr>
              <w:pStyle w:val="29"/>
              <w:tabs>
                <w:tab w:val="left" w:pos="2044"/>
              </w:tabs>
              <w:ind w:left="4"/>
              <w:rPr>
                <w:sz w:val="24"/>
              </w:rPr>
            </w:pPr>
            <w:r>
              <w:rPr>
                <w:sz w:val="24"/>
              </w:rPr>
              <w:t>大写：</w:t>
            </w:r>
            <w:r>
              <w:rPr>
                <w:sz w:val="24"/>
              </w:rPr>
              <w:tab/>
            </w:r>
            <w:r>
              <w:rPr>
                <w:sz w:val="24"/>
              </w:rPr>
              <w:t>小写：元</w:t>
            </w:r>
          </w:p>
        </w:tc>
      </w:tr>
      <w:tr w14:paraId="41F4F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8" w:hRule="atLeast"/>
        </w:trPr>
        <w:tc>
          <w:tcPr>
            <w:tcW w:w="1877" w:type="dxa"/>
          </w:tcPr>
          <w:p w14:paraId="2B28C12C">
            <w:pPr>
              <w:pStyle w:val="29"/>
              <w:spacing w:before="1"/>
              <w:ind w:left="317" w:right="309"/>
              <w:jc w:val="center"/>
              <w:rPr>
                <w:rFonts w:hint="eastAsia" w:ascii="宋体" w:hAnsi="宋体" w:eastAsia="宋体" w:cs="宋体"/>
                <w:sz w:val="24"/>
                <w:lang w:val="en-US" w:eastAsia="zh-CN"/>
              </w:rPr>
            </w:pPr>
          </w:p>
          <w:p w14:paraId="7262D73C">
            <w:pPr>
              <w:pStyle w:val="29"/>
              <w:spacing w:before="1"/>
              <w:ind w:left="317" w:right="309"/>
              <w:jc w:val="center"/>
              <w:rPr>
                <w:rFonts w:hint="default" w:ascii="宋体" w:hAnsi="宋体" w:eastAsia="宋体" w:cs="宋体"/>
                <w:sz w:val="24"/>
                <w:lang w:val="en-US" w:eastAsia="zh-CN"/>
              </w:rPr>
            </w:pPr>
            <w:r>
              <w:rPr>
                <w:rFonts w:hint="eastAsia" w:ascii="宋体" w:hAnsi="宋体" w:eastAsia="宋体" w:cs="宋体"/>
                <w:sz w:val="24"/>
                <w:lang w:val="en-US" w:eastAsia="zh-CN"/>
              </w:rPr>
              <w:t>项目负责人及联系电话</w:t>
            </w:r>
          </w:p>
        </w:tc>
        <w:tc>
          <w:tcPr>
            <w:tcW w:w="7049" w:type="dxa"/>
          </w:tcPr>
          <w:p w14:paraId="3D004124">
            <w:pPr>
              <w:pStyle w:val="29"/>
              <w:rPr>
                <w:rFonts w:ascii="Times New Roman"/>
                <w:sz w:val="24"/>
              </w:rPr>
            </w:pPr>
          </w:p>
        </w:tc>
      </w:tr>
      <w:tr w14:paraId="04BFFD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7" w:hRule="atLeast"/>
        </w:trPr>
        <w:tc>
          <w:tcPr>
            <w:tcW w:w="1877" w:type="dxa"/>
          </w:tcPr>
          <w:p w14:paraId="08D00869">
            <w:pPr>
              <w:pStyle w:val="29"/>
              <w:spacing w:before="1"/>
              <w:ind w:left="317" w:right="309"/>
              <w:jc w:val="center"/>
              <w:rPr>
                <w:rFonts w:ascii="宋体" w:hAnsi="宋体" w:eastAsia="宋体" w:cs="宋体"/>
                <w:sz w:val="24"/>
              </w:rPr>
            </w:pPr>
          </w:p>
          <w:p w14:paraId="66BD9029">
            <w:pPr>
              <w:pStyle w:val="29"/>
              <w:spacing w:before="1"/>
              <w:ind w:left="317" w:right="309"/>
              <w:jc w:val="center"/>
              <w:rPr>
                <w:rFonts w:ascii="宋体" w:hAnsi="宋体" w:eastAsia="宋体" w:cs="宋体"/>
                <w:sz w:val="24"/>
              </w:rPr>
            </w:pPr>
            <w:r>
              <w:rPr>
                <w:rFonts w:ascii="宋体" w:hAnsi="宋体" w:eastAsia="宋体" w:cs="宋体"/>
                <w:sz w:val="24"/>
              </w:rPr>
              <w:t>质量要求</w:t>
            </w:r>
          </w:p>
        </w:tc>
        <w:tc>
          <w:tcPr>
            <w:tcW w:w="7049" w:type="dxa"/>
          </w:tcPr>
          <w:p w14:paraId="0BC9EE86">
            <w:pPr>
              <w:pStyle w:val="29"/>
              <w:rPr>
                <w:rFonts w:ascii="Times New Roman"/>
                <w:sz w:val="24"/>
              </w:rPr>
            </w:pPr>
          </w:p>
        </w:tc>
      </w:tr>
      <w:tr w14:paraId="5D2163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6" w:hRule="atLeast"/>
        </w:trPr>
        <w:tc>
          <w:tcPr>
            <w:tcW w:w="1877" w:type="dxa"/>
            <w:shd w:val="clear" w:color="auto" w:fill="auto"/>
            <w:vAlign w:val="top"/>
          </w:tcPr>
          <w:p w14:paraId="4D234DF8">
            <w:pPr>
              <w:pStyle w:val="29"/>
              <w:spacing w:before="1"/>
              <w:ind w:left="317" w:right="309"/>
              <w:jc w:val="center"/>
              <w:rPr>
                <w:rFonts w:ascii="宋体" w:hAnsi="宋体" w:eastAsia="宋体" w:cs="宋体"/>
                <w:sz w:val="24"/>
              </w:rPr>
            </w:pPr>
          </w:p>
          <w:p w14:paraId="07C35ADD">
            <w:pPr>
              <w:pStyle w:val="29"/>
              <w:spacing w:before="1"/>
              <w:ind w:left="317" w:right="309"/>
              <w:jc w:val="center"/>
              <w:rPr>
                <w:rFonts w:ascii="宋体" w:hAnsi="宋体" w:eastAsia="宋体" w:cs="宋体"/>
                <w:sz w:val="24"/>
                <w:lang w:val="en-US" w:eastAsia="en-US"/>
              </w:rPr>
            </w:pPr>
            <w:r>
              <w:rPr>
                <w:rFonts w:ascii="宋体" w:hAnsi="宋体" w:eastAsia="宋体" w:cs="宋体"/>
                <w:sz w:val="24"/>
              </w:rPr>
              <w:t>磋商有效期</w:t>
            </w:r>
          </w:p>
        </w:tc>
        <w:tc>
          <w:tcPr>
            <w:tcW w:w="7049" w:type="dxa"/>
          </w:tcPr>
          <w:p w14:paraId="76685DE2">
            <w:pPr>
              <w:pStyle w:val="29"/>
              <w:rPr>
                <w:rFonts w:ascii="Times New Roman"/>
                <w:sz w:val="24"/>
              </w:rPr>
            </w:pPr>
          </w:p>
        </w:tc>
      </w:tr>
      <w:tr w14:paraId="786AB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6" w:hRule="atLeast"/>
        </w:trPr>
        <w:tc>
          <w:tcPr>
            <w:tcW w:w="1877" w:type="dxa"/>
            <w:shd w:val="clear" w:color="auto" w:fill="auto"/>
            <w:vAlign w:val="top"/>
          </w:tcPr>
          <w:p w14:paraId="3399DBCB">
            <w:pPr>
              <w:pStyle w:val="29"/>
              <w:spacing w:before="1"/>
              <w:ind w:left="317" w:right="309"/>
              <w:jc w:val="center"/>
              <w:rPr>
                <w:rFonts w:ascii="宋体" w:hAnsi="宋体" w:eastAsia="宋体" w:cs="宋体"/>
                <w:sz w:val="24"/>
              </w:rPr>
            </w:pPr>
          </w:p>
          <w:p w14:paraId="4F3DC2B9">
            <w:pPr>
              <w:pStyle w:val="29"/>
              <w:spacing w:before="1"/>
              <w:ind w:left="317" w:right="309"/>
              <w:jc w:val="center"/>
              <w:rPr>
                <w:rFonts w:ascii="宋体" w:hAnsi="宋体" w:eastAsia="宋体" w:cs="宋体"/>
                <w:sz w:val="24"/>
                <w:lang w:val="en-US" w:eastAsia="en-US"/>
              </w:rPr>
            </w:pPr>
            <w:r>
              <w:rPr>
                <w:rFonts w:ascii="宋体" w:hAnsi="宋体" w:eastAsia="宋体" w:cs="宋体"/>
                <w:sz w:val="24"/>
              </w:rPr>
              <w:t>磋商范围</w:t>
            </w:r>
          </w:p>
        </w:tc>
        <w:tc>
          <w:tcPr>
            <w:tcW w:w="7049" w:type="dxa"/>
          </w:tcPr>
          <w:p w14:paraId="4849E2B3">
            <w:pPr>
              <w:pStyle w:val="29"/>
              <w:rPr>
                <w:rFonts w:ascii="Times New Roman"/>
                <w:sz w:val="24"/>
              </w:rPr>
            </w:pPr>
          </w:p>
        </w:tc>
      </w:tr>
      <w:tr w14:paraId="62A15D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6" w:hRule="atLeast"/>
        </w:trPr>
        <w:tc>
          <w:tcPr>
            <w:tcW w:w="1877" w:type="dxa"/>
            <w:shd w:val="clear" w:color="auto" w:fill="auto"/>
            <w:vAlign w:val="top"/>
          </w:tcPr>
          <w:p w14:paraId="5A25A1FA">
            <w:pPr>
              <w:pStyle w:val="29"/>
              <w:spacing w:before="1"/>
              <w:ind w:left="317" w:right="309"/>
              <w:jc w:val="center"/>
              <w:rPr>
                <w:rFonts w:ascii="宋体" w:hAnsi="宋体" w:eastAsia="宋体" w:cs="宋体"/>
                <w:sz w:val="24"/>
              </w:rPr>
            </w:pPr>
          </w:p>
          <w:p w14:paraId="2A80CB3B">
            <w:pPr>
              <w:pStyle w:val="29"/>
              <w:spacing w:before="1"/>
              <w:ind w:left="317" w:leftChars="0" w:right="309" w:rightChars="0"/>
              <w:jc w:val="center"/>
              <w:rPr>
                <w:rFonts w:ascii="宋体" w:hAnsi="宋体" w:eastAsia="宋体" w:cs="宋体"/>
                <w:sz w:val="24"/>
                <w:szCs w:val="22"/>
                <w:lang w:val="en-US" w:eastAsia="en-US" w:bidi="ar-SA"/>
              </w:rPr>
            </w:pPr>
            <w:r>
              <w:rPr>
                <w:rFonts w:ascii="宋体" w:hAnsi="宋体" w:eastAsia="宋体" w:cs="宋体"/>
                <w:sz w:val="24"/>
              </w:rPr>
              <w:t>备注</w:t>
            </w:r>
          </w:p>
        </w:tc>
        <w:tc>
          <w:tcPr>
            <w:tcW w:w="7049" w:type="dxa"/>
          </w:tcPr>
          <w:p w14:paraId="15EF284D">
            <w:pPr>
              <w:pStyle w:val="29"/>
              <w:rPr>
                <w:rFonts w:ascii="Times New Roman"/>
                <w:sz w:val="24"/>
              </w:rPr>
            </w:pPr>
          </w:p>
        </w:tc>
      </w:tr>
    </w:tbl>
    <w:p w14:paraId="12D2276C">
      <w:pPr>
        <w:spacing w:before="141"/>
        <w:ind w:left="980"/>
        <w:rPr>
          <w:b/>
          <w:sz w:val="21"/>
          <w:lang w:eastAsia="zh-CN"/>
        </w:rPr>
      </w:pPr>
      <w:r>
        <w:rPr>
          <w:b/>
          <w:sz w:val="21"/>
          <w:lang w:eastAsia="zh-CN"/>
        </w:rPr>
        <w:t>注：该表中所有空白项均为必填项。</w:t>
      </w:r>
    </w:p>
    <w:p w14:paraId="14F9C421">
      <w:pPr>
        <w:pStyle w:val="6"/>
        <w:ind w:left="0"/>
        <w:rPr>
          <w:b/>
          <w:sz w:val="20"/>
          <w:lang w:eastAsia="zh-CN"/>
        </w:rPr>
      </w:pPr>
    </w:p>
    <w:p w14:paraId="13DC8758">
      <w:pPr>
        <w:pStyle w:val="6"/>
        <w:spacing w:before="11"/>
        <w:ind w:left="0"/>
        <w:rPr>
          <w:b/>
          <w:sz w:val="27"/>
          <w:lang w:eastAsia="zh-CN"/>
        </w:rPr>
      </w:pPr>
    </w:p>
    <w:p w14:paraId="2E149391">
      <w:pPr>
        <w:pStyle w:val="6"/>
        <w:tabs>
          <w:tab w:val="left" w:pos="4819"/>
        </w:tabs>
        <w:spacing w:line="480" w:lineRule="auto"/>
        <w:ind w:left="0"/>
        <w:rPr>
          <w:lang w:eastAsia="zh-CN"/>
        </w:rPr>
      </w:pPr>
      <w:r>
        <w:rPr>
          <w:lang w:eastAsia="zh-CN"/>
        </w:rPr>
        <w:t>供应商：</w:t>
      </w:r>
      <w:r>
        <w:rPr>
          <w:u w:val="single"/>
          <w:lang w:eastAsia="zh-CN"/>
        </w:rPr>
        <w:t xml:space="preserve"> </w:t>
      </w:r>
      <w:r>
        <w:rPr>
          <w:u w:val="single"/>
          <w:lang w:eastAsia="zh-CN"/>
        </w:rPr>
        <w:tab/>
      </w:r>
      <w:r>
        <w:rPr>
          <w:lang w:eastAsia="zh-CN"/>
        </w:rPr>
        <w:t>（单位签章）</w:t>
      </w:r>
    </w:p>
    <w:p w14:paraId="11144431">
      <w:pPr>
        <w:pStyle w:val="6"/>
        <w:tabs>
          <w:tab w:val="left" w:pos="5299"/>
        </w:tabs>
        <w:spacing w:line="480" w:lineRule="auto"/>
        <w:ind w:left="0"/>
        <w:rPr>
          <w:lang w:eastAsia="zh-CN"/>
        </w:rPr>
      </w:pPr>
      <w:r>
        <w:rPr>
          <w:lang w:eastAsia="zh-CN"/>
        </w:rPr>
        <w:t>法定代表人</w:t>
      </w:r>
      <w:r>
        <w:rPr>
          <w:rFonts w:hint="eastAsia"/>
          <w:lang w:val="en-US" w:eastAsia="zh-CN"/>
        </w:rPr>
        <w:t>或委托代理人</w:t>
      </w:r>
      <w:r>
        <w:rPr>
          <w:lang w:eastAsia="zh-CN"/>
        </w:rPr>
        <w:t>：</w:t>
      </w:r>
      <w:r>
        <w:rPr>
          <w:u w:val="single"/>
          <w:lang w:eastAsia="zh-CN"/>
        </w:rPr>
        <w:t xml:space="preserve"> </w:t>
      </w:r>
      <w:r>
        <w:rPr>
          <w:u w:val="single"/>
          <w:lang w:eastAsia="zh-CN"/>
        </w:rPr>
        <w:tab/>
      </w:r>
      <w:r>
        <w:rPr>
          <w:lang w:eastAsia="zh-CN"/>
        </w:rPr>
        <w:t>（电子签章）</w:t>
      </w:r>
    </w:p>
    <w:p w14:paraId="09BAE25D">
      <w:pPr>
        <w:pStyle w:val="6"/>
        <w:tabs>
          <w:tab w:val="left" w:pos="1557"/>
          <w:tab w:val="left" w:pos="2877"/>
          <w:tab w:val="left" w:pos="4197"/>
        </w:tabs>
        <w:spacing w:line="480" w:lineRule="auto"/>
        <w:ind w:left="0"/>
        <w:rPr>
          <w:lang w:eastAsia="zh-CN"/>
        </w:rPr>
      </w:pPr>
      <w:r>
        <w:rPr>
          <w:rFonts w:ascii="Times New Roman" w:eastAsia="Times New Roman"/>
          <w:u w:val="single"/>
          <w:lang w:eastAsia="zh-CN"/>
        </w:rPr>
        <w:t xml:space="preserve"> </w:t>
      </w:r>
      <w:r>
        <w:rPr>
          <w:rFonts w:ascii="Times New Roman" w:eastAsia="Times New Roman"/>
          <w:u w:val="single"/>
          <w:lang w:eastAsia="zh-CN"/>
        </w:rPr>
        <w:tab/>
      </w:r>
      <w:r>
        <w:rPr>
          <w:lang w:eastAsia="zh-CN"/>
        </w:rPr>
        <w:t>年</w:t>
      </w:r>
      <w:r>
        <w:rPr>
          <w:u w:val="single"/>
          <w:lang w:eastAsia="zh-CN"/>
        </w:rPr>
        <w:t xml:space="preserve"> </w:t>
      </w:r>
      <w:r>
        <w:rPr>
          <w:u w:val="single"/>
          <w:lang w:eastAsia="zh-CN"/>
        </w:rPr>
        <w:tab/>
      </w:r>
      <w:r>
        <w:rPr>
          <w:lang w:eastAsia="zh-CN"/>
        </w:rPr>
        <w:t>月</w:t>
      </w:r>
      <w:r>
        <w:rPr>
          <w:u w:val="single"/>
          <w:lang w:eastAsia="zh-CN"/>
        </w:rPr>
        <w:t xml:space="preserve"> </w:t>
      </w:r>
      <w:r>
        <w:rPr>
          <w:u w:val="single"/>
          <w:lang w:eastAsia="zh-CN"/>
        </w:rPr>
        <w:tab/>
      </w:r>
      <w:r>
        <w:rPr>
          <w:lang w:eastAsia="zh-CN"/>
        </w:rPr>
        <w:t>日</w:t>
      </w:r>
    </w:p>
    <w:p w14:paraId="6290CD5E">
      <w:pPr>
        <w:jc w:val="center"/>
        <w:rPr>
          <w:lang w:eastAsia="zh-CN"/>
        </w:rPr>
      </w:pPr>
    </w:p>
    <w:p w14:paraId="49A92D4D">
      <w:pPr>
        <w:jc w:val="center"/>
        <w:rPr>
          <w:lang w:eastAsia="zh-CN"/>
        </w:rPr>
      </w:pPr>
    </w:p>
    <w:p w14:paraId="0E7B3189">
      <w:pPr>
        <w:jc w:val="center"/>
        <w:rPr>
          <w:lang w:eastAsia="zh-CN"/>
        </w:rPr>
      </w:pPr>
    </w:p>
    <w:p w14:paraId="31E22D63">
      <w:pPr>
        <w:jc w:val="center"/>
        <w:rPr>
          <w:lang w:eastAsia="zh-CN"/>
        </w:rPr>
      </w:pPr>
    </w:p>
    <w:p w14:paraId="3E0F36C5">
      <w:pPr>
        <w:jc w:val="center"/>
        <w:rPr>
          <w:lang w:eastAsia="zh-CN"/>
        </w:rPr>
      </w:pPr>
    </w:p>
    <w:p w14:paraId="76B9A625">
      <w:pPr>
        <w:jc w:val="center"/>
        <w:rPr>
          <w:lang w:eastAsia="zh-CN"/>
        </w:rPr>
      </w:pPr>
    </w:p>
    <w:p w14:paraId="28C7A648">
      <w:pPr>
        <w:jc w:val="center"/>
        <w:rPr>
          <w:lang w:eastAsia="zh-CN"/>
        </w:rPr>
      </w:pPr>
    </w:p>
    <w:p w14:paraId="642D8ECA">
      <w:pPr>
        <w:jc w:val="both"/>
        <w:rPr>
          <w:lang w:eastAsia="zh-CN"/>
        </w:rPr>
      </w:pPr>
    </w:p>
    <w:p w14:paraId="0E74C482">
      <w:pPr>
        <w:jc w:val="center"/>
        <w:rPr>
          <w:rFonts w:ascii="宋体" w:hAnsi="宋体" w:cs="宋体"/>
          <w:b/>
          <w:bCs/>
          <w:sz w:val="32"/>
          <w:szCs w:val="40"/>
        </w:rPr>
      </w:pPr>
      <w:r>
        <w:rPr>
          <w:rFonts w:hint="eastAsia" w:ascii="宋体" w:hAnsi="宋体" w:cs="宋体"/>
          <w:b/>
          <w:bCs/>
          <w:sz w:val="32"/>
          <w:szCs w:val="32"/>
        </w:rPr>
        <w:t>2.</w:t>
      </w:r>
      <w:r>
        <w:rPr>
          <w:rFonts w:hint="eastAsia" w:ascii="宋体" w:hAnsi="宋体" w:cs="宋体"/>
          <w:b/>
          <w:bCs/>
          <w:sz w:val="32"/>
          <w:szCs w:val="40"/>
        </w:rPr>
        <w:t>报价明细表</w:t>
      </w:r>
    </w:p>
    <w:tbl>
      <w:tblPr>
        <w:tblStyle w:val="13"/>
        <w:tblW w:w="9279" w:type="dxa"/>
        <w:tblInd w:w="1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850"/>
        <w:gridCol w:w="1407"/>
        <w:gridCol w:w="2031"/>
        <w:gridCol w:w="1394"/>
        <w:gridCol w:w="1972"/>
        <w:gridCol w:w="842"/>
      </w:tblGrid>
      <w:tr w14:paraId="0BB3C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783" w:type="dxa"/>
            <w:vAlign w:val="center"/>
          </w:tcPr>
          <w:p w14:paraId="289FBB8B">
            <w:pPr>
              <w:jc w:val="center"/>
              <w:rPr>
                <w:rFonts w:hint="default"/>
                <w:sz w:val="28"/>
                <w:szCs w:val="28"/>
                <w:vertAlign w:val="baseline"/>
                <w:lang w:val="en-US" w:eastAsia="zh-CN"/>
              </w:rPr>
            </w:pPr>
            <w:r>
              <w:rPr>
                <w:rFonts w:hint="eastAsia"/>
                <w:sz w:val="28"/>
                <w:szCs w:val="28"/>
                <w:vertAlign w:val="baseline"/>
                <w:lang w:val="en-US" w:eastAsia="zh-CN"/>
              </w:rPr>
              <w:t>序号</w:t>
            </w:r>
          </w:p>
        </w:tc>
        <w:tc>
          <w:tcPr>
            <w:tcW w:w="850" w:type="dxa"/>
            <w:vAlign w:val="center"/>
          </w:tcPr>
          <w:p w14:paraId="7D78F958">
            <w:pPr>
              <w:jc w:val="center"/>
              <w:rPr>
                <w:rFonts w:hint="default"/>
                <w:sz w:val="28"/>
                <w:szCs w:val="28"/>
                <w:vertAlign w:val="baseline"/>
                <w:lang w:val="en-US" w:eastAsia="zh-CN"/>
              </w:rPr>
            </w:pPr>
            <w:r>
              <w:rPr>
                <w:rFonts w:hint="eastAsia"/>
                <w:sz w:val="28"/>
                <w:szCs w:val="28"/>
                <w:vertAlign w:val="baseline"/>
                <w:lang w:val="en-US" w:eastAsia="zh-CN"/>
              </w:rPr>
              <w:t>名称</w:t>
            </w:r>
          </w:p>
        </w:tc>
        <w:tc>
          <w:tcPr>
            <w:tcW w:w="1407" w:type="dxa"/>
            <w:vAlign w:val="center"/>
          </w:tcPr>
          <w:p w14:paraId="516A6135">
            <w:pPr>
              <w:jc w:val="center"/>
              <w:rPr>
                <w:rFonts w:hint="default"/>
                <w:sz w:val="28"/>
                <w:szCs w:val="28"/>
                <w:vertAlign w:val="baseline"/>
                <w:lang w:val="en-US" w:eastAsia="zh-CN"/>
              </w:rPr>
            </w:pPr>
            <w:r>
              <w:rPr>
                <w:rFonts w:hint="eastAsia"/>
                <w:sz w:val="28"/>
                <w:szCs w:val="28"/>
                <w:vertAlign w:val="baseline"/>
                <w:lang w:val="en-US" w:eastAsia="zh-CN"/>
              </w:rPr>
              <w:t>工作内容</w:t>
            </w:r>
          </w:p>
        </w:tc>
        <w:tc>
          <w:tcPr>
            <w:tcW w:w="2031" w:type="dxa"/>
            <w:vAlign w:val="center"/>
          </w:tcPr>
          <w:p w14:paraId="15D34BA9">
            <w:pPr>
              <w:jc w:val="center"/>
              <w:rPr>
                <w:rFonts w:hint="default"/>
                <w:sz w:val="28"/>
                <w:szCs w:val="28"/>
                <w:vertAlign w:val="baseline"/>
                <w:lang w:val="en-US" w:eastAsia="zh-CN"/>
              </w:rPr>
            </w:pPr>
            <w:r>
              <w:rPr>
                <w:rFonts w:hint="eastAsia"/>
                <w:sz w:val="28"/>
                <w:szCs w:val="28"/>
                <w:vertAlign w:val="baseline"/>
                <w:lang w:val="en-US" w:eastAsia="zh-CN"/>
              </w:rPr>
              <w:t>定额阈值之和(元/k</w:t>
            </w:r>
            <w:r>
              <w:rPr>
                <w:rFonts w:hint="eastAsia" w:ascii="宋体" w:hAnsi="宋体" w:eastAsia="宋体" w:cs="宋体"/>
                <w:sz w:val="28"/>
                <w:szCs w:val="28"/>
                <w:vertAlign w:val="baseline"/>
                <w:lang w:val="en-US" w:eastAsia="zh-CN"/>
              </w:rPr>
              <w:t>㎡</w:t>
            </w:r>
            <w:r>
              <w:rPr>
                <w:rFonts w:hint="eastAsia"/>
                <w:sz w:val="28"/>
                <w:szCs w:val="28"/>
                <w:vertAlign w:val="baseline"/>
                <w:lang w:val="en-US" w:eastAsia="zh-CN"/>
              </w:rPr>
              <w:t>)</w:t>
            </w:r>
          </w:p>
        </w:tc>
        <w:tc>
          <w:tcPr>
            <w:tcW w:w="1394" w:type="dxa"/>
            <w:vAlign w:val="center"/>
          </w:tcPr>
          <w:p w14:paraId="7F3A97C5">
            <w:pPr>
              <w:jc w:val="center"/>
              <w:rPr>
                <w:rFonts w:hint="default"/>
                <w:sz w:val="28"/>
                <w:szCs w:val="28"/>
                <w:vertAlign w:val="baseline"/>
                <w:lang w:val="en-US" w:eastAsia="zh-CN"/>
              </w:rPr>
            </w:pPr>
            <w:r>
              <w:rPr>
                <w:rFonts w:hint="eastAsia"/>
                <w:sz w:val="28"/>
                <w:szCs w:val="28"/>
                <w:vertAlign w:val="baseline"/>
                <w:lang w:val="en-US" w:eastAsia="zh-CN"/>
              </w:rPr>
              <w:t>面积k</w:t>
            </w:r>
            <w:r>
              <w:rPr>
                <w:rFonts w:hint="eastAsia" w:ascii="宋体" w:hAnsi="宋体" w:eastAsia="宋体" w:cs="宋体"/>
                <w:sz w:val="28"/>
                <w:szCs w:val="28"/>
                <w:vertAlign w:val="baseline"/>
                <w:lang w:val="en-US" w:eastAsia="zh-CN"/>
              </w:rPr>
              <w:t>㎡</w:t>
            </w:r>
          </w:p>
        </w:tc>
        <w:tc>
          <w:tcPr>
            <w:tcW w:w="1972" w:type="dxa"/>
            <w:vAlign w:val="center"/>
          </w:tcPr>
          <w:p w14:paraId="46CBD1C2">
            <w:pPr>
              <w:jc w:val="center"/>
              <w:rPr>
                <w:rFonts w:hint="default"/>
                <w:sz w:val="28"/>
                <w:szCs w:val="28"/>
                <w:vertAlign w:val="baseline"/>
                <w:lang w:val="en-US" w:eastAsia="zh-CN"/>
              </w:rPr>
            </w:pPr>
            <w:r>
              <w:rPr>
                <w:rFonts w:hint="eastAsia" w:ascii="宋体" w:hAnsi="宋体" w:eastAsia="宋体" w:cs="宋体"/>
                <w:sz w:val="28"/>
                <w:szCs w:val="28"/>
                <w:vertAlign w:val="baseline"/>
                <w:lang w:val="en-US" w:eastAsia="zh-CN"/>
              </w:rPr>
              <w:t>金额（万元）</w:t>
            </w:r>
          </w:p>
        </w:tc>
        <w:tc>
          <w:tcPr>
            <w:tcW w:w="842" w:type="dxa"/>
            <w:vAlign w:val="center"/>
          </w:tcPr>
          <w:p w14:paraId="76868668">
            <w:pPr>
              <w:jc w:val="center"/>
              <w:rPr>
                <w:rFonts w:hint="default"/>
                <w:sz w:val="28"/>
                <w:szCs w:val="28"/>
                <w:vertAlign w:val="baseline"/>
                <w:lang w:val="en-US" w:eastAsia="zh-CN"/>
              </w:rPr>
            </w:pPr>
            <w:r>
              <w:rPr>
                <w:rFonts w:hint="eastAsia"/>
                <w:sz w:val="28"/>
                <w:szCs w:val="28"/>
                <w:vertAlign w:val="baseline"/>
                <w:lang w:val="en-US" w:eastAsia="zh-CN"/>
              </w:rPr>
              <w:t>备注</w:t>
            </w:r>
          </w:p>
        </w:tc>
      </w:tr>
      <w:tr w14:paraId="38289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83" w:type="dxa"/>
          </w:tcPr>
          <w:p w14:paraId="4FB29B2C">
            <w:pPr>
              <w:jc w:val="both"/>
              <w:rPr>
                <w:sz w:val="28"/>
                <w:szCs w:val="28"/>
                <w:vertAlign w:val="baseline"/>
                <w:lang w:eastAsia="zh-CN"/>
              </w:rPr>
            </w:pPr>
          </w:p>
        </w:tc>
        <w:tc>
          <w:tcPr>
            <w:tcW w:w="850" w:type="dxa"/>
          </w:tcPr>
          <w:p w14:paraId="7E510154">
            <w:pPr>
              <w:jc w:val="both"/>
              <w:rPr>
                <w:sz w:val="28"/>
                <w:szCs w:val="28"/>
                <w:vertAlign w:val="baseline"/>
                <w:lang w:eastAsia="zh-CN"/>
              </w:rPr>
            </w:pPr>
          </w:p>
        </w:tc>
        <w:tc>
          <w:tcPr>
            <w:tcW w:w="1407" w:type="dxa"/>
          </w:tcPr>
          <w:p w14:paraId="554FB3B2">
            <w:pPr>
              <w:jc w:val="both"/>
              <w:rPr>
                <w:sz w:val="28"/>
                <w:szCs w:val="28"/>
                <w:vertAlign w:val="baseline"/>
                <w:lang w:eastAsia="zh-CN"/>
              </w:rPr>
            </w:pPr>
          </w:p>
        </w:tc>
        <w:tc>
          <w:tcPr>
            <w:tcW w:w="2031" w:type="dxa"/>
          </w:tcPr>
          <w:p w14:paraId="16F4D895">
            <w:pPr>
              <w:jc w:val="both"/>
              <w:rPr>
                <w:sz w:val="28"/>
                <w:szCs w:val="28"/>
                <w:vertAlign w:val="baseline"/>
                <w:lang w:eastAsia="zh-CN"/>
              </w:rPr>
            </w:pPr>
          </w:p>
        </w:tc>
        <w:tc>
          <w:tcPr>
            <w:tcW w:w="1394" w:type="dxa"/>
          </w:tcPr>
          <w:p w14:paraId="38D1C315">
            <w:pPr>
              <w:jc w:val="both"/>
              <w:rPr>
                <w:sz w:val="28"/>
                <w:szCs w:val="28"/>
                <w:vertAlign w:val="baseline"/>
                <w:lang w:eastAsia="zh-CN"/>
              </w:rPr>
            </w:pPr>
          </w:p>
        </w:tc>
        <w:tc>
          <w:tcPr>
            <w:tcW w:w="1972" w:type="dxa"/>
          </w:tcPr>
          <w:p w14:paraId="2420CCA7">
            <w:pPr>
              <w:jc w:val="both"/>
              <w:rPr>
                <w:sz w:val="28"/>
                <w:szCs w:val="28"/>
                <w:vertAlign w:val="baseline"/>
                <w:lang w:eastAsia="zh-CN"/>
              </w:rPr>
            </w:pPr>
          </w:p>
        </w:tc>
        <w:tc>
          <w:tcPr>
            <w:tcW w:w="842" w:type="dxa"/>
          </w:tcPr>
          <w:p w14:paraId="03A987C7">
            <w:pPr>
              <w:jc w:val="both"/>
              <w:rPr>
                <w:sz w:val="28"/>
                <w:szCs w:val="28"/>
                <w:vertAlign w:val="baseline"/>
                <w:lang w:eastAsia="zh-CN"/>
              </w:rPr>
            </w:pPr>
          </w:p>
        </w:tc>
      </w:tr>
      <w:tr w14:paraId="15696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783" w:type="dxa"/>
          </w:tcPr>
          <w:p w14:paraId="45E68CE9">
            <w:pPr>
              <w:jc w:val="both"/>
              <w:rPr>
                <w:sz w:val="28"/>
                <w:szCs w:val="28"/>
                <w:vertAlign w:val="baseline"/>
                <w:lang w:eastAsia="zh-CN"/>
              </w:rPr>
            </w:pPr>
          </w:p>
        </w:tc>
        <w:tc>
          <w:tcPr>
            <w:tcW w:w="850" w:type="dxa"/>
          </w:tcPr>
          <w:p w14:paraId="0C7E7610">
            <w:pPr>
              <w:jc w:val="both"/>
              <w:rPr>
                <w:sz w:val="28"/>
                <w:szCs w:val="28"/>
                <w:vertAlign w:val="baseline"/>
                <w:lang w:eastAsia="zh-CN"/>
              </w:rPr>
            </w:pPr>
          </w:p>
        </w:tc>
        <w:tc>
          <w:tcPr>
            <w:tcW w:w="1407" w:type="dxa"/>
          </w:tcPr>
          <w:p w14:paraId="472719E4">
            <w:pPr>
              <w:jc w:val="both"/>
              <w:rPr>
                <w:sz w:val="28"/>
                <w:szCs w:val="28"/>
                <w:vertAlign w:val="baseline"/>
                <w:lang w:eastAsia="zh-CN"/>
              </w:rPr>
            </w:pPr>
          </w:p>
        </w:tc>
        <w:tc>
          <w:tcPr>
            <w:tcW w:w="2031" w:type="dxa"/>
          </w:tcPr>
          <w:p w14:paraId="0474C583">
            <w:pPr>
              <w:jc w:val="both"/>
              <w:rPr>
                <w:sz w:val="28"/>
                <w:szCs w:val="28"/>
                <w:vertAlign w:val="baseline"/>
                <w:lang w:eastAsia="zh-CN"/>
              </w:rPr>
            </w:pPr>
          </w:p>
        </w:tc>
        <w:tc>
          <w:tcPr>
            <w:tcW w:w="1394" w:type="dxa"/>
          </w:tcPr>
          <w:p w14:paraId="77BBB26A">
            <w:pPr>
              <w:jc w:val="both"/>
              <w:rPr>
                <w:sz w:val="28"/>
                <w:szCs w:val="28"/>
                <w:vertAlign w:val="baseline"/>
                <w:lang w:eastAsia="zh-CN"/>
              </w:rPr>
            </w:pPr>
          </w:p>
        </w:tc>
        <w:tc>
          <w:tcPr>
            <w:tcW w:w="1972" w:type="dxa"/>
          </w:tcPr>
          <w:p w14:paraId="7EA36047">
            <w:pPr>
              <w:jc w:val="both"/>
              <w:rPr>
                <w:sz w:val="28"/>
                <w:szCs w:val="28"/>
                <w:vertAlign w:val="baseline"/>
                <w:lang w:eastAsia="zh-CN"/>
              </w:rPr>
            </w:pPr>
          </w:p>
        </w:tc>
        <w:tc>
          <w:tcPr>
            <w:tcW w:w="842" w:type="dxa"/>
          </w:tcPr>
          <w:p w14:paraId="4B36AEC2">
            <w:pPr>
              <w:jc w:val="both"/>
              <w:rPr>
                <w:sz w:val="28"/>
                <w:szCs w:val="28"/>
                <w:vertAlign w:val="baseline"/>
                <w:lang w:eastAsia="zh-CN"/>
              </w:rPr>
            </w:pPr>
          </w:p>
        </w:tc>
      </w:tr>
      <w:tr w14:paraId="2EB02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783" w:type="dxa"/>
          </w:tcPr>
          <w:p w14:paraId="2552FA29">
            <w:pPr>
              <w:jc w:val="both"/>
              <w:rPr>
                <w:sz w:val="28"/>
                <w:szCs w:val="28"/>
                <w:vertAlign w:val="baseline"/>
                <w:lang w:eastAsia="zh-CN"/>
              </w:rPr>
            </w:pPr>
          </w:p>
        </w:tc>
        <w:tc>
          <w:tcPr>
            <w:tcW w:w="850" w:type="dxa"/>
          </w:tcPr>
          <w:p w14:paraId="3EB58608">
            <w:pPr>
              <w:jc w:val="both"/>
              <w:rPr>
                <w:sz w:val="28"/>
                <w:szCs w:val="28"/>
                <w:vertAlign w:val="baseline"/>
                <w:lang w:eastAsia="zh-CN"/>
              </w:rPr>
            </w:pPr>
          </w:p>
        </w:tc>
        <w:tc>
          <w:tcPr>
            <w:tcW w:w="1407" w:type="dxa"/>
          </w:tcPr>
          <w:p w14:paraId="2481AB68">
            <w:pPr>
              <w:jc w:val="both"/>
              <w:rPr>
                <w:sz w:val="28"/>
                <w:szCs w:val="28"/>
                <w:vertAlign w:val="baseline"/>
                <w:lang w:eastAsia="zh-CN"/>
              </w:rPr>
            </w:pPr>
          </w:p>
        </w:tc>
        <w:tc>
          <w:tcPr>
            <w:tcW w:w="2031" w:type="dxa"/>
          </w:tcPr>
          <w:p w14:paraId="6982DCD2">
            <w:pPr>
              <w:jc w:val="both"/>
              <w:rPr>
                <w:sz w:val="28"/>
                <w:szCs w:val="28"/>
                <w:vertAlign w:val="baseline"/>
                <w:lang w:eastAsia="zh-CN"/>
              </w:rPr>
            </w:pPr>
          </w:p>
        </w:tc>
        <w:tc>
          <w:tcPr>
            <w:tcW w:w="1394" w:type="dxa"/>
          </w:tcPr>
          <w:p w14:paraId="0AE9C6A9">
            <w:pPr>
              <w:jc w:val="both"/>
              <w:rPr>
                <w:sz w:val="28"/>
                <w:szCs w:val="28"/>
                <w:vertAlign w:val="baseline"/>
                <w:lang w:eastAsia="zh-CN"/>
              </w:rPr>
            </w:pPr>
          </w:p>
        </w:tc>
        <w:tc>
          <w:tcPr>
            <w:tcW w:w="1972" w:type="dxa"/>
          </w:tcPr>
          <w:p w14:paraId="2AB8094B">
            <w:pPr>
              <w:jc w:val="both"/>
              <w:rPr>
                <w:sz w:val="28"/>
                <w:szCs w:val="28"/>
                <w:vertAlign w:val="baseline"/>
                <w:lang w:eastAsia="zh-CN"/>
              </w:rPr>
            </w:pPr>
          </w:p>
        </w:tc>
        <w:tc>
          <w:tcPr>
            <w:tcW w:w="842" w:type="dxa"/>
          </w:tcPr>
          <w:p w14:paraId="0F7832E1">
            <w:pPr>
              <w:jc w:val="both"/>
              <w:rPr>
                <w:sz w:val="28"/>
                <w:szCs w:val="28"/>
                <w:vertAlign w:val="baseline"/>
                <w:lang w:eastAsia="zh-CN"/>
              </w:rPr>
            </w:pPr>
          </w:p>
        </w:tc>
      </w:tr>
      <w:tr w14:paraId="0EE82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783" w:type="dxa"/>
          </w:tcPr>
          <w:p w14:paraId="2E5FF23E">
            <w:pPr>
              <w:jc w:val="both"/>
              <w:rPr>
                <w:sz w:val="28"/>
                <w:szCs w:val="28"/>
                <w:vertAlign w:val="baseline"/>
                <w:lang w:eastAsia="zh-CN"/>
              </w:rPr>
            </w:pPr>
          </w:p>
        </w:tc>
        <w:tc>
          <w:tcPr>
            <w:tcW w:w="850" w:type="dxa"/>
          </w:tcPr>
          <w:p w14:paraId="5A568990">
            <w:pPr>
              <w:jc w:val="both"/>
              <w:rPr>
                <w:sz w:val="28"/>
                <w:szCs w:val="28"/>
                <w:vertAlign w:val="baseline"/>
                <w:lang w:eastAsia="zh-CN"/>
              </w:rPr>
            </w:pPr>
          </w:p>
        </w:tc>
        <w:tc>
          <w:tcPr>
            <w:tcW w:w="1407" w:type="dxa"/>
          </w:tcPr>
          <w:p w14:paraId="257D9D06">
            <w:pPr>
              <w:jc w:val="both"/>
              <w:rPr>
                <w:sz w:val="28"/>
                <w:szCs w:val="28"/>
                <w:vertAlign w:val="baseline"/>
                <w:lang w:eastAsia="zh-CN"/>
              </w:rPr>
            </w:pPr>
          </w:p>
        </w:tc>
        <w:tc>
          <w:tcPr>
            <w:tcW w:w="2031" w:type="dxa"/>
          </w:tcPr>
          <w:p w14:paraId="268134FB">
            <w:pPr>
              <w:jc w:val="both"/>
              <w:rPr>
                <w:sz w:val="28"/>
                <w:szCs w:val="28"/>
                <w:vertAlign w:val="baseline"/>
                <w:lang w:eastAsia="zh-CN"/>
              </w:rPr>
            </w:pPr>
          </w:p>
        </w:tc>
        <w:tc>
          <w:tcPr>
            <w:tcW w:w="1394" w:type="dxa"/>
          </w:tcPr>
          <w:p w14:paraId="4AA96FAC">
            <w:pPr>
              <w:jc w:val="both"/>
              <w:rPr>
                <w:sz w:val="28"/>
                <w:szCs w:val="28"/>
                <w:vertAlign w:val="baseline"/>
                <w:lang w:eastAsia="zh-CN"/>
              </w:rPr>
            </w:pPr>
          </w:p>
        </w:tc>
        <w:tc>
          <w:tcPr>
            <w:tcW w:w="1972" w:type="dxa"/>
          </w:tcPr>
          <w:p w14:paraId="5D993320">
            <w:pPr>
              <w:jc w:val="both"/>
              <w:rPr>
                <w:sz w:val="28"/>
                <w:szCs w:val="28"/>
                <w:vertAlign w:val="baseline"/>
                <w:lang w:eastAsia="zh-CN"/>
              </w:rPr>
            </w:pPr>
          </w:p>
        </w:tc>
        <w:tc>
          <w:tcPr>
            <w:tcW w:w="842" w:type="dxa"/>
          </w:tcPr>
          <w:p w14:paraId="393EAFCF">
            <w:pPr>
              <w:jc w:val="both"/>
              <w:rPr>
                <w:sz w:val="28"/>
                <w:szCs w:val="28"/>
                <w:vertAlign w:val="baseline"/>
                <w:lang w:eastAsia="zh-CN"/>
              </w:rPr>
            </w:pPr>
          </w:p>
        </w:tc>
      </w:tr>
      <w:tr w14:paraId="404A5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783" w:type="dxa"/>
          </w:tcPr>
          <w:p w14:paraId="21FD97B2">
            <w:pPr>
              <w:jc w:val="both"/>
              <w:rPr>
                <w:sz w:val="28"/>
                <w:szCs w:val="28"/>
                <w:vertAlign w:val="baseline"/>
                <w:lang w:eastAsia="zh-CN"/>
              </w:rPr>
            </w:pPr>
          </w:p>
        </w:tc>
        <w:tc>
          <w:tcPr>
            <w:tcW w:w="850" w:type="dxa"/>
          </w:tcPr>
          <w:p w14:paraId="43D10024">
            <w:pPr>
              <w:jc w:val="both"/>
              <w:rPr>
                <w:sz w:val="28"/>
                <w:szCs w:val="28"/>
                <w:vertAlign w:val="baseline"/>
                <w:lang w:eastAsia="zh-CN"/>
              </w:rPr>
            </w:pPr>
          </w:p>
        </w:tc>
        <w:tc>
          <w:tcPr>
            <w:tcW w:w="1407" w:type="dxa"/>
          </w:tcPr>
          <w:p w14:paraId="41637CA3">
            <w:pPr>
              <w:jc w:val="both"/>
              <w:rPr>
                <w:sz w:val="28"/>
                <w:szCs w:val="28"/>
                <w:vertAlign w:val="baseline"/>
                <w:lang w:eastAsia="zh-CN"/>
              </w:rPr>
            </w:pPr>
          </w:p>
        </w:tc>
        <w:tc>
          <w:tcPr>
            <w:tcW w:w="2031" w:type="dxa"/>
          </w:tcPr>
          <w:p w14:paraId="0CCB1DD8">
            <w:pPr>
              <w:jc w:val="both"/>
              <w:rPr>
                <w:sz w:val="28"/>
                <w:szCs w:val="28"/>
                <w:vertAlign w:val="baseline"/>
                <w:lang w:eastAsia="zh-CN"/>
              </w:rPr>
            </w:pPr>
          </w:p>
        </w:tc>
        <w:tc>
          <w:tcPr>
            <w:tcW w:w="1394" w:type="dxa"/>
          </w:tcPr>
          <w:p w14:paraId="64FA34DD">
            <w:pPr>
              <w:jc w:val="both"/>
              <w:rPr>
                <w:sz w:val="28"/>
                <w:szCs w:val="28"/>
                <w:vertAlign w:val="baseline"/>
                <w:lang w:eastAsia="zh-CN"/>
              </w:rPr>
            </w:pPr>
          </w:p>
        </w:tc>
        <w:tc>
          <w:tcPr>
            <w:tcW w:w="1972" w:type="dxa"/>
          </w:tcPr>
          <w:p w14:paraId="5445E3B0">
            <w:pPr>
              <w:jc w:val="both"/>
              <w:rPr>
                <w:sz w:val="28"/>
                <w:szCs w:val="28"/>
                <w:vertAlign w:val="baseline"/>
                <w:lang w:eastAsia="zh-CN"/>
              </w:rPr>
            </w:pPr>
          </w:p>
        </w:tc>
        <w:tc>
          <w:tcPr>
            <w:tcW w:w="842" w:type="dxa"/>
          </w:tcPr>
          <w:p w14:paraId="1F90D66F">
            <w:pPr>
              <w:jc w:val="both"/>
              <w:rPr>
                <w:sz w:val="28"/>
                <w:szCs w:val="28"/>
                <w:vertAlign w:val="baseline"/>
                <w:lang w:eastAsia="zh-CN"/>
              </w:rPr>
            </w:pPr>
          </w:p>
        </w:tc>
      </w:tr>
    </w:tbl>
    <w:p w14:paraId="1596CA7C">
      <w:pPr>
        <w:jc w:val="both"/>
        <w:rPr>
          <w:lang w:eastAsia="zh-CN"/>
        </w:rPr>
      </w:pPr>
    </w:p>
    <w:p w14:paraId="06D926F6">
      <w:pPr>
        <w:widowControl/>
        <w:wordWrap/>
        <w:autoSpaceDE w:val="0"/>
        <w:autoSpaceDN w:val="0"/>
        <w:adjustRightInd w:val="0"/>
        <w:snapToGrid w:val="0"/>
        <w:spacing w:after="0" w:afterLines="0"/>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lang w:val="en-US" w:eastAsia="zh-CN"/>
        </w:rPr>
        <w:t>注：</w:t>
      </w:r>
      <w:r>
        <w:rPr>
          <w:rFonts w:hint="eastAsia" w:ascii="宋体" w:hAnsi="宋体" w:eastAsia="宋体" w:cs="宋体"/>
          <w:b/>
          <w:bCs/>
          <w:color w:val="000000"/>
          <w:sz w:val="24"/>
          <w:szCs w:val="24"/>
        </w:rPr>
        <w:t>根据实际情况需要自行增减表格行数；</w:t>
      </w:r>
    </w:p>
    <w:p w14:paraId="3C87086B">
      <w:pPr>
        <w:jc w:val="center"/>
        <w:rPr>
          <w:lang w:eastAsia="zh-CN"/>
        </w:rPr>
      </w:pPr>
    </w:p>
    <w:p w14:paraId="784431B6">
      <w:pPr>
        <w:jc w:val="center"/>
        <w:rPr>
          <w:lang w:eastAsia="zh-CN"/>
        </w:rPr>
      </w:pPr>
    </w:p>
    <w:p w14:paraId="3ED0318C">
      <w:pPr>
        <w:pStyle w:val="3"/>
        <w:rPr>
          <w:lang w:eastAsia="zh-CN"/>
        </w:rPr>
      </w:pPr>
    </w:p>
    <w:p w14:paraId="212149E0">
      <w:pPr>
        <w:pStyle w:val="4"/>
        <w:rPr>
          <w:lang w:eastAsia="zh-CN"/>
        </w:rPr>
      </w:pPr>
    </w:p>
    <w:p w14:paraId="05D891F8">
      <w:pPr>
        <w:pStyle w:val="4"/>
        <w:rPr>
          <w:lang w:eastAsia="zh-CN"/>
        </w:rPr>
      </w:pPr>
    </w:p>
    <w:p w14:paraId="6304C878">
      <w:pPr>
        <w:pStyle w:val="4"/>
        <w:rPr>
          <w:lang w:eastAsia="zh-CN"/>
        </w:rPr>
      </w:pPr>
    </w:p>
    <w:p w14:paraId="77440E16">
      <w:pPr>
        <w:pStyle w:val="4"/>
        <w:rPr>
          <w:lang w:eastAsia="zh-CN"/>
        </w:rPr>
      </w:pPr>
    </w:p>
    <w:p w14:paraId="76F27C46">
      <w:pPr>
        <w:pStyle w:val="4"/>
        <w:rPr>
          <w:lang w:eastAsia="zh-CN"/>
        </w:rPr>
      </w:pPr>
    </w:p>
    <w:p w14:paraId="2892910F">
      <w:pPr>
        <w:pStyle w:val="4"/>
        <w:rPr>
          <w:lang w:eastAsia="zh-CN"/>
        </w:rPr>
      </w:pPr>
    </w:p>
    <w:p w14:paraId="36415DC4">
      <w:pPr>
        <w:pStyle w:val="4"/>
        <w:rPr>
          <w:lang w:eastAsia="zh-CN"/>
        </w:rPr>
      </w:pPr>
    </w:p>
    <w:p w14:paraId="27377015">
      <w:pPr>
        <w:pStyle w:val="4"/>
        <w:rPr>
          <w:lang w:eastAsia="zh-CN"/>
        </w:rPr>
      </w:pPr>
    </w:p>
    <w:p w14:paraId="7DE7C31B">
      <w:pPr>
        <w:pStyle w:val="4"/>
        <w:rPr>
          <w:lang w:eastAsia="zh-CN"/>
        </w:rPr>
      </w:pPr>
    </w:p>
    <w:p w14:paraId="1F8396EE">
      <w:pPr>
        <w:pStyle w:val="4"/>
        <w:rPr>
          <w:lang w:eastAsia="zh-CN"/>
        </w:rPr>
      </w:pPr>
    </w:p>
    <w:p w14:paraId="7DE5A048">
      <w:pPr>
        <w:pStyle w:val="6"/>
        <w:tabs>
          <w:tab w:val="left" w:pos="4819"/>
        </w:tabs>
        <w:spacing w:line="480" w:lineRule="auto"/>
        <w:ind w:left="0"/>
        <w:rPr>
          <w:lang w:eastAsia="zh-CN"/>
        </w:rPr>
      </w:pPr>
      <w:r>
        <w:rPr>
          <w:lang w:eastAsia="zh-CN"/>
        </w:rPr>
        <w:t>供应商：</w:t>
      </w:r>
      <w:r>
        <w:rPr>
          <w:u w:val="single"/>
          <w:lang w:eastAsia="zh-CN"/>
        </w:rPr>
        <w:t xml:space="preserve"> </w:t>
      </w:r>
      <w:r>
        <w:rPr>
          <w:u w:val="single"/>
          <w:lang w:eastAsia="zh-CN"/>
        </w:rPr>
        <w:tab/>
      </w:r>
      <w:r>
        <w:rPr>
          <w:lang w:eastAsia="zh-CN"/>
        </w:rPr>
        <w:t>（单位签章）</w:t>
      </w:r>
    </w:p>
    <w:p w14:paraId="71062EB9">
      <w:pPr>
        <w:pStyle w:val="6"/>
        <w:tabs>
          <w:tab w:val="left" w:pos="5299"/>
        </w:tabs>
        <w:spacing w:line="480" w:lineRule="auto"/>
        <w:ind w:left="0"/>
        <w:rPr>
          <w:lang w:eastAsia="zh-CN"/>
        </w:rPr>
      </w:pPr>
      <w:r>
        <w:rPr>
          <w:lang w:eastAsia="zh-CN"/>
        </w:rPr>
        <w:t>法定代表人</w:t>
      </w:r>
      <w:r>
        <w:rPr>
          <w:rFonts w:hint="eastAsia"/>
          <w:lang w:val="en-US" w:eastAsia="zh-CN"/>
        </w:rPr>
        <w:t>或委托代理人</w:t>
      </w:r>
      <w:r>
        <w:rPr>
          <w:lang w:eastAsia="zh-CN"/>
        </w:rPr>
        <w:t>：</w:t>
      </w:r>
      <w:r>
        <w:rPr>
          <w:u w:val="single"/>
          <w:lang w:eastAsia="zh-CN"/>
        </w:rPr>
        <w:t xml:space="preserve"> </w:t>
      </w:r>
      <w:r>
        <w:rPr>
          <w:u w:val="single"/>
          <w:lang w:eastAsia="zh-CN"/>
        </w:rPr>
        <w:tab/>
      </w:r>
      <w:r>
        <w:rPr>
          <w:lang w:eastAsia="zh-CN"/>
        </w:rPr>
        <w:t>（电子签章）</w:t>
      </w:r>
    </w:p>
    <w:p w14:paraId="023FDB5F">
      <w:pPr>
        <w:pStyle w:val="6"/>
        <w:tabs>
          <w:tab w:val="left" w:pos="1557"/>
          <w:tab w:val="left" w:pos="2877"/>
          <w:tab w:val="left" w:pos="4197"/>
        </w:tabs>
        <w:spacing w:line="480" w:lineRule="auto"/>
        <w:ind w:left="0"/>
        <w:rPr>
          <w:lang w:eastAsia="zh-CN"/>
        </w:rPr>
      </w:pPr>
      <w:r>
        <w:rPr>
          <w:rFonts w:ascii="Times New Roman" w:eastAsia="Times New Roman"/>
          <w:u w:val="single"/>
          <w:lang w:eastAsia="zh-CN"/>
        </w:rPr>
        <w:t xml:space="preserve"> </w:t>
      </w:r>
      <w:r>
        <w:rPr>
          <w:rFonts w:ascii="Times New Roman" w:eastAsia="Times New Roman"/>
          <w:u w:val="single"/>
          <w:lang w:eastAsia="zh-CN"/>
        </w:rPr>
        <w:tab/>
      </w:r>
      <w:r>
        <w:rPr>
          <w:lang w:eastAsia="zh-CN"/>
        </w:rPr>
        <w:t>年</w:t>
      </w:r>
      <w:r>
        <w:rPr>
          <w:u w:val="single"/>
          <w:lang w:eastAsia="zh-CN"/>
        </w:rPr>
        <w:t xml:space="preserve"> </w:t>
      </w:r>
      <w:r>
        <w:rPr>
          <w:u w:val="single"/>
          <w:lang w:eastAsia="zh-CN"/>
        </w:rPr>
        <w:tab/>
      </w:r>
      <w:r>
        <w:rPr>
          <w:lang w:eastAsia="zh-CN"/>
        </w:rPr>
        <w:t>月</w:t>
      </w:r>
      <w:r>
        <w:rPr>
          <w:u w:val="single"/>
          <w:lang w:eastAsia="zh-CN"/>
        </w:rPr>
        <w:t xml:space="preserve"> </w:t>
      </w:r>
      <w:r>
        <w:rPr>
          <w:u w:val="single"/>
          <w:lang w:eastAsia="zh-CN"/>
        </w:rPr>
        <w:tab/>
      </w:r>
      <w:r>
        <w:rPr>
          <w:lang w:eastAsia="zh-CN"/>
        </w:rPr>
        <w:t>日</w:t>
      </w:r>
    </w:p>
    <w:p w14:paraId="1B65BF51">
      <w:pPr>
        <w:pStyle w:val="4"/>
        <w:rPr>
          <w:lang w:eastAsia="zh-CN"/>
        </w:rPr>
        <w:sectPr>
          <w:pgSz w:w="11910" w:h="16840"/>
          <w:pgMar w:top="1440" w:right="1080" w:bottom="1440" w:left="1080" w:header="0" w:footer="909" w:gutter="0"/>
          <w:pgNumType w:fmt="decimal"/>
          <w:cols w:space="720" w:num="1"/>
          <w:docGrid w:linePitch="299" w:charSpace="0"/>
        </w:sectPr>
      </w:pPr>
    </w:p>
    <w:p w14:paraId="4AD577BE">
      <w:pPr>
        <w:spacing w:before="35"/>
        <w:ind w:left="530" w:right="532"/>
        <w:jc w:val="center"/>
        <w:rPr>
          <w:b/>
          <w:sz w:val="28"/>
          <w:lang w:eastAsia="zh-CN"/>
        </w:rPr>
      </w:pPr>
      <w:bookmarkStart w:id="64" w:name="二、法定代表人身份证明书"/>
      <w:bookmarkEnd w:id="64"/>
      <w:bookmarkStart w:id="65" w:name="三、授权委托书"/>
      <w:bookmarkEnd w:id="65"/>
      <w:r>
        <w:rPr>
          <w:b/>
          <w:sz w:val="28"/>
          <w:lang w:eastAsia="zh-CN"/>
        </w:rPr>
        <w:t>二、法定代表人身份证明书</w:t>
      </w:r>
    </w:p>
    <w:p w14:paraId="7EA69E18">
      <w:pPr>
        <w:pStyle w:val="6"/>
        <w:ind w:left="0"/>
        <w:rPr>
          <w:rFonts w:hint="eastAsia"/>
          <w:b/>
          <w:sz w:val="28"/>
          <w:lang w:eastAsia="zh-CN"/>
        </w:rPr>
      </w:pPr>
    </w:p>
    <w:p w14:paraId="3A3A50BD">
      <w:pPr>
        <w:pStyle w:val="6"/>
        <w:spacing w:before="3"/>
        <w:ind w:left="0"/>
        <w:rPr>
          <w:b/>
          <w:sz w:val="27"/>
          <w:lang w:eastAsia="zh-CN"/>
        </w:rPr>
      </w:pPr>
    </w:p>
    <w:p w14:paraId="54275481">
      <w:pPr>
        <w:pStyle w:val="6"/>
        <w:tabs>
          <w:tab w:val="left" w:pos="3319"/>
          <w:tab w:val="left" w:pos="3679"/>
          <w:tab w:val="left" w:pos="3919"/>
        </w:tabs>
        <w:spacing w:line="360" w:lineRule="auto"/>
        <w:ind w:left="0" w:firstLine="480" w:firstLineChars="200"/>
        <w:jc w:val="both"/>
        <w:rPr>
          <w:rFonts w:ascii="Times New Roman" w:eastAsia="Times New Roman"/>
          <w:u w:val="single"/>
          <w:lang w:eastAsia="zh-CN"/>
        </w:rPr>
      </w:pPr>
      <w:r>
        <w:rPr>
          <w:lang w:eastAsia="zh-CN"/>
        </w:rPr>
        <w:t>供应商名称：</w:t>
      </w:r>
      <w:r>
        <w:rPr>
          <w:rFonts w:ascii="Times New Roman" w:eastAsia="Times New Roman"/>
          <w:u w:val="single"/>
          <w:lang w:eastAsia="zh-CN"/>
        </w:rPr>
        <w:t xml:space="preserve"> </w:t>
      </w:r>
      <w:r>
        <w:rPr>
          <w:rFonts w:ascii="Times New Roman" w:eastAsia="Times New Roman"/>
          <w:u w:val="single"/>
          <w:lang w:eastAsia="zh-CN"/>
        </w:rPr>
        <w:tab/>
      </w:r>
      <w:r>
        <w:rPr>
          <w:rFonts w:ascii="Times New Roman" w:eastAsia="Times New Roman"/>
          <w:u w:val="single"/>
          <w:lang w:eastAsia="zh-CN"/>
        </w:rPr>
        <w:tab/>
      </w:r>
      <w:r>
        <w:rPr>
          <w:rFonts w:ascii="Times New Roman" w:eastAsia="Times New Roman"/>
          <w:u w:val="single"/>
          <w:lang w:eastAsia="zh-CN"/>
        </w:rPr>
        <w:tab/>
      </w:r>
      <w:r>
        <w:rPr>
          <w:rFonts w:ascii="Times New Roman" w:eastAsia="Times New Roman"/>
          <w:u w:val="single"/>
          <w:lang w:eastAsia="zh-CN"/>
        </w:rPr>
        <w:t xml:space="preserve"> </w:t>
      </w:r>
    </w:p>
    <w:p w14:paraId="560F5C4E">
      <w:pPr>
        <w:pStyle w:val="6"/>
        <w:tabs>
          <w:tab w:val="left" w:pos="3319"/>
          <w:tab w:val="left" w:pos="3679"/>
          <w:tab w:val="left" w:pos="3919"/>
        </w:tabs>
        <w:spacing w:line="360" w:lineRule="auto"/>
        <w:ind w:left="0" w:firstLine="480" w:firstLineChars="200"/>
        <w:jc w:val="both"/>
        <w:rPr>
          <w:lang w:eastAsia="zh-CN"/>
        </w:rPr>
      </w:pPr>
      <w:r>
        <w:rPr>
          <w:lang w:eastAsia="zh-CN"/>
        </w:rPr>
        <w:t>单位性质：</w:t>
      </w:r>
      <w:r>
        <w:rPr>
          <w:rFonts w:ascii="Times New Roman" w:eastAsia="Times New Roman"/>
          <w:u w:val="single"/>
          <w:lang w:eastAsia="zh-CN"/>
        </w:rPr>
        <w:t xml:space="preserve"> </w:t>
      </w:r>
      <w:r>
        <w:rPr>
          <w:rFonts w:ascii="Times New Roman" w:eastAsia="Times New Roman"/>
          <w:u w:val="single"/>
          <w:lang w:eastAsia="zh-CN"/>
        </w:rPr>
        <w:tab/>
      </w:r>
      <w:r>
        <w:rPr>
          <w:rFonts w:ascii="Times New Roman" w:eastAsia="Times New Roman"/>
          <w:u w:val="single"/>
          <w:lang w:eastAsia="zh-CN"/>
        </w:rPr>
        <w:tab/>
      </w:r>
      <w:r>
        <w:rPr>
          <w:lang w:eastAsia="zh-CN"/>
        </w:rPr>
        <w:t xml:space="preserve"> </w:t>
      </w:r>
    </w:p>
    <w:p w14:paraId="08FFAEB0">
      <w:pPr>
        <w:pStyle w:val="6"/>
        <w:tabs>
          <w:tab w:val="left" w:pos="3319"/>
          <w:tab w:val="left" w:pos="3679"/>
          <w:tab w:val="left" w:pos="3919"/>
        </w:tabs>
        <w:spacing w:line="360" w:lineRule="auto"/>
        <w:ind w:left="0" w:firstLine="480" w:firstLineChars="200"/>
        <w:jc w:val="both"/>
        <w:rPr>
          <w:rFonts w:ascii="Times New Roman" w:eastAsia="Times New Roman"/>
          <w:lang w:eastAsia="zh-CN"/>
        </w:rPr>
      </w:pPr>
      <w:r>
        <w:rPr>
          <w:lang w:eastAsia="zh-CN"/>
        </w:rPr>
        <w:t xml:space="preserve">地址： </w:t>
      </w:r>
      <w:r>
        <w:rPr>
          <w:rFonts w:ascii="Times New Roman" w:eastAsia="Times New Roman"/>
          <w:u w:val="single"/>
          <w:lang w:eastAsia="zh-CN"/>
        </w:rPr>
        <w:t xml:space="preserve"> </w:t>
      </w:r>
      <w:r>
        <w:rPr>
          <w:rFonts w:ascii="Times New Roman" w:eastAsia="Times New Roman"/>
          <w:u w:val="single"/>
          <w:lang w:eastAsia="zh-CN"/>
        </w:rPr>
        <w:tab/>
      </w:r>
    </w:p>
    <w:p w14:paraId="6BED9DBA">
      <w:pPr>
        <w:pStyle w:val="6"/>
        <w:tabs>
          <w:tab w:val="left" w:pos="3619"/>
          <w:tab w:val="left" w:pos="5299"/>
          <w:tab w:val="left" w:pos="5899"/>
          <w:tab w:val="left" w:pos="6979"/>
        </w:tabs>
        <w:spacing w:line="360" w:lineRule="auto"/>
        <w:ind w:left="0" w:firstLine="480" w:firstLineChars="200"/>
        <w:jc w:val="both"/>
        <w:rPr>
          <w:spacing w:val="-18"/>
          <w:lang w:eastAsia="zh-CN"/>
        </w:rPr>
      </w:pPr>
      <w:r>
        <w:rPr>
          <w:lang w:eastAsia="zh-CN"/>
        </w:rPr>
        <w:t>成立时间：</w:t>
      </w:r>
      <w:r>
        <w:rPr>
          <w:u w:val="single"/>
          <w:lang w:eastAsia="zh-CN"/>
        </w:rPr>
        <w:t xml:space="preserve"> </w:t>
      </w:r>
      <w:r>
        <w:rPr>
          <w:u w:val="single"/>
          <w:lang w:eastAsia="zh-CN"/>
        </w:rPr>
        <w:tab/>
      </w:r>
      <w:r>
        <w:rPr>
          <w:lang w:eastAsia="zh-CN"/>
        </w:rPr>
        <w:t>年</w:t>
      </w:r>
      <w:r>
        <w:rPr>
          <w:u w:val="single"/>
          <w:lang w:eastAsia="zh-CN"/>
        </w:rPr>
        <w:t xml:space="preserve"> </w:t>
      </w:r>
      <w:r>
        <w:rPr>
          <w:u w:val="single"/>
          <w:lang w:eastAsia="zh-CN"/>
        </w:rPr>
        <w:tab/>
      </w:r>
      <w:r>
        <w:rPr>
          <w:lang w:eastAsia="zh-CN"/>
        </w:rPr>
        <w:t>月</w:t>
      </w:r>
      <w:r>
        <w:rPr>
          <w:u w:val="single"/>
          <w:lang w:eastAsia="zh-CN"/>
        </w:rPr>
        <w:t xml:space="preserve"> </w:t>
      </w:r>
      <w:r>
        <w:rPr>
          <w:u w:val="single"/>
          <w:lang w:eastAsia="zh-CN"/>
        </w:rPr>
        <w:tab/>
      </w:r>
      <w:r>
        <w:rPr>
          <w:u w:val="single"/>
          <w:lang w:eastAsia="zh-CN"/>
        </w:rPr>
        <w:tab/>
      </w:r>
      <w:r>
        <w:rPr>
          <w:spacing w:val="-18"/>
          <w:lang w:eastAsia="zh-CN"/>
        </w:rPr>
        <w:t>日</w:t>
      </w:r>
    </w:p>
    <w:p w14:paraId="6F7EF545">
      <w:pPr>
        <w:pStyle w:val="6"/>
        <w:tabs>
          <w:tab w:val="left" w:pos="3619"/>
          <w:tab w:val="left" w:pos="5299"/>
          <w:tab w:val="left" w:pos="5899"/>
          <w:tab w:val="left" w:pos="6979"/>
        </w:tabs>
        <w:spacing w:line="360" w:lineRule="auto"/>
        <w:ind w:left="0" w:firstLine="480" w:firstLineChars="200"/>
        <w:jc w:val="both"/>
        <w:rPr>
          <w:lang w:eastAsia="zh-CN"/>
        </w:rPr>
      </w:pPr>
      <w:r>
        <w:rPr>
          <w:lang w:eastAsia="zh-CN"/>
        </w:rPr>
        <w:t>经营期限</w:t>
      </w:r>
      <w:r>
        <w:rPr>
          <w:u w:val="single"/>
          <w:lang w:eastAsia="zh-CN"/>
        </w:rPr>
        <w:t>：</w:t>
      </w:r>
      <w:r>
        <w:rPr>
          <w:u w:val="single"/>
          <w:lang w:eastAsia="zh-CN"/>
        </w:rPr>
        <w:tab/>
      </w:r>
      <w:r>
        <w:rPr>
          <w:u w:val="single"/>
          <w:lang w:eastAsia="zh-CN"/>
        </w:rPr>
        <w:tab/>
      </w:r>
      <w:r>
        <w:rPr>
          <w:u w:val="single"/>
          <w:lang w:eastAsia="zh-CN"/>
        </w:rPr>
        <w:tab/>
      </w:r>
    </w:p>
    <w:p w14:paraId="73462AF0">
      <w:pPr>
        <w:pStyle w:val="6"/>
        <w:tabs>
          <w:tab w:val="left" w:pos="2659"/>
          <w:tab w:val="left" w:pos="3139"/>
          <w:tab w:val="left" w:pos="5299"/>
          <w:tab w:val="left" w:pos="7459"/>
          <w:tab w:val="left" w:pos="9345"/>
        </w:tabs>
        <w:spacing w:line="360" w:lineRule="auto"/>
        <w:ind w:left="0" w:firstLine="480" w:firstLineChars="200"/>
        <w:jc w:val="both"/>
        <w:rPr>
          <w:rFonts w:ascii="Times New Roman" w:eastAsia="Times New Roman"/>
          <w:u w:val="single"/>
          <w:lang w:eastAsia="zh-CN"/>
        </w:rPr>
      </w:pPr>
      <w:r>
        <w:rPr>
          <w:lang w:eastAsia="zh-CN"/>
        </w:rPr>
        <w:t>姓名：</w:t>
      </w:r>
      <w:r>
        <w:rPr>
          <w:u w:val="single"/>
          <w:lang w:eastAsia="zh-CN"/>
        </w:rPr>
        <w:t xml:space="preserve"> </w:t>
      </w:r>
      <w:r>
        <w:rPr>
          <w:u w:val="single"/>
          <w:lang w:eastAsia="zh-CN"/>
        </w:rPr>
        <w:tab/>
      </w:r>
      <w:r>
        <w:rPr>
          <w:u w:val="single"/>
          <w:lang w:eastAsia="zh-CN"/>
        </w:rPr>
        <w:tab/>
      </w:r>
      <w:r>
        <w:rPr>
          <w:lang w:eastAsia="zh-CN"/>
        </w:rPr>
        <w:t>性别：</w:t>
      </w:r>
      <w:r>
        <w:rPr>
          <w:u w:val="single"/>
          <w:lang w:eastAsia="zh-CN"/>
        </w:rPr>
        <w:t xml:space="preserve"> </w:t>
      </w:r>
      <w:r>
        <w:rPr>
          <w:u w:val="single"/>
          <w:lang w:eastAsia="zh-CN"/>
        </w:rPr>
        <w:tab/>
      </w:r>
      <w:r>
        <w:rPr>
          <w:lang w:eastAsia="zh-CN"/>
        </w:rPr>
        <w:t>年龄：</w:t>
      </w:r>
      <w:r>
        <w:rPr>
          <w:u w:val="single"/>
          <w:lang w:eastAsia="zh-CN"/>
        </w:rPr>
        <w:t xml:space="preserve"> </w:t>
      </w:r>
      <w:r>
        <w:rPr>
          <w:u w:val="single"/>
          <w:lang w:eastAsia="zh-CN"/>
        </w:rPr>
        <w:tab/>
      </w:r>
      <w:r>
        <w:rPr>
          <w:lang w:eastAsia="zh-CN"/>
        </w:rPr>
        <w:t>职务：</w:t>
      </w:r>
      <w:r>
        <w:rPr>
          <w:rFonts w:ascii="Times New Roman" w:eastAsia="Times New Roman"/>
          <w:u w:val="single"/>
          <w:lang w:eastAsia="zh-CN"/>
        </w:rPr>
        <w:t xml:space="preserve"> </w:t>
      </w:r>
      <w:r>
        <w:rPr>
          <w:rFonts w:ascii="Times New Roman" w:eastAsia="Times New Roman"/>
          <w:u w:val="single"/>
          <w:lang w:eastAsia="zh-CN"/>
        </w:rPr>
        <w:tab/>
      </w:r>
      <w:r>
        <w:rPr>
          <w:rFonts w:ascii="Times New Roman" w:eastAsia="Times New Roman"/>
          <w:u w:val="single"/>
          <w:lang w:eastAsia="zh-CN"/>
        </w:rPr>
        <w:t xml:space="preserve"> </w:t>
      </w:r>
    </w:p>
    <w:p w14:paraId="7C42E455">
      <w:pPr>
        <w:pStyle w:val="6"/>
        <w:tabs>
          <w:tab w:val="left" w:pos="2659"/>
          <w:tab w:val="left" w:pos="3139"/>
          <w:tab w:val="left" w:pos="5299"/>
          <w:tab w:val="left" w:pos="7459"/>
          <w:tab w:val="left" w:pos="9345"/>
        </w:tabs>
        <w:spacing w:line="360" w:lineRule="auto"/>
        <w:ind w:left="0" w:firstLine="480" w:firstLineChars="200"/>
        <w:jc w:val="both"/>
        <w:rPr>
          <w:lang w:eastAsia="zh-CN"/>
        </w:rPr>
      </w:pPr>
      <w:r>
        <w:rPr>
          <w:lang w:eastAsia="zh-CN"/>
        </w:rPr>
        <w:t>系</w:t>
      </w:r>
      <w:r>
        <w:rPr>
          <w:u w:val="single"/>
          <w:lang w:eastAsia="zh-CN"/>
        </w:rPr>
        <w:t xml:space="preserve"> </w:t>
      </w:r>
      <w:r>
        <w:rPr>
          <w:u w:val="single"/>
          <w:lang w:eastAsia="zh-CN"/>
        </w:rPr>
        <w:tab/>
      </w:r>
      <w:r>
        <w:rPr>
          <w:lang w:eastAsia="zh-CN"/>
        </w:rPr>
        <w:t>（供应商名称）的法定代表人。</w:t>
      </w:r>
    </w:p>
    <w:p w14:paraId="14CA7ADA">
      <w:pPr>
        <w:pStyle w:val="6"/>
        <w:spacing w:line="360" w:lineRule="auto"/>
        <w:ind w:left="0" w:firstLine="480" w:firstLineChars="200"/>
        <w:jc w:val="both"/>
        <w:rPr>
          <w:lang w:eastAsia="zh-CN"/>
        </w:rPr>
      </w:pPr>
      <w:r>
        <w:rPr>
          <w:lang w:eastAsia="zh-CN"/>
        </w:rPr>
        <w:t>特此证明。</w:t>
      </w:r>
    </w:p>
    <w:p w14:paraId="1E1F89B4">
      <w:pPr>
        <w:pStyle w:val="6"/>
        <w:spacing w:line="360" w:lineRule="auto"/>
        <w:ind w:left="0" w:firstLine="620" w:firstLineChars="200"/>
        <w:jc w:val="both"/>
        <w:rPr>
          <w:sz w:val="31"/>
          <w:lang w:eastAsia="zh-CN"/>
        </w:rPr>
      </w:pPr>
    </w:p>
    <w:p w14:paraId="2D8EF0F7">
      <w:pPr>
        <w:tabs>
          <w:tab w:val="left" w:pos="3859"/>
        </w:tabs>
        <w:spacing w:line="360" w:lineRule="auto"/>
        <w:ind w:firstLine="482" w:firstLineChars="200"/>
        <w:jc w:val="both"/>
        <w:rPr>
          <w:b/>
          <w:spacing w:val="-15"/>
          <w:sz w:val="24"/>
          <w:lang w:eastAsia="zh-CN"/>
        </w:rPr>
      </w:pPr>
      <w:r>
        <w:rPr>
          <w:b/>
          <w:sz w:val="24"/>
          <w:lang w:eastAsia="zh-CN"/>
        </w:rPr>
        <w:t>（后附法定代表人身份证正反面扫描件</w:t>
      </w:r>
      <w:r>
        <w:rPr>
          <w:b/>
          <w:spacing w:val="-15"/>
          <w:sz w:val="24"/>
          <w:lang w:eastAsia="zh-CN"/>
        </w:rPr>
        <w:t>）</w:t>
      </w:r>
    </w:p>
    <w:p w14:paraId="6EE0F0CD">
      <w:pPr>
        <w:tabs>
          <w:tab w:val="left" w:pos="3859"/>
        </w:tabs>
        <w:spacing w:line="480" w:lineRule="auto"/>
        <w:ind w:firstLine="422" w:firstLineChars="200"/>
        <w:jc w:val="both"/>
        <w:rPr>
          <w:b/>
          <w:spacing w:val="-15"/>
          <w:sz w:val="24"/>
          <w:lang w:eastAsia="zh-CN"/>
        </w:rPr>
      </w:pPr>
    </w:p>
    <w:p w14:paraId="080AEDAF">
      <w:pPr>
        <w:tabs>
          <w:tab w:val="left" w:pos="3859"/>
        </w:tabs>
        <w:spacing w:line="480" w:lineRule="auto"/>
        <w:ind w:firstLine="422" w:firstLineChars="200"/>
        <w:jc w:val="both"/>
        <w:rPr>
          <w:b/>
          <w:spacing w:val="-15"/>
          <w:sz w:val="24"/>
          <w:lang w:eastAsia="zh-CN"/>
        </w:rPr>
      </w:pPr>
    </w:p>
    <w:p w14:paraId="2BBEFCB0">
      <w:pPr>
        <w:tabs>
          <w:tab w:val="left" w:pos="3859"/>
        </w:tabs>
        <w:spacing w:line="480" w:lineRule="auto"/>
        <w:ind w:firstLine="422" w:firstLineChars="200"/>
        <w:jc w:val="both"/>
        <w:rPr>
          <w:sz w:val="24"/>
          <w:lang w:eastAsia="zh-CN"/>
        </w:rPr>
      </w:pPr>
      <w:r>
        <w:rPr>
          <w:b/>
          <w:spacing w:val="-15"/>
          <w:sz w:val="24"/>
          <w:lang w:eastAsia="zh-CN"/>
        </w:rPr>
        <w:t xml:space="preserve"> </w:t>
      </w:r>
      <w:r>
        <w:rPr>
          <w:sz w:val="24"/>
          <w:lang w:eastAsia="zh-CN"/>
        </w:rPr>
        <w:t>供应商：</w:t>
      </w:r>
      <w:r>
        <w:rPr>
          <w:sz w:val="24"/>
          <w:u w:val="single"/>
          <w:lang w:eastAsia="zh-CN"/>
        </w:rPr>
        <w:t xml:space="preserve"> </w:t>
      </w:r>
      <w:r>
        <w:rPr>
          <w:sz w:val="24"/>
          <w:u w:val="single"/>
          <w:lang w:eastAsia="zh-CN"/>
        </w:rPr>
        <w:tab/>
      </w:r>
      <w:r>
        <w:rPr>
          <w:sz w:val="24"/>
          <w:lang w:eastAsia="zh-CN"/>
        </w:rPr>
        <w:t>（单位签章）</w:t>
      </w:r>
    </w:p>
    <w:p w14:paraId="156423A2">
      <w:pPr>
        <w:pStyle w:val="6"/>
        <w:tabs>
          <w:tab w:val="left" w:pos="3619"/>
          <w:tab w:val="left" w:pos="5359"/>
          <w:tab w:val="left" w:pos="7099"/>
        </w:tabs>
        <w:spacing w:line="480" w:lineRule="auto"/>
        <w:ind w:left="0" w:firstLine="480" w:firstLineChars="200"/>
        <w:jc w:val="both"/>
        <w:rPr>
          <w:lang w:eastAsia="zh-CN"/>
        </w:rPr>
      </w:pPr>
      <w:r>
        <w:rPr>
          <w:lang w:eastAsia="zh-CN"/>
        </w:rPr>
        <w:t>日</w:t>
      </w:r>
      <w:r>
        <w:rPr>
          <w:rFonts w:hint="eastAsia"/>
          <w:lang w:eastAsia="zh-CN"/>
        </w:rPr>
        <w:t xml:space="preserve"> </w:t>
      </w:r>
      <w:r>
        <w:rPr>
          <w:lang w:eastAsia="zh-CN"/>
        </w:rPr>
        <w:t>期：</w:t>
      </w:r>
      <w:r>
        <w:rPr>
          <w:u w:val="single"/>
          <w:lang w:eastAsia="zh-CN"/>
        </w:rPr>
        <w:t xml:space="preserve">        </w:t>
      </w:r>
      <w:r>
        <w:rPr>
          <w:lang w:eastAsia="zh-CN"/>
        </w:rPr>
        <w:t>年</w:t>
      </w:r>
      <w:r>
        <w:rPr>
          <w:u w:val="single"/>
          <w:lang w:eastAsia="zh-CN"/>
        </w:rPr>
        <w:t xml:space="preserve">        </w:t>
      </w:r>
      <w:r>
        <w:rPr>
          <w:lang w:eastAsia="zh-CN"/>
        </w:rPr>
        <w:t>月</w:t>
      </w:r>
      <w:r>
        <w:rPr>
          <w:u w:val="single"/>
          <w:lang w:eastAsia="zh-CN"/>
        </w:rPr>
        <w:t xml:space="preserve">        </w:t>
      </w:r>
      <w:r>
        <w:rPr>
          <w:lang w:eastAsia="zh-CN"/>
        </w:rPr>
        <w:t>日</w:t>
      </w:r>
    </w:p>
    <w:p w14:paraId="586EAB7A">
      <w:pPr>
        <w:spacing w:line="228" w:lineRule="exact"/>
        <w:rPr>
          <w:lang w:eastAsia="zh-CN"/>
        </w:rPr>
        <w:sectPr>
          <w:pgSz w:w="11910" w:h="16840"/>
          <w:pgMar w:top="1440" w:right="1080" w:bottom="1440" w:left="1080" w:header="0" w:footer="909" w:gutter="0"/>
          <w:pgNumType w:fmt="decimal"/>
          <w:cols w:space="720" w:num="1"/>
          <w:docGrid w:linePitch="299" w:charSpace="0"/>
        </w:sectPr>
      </w:pPr>
    </w:p>
    <w:p w14:paraId="7F02C5B8">
      <w:pPr>
        <w:spacing w:line="360" w:lineRule="auto"/>
        <w:ind w:firstLine="454" w:firstLineChars="200"/>
        <w:jc w:val="center"/>
        <w:rPr>
          <w:b/>
          <w:sz w:val="24"/>
          <w:szCs w:val="24"/>
          <w:lang w:eastAsia="zh-CN"/>
        </w:rPr>
      </w:pPr>
      <w:bookmarkStart w:id="66" w:name="四、项目实施方案"/>
      <w:bookmarkEnd w:id="66"/>
      <w:r>
        <w:rPr>
          <w:b/>
          <w:spacing w:val="-1"/>
          <w:w w:val="95"/>
          <w:sz w:val="24"/>
          <w:szCs w:val="24"/>
          <w:lang w:eastAsia="zh-CN"/>
        </w:rPr>
        <w:t>三、授权委托书</w:t>
      </w:r>
    </w:p>
    <w:p w14:paraId="3E24D6B5">
      <w:pPr>
        <w:pStyle w:val="6"/>
        <w:spacing w:line="360" w:lineRule="auto"/>
        <w:ind w:left="0" w:firstLine="482" w:firstLineChars="200"/>
        <w:rPr>
          <w:b/>
          <w:lang w:eastAsia="zh-CN"/>
        </w:rPr>
      </w:pPr>
    </w:p>
    <w:p w14:paraId="04473E7F">
      <w:pPr>
        <w:pStyle w:val="6"/>
        <w:tabs>
          <w:tab w:val="left" w:pos="2640"/>
          <w:tab w:val="left" w:pos="2880"/>
          <w:tab w:val="left" w:pos="5484"/>
          <w:tab w:val="left" w:pos="6335"/>
        </w:tabs>
        <w:spacing w:line="360" w:lineRule="auto"/>
        <w:ind w:left="0" w:firstLine="480" w:firstLineChars="200"/>
        <w:jc w:val="both"/>
        <w:rPr>
          <w:lang w:eastAsia="zh-CN"/>
        </w:rPr>
      </w:pPr>
      <w:r>
        <w:rPr>
          <w:lang w:eastAsia="zh-CN"/>
        </w:rPr>
        <w:t>本人</w:t>
      </w:r>
      <w:r>
        <w:rPr>
          <w:u w:val="single"/>
          <w:lang w:eastAsia="zh-CN"/>
        </w:rPr>
        <w:t xml:space="preserve"> </w:t>
      </w:r>
      <w:r>
        <w:rPr>
          <w:u w:val="single"/>
          <w:lang w:eastAsia="zh-CN"/>
        </w:rPr>
        <w:tab/>
      </w:r>
      <w:r>
        <w:rPr>
          <w:u w:val="single"/>
          <w:lang w:eastAsia="zh-CN"/>
        </w:rPr>
        <w:tab/>
      </w:r>
      <w:r>
        <w:rPr>
          <w:lang w:eastAsia="zh-CN"/>
        </w:rPr>
        <w:t>（姓名</w:t>
      </w:r>
      <w:r>
        <w:rPr>
          <w:spacing w:val="-20"/>
          <w:lang w:eastAsia="zh-CN"/>
        </w:rPr>
        <w:t>）</w:t>
      </w:r>
      <w:r>
        <w:rPr>
          <w:lang w:eastAsia="zh-CN"/>
        </w:rPr>
        <w:t>系</w:t>
      </w:r>
      <w:r>
        <w:rPr>
          <w:u w:val="single"/>
          <w:lang w:eastAsia="zh-CN"/>
        </w:rPr>
        <w:t xml:space="preserve"> </w:t>
      </w:r>
      <w:r>
        <w:rPr>
          <w:u w:val="single"/>
          <w:lang w:eastAsia="zh-CN"/>
        </w:rPr>
        <w:tab/>
      </w:r>
      <w:r>
        <w:rPr>
          <w:spacing w:val="-3"/>
          <w:lang w:eastAsia="zh-CN"/>
        </w:rPr>
        <w:t>（</w:t>
      </w:r>
      <w:r>
        <w:rPr>
          <w:lang w:eastAsia="zh-CN"/>
        </w:rPr>
        <w:t>供应商名称</w:t>
      </w:r>
      <w:r>
        <w:rPr>
          <w:spacing w:val="-20"/>
          <w:lang w:eastAsia="zh-CN"/>
        </w:rPr>
        <w:t>）</w:t>
      </w:r>
      <w:r>
        <w:rPr>
          <w:lang w:eastAsia="zh-CN"/>
        </w:rPr>
        <w:t>的法定代表人</w:t>
      </w:r>
      <w:r>
        <w:rPr>
          <w:spacing w:val="-17"/>
          <w:lang w:eastAsia="zh-CN"/>
        </w:rPr>
        <w:t>，</w:t>
      </w:r>
      <w:r>
        <w:rPr>
          <w:lang w:eastAsia="zh-CN"/>
        </w:rPr>
        <w:t>现</w:t>
      </w:r>
      <w:r>
        <w:rPr>
          <w:spacing w:val="-15"/>
          <w:lang w:eastAsia="zh-CN"/>
        </w:rPr>
        <w:t>委</w:t>
      </w:r>
      <w:r>
        <w:rPr>
          <w:lang w:eastAsia="zh-CN"/>
        </w:rPr>
        <w:t>托</w:t>
      </w:r>
      <w:r>
        <w:rPr>
          <w:u w:val="single"/>
          <w:lang w:eastAsia="zh-CN"/>
        </w:rPr>
        <w:t xml:space="preserve"> </w:t>
      </w:r>
      <w:r>
        <w:rPr>
          <w:u w:val="single"/>
          <w:lang w:eastAsia="zh-CN"/>
        </w:rPr>
        <w:tab/>
      </w:r>
      <w:r>
        <w:rPr>
          <w:lang w:eastAsia="zh-CN"/>
        </w:rPr>
        <w:t>（姓名</w:t>
      </w:r>
      <w:r>
        <w:rPr>
          <w:spacing w:val="-20"/>
          <w:lang w:eastAsia="zh-CN"/>
        </w:rPr>
        <w:t>）</w:t>
      </w:r>
      <w:r>
        <w:rPr>
          <w:lang w:eastAsia="zh-CN"/>
        </w:rPr>
        <w:t>为我方代理人</w:t>
      </w:r>
      <w:r>
        <w:rPr>
          <w:spacing w:val="-20"/>
          <w:lang w:eastAsia="zh-CN"/>
        </w:rPr>
        <w:t>。</w:t>
      </w:r>
      <w:r>
        <w:rPr>
          <w:lang w:eastAsia="zh-CN"/>
        </w:rPr>
        <w:t>代理人根据授权</w:t>
      </w:r>
      <w:r>
        <w:rPr>
          <w:spacing w:val="-20"/>
          <w:lang w:eastAsia="zh-CN"/>
        </w:rPr>
        <w:t>，</w:t>
      </w:r>
      <w:r>
        <w:rPr>
          <w:lang w:eastAsia="zh-CN"/>
        </w:rPr>
        <w:t>以我方名义签署</w:t>
      </w:r>
      <w:r>
        <w:rPr>
          <w:spacing w:val="-17"/>
          <w:lang w:eastAsia="zh-CN"/>
        </w:rPr>
        <w:t>、</w:t>
      </w:r>
      <w:r>
        <w:rPr>
          <w:spacing w:val="-14"/>
          <w:lang w:eastAsia="zh-CN"/>
        </w:rPr>
        <w:t>澄</w:t>
      </w:r>
      <w:r>
        <w:rPr>
          <w:lang w:eastAsia="zh-CN"/>
        </w:rPr>
        <w:t>清、说明、补正、递交、撤回、修改</w:t>
      </w:r>
      <w:r>
        <w:rPr>
          <w:u w:val="single"/>
          <w:lang w:eastAsia="zh-CN"/>
        </w:rPr>
        <w:t xml:space="preserve"> </w:t>
      </w:r>
      <w:r>
        <w:rPr>
          <w:u w:val="single"/>
          <w:lang w:eastAsia="zh-CN"/>
        </w:rPr>
        <w:tab/>
      </w:r>
      <w:r>
        <w:rPr>
          <w:u w:val="single"/>
          <w:lang w:eastAsia="zh-CN"/>
        </w:rPr>
        <w:tab/>
      </w:r>
      <w:r>
        <w:rPr>
          <w:lang w:eastAsia="zh-CN"/>
        </w:rPr>
        <w:t>（项目名称）响应文件、</w:t>
      </w:r>
      <w:r>
        <w:rPr>
          <w:spacing w:val="-13"/>
          <w:lang w:eastAsia="zh-CN"/>
        </w:rPr>
        <w:t>签</w:t>
      </w:r>
      <w:r>
        <w:rPr>
          <w:lang w:eastAsia="zh-CN"/>
        </w:rPr>
        <w:t>订合同和处理有关事宜，其法律后果由我方承担。</w:t>
      </w:r>
    </w:p>
    <w:p w14:paraId="09E40C0E">
      <w:pPr>
        <w:pStyle w:val="6"/>
        <w:spacing w:line="360" w:lineRule="auto"/>
        <w:ind w:left="0" w:firstLine="480" w:firstLineChars="200"/>
        <w:rPr>
          <w:lang w:eastAsia="zh-CN"/>
        </w:rPr>
      </w:pPr>
    </w:p>
    <w:p w14:paraId="49E82319">
      <w:pPr>
        <w:pStyle w:val="6"/>
        <w:tabs>
          <w:tab w:val="left" w:pos="4459"/>
        </w:tabs>
        <w:spacing w:line="360" w:lineRule="auto"/>
        <w:ind w:left="0" w:firstLine="480" w:firstLineChars="200"/>
        <w:rPr>
          <w:spacing w:val="-18"/>
          <w:lang w:eastAsia="zh-CN"/>
        </w:rPr>
      </w:pPr>
      <w:r>
        <w:rPr>
          <w:lang w:eastAsia="zh-CN"/>
        </w:rPr>
        <w:t>委托期限</w:t>
      </w:r>
      <w:r>
        <w:rPr>
          <w:u w:val="single"/>
          <w:lang w:eastAsia="zh-CN"/>
        </w:rPr>
        <w:t>：</w:t>
      </w:r>
      <w:r>
        <w:rPr>
          <w:u w:val="single"/>
          <w:lang w:eastAsia="zh-CN"/>
        </w:rPr>
        <w:tab/>
      </w:r>
      <w:r>
        <w:rPr>
          <w:spacing w:val="-18"/>
          <w:lang w:eastAsia="zh-CN"/>
        </w:rPr>
        <w:t>。</w:t>
      </w:r>
    </w:p>
    <w:p w14:paraId="6B9727E4">
      <w:pPr>
        <w:pStyle w:val="6"/>
        <w:tabs>
          <w:tab w:val="left" w:pos="4459"/>
        </w:tabs>
        <w:spacing w:line="360" w:lineRule="auto"/>
        <w:ind w:left="0" w:firstLine="480" w:firstLineChars="200"/>
        <w:rPr>
          <w:lang w:eastAsia="zh-CN"/>
        </w:rPr>
      </w:pPr>
      <w:r>
        <w:rPr>
          <w:lang w:eastAsia="zh-CN"/>
        </w:rPr>
        <w:t>代理人无转委托权。</w:t>
      </w:r>
    </w:p>
    <w:p w14:paraId="1FA94F38">
      <w:pPr>
        <w:pStyle w:val="6"/>
        <w:spacing w:line="360" w:lineRule="auto"/>
        <w:ind w:left="0" w:firstLine="480" w:firstLineChars="200"/>
        <w:rPr>
          <w:lang w:eastAsia="zh-CN"/>
        </w:rPr>
      </w:pPr>
    </w:p>
    <w:p w14:paraId="08D6DDE5">
      <w:pPr>
        <w:pStyle w:val="5"/>
        <w:spacing w:line="360" w:lineRule="auto"/>
        <w:ind w:left="0" w:firstLine="482" w:firstLineChars="200"/>
        <w:jc w:val="center"/>
        <w:rPr>
          <w:lang w:eastAsia="zh-CN"/>
        </w:rPr>
      </w:pPr>
      <w:r>
        <w:rPr>
          <w:lang w:eastAsia="zh-CN"/>
        </w:rPr>
        <w:t>（后附委托代理人身份证正反面扫描件）</w:t>
      </w:r>
    </w:p>
    <w:p w14:paraId="0ABE1E78">
      <w:pPr>
        <w:pStyle w:val="6"/>
        <w:ind w:left="0"/>
        <w:rPr>
          <w:b/>
          <w:lang w:eastAsia="zh-CN"/>
        </w:rPr>
      </w:pPr>
    </w:p>
    <w:p w14:paraId="1D985853">
      <w:pPr>
        <w:pStyle w:val="6"/>
        <w:ind w:left="0"/>
        <w:rPr>
          <w:b/>
          <w:lang w:eastAsia="zh-CN"/>
        </w:rPr>
      </w:pPr>
    </w:p>
    <w:p w14:paraId="1CECE008">
      <w:pPr>
        <w:pStyle w:val="6"/>
        <w:tabs>
          <w:tab w:val="left" w:pos="3859"/>
        </w:tabs>
        <w:spacing w:line="360" w:lineRule="auto"/>
        <w:ind w:left="0" w:firstLine="480" w:firstLineChars="200"/>
        <w:rPr>
          <w:lang w:eastAsia="zh-CN"/>
        </w:rPr>
      </w:pPr>
      <w:r>
        <w:rPr>
          <w:lang w:eastAsia="zh-CN"/>
        </w:rPr>
        <w:t>供应商：</w:t>
      </w:r>
      <w:r>
        <w:rPr>
          <w:u w:val="single"/>
          <w:lang w:eastAsia="zh-CN"/>
        </w:rPr>
        <w:t xml:space="preserve"> </w:t>
      </w:r>
      <w:r>
        <w:rPr>
          <w:u w:val="single"/>
          <w:lang w:eastAsia="zh-CN"/>
        </w:rPr>
        <w:tab/>
      </w:r>
      <w:r>
        <w:rPr>
          <w:lang w:eastAsia="zh-CN"/>
        </w:rPr>
        <w:t>（单位签章）</w:t>
      </w:r>
    </w:p>
    <w:p w14:paraId="0F2E3EDA">
      <w:pPr>
        <w:pStyle w:val="6"/>
        <w:tabs>
          <w:tab w:val="left" w:pos="4339"/>
          <w:tab w:val="left" w:pos="4399"/>
        </w:tabs>
        <w:spacing w:line="360" w:lineRule="auto"/>
        <w:ind w:left="0" w:firstLine="480" w:firstLineChars="200"/>
        <w:rPr>
          <w:spacing w:val="-18"/>
          <w:lang w:eastAsia="zh-CN"/>
        </w:rPr>
      </w:pPr>
      <w:r>
        <w:rPr>
          <w:lang w:eastAsia="zh-CN"/>
        </w:rPr>
        <w:t>法定代表人：</w:t>
      </w:r>
      <w:r>
        <w:rPr>
          <w:u w:val="single"/>
          <w:lang w:eastAsia="zh-CN"/>
        </w:rPr>
        <w:t xml:space="preserve"> </w:t>
      </w:r>
      <w:r>
        <w:rPr>
          <w:u w:val="single"/>
          <w:lang w:eastAsia="zh-CN"/>
        </w:rPr>
        <w:tab/>
      </w:r>
      <w:r>
        <w:rPr>
          <w:lang w:eastAsia="zh-CN"/>
        </w:rPr>
        <w:t>（电子签章</w:t>
      </w:r>
      <w:r>
        <w:rPr>
          <w:spacing w:val="-18"/>
          <w:lang w:eastAsia="zh-CN"/>
        </w:rPr>
        <w:t>）</w:t>
      </w:r>
    </w:p>
    <w:p w14:paraId="5D2011E2">
      <w:pPr>
        <w:pStyle w:val="6"/>
        <w:tabs>
          <w:tab w:val="left" w:pos="4339"/>
          <w:tab w:val="left" w:pos="4399"/>
        </w:tabs>
        <w:spacing w:line="360" w:lineRule="auto"/>
        <w:ind w:left="0" w:firstLine="480" w:firstLineChars="200"/>
        <w:rPr>
          <w:rFonts w:ascii="Times New Roman" w:eastAsia="Times New Roman"/>
          <w:lang w:eastAsia="zh-CN"/>
        </w:rPr>
      </w:pPr>
      <w:r>
        <w:rPr>
          <w:lang w:eastAsia="zh-CN"/>
        </w:rPr>
        <w:t>身份证号码：</w:t>
      </w:r>
      <w:r>
        <w:rPr>
          <w:rFonts w:ascii="Times New Roman" w:eastAsia="Times New Roman"/>
          <w:u w:val="single"/>
          <w:lang w:eastAsia="zh-CN"/>
        </w:rPr>
        <w:t xml:space="preserve"> </w:t>
      </w:r>
      <w:r>
        <w:rPr>
          <w:rFonts w:ascii="Times New Roman" w:eastAsia="Times New Roman"/>
          <w:u w:val="single"/>
          <w:lang w:eastAsia="zh-CN"/>
        </w:rPr>
        <w:tab/>
      </w:r>
      <w:r>
        <w:rPr>
          <w:rFonts w:ascii="Times New Roman" w:eastAsia="Times New Roman"/>
          <w:u w:val="single"/>
          <w:lang w:eastAsia="zh-CN"/>
        </w:rPr>
        <w:tab/>
      </w:r>
    </w:p>
    <w:p w14:paraId="41D6AE51">
      <w:pPr>
        <w:pStyle w:val="6"/>
        <w:tabs>
          <w:tab w:val="left" w:pos="4339"/>
          <w:tab w:val="left" w:pos="4399"/>
        </w:tabs>
        <w:spacing w:line="360" w:lineRule="auto"/>
        <w:ind w:left="0" w:firstLine="480" w:firstLineChars="200"/>
        <w:rPr>
          <w:color w:val="auto"/>
          <w:spacing w:val="-18"/>
          <w:lang w:eastAsia="zh-CN"/>
        </w:rPr>
      </w:pPr>
      <w:r>
        <w:rPr>
          <w:color w:val="auto"/>
          <w:lang w:eastAsia="zh-CN"/>
        </w:rPr>
        <w:t>委托代理人：</w:t>
      </w:r>
      <w:r>
        <w:rPr>
          <w:color w:val="auto"/>
          <w:u w:val="single"/>
          <w:lang w:eastAsia="zh-CN"/>
        </w:rPr>
        <w:t xml:space="preserve"> </w:t>
      </w:r>
      <w:r>
        <w:rPr>
          <w:color w:val="auto"/>
          <w:u w:val="single"/>
          <w:lang w:eastAsia="zh-CN"/>
        </w:rPr>
        <w:tab/>
      </w:r>
      <w:r>
        <w:rPr>
          <w:color w:val="auto"/>
          <w:lang w:eastAsia="zh-CN"/>
        </w:rPr>
        <w:t>（电子签章</w:t>
      </w:r>
      <w:r>
        <w:rPr>
          <w:color w:val="auto"/>
          <w:spacing w:val="-18"/>
          <w:lang w:eastAsia="zh-CN"/>
        </w:rPr>
        <w:t>）</w:t>
      </w:r>
    </w:p>
    <w:p w14:paraId="534F3278">
      <w:pPr>
        <w:pStyle w:val="6"/>
        <w:tabs>
          <w:tab w:val="left" w:pos="4339"/>
          <w:tab w:val="left" w:pos="4399"/>
        </w:tabs>
        <w:spacing w:line="360" w:lineRule="auto"/>
        <w:ind w:left="0" w:firstLine="408" w:firstLineChars="200"/>
        <w:rPr>
          <w:rFonts w:ascii="Times New Roman" w:eastAsia="Times New Roman"/>
          <w:lang w:eastAsia="zh-CN"/>
        </w:rPr>
      </w:pPr>
      <w:r>
        <w:rPr>
          <w:spacing w:val="-18"/>
          <w:lang w:eastAsia="zh-CN"/>
        </w:rPr>
        <w:t xml:space="preserve"> </w:t>
      </w:r>
      <w:r>
        <w:rPr>
          <w:lang w:eastAsia="zh-CN"/>
        </w:rPr>
        <w:t>身份证号码：</w:t>
      </w:r>
      <w:r>
        <w:rPr>
          <w:rFonts w:ascii="Times New Roman" w:eastAsia="Times New Roman"/>
          <w:u w:val="single"/>
          <w:lang w:eastAsia="zh-CN"/>
        </w:rPr>
        <w:t xml:space="preserve"> </w:t>
      </w:r>
      <w:r>
        <w:rPr>
          <w:rFonts w:ascii="Times New Roman" w:eastAsia="Times New Roman"/>
          <w:u w:val="single"/>
          <w:lang w:eastAsia="zh-CN"/>
        </w:rPr>
        <w:tab/>
      </w:r>
      <w:r>
        <w:rPr>
          <w:rFonts w:ascii="Times New Roman" w:eastAsia="Times New Roman"/>
          <w:u w:val="single"/>
          <w:lang w:eastAsia="zh-CN"/>
        </w:rPr>
        <w:tab/>
      </w:r>
    </w:p>
    <w:p w14:paraId="31F3CA3E">
      <w:pPr>
        <w:pStyle w:val="6"/>
        <w:tabs>
          <w:tab w:val="left" w:pos="3619"/>
          <w:tab w:val="left" w:pos="5299"/>
          <w:tab w:val="left" w:pos="6979"/>
        </w:tabs>
        <w:spacing w:line="360" w:lineRule="auto"/>
        <w:ind w:left="0" w:firstLine="480" w:firstLineChars="200"/>
        <w:rPr>
          <w:lang w:eastAsia="zh-CN"/>
        </w:rPr>
      </w:pPr>
      <w:r>
        <w:rPr>
          <w:lang w:eastAsia="zh-CN"/>
        </w:rPr>
        <w:t>日期：</w:t>
      </w:r>
      <w:r>
        <w:rPr>
          <w:u w:val="single"/>
          <w:lang w:eastAsia="zh-CN"/>
        </w:rPr>
        <w:t xml:space="preserve">       </w:t>
      </w:r>
      <w:r>
        <w:rPr>
          <w:lang w:eastAsia="zh-CN"/>
        </w:rPr>
        <w:t>年</w:t>
      </w:r>
      <w:r>
        <w:rPr>
          <w:u w:val="single"/>
          <w:lang w:eastAsia="zh-CN"/>
        </w:rPr>
        <w:t xml:space="preserve">       </w:t>
      </w:r>
      <w:r>
        <w:rPr>
          <w:lang w:eastAsia="zh-CN"/>
        </w:rPr>
        <w:t>月</w:t>
      </w:r>
      <w:r>
        <w:rPr>
          <w:u w:val="single"/>
          <w:lang w:eastAsia="zh-CN"/>
        </w:rPr>
        <w:t xml:space="preserve">       </w:t>
      </w:r>
      <w:r>
        <w:rPr>
          <w:lang w:eastAsia="zh-CN"/>
        </w:rPr>
        <w:t>日</w:t>
      </w:r>
    </w:p>
    <w:p w14:paraId="49AA519B">
      <w:pPr>
        <w:spacing w:line="306" w:lineRule="exact"/>
        <w:rPr>
          <w:lang w:eastAsia="zh-CN"/>
        </w:rPr>
      </w:pPr>
    </w:p>
    <w:p w14:paraId="24863202">
      <w:pPr>
        <w:spacing w:before="35"/>
        <w:ind w:left="530" w:right="530"/>
        <w:jc w:val="left"/>
        <w:rPr>
          <w:rFonts w:hint="eastAsia" w:ascii="宋体" w:hAnsi="宋体" w:eastAsia="宋体" w:cs="宋体"/>
          <w:sz w:val="24"/>
          <w:szCs w:val="24"/>
          <w:lang w:val="en-US" w:eastAsia="zh-CN" w:bidi="ar-SA"/>
        </w:rPr>
      </w:pPr>
      <w:bookmarkStart w:id="67" w:name="五、优惠及服务承诺"/>
      <w:bookmarkEnd w:id="67"/>
    </w:p>
    <w:p w14:paraId="5E0978D3">
      <w:pPr>
        <w:spacing w:before="35"/>
        <w:ind w:left="530" w:right="530"/>
        <w:jc w:val="left"/>
        <w:rPr>
          <w:rFonts w:hint="eastAsia" w:ascii="宋体" w:hAnsi="宋体" w:eastAsia="宋体" w:cs="宋体"/>
          <w:sz w:val="24"/>
          <w:szCs w:val="24"/>
          <w:lang w:val="en-US" w:eastAsia="zh-CN" w:bidi="ar-SA"/>
        </w:rPr>
      </w:pPr>
    </w:p>
    <w:p w14:paraId="67403A10">
      <w:pPr>
        <w:spacing w:before="35"/>
        <w:ind w:left="530" w:right="530"/>
        <w:jc w:val="left"/>
        <w:rPr>
          <w:rFonts w:hint="eastAsia" w:ascii="宋体" w:hAnsi="宋体" w:eastAsia="宋体" w:cs="宋体"/>
          <w:sz w:val="24"/>
          <w:szCs w:val="24"/>
          <w:lang w:val="en-US" w:eastAsia="zh-CN" w:bidi="ar-SA"/>
        </w:rPr>
      </w:pPr>
    </w:p>
    <w:p w14:paraId="54061AB8">
      <w:pPr>
        <w:spacing w:before="35"/>
        <w:ind w:left="530" w:right="530"/>
        <w:jc w:val="center"/>
        <w:rPr>
          <w:rFonts w:hint="eastAsia" w:ascii="宋体" w:hAnsi="宋体" w:cs="宋体"/>
          <w:b/>
          <w:bCs/>
          <w:color w:val="0000FF"/>
          <w:kern w:val="0"/>
          <w:sz w:val="24"/>
        </w:rPr>
      </w:pPr>
    </w:p>
    <w:p w14:paraId="52F10FAC">
      <w:pPr>
        <w:spacing w:before="35"/>
        <w:ind w:left="530" w:right="530"/>
        <w:jc w:val="center"/>
        <w:rPr>
          <w:rFonts w:hint="eastAsia" w:ascii="宋体" w:hAnsi="宋体" w:cs="宋体"/>
          <w:b/>
          <w:bCs/>
          <w:kern w:val="0"/>
          <w:sz w:val="24"/>
        </w:rPr>
      </w:pPr>
    </w:p>
    <w:p w14:paraId="69B545D1">
      <w:pPr>
        <w:spacing w:before="35"/>
        <w:ind w:left="530" w:right="530"/>
        <w:jc w:val="center"/>
        <w:rPr>
          <w:rFonts w:hint="eastAsia" w:ascii="宋体" w:hAnsi="宋体" w:cs="宋体"/>
          <w:b/>
          <w:bCs/>
          <w:kern w:val="0"/>
          <w:sz w:val="24"/>
        </w:rPr>
      </w:pPr>
    </w:p>
    <w:p w14:paraId="5B6A1526">
      <w:pPr>
        <w:spacing w:before="35"/>
        <w:ind w:left="530" w:right="530"/>
        <w:jc w:val="center"/>
        <w:rPr>
          <w:rFonts w:hint="eastAsia" w:ascii="宋体" w:hAnsi="宋体" w:cs="宋体"/>
          <w:b/>
          <w:bCs/>
          <w:kern w:val="0"/>
          <w:sz w:val="24"/>
        </w:rPr>
      </w:pPr>
    </w:p>
    <w:p w14:paraId="5CAEC05E">
      <w:pPr>
        <w:spacing w:before="35"/>
        <w:ind w:left="530" w:right="530"/>
        <w:jc w:val="center"/>
        <w:rPr>
          <w:rFonts w:hint="eastAsia" w:ascii="宋体" w:hAnsi="宋体" w:cs="宋体"/>
          <w:b/>
          <w:bCs/>
          <w:kern w:val="0"/>
          <w:sz w:val="24"/>
        </w:rPr>
      </w:pPr>
    </w:p>
    <w:p w14:paraId="68D1A4D3">
      <w:pPr>
        <w:spacing w:before="35"/>
        <w:ind w:left="530" w:right="530"/>
        <w:jc w:val="center"/>
        <w:rPr>
          <w:rFonts w:hint="eastAsia" w:ascii="宋体" w:hAnsi="宋体" w:cs="宋体"/>
          <w:b/>
          <w:bCs/>
          <w:kern w:val="0"/>
          <w:sz w:val="24"/>
        </w:rPr>
      </w:pPr>
    </w:p>
    <w:p w14:paraId="5A0F8A5C">
      <w:pPr>
        <w:spacing w:before="35"/>
        <w:ind w:left="530" w:right="530"/>
        <w:jc w:val="center"/>
        <w:rPr>
          <w:rFonts w:hint="eastAsia" w:ascii="宋体" w:hAnsi="宋体" w:cs="宋体"/>
          <w:b/>
          <w:bCs/>
          <w:kern w:val="0"/>
          <w:sz w:val="24"/>
        </w:rPr>
      </w:pPr>
    </w:p>
    <w:p w14:paraId="0CF9C522">
      <w:pPr>
        <w:spacing w:before="35"/>
        <w:ind w:left="530" w:right="530"/>
        <w:jc w:val="center"/>
        <w:rPr>
          <w:rFonts w:hint="eastAsia" w:ascii="宋体" w:hAnsi="宋体" w:cs="宋体"/>
          <w:b/>
          <w:bCs/>
          <w:kern w:val="0"/>
          <w:sz w:val="24"/>
        </w:rPr>
      </w:pPr>
    </w:p>
    <w:p w14:paraId="339D0B54">
      <w:pPr>
        <w:spacing w:before="35"/>
        <w:ind w:left="530" w:right="530"/>
        <w:jc w:val="center"/>
        <w:rPr>
          <w:rFonts w:hint="eastAsia" w:ascii="宋体" w:hAnsi="宋体" w:cs="宋体"/>
          <w:b/>
          <w:bCs/>
          <w:kern w:val="0"/>
          <w:sz w:val="24"/>
        </w:rPr>
      </w:pPr>
    </w:p>
    <w:p w14:paraId="3126BDE0">
      <w:pPr>
        <w:spacing w:before="35"/>
        <w:ind w:left="530" w:right="530"/>
        <w:jc w:val="center"/>
        <w:rPr>
          <w:rFonts w:hint="eastAsia" w:ascii="宋体" w:hAnsi="宋体" w:cs="宋体"/>
          <w:b/>
          <w:bCs/>
          <w:kern w:val="0"/>
          <w:sz w:val="24"/>
        </w:rPr>
      </w:pPr>
    </w:p>
    <w:p w14:paraId="3B46A2AA">
      <w:pPr>
        <w:spacing w:before="35"/>
        <w:ind w:left="530" w:right="530"/>
        <w:jc w:val="center"/>
        <w:rPr>
          <w:rFonts w:hint="eastAsia" w:ascii="宋体" w:hAnsi="宋体" w:cs="宋体"/>
          <w:b/>
          <w:bCs/>
          <w:kern w:val="0"/>
          <w:sz w:val="24"/>
        </w:rPr>
      </w:pPr>
    </w:p>
    <w:p w14:paraId="16025EF6">
      <w:pPr>
        <w:spacing w:before="35"/>
        <w:ind w:left="530" w:right="530"/>
        <w:jc w:val="center"/>
        <w:rPr>
          <w:rFonts w:hint="eastAsia" w:ascii="宋体" w:hAnsi="宋体" w:cs="宋体"/>
          <w:b/>
          <w:bCs/>
          <w:kern w:val="0"/>
          <w:sz w:val="24"/>
        </w:rPr>
      </w:pPr>
    </w:p>
    <w:p w14:paraId="657B7B98">
      <w:pPr>
        <w:spacing w:before="35"/>
        <w:ind w:left="530" w:right="530"/>
        <w:jc w:val="center"/>
        <w:rPr>
          <w:b/>
          <w:sz w:val="28"/>
          <w:lang w:eastAsia="zh-CN"/>
        </w:rPr>
      </w:pPr>
      <w:r>
        <w:rPr>
          <w:b/>
          <w:sz w:val="28"/>
          <w:lang w:eastAsia="zh-CN"/>
        </w:rPr>
        <w:t>四、项目实施方案</w:t>
      </w:r>
    </w:p>
    <w:p w14:paraId="2854A1BB">
      <w:pPr>
        <w:jc w:val="center"/>
        <w:rPr>
          <w:sz w:val="28"/>
          <w:lang w:eastAsia="zh-CN"/>
        </w:rPr>
        <w:sectPr>
          <w:pgSz w:w="11910" w:h="16840"/>
          <w:pgMar w:top="1440" w:right="1080" w:bottom="1440" w:left="1080" w:header="0" w:footer="909" w:gutter="0"/>
          <w:pgNumType w:fmt="decimal"/>
          <w:cols w:space="720" w:num="1"/>
          <w:docGrid w:linePitch="299" w:charSpace="0"/>
        </w:sectPr>
      </w:pPr>
    </w:p>
    <w:p w14:paraId="20AA324F">
      <w:pPr>
        <w:spacing w:before="35"/>
        <w:ind w:left="530" w:right="531"/>
        <w:jc w:val="center"/>
        <w:rPr>
          <w:b/>
          <w:sz w:val="28"/>
          <w:lang w:eastAsia="zh-CN"/>
        </w:rPr>
      </w:pPr>
      <w:bookmarkStart w:id="68" w:name="六、资格审查资料"/>
      <w:bookmarkEnd w:id="68"/>
      <w:r>
        <w:rPr>
          <w:b/>
          <w:sz w:val="28"/>
          <w:lang w:eastAsia="zh-CN"/>
        </w:rPr>
        <w:t>五、优惠及服务承诺</w:t>
      </w:r>
    </w:p>
    <w:p w14:paraId="3A5927CB">
      <w:pPr>
        <w:jc w:val="center"/>
        <w:rPr>
          <w:sz w:val="28"/>
          <w:lang w:eastAsia="zh-CN"/>
        </w:rPr>
        <w:sectPr>
          <w:pgSz w:w="11910" w:h="16840"/>
          <w:pgMar w:top="1440" w:right="1080" w:bottom="1440" w:left="1080" w:header="0" w:footer="909" w:gutter="0"/>
          <w:pgNumType w:fmt="decimal"/>
          <w:cols w:space="720" w:num="1"/>
          <w:docGrid w:linePitch="299" w:charSpace="0"/>
        </w:sectPr>
      </w:pPr>
    </w:p>
    <w:p w14:paraId="75472792">
      <w:pPr>
        <w:spacing w:before="35"/>
        <w:ind w:left="530" w:right="530"/>
        <w:jc w:val="center"/>
        <w:rPr>
          <w:b/>
          <w:sz w:val="28"/>
          <w:lang w:eastAsia="zh-CN"/>
        </w:rPr>
      </w:pPr>
      <w:bookmarkStart w:id="69" w:name="（二）资格审查资料"/>
      <w:bookmarkEnd w:id="69"/>
      <w:r>
        <w:rPr>
          <w:b/>
          <w:sz w:val="28"/>
          <w:lang w:eastAsia="zh-CN"/>
        </w:rPr>
        <w:t>六、资格审查资料</w:t>
      </w:r>
    </w:p>
    <w:p w14:paraId="2128B03D">
      <w:pPr>
        <w:pStyle w:val="6"/>
        <w:spacing w:before="9"/>
        <w:ind w:left="0"/>
        <w:rPr>
          <w:b/>
          <w:sz w:val="20"/>
          <w:lang w:eastAsia="zh-CN"/>
        </w:rPr>
      </w:pPr>
    </w:p>
    <w:p w14:paraId="73C18D73">
      <w:pPr>
        <w:ind w:left="530" w:right="531"/>
        <w:jc w:val="center"/>
        <w:rPr>
          <w:b/>
          <w:sz w:val="28"/>
          <w:lang w:eastAsia="zh-CN"/>
        </w:rPr>
      </w:pPr>
      <w:bookmarkStart w:id="70" w:name="（一）供应商基本情况表"/>
      <w:bookmarkEnd w:id="70"/>
      <w:r>
        <w:rPr>
          <w:b/>
          <w:sz w:val="28"/>
          <w:lang w:eastAsia="zh-CN"/>
        </w:rPr>
        <w:t>（一）供应商基本情况表</w:t>
      </w:r>
    </w:p>
    <w:p w14:paraId="794F932D">
      <w:pPr>
        <w:pStyle w:val="6"/>
        <w:spacing w:before="4"/>
        <w:ind w:left="0"/>
        <w:rPr>
          <w:b/>
          <w:sz w:val="10"/>
          <w:lang w:eastAsia="zh-CN"/>
        </w:rPr>
      </w:pPr>
    </w:p>
    <w:tbl>
      <w:tblPr>
        <w:tblStyle w:val="2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33"/>
        <w:gridCol w:w="1027"/>
        <w:gridCol w:w="1066"/>
        <w:gridCol w:w="1344"/>
        <w:gridCol w:w="1116"/>
        <w:gridCol w:w="227"/>
        <w:gridCol w:w="1344"/>
        <w:gridCol w:w="319"/>
        <w:gridCol w:w="1024"/>
      </w:tblGrid>
      <w:tr w14:paraId="4D7F47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1933" w:type="dxa"/>
          </w:tcPr>
          <w:p w14:paraId="100576B3">
            <w:pPr>
              <w:pStyle w:val="29"/>
              <w:spacing w:before="111"/>
              <w:ind w:left="366"/>
              <w:rPr>
                <w:sz w:val="24"/>
              </w:rPr>
            </w:pPr>
            <w:r>
              <w:rPr>
                <w:sz w:val="24"/>
              </w:rPr>
              <w:t>供应商名称</w:t>
            </w:r>
          </w:p>
        </w:tc>
        <w:tc>
          <w:tcPr>
            <w:tcW w:w="7467" w:type="dxa"/>
            <w:gridSpan w:val="8"/>
          </w:tcPr>
          <w:p w14:paraId="791F8E9F">
            <w:pPr>
              <w:pStyle w:val="29"/>
              <w:rPr>
                <w:rFonts w:ascii="Times New Roman"/>
                <w:sz w:val="24"/>
              </w:rPr>
            </w:pPr>
          </w:p>
        </w:tc>
      </w:tr>
      <w:tr w14:paraId="09B8BC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1933" w:type="dxa"/>
          </w:tcPr>
          <w:p w14:paraId="03C171EC">
            <w:pPr>
              <w:pStyle w:val="29"/>
              <w:spacing w:before="189"/>
              <w:ind w:left="486"/>
              <w:rPr>
                <w:sz w:val="24"/>
              </w:rPr>
            </w:pPr>
            <w:r>
              <w:rPr>
                <w:sz w:val="24"/>
              </w:rPr>
              <w:t>注册地址</w:t>
            </w:r>
          </w:p>
        </w:tc>
        <w:tc>
          <w:tcPr>
            <w:tcW w:w="3437" w:type="dxa"/>
            <w:gridSpan w:val="3"/>
          </w:tcPr>
          <w:p w14:paraId="41B884D3">
            <w:pPr>
              <w:pStyle w:val="29"/>
              <w:rPr>
                <w:rFonts w:ascii="Times New Roman"/>
                <w:sz w:val="24"/>
              </w:rPr>
            </w:pPr>
          </w:p>
        </w:tc>
        <w:tc>
          <w:tcPr>
            <w:tcW w:w="1343" w:type="dxa"/>
            <w:gridSpan w:val="2"/>
          </w:tcPr>
          <w:p w14:paraId="3A8B4CA1">
            <w:pPr>
              <w:pStyle w:val="29"/>
              <w:spacing w:before="189"/>
              <w:ind w:left="108"/>
              <w:rPr>
                <w:sz w:val="24"/>
              </w:rPr>
            </w:pPr>
            <w:r>
              <w:rPr>
                <w:sz w:val="24"/>
              </w:rPr>
              <w:t>邮政编码</w:t>
            </w:r>
          </w:p>
        </w:tc>
        <w:tc>
          <w:tcPr>
            <w:tcW w:w="2687" w:type="dxa"/>
            <w:gridSpan w:val="3"/>
          </w:tcPr>
          <w:p w14:paraId="1F22A61D">
            <w:pPr>
              <w:pStyle w:val="29"/>
              <w:rPr>
                <w:rFonts w:ascii="Times New Roman"/>
                <w:sz w:val="24"/>
              </w:rPr>
            </w:pPr>
          </w:p>
        </w:tc>
      </w:tr>
      <w:tr w14:paraId="0A244B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3" w:hRule="atLeast"/>
        </w:trPr>
        <w:tc>
          <w:tcPr>
            <w:tcW w:w="1933" w:type="dxa"/>
            <w:vMerge w:val="restart"/>
          </w:tcPr>
          <w:p w14:paraId="6CD246B8">
            <w:pPr>
              <w:pStyle w:val="29"/>
              <w:rPr>
                <w:b/>
                <w:sz w:val="24"/>
              </w:rPr>
            </w:pPr>
          </w:p>
          <w:p w14:paraId="0D98F0B0">
            <w:pPr>
              <w:pStyle w:val="29"/>
              <w:spacing w:before="165"/>
              <w:ind w:left="486"/>
              <w:rPr>
                <w:sz w:val="24"/>
              </w:rPr>
            </w:pPr>
            <w:r>
              <w:rPr>
                <w:sz w:val="24"/>
              </w:rPr>
              <w:t>联系方式</w:t>
            </w:r>
          </w:p>
        </w:tc>
        <w:tc>
          <w:tcPr>
            <w:tcW w:w="1027" w:type="dxa"/>
          </w:tcPr>
          <w:p w14:paraId="2704F9D2">
            <w:pPr>
              <w:pStyle w:val="29"/>
              <w:spacing w:before="182"/>
              <w:ind w:left="106"/>
              <w:rPr>
                <w:sz w:val="24"/>
              </w:rPr>
            </w:pPr>
            <w:r>
              <w:rPr>
                <w:sz w:val="24"/>
              </w:rPr>
              <w:t>联系人</w:t>
            </w:r>
          </w:p>
        </w:tc>
        <w:tc>
          <w:tcPr>
            <w:tcW w:w="2410" w:type="dxa"/>
            <w:gridSpan w:val="2"/>
          </w:tcPr>
          <w:p w14:paraId="0D06663C">
            <w:pPr>
              <w:pStyle w:val="29"/>
              <w:rPr>
                <w:rFonts w:ascii="Times New Roman"/>
                <w:sz w:val="24"/>
              </w:rPr>
            </w:pPr>
          </w:p>
        </w:tc>
        <w:tc>
          <w:tcPr>
            <w:tcW w:w="1343" w:type="dxa"/>
            <w:gridSpan w:val="2"/>
          </w:tcPr>
          <w:p w14:paraId="77195022">
            <w:pPr>
              <w:pStyle w:val="29"/>
              <w:spacing w:before="182"/>
              <w:ind w:left="370"/>
              <w:rPr>
                <w:sz w:val="24"/>
              </w:rPr>
            </w:pPr>
            <w:r>
              <w:rPr>
                <w:sz w:val="24"/>
              </w:rPr>
              <w:t>电 话</w:t>
            </w:r>
          </w:p>
        </w:tc>
        <w:tc>
          <w:tcPr>
            <w:tcW w:w="2687" w:type="dxa"/>
            <w:gridSpan w:val="3"/>
          </w:tcPr>
          <w:p w14:paraId="2E3EE430">
            <w:pPr>
              <w:pStyle w:val="29"/>
              <w:rPr>
                <w:rFonts w:ascii="Times New Roman"/>
                <w:sz w:val="24"/>
              </w:rPr>
            </w:pPr>
          </w:p>
        </w:tc>
      </w:tr>
      <w:tr w14:paraId="45F108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1933" w:type="dxa"/>
            <w:vMerge w:val="continue"/>
            <w:tcBorders>
              <w:top w:val="nil"/>
            </w:tcBorders>
          </w:tcPr>
          <w:p w14:paraId="640D088C">
            <w:pPr>
              <w:rPr>
                <w:sz w:val="2"/>
                <w:szCs w:val="2"/>
              </w:rPr>
            </w:pPr>
          </w:p>
        </w:tc>
        <w:tc>
          <w:tcPr>
            <w:tcW w:w="1027" w:type="dxa"/>
          </w:tcPr>
          <w:p w14:paraId="5F402057">
            <w:pPr>
              <w:pStyle w:val="29"/>
              <w:tabs>
                <w:tab w:val="left" w:pos="586"/>
              </w:tabs>
              <w:spacing w:before="172"/>
              <w:ind w:left="106"/>
              <w:rPr>
                <w:sz w:val="24"/>
              </w:rPr>
            </w:pPr>
            <w:r>
              <w:rPr>
                <w:sz w:val="24"/>
              </w:rPr>
              <w:t>传</w:t>
            </w:r>
            <w:r>
              <w:rPr>
                <w:sz w:val="24"/>
              </w:rPr>
              <w:tab/>
            </w:r>
            <w:r>
              <w:rPr>
                <w:sz w:val="24"/>
              </w:rPr>
              <w:t>真</w:t>
            </w:r>
          </w:p>
        </w:tc>
        <w:tc>
          <w:tcPr>
            <w:tcW w:w="2410" w:type="dxa"/>
            <w:gridSpan w:val="2"/>
          </w:tcPr>
          <w:p w14:paraId="22C8C29A">
            <w:pPr>
              <w:pStyle w:val="29"/>
              <w:rPr>
                <w:rFonts w:ascii="Times New Roman"/>
                <w:sz w:val="24"/>
              </w:rPr>
            </w:pPr>
          </w:p>
        </w:tc>
        <w:tc>
          <w:tcPr>
            <w:tcW w:w="1343" w:type="dxa"/>
            <w:gridSpan w:val="2"/>
          </w:tcPr>
          <w:p w14:paraId="29AC78E1">
            <w:pPr>
              <w:pStyle w:val="29"/>
              <w:spacing w:before="172"/>
              <w:ind w:left="370"/>
              <w:rPr>
                <w:sz w:val="24"/>
              </w:rPr>
            </w:pPr>
            <w:r>
              <w:rPr>
                <w:sz w:val="24"/>
              </w:rPr>
              <w:t>网 址</w:t>
            </w:r>
          </w:p>
        </w:tc>
        <w:tc>
          <w:tcPr>
            <w:tcW w:w="2687" w:type="dxa"/>
            <w:gridSpan w:val="3"/>
          </w:tcPr>
          <w:p w14:paraId="30283DF4">
            <w:pPr>
              <w:pStyle w:val="29"/>
              <w:rPr>
                <w:rFonts w:ascii="Times New Roman"/>
                <w:sz w:val="24"/>
              </w:rPr>
            </w:pPr>
          </w:p>
        </w:tc>
      </w:tr>
      <w:tr w14:paraId="4B0B6E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933" w:type="dxa"/>
          </w:tcPr>
          <w:p w14:paraId="68169EFF">
            <w:pPr>
              <w:pStyle w:val="29"/>
              <w:spacing w:before="171"/>
              <w:ind w:left="486"/>
              <w:rPr>
                <w:sz w:val="24"/>
              </w:rPr>
            </w:pPr>
            <w:r>
              <w:rPr>
                <w:sz w:val="24"/>
              </w:rPr>
              <w:t>组织结构</w:t>
            </w:r>
          </w:p>
        </w:tc>
        <w:tc>
          <w:tcPr>
            <w:tcW w:w="7467" w:type="dxa"/>
            <w:gridSpan w:val="8"/>
          </w:tcPr>
          <w:p w14:paraId="5149B2B7">
            <w:pPr>
              <w:pStyle w:val="29"/>
              <w:rPr>
                <w:rFonts w:ascii="Times New Roman"/>
                <w:sz w:val="24"/>
              </w:rPr>
            </w:pPr>
          </w:p>
        </w:tc>
      </w:tr>
      <w:tr w14:paraId="010C4F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1933" w:type="dxa"/>
          </w:tcPr>
          <w:p w14:paraId="3B447C99">
            <w:pPr>
              <w:pStyle w:val="29"/>
              <w:spacing w:before="181"/>
              <w:ind w:left="366"/>
              <w:rPr>
                <w:sz w:val="24"/>
              </w:rPr>
            </w:pPr>
            <w:r>
              <w:rPr>
                <w:sz w:val="24"/>
              </w:rPr>
              <w:t>法定代表人</w:t>
            </w:r>
          </w:p>
        </w:tc>
        <w:tc>
          <w:tcPr>
            <w:tcW w:w="1027" w:type="dxa"/>
          </w:tcPr>
          <w:p w14:paraId="553E8819">
            <w:pPr>
              <w:pStyle w:val="29"/>
              <w:spacing w:before="181"/>
              <w:ind w:left="106"/>
              <w:rPr>
                <w:sz w:val="24"/>
              </w:rPr>
            </w:pPr>
            <w:r>
              <w:rPr>
                <w:sz w:val="24"/>
              </w:rPr>
              <w:t>姓名</w:t>
            </w:r>
          </w:p>
        </w:tc>
        <w:tc>
          <w:tcPr>
            <w:tcW w:w="1066" w:type="dxa"/>
          </w:tcPr>
          <w:p w14:paraId="0C52557B">
            <w:pPr>
              <w:pStyle w:val="29"/>
              <w:rPr>
                <w:rFonts w:ascii="Times New Roman"/>
                <w:sz w:val="24"/>
              </w:rPr>
            </w:pPr>
          </w:p>
        </w:tc>
        <w:tc>
          <w:tcPr>
            <w:tcW w:w="1344" w:type="dxa"/>
          </w:tcPr>
          <w:p w14:paraId="4126C31B">
            <w:pPr>
              <w:pStyle w:val="29"/>
              <w:spacing w:before="181"/>
              <w:ind w:left="108"/>
              <w:rPr>
                <w:sz w:val="24"/>
              </w:rPr>
            </w:pPr>
            <w:r>
              <w:rPr>
                <w:sz w:val="24"/>
              </w:rPr>
              <w:t>技术职称</w:t>
            </w:r>
          </w:p>
        </w:tc>
        <w:tc>
          <w:tcPr>
            <w:tcW w:w="1343" w:type="dxa"/>
            <w:gridSpan w:val="2"/>
          </w:tcPr>
          <w:p w14:paraId="0618F183">
            <w:pPr>
              <w:pStyle w:val="29"/>
              <w:rPr>
                <w:rFonts w:ascii="Times New Roman"/>
                <w:sz w:val="24"/>
              </w:rPr>
            </w:pPr>
          </w:p>
        </w:tc>
        <w:tc>
          <w:tcPr>
            <w:tcW w:w="1344" w:type="dxa"/>
          </w:tcPr>
          <w:p w14:paraId="153F7192">
            <w:pPr>
              <w:pStyle w:val="29"/>
              <w:spacing w:before="181"/>
              <w:ind w:left="411" w:right="403"/>
              <w:jc w:val="center"/>
              <w:rPr>
                <w:sz w:val="24"/>
              </w:rPr>
            </w:pPr>
            <w:r>
              <w:rPr>
                <w:sz w:val="24"/>
              </w:rPr>
              <w:t>电话</w:t>
            </w:r>
          </w:p>
        </w:tc>
        <w:tc>
          <w:tcPr>
            <w:tcW w:w="1343" w:type="dxa"/>
            <w:gridSpan w:val="2"/>
          </w:tcPr>
          <w:p w14:paraId="08DAF9A6">
            <w:pPr>
              <w:pStyle w:val="29"/>
              <w:rPr>
                <w:rFonts w:ascii="Times New Roman"/>
                <w:sz w:val="24"/>
              </w:rPr>
            </w:pPr>
          </w:p>
        </w:tc>
      </w:tr>
      <w:tr w14:paraId="3AFBC4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2" w:hRule="atLeast"/>
        </w:trPr>
        <w:tc>
          <w:tcPr>
            <w:tcW w:w="1933" w:type="dxa"/>
          </w:tcPr>
          <w:p w14:paraId="612D616B">
            <w:pPr>
              <w:pStyle w:val="29"/>
              <w:rPr>
                <w:b/>
                <w:sz w:val="17"/>
              </w:rPr>
            </w:pPr>
          </w:p>
          <w:p w14:paraId="0B5226BC">
            <w:pPr>
              <w:pStyle w:val="29"/>
              <w:ind w:left="107" w:firstLine="240" w:firstLineChars="100"/>
              <w:rPr>
                <w:sz w:val="24"/>
              </w:rPr>
            </w:pPr>
            <w:r>
              <w:rPr>
                <w:sz w:val="24"/>
              </w:rPr>
              <w:t>项目负责人</w:t>
            </w:r>
          </w:p>
        </w:tc>
        <w:tc>
          <w:tcPr>
            <w:tcW w:w="1027" w:type="dxa"/>
          </w:tcPr>
          <w:p w14:paraId="675D346C">
            <w:pPr>
              <w:pStyle w:val="29"/>
              <w:rPr>
                <w:b/>
                <w:sz w:val="17"/>
              </w:rPr>
            </w:pPr>
          </w:p>
          <w:p w14:paraId="1E5A408C">
            <w:pPr>
              <w:pStyle w:val="29"/>
              <w:ind w:left="106"/>
              <w:rPr>
                <w:sz w:val="24"/>
              </w:rPr>
            </w:pPr>
            <w:r>
              <w:rPr>
                <w:sz w:val="24"/>
              </w:rPr>
              <w:t>姓名</w:t>
            </w:r>
          </w:p>
        </w:tc>
        <w:tc>
          <w:tcPr>
            <w:tcW w:w="1066" w:type="dxa"/>
          </w:tcPr>
          <w:p w14:paraId="7D964F1A">
            <w:pPr>
              <w:pStyle w:val="29"/>
              <w:rPr>
                <w:rFonts w:ascii="Times New Roman"/>
                <w:sz w:val="24"/>
              </w:rPr>
            </w:pPr>
          </w:p>
        </w:tc>
        <w:tc>
          <w:tcPr>
            <w:tcW w:w="1344" w:type="dxa"/>
          </w:tcPr>
          <w:p w14:paraId="3AD77909">
            <w:pPr>
              <w:pStyle w:val="29"/>
              <w:rPr>
                <w:b/>
                <w:sz w:val="17"/>
              </w:rPr>
            </w:pPr>
          </w:p>
          <w:p w14:paraId="01D1DA98">
            <w:pPr>
              <w:pStyle w:val="29"/>
              <w:ind w:left="108"/>
              <w:rPr>
                <w:sz w:val="24"/>
              </w:rPr>
            </w:pPr>
            <w:r>
              <w:rPr>
                <w:sz w:val="24"/>
              </w:rPr>
              <w:t>技术职称</w:t>
            </w:r>
          </w:p>
        </w:tc>
        <w:tc>
          <w:tcPr>
            <w:tcW w:w="1343" w:type="dxa"/>
            <w:gridSpan w:val="2"/>
          </w:tcPr>
          <w:p w14:paraId="28AA521F">
            <w:pPr>
              <w:pStyle w:val="29"/>
              <w:rPr>
                <w:rFonts w:ascii="Times New Roman"/>
                <w:sz w:val="24"/>
              </w:rPr>
            </w:pPr>
          </w:p>
        </w:tc>
        <w:tc>
          <w:tcPr>
            <w:tcW w:w="1344" w:type="dxa"/>
          </w:tcPr>
          <w:p w14:paraId="7D9201E5">
            <w:pPr>
              <w:pStyle w:val="29"/>
              <w:rPr>
                <w:b/>
                <w:sz w:val="17"/>
              </w:rPr>
            </w:pPr>
          </w:p>
          <w:p w14:paraId="4894CB8F">
            <w:pPr>
              <w:pStyle w:val="29"/>
              <w:ind w:left="411" w:right="403"/>
              <w:jc w:val="center"/>
              <w:rPr>
                <w:sz w:val="24"/>
              </w:rPr>
            </w:pPr>
            <w:r>
              <w:rPr>
                <w:sz w:val="24"/>
              </w:rPr>
              <w:t>电话</w:t>
            </w:r>
          </w:p>
        </w:tc>
        <w:tc>
          <w:tcPr>
            <w:tcW w:w="1343" w:type="dxa"/>
            <w:gridSpan w:val="2"/>
          </w:tcPr>
          <w:p w14:paraId="1FD09810">
            <w:pPr>
              <w:pStyle w:val="29"/>
              <w:rPr>
                <w:rFonts w:ascii="Times New Roman"/>
                <w:sz w:val="24"/>
              </w:rPr>
            </w:pPr>
          </w:p>
        </w:tc>
      </w:tr>
      <w:tr w14:paraId="0BBD20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1933" w:type="dxa"/>
          </w:tcPr>
          <w:p w14:paraId="49A52265">
            <w:pPr>
              <w:pStyle w:val="29"/>
              <w:spacing w:before="189"/>
              <w:ind w:left="486"/>
              <w:rPr>
                <w:sz w:val="24"/>
              </w:rPr>
            </w:pPr>
            <w:r>
              <w:rPr>
                <w:sz w:val="24"/>
              </w:rPr>
              <w:t>成立时间</w:t>
            </w:r>
          </w:p>
        </w:tc>
        <w:tc>
          <w:tcPr>
            <w:tcW w:w="3437" w:type="dxa"/>
            <w:gridSpan w:val="3"/>
          </w:tcPr>
          <w:p w14:paraId="7354F8BC">
            <w:pPr>
              <w:pStyle w:val="29"/>
              <w:rPr>
                <w:rFonts w:ascii="Times New Roman"/>
                <w:sz w:val="24"/>
              </w:rPr>
            </w:pPr>
          </w:p>
        </w:tc>
        <w:tc>
          <w:tcPr>
            <w:tcW w:w="4030" w:type="dxa"/>
            <w:gridSpan w:val="5"/>
          </w:tcPr>
          <w:p w14:paraId="69D029DB">
            <w:pPr>
              <w:pStyle w:val="29"/>
              <w:spacing w:before="189"/>
              <w:ind w:left="1294"/>
              <w:rPr>
                <w:sz w:val="24"/>
              </w:rPr>
            </w:pPr>
            <w:r>
              <w:rPr>
                <w:sz w:val="24"/>
              </w:rPr>
              <w:t>员工总人数：</w:t>
            </w:r>
          </w:p>
        </w:tc>
      </w:tr>
      <w:tr w14:paraId="5366EE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6" w:hRule="atLeast"/>
        </w:trPr>
        <w:tc>
          <w:tcPr>
            <w:tcW w:w="1933" w:type="dxa"/>
          </w:tcPr>
          <w:p w14:paraId="0ADB9785">
            <w:pPr>
              <w:pStyle w:val="29"/>
              <w:spacing w:before="6"/>
              <w:rPr>
                <w:b/>
                <w:sz w:val="17"/>
              </w:rPr>
            </w:pPr>
          </w:p>
          <w:p w14:paraId="03D044F4">
            <w:pPr>
              <w:pStyle w:val="29"/>
              <w:jc w:val="center"/>
              <w:rPr>
                <w:sz w:val="24"/>
              </w:rPr>
            </w:pPr>
            <w:r>
              <w:rPr>
                <w:sz w:val="24"/>
              </w:rPr>
              <w:t>企业资质等级</w:t>
            </w:r>
          </w:p>
        </w:tc>
        <w:tc>
          <w:tcPr>
            <w:tcW w:w="3437" w:type="dxa"/>
            <w:gridSpan w:val="3"/>
          </w:tcPr>
          <w:p w14:paraId="49DA9192">
            <w:pPr>
              <w:pStyle w:val="29"/>
              <w:rPr>
                <w:rFonts w:ascii="Times New Roman"/>
                <w:sz w:val="24"/>
              </w:rPr>
            </w:pPr>
          </w:p>
        </w:tc>
        <w:tc>
          <w:tcPr>
            <w:tcW w:w="1116" w:type="dxa"/>
            <w:vMerge w:val="restart"/>
          </w:tcPr>
          <w:p w14:paraId="34E18C4C">
            <w:pPr>
              <w:pStyle w:val="29"/>
              <w:rPr>
                <w:b/>
                <w:sz w:val="24"/>
              </w:rPr>
            </w:pPr>
          </w:p>
          <w:p w14:paraId="0C11679A">
            <w:pPr>
              <w:pStyle w:val="29"/>
              <w:rPr>
                <w:b/>
                <w:sz w:val="24"/>
              </w:rPr>
            </w:pPr>
          </w:p>
          <w:p w14:paraId="06298B03">
            <w:pPr>
              <w:pStyle w:val="29"/>
              <w:rPr>
                <w:b/>
                <w:sz w:val="24"/>
              </w:rPr>
            </w:pPr>
          </w:p>
          <w:p w14:paraId="3DE35862">
            <w:pPr>
              <w:pStyle w:val="29"/>
              <w:rPr>
                <w:b/>
                <w:sz w:val="24"/>
              </w:rPr>
            </w:pPr>
          </w:p>
          <w:p w14:paraId="5AA24975">
            <w:pPr>
              <w:pStyle w:val="29"/>
              <w:spacing w:before="6"/>
              <w:rPr>
                <w:b/>
                <w:sz w:val="30"/>
              </w:rPr>
            </w:pPr>
          </w:p>
          <w:p w14:paraId="7ADB2615">
            <w:pPr>
              <w:pStyle w:val="29"/>
              <w:ind w:left="317"/>
              <w:rPr>
                <w:sz w:val="24"/>
              </w:rPr>
            </w:pPr>
            <w:r>
              <w:rPr>
                <w:sz w:val="24"/>
              </w:rPr>
              <w:t>其中</w:t>
            </w:r>
          </w:p>
        </w:tc>
        <w:tc>
          <w:tcPr>
            <w:tcW w:w="1890" w:type="dxa"/>
            <w:gridSpan w:val="3"/>
          </w:tcPr>
          <w:p w14:paraId="3C28F9F5">
            <w:pPr>
              <w:pStyle w:val="29"/>
              <w:spacing w:before="6"/>
              <w:jc w:val="center"/>
              <w:rPr>
                <w:b/>
                <w:sz w:val="17"/>
              </w:rPr>
            </w:pPr>
          </w:p>
          <w:p w14:paraId="6F6B709A">
            <w:pPr>
              <w:pStyle w:val="29"/>
              <w:ind w:left="348"/>
              <w:rPr>
                <w:sz w:val="24"/>
              </w:rPr>
            </w:pPr>
            <w:r>
              <w:rPr>
                <w:sz w:val="24"/>
              </w:rPr>
              <w:t>项目负责人</w:t>
            </w:r>
          </w:p>
        </w:tc>
        <w:tc>
          <w:tcPr>
            <w:tcW w:w="1024" w:type="dxa"/>
          </w:tcPr>
          <w:p w14:paraId="760C7385">
            <w:pPr>
              <w:pStyle w:val="29"/>
              <w:rPr>
                <w:rFonts w:ascii="Times New Roman"/>
                <w:sz w:val="24"/>
              </w:rPr>
            </w:pPr>
          </w:p>
        </w:tc>
      </w:tr>
      <w:tr w14:paraId="76EBA6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1933" w:type="dxa"/>
          </w:tcPr>
          <w:p w14:paraId="12A32753">
            <w:pPr>
              <w:pStyle w:val="29"/>
              <w:spacing w:line="420" w:lineRule="exact"/>
              <w:ind w:left="126" w:right="114"/>
              <w:jc w:val="center"/>
              <w:rPr>
                <w:sz w:val="24"/>
                <w:lang w:eastAsia="zh-CN"/>
              </w:rPr>
            </w:pPr>
            <w:r>
              <w:rPr>
                <w:sz w:val="24"/>
                <w:lang w:eastAsia="zh-CN"/>
              </w:rPr>
              <w:t>营业执照号</w:t>
            </w:r>
          </w:p>
        </w:tc>
        <w:tc>
          <w:tcPr>
            <w:tcW w:w="3437" w:type="dxa"/>
            <w:gridSpan w:val="3"/>
          </w:tcPr>
          <w:p w14:paraId="683A3C34">
            <w:pPr>
              <w:pStyle w:val="29"/>
              <w:rPr>
                <w:rFonts w:ascii="Times New Roman"/>
                <w:sz w:val="24"/>
                <w:lang w:eastAsia="zh-CN"/>
              </w:rPr>
            </w:pPr>
          </w:p>
        </w:tc>
        <w:tc>
          <w:tcPr>
            <w:tcW w:w="1116" w:type="dxa"/>
            <w:vMerge w:val="continue"/>
            <w:tcBorders>
              <w:top w:val="nil"/>
            </w:tcBorders>
          </w:tcPr>
          <w:p w14:paraId="733673CE">
            <w:pPr>
              <w:rPr>
                <w:sz w:val="2"/>
                <w:szCs w:val="2"/>
                <w:lang w:eastAsia="zh-CN"/>
              </w:rPr>
            </w:pPr>
          </w:p>
        </w:tc>
        <w:tc>
          <w:tcPr>
            <w:tcW w:w="1890" w:type="dxa"/>
            <w:gridSpan w:val="3"/>
          </w:tcPr>
          <w:p w14:paraId="1FA426F2">
            <w:pPr>
              <w:pStyle w:val="29"/>
              <w:spacing w:before="209"/>
              <w:jc w:val="center"/>
              <w:rPr>
                <w:sz w:val="24"/>
              </w:rPr>
            </w:pPr>
            <w:r>
              <w:rPr>
                <w:sz w:val="24"/>
              </w:rPr>
              <w:t>高级职称人员</w:t>
            </w:r>
          </w:p>
        </w:tc>
        <w:tc>
          <w:tcPr>
            <w:tcW w:w="1024" w:type="dxa"/>
          </w:tcPr>
          <w:p w14:paraId="6FCF748B">
            <w:pPr>
              <w:pStyle w:val="29"/>
              <w:rPr>
                <w:rFonts w:ascii="Times New Roman"/>
                <w:sz w:val="24"/>
              </w:rPr>
            </w:pPr>
          </w:p>
        </w:tc>
      </w:tr>
      <w:tr w14:paraId="42443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933" w:type="dxa"/>
          </w:tcPr>
          <w:p w14:paraId="194E74F1">
            <w:pPr>
              <w:pStyle w:val="29"/>
              <w:spacing w:before="110"/>
              <w:ind w:left="486"/>
              <w:rPr>
                <w:sz w:val="24"/>
              </w:rPr>
            </w:pPr>
            <w:r>
              <w:rPr>
                <w:sz w:val="24"/>
              </w:rPr>
              <w:t>注册资金</w:t>
            </w:r>
          </w:p>
        </w:tc>
        <w:tc>
          <w:tcPr>
            <w:tcW w:w="3437" w:type="dxa"/>
            <w:gridSpan w:val="3"/>
          </w:tcPr>
          <w:p w14:paraId="651C59E8">
            <w:pPr>
              <w:pStyle w:val="29"/>
              <w:rPr>
                <w:rFonts w:ascii="Times New Roman"/>
                <w:sz w:val="24"/>
              </w:rPr>
            </w:pPr>
          </w:p>
        </w:tc>
        <w:tc>
          <w:tcPr>
            <w:tcW w:w="1116" w:type="dxa"/>
            <w:vMerge w:val="continue"/>
            <w:tcBorders>
              <w:top w:val="nil"/>
            </w:tcBorders>
          </w:tcPr>
          <w:p w14:paraId="3E8CBB97">
            <w:pPr>
              <w:rPr>
                <w:sz w:val="2"/>
                <w:szCs w:val="2"/>
              </w:rPr>
            </w:pPr>
          </w:p>
        </w:tc>
        <w:tc>
          <w:tcPr>
            <w:tcW w:w="1890" w:type="dxa"/>
            <w:gridSpan w:val="3"/>
          </w:tcPr>
          <w:p w14:paraId="2141E485">
            <w:pPr>
              <w:pStyle w:val="29"/>
              <w:spacing w:before="110"/>
              <w:ind w:left="108"/>
              <w:jc w:val="center"/>
              <w:rPr>
                <w:sz w:val="24"/>
              </w:rPr>
            </w:pPr>
            <w:r>
              <w:rPr>
                <w:sz w:val="24"/>
              </w:rPr>
              <w:t>中级职称人员</w:t>
            </w:r>
          </w:p>
        </w:tc>
        <w:tc>
          <w:tcPr>
            <w:tcW w:w="1024" w:type="dxa"/>
          </w:tcPr>
          <w:p w14:paraId="1D946300">
            <w:pPr>
              <w:pStyle w:val="29"/>
              <w:rPr>
                <w:rFonts w:ascii="Times New Roman"/>
                <w:sz w:val="24"/>
              </w:rPr>
            </w:pPr>
          </w:p>
        </w:tc>
      </w:tr>
      <w:tr w14:paraId="3A4DFC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1933" w:type="dxa"/>
          </w:tcPr>
          <w:p w14:paraId="1B12A6A4">
            <w:pPr>
              <w:pStyle w:val="29"/>
              <w:spacing w:before="144"/>
              <w:ind w:left="486"/>
              <w:rPr>
                <w:sz w:val="24"/>
              </w:rPr>
            </w:pPr>
            <w:r>
              <w:rPr>
                <w:sz w:val="24"/>
              </w:rPr>
              <w:t>开户银行</w:t>
            </w:r>
          </w:p>
        </w:tc>
        <w:tc>
          <w:tcPr>
            <w:tcW w:w="3437" w:type="dxa"/>
            <w:gridSpan w:val="3"/>
          </w:tcPr>
          <w:p w14:paraId="49005799">
            <w:pPr>
              <w:pStyle w:val="29"/>
              <w:rPr>
                <w:rFonts w:ascii="Times New Roman"/>
                <w:sz w:val="24"/>
              </w:rPr>
            </w:pPr>
          </w:p>
        </w:tc>
        <w:tc>
          <w:tcPr>
            <w:tcW w:w="1116" w:type="dxa"/>
            <w:vMerge w:val="continue"/>
            <w:tcBorders>
              <w:top w:val="nil"/>
            </w:tcBorders>
          </w:tcPr>
          <w:p w14:paraId="623A6F1E">
            <w:pPr>
              <w:rPr>
                <w:sz w:val="2"/>
                <w:szCs w:val="2"/>
              </w:rPr>
            </w:pPr>
          </w:p>
        </w:tc>
        <w:tc>
          <w:tcPr>
            <w:tcW w:w="1890" w:type="dxa"/>
            <w:gridSpan w:val="3"/>
          </w:tcPr>
          <w:p w14:paraId="006856C7">
            <w:pPr>
              <w:pStyle w:val="29"/>
              <w:spacing w:before="144"/>
              <w:ind w:left="108"/>
              <w:jc w:val="center"/>
              <w:rPr>
                <w:sz w:val="24"/>
              </w:rPr>
            </w:pPr>
            <w:r>
              <w:rPr>
                <w:sz w:val="24"/>
              </w:rPr>
              <w:t>初级职称人员</w:t>
            </w:r>
          </w:p>
        </w:tc>
        <w:tc>
          <w:tcPr>
            <w:tcW w:w="1024" w:type="dxa"/>
          </w:tcPr>
          <w:p w14:paraId="73B27831">
            <w:pPr>
              <w:pStyle w:val="29"/>
              <w:rPr>
                <w:rFonts w:ascii="Times New Roman"/>
                <w:sz w:val="24"/>
              </w:rPr>
            </w:pPr>
          </w:p>
        </w:tc>
      </w:tr>
      <w:tr w14:paraId="4A1E1F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rPr>
        <w:tc>
          <w:tcPr>
            <w:tcW w:w="1933" w:type="dxa"/>
          </w:tcPr>
          <w:p w14:paraId="0BA0E88D">
            <w:pPr>
              <w:pStyle w:val="29"/>
              <w:spacing w:before="154"/>
              <w:ind w:left="124" w:right="114"/>
              <w:jc w:val="center"/>
              <w:rPr>
                <w:sz w:val="24"/>
              </w:rPr>
            </w:pPr>
            <w:r>
              <w:rPr>
                <w:sz w:val="24"/>
              </w:rPr>
              <w:t>账号</w:t>
            </w:r>
          </w:p>
        </w:tc>
        <w:tc>
          <w:tcPr>
            <w:tcW w:w="3437" w:type="dxa"/>
            <w:gridSpan w:val="3"/>
          </w:tcPr>
          <w:p w14:paraId="5FA1C8AE">
            <w:pPr>
              <w:pStyle w:val="29"/>
              <w:rPr>
                <w:rFonts w:ascii="Times New Roman"/>
                <w:sz w:val="24"/>
              </w:rPr>
            </w:pPr>
          </w:p>
        </w:tc>
        <w:tc>
          <w:tcPr>
            <w:tcW w:w="1116" w:type="dxa"/>
            <w:vMerge w:val="continue"/>
            <w:tcBorders>
              <w:top w:val="nil"/>
            </w:tcBorders>
          </w:tcPr>
          <w:p w14:paraId="5FC6E0E4">
            <w:pPr>
              <w:rPr>
                <w:sz w:val="2"/>
                <w:szCs w:val="2"/>
              </w:rPr>
            </w:pPr>
          </w:p>
        </w:tc>
        <w:tc>
          <w:tcPr>
            <w:tcW w:w="1890" w:type="dxa"/>
            <w:gridSpan w:val="3"/>
          </w:tcPr>
          <w:p w14:paraId="4ED7BA98">
            <w:pPr>
              <w:pStyle w:val="29"/>
              <w:spacing w:before="154"/>
              <w:ind w:left="108"/>
              <w:jc w:val="center"/>
              <w:rPr>
                <w:sz w:val="24"/>
              </w:rPr>
            </w:pPr>
            <w:r>
              <w:rPr>
                <w:sz w:val="24"/>
              </w:rPr>
              <w:t>技 工</w:t>
            </w:r>
          </w:p>
        </w:tc>
        <w:tc>
          <w:tcPr>
            <w:tcW w:w="1024" w:type="dxa"/>
          </w:tcPr>
          <w:p w14:paraId="2E23DFD3">
            <w:pPr>
              <w:pStyle w:val="29"/>
              <w:rPr>
                <w:rFonts w:ascii="Times New Roman"/>
                <w:sz w:val="24"/>
              </w:rPr>
            </w:pPr>
          </w:p>
        </w:tc>
      </w:tr>
      <w:tr w14:paraId="29F10F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0" w:hRule="atLeast"/>
        </w:trPr>
        <w:tc>
          <w:tcPr>
            <w:tcW w:w="1933" w:type="dxa"/>
          </w:tcPr>
          <w:p w14:paraId="0A8D2A8D">
            <w:pPr>
              <w:pStyle w:val="29"/>
              <w:rPr>
                <w:b/>
                <w:sz w:val="24"/>
              </w:rPr>
            </w:pPr>
          </w:p>
          <w:p w14:paraId="5DA46FDF">
            <w:pPr>
              <w:pStyle w:val="29"/>
              <w:rPr>
                <w:b/>
                <w:sz w:val="24"/>
              </w:rPr>
            </w:pPr>
          </w:p>
          <w:p w14:paraId="6B92E58E">
            <w:pPr>
              <w:pStyle w:val="29"/>
              <w:rPr>
                <w:b/>
                <w:sz w:val="24"/>
              </w:rPr>
            </w:pPr>
          </w:p>
          <w:p w14:paraId="4FDF1CD3">
            <w:pPr>
              <w:pStyle w:val="29"/>
              <w:spacing w:before="5"/>
              <w:rPr>
                <w:b/>
                <w:sz w:val="35"/>
              </w:rPr>
            </w:pPr>
          </w:p>
          <w:p w14:paraId="4F697B9A">
            <w:pPr>
              <w:pStyle w:val="29"/>
              <w:ind w:left="486"/>
              <w:rPr>
                <w:sz w:val="24"/>
              </w:rPr>
            </w:pPr>
            <w:r>
              <w:rPr>
                <w:sz w:val="24"/>
              </w:rPr>
              <w:t>经营范围</w:t>
            </w:r>
          </w:p>
        </w:tc>
        <w:tc>
          <w:tcPr>
            <w:tcW w:w="7467" w:type="dxa"/>
            <w:gridSpan w:val="8"/>
          </w:tcPr>
          <w:p w14:paraId="35A8AE5E">
            <w:pPr>
              <w:pStyle w:val="29"/>
              <w:rPr>
                <w:rFonts w:ascii="Times New Roman"/>
                <w:sz w:val="24"/>
              </w:rPr>
            </w:pPr>
          </w:p>
        </w:tc>
      </w:tr>
      <w:tr w14:paraId="76FD9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1933" w:type="dxa"/>
          </w:tcPr>
          <w:p w14:paraId="0A5CE7FC">
            <w:pPr>
              <w:pStyle w:val="29"/>
              <w:spacing w:before="184"/>
              <w:ind w:left="124" w:right="114"/>
              <w:jc w:val="center"/>
              <w:rPr>
                <w:sz w:val="24"/>
              </w:rPr>
            </w:pPr>
            <w:r>
              <w:rPr>
                <w:sz w:val="24"/>
              </w:rPr>
              <w:t>备注</w:t>
            </w:r>
          </w:p>
        </w:tc>
        <w:tc>
          <w:tcPr>
            <w:tcW w:w="7467" w:type="dxa"/>
            <w:gridSpan w:val="8"/>
          </w:tcPr>
          <w:p w14:paraId="1419C626">
            <w:pPr>
              <w:pStyle w:val="29"/>
              <w:rPr>
                <w:rFonts w:ascii="Times New Roman"/>
                <w:sz w:val="24"/>
              </w:rPr>
            </w:pPr>
          </w:p>
        </w:tc>
      </w:tr>
    </w:tbl>
    <w:p w14:paraId="41D6F6AB">
      <w:pPr>
        <w:rPr>
          <w:rFonts w:ascii="Times New Roman"/>
          <w:sz w:val="24"/>
        </w:rPr>
        <w:sectPr>
          <w:pgSz w:w="11910" w:h="16840"/>
          <w:pgMar w:top="1440" w:right="1080" w:bottom="1440" w:left="1080" w:header="0" w:footer="909" w:gutter="0"/>
          <w:pgNumType w:fmt="decimal"/>
          <w:cols w:space="720" w:num="1"/>
          <w:docGrid w:linePitch="299" w:charSpace="0"/>
        </w:sectPr>
      </w:pPr>
    </w:p>
    <w:p w14:paraId="12FFC536">
      <w:pPr>
        <w:spacing w:before="35"/>
        <w:ind w:left="1668" w:right="1109"/>
        <w:jc w:val="center"/>
        <w:rPr>
          <w:b/>
          <w:sz w:val="28"/>
        </w:rPr>
      </w:pPr>
      <w:r>
        <w:rPr>
          <w:b/>
          <w:sz w:val="28"/>
        </w:rPr>
        <w:t>（二）资格审查资料</w:t>
      </w:r>
    </w:p>
    <w:p w14:paraId="5F34020D">
      <w:pPr>
        <w:jc w:val="center"/>
        <w:rPr>
          <w:sz w:val="28"/>
        </w:rPr>
        <w:sectPr>
          <w:pgSz w:w="11910" w:h="16840"/>
          <w:pgMar w:top="1440" w:right="1080" w:bottom="1440" w:left="1080" w:header="0" w:footer="909" w:gutter="0"/>
          <w:pgNumType w:fmt="decimal"/>
          <w:cols w:space="720" w:num="1"/>
          <w:docGrid w:linePitch="299" w:charSpace="0"/>
        </w:sectPr>
      </w:pPr>
    </w:p>
    <w:p w14:paraId="2F3C68D7">
      <w:pPr>
        <w:spacing w:before="35"/>
        <w:ind w:left="530" w:right="530"/>
        <w:jc w:val="center"/>
        <w:rPr>
          <w:b/>
          <w:sz w:val="28"/>
          <w:lang w:eastAsia="zh-CN"/>
        </w:rPr>
      </w:pPr>
      <w:bookmarkStart w:id="71" w:name="（三）近年完成的类似项目情况表"/>
      <w:bookmarkEnd w:id="71"/>
      <w:r>
        <w:rPr>
          <w:b/>
          <w:sz w:val="28"/>
          <w:lang w:eastAsia="zh-CN"/>
        </w:rPr>
        <w:t>（三）近年完成的类似项目情况表</w:t>
      </w:r>
    </w:p>
    <w:p w14:paraId="70A8F288">
      <w:pPr>
        <w:pStyle w:val="6"/>
        <w:spacing w:before="4"/>
        <w:ind w:left="0"/>
        <w:rPr>
          <w:b/>
          <w:sz w:val="10"/>
          <w:lang w:eastAsia="zh-CN"/>
        </w:rPr>
      </w:pPr>
    </w:p>
    <w:tbl>
      <w:tblPr>
        <w:tblStyle w:val="27"/>
        <w:tblW w:w="0" w:type="auto"/>
        <w:tblInd w:w="80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76"/>
        <w:gridCol w:w="6451"/>
      </w:tblGrid>
      <w:tr w14:paraId="7BF0F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2" w:hRule="atLeast"/>
        </w:trPr>
        <w:tc>
          <w:tcPr>
            <w:tcW w:w="2276" w:type="dxa"/>
          </w:tcPr>
          <w:p w14:paraId="13A14160">
            <w:pPr>
              <w:pStyle w:val="29"/>
              <w:spacing w:before="185"/>
              <w:ind w:left="548" w:right="541"/>
              <w:jc w:val="center"/>
              <w:rPr>
                <w:sz w:val="24"/>
              </w:rPr>
            </w:pPr>
            <w:r>
              <w:rPr>
                <w:sz w:val="24"/>
              </w:rPr>
              <w:t>项目名称</w:t>
            </w:r>
          </w:p>
        </w:tc>
        <w:tc>
          <w:tcPr>
            <w:tcW w:w="6451" w:type="dxa"/>
          </w:tcPr>
          <w:p w14:paraId="2097E20A">
            <w:pPr>
              <w:pStyle w:val="29"/>
              <w:rPr>
                <w:rFonts w:ascii="Times New Roman"/>
                <w:sz w:val="24"/>
              </w:rPr>
            </w:pPr>
          </w:p>
        </w:tc>
      </w:tr>
      <w:tr w14:paraId="66275E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0" w:hRule="atLeast"/>
        </w:trPr>
        <w:tc>
          <w:tcPr>
            <w:tcW w:w="2276" w:type="dxa"/>
          </w:tcPr>
          <w:p w14:paraId="288B6238">
            <w:pPr>
              <w:pStyle w:val="29"/>
              <w:spacing w:before="172"/>
              <w:ind w:right="541"/>
              <w:jc w:val="center"/>
              <w:rPr>
                <w:sz w:val="24"/>
              </w:rPr>
            </w:pPr>
            <w:r>
              <w:rPr>
                <w:rFonts w:hint="eastAsia"/>
                <w:sz w:val="24"/>
                <w:lang w:eastAsia="zh-CN"/>
              </w:rPr>
              <w:t xml:space="preserve"> </w:t>
            </w:r>
            <w:r>
              <w:rPr>
                <w:sz w:val="24"/>
                <w:lang w:eastAsia="zh-CN"/>
              </w:rPr>
              <w:t xml:space="preserve"> </w:t>
            </w:r>
            <w:r>
              <w:rPr>
                <w:sz w:val="24"/>
              </w:rPr>
              <w:t>项目所在地</w:t>
            </w:r>
          </w:p>
        </w:tc>
        <w:tc>
          <w:tcPr>
            <w:tcW w:w="6451" w:type="dxa"/>
          </w:tcPr>
          <w:p w14:paraId="5DB47F52">
            <w:pPr>
              <w:pStyle w:val="29"/>
              <w:rPr>
                <w:rFonts w:ascii="Times New Roman"/>
                <w:sz w:val="24"/>
              </w:rPr>
            </w:pPr>
          </w:p>
        </w:tc>
      </w:tr>
      <w:tr w14:paraId="59AE7F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2" w:hRule="atLeast"/>
        </w:trPr>
        <w:tc>
          <w:tcPr>
            <w:tcW w:w="2276" w:type="dxa"/>
          </w:tcPr>
          <w:p w14:paraId="1A67D664">
            <w:pPr>
              <w:pStyle w:val="29"/>
              <w:spacing w:before="184"/>
              <w:ind w:right="541"/>
              <w:jc w:val="center"/>
              <w:rPr>
                <w:sz w:val="24"/>
              </w:rPr>
            </w:pPr>
            <w:r>
              <w:rPr>
                <w:rFonts w:hint="eastAsia"/>
                <w:sz w:val="24"/>
                <w:lang w:eastAsia="zh-CN"/>
              </w:rPr>
              <w:t xml:space="preserve"> </w:t>
            </w:r>
            <w:r>
              <w:rPr>
                <w:sz w:val="24"/>
                <w:lang w:eastAsia="zh-CN"/>
              </w:rPr>
              <w:t xml:space="preserve"> </w:t>
            </w:r>
            <w:r>
              <w:rPr>
                <w:sz w:val="24"/>
              </w:rPr>
              <w:t>发包人名称</w:t>
            </w:r>
          </w:p>
        </w:tc>
        <w:tc>
          <w:tcPr>
            <w:tcW w:w="6451" w:type="dxa"/>
          </w:tcPr>
          <w:p w14:paraId="674A382D">
            <w:pPr>
              <w:pStyle w:val="29"/>
              <w:rPr>
                <w:rFonts w:ascii="Times New Roman"/>
                <w:sz w:val="24"/>
              </w:rPr>
            </w:pPr>
          </w:p>
        </w:tc>
      </w:tr>
      <w:tr w14:paraId="7F72F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0" w:hRule="atLeast"/>
        </w:trPr>
        <w:tc>
          <w:tcPr>
            <w:tcW w:w="2276" w:type="dxa"/>
          </w:tcPr>
          <w:p w14:paraId="27FDF130">
            <w:pPr>
              <w:pStyle w:val="29"/>
              <w:spacing w:before="171"/>
              <w:ind w:right="541"/>
              <w:jc w:val="center"/>
              <w:rPr>
                <w:sz w:val="24"/>
              </w:rPr>
            </w:pPr>
            <w:r>
              <w:rPr>
                <w:rFonts w:hint="eastAsia"/>
                <w:sz w:val="24"/>
                <w:lang w:eastAsia="zh-CN"/>
              </w:rPr>
              <w:t xml:space="preserve"> </w:t>
            </w:r>
            <w:r>
              <w:rPr>
                <w:sz w:val="24"/>
                <w:lang w:eastAsia="zh-CN"/>
              </w:rPr>
              <w:t xml:space="preserve"> </w:t>
            </w:r>
            <w:r>
              <w:rPr>
                <w:sz w:val="24"/>
              </w:rPr>
              <w:t>发包人地址</w:t>
            </w:r>
          </w:p>
        </w:tc>
        <w:tc>
          <w:tcPr>
            <w:tcW w:w="6451" w:type="dxa"/>
          </w:tcPr>
          <w:p w14:paraId="38A5D5CC">
            <w:pPr>
              <w:pStyle w:val="29"/>
              <w:rPr>
                <w:rFonts w:ascii="Times New Roman"/>
                <w:sz w:val="24"/>
              </w:rPr>
            </w:pPr>
          </w:p>
        </w:tc>
      </w:tr>
      <w:tr w14:paraId="642845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1" w:hRule="atLeast"/>
        </w:trPr>
        <w:tc>
          <w:tcPr>
            <w:tcW w:w="2276" w:type="dxa"/>
          </w:tcPr>
          <w:p w14:paraId="6A6DF72C">
            <w:pPr>
              <w:pStyle w:val="29"/>
              <w:spacing w:before="185"/>
              <w:ind w:right="541"/>
              <w:jc w:val="center"/>
              <w:rPr>
                <w:sz w:val="24"/>
              </w:rPr>
            </w:pPr>
            <w:r>
              <w:rPr>
                <w:rFonts w:hint="eastAsia"/>
                <w:sz w:val="24"/>
                <w:lang w:eastAsia="zh-CN"/>
              </w:rPr>
              <w:t xml:space="preserve"> </w:t>
            </w:r>
            <w:r>
              <w:rPr>
                <w:sz w:val="24"/>
                <w:lang w:eastAsia="zh-CN"/>
              </w:rPr>
              <w:t xml:space="preserve"> </w:t>
            </w:r>
            <w:r>
              <w:rPr>
                <w:sz w:val="24"/>
              </w:rPr>
              <w:t>发包人电话</w:t>
            </w:r>
          </w:p>
        </w:tc>
        <w:tc>
          <w:tcPr>
            <w:tcW w:w="6451" w:type="dxa"/>
          </w:tcPr>
          <w:p w14:paraId="4CD5D886">
            <w:pPr>
              <w:pStyle w:val="29"/>
              <w:rPr>
                <w:rFonts w:ascii="Times New Roman"/>
                <w:sz w:val="24"/>
              </w:rPr>
            </w:pPr>
          </w:p>
        </w:tc>
      </w:tr>
      <w:tr w14:paraId="6C4A2D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2" w:hRule="atLeast"/>
        </w:trPr>
        <w:tc>
          <w:tcPr>
            <w:tcW w:w="2276" w:type="dxa"/>
          </w:tcPr>
          <w:p w14:paraId="7BC60384">
            <w:pPr>
              <w:pStyle w:val="29"/>
              <w:spacing w:before="172"/>
              <w:ind w:left="548" w:right="541"/>
              <w:jc w:val="center"/>
              <w:rPr>
                <w:sz w:val="24"/>
              </w:rPr>
            </w:pPr>
            <w:r>
              <w:rPr>
                <w:sz w:val="24"/>
              </w:rPr>
              <w:t>合同价格</w:t>
            </w:r>
          </w:p>
        </w:tc>
        <w:tc>
          <w:tcPr>
            <w:tcW w:w="6451" w:type="dxa"/>
          </w:tcPr>
          <w:p w14:paraId="0B5371EB">
            <w:pPr>
              <w:pStyle w:val="29"/>
              <w:rPr>
                <w:rFonts w:ascii="Times New Roman"/>
                <w:sz w:val="24"/>
              </w:rPr>
            </w:pPr>
          </w:p>
        </w:tc>
      </w:tr>
      <w:tr w14:paraId="0274E8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2" w:hRule="atLeast"/>
        </w:trPr>
        <w:tc>
          <w:tcPr>
            <w:tcW w:w="2276" w:type="dxa"/>
          </w:tcPr>
          <w:p w14:paraId="1F0E9BE2">
            <w:pPr>
              <w:pStyle w:val="29"/>
              <w:spacing w:before="171"/>
              <w:ind w:left="548" w:right="541"/>
              <w:jc w:val="center"/>
              <w:rPr>
                <w:sz w:val="24"/>
              </w:rPr>
            </w:pPr>
            <w:r>
              <w:rPr>
                <w:sz w:val="24"/>
              </w:rPr>
              <w:t>质量要求</w:t>
            </w:r>
          </w:p>
        </w:tc>
        <w:tc>
          <w:tcPr>
            <w:tcW w:w="6451" w:type="dxa"/>
          </w:tcPr>
          <w:p w14:paraId="4D178D25">
            <w:pPr>
              <w:pStyle w:val="29"/>
              <w:rPr>
                <w:rFonts w:ascii="Times New Roman"/>
                <w:sz w:val="24"/>
              </w:rPr>
            </w:pPr>
          </w:p>
        </w:tc>
      </w:tr>
      <w:tr w14:paraId="0B0D6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1" w:hRule="atLeast"/>
        </w:trPr>
        <w:tc>
          <w:tcPr>
            <w:tcW w:w="2276" w:type="dxa"/>
          </w:tcPr>
          <w:p w14:paraId="5F492FEC">
            <w:pPr>
              <w:pStyle w:val="29"/>
              <w:spacing w:before="186"/>
              <w:ind w:left="548" w:right="541"/>
              <w:jc w:val="center"/>
              <w:rPr>
                <w:sz w:val="24"/>
              </w:rPr>
            </w:pPr>
            <w:r>
              <w:rPr>
                <w:sz w:val="24"/>
              </w:rPr>
              <w:t>备注</w:t>
            </w:r>
          </w:p>
        </w:tc>
        <w:tc>
          <w:tcPr>
            <w:tcW w:w="6451" w:type="dxa"/>
          </w:tcPr>
          <w:p w14:paraId="604B2722">
            <w:pPr>
              <w:pStyle w:val="29"/>
              <w:rPr>
                <w:rFonts w:ascii="Times New Roman"/>
                <w:sz w:val="24"/>
              </w:rPr>
            </w:pPr>
          </w:p>
        </w:tc>
      </w:tr>
    </w:tbl>
    <w:p w14:paraId="3DD704CE">
      <w:pPr>
        <w:pStyle w:val="6"/>
        <w:spacing w:before="191"/>
        <w:rPr>
          <w:lang w:eastAsia="zh-CN"/>
        </w:rPr>
      </w:pPr>
    </w:p>
    <w:p w14:paraId="3BDABC1A">
      <w:pPr>
        <w:pStyle w:val="6"/>
        <w:spacing w:before="191"/>
        <w:ind w:left="1460"/>
        <w:rPr>
          <w:lang w:eastAsia="zh-CN"/>
        </w:rPr>
      </w:pPr>
      <w:r>
        <w:rPr>
          <w:lang w:eastAsia="zh-CN"/>
        </w:rPr>
        <w:t>备注：每张表格只填写一个项目，可标明序号及业绩类型</w:t>
      </w:r>
    </w:p>
    <w:p w14:paraId="3A55FEF9">
      <w:pPr>
        <w:rPr>
          <w:lang w:eastAsia="zh-CN"/>
        </w:rPr>
        <w:sectPr>
          <w:pgSz w:w="11910" w:h="16840"/>
          <w:pgMar w:top="1440" w:right="1080" w:bottom="1440" w:left="1080" w:header="0" w:footer="909" w:gutter="0"/>
          <w:pgNumType w:fmt="decimal"/>
          <w:cols w:space="720" w:num="1"/>
          <w:docGrid w:linePitch="299" w:charSpace="0"/>
        </w:sectPr>
      </w:pPr>
    </w:p>
    <w:p w14:paraId="74AD48D0">
      <w:pPr>
        <w:spacing w:before="30"/>
        <w:ind w:left="530" w:right="194"/>
        <w:jc w:val="center"/>
        <w:rPr>
          <w:b/>
          <w:sz w:val="32"/>
          <w:lang w:eastAsia="zh-CN"/>
        </w:rPr>
      </w:pPr>
      <w:bookmarkStart w:id="72" w:name="七、项目组成人员"/>
      <w:bookmarkEnd w:id="72"/>
      <w:r>
        <w:rPr>
          <w:b/>
          <w:sz w:val="32"/>
          <w:lang w:eastAsia="zh-CN"/>
        </w:rPr>
        <w:t>七、项目组成人员</w:t>
      </w:r>
    </w:p>
    <w:p w14:paraId="1343C9B2">
      <w:pPr>
        <w:spacing w:before="109"/>
        <w:ind w:left="530" w:right="422"/>
        <w:jc w:val="center"/>
        <w:rPr>
          <w:b/>
          <w:sz w:val="30"/>
          <w:lang w:eastAsia="zh-CN"/>
        </w:rPr>
      </w:pPr>
      <w:r>
        <w:rPr>
          <w:b/>
          <w:sz w:val="30"/>
          <w:lang w:eastAsia="zh-CN"/>
        </w:rPr>
        <w:t>（一）拟投入本项目人员汇总表</w:t>
      </w:r>
    </w:p>
    <w:p w14:paraId="6FB32B64">
      <w:pPr>
        <w:pStyle w:val="6"/>
        <w:spacing w:before="4"/>
        <w:ind w:left="0"/>
        <w:rPr>
          <w:b/>
          <w:sz w:val="15"/>
          <w:lang w:eastAsia="zh-CN"/>
        </w:rPr>
      </w:pPr>
    </w:p>
    <w:tbl>
      <w:tblPr>
        <w:tblStyle w:val="27"/>
        <w:tblW w:w="0" w:type="auto"/>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2"/>
        <w:gridCol w:w="1348"/>
        <w:gridCol w:w="1075"/>
        <w:gridCol w:w="1015"/>
        <w:gridCol w:w="1417"/>
        <w:gridCol w:w="1432"/>
        <w:gridCol w:w="2189"/>
      </w:tblGrid>
      <w:tr w14:paraId="4A937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5" w:hRule="atLeast"/>
        </w:trPr>
        <w:tc>
          <w:tcPr>
            <w:tcW w:w="782" w:type="dxa"/>
            <w:tcBorders>
              <w:bottom w:val="single" w:color="000000" w:sz="4" w:space="0"/>
              <w:right w:val="single" w:color="000000" w:sz="4" w:space="0"/>
            </w:tcBorders>
          </w:tcPr>
          <w:p w14:paraId="1A3E71A2">
            <w:pPr>
              <w:pStyle w:val="29"/>
              <w:rPr>
                <w:b/>
                <w:sz w:val="24"/>
                <w:szCs w:val="24"/>
                <w:lang w:eastAsia="zh-CN"/>
              </w:rPr>
            </w:pPr>
          </w:p>
          <w:p w14:paraId="79E97E52">
            <w:pPr>
              <w:pStyle w:val="29"/>
              <w:spacing w:before="141"/>
              <w:ind w:firstLine="240" w:firstLineChars="100"/>
              <w:rPr>
                <w:sz w:val="24"/>
                <w:szCs w:val="24"/>
              </w:rPr>
            </w:pPr>
            <w:r>
              <w:rPr>
                <w:sz w:val="24"/>
                <w:szCs w:val="24"/>
              </w:rPr>
              <w:t>序号</w:t>
            </w:r>
          </w:p>
        </w:tc>
        <w:tc>
          <w:tcPr>
            <w:tcW w:w="1348" w:type="dxa"/>
            <w:tcBorders>
              <w:left w:val="single" w:color="000000" w:sz="4" w:space="0"/>
              <w:bottom w:val="single" w:color="000000" w:sz="4" w:space="0"/>
              <w:right w:val="single" w:color="000000" w:sz="4" w:space="0"/>
            </w:tcBorders>
          </w:tcPr>
          <w:p w14:paraId="1E9A94A9">
            <w:pPr>
              <w:pStyle w:val="29"/>
              <w:rPr>
                <w:b/>
                <w:sz w:val="24"/>
                <w:szCs w:val="24"/>
              </w:rPr>
            </w:pPr>
          </w:p>
          <w:p w14:paraId="183DB7CA">
            <w:pPr>
              <w:pStyle w:val="29"/>
              <w:spacing w:before="141"/>
              <w:ind w:left="423"/>
              <w:rPr>
                <w:sz w:val="24"/>
                <w:szCs w:val="24"/>
              </w:rPr>
            </w:pPr>
            <w:r>
              <w:rPr>
                <w:sz w:val="24"/>
                <w:szCs w:val="24"/>
              </w:rPr>
              <w:t>姓名</w:t>
            </w:r>
          </w:p>
        </w:tc>
        <w:tc>
          <w:tcPr>
            <w:tcW w:w="1075" w:type="dxa"/>
            <w:tcBorders>
              <w:left w:val="single" w:color="000000" w:sz="4" w:space="0"/>
              <w:bottom w:val="single" w:color="000000" w:sz="4" w:space="0"/>
              <w:right w:val="single" w:color="000000" w:sz="4" w:space="0"/>
            </w:tcBorders>
          </w:tcPr>
          <w:p w14:paraId="5644FC0B">
            <w:pPr>
              <w:pStyle w:val="29"/>
              <w:rPr>
                <w:b/>
                <w:sz w:val="24"/>
                <w:szCs w:val="24"/>
              </w:rPr>
            </w:pPr>
          </w:p>
          <w:p w14:paraId="3C894AC7">
            <w:pPr>
              <w:pStyle w:val="29"/>
              <w:spacing w:before="141"/>
              <w:ind w:left="1" w:firstLine="240" w:firstLineChars="100"/>
              <w:rPr>
                <w:sz w:val="24"/>
                <w:szCs w:val="24"/>
              </w:rPr>
            </w:pPr>
            <w:r>
              <w:rPr>
                <w:sz w:val="24"/>
                <w:szCs w:val="24"/>
              </w:rPr>
              <w:t>性别</w:t>
            </w:r>
          </w:p>
        </w:tc>
        <w:tc>
          <w:tcPr>
            <w:tcW w:w="1015" w:type="dxa"/>
            <w:tcBorders>
              <w:left w:val="single" w:color="000000" w:sz="4" w:space="0"/>
              <w:bottom w:val="single" w:color="000000" w:sz="4" w:space="0"/>
              <w:right w:val="single" w:color="000000" w:sz="4" w:space="0"/>
            </w:tcBorders>
          </w:tcPr>
          <w:p w14:paraId="394BDE8E">
            <w:pPr>
              <w:pStyle w:val="29"/>
              <w:rPr>
                <w:b/>
                <w:sz w:val="24"/>
                <w:szCs w:val="24"/>
              </w:rPr>
            </w:pPr>
          </w:p>
          <w:p w14:paraId="5C68D3AE">
            <w:pPr>
              <w:pStyle w:val="29"/>
              <w:spacing w:before="141"/>
              <w:ind w:left="1" w:firstLine="240" w:firstLineChars="100"/>
              <w:rPr>
                <w:sz w:val="24"/>
                <w:szCs w:val="24"/>
              </w:rPr>
            </w:pPr>
            <w:r>
              <w:rPr>
                <w:sz w:val="24"/>
                <w:szCs w:val="24"/>
              </w:rPr>
              <w:t>年龄</w:t>
            </w:r>
          </w:p>
        </w:tc>
        <w:tc>
          <w:tcPr>
            <w:tcW w:w="1417" w:type="dxa"/>
            <w:tcBorders>
              <w:left w:val="single" w:color="000000" w:sz="4" w:space="0"/>
              <w:bottom w:val="single" w:color="000000" w:sz="4" w:space="0"/>
              <w:right w:val="single" w:color="000000" w:sz="4" w:space="0"/>
            </w:tcBorders>
          </w:tcPr>
          <w:p w14:paraId="1CE140E5">
            <w:pPr>
              <w:pStyle w:val="29"/>
              <w:rPr>
                <w:b/>
                <w:sz w:val="24"/>
                <w:szCs w:val="24"/>
              </w:rPr>
            </w:pPr>
          </w:p>
          <w:p w14:paraId="5DC4BBD2">
            <w:pPr>
              <w:pStyle w:val="29"/>
              <w:spacing w:before="141"/>
              <w:ind w:left="422"/>
              <w:rPr>
                <w:sz w:val="24"/>
                <w:szCs w:val="24"/>
              </w:rPr>
            </w:pPr>
            <w:r>
              <w:rPr>
                <w:sz w:val="24"/>
                <w:szCs w:val="24"/>
              </w:rPr>
              <w:t>职务</w:t>
            </w:r>
          </w:p>
        </w:tc>
        <w:tc>
          <w:tcPr>
            <w:tcW w:w="1432" w:type="dxa"/>
            <w:tcBorders>
              <w:left w:val="single" w:color="000000" w:sz="4" w:space="0"/>
              <w:bottom w:val="single" w:color="000000" w:sz="4" w:space="0"/>
              <w:right w:val="single" w:color="000000" w:sz="4" w:space="0"/>
            </w:tcBorders>
          </w:tcPr>
          <w:p w14:paraId="61D2C90C">
            <w:pPr>
              <w:pStyle w:val="29"/>
              <w:rPr>
                <w:b/>
                <w:sz w:val="24"/>
                <w:szCs w:val="24"/>
              </w:rPr>
            </w:pPr>
          </w:p>
          <w:p w14:paraId="41CF34A0">
            <w:pPr>
              <w:pStyle w:val="29"/>
              <w:spacing w:before="141"/>
              <w:ind w:left="422"/>
              <w:rPr>
                <w:sz w:val="24"/>
                <w:szCs w:val="24"/>
              </w:rPr>
            </w:pPr>
            <w:r>
              <w:rPr>
                <w:sz w:val="24"/>
                <w:szCs w:val="24"/>
              </w:rPr>
              <w:t>职称</w:t>
            </w:r>
          </w:p>
        </w:tc>
        <w:tc>
          <w:tcPr>
            <w:tcW w:w="2189" w:type="dxa"/>
            <w:tcBorders>
              <w:left w:val="single" w:color="000000" w:sz="4" w:space="0"/>
              <w:bottom w:val="single" w:color="000000" w:sz="4" w:space="0"/>
            </w:tcBorders>
            <w:vAlign w:val="center"/>
          </w:tcPr>
          <w:p w14:paraId="05BAE7C9">
            <w:pPr>
              <w:pStyle w:val="29"/>
              <w:spacing w:before="141"/>
              <w:jc w:val="center"/>
              <w:rPr>
                <w:rFonts w:ascii="宋体" w:hAnsi="宋体" w:eastAsia="宋体" w:cs="宋体"/>
                <w:sz w:val="24"/>
                <w:szCs w:val="24"/>
              </w:rPr>
            </w:pPr>
            <w:r>
              <w:rPr>
                <w:rFonts w:ascii="宋体" w:hAnsi="宋体" w:eastAsia="宋体" w:cs="宋体"/>
                <w:sz w:val="24"/>
                <w:szCs w:val="24"/>
              </w:rPr>
              <w:t>在本项目拟任职务</w:t>
            </w:r>
          </w:p>
        </w:tc>
      </w:tr>
      <w:tr w14:paraId="3C154B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782" w:type="dxa"/>
            <w:tcBorders>
              <w:top w:val="single" w:color="000000" w:sz="4" w:space="0"/>
              <w:bottom w:val="single" w:color="000000" w:sz="4" w:space="0"/>
              <w:right w:val="single" w:color="000000" w:sz="4" w:space="0"/>
            </w:tcBorders>
          </w:tcPr>
          <w:p w14:paraId="1D846995">
            <w:pPr>
              <w:pStyle w:val="29"/>
              <w:spacing w:before="11"/>
              <w:jc w:val="center"/>
              <w:rPr>
                <w:b/>
                <w:sz w:val="24"/>
                <w:szCs w:val="24"/>
              </w:rPr>
            </w:pPr>
          </w:p>
          <w:p w14:paraId="39E50A15">
            <w:pPr>
              <w:pStyle w:val="29"/>
              <w:ind w:right="72"/>
              <w:jc w:val="center"/>
              <w:rPr>
                <w:sz w:val="24"/>
                <w:szCs w:val="24"/>
              </w:rPr>
            </w:pPr>
            <w:r>
              <w:rPr>
                <w:w w:val="99"/>
                <w:sz w:val="24"/>
                <w:szCs w:val="24"/>
              </w:rPr>
              <w:t>1</w:t>
            </w:r>
          </w:p>
        </w:tc>
        <w:tc>
          <w:tcPr>
            <w:tcW w:w="1348" w:type="dxa"/>
            <w:tcBorders>
              <w:top w:val="single" w:color="000000" w:sz="4" w:space="0"/>
              <w:left w:val="single" w:color="000000" w:sz="4" w:space="0"/>
              <w:bottom w:val="single" w:color="000000" w:sz="4" w:space="0"/>
              <w:right w:val="single" w:color="000000" w:sz="4" w:space="0"/>
            </w:tcBorders>
          </w:tcPr>
          <w:p w14:paraId="0D452C5A">
            <w:pPr>
              <w:pStyle w:val="29"/>
              <w:rPr>
                <w:sz w:val="24"/>
                <w:szCs w:val="24"/>
              </w:rPr>
            </w:pPr>
          </w:p>
        </w:tc>
        <w:tc>
          <w:tcPr>
            <w:tcW w:w="1075" w:type="dxa"/>
            <w:tcBorders>
              <w:top w:val="single" w:color="000000" w:sz="4" w:space="0"/>
              <w:left w:val="single" w:color="000000" w:sz="4" w:space="0"/>
              <w:bottom w:val="single" w:color="000000" w:sz="4" w:space="0"/>
              <w:right w:val="single" w:color="000000" w:sz="4" w:space="0"/>
            </w:tcBorders>
          </w:tcPr>
          <w:p w14:paraId="2BBB7BD5">
            <w:pPr>
              <w:pStyle w:val="29"/>
              <w:rPr>
                <w:sz w:val="24"/>
                <w:szCs w:val="24"/>
              </w:rPr>
            </w:pPr>
          </w:p>
        </w:tc>
        <w:tc>
          <w:tcPr>
            <w:tcW w:w="1015" w:type="dxa"/>
            <w:tcBorders>
              <w:top w:val="single" w:color="000000" w:sz="4" w:space="0"/>
              <w:left w:val="single" w:color="000000" w:sz="4" w:space="0"/>
              <w:bottom w:val="single" w:color="000000" w:sz="4" w:space="0"/>
              <w:right w:val="single" w:color="000000" w:sz="4" w:space="0"/>
            </w:tcBorders>
          </w:tcPr>
          <w:p w14:paraId="166DAE0C">
            <w:pPr>
              <w:pStyle w:val="29"/>
              <w:rPr>
                <w:sz w:val="24"/>
                <w:szCs w:val="24"/>
              </w:rPr>
            </w:pPr>
          </w:p>
        </w:tc>
        <w:tc>
          <w:tcPr>
            <w:tcW w:w="1417" w:type="dxa"/>
            <w:tcBorders>
              <w:top w:val="single" w:color="000000" w:sz="4" w:space="0"/>
              <w:left w:val="single" w:color="000000" w:sz="4" w:space="0"/>
              <w:bottom w:val="single" w:color="000000" w:sz="4" w:space="0"/>
              <w:right w:val="single" w:color="000000" w:sz="4" w:space="0"/>
            </w:tcBorders>
          </w:tcPr>
          <w:p w14:paraId="528339D2">
            <w:pPr>
              <w:pStyle w:val="29"/>
              <w:rPr>
                <w:sz w:val="24"/>
                <w:szCs w:val="24"/>
              </w:rPr>
            </w:pPr>
          </w:p>
        </w:tc>
        <w:tc>
          <w:tcPr>
            <w:tcW w:w="1432" w:type="dxa"/>
            <w:tcBorders>
              <w:top w:val="single" w:color="000000" w:sz="4" w:space="0"/>
              <w:left w:val="single" w:color="000000" w:sz="4" w:space="0"/>
              <w:bottom w:val="single" w:color="000000" w:sz="4" w:space="0"/>
              <w:right w:val="single" w:color="000000" w:sz="4" w:space="0"/>
            </w:tcBorders>
          </w:tcPr>
          <w:p w14:paraId="2719BB56">
            <w:pPr>
              <w:pStyle w:val="29"/>
              <w:rPr>
                <w:sz w:val="24"/>
                <w:szCs w:val="24"/>
              </w:rPr>
            </w:pPr>
          </w:p>
        </w:tc>
        <w:tc>
          <w:tcPr>
            <w:tcW w:w="2189" w:type="dxa"/>
            <w:tcBorders>
              <w:top w:val="single" w:color="000000" w:sz="4" w:space="0"/>
              <w:left w:val="single" w:color="000000" w:sz="4" w:space="0"/>
              <w:bottom w:val="single" w:color="000000" w:sz="4" w:space="0"/>
            </w:tcBorders>
          </w:tcPr>
          <w:p w14:paraId="7C26C599">
            <w:pPr>
              <w:pStyle w:val="29"/>
              <w:rPr>
                <w:sz w:val="24"/>
                <w:szCs w:val="24"/>
              </w:rPr>
            </w:pPr>
          </w:p>
        </w:tc>
      </w:tr>
      <w:tr w14:paraId="25A7A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782" w:type="dxa"/>
            <w:tcBorders>
              <w:top w:val="single" w:color="000000" w:sz="4" w:space="0"/>
              <w:bottom w:val="single" w:color="000000" w:sz="4" w:space="0"/>
              <w:right w:val="single" w:color="000000" w:sz="4" w:space="0"/>
            </w:tcBorders>
          </w:tcPr>
          <w:p w14:paraId="0EC208FB">
            <w:pPr>
              <w:pStyle w:val="29"/>
              <w:spacing w:before="9"/>
              <w:jc w:val="center"/>
              <w:rPr>
                <w:b/>
                <w:sz w:val="24"/>
                <w:szCs w:val="24"/>
              </w:rPr>
            </w:pPr>
          </w:p>
          <w:p w14:paraId="19FE05F8">
            <w:pPr>
              <w:pStyle w:val="29"/>
              <w:ind w:right="72"/>
              <w:jc w:val="center"/>
              <w:rPr>
                <w:sz w:val="24"/>
                <w:szCs w:val="24"/>
              </w:rPr>
            </w:pPr>
            <w:r>
              <w:rPr>
                <w:w w:val="99"/>
                <w:sz w:val="24"/>
                <w:szCs w:val="24"/>
              </w:rPr>
              <w:t>2</w:t>
            </w:r>
          </w:p>
        </w:tc>
        <w:tc>
          <w:tcPr>
            <w:tcW w:w="1348" w:type="dxa"/>
            <w:tcBorders>
              <w:top w:val="single" w:color="000000" w:sz="4" w:space="0"/>
              <w:left w:val="single" w:color="000000" w:sz="4" w:space="0"/>
              <w:bottom w:val="single" w:color="000000" w:sz="4" w:space="0"/>
              <w:right w:val="single" w:color="000000" w:sz="4" w:space="0"/>
            </w:tcBorders>
          </w:tcPr>
          <w:p w14:paraId="6F78FF6D">
            <w:pPr>
              <w:pStyle w:val="29"/>
              <w:rPr>
                <w:sz w:val="24"/>
                <w:szCs w:val="24"/>
              </w:rPr>
            </w:pPr>
          </w:p>
        </w:tc>
        <w:tc>
          <w:tcPr>
            <w:tcW w:w="1075" w:type="dxa"/>
            <w:tcBorders>
              <w:top w:val="single" w:color="000000" w:sz="4" w:space="0"/>
              <w:left w:val="single" w:color="000000" w:sz="4" w:space="0"/>
              <w:bottom w:val="single" w:color="000000" w:sz="4" w:space="0"/>
              <w:right w:val="single" w:color="000000" w:sz="4" w:space="0"/>
            </w:tcBorders>
          </w:tcPr>
          <w:p w14:paraId="10170B48">
            <w:pPr>
              <w:pStyle w:val="29"/>
              <w:rPr>
                <w:sz w:val="24"/>
                <w:szCs w:val="24"/>
              </w:rPr>
            </w:pPr>
          </w:p>
        </w:tc>
        <w:tc>
          <w:tcPr>
            <w:tcW w:w="1015" w:type="dxa"/>
            <w:tcBorders>
              <w:top w:val="single" w:color="000000" w:sz="4" w:space="0"/>
              <w:left w:val="single" w:color="000000" w:sz="4" w:space="0"/>
              <w:bottom w:val="single" w:color="000000" w:sz="4" w:space="0"/>
              <w:right w:val="single" w:color="000000" w:sz="4" w:space="0"/>
            </w:tcBorders>
          </w:tcPr>
          <w:p w14:paraId="34D3E5B0">
            <w:pPr>
              <w:pStyle w:val="29"/>
              <w:rPr>
                <w:sz w:val="24"/>
                <w:szCs w:val="24"/>
              </w:rPr>
            </w:pPr>
          </w:p>
        </w:tc>
        <w:tc>
          <w:tcPr>
            <w:tcW w:w="1417" w:type="dxa"/>
            <w:tcBorders>
              <w:top w:val="single" w:color="000000" w:sz="4" w:space="0"/>
              <w:left w:val="single" w:color="000000" w:sz="4" w:space="0"/>
              <w:bottom w:val="single" w:color="000000" w:sz="4" w:space="0"/>
              <w:right w:val="single" w:color="000000" w:sz="4" w:space="0"/>
            </w:tcBorders>
          </w:tcPr>
          <w:p w14:paraId="76F76F60">
            <w:pPr>
              <w:pStyle w:val="29"/>
              <w:rPr>
                <w:sz w:val="24"/>
                <w:szCs w:val="24"/>
              </w:rPr>
            </w:pPr>
          </w:p>
        </w:tc>
        <w:tc>
          <w:tcPr>
            <w:tcW w:w="1432" w:type="dxa"/>
            <w:tcBorders>
              <w:top w:val="single" w:color="000000" w:sz="4" w:space="0"/>
              <w:left w:val="single" w:color="000000" w:sz="4" w:space="0"/>
              <w:bottom w:val="single" w:color="000000" w:sz="4" w:space="0"/>
              <w:right w:val="single" w:color="000000" w:sz="4" w:space="0"/>
            </w:tcBorders>
          </w:tcPr>
          <w:p w14:paraId="5B3833CE">
            <w:pPr>
              <w:pStyle w:val="29"/>
              <w:rPr>
                <w:sz w:val="24"/>
                <w:szCs w:val="24"/>
              </w:rPr>
            </w:pPr>
          </w:p>
        </w:tc>
        <w:tc>
          <w:tcPr>
            <w:tcW w:w="2189" w:type="dxa"/>
            <w:tcBorders>
              <w:top w:val="single" w:color="000000" w:sz="4" w:space="0"/>
              <w:left w:val="single" w:color="000000" w:sz="4" w:space="0"/>
              <w:bottom w:val="single" w:color="000000" w:sz="4" w:space="0"/>
            </w:tcBorders>
          </w:tcPr>
          <w:p w14:paraId="75D738E5">
            <w:pPr>
              <w:pStyle w:val="29"/>
              <w:rPr>
                <w:sz w:val="24"/>
                <w:szCs w:val="24"/>
              </w:rPr>
            </w:pPr>
          </w:p>
        </w:tc>
      </w:tr>
      <w:tr w14:paraId="3CA771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782" w:type="dxa"/>
            <w:tcBorders>
              <w:top w:val="single" w:color="000000" w:sz="4" w:space="0"/>
              <w:bottom w:val="single" w:color="000000" w:sz="4" w:space="0"/>
              <w:right w:val="single" w:color="000000" w:sz="4" w:space="0"/>
            </w:tcBorders>
          </w:tcPr>
          <w:p w14:paraId="2C39DAAF">
            <w:pPr>
              <w:pStyle w:val="29"/>
              <w:spacing w:before="10"/>
              <w:jc w:val="center"/>
              <w:rPr>
                <w:b/>
                <w:sz w:val="24"/>
                <w:szCs w:val="24"/>
              </w:rPr>
            </w:pPr>
          </w:p>
          <w:p w14:paraId="7B7A483D">
            <w:pPr>
              <w:pStyle w:val="29"/>
              <w:ind w:right="72"/>
              <w:jc w:val="center"/>
              <w:rPr>
                <w:sz w:val="24"/>
                <w:szCs w:val="24"/>
              </w:rPr>
            </w:pPr>
            <w:r>
              <w:rPr>
                <w:w w:val="99"/>
                <w:sz w:val="24"/>
                <w:szCs w:val="24"/>
              </w:rPr>
              <w:t>3</w:t>
            </w:r>
          </w:p>
        </w:tc>
        <w:tc>
          <w:tcPr>
            <w:tcW w:w="1348" w:type="dxa"/>
            <w:tcBorders>
              <w:top w:val="single" w:color="000000" w:sz="4" w:space="0"/>
              <w:left w:val="single" w:color="000000" w:sz="4" w:space="0"/>
              <w:bottom w:val="single" w:color="000000" w:sz="4" w:space="0"/>
              <w:right w:val="single" w:color="000000" w:sz="4" w:space="0"/>
            </w:tcBorders>
          </w:tcPr>
          <w:p w14:paraId="1F567E58">
            <w:pPr>
              <w:pStyle w:val="29"/>
              <w:rPr>
                <w:sz w:val="24"/>
                <w:szCs w:val="24"/>
              </w:rPr>
            </w:pPr>
          </w:p>
        </w:tc>
        <w:tc>
          <w:tcPr>
            <w:tcW w:w="1075" w:type="dxa"/>
            <w:tcBorders>
              <w:top w:val="single" w:color="000000" w:sz="4" w:space="0"/>
              <w:left w:val="single" w:color="000000" w:sz="4" w:space="0"/>
              <w:bottom w:val="single" w:color="000000" w:sz="4" w:space="0"/>
              <w:right w:val="single" w:color="000000" w:sz="4" w:space="0"/>
            </w:tcBorders>
          </w:tcPr>
          <w:p w14:paraId="75DF9BF1">
            <w:pPr>
              <w:pStyle w:val="29"/>
              <w:rPr>
                <w:sz w:val="24"/>
                <w:szCs w:val="24"/>
              </w:rPr>
            </w:pPr>
          </w:p>
        </w:tc>
        <w:tc>
          <w:tcPr>
            <w:tcW w:w="1015" w:type="dxa"/>
            <w:tcBorders>
              <w:top w:val="single" w:color="000000" w:sz="4" w:space="0"/>
              <w:left w:val="single" w:color="000000" w:sz="4" w:space="0"/>
              <w:bottom w:val="single" w:color="000000" w:sz="4" w:space="0"/>
              <w:right w:val="single" w:color="000000" w:sz="4" w:space="0"/>
            </w:tcBorders>
          </w:tcPr>
          <w:p w14:paraId="1909623E">
            <w:pPr>
              <w:pStyle w:val="29"/>
              <w:rPr>
                <w:sz w:val="24"/>
                <w:szCs w:val="24"/>
              </w:rPr>
            </w:pPr>
          </w:p>
        </w:tc>
        <w:tc>
          <w:tcPr>
            <w:tcW w:w="1417" w:type="dxa"/>
            <w:tcBorders>
              <w:top w:val="single" w:color="000000" w:sz="4" w:space="0"/>
              <w:left w:val="single" w:color="000000" w:sz="4" w:space="0"/>
              <w:bottom w:val="single" w:color="000000" w:sz="4" w:space="0"/>
              <w:right w:val="single" w:color="000000" w:sz="4" w:space="0"/>
            </w:tcBorders>
          </w:tcPr>
          <w:p w14:paraId="2A502D7D">
            <w:pPr>
              <w:pStyle w:val="29"/>
              <w:rPr>
                <w:sz w:val="24"/>
                <w:szCs w:val="24"/>
              </w:rPr>
            </w:pPr>
          </w:p>
        </w:tc>
        <w:tc>
          <w:tcPr>
            <w:tcW w:w="1432" w:type="dxa"/>
            <w:tcBorders>
              <w:top w:val="single" w:color="000000" w:sz="4" w:space="0"/>
              <w:left w:val="single" w:color="000000" w:sz="4" w:space="0"/>
              <w:bottom w:val="single" w:color="000000" w:sz="4" w:space="0"/>
              <w:right w:val="single" w:color="000000" w:sz="4" w:space="0"/>
            </w:tcBorders>
          </w:tcPr>
          <w:p w14:paraId="06E4DA89">
            <w:pPr>
              <w:pStyle w:val="29"/>
              <w:rPr>
                <w:sz w:val="24"/>
                <w:szCs w:val="24"/>
              </w:rPr>
            </w:pPr>
          </w:p>
        </w:tc>
        <w:tc>
          <w:tcPr>
            <w:tcW w:w="2189" w:type="dxa"/>
            <w:tcBorders>
              <w:top w:val="single" w:color="000000" w:sz="4" w:space="0"/>
              <w:left w:val="single" w:color="000000" w:sz="4" w:space="0"/>
              <w:bottom w:val="single" w:color="000000" w:sz="4" w:space="0"/>
            </w:tcBorders>
          </w:tcPr>
          <w:p w14:paraId="0B79C6DF">
            <w:pPr>
              <w:pStyle w:val="29"/>
              <w:rPr>
                <w:sz w:val="24"/>
                <w:szCs w:val="24"/>
              </w:rPr>
            </w:pPr>
          </w:p>
        </w:tc>
      </w:tr>
      <w:tr w14:paraId="44B237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782" w:type="dxa"/>
            <w:tcBorders>
              <w:top w:val="single" w:color="000000" w:sz="4" w:space="0"/>
              <w:bottom w:val="single" w:color="000000" w:sz="4" w:space="0"/>
              <w:right w:val="single" w:color="000000" w:sz="4" w:space="0"/>
            </w:tcBorders>
          </w:tcPr>
          <w:p w14:paraId="6A6EB488">
            <w:pPr>
              <w:pStyle w:val="29"/>
              <w:spacing w:before="10"/>
              <w:jc w:val="center"/>
              <w:rPr>
                <w:b/>
                <w:sz w:val="24"/>
                <w:szCs w:val="24"/>
              </w:rPr>
            </w:pPr>
          </w:p>
          <w:p w14:paraId="6FD65218">
            <w:pPr>
              <w:pStyle w:val="29"/>
              <w:ind w:right="72"/>
              <w:jc w:val="center"/>
              <w:rPr>
                <w:sz w:val="24"/>
                <w:szCs w:val="24"/>
              </w:rPr>
            </w:pPr>
            <w:r>
              <w:rPr>
                <w:w w:val="99"/>
                <w:sz w:val="24"/>
                <w:szCs w:val="24"/>
              </w:rPr>
              <w:t>4</w:t>
            </w:r>
          </w:p>
        </w:tc>
        <w:tc>
          <w:tcPr>
            <w:tcW w:w="1348" w:type="dxa"/>
            <w:tcBorders>
              <w:top w:val="single" w:color="000000" w:sz="4" w:space="0"/>
              <w:left w:val="single" w:color="000000" w:sz="4" w:space="0"/>
              <w:bottom w:val="single" w:color="000000" w:sz="4" w:space="0"/>
              <w:right w:val="single" w:color="000000" w:sz="4" w:space="0"/>
            </w:tcBorders>
          </w:tcPr>
          <w:p w14:paraId="5507F8B9">
            <w:pPr>
              <w:pStyle w:val="29"/>
              <w:rPr>
                <w:sz w:val="24"/>
                <w:szCs w:val="24"/>
              </w:rPr>
            </w:pPr>
          </w:p>
        </w:tc>
        <w:tc>
          <w:tcPr>
            <w:tcW w:w="1075" w:type="dxa"/>
            <w:tcBorders>
              <w:top w:val="single" w:color="000000" w:sz="4" w:space="0"/>
              <w:left w:val="single" w:color="000000" w:sz="4" w:space="0"/>
              <w:bottom w:val="single" w:color="000000" w:sz="4" w:space="0"/>
              <w:right w:val="single" w:color="000000" w:sz="4" w:space="0"/>
            </w:tcBorders>
          </w:tcPr>
          <w:p w14:paraId="4D3FFFB5">
            <w:pPr>
              <w:pStyle w:val="29"/>
              <w:rPr>
                <w:sz w:val="24"/>
                <w:szCs w:val="24"/>
              </w:rPr>
            </w:pPr>
          </w:p>
        </w:tc>
        <w:tc>
          <w:tcPr>
            <w:tcW w:w="1015" w:type="dxa"/>
            <w:tcBorders>
              <w:top w:val="single" w:color="000000" w:sz="4" w:space="0"/>
              <w:left w:val="single" w:color="000000" w:sz="4" w:space="0"/>
              <w:bottom w:val="single" w:color="000000" w:sz="4" w:space="0"/>
              <w:right w:val="single" w:color="000000" w:sz="4" w:space="0"/>
            </w:tcBorders>
          </w:tcPr>
          <w:p w14:paraId="3AE1CB1A">
            <w:pPr>
              <w:pStyle w:val="29"/>
              <w:rPr>
                <w:sz w:val="24"/>
                <w:szCs w:val="24"/>
              </w:rPr>
            </w:pPr>
          </w:p>
        </w:tc>
        <w:tc>
          <w:tcPr>
            <w:tcW w:w="1417" w:type="dxa"/>
            <w:tcBorders>
              <w:top w:val="single" w:color="000000" w:sz="4" w:space="0"/>
              <w:left w:val="single" w:color="000000" w:sz="4" w:space="0"/>
              <w:bottom w:val="single" w:color="000000" w:sz="4" w:space="0"/>
              <w:right w:val="single" w:color="000000" w:sz="4" w:space="0"/>
            </w:tcBorders>
          </w:tcPr>
          <w:p w14:paraId="14AC2E2D">
            <w:pPr>
              <w:pStyle w:val="29"/>
              <w:rPr>
                <w:sz w:val="24"/>
                <w:szCs w:val="24"/>
              </w:rPr>
            </w:pPr>
          </w:p>
        </w:tc>
        <w:tc>
          <w:tcPr>
            <w:tcW w:w="1432" w:type="dxa"/>
            <w:tcBorders>
              <w:top w:val="single" w:color="000000" w:sz="4" w:space="0"/>
              <w:left w:val="single" w:color="000000" w:sz="4" w:space="0"/>
              <w:bottom w:val="single" w:color="000000" w:sz="4" w:space="0"/>
              <w:right w:val="single" w:color="000000" w:sz="4" w:space="0"/>
            </w:tcBorders>
          </w:tcPr>
          <w:p w14:paraId="1FB09BCA">
            <w:pPr>
              <w:pStyle w:val="29"/>
              <w:rPr>
                <w:sz w:val="24"/>
                <w:szCs w:val="24"/>
              </w:rPr>
            </w:pPr>
          </w:p>
        </w:tc>
        <w:tc>
          <w:tcPr>
            <w:tcW w:w="2189" w:type="dxa"/>
            <w:tcBorders>
              <w:top w:val="single" w:color="000000" w:sz="4" w:space="0"/>
              <w:left w:val="single" w:color="000000" w:sz="4" w:space="0"/>
              <w:bottom w:val="single" w:color="000000" w:sz="4" w:space="0"/>
            </w:tcBorders>
          </w:tcPr>
          <w:p w14:paraId="32715609">
            <w:pPr>
              <w:pStyle w:val="29"/>
              <w:rPr>
                <w:sz w:val="24"/>
                <w:szCs w:val="24"/>
              </w:rPr>
            </w:pPr>
          </w:p>
        </w:tc>
      </w:tr>
      <w:tr w14:paraId="2912D8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782" w:type="dxa"/>
            <w:tcBorders>
              <w:top w:val="single" w:color="000000" w:sz="4" w:space="0"/>
              <w:bottom w:val="single" w:color="000000" w:sz="4" w:space="0"/>
              <w:right w:val="single" w:color="000000" w:sz="4" w:space="0"/>
            </w:tcBorders>
          </w:tcPr>
          <w:p w14:paraId="3E2160B5">
            <w:pPr>
              <w:pStyle w:val="29"/>
              <w:spacing w:before="11"/>
              <w:jc w:val="center"/>
              <w:rPr>
                <w:b/>
                <w:sz w:val="24"/>
                <w:szCs w:val="24"/>
              </w:rPr>
            </w:pPr>
          </w:p>
          <w:p w14:paraId="6DC45113">
            <w:pPr>
              <w:pStyle w:val="29"/>
              <w:ind w:right="72"/>
              <w:jc w:val="center"/>
              <w:rPr>
                <w:sz w:val="24"/>
                <w:szCs w:val="24"/>
              </w:rPr>
            </w:pPr>
            <w:r>
              <w:rPr>
                <w:w w:val="99"/>
                <w:sz w:val="24"/>
                <w:szCs w:val="24"/>
              </w:rPr>
              <w:t>5</w:t>
            </w:r>
          </w:p>
        </w:tc>
        <w:tc>
          <w:tcPr>
            <w:tcW w:w="1348" w:type="dxa"/>
            <w:tcBorders>
              <w:top w:val="single" w:color="000000" w:sz="4" w:space="0"/>
              <w:left w:val="single" w:color="000000" w:sz="4" w:space="0"/>
              <w:bottom w:val="single" w:color="000000" w:sz="4" w:space="0"/>
              <w:right w:val="single" w:color="000000" w:sz="4" w:space="0"/>
            </w:tcBorders>
          </w:tcPr>
          <w:p w14:paraId="35B65B6F">
            <w:pPr>
              <w:pStyle w:val="29"/>
              <w:rPr>
                <w:sz w:val="24"/>
                <w:szCs w:val="24"/>
              </w:rPr>
            </w:pPr>
          </w:p>
        </w:tc>
        <w:tc>
          <w:tcPr>
            <w:tcW w:w="1075" w:type="dxa"/>
            <w:tcBorders>
              <w:top w:val="single" w:color="000000" w:sz="4" w:space="0"/>
              <w:left w:val="single" w:color="000000" w:sz="4" w:space="0"/>
              <w:bottom w:val="single" w:color="000000" w:sz="4" w:space="0"/>
              <w:right w:val="single" w:color="000000" w:sz="4" w:space="0"/>
            </w:tcBorders>
          </w:tcPr>
          <w:p w14:paraId="200929EB">
            <w:pPr>
              <w:pStyle w:val="29"/>
              <w:rPr>
                <w:sz w:val="24"/>
                <w:szCs w:val="24"/>
              </w:rPr>
            </w:pPr>
          </w:p>
        </w:tc>
        <w:tc>
          <w:tcPr>
            <w:tcW w:w="1015" w:type="dxa"/>
            <w:tcBorders>
              <w:top w:val="single" w:color="000000" w:sz="4" w:space="0"/>
              <w:left w:val="single" w:color="000000" w:sz="4" w:space="0"/>
              <w:bottom w:val="single" w:color="000000" w:sz="4" w:space="0"/>
              <w:right w:val="single" w:color="000000" w:sz="4" w:space="0"/>
            </w:tcBorders>
          </w:tcPr>
          <w:p w14:paraId="588CC146">
            <w:pPr>
              <w:pStyle w:val="29"/>
              <w:rPr>
                <w:sz w:val="24"/>
                <w:szCs w:val="24"/>
              </w:rPr>
            </w:pPr>
          </w:p>
        </w:tc>
        <w:tc>
          <w:tcPr>
            <w:tcW w:w="1417" w:type="dxa"/>
            <w:tcBorders>
              <w:top w:val="single" w:color="000000" w:sz="4" w:space="0"/>
              <w:left w:val="single" w:color="000000" w:sz="4" w:space="0"/>
              <w:bottom w:val="single" w:color="000000" w:sz="4" w:space="0"/>
              <w:right w:val="single" w:color="000000" w:sz="4" w:space="0"/>
            </w:tcBorders>
          </w:tcPr>
          <w:p w14:paraId="680659EE">
            <w:pPr>
              <w:pStyle w:val="29"/>
              <w:rPr>
                <w:sz w:val="24"/>
                <w:szCs w:val="24"/>
              </w:rPr>
            </w:pPr>
          </w:p>
        </w:tc>
        <w:tc>
          <w:tcPr>
            <w:tcW w:w="1432" w:type="dxa"/>
            <w:tcBorders>
              <w:top w:val="single" w:color="000000" w:sz="4" w:space="0"/>
              <w:left w:val="single" w:color="000000" w:sz="4" w:space="0"/>
              <w:bottom w:val="single" w:color="000000" w:sz="4" w:space="0"/>
              <w:right w:val="single" w:color="000000" w:sz="4" w:space="0"/>
            </w:tcBorders>
          </w:tcPr>
          <w:p w14:paraId="3B974586">
            <w:pPr>
              <w:pStyle w:val="29"/>
              <w:rPr>
                <w:sz w:val="24"/>
                <w:szCs w:val="24"/>
              </w:rPr>
            </w:pPr>
          </w:p>
        </w:tc>
        <w:tc>
          <w:tcPr>
            <w:tcW w:w="2189" w:type="dxa"/>
            <w:tcBorders>
              <w:top w:val="single" w:color="000000" w:sz="4" w:space="0"/>
              <w:left w:val="single" w:color="000000" w:sz="4" w:space="0"/>
              <w:bottom w:val="single" w:color="000000" w:sz="4" w:space="0"/>
            </w:tcBorders>
          </w:tcPr>
          <w:p w14:paraId="14904C2F">
            <w:pPr>
              <w:pStyle w:val="29"/>
              <w:rPr>
                <w:sz w:val="24"/>
                <w:szCs w:val="24"/>
              </w:rPr>
            </w:pPr>
          </w:p>
        </w:tc>
      </w:tr>
      <w:tr w14:paraId="3D38A9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782" w:type="dxa"/>
            <w:tcBorders>
              <w:top w:val="single" w:color="000000" w:sz="4" w:space="0"/>
              <w:bottom w:val="single" w:color="000000" w:sz="4" w:space="0"/>
              <w:right w:val="single" w:color="000000" w:sz="4" w:space="0"/>
            </w:tcBorders>
          </w:tcPr>
          <w:p w14:paraId="0BB9DBF9">
            <w:pPr>
              <w:pStyle w:val="29"/>
              <w:spacing w:before="9"/>
              <w:jc w:val="center"/>
              <w:rPr>
                <w:b/>
                <w:sz w:val="24"/>
                <w:szCs w:val="24"/>
              </w:rPr>
            </w:pPr>
          </w:p>
          <w:p w14:paraId="4EEF7A37">
            <w:pPr>
              <w:pStyle w:val="29"/>
              <w:ind w:right="72"/>
              <w:jc w:val="center"/>
              <w:rPr>
                <w:sz w:val="24"/>
                <w:szCs w:val="24"/>
              </w:rPr>
            </w:pPr>
            <w:r>
              <w:rPr>
                <w:w w:val="99"/>
                <w:sz w:val="24"/>
                <w:szCs w:val="24"/>
              </w:rPr>
              <w:t>6</w:t>
            </w:r>
          </w:p>
        </w:tc>
        <w:tc>
          <w:tcPr>
            <w:tcW w:w="1348" w:type="dxa"/>
            <w:tcBorders>
              <w:top w:val="single" w:color="000000" w:sz="4" w:space="0"/>
              <w:left w:val="single" w:color="000000" w:sz="4" w:space="0"/>
              <w:bottom w:val="single" w:color="000000" w:sz="4" w:space="0"/>
              <w:right w:val="single" w:color="000000" w:sz="4" w:space="0"/>
            </w:tcBorders>
          </w:tcPr>
          <w:p w14:paraId="458DD3CC">
            <w:pPr>
              <w:pStyle w:val="29"/>
              <w:rPr>
                <w:sz w:val="24"/>
                <w:szCs w:val="24"/>
              </w:rPr>
            </w:pPr>
          </w:p>
        </w:tc>
        <w:tc>
          <w:tcPr>
            <w:tcW w:w="1075" w:type="dxa"/>
            <w:tcBorders>
              <w:top w:val="single" w:color="000000" w:sz="4" w:space="0"/>
              <w:left w:val="single" w:color="000000" w:sz="4" w:space="0"/>
              <w:bottom w:val="single" w:color="000000" w:sz="4" w:space="0"/>
              <w:right w:val="single" w:color="000000" w:sz="4" w:space="0"/>
            </w:tcBorders>
          </w:tcPr>
          <w:p w14:paraId="35167077">
            <w:pPr>
              <w:pStyle w:val="29"/>
              <w:rPr>
                <w:sz w:val="24"/>
                <w:szCs w:val="24"/>
              </w:rPr>
            </w:pPr>
          </w:p>
        </w:tc>
        <w:tc>
          <w:tcPr>
            <w:tcW w:w="1015" w:type="dxa"/>
            <w:tcBorders>
              <w:top w:val="single" w:color="000000" w:sz="4" w:space="0"/>
              <w:left w:val="single" w:color="000000" w:sz="4" w:space="0"/>
              <w:bottom w:val="single" w:color="000000" w:sz="4" w:space="0"/>
              <w:right w:val="single" w:color="000000" w:sz="4" w:space="0"/>
            </w:tcBorders>
          </w:tcPr>
          <w:p w14:paraId="6AB3C199">
            <w:pPr>
              <w:pStyle w:val="29"/>
              <w:rPr>
                <w:sz w:val="24"/>
                <w:szCs w:val="24"/>
              </w:rPr>
            </w:pPr>
          </w:p>
        </w:tc>
        <w:tc>
          <w:tcPr>
            <w:tcW w:w="1417" w:type="dxa"/>
            <w:tcBorders>
              <w:top w:val="single" w:color="000000" w:sz="4" w:space="0"/>
              <w:left w:val="single" w:color="000000" w:sz="4" w:space="0"/>
              <w:bottom w:val="single" w:color="000000" w:sz="4" w:space="0"/>
              <w:right w:val="single" w:color="000000" w:sz="4" w:space="0"/>
            </w:tcBorders>
          </w:tcPr>
          <w:p w14:paraId="02610280">
            <w:pPr>
              <w:pStyle w:val="29"/>
              <w:rPr>
                <w:sz w:val="24"/>
                <w:szCs w:val="24"/>
              </w:rPr>
            </w:pPr>
          </w:p>
        </w:tc>
        <w:tc>
          <w:tcPr>
            <w:tcW w:w="1432" w:type="dxa"/>
            <w:tcBorders>
              <w:top w:val="single" w:color="000000" w:sz="4" w:space="0"/>
              <w:left w:val="single" w:color="000000" w:sz="4" w:space="0"/>
              <w:bottom w:val="single" w:color="000000" w:sz="4" w:space="0"/>
              <w:right w:val="single" w:color="000000" w:sz="4" w:space="0"/>
            </w:tcBorders>
          </w:tcPr>
          <w:p w14:paraId="3B276700">
            <w:pPr>
              <w:pStyle w:val="29"/>
              <w:rPr>
                <w:sz w:val="24"/>
                <w:szCs w:val="24"/>
              </w:rPr>
            </w:pPr>
          </w:p>
        </w:tc>
        <w:tc>
          <w:tcPr>
            <w:tcW w:w="2189" w:type="dxa"/>
            <w:tcBorders>
              <w:top w:val="single" w:color="000000" w:sz="4" w:space="0"/>
              <w:left w:val="single" w:color="000000" w:sz="4" w:space="0"/>
              <w:bottom w:val="single" w:color="000000" w:sz="4" w:space="0"/>
            </w:tcBorders>
          </w:tcPr>
          <w:p w14:paraId="0FCE027F">
            <w:pPr>
              <w:pStyle w:val="29"/>
              <w:rPr>
                <w:sz w:val="24"/>
                <w:szCs w:val="24"/>
              </w:rPr>
            </w:pPr>
          </w:p>
        </w:tc>
      </w:tr>
      <w:tr w14:paraId="3CA564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782" w:type="dxa"/>
            <w:tcBorders>
              <w:top w:val="single" w:color="000000" w:sz="4" w:space="0"/>
              <w:bottom w:val="single" w:color="000000" w:sz="4" w:space="0"/>
              <w:right w:val="single" w:color="000000" w:sz="4" w:space="0"/>
            </w:tcBorders>
          </w:tcPr>
          <w:p w14:paraId="689711E8">
            <w:pPr>
              <w:pStyle w:val="29"/>
              <w:spacing w:before="10"/>
              <w:jc w:val="center"/>
              <w:rPr>
                <w:b/>
                <w:sz w:val="24"/>
                <w:szCs w:val="24"/>
              </w:rPr>
            </w:pPr>
          </w:p>
          <w:p w14:paraId="57EAADFB">
            <w:pPr>
              <w:pStyle w:val="29"/>
              <w:ind w:right="72"/>
              <w:jc w:val="center"/>
              <w:rPr>
                <w:sz w:val="24"/>
                <w:szCs w:val="24"/>
              </w:rPr>
            </w:pPr>
            <w:r>
              <w:rPr>
                <w:w w:val="99"/>
                <w:sz w:val="24"/>
                <w:szCs w:val="24"/>
              </w:rPr>
              <w:t>7</w:t>
            </w:r>
          </w:p>
        </w:tc>
        <w:tc>
          <w:tcPr>
            <w:tcW w:w="1348" w:type="dxa"/>
            <w:tcBorders>
              <w:top w:val="single" w:color="000000" w:sz="4" w:space="0"/>
              <w:left w:val="single" w:color="000000" w:sz="4" w:space="0"/>
              <w:bottom w:val="single" w:color="000000" w:sz="4" w:space="0"/>
              <w:right w:val="single" w:color="000000" w:sz="4" w:space="0"/>
            </w:tcBorders>
          </w:tcPr>
          <w:p w14:paraId="2C81ACFD">
            <w:pPr>
              <w:pStyle w:val="29"/>
              <w:rPr>
                <w:sz w:val="24"/>
                <w:szCs w:val="24"/>
              </w:rPr>
            </w:pPr>
          </w:p>
        </w:tc>
        <w:tc>
          <w:tcPr>
            <w:tcW w:w="1075" w:type="dxa"/>
            <w:tcBorders>
              <w:top w:val="single" w:color="000000" w:sz="4" w:space="0"/>
              <w:left w:val="single" w:color="000000" w:sz="4" w:space="0"/>
              <w:bottom w:val="single" w:color="000000" w:sz="4" w:space="0"/>
              <w:right w:val="single" w:color="000000" w:sz="4" w:space="0"/>
            </w:tcBorders>
          </w:tcPr>
          <w:p w14:paraId="7FE505BF">
            <w:pPr>
              <w:pStyle w:val="29"/>
              <w:rPr>
                <w:sz w:val="24"/>
                <w:szCs w:val="24"/>
              </w:rPr>
            </w:pPr>
          </w:p>
        </w:tc>
        <w:tc>
          <w:tcPr>
            <w:tcW w:w="1015" w:type="dxa"/>
            <w:tcBorders>
              <w:top w:val="single" w:color="000000" w:sz="4" w:space="0"/>
              <w:left w:val="single" w:color="000000" w:sz="4" w:space="0"/>
              <w:bottom w:val="single" w:color="000000" w:sz="4" w:space="0"/>
              <w:right w:val="single" w:color="000000" w:sz="4" w:space="0"/>
            </w:tcBorders>
          </w:tcPr>
          <w:p w14:paraId="494D5A7C">
            <w:pPr>
              <w:pStyle w:val="29"/>
              <w:rPr>
                <w:sz w:val="24"/>
                <w:szCs w:val="24"/>
              </w:rPr>
            </w:pPr>
          </w:p>
        </w:tc>
        <w:tc>
          <w:tcPr>
            <w:tcW w:w="1417" w:type="dxa"/>
            <w:tcBorders>
              <w:top w:val="single" w:color="000000" w:sz="4" w:space="0"/>
              <w:left w:val="single" w:color="000000" w:sz="4" w:space="0"/>
              <w:bottom w:val="single" w:color="000000" w:sz="4" w:space="0"/>
              <w:right w:val="single" w:color="000000" w:sz="4" w:space="0"/>
            </w:tcBorders>
          </w:tcPr>
          <w:p w14:paraId="38AAD1BA">
            <w:pPr>
              <w:pStyle w:val="29"/>
              <w:rPr>
                <w:sz w:val="24"/>
                <w:szCs w:val="24"/>
              </w:rPr>
            </w:pPr>
          </w:p>
        </w:tc>
        <w:tc>
          <w:tcPr>
            <w:tcW w:w="1432" w:type="dxa"/>
            <w:tcBorders>
              <w:top w:val="single" w:color="000000" w:sz="4" w:space="0"/>
              <w:left w:val="single" w:color="000000" w:sz="4" w:space="0"/>
              <w:bottom w:val="single" w:color="000000" w:sz="4" w:space="0"/>
              <w:right w:val="single" w:color="000000" w:sz="4" w:space="0"/>
            </w:tcBorders>
          </w:tcPr>
          <w:p w14:paraId="48519C82">
            <w:pPr>
              <w:pStyle w:val="29"/>
              <w:rPr>
                <w:sz w:val="24"/>
                <w:szCs w:val="24"/>
              </w:rPr>
            </w:pPr>
          </w:p>
        </w:tc>
        <w:tc>
          <w:tcPr>
            <w:tcW w:w="2189" w:type="dxa"/>
            <w:tcBorders>
              <w:top w:val="single" w:color="000000" w:sz="4" w:space="0"/>
              <w:left w:val="single" w:color="000000" w:sz="4" w:space="0"/>
              <w:bottom w:val="single" w:color="000000" w:sz="4" w:space="0"/>
            </w:tcBorders>
          </w:tcPr>
          <w:p w14:paraId="4C7BEA58">
            <w:pPr>
              <w:pStyle w:val="29"/>
              <w:rPr>
                <w:sz w:val="24"/>
                <w:szCs w:val="24"/>
              </w:rPr>
            </w:pPr>
          </w:p>
        </w:tc>
      </w:tr>
      <w:tr w14:paraId="5D213E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782" w:type="dxa"/>
            <w:tcBorders>
              <w:top w:val="single" w:color="000000" w:sz="4" w:space="0"/>
              <w:bottom w:val="single" w:color="000000" w:sz="4" w:space="0"/>
              <w:right w:val="single" w:color="000000" w:sz="4" w:space="0"/>
            </w:tcBorders>
          </w:tcPr>
          <w:p w14:paraId="0A408EA1">
            <w:pPr>
              <w:pStyle w:val="29"/>
              <w:spacing w:before="10"/>
              <w:jc w:val="center"/>
              <w:rPr>
                <w:b/>
                <w:sz w:val="24"/>
                <w:szCs w:val="24"/>
              </w:rPr>
            </w:pPr>
          </w:p>
          <w:p w14:paraId="6BE3B210">
            <w:pPr>
              <w:pStyle w:val="29"/>
              <w:ind w:right="72"/>
              <w:jc w:val="center"/>
              <w:rPr>
                <w:sz w:val="24"/>
                <w:szCs w:val="24"/>
              </w:rPr>
            </w:pPr>
            <w:r>
              <w:rPr>
                <w:w w:val="99"/>
                <w:sz w:val="24"/>
                <w:szCs w:val="24"/>
              </w:rPr>
              <w:t>8</w:t>
            </w:r>
          </w:p>
        </w:tc>
        <w:tc>
          <w:tcPr>
            <w:tcW w:w="1348" w:type="dxa"/>
            <w:tcBorders>
              <w:top w:val="single" w:color="000000" w:sz="4" w:space="0"/>
              <w:left w:val="single" w:color="000000" w:sz="4" w:space="0"/>
              <w:bottom w:val="single" w:color="000000" w:sz="4" w:space="0"/>
              <w:right w:val="single" w:color="000000" w:sz="4" w:space="0"/>
            </w:tcBorders>
          </w:tcPr>
          <w:p w14:paraId="7812286F">
            <w:pPr>
              <w:pStyle w:val="29"/>
              <w:rPr>
                <w:sz w:val="24"/>
                <w:szCs w:val="24"/>
              </w:rPr>
            </w:pPr>
          </w:p>
        </w:tc>
        <w:tc>
          <w:tcPr>
            <w:tcW w:w="1075" w:type="dxa"/>
            <w:tcBorders>
              <w:top w:val="single" w:color="000000" w:sz="4" w:space="0"/>
              <w:left w:val="single" w:color="000000" w:sz="4" w:space="0"/>
              <w:bottom w:val="single" w:color="000000" w:sz="4" w:space="0"/>
              <w:right w:val="single" w:color="000000" w:sz="4" w:space="0"/>
            </w:tcBorders>
          </w:tcPr>
          <w:p w14:paraId="04630C70">
            <w:pPr>
              <w:pStyle w:val="29"/>
              <w:rPr>
                <w:sz w:val="24"/>
                <w:szCs w:val="24"/>
              </w:rPr>
            </w:pPr>
          </w:p>
        </w:tc>
        <w:tc>
          <w:tcPr>
            <w:tcW w:w="1015" w:type="dxa"/>
            <w:tcBorders>
              <w:top w:val="single" w:color="000000" w:sz="4" w:space="0"/>
              <w:left w:val="single" w:color="000000" w:sz="4" w:space="0"/>
              <w:bottom w:val="single" w:color="000000" w:sz="4" w:space="0"/>
              <w:right w:val="single" w:color="000000" w:sz="4" w:space="0"/>
            </w:tcBorders>
          </w:tcPr>
          <w:p w14:paraId="0F08AD6F">
            <w:pPr>
              <w:pStyle w:val="29"/>
              <w:rPr>
                <w:sz w:val="24"/>
                <w:szCs w:val="24"/>
              </w:rPr>
            </w:pPr>
          </w:p>
        </w:tc>
        <w:tc>
          <w:tcPr>
            <w:tcW w:w="1417" w:type="dxa"/>
            <w:tcBorders>
              <w:top w:val="single" w:color="000000" w:sz="4" w:space="0"/>
              <w:left w:val="single" w:color="000000" w:sz="4" w:space="0"/>
              <w:bottom w:val="single" w:color="000000" w:sz="4" w:space="0"/>
              <w:right w:val="single" w:color="000000" w:sz="4" w:space="0"/>
            </w:tcBorders>
          </w:tcPr>
          <w:p w14:paraId="1D937332">
            <w:pPr>
              <w:pStyle w:val="29"/>
              <w:rPr>
                <w:sz w:val="24"/>
                <w:szCs w:val="24"/>
              </w:rPr>
            </w:pPr>
          </w:p>
        </w:tc>
        <w:tc>
          <w:tcPr>
            <w:tcW w:w="1432" w:type="dxa"/>
            <w:tcBorders>
              <w:top w:val="single" w:color="000000" w:sz="4" w:space="0"/>
              <w:left w:val="single" w:color="000000" w:sz="4" w:space="0"/>
              <w:bottom w:val="single" w:color="000000" w:sz="4" w:space="0"/>
              <w:right w:val="single" w:color="000000" w:sz="4" w:space="0"/>
            </w:tcBorders>
          </w:tcPr>
          <w:p w14:paraId="1B0A7E5B">
            <w:pPr>
              <w:pStyle w:val="29"/>
              <w:rPr>
                <w:sz w:val="24"/>
                <w:szCs w:val="24"/>
              </w:rPr>
            </w:pPr>
          </w:p>
        </w:tc>
        <w:tc>
          <w:tcPr>
            <w:tcW w:w="2189" w:type="dxa"/>
            <w:tcBorders>
              <w:top w:val="single" w:color="000000" w:sz="4" w:space="0"/>
              <w:left w:val="single" w:color="000000" w:sz="4" w:space="0"/>
              <w:bottom w:val="single" w:color="000000" w:sz="4" w:space="0"/>
            </w:tcBorders>
          </w:tcPr>
          <w:p w14:paraId="2AF7C5EA">
            <w:pPr>
              <w:pStyle w:val="29"/>
              <w:rPr>
                <w:sz w:val="24"/>
                <w:szCs w:val="24"/>
              </w:rPr>
            </w:pPr>
          </w:p>
        </w:tc>
      </w:tr>
      <w:tr w14:paraId="6AC9D8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1" w:hRule="atLeast"/>
        </w:trPr>
        <w:tc>
          <w:tcPr>
            <w:tcW w:w="782" w:type="dxa"/>
            <w:tcBorders>
              <w:top w:val="single" w:color="000000" w:sz="4" w:space="0"/>
              <w:right w:val="single" w:color="000000" w:sz="4" w:space="0"/>
            </w:tcBorders>
          </w:tcPr>
          <w:p w14:paraId="5A1B4C84">
            <w:pPr>
              <w:pStyle w:val="29"/>
              <w:ind w:left="1"/>
              <w:jc w:val="center"/>
              <w:rPr>
                <w:sz w:val="24"/>
                <w:szCs w:val="24"/>
              </w:rPr>
            </w:pPr>
          </w:p>
        </w:tc>
        <w:tc>
          <w:tcPr>
            <w:tcW w:w="1348" w:type="dxa"/>
            <w:tcBorders>
              <w:top w:val="single" w:color="000000" w:sz="4" w:space="0"/>
              <w:left w:val="single" w:color="000000" w:sz="4" w:space="0"/>
              <w:right w:val="single" w:color="000000" w:sz="4" w:space="0"/>
            </w:tcBorders>
          </w:tcPr>
          <w:p w14:paraId="66F11463">
            <w:pPr>
              <w:pStyle w:val="29"/>
              <w:rPr>
                <w:sz w:val="24"/>
                <w:szCs w:val="24"/>
              </w:rPr>
            </w:pPr>
          </w:p>
        </w:tc>
        <w:tc>
          <w:tcPr>
            <w:tcW w:w="1075" w:type="dxa"/>
            <w:tcBorders>
              <w:top w:val="single" w:color="000000" w:sz="4" w:space="0"/>
              <w:left w:val="single" w:color="000000" w:sz="4" w:space="0"/>
              <w:right w:val="single" w:color="000000" w:sz="4" w:space="0"/>
            </w:tcBorders>
          </w:tcPr>
          <w:p w14:paraId="27F4B9D6">
            <w:pPr>
              <w:pStyle w:val="29"/>
              <w:rPr>
                <w:sz w:val="24"/>
                <w:szCs w:val="24"/>
              </w:rPr>
            </w:pPr>
          </w:p>
        </w:tc>
        <w:tc>
          <w:tcPr>
            <w:tcW w:w="1015" w:type="dxa"/>
            <w:tcBorders>
              <w:top w:val="single" w:color="000000" w:sz="4" w:space="0"/>
              <w:left w:val="single" w:color="000000" w:sz="4" w:space="0"/>
              <w:right w:val="single" w:color="000000" w:sz="4" w:space="0"/>
            </w:tcBorders>
          </w:tcPr>
          <w:p w14:paraId="00364600">
            <w:pPr>
              <w:pStyle w:val="29"/>
              <w:rPr>
                <w:sz w:val="24"/>
                <w:szCs w:val="24"/>
              </w:rPr>
            </w:pPr>
          </w:p>
        </w:tc>
        <w:tc>
          <w:tcPr>
            <w:tcW w:w="1417" w:type="dxa"/>
            <w:tcBorders>
              <w:top w:val="single" w:color="000000" w:sz="4" w:space="0"/>
              <w:left w:val="single" w:color="000000" w:sz="4" w:space="0"/>
              <w:right w:val="single" w:color="000000" w:sz="4" w:space="0"/>
            </w:tcBorders>
          </w:tcPr>
          <w:p w14:paraId="1E7E6E2D">
            <w:pPr>
              <w:pStyle w:val="29"/>
              <w:rPr>
                <w:sz w:val="24"/>
                <w:szCs w:val="24"/>
              </w:rPr>
            </w:pPr>
          </w:p>
        </w:tc>
        <w:tc>
          <w:tcPr>
            <w:tcW w:w="1432" w:type="dxa"/>
            <w:tcBorders>
              <w:top w:val="single" w:color="000000" w:sz="4" w:space="0"/>
              <w:left w:val="single" w:color="000000" w:sz="4" w:space="0"/>
              <w:right w:val="single" w:color="000000" w:sz="4" w:space="0"/>
            </w:tcBorders>
          </w:tcPr>
          <w:p w14:paraId="5459101A">
            <w:pPr>
              <w:pStyle w:val="29"/>
              <w:rPr>
                <w:sz w:val="24"/>
                <w:szCs w:val="24"/>
              </w:rPr>
            </w:pPr>
          </w:p>
        </w:tc>
        <w:tc>
          <w:tcPr>
            <w:tcW w:w="2189" w:type="dxa"/>
            <w:tcBorders>
              <w:top w:val="single" w:color="000000" w:sz="4" w:space="0"/>
              <w:left w:val="single" w:color="000000" w:sz="4" w:space="0"/>
            </w:tcBorders>
          </w:tcPr>
          <w:p w14:paraId="2FF47913">
            <w:pPr>
              <w:pStyle w:val="29"/>
              <w:rPr>
                <w:sz w:val="24"/>
                <w:szCs w:val="24"/>
              </w:rPr>
            </w:pPr>
          </w:p>
        </w:tc>
      </w:tr>
    </w:tbl>
    <w:p w14:paraId="1ACFC9B1">
      <w:pPr>
        <w:rPr>
          <w:rFonts w:ascii="Times New Roman"/>
          <w:sz w:val="24"/>
        </w:rPr>
        <w:sectPr>
          <w:pgSz w:w="11910" w:h="16840"/>
          <w:pgMar w:top="1440" w:right="1080" w:bottom="1440" w:left="1080" w:header="0" w:footer="909" w:gutter="0"/>
          <w:pgNumType w:fmt="decimal"/>
          <w:cols w:space="720" w:num="1"/>
          <w:docGrid w:linePitch="299" w:charSpace="0"/>
        </w:sectPr>
      </w:pPr>
    </w:p>
    <w:p w14:paraId="1D633663">
      <w:pPr>
        <w:pStyle w:val="6"/>
        <w:spacing w:before="12"/>
        <w:ind w:left="0"/>
        <w:rPr>
          <w:b/>
          <w:sz w:val="16"/>
        </w:rPr>
      </w:pPr>
    </w:p>
    <w:p w14:paraId="18C75B7F">
      <w:pPr>
        <w:numPr>
          <w:ilvl w:val="0"/>
          <w:numId w:val="1"/>
        </w:numPr>
        <w:spacing w:before="58"/>
        <w:ind w:left="0" w:leftChars="0" w:right="532" w:firstLine="602" w:firstLineChars="200"/>
        <w:jc w:val="center"/>
        <w:rPr>
          <w:b/>
          <w:sz w:val="30"/>
          <w:lang w:eastAsia="zh-CN"/>
        </w:rPr>
      </w:pPr>
      <w:bookmarkStart w:id="73" w:name="八、供应商应附的其它资料"/>
      <w:bookmarkEnd w:id="73"/>
      <w:r>
        <w:rPr>
          <w:b/>
          <w:sz w:val="30"/>
          <w:lang w:eastAsia="zh-CN"/>
        </w:rPr>
        <w:t>供应商应附的其它资料</w:t>
      </w:r>
    </w:p>
    <w:p w14:paraId="2BB954D1">
      <w:pPr>
        <w:numPr>
          <w:ilvl w:val="0"/>
          <w:numId w:val="0"/>
        </w:numPr>
        <w:spacing w:before="58"/>
        <w:ind w:leftChars="200" w:right="532" w:rightChars="0"/>
        <w:jc w:val="center"/>
        <w:rPr>
          <w:b/>
          <w:sz w:val="30"/>
          <w:lang w:eastAsia="zh-CN"/>
        </w:rPr>
      </w:pPr>
      <w:r>
        <w:rPr>
          <w:rFonts w:hint="eastAsia"/>
          <w:b w:val="0"/>
          <w:bCs/>
          <w:sz w:val="30"/>
          <w:lang w:eastAsia="zh-CN"/>
        </w:rPr>
        <w:t>（格式自拟）</w:t>
      </w:r>
    </w:p>
    <w:p w14:paraId="6528D377">
      <w:pPr>
        <w:spacing w:before="58"/>
        <w:ind w:left="530" w:right="532"/>
        <w:jc w:val="center"/>
        <w:rPr>
          <w:sz w:val="30"/>
          <w:lang w:eastAsia="zh-CN"/>
        </w:rPr>
        <w:sectPr>
          <w:pgSz w:w="11910" w:h="16840"/>
          <w:pgMar w:top="1440" w:right="1080" w:bottom="1440" w:left="1080" w:header="0" w:footer="909" w:gutter="0"/>
          <w:pgNumType w:fmt="decimal"/>
          <w:cols w:space="720" w:num="1"/>
          <w:docGrid w:linePitch="299" w:charSpace="0"/>
        </w:sectPr>
      </w:pPr>
    </w:p>
    <w:p w14:paraId="01F53FDD">
      <w:pPr>
        <w:spacing w:before="30"/>
        <w:jc w:val="center"/>
        <w:rPr>
          <w:b/>
          <w:sz w:val="32"/>
          <w:lang w:eastAsia="zh-CN"/>
        </w:rPr>
      </w:pPr>
      <w:bookmarkStart w:id="74" w:name="九、中小微企业声明函_"/>
      <w:bookmarkEnd w:id="74"/>
      <w:r>
        <w:rPr>
          <w:b/>
          <w:sz w:val="32"/>
          <w:lang w:eastAsia="zh-CN"/>
        </w:rPr>
        <w:t>九、中小微企业声明函</w:t>
      </w:r>
    </w:p>
    <w:p w14:paraId="0333B5DC">
      <w:pPr>
        <w:pStyle w:val="6"/>
        <w:spacing w:line="360" w:lineRule="auto"/>
        <w:ind w:left="0" w:firstLine="462" w:firstLineChars="200"/>
        <w:rPr>
          <w:b/>
          <w:sz w:val="23"/>
          <w:lang w:eastAsia="zh-CN"/>
        </w:rPr>
      </w:pPr>
    </w:p>
    <w:p w14:paraId="4D1EC6E4">
      <w:pPr>
        <w:pStyle w:val="11"/>
        <w:ind w:firstLine="280"/>
        <w:jc w:val="center"/>
        <w:rPr>
          <w:rFonts w:asciiTheme="minorEastAsia" w:hAnsiTheme="minorEastAsia" w:eastAsiaTheme="minorEastAsia"/>
        </w:rPr>
      </w:pPr>
      <w:r>
        <w:rPr>
          <w:rFonts w:hint="eastAsia" w:asciiTheme="minorEastAsia" w:hAnsiTheme="minorEastAsia" w:eastAsiaTheme="minorEastAsia"/>
          <w:sz w:val="28"/>
          <w:szCs w:val="28"/>
        </w:rPr>
        <w:t>中小企业声明函（工程、服务）</w:t>
      </w:r>
    </w:p>
    <w:p w14:paraId="0AE03556">
      <w:pPr>
        <w:pStyle w:val="11"/>
        <w:spacing w:line="500" w:lineRule="exact"/>
        <w:ind w:firstLine="560" w:firstLineChars="200"/>
        <w:rPr>
          <w:rFonts w:asciiTheme="minorEastAsia" w:hAnsiTheme="minorEastAsia" w:eastAsiaTheme="minorEastAsia"/>
          <w:sz w:val="28"/>
          <w:szCs w:val="24"/>
        </w:rPr>
      </w:pPr>
      <w:r>
        <w:rPr>
          <w:rFonts w:hint="eastAsia" w:asciiTheme="minorEastAsia" w:hAnsiTheme="minorEastAsia" w:eastAsiaTheme="minorEastAsia"/>
          <w:sz w:val="28"/>
          <w:szCs w:val="24"/>
        </w:rPr>
        <w:t>本公司（联合体）郑重声明，根据《政府采购促进中小企业发展管理办法》（财库（2020）46号）的规定，本公司（联合体）参加</w:t>
      </w:r>
      <w:r>
        <w:rPr>
          <w:rFonts w:hint="eastAsia" w:asciiTheme="minorEastAsia" w:hAnsiTheme="minorEastAsia" w:eastAsiaTheme="minorEastAsia"/>
          <w:sz w:val="28"/>
          <w:szCs w:val="24"/>
          <w:u w:val="single"/>
        </w:rPr>
        <w:t>（单位名称）</w:t>
      </w:r>
      <w:r>
        <w:rPr>
          <w:rFonts w:hint="eastAsia" w:asciiTheme="minorEastAsia" w:hAnsiTheme="minorEastAsia" w:eastAsiaTheme="minorEastAsia"/>
          <w:sz w:val="28"/>
          <w:szCs w:val="24"/>
        </w:rPr>
        <w:t>的</w:t>
      </w:r>
      <w:r>
        <w:rPr>
          <w:rFonts w:hint="eastAsia" w:asciiTheme="minorEastAsia" w:hAnsiTheme="minorEastAsia" w:eastAsiaTheme="minorEastAsia"/>
          <w:sz w:val="28"/>
          <w:szCs w:val="24"/>
          <w:u w:val="single"/>
        </w:rPr>
        <w:t>（项目名称）</w:t>
      </w:r>
      <w:r>
        <w:rPr>
          <w:rFonts w:hint="eastAsia" w:asciiTheme="minorEastAsia" w:hAnsiTheme="minorEastAsia" w:eastAsiaTheme="minorEastAsia"/>
          <w:sz w:val="28"/>
          <w:szCs w:val="24"/>
        </w:rPr>
        <w:t>采购活动，工程的施工单位全部为符合政策要求的中小企业（或者：服务全部由符合政策要求的中小企业承接）。相关企业（含联合体中的中小企业、签订分包意向协议的中小企业）的具体情况如下：</w:t>
      </w:r>
    </w:p>
    <w:p w14:paraId="31FC6EB1">
      <w:pPr>
        <w:pStyle w:val="11"/>
        <w:spacing w:line="500" w:lineRule="exact"/>
        <w:ind w:firstLine="560" w:firstLineChars="200"/>
        <w:rPr>
          <w:rFonts w:asciiTheme="minorEastAsia" w:hAnsiTheme="minorEastAsia" w:eastAsiaTheme="minorEastAsia"/>
          <w:sz w:val="28"/>
          <w:szCs w:val="24"/>
        </w:rPr>
      </w:pPr>
      <w:r>
        <w:rPr>
          <w:rFonts w:hint="eastAsia" w:asciiTheme="minorEastAsia" w:hAnsiTheme="minorEastAsia" w:eastAsiaTheme="minorEastAsia"/>
          <w:sz w:val="28"/>
          <w:szCs w:val="24"/>
        </w:rPr>
        <w:t>1．</w:t>
      </w:r>
      <w:r>
        <w:rPr>
          <w:rFonts w:hint="eastAsia" w:asciiTheme="minorEastAsia" w:hAnsiTheme="minorEastAsia" w:eastAsiaTheme="minorEastAsia"/>
          <w:sz w:val="28"/>
          <w:szCs w:val="24"/>
          <w:u w:val="single"/>
        </w:rPr>
        <w:t>（标的名称）</w:t>
      </w:r>
      <w:r>
        <w:rPr>
          <w:rFonts w:hint="eastAsia" w:asciiTheme="minorEastAsia" w:hAnsiTheme="minorEastAsia" w:eastAsiaTheme="minorEastAsia"/>
          <w:sz w:val="28"/>
          <w:szCs w:val="24"/>
        </w:rPr>
        <w:t>，属于</w:t>
      </w:r>
      <w:r>
        <w:rPr>
          <w:rFonts w:hint="eastAsia" w:asciiTheme="minorEastAsia" w:hAnsiTheme="minorEastAsia" w:eastAsiaTheme="minorEastAsia"/>
          <w:sz w:val="28"/>
          <w:szCs w:val="24"/>
          <w:u w:val="single"/>
        </w:rPr>
        <w:t>（采购文件中明确的所属行业）</w:t>
      </w:r>
      <w:r>
        <w:rPr>
          <w:rFonts w:hint="eastAsia" w:asciiTheme="minorEastAsia" w:hAnsiTheme="minorEastAsia" w:eastAsiaTheme="minorEastAsia"/>
          <w:sz w:val="28"/>
          <w:szCs w:val="24"/>
        </w:rPr>
        <w:t>；承建（承接）企业为</w:t>
      </w:r>
      <w:r>
        <w:rPr>
          <w:rFonts w:hint="eastAsia" w:asciiTheme="minorEastAsia" w:hAnsiTheme="minorEastAsia" w:eastAsiaTheme="minorEastAsia"/>
          <w:sz w:val="28"/>
          <w:szCs w:val="24"/>
          <w:u w:val="single"/>
        </w:rPr>
        <w:t>（企业名称）</w:t>
      </w:r>
      <w:r>
        <w:rPr>
          <w:rFonts w:hint="eastAsia" w:asciiTheme="minorEastAsia" w:hAnsiTheme="minorEastAsia" w:eastAsiaTheme="minorEastAsia"/>
          <w:sz w:val="28"/>
          <w:szCs w:val="24"/>
        </w:rPr>
        <w:t>，从业人员</w:t>
      </w:r>
      <w:r>
        <w:rPr>
          <w:rFonts w:hint="eastAsia" w:asciiTheme="minorEastAsia" w:hAnsiTheme="minorEastAsia" w:eastAsiaTheme="minorEastAsia"/>
          <w:sz w:val="28"/>
          <w:szCs w:val="24"/>
          <w:u w:val="single"/>
        </w:rPr>
        <w:t xml:space="preserve">       </w:t>
      </w:r>
      <w:r>
        <w:rPr>
          <w:rFonts w:hint="eastAsia" w:asciiTheme="minorEastAsia" w:hAnsiTheme="minorEastAsia" w:eastAsiaTheme="minorEastAsia"/>
          <w:sz w:val="28"/>
          <w:szCs w:val="24"/>
        </w:rPr>
        <w:t>人，营业收入为</w:t>
      </w:r>
      <w:r>
        <w:rPr>
          <w:rFonts w:hint="eastAsia" w:asciiTheme="minorEastAsia" w:hAnsiTheme="minorEastAsia" w:eastAsiaTheme="minorEastAsia"/>
          <w:sz w:val="28"/>
          <w:szCs w:val="24"/>
          <w:u w:val="single"/>
        </w:rPr>
        <w:t xml:space="preserve">     </w:t>
      </w:r>
      <w:r>
        <w:rPr>
          <w:rFonts w:hint="eastAsia" w:asciiTheme="minorEastAsia" w:hAnsiTheme="minorEastAsia" w:eastAsiaTheme="minorEastAsia"/>
          <w:sz w:val="28"/>
          <w:szCs w:val="24"/>
        </w:rPr>
        <w:t>万元，资产总额为</w:t>
      </w:r>
      <w:r>
        <w:rPr>
          <w:rFonts w:hint="eastAsia" w:asciiTheme="minorEastAsia" w:hAnsiTheme="minorEastAsia" w:eastAsiaTheme="minorEastAsia"/>
          <w:sz w:val="28"/>
          <w:szCs w:val="24"/>
          <w:u w:val="single"/>
        </w:rPr>
        <w:t xml:space="preserve">     </w:t>
      </w:r>
      <w:r>
        <w:rPr>
          <w:rFonts w:hint="eastAsia" w:asciiTheme="minorEastAsia" w:hAnsiTheme="minorEastAsia" w:eastAsiaTheme="minorEastAsia"/>
          <w:sz w:val="28"/>
          <w:szCs w:val="24"/>
        </w:rPr>
        <w:t>万元，属于</w:t>
      </w:r>
      <w:r>
        <w:rPr>
          <w:rFonts w:hint="eastAsia" w:asciiTheme="minorEastAsia" w:hAnsiTheme="minorEastAsia" w:eastAsiaTheme="minorEastAsia"/>
          <w:sz w:val="28"/>
          <w:szCs w:val="24"/>
          <w:u w:val="single"/>
        </w:rPr>
        <w:t>（中型企业、小型企业、微型企业）</w:t>
      </w:r>
      <w:r>
        <w:rPr>
          <w:rFonts w:hint="eastAsia" w:asciiTheme="minorEastAsia" w:hAnsiTheme="minorEastAsia" w:eastAsiaTheme="minorEastAsia"/>
          <w:sz w:val="28"/>
          <w:szCs w:val="24"/>
        </w:rPr>
        <w:t>；</w:t>
      </w:r>
    </w:p>
    <w:p w14:paraId="0DD4851E">
      <w:pPr>
        <w:pStyle w:val="11"/>
        <w:ind w:firstLine="98" w:firstLineChars="35"/>
        <w:rPr>
          <w:rFonts w:hint="eastAsia" w:asciiTheme="minorEastAsia" w:hAnsiTheme="minorEastAsia" w:eastAsiaTheme="minorEastAsia"/>
          <w:sz w:val="28"/>
          <w:szCs w:val="24"/>
        </w:rPr>
      </w:pPr>
    </w:p>
    <w:p w14:paraId="5892C69A">
      <w:pPr>
        <w:pStyle w:val="11"/>
        <w:ind w:firstLine="98" w:firstLineChars="35"/>
        <w:rPr>
          <w:rFonts w:asciiTheme="minorEastAsia" w:hAnsiTheme="minorEastAsia" w:eastAsiaTheme="minorEastAsia"/>
          <w:sz w:val="28"/>
          <w:szCs w:val="24"/>
        </w:rPr>
      </w:pPr>
      <w:r>
        <w:rPr>
          <w:rFonts w:hint="eastAsia" w:asciiTheme="minorEastAsia" w:hAnsiTheme="minorEastAsia" w:eastAsiaTheme="minorEastAsia"/>
          <w:sz w:val="28"/>
          <w:szCs w:val="24"/>
        </w:rPr>
        <w:t>.....................</w:t>
      </w:r>
    </w:p>
    <w:p w14:paraId="47074343">
      <w:pPr>
        <w:pStyle w:val="11"/>
        <w:ind w:firstLine="560" w:firstLineChars="200"/>
        <w:rPr>
          <w:rFonts w:asciiTheme="minorEastAsia" w:hAnsiTheme="minorEastAsia" w:eastAsiaTheme="minorEastAsia"/>
          <w:sz w:val="28"/>
          <w:szCs w:val="24"/>
        </w:rPr>
      </w:pPr>
      <w:r>
        <w:rPr>
          <w:rFonts w:hint="eastAsia" w:asciiTheme="minorEastAsia" w:hAnsiTheme="minorEastAsia" w:eastAsiaTheme="minorEastAsia"/>
          <w:sz w:val="28"/>
          <w:szCs w:val="24"/>
        </w:rPr>
        <w:t>以上企业，不属于大企业的分支机构，不存在控股股东为大企业的情形，也不存在与大企业的负责人为同一人的情形。</w:t>
      </w:r>
    </w:p>
    <w:p w14:paraId="020789DE">
      <w:pPr>
        <w:pStyle w:val="11"/>
        <w:ind w:firstLine="280"/>
        <w:rPr>
          <w:rFonts w:hint="eastAsia" w:asciiTheme="minorEastAsia" w:hAnsiTheme="minorEastAsia" w:eastAsiaTheme="minorEastAsia"/>
          <w:sz w:val="28"/>
          <w:szCs w:val="24"/>
        </w:rPr>
      </w:pPr>
      <w:r>
        <w:rPr>
          <w:rFonts w:hint="eastAsia" w:asciiTheme="minorEastAsia" w:hAnsiTheme="minorEastAsia" w:eastAsiaTheme="minorEastAsia"/>
          <w:sz w:val="28"/>
          <w:szCs w:val="24"/>
        </w:rPr>
        <w:t>本企业对上述声明内容的真实性负责。如有虚假，将依法承担相应责任。</w:t>
      </w:r>
    </w:p>
    <w:p w14:paraId="47BC77DF">
      <w:pPr>
        <w:pStyle w:val="11"/>
        <w:ind w:firstLine="280"/>
        <w:jc w:val="right"/>
        <w:rPr>
          <w:rFonts w:asciiTheme="minorEastAsia" w:hAnsiTheme="minorEastAsia" w:eastAsiaTheme="minorEastAsia"/>
          <w:sz w:val="28"/>
          <w:szCs w:val="24"/>
        </w:rPr>
      </w:pPr>
      <w:r>
        <w:rPr>
          <w:rFonts w:hint="eastAsia" w:asciiTheme="minorEastAsia" w:hAnsiTheme="minorEastAsia" w:eastAsiaTheme="minorEastAsia"/>
          <w:sz w:val="28"/>
          <w:szCs w:val="24"/>
          <w:lang w:eastAsia="zh-CN"/>
        </w:rPr>
        <w:t>供应商</w:t>
      </w:r>
      <w:r>
        <w:rPr>
          <w:rFonts w:hint="eastAsia" w:asciiTheme="minorEastAsia" w:hAnsiTheme="minorEastAsia" w:eastAsiaTheme="minorEastAsia"/>
          <w:sz w:val="28"/>
          <w:szCs w:val="24"/>
        </w:rPr>
        <w:t>名称：</w:t>
      </w:r>
      <w:r>
        <w:rPr>
          <w:rFonts w:hint="eastAsia" w:asciiTheme="minorEastAsia" w:hAnsiTheme="minorEastAsia" w:eastAsiaTheme="minorEastAsia"/>
          <w:sz w:val="28"/>
          <w:szCs w:val="24"/>
          <w:u w:val="single"/>
          <w:lang w:val="en-US" w:eastAsia="zh-CN"/>
        </w:rPr>
        <w:t xml:space="preserve">          </w:t>
      </w:r>
      <w:r>
        <w:rPr>
          <w:rFonts w:hint="eastAsia" w:asciiTheme="minorEastAsia" w:hAnsiTheme="minorEastAsia" w:eastAsiaTheme="minorEastAsia"/>
          <w:sz w:val="28"/>
          <w:szCs w:val="24"/>
        </w:rPr>
        <w:t>（电子签章）</w:t>
      </w:r>
    </w:p>
    <w:p w14:paraId="6CD41442">
      <w:pPr>
        <w:pStyle w:val="11"/>
        <w:ind w:firstLine="280"/>
        <w:jc w:val="right"/>
        <w:rPr>
          <w:rFonts w:asciiTheme="minorEastAsia" w:hAnsiTheme="minorEastAsia" w:eastAsiaTheme="minorEastAsia"/>
          <w:sz w:val="28"/>
          <w:szCs w:val="24"/>
        </w:rPr>
      </w:pPr>
      <w:r>
        <w:rPr>
          <w:rFonts w:hint="eastAsia" w:asciiTheme="minorEastAsia" w:hAnsiTheme="minorEastAsia" w:eastAsiaTheme="minorEastAsia"/>
          <w:sz w:val="28"/>
          <w:szCs w:val="24"/>
        </w:rPr>
        <w:t xml:space="preserve">       年  月  日</w:t>
      </w:r>
    </w:p>
    <w:p w14:paraId="6BCF5F43">
      <w:pPr>
        <w:pStyle w:val="11"/>
        <w:ind w:firstLine="240"/>
        <w:rPr>
          <w:rFonts w:asciiTheme="minorEastAsia" w:hAnsiTheme="minorEastAsia" w:eastAsiaTheme="minorEastAsia"/>
          <w:sz w:val="24"/>
          <w:szCs w:val="24"/>
        </w:rPr>
      </w:pPr>
      <w:r>
        <w:rPr>
          <w:rFonts w:hint="eastAsia" w:asciiTheme="minorEastAsia" w:hAnsiTheme="minorEastAsia" w:eastAsiaTheme="minorEastAsia"/>
          <w:sz w:val="24"/>
          <w:szCs w:val="24"/>
        </w:rPr>
        <w:t>注：从业人员、营业收入、资产总额填报上一年度数据，无上一年度数据的新成立企业可不填报。</w:t>
      </w:r>
    </w:p>
    <w:p w14:paraId="7B2EFABE">
      <w:pPr>
        <w:spacing w:line="364" w:lineRule="auto"/>
        <w:rPr>
          <w:lang w:eastAsia="zh-CN"/>
        </w:rPr>
        <w:sectPr>
          <w:pgSz w:w="11910" w:h="16840"/>
          <w:pgMar w:top="1440" w:right="1080" w:bottom="1440" w:left="1080" w:header="0" w:footer="909" w:gutter="0"/>
          <w:pgNumType w:fmt="decimal"/>
          <w:cols w:space="720" w:num="1"/>
          <w:docGrid w:linePitch="299" w:charSpace="0"/>
        </w:sectPr>
      </w:pPr>
    </w:p>
    <w:p w14:paraId="68470B29">
      <w:pPr>
        <w:pStyle w:val="3"/>
        <w:spacing w:before="35"/>
        <w:ind w:left="530" w:right="472" w:firstLine="0"/>
        <w:jc w:val="center"/>
        <w:rPr>
          <w:b/>
          <w:lang w:eastAsia="zh-CN"/>
        </w:rPr>
      </w:pPr>
      <w:bookmarkStart w:id="75" w:name="十、残疾人福利性单位声明函"/>
      <w:bookmarkEnd w:id="75"/>
      <w:r>
        <w:rPr>
          <w:b/>
          <w:lang w:eastAsia="zh-CN"/>
        </w:rPr>
        <w:t>十、残疾人福利性单位声明函</w:t>
      </w:r>
    </w:p>
    <w:p w14:paraId="135ADBC2">
      <w:pPr>
        <w:pStyle w:val="6"/>
        <w:spacing w:before="212"/>
        <w:ind w:left="530" w:right="475"/>
        <w:jc w:val="center"/>
        <w:rPr>
          <w:lang w:eastAsia="zh-CN"/>
        </w:rPr>
      </w:pPr>
      <w:bookmarkStart w:id="76" w:name="（属于残疾人福利性单位的填写，不属于的无需填写此项内容）"/>
      <w:bookmarkEnd w:id="76"/>
      <w:r>
        <w:rPr>
          <w:lang w:eastAsia="zh-CN"/>
        </w:rPr>
        <w:t>（属于残疾人福利性单位的填写，不属于的无需填写此项内容）</w:t>
      </w:r>
    </w:p>
    <w:p w14:paraId="20677E7C">
      <w:pPr>
        <w:pStyle w:val="6"/>
        <w:ind w:left="0"/>
        <w:rPr>
          <w:lang w:eastAsia="zh-CN"/>
        </w:rPr>
      </w:pPr>
    </w:p>
    <w:p w14:paraId="2F0B58F8">
      <w:pPr>
        <w:pStyle w:val="6"/>
        <w:spacing w:before="1"/>
        <w:ind w:left="0"/>
        <w:rPr>
          <w:sz w:val="25"/>
          <w:lang w:eastAsia="zh-CN"/>
        </w:rPr>
      </w:pPr>
    </w:p>
    <w:p w14:paraId="33406EC2">
      <w:pPr>
        <w:pStyle w:val="6"/>
        <w:tabs>
          <w:tab w:val="left" w:pos="6970"/>
          <w:tab w:val="left" w:pos="8527"/>
        </w:tabs>
        <w:spacing w:line="360" w:lineRule="auto"/>
        <w:ind w:left="0" w:firstLine="528" w:firstLineChars="200"/>
        <w:jc w:val="both"/>
        <w:rPr>
          <w:lang w:eastAsia="zh-CN"/>
        </w:rPr>
      </w:pPr>
      <w:r>
        <w:rPr>
          <w:spacing w:val="12"/>
          <w:lang w:eastAsia="zh-CN"/>
        </w:rPr>
        <w:t>本单位郑重声明</w:t>
      </w:r>
      <w:r>
        <w:rPr>
          <w:lang w:eastAsia="zh-CN"/>
        </w:rPr>
        <w:t>，</w:t>
      </w:r>
      <w:r>
        <w:rPr>
          <w:spacing w:val="12"/>
          <w:lang w:eastAsia="zh-CN"/>
        </w:rPr>
        <w:t>根</w:t>
      </w:r>
      <w:r>
        <w:rPr>
          <w:lang w:eastAsia="zh-CN"/>
        </w:rPr>
        <w:t>据</w:t>
      </w:r>
      <w:r>
        <w:rPr>
          <w:spacing w:val="12"/>
          <w:lang w:eastAsia="zh-CN"/>
        </w:rPr>
        <w:t>《财政</w:t>
      </w:r>
      <w:r>
        <w:rPr>
          <w:lang w:eastAsia="zh-CN"/>
        </w:rPr>
        <w:t>部</w:t>
      </w:r>
      <w:r>
        <w:rPr>
          <w:spacing w:val="24"/>
          <w:lang w:eastAsia="zh-CN"/>
        </w:rPr>
        <w:t xml:space="preserve"> </w:t>
      </w:r>
      <w:r>
        <w:rPr>
          <w:spacing w:val="12"/>
          <w:lang w:eastAsia="zh-CN"/>
        </w:rPr>
        <w:t>民政</w:t>
      </w:r>
      <w:r>
        <w:rPr>
          <w:lang w:eastAsia="zh-CN"/>
        </w:rPr>
        <w:t>部</w:t>
      </w:r>
      <w:r>
        <w:rPr>
          <w:spacing w:val="25"/>
          <w:lang w:eastAsia="zh-CN"/>
        </w:rPr>
        <w:t xml:space="preserve"> </w:t>
      </w:r>
      <w:r>
        <w:rPr>
          <w:spacing w:val="12"/>
          <w:lang w:eastAsia="zh-CN"/>
        </w:rPr>
        <w:t>中国残疾人联合会关于促进</w:t>
      </w:r>
      <w:r>
        <w:rPr>
          <w:spacing w:val="-17"/>
          <w:lang w:eastAsia="zh-CN"/>
        </w:rPr>
        <w:t>残</w:t>
      </w:r>
      <w:r>
        <w:rPr>
          <w:spacing w:val="16"/>
          <w:lang w:eastAsia="zh-CN"/>
        </w:rPr>
        <w:t>疾</w:t>
      </w:r>
      <w:r>
        <w:rPr>
          <w:spacing w:val="14"/>
          <w:lang w:eastAsia="zh-CN"/>
        </w:rPr>
        <w:t>人</w:t>
      </w:r>
      <w:r>
        <w:rPr>
          <w:spacing w:val="16"/>
          <w:lang w:eastAsia="zh-CN"/>
        </w:rPr>
        <w:t>就业</w:t>
      </w:r>
      <w:r>
        <w:rPr>
          <w:spacing w:val="14"/>
          <w:lang w:eastAsia="zh-CN"/>
        </w:rPr>
        <w:t>政</w:t>
      </w:r>
      <w:r>
        <w:rPr>
          <w:spacing w:val="16"/>
          <w:lang w:eastAsia="zh-CN"/>
        </w:rPr>
        <w:t>府采购</w:t>
      </w:r>
      <w:r>
        <w:rPr>
          <w:spacing w:val="14"/>
          <w:lang w:eastAsia="zh-CN"/>
        </w:rPr>
        <w:t>政</w:t>
      </w:r>
      <w:r>
        <w:rPr>
          <w:spacing w:val="16"/>
          <w:lang w:eastAsia="zh-CN"/>
        </w:rPr>
        <w:t>策的</w:t>
      </w:r>
      <w:r>
        <w:rPr>
          <w:spacing w:val="14"/>
          <w:lang w:eastAsia="zh-CN"/>
        </w:rPr>
        <w:t>通</w:t>
      </w:r>
      <w:r>
        <w:rPr>
          <w:spacing w:val="16"/>
          <w:lang w:eastAsia="zh-CN"/>
        </w:rPr>
        <w:t>知》</w:t>
      </w:r>
      <w:r>
        <w:rPr>
          <w:spacing w:val="14"/>
          <w:lang w:eastAsia="zh-CN"/>
        </w:rPr>
        <w:t>（</w:t>
      </w:r>
      <w:r>
        <w:rPr>
          <w:spacing w:val="16"/>
          <w:lang w:eastAsia="zh-CN"/>
        </w:rPr>
        <w:t>财库</w:t>
      </w:r>
      <w:r>
        <w:rPr>
          <w:lang w:eastAsia="zh-CN"/>
        </w:rPr>
        <w:t>〔2017</w:t>
      </w:r>
      <w:r>
        <w:rPr>
          <w:spacing w:val="4"/>
          <w:lang w:eastAsia="zh-CN"/>
        </w:rPr>
        <w:t>〕</w:t>
      </w:r>
      <w:r>
        <w:rPr>
          <w:lang w:eastAsia="zh-CN"/>
        </w:rPr>
        <w:t>141</w:t>
      </w:r>
      <w:r>
        <w:rPr>
          <w:spacing w:val="-54"/>
          <w:lang w:eastAsia="zh-CN"/>
        </w:rPr>
        <w:t xml:space="preserve"> </w:t>
      </w:r>
      <w:r>
        <w:rPr>
          <w:spacing w:val="16"/>
          <w:lang w:eastAsia="zh-CN"/>
        </w:rPr>
        <w:t>号</w:t>
      </w:r>
      <w:r>
        <w:rPr>
          <w:spacing w:val="14"/>
          <w:lang w:eastAsia="zh-CN"/>
        </w:rPr>
        <w:t>）</w:t>
      </w:r>
      <w:r>
        <w:rPr>
          <w:spacing w:val="16"/>
          <w:lang w:eastAsia="zh-CN"/>
        </w:rPr>
        <w:t>的规</w:t>
      </w:r>
      <w:r>
        <w:rPr>
          <w:spacing w:val="14"/>
          <w:lang w:eastAsia="zh-CN"/>
        </w:rPr>
        <w:t>定</w:t>
      </w:r>
      <w:r>
        <w:rPr>
          <w:spacing w:val="16"/>
          <w:lang w:eastAsia="zh-CN"/>
        </w:rPr>
        <w:t>，本单</w:t>
      </w:r>
      <w:r>
        <w:rPr>
          <w:spacing w:val="14"/>
          <w:lang w:eastAsia="zh-CN"/>
        </w:rPr>
        <w:t>位</w:t>
      </w:r>
      <w:r>
        <w:rPr>
          <w:lang w:eastAsia="zh-CN"/>
        </w:rPr>
        <w:t>为</w:t>
      </w:r>
      <w:r>
        <w:rPr>
          <w:spacing w:val="12"/>
          <w:lang w:eastAsia="zh-CN"/>
        </w:rPr>
        <w:t>符</w:t>
      </w:r>
      <w:r>
        <w:rPr>
          <w:spacing w:val="14"/>
          <w:lang w:eastAsia="zh-CN"/>
        </w:rPr>
        <w:t>合</w:t>
      </w:r>
      <w:r>
        <w:rPr>
          <w:spacing w:val="12"/>
          <w:lang w:eastAsia="zh-CN"/>
        </w:rPr>
        <w:t>条</w:t>
      </w:r>
      <w:r>
        <w:rPr>
          <w:spacing w:val="14"/>
          <w:lang w:eastAsia="zh-CN"/>
        </w:rPr>
        <w:t>件</w:t>
      </w:r>
      <w:r>
        <w:rPr>
          <w:spacing w:val="12"/>
          <w:lang w:eastAsia="zh-CN"/>
        </w:rPr>
        <w:t>的残</w:t>
      </w:r>
      <w:r>
        <w:rPr>
          <w:spacing w:val="14"/>
          <w:lang w:eastAsia="zh-CN"/>
        </w:rPr>
        <w:t>疾</w:t>
      </w:r>
      <w:r>
        <w:rPr>
          <w:spacing w:val="12"/>
          <w:lang w:eastAsia="zh-CN"/>
        </w:rPr>
        <w:t>人</w:t>
      </w:r>
      <w:r>
        <w:rPr>
          <w:spacing w:val="14"/>
          <w:lang w:eastAsia="zh-CN"/>
        </w:rPr>
        <w:t>福</w:t>
      </w:r>
      <w:r>
        <w:rPr>
          <w:spacing w:val="12"/>
          <w:lang w:eastAsia="zh-CN"/>
        </w:rPr>
        <w:t>利</w:t>
      </w:r>
      <w:r>
        <w:rPr>
          <w:spacing w:val="14"/>
          <w:lang w:eastAsia="zh-CN"/>
        </w:rPr>
        <w:t>性</w:t>
      </w:r>
      <w:r>
        <w:rPr>
          <w:spacing w:val="12"/>
          <w:lang w:eastAsia="zh-CN"/>
        </w:rPr>
        <w:t>单位</w:t>
      </w:r>
      <w:r>
        <w:rPr>
          <w:spacing w:val="14"/>
          <w:lang w:eastAsia="zh-CN"/>
        </w:rPr>
        <w:t>，</w:t>
      </w:r>
      <w:r>
        <w:rPr>
          <w:spacing w:val="12"/>
          <w:lang w:eastAsia="zh-CN"/>
        </w:rPr>
        <w:t>且</w:t>
      </w:r>
      <w:r>
        <w:rPr>
          <w:spacing w:val="14"/>
          <w:lang w:eastAsia="zh-CN"/>
        </w:rPr>
        <w:t>本</w:t>
      </w:r>
      <w:r>
        <w:rPr>
          <w:spacing w:val="12"/>
          <w:lang w:eastAsia="zh-CN"/>
        </w:rPr>
        <w:t>单位</w:t>
      </w:r>
      <w:r>
        <w:rPr>
          <w:spacing w:val="14"/>
          <w:lang w:eastAsia="zh-CN"/>
        </w:rPr>
        <w:t>参</w:t>
      </w:r>
      <w:r>
        <w:rPr>
          <w:spacing w:val="11"/>
          <w:lang w:eastAsia="zh-CN"/>
        </w:rPr>
        <w:t>加</w:t>
      </w:r>
      <w:r>
        <w:rPr>
          <w:spacing w:val="11"/>
          <w:u w:val="single"/>
          <w:lang w:eastAsia="zh-CN"/>
        </w:rPr>
        <w:t xml:space="preserve">                  </w:t>
      </w:r>
      <w:r>
        <w:rPr>
          <w:spacing w:val="12"/>
          <w:lang w:eastAsia="zh-CN"/>
        </w:rPr>
        <w:t>单</w:t>
      </w:r>
      <w:r>
        <w:rPr>
          <w:spacing w:val="14"/>
          <w:lang w:eastAsia="zh-CN"/>
        </w:rPr>
        <w:t>位</w:t>
      </w:r>
      <w:r>
        <w:rPr>
          <w:spacing w:val="11"/>
          <w:lang w:eastAsia="zh-CN"/>
        </w:rPr>
        <w:t>的</w:t>
      </w:r>
      <w:r>
        <w:rPr>
          <w:spacing w:val="11"/>
          <w:u w:val="single"/>
          <w:lang w:eastAsia="zh-CN"/>
        </w:rPr>
        <w:t xml:space="preserve"> </w:t>
      </w:r>
      <w:r>
        <w:rPr>
          <w:spacing w:val="11"/>
          <w:u w:val="single"/>
          <w:lang w:eastAsia="zh-CN"/>
        </w:rPr>
        <w:tab/>
      </w:r>
      <w:r>
        <w:rPr>
          <w:spacing w:val="12"/>
          <w:lang w:eastAsia="zh-CN"/>
        </w:rPr>
        <w:t>项</w:t>
      </w:r>
      <w:r>
        <w:rPr>
          <w:spacing w:val="14"/>
          <w:lang w:eastAsia="zh-CN"/>
        </w:rPr>
        <w:t>目</w:t>
      </w:r>
      <w:r>
        <w:rPr>
          <w:spacing w:val="-16"/>
          <w:lang w:eastAsia="zh-CN"/>
        </w:rPr>
        <w:t>采</w:t>
      </w:r>
      <w:r>
        <w:rPr>
          <w:spacing w:val="16"/>
          <w:lang w:eastAsia="zh-CN"/>
        </w:rPr>
        <w:t>购</w:t>
      </w:r>
      <w:r>
        <w:rPr>
          <w:spacing w:val="14"/>
          <w:lang w:eastAsia="zh-CN"/>
        </w:rPr>
        <w:t>活</w:t>
      </w:r>
      <w:r>
        <w:rPr>
          <w:spacing w:val="16"/>
          <w:lang w:eastAsia="zh-CN"/>
        </w:rPr>
        <w:t>动</w:t>
      </w:r>
      <w:r>
        <w:rPr>
          <w:spacing w:val="14"/>
          <w:lang w:eastAsia="zh-CN"/>
        </w:rPr>
        <w:t>提</w:t>
      </w:r>
      <w:r>
        <w:rPr>
          <w:spacing w:val="16"/>
          <w:lang w:eastAsia="zh-CN"/>
        </w:rPr>
        <w:t>供</w:t>
      </w:r>
      <w:r>
        <w:rPr>
          <w:spacing w:val="14"/>
          <w:lang w:eastAsia="zh-CN"/>
        </w:rPr>
        <w:t>本</w:t>
      </w:r>
      <w:r>
        <w:rPr>
          <w:spacing w:val="16"/>
          <w:lang w:eastAsia="zh-CN"/>
        </w:rPr>
        <w:t>单</w:t>
      </w:r>
      <w:r>
        <w:rPr>
          <w:spacing w:val="14"/>
          <w:lang w:eastAsia="zh-CN"/>
        </w:rPr>
        <w:t>位</w:t>
      </w:r>
      <w:r>
        <w:rPr>
          <w:spacing w:val="16"/>
          <w:lang w:eastAsia="zh-CN"/>
        </w:rPr>
        <w:t>制</w:t>
      </w:r>
      <w:r>
        <w:rPr>
          <w:spacing w:val="14"/>
          <w:lang w:eastAsia="zh-CN"/>
        </w:rPr>
        <w:t>造</w:t>
      </w:r>
      <w:r>
        <w:rPr>
          <w:spacing w:val="16"/>
          <w:lang w:eastAsia="zh-CN"/>
        </w:rPr>
        <w:t>的</w:t>
      </w:r>
      <w:r>
        <w:rPr>
          <w:spacing w:val="14"/>
          <w:lang w:eastAsia="zh-CN"/>
        </w:rPr>
        <w:t>货</w:t>
      </w:r>
      <w:r>
        <w:rPr>
          <w:spacing w:val="16"/>
          <w:lang w:eastAsia="zh-CN"/>
        </w:rPr>
        <w:t>物</w:t>
      </w:r>
      <w:r>
        <w:rPr>
          <w:spacing w:val="14"/>
          <w:lang w:eastAsia="zh-CN"/>
        </w:rPr>
        <w:t>（</w:t>
      </w:r>
      <w:r>
        <w:rPr>
          <w:spacing w:val="16"/>
          <w:lang w:eastAsia="zh-CN"/>
        </w:rPr>
        <w:t>由</w:t>
      </w:r>
      <w:r>
        <w:rPr>
          <w:spacing w:val="14"/>
          <w:lang w:eastAsia="zh-CN"/>
        </w:rPr>
        <w:t>本</w:t>
      </w:r>
      <w:r>
        <w:rPr>
          <w:spacing w:val="16"/>
          <w:lang w:eastAsia="zh-CN"/>
        </w:rPr>
        <w:t>单</w:t>
      </w:r>
      <w:r>
        <w:rPr>
          <w:spacing w:val="14"/>
          <w:lang w:eastAsia="zh-CN"/>
        </w:rPr>
        <w:t>位</w:t>
      </w:r>
      <w:r>
        <w:rPr>
          <w:spacing w:val="16"/>
          <w:lang w:eastAsia="zh-CN"/>
        </w:rPr>
        <w:t>承</w:t>
      </w:r>
      <w:r>
        <w:rPr>
          <w:spacing w:val="14"/>
          <w:lang w:eastAsia="zh-CN"/>
        </w:rPr>
        <w:t>担</w:t>
      </w:r>
      <w:r>
        <w:rPr>
          <w:spacing w:val="16"/>
          <w:lang w:eastAsia="zh-CN"/>
        </w:rPr>
        <w:t>工</w:t>
      </w:r>
      <w:r>
        <w:rPr>
          <w:spacing w:val="14"/>
          <w:lang w:eastAsia="zh-CN"/>
        </w:rPr>
        <w:t>程</w:t>
      </w:r>
      <w:r>
        <w:rPr>
          <w:spacing w:val="9"/>
          <w:lang w:eastAsia="zh-CN"/>
        </w:rPr>
        <w:t>/</w:t>
      </w:r>
      <w:r>
        <w:rPr>
          <w:spacing w:val="16"/>
          <w:lang w:eastAsia="zh-CN"/>
        </w:rPr>
        <w:t>提</w:t>
      </w:r>
      <w:r>
        <w:rPr>
          <w:spacing w:val="14"/>
          <w:lang w:eastAsia="zh-CN"/>
        </w:rPr>
        <w:t>供</w:t>
      </w:r>
      <w:r>
        <w:rPr>
          <w:spacing w:val="16"/>
          <w:lang w:eastAsia="zh-CN"/>
        </w:rPr>
        <w:t>服</w:t>
      </w:r>
      <w:r>
        <w:rPr>
          <w:spacing w:val="14"/>
          <w:lang w:eastAsia="zh-CN"/>
        </w:rPr>
        <w:t>务</w:t>
      </w:r>
      <w:r>
        <w:rPr>
          <w:spacing w:val="15"/>
          <w:lang w:eastAsia="zh-CN"/>
        </w:rPr>
        <w:t>），</w:t>
      </w:r>
      <w:r>
        <w:rPr>
          <w:spacing w:val="16"/>
          <w:lang w:eastAsia="zh-CN"/>
        </w:rPr>
        <w:t>或</w:t>
      </w:r>
      <w:r>
        <w:rPr>
          <w:spacing w:val="14"/>
          <w:lang w:eastAsia="zh-CN"/>
        </w:rPr>
        <w:t>者</w:t>
      </w:r>
      <w:r>
        <w:rPr>
          <w:spacing w:val="16"/>
          <w:lang w:eastAsia="zh-CN"/>
        </w:rPr>
        <w:t>提</w:t>
      </w:r>
      <w:r>
        <w:rPr>
          <w:lang w:eastAsia="zh-CN"/>
        </w:rPr>
        <w:t>供</w:t>
      </w:r>
      <w:r>
        <w:rPr>
          <w:spacing w:val="12"/>
          <w:lang w:eastAsia="zh-CN"/>
        </w:rPr>
        <w:t>其他残疾人福利性单位制造的货</w:t>
      </w:r>
      <w:r>
        <w:rPr>
          <w:lang w:eastAsia="zh-CN"/>
        </w:rPr>
        <w:t>物</w:t>
      </w:r>
      <w:r>
        <w:rPr>
          <w:spacing w:val="12"/>
          <w:lang w:eastAsia="zh-CN"/>
        </w:rPr>
        <w:t>（不包括使用非残疾人福利性单位注册</w:t>
      </w:r>
      <w:r>
        <w:rPr>
          <w:spacing w:val="-17"/>
          <w:lang w:eastAsia="zh-CN"/>
        </w:rPr>
        <w:t>商</w:t>
      </w:r>
      <w:r>
        <w:rPr>
          <w:spacing w:val="12"/>
          <w:lang w:eastAsia="zh-CN"/>
        </w:rPr>
        <w:t>标的货物）</w:t>
      </w:r>
      <w:r>
        <w:rPr>
          <w:lang w:eastAsia="zh-CN"/>
        </w:rPr>
        <w:t>。</w:t>
      </w:r>
    </w:p>
    <w:p w14:paraId="2194B405">
      <w:pPr>
        <w:pStyle w:val="6"/>
        <w:spacing w:line="360" w:lineRule="auto"/>
        <w:ind w:left="0" w:firstLine="524" w:firstLineChars="200"/>
        <w:rPr>
          <w:lang w:eastAsia="zh-CN"/>
        </w:rPr>
      </w:pPr>
      <w:r>
        <w:rPr>
          <w:spacing w:val="11"/>
          <w:lang w:eastAsia="zh-CN"/>
        </w:rPr>
        <w:t>本单位对上述声明的真实性负责。如有虚假，将依法承担相应责任。</w:t>
      </w:r>
    </w:p>
    <w:p w14:paraId="5589D518">
      <w:pPr>
        <w:pStyle w:val="6"/>
        <w:spacing w:line="360" w:lineRule="auto"/>
        <w:ind w:left="0" w:firstLine="480" w:firstLineChars="200"/>
        <w:rPr>
          <w:lang w:eastAsia="zh-CN"/>
        </w:rPr>
      </w:pPr>
    </w:p>
    <w:p w14:paraId="793D2531">
      <w:pPr>
        <w:pStyle w:val="6"/>
        <w:tabs>
          <w:tab w:val="left" w:pos="7951"/>
          <w:tab w:val="left" w:pos="8010"/>
          <w:tab w:val="left" w:pos="8791"/>
        </w:tabs>
        <w:spacing w:line="480" w:lineRule="auto"/>
        <w:ind w:left="0" w:firstLine="5520" w:firstLineChars="2300"/>
        <w:rPr>
          <w:spacing w:val="-16"/>
          <w:lang w:eastAsia="zh-CN"/>
        </w:rPr>
      </w:pPr>
      <w:r>
        <w:rPr>
          <w:rFonts w:hint="eastAsia"/>
          <w:lang w:eastAsia="zh-CN"/>
        </w:rPr>
        <w:t>供应商名称</w:t>
      </w:r>
      <w:r>
        <w:rPr>
          <w:lang w:eastAsia="zh-CN"/>
        </w:rPr>
        <w:t>：</w:t>
      </w:r>
      <w:r>
        <w:rPr>
          <w:u w:val="single"/>
          <w:lang w:eastAsia="zh-CN"/>
        </w:rPr>
        <w:t xml:space="preserve"> </w:t>
      </w:r>
      <w:r>
        <w:rPr>
          <w:u w:val="single"/>
          <w:lang w:eastAsia="zh-CN"/>
        </w:rPr>
        <w:tab/>
      </w:r>
      <w:r>
        <w:rPr>
          <w:lang w:eastAsia="zh-CN"/>
        </w:rPr>
        <w:t>(</w:t>
      </w:r>
      <w:r>
        <w:rPr>
          <w:rFonts w:hint="eastAsia"/>
          <w:lang w:val="en-US" w:eastAsia="zh-CN"/>
        </w:rPr>
        <w:t>电子签章</w:t>
      </w:r>
      <w:r>
        <w:rPr>
          <w:spacing w:val="-16"/>
          <w:lang w:eastAsia="zh-CN"/>
        </w:rPr>
        <w:t xml:space="preserve">) </w:t>
      </w:r>
    </w:p>
    <w:p w14:paraId="29EE1AA3">
      <w:pPr>
        <w:pStyle w:val="6"/>
        <w:tabs>
          <w:tab w:val="left" w:pos="7051"/>
          <w:tab w:val="left" w:pos="7744"/>
          <w:tab w:val="left" w:pos="7951"/>
          <w:tab w:val="left" w:pos="8791"/>
        </w:tabs>
        <w:spacing w:line="480" w:lineRule="auto"/>
        <w:ind w:left="0" w:firstLine="5520" w:firstLineChars="2300"/>
        <w:rPr>
          <w:lang w:eastAsia="zh-CN"/>
        </w:rPr>
      </w:pPr>
      <w:r>
        <w:rPr>
          <w:lang w:eastAsia="zh-CN"/>
        </w:rPr>
        <w:t>日期：</w:t>
      </w:r>
      <w:r>
        <w:rPr>
          <w:u w:val="single"/>
          <w:lang w:eastAsia="zh-CN"/>
        </w:rPr>
        <w:t xml:space="preserve"> </w:t>
      </w:r>
      <w:r>
        <w:rPr>
          <w:u w:val="single"/>
          <w:lang w:eastAsia="zh-CN"/>
        </w:rPr>
        <w:tab/>
      </w:r>
      <w:r>
        <w:rPr>
          <w:lang w:eastAsia="zh-CN"/>
        </w:rPr>
        <w:t>年</w:t>
      </w:r>
      <w:r>
        <w:rPr>
          <w:u w:val="single"/>
          <w:lang w:eastAsia="zh-CN"/>
        </w:rPr>
        <w:t xml:space="preserve"> </w:t>
      </w:r>
      <w:r>
        <w:rPr>
          <w:u w:val="single"/>
          <w:lang w:eastAsia="zh-CN"/>
        </w:rPr>
        <w:tab/>
      </w:r>
      <w:r>
        <w:rPr>
          <w:u w:val="single"/>
          <w:lang w:eastAsia="zh-CN"/>
        </w:rPr>
        <w:tab/>
      </w:r>
      <w:r>
        <w:rPr>
          <w:lang w:eastAsia="zh-CN"/>
        </w:rPr>
        <w:t>月</w:t>
      </w:r>
      <w:r>
        <w:rPr>
          <w:u w:val="single"/>
          <w:lang w:eastAsia="zh-CN"/>
        </w:rPr>
        <w:t xml:space="preserve"> </w:t>
      </w:r>
      <w:r>
        <w:rPr>
          <w:u w:val="single"/>
          <w:lang w:eastAsia="zh-CN"/>
        </w:rPr>
        <w:tab/>
      </w:r>
      <w:r>
        <w:rPr>
          <w:lang w:eastAsia="zh-CN"/>
        </w:rPr>
        <w:t>日</w:t>
      </w:r>
    </w:p>
    <w:p w14:paraId="2573E258">
      <w:pPr>
        <w:pStyle w:val="6"/>
        <w:spacing w:line="360" w:lineRule="auto"/>
        <w:ind w:left="0" w:firstLine="720" w:firstLineChars="200"/>
        <w:rPr>
          <w:sz w:val="36"/>
          <w:lang w:eastAsia="zh-CN"/>
        </w:rPr>
      </w:pPr>
    </w:p>
    <w:p w14:paraId="1098075F">
      <w:pPr>
        <w:pStyle w:val="5"/>
        <w:spacing w:line="360" w:lineRule="auto"/>
        <w:ind w:left="0" w:firstLine="458" w:firstLineChars="200"/>
        <w:rPr>
          <w:lang w:eastAsia="zh-CN"/>
        </w:rPr>
      </w:pPr>
      <w:r>
        <w:rPr>
          <w:w w:val="95"/>
          <w:lang w:eastAsia="zh-CN"/>
        </w:rPr>
        <w:t xml:space="preserve">（提醒：如果供应商不是残疾人福利性单位，则不需要提供《残疾人福利  </w:t>
      </w:r>
      <w:r>
        <w:rPr>
          <w:lang w:eastAsia="zh-CN"/>
        </w:rPr>
        <w:t>性单位声明函》。否则，因此导致虚假投标的后果由供应商自行承担。）</w:t>
      </w:r>
    </w:p>
    <w:p w14:paraId="78C4747A">
      <w:pPr>
        <w:pStyle w:val="6"/>
        <w:spacing w:line="360" w:lineRule="auto"/>
        <w:ind w:left="0" w:firstLine="482" w:firstLineChars="200"/>
        <w:rPr>
          <w:b/>
          <w:lang w:eastAsia="zh-CN"/>
        </w:rPr>
      </w:pPr>
    </w:p>
    <w:p w14:paraId="02600790">
      <w:pPr>
        <w:pStyle w:val="6"/>
        <w:spacing w:line="360" w:lineRule="auto"/>
        <w:ind w:left="0" w:firstLine="480" w:firstLineChars="200"/>
        <w:rPr>
          <w:lang w:eastAsia="zh-CN"/>
        </w:rPr>
      </w:pPr>
      <w:r>
        <w:rPr>
          <w:lang w:eastAsia="zh-CN"/>
        </w:rPr>
        <w:t>《财政部民政部中国残疾人联合会关于促进残疾人就业政府采购政策的通知》（财库 2017〔141〕号）的规定：</w:t>
      </w:r>
    </w:p>
    <w:p w14:paraId="79F02DD1">
      <w:pPr>
        <w:pStyle w:val="28"/>
        <w:tabs>
          <w:tab w:val="left" w:pos="1820"/>
        </w:tabs>
        <w:spacing w:line="360" w:lineRule="auto"/>
        <w:ind w:left="0" w:firstLine="480" w:firstLineChars="200"/>
        <w:jc w:val="both"/>
        <w:rPr>
          <w:sz w:val="24"/>
          <w:lang w:eastAsia="zh-CN"/>
        </w:rPr>
      </w:pPr>
      <w:r>
        <w:rPr>
          <w:rFonts w:hint="eastAsia"/>
          <w:sz w:val="24"/>
          <w:lang w:eastAsia="zh-CN"/>
        </w:rPr>
        <w:t>1</w:t>
      </w:r>
      <w:r>
        <w:rPr>
          <w:sz w:val="24"/>
          <w:lang w:eastAsia="zh-CN"/>
        </w:rPr>
        <w:t>.享受政府采购支持政策的残疾人福利性单位应当同时满足以下条件：</w:t>
      </w:r>
    </w:p>
    <w:p w14:paraId="5D4E2D94">
      <w:pPr>
        <w:pStyle w:val="28"/>
        <w:tabs>
          <w:tab w:val="left" w:pos="1581"/>
        </w:tabs>
        <w:spacing w:line="360" w:lineRule="auto"/>
        <w:ind w:left="474" w:firstLine="0"/>
        <w:jc w:val="both"/>
        <w:rPr>
          <w:spacing w:val="-9"/>
          <w:sz w:val="24"/>
          <w:lang w:eastAsia="zh-CN"/>
        </w:rPr>
      </w:pPr>
      <w:r>
        <w:rPr>
          <w:rFonts w:hint="eastAsia"/>
          <w:sz w:val="24"/>
          <w:lang w:eastAsia="zh-CN"/>
        </w:rPr>
        <w:t>（1）</w:t>
      </w:r>
      <w:r>
        <w:rPr>
          <w:spacing w:val="-3"/>
          <w:sz w:val="24"/>
          <w:lang w:eastAsia="zh-CN"/>
        </w:rPr>
        <w:t xml:space="preserve">安置的残疾人占本单位在职职工人数的比例不低于 </w:t>
      </w:r>
      <w:r>
        <w:rPr>
          <w:spacing w:val="-6"/>
          <w:sz w:val="24"/>
          <w:lang w:eastAsia="zh-CN"/>
        </w:rPr>
        <w:t>25%（</w:t>
      </w:r>
      <w:r>
        <w:rPr>
          <w:spacing w:val="-29"/>
          <w:sz w:val="24"/>
          <w:lang w:eastAsia="zh-CN"/>
        </w:rPr>
        <w:t xml:space="preserve">含 </w:t>
      </w:r>
      <w:r>
        <w:rPr>
          <w:spacing w:val="-10"/>
          <w:sz w:val="24"/>
          <w:lang w:eastAsia="zh-CN"/>
        </w:rPr>
        <w:t>25%）</w:t>
      </w:r>
      <w:r>
        <w:rPr>
          <w:spacing w:val="-4"/>
          <w:sz w:val="24"/>
          <w:lang w:eastAsia="zh-CN"/>
        </w:rPr>
        <w:t>，并且</w:t>
      </w:r>
      <w:r>
        <w:rPr>
          <w:spacing w:val="-9"/>
          <w:sz w:val="24"/>
          <w:lang w:eastAsia="zh-CN"/>
        </w:rPr>
        <w:t>安置的残疾</w:t>
      </w:r>
    </w:p>
    <w:p w14:paraId="6D25CC13">
      <w:pPr>
        <w:tabs>
          <w:tab w:val="left" w:pos="1581"/>
        </w:tabs>
        <w:spacing w:line="360" w:lineRule="auto"/>
        <w:jc w:val="both"/>
        <w:rPr>
          <w:spacing w:val="-9"/>
          <w:sz w:val="24"/>
          <w:lang w:eastAsia="zh-CN"/>
        </w:rPr>
      </w:pPr>
      <w:r>
        <w:rPr>
          <w:spacing w:val="-9"/>
          <w:sz w:val="24"/>
          <w:lang w:eastAsia="zh-CN"/>
        </w:rPr>
        <w:t xml:space="preserve">人人数不少于 </w:t>
      </w:r>
      <w:r>
        <w:rPr>
          <w:sz w:val="24"/>
          <w:lang w:eastAsia="zh-CN"/>
        </w:rPr>
        <w:t>10</w:t>
      </w:r>
      <w:r>
        <w:rPr>
          <w:spacing w:val="-30"/>
          <w:sz w:val="24"/>
          <w:lang w:eastAsia="zh-CN"/>
        </w:rPr>
        <w:t xml:space="preserve"> 人</w:t>
      </w:r>
      <w:r>
        <w:rPr>
          <w:sz w:val="24"/>
          <w:lang w:eastAsia="zh-CN"/>
        </w:rPr>
        <w:t>（</w:t>
      </w:r>
      <w:r>
        <w:rPr>
          <w:spacing w:val="-30"/>
          <w:sz w:val="24"/>
          <w:lang w:eastAsia="zh-CN"/>
        </w:rPr>
        <w:t xml:space="preserve">含 </w:t>
      </w:r>
      <w:r>
        <w:rPr>
          <w:sz w:val="24"/>
          <w:lang w:eastAsia="zh-CN"/>
        </w:rPr>
        <w:t>10</w:t>
      </w:r>
      <w:r>
        <w:rPr>
          <w:spacing w:val="-30"/>
          <w:sz w:val="24"/>
          <w:lang w:eastAsia="zh-CN"/>
        </w:rPr>
        <w:t xml:space="preserve"> 人</w:t>
      </w:r>
      <w:r>
        <w:rPr>
          <w:sz w:val="24"/>
          <w:lang w:eastAsia="zh-CN"/>
        </w:rPr>
        <w:t>）；</w:t>
      </w:r>
    </w:p>
    <w:p w14:paraId="14DA9EF3">
      <w:pPr>
        <w:pStyle w:val="28"/>
        <w:tabs>
          <w:tab w:val="left" w:pos="1581"/>
        </w:tabs>
        <w:spacing w:line="360" w:lineRule="auto"/>
        <w:ind w:left="480" w:firstLine="0"/>
        <w:jc w:val="both"/>
        <w:rPr>
          <w:sz w:val="24"/>
          <w:lang w:eastAsia="zh-CN"/>
        </w:rPr>
      </w:pPr>
      <w:r>
        <w:rPr>
          <w:rFonts w:hint="eastAsia"/>
          <w:sz w:val="24"/>
          <w:lang w:eastAsia="zh-CN"/>
        </w:rPr>
        <w:t>（</w:t>
      </w:r>
      <w:r>
        <w:rPr>
          <w:sz w:val="24"/>
          <w:lang w:eastAsia="zh-CN"/>
        </w:rPr>
        <w:t>2</w:t>
      </w:r>
      <w:r>
        <w:rPr>
          <w:rFonts w:hint="eastAsia"/>
          <w:sz w:val="24"/>
          <w:lang w:eastAsia="zh-CN"/>
        </w:rPr>
        <w:t>）</w:t>
      </w:r>
      <w:r>
        <w:rPr>
          <w:sz w:val="24"/>
          <w:lang w:eastAsia="zh-CN"/>
        </w:rPr>
        <w:t>依法与安置的每位残疾人签订了一年以上（含一年）</w:t>
      </w:r>
      <w:r>
        <w:rPr>
          <w:spacing w:val="-2"/>
          <w:sz w:val="24"/>
          <w:lang w:eastAsia="zh-CN"/>
        </w:rPr>
        <w:t>的劳动合同或服务协</w:t>
      </w:r>
      <w:r>
        <w:rPr>
          <w:sz w:val="24"/>
          <w:lang w:eastAsia="zh-CN"/>
        </w:rPr>
        <w:t>议；</w:t>
      </w:r>
    </w:p>
    <w:p w14:paraId="4D129CC2">
      <w:pPr>
        <w:pStyle w:val="28"/>
        <w:tabs>
          <w:tab w:val="left" w:pos="1581"/>
        </w:tabs>
        <w:spacing w:line="360" w:lineRule="auto"/>
        <w:ind w:left="478" w:firstLine="0"/>
        <w:jc w:val="both"/>
        <w:rPr>
          <w:sz w:val="24"/>
          <w:lang w:eastAsia="zh-CN"/>
        </w:rPr>
      </w:pPr>
      <w:r>
        <w:rPr>
          <w:rFonts w:hint="eastAsia"/>
          <w:spacing w:val="-1"/>
          <w:sz w:val="24"/>
          <w:lang w:eastAsia="zh-CN"/>
        </w:rPr>
        <w:t>（</w:t>
      </w:r>
      <w:r>
        <w:rPr>
          <w:spacing w:val="-1"/>
          <w:sz w:val="24"/>
          <w:lang w:eastAsia="zh-CN"/>
        </w:rPr>
        <w:t>3</w:t>
      </w:r>
      <w:r>
        <w:rPr>
          <w:rFonts w:hint="eastAsia"/>
          <w:spacing w:val="-1"/>
          <w:sz w:val="24"/>
          <w:lang w:eastAsia="zh-CN"/>
        </w:rPr>
        <w:t>）</w:t>
      </w:r>
      <w:r>
        <w:rPr>
          <w:spacing w:val="-1"/>
          <w:sz w:val="24"/>
          <w:lang w:eastAsia="zh-CN"/>
        </w:rPr>
        <w:t>为安置的每位残疾人按月足额缴纳了基本养老保险、基本医疗保险、失业</w:t>
      </w:r>
      <w:r>
        <w:rPr>
          <w:sz w:val="24"/>
          <w:lang w:eastAsia="zh-CN"/>
        </w:rPr>
        <w:t>保险、工</w:t>
      </w:r>
    </w:p>
    <w:p w14:paraId="7F72F69F">
      <w:pPr>
        <w:tabs>
          <w:tab w:val="left" w:pos="1581"/>
        </w:tabs>
        <w:spacing w:line="360" w:lineRule="auto"/>
        <w:jc w:val="both"/>
        <w:rPr>
          <w:sz w:val="24"/>
          <w:lang w:eastAsia="zh-CN"/>
        </w:rPr>
      </w:pPr>
      <w:r>
        <w:rPr>
          <w:sz w:val="24"/>
          <w:lang w:eastAsia="zh-CN"/>
        </w:rPr>
        <w:t>伤保险和生育保险等社会保险费；</w:t>
      </w:r>
    </w:p>
    <w:p w14:paraId="32C7B67D">
      <w:pPr>
        <w:pStyle w:val="28"/>
        <w:tabs>
          <w:tab w:val="left" w:pos="1581"/>
        </w:tabs>
        <w:spacing w:line="364" w:lineRule="auto"/>
        <w:ind w:left="0" w:firstLine="480" w:firstLineChars="200"/>
        <w:jc w:val="both"/>
        <w:rPr>
          <w:lang w:eastAsia="zh-CN"/>
        </w:rPr>
      </w:pPr>
      <w:r>
        <w:rPr>
          <w:rFonts w:hint="eastAsia"/>
          <w:sz w:val="24"/>
          <w:lang w:eastAsia="zh-CN"/>
        </w:rPr>
        <w:t>（</w:t>
      </w:r>
      <w:r>
        <w:rPr>
          <w:sz w:val="24"/>
          <w:lang w:eastAsia="zh-CN"/>
        </w:rPr>
        <w:t>4</w:t>
      </w:r>
      <w:r>
        <w:rPr>
          <w:rFonts w:hint="eastAsia"/>
          <w:sz w:val="24"/>
          <w:lang w:eastAsia="zh-CN"/>
        </w:rPr>
        <w:t>）</w:t>
      </w:r>
      <w:r>
        <w:rPr>
          <w:sz w:val="24"/>
          <w:lang w:eastAsia="zh-CN"/>
        </w:rPr>
        <w:t>通过银行等金融机构向安置的每位残疾人，按月支付了不低于单位所在区</w:t>
      </w:r>
      <w:r>
        <w:rPr>
          <w:lang w:eastAsia="zh-CN"/>
        </w:rPr>
        <w:t>县适用的经省级人民政府批准的月最低工资标准的工资；</w:t>
      </w:r>
    </w:p>
    <w:p w14:paraId="4F455EEC">
      <w:pPr>
        <w:pStyle w:val="28"/>
        <w:tabs>
          <w:tab w:val="left" w:pos="1581"/>
        </w:tabs>
        <w:spacing w:line="364" w:lineRule="auto"/>
        <w:ind w:left="0" w:firstLine="440" w:firstLineChars="200"/>
        <w:jc w:val="both"/>
        <w:rPr>
          <w:sz w:val="24"/>
          <w:lang w:eastAsia="zh-CN"/>
        </w:rPr>
      </w:pPr>
      <w:r>
        <w:rPr>
          <w:rFonts w:hint="eastAsia"/>
          <w:lang w:eastAsia="zh-CN"/>
        </w:rPr>
        <w:t>（5）</w:t>
      </w:r>
      <w:r>
        <w:rPr>
          <w:sz w:val="24"/>
          <w:lang w:eastAsia="zh-CN"/>
        </w:rPr>
        <w:t>提供本单位制造的货物、承担的工程或者服务（以下简称产品）</w:t>
      </w:r>
      <w:r>
        <w:rPr>
          <w:spacing w:val="-3"/>
          <w:sz w:val="24"/>
          <w:lang w:eastAsia="zh-CN"/>
        </w:rPr>
        <w:t>，或者提</w:t>
      </w:r>
      <w:r>
        <w:rPr>
          <w:spacing w:val="-6"/>
          <w:sz w:val="24"/>
          <w:lang w:eastAsia="zh-CN"/>
        </w:rPr>
        <w:t>供其他残疾人福利性单位制造的货物</w:t>
      </w:r>
      <w:r>
        <w:rPr>
          <w:sz w:val="24"/>
          <w:lang w:eastAsia="zh-CN"/>
        </w:rPr>
        <w:t>（</w:t>
      </w:r>
      <w:r>
        <w:rPr>
          <w:spacing w:val="-1"/>
          <w:sz w:val="24"/>
          <w:lang w:eastAsia="zh-CN"/>
        </w:rPr>
        <w:t>不包括使用非残疾人福利性单位注册商标</w:t>
      </w:r>
      <w:r>
        <w:rPr>
          <w:sz w:val="24"/>
          <w:lang w:eastAsia="zh-CN"/>
        </w:rPr>
        <w:t>的货物）。</w:t>
      </w:r>
    </w:p>
    <w:p w14:paraId="5F694610">
      <w:pPr>
        <w:pStyle w:val="6"/>
        <w:spacing w:line="360" w:lineRule="auto"/>
        <w:ind w:left="0" w:firstLine="480" w:firstLineChars="200"/>
        <w:jc w:val="both"/>
        <w:rPr>
          <w:lang w:eastAsia="zh-CN"/>
        </w:rPr>
      </w:pPr>
      <w:r>
        <w:rPr>
          <w:lang w:eastAsia="zh-CN"/>
        </w:rPr>
        <w:t>2.成交人为残疾人福利性单位的，采购人或者其委托的采购代理机构应当随成交、成交结果同时公告其《残疾人福利性单位声明函》，接受社会监督。</w:t>
      </w:r>
    </w:p>
    <w:p w14:paraId="1803DAD1">
      <w:pPr>
        <w:pStyle w:val="28"/>
        <w:tabs>
          <w:tab w:val="left" w:pos="1340"/>
        </w:tabs>
        <w:spacing w:line="233" w:lineRule="exact"/>
        <w:ind w:left="0" w:firstLine="720" w:firstLineChars="300"/>
        <w:jc w:val="both"/>
        <w:rPr>
          <w:sz w:val="24"/>
          <w:lang w:eastAsia="zh-CN"/>
        </w:rPr>
      </w:pPr>
    </w:p>
    <w:p w14:paraId="64136449">
      <w:pPr>
        <w:pStyle w:val="6"/>
        <w:ind w:left="0"/>
        <w:jc w:val="both"/>
        <w:rPr>
          <w:lang w:eastAsia="zh-CN"/>
        </w:rPr>
      </w:pPr>
    </w:p>
    <w:p w14:paraId="45630BAB">
      <w:pPr>
        <w:pStyle w:val="6"/>
        <w:ind w:left="0"/>
        <w:jc w:val="both"/>
        <w:rPr>
          <w:lang w:eastAsia="zh-CN"/>
        </w:rPr>
      </w:pPr>
    </w:p>
    <w:p w14:paraId="63B97EDF">
      <w:pPr>
        <w:jc w:val="both"/>
        <w:rPr>
          <w:sz w:val="24"/>
          <w:lang w:eastAsia="zh-CN"/>
        </w:rPr>
      </w:pPr>
    </w:p>
    <w:p w14:paraId="09FA18F9">
      <w:pPr>
        <w:pStyle w:val="28"/>
        <w:tabs>
          <w:tab w:val="left" w:pos="1581"/>
        </w:tabs>
        <w:spacing w:line="364" w:lineRule="auto"/>
        <w:ind w:left="0" w:firstLine="0"/>
        <w:jc w:val="both"/>
        <w:rPr>
          <w:rFonts w:hint="eastAsia"/>
          <w:lang w:eastAsia="zh-CN"/>
        </w:rPr>
      </w:pPr>
    </w:p>
    <w:sectPr>
      <w:pgSz w:w="11910" w:h="16840"/>
      <w:pgMar w:top="1440" w:right="1080" w:bottom="1440" w:left="1080" w:header="0" w:footer="909" w:gutter="0"/>
      <w:pgNumType w:fmt="decimal"/>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23EB5">
    <w:pPr>
      <w:pStyle w:val="7"/>
      <w:jc w:val="center"/>
    </w:pPr>
  </w:p>
  <w:p w14:paraId="2690489C">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10686">
    <w:pPr>
      <w:pStyle w:val="7"/>
      <w:jc w:val="center"/>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716D8FA4">
                <w:pPr>
                  <w:pStyle w:val="7"/>
                </w:pPr>
                <w:r>
                  <w:fldChar w:fldCharType="begin"/>
                </w:r>
                <w:r>
                  <w:instrText xml:space="preserve"> PAGE  \* MERGEFORMAT </w:instrText>
                </w:r>
                <w:r>
                  <w:fldChar w:fldCharType="separate"/>
                </w:r>
                <w:r>
                  <w:t>1</w:t>
                </w:r>
                <w:r>
                  <w:fldChar w:fldCharType="end"/>
                </w:r>
              </w:p>
            </w:txbxContent>
          </v:textbox>
        </v:shape>
      </w:pict>
    </w:r>
  </w:p>
  <w:p w14:paraId="490DB69A">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D0B8A">
    <w:pPr>
      <w:pStyle w:val="7"/>
      <w:jc w:val="center"/>
    </w:pPr>
    <w:r>
      <w:rPr>
        <w:sz w:val="18"/>
      </w:rPr>
      <w:pict>
        <v:shape id="_x0000_s4098" o:spid="_x0000_s4098"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sdt>
                <w:sdtPr>
                  <w:id w:val="147467261"/>
                  <w:docPartObj>
                    <w:docPartGallery w:val="autotext"/>
                  </w:docPartObj>
                </w:sdtPr>
                <w:sdtContent>
                  <w:p w14:paraId="5B2187B6">
                    <w:pPr>
                      <w:pStyle w:val="7"/>
                      <w:jc w:val="center"/>
                    </w:pPr>
                    <w:r>
                      <w:fldChar w:fldCharType="begin"/>
                    </w:r>
                    <w:r>
                      <w:instrText xml:space="preserve">PAGE   \* MERGEFORMAT</w:instrText>
                    </w:r>
                    <w:r>
                      <w:fldChar w:fldCharType="separate"/>
                    </w:r>
                    <w:r>
                      <w:rPr>
                        <w:lang w:val="zh-CN" w:eastAsia="zh-CN"/>
                      </w:rPr>
                      <w:t>19</w:t>
                    </w:r>
                    <w:r>
                      <w:fldChar w:fldCharType="end"/>
                    </w:r>
                  </w:p>
                </w:sdtContent>
              </w:sdt>
              <w:p w14:paraId="44203EE7"/>
            </w:txbxContent>
          </v:textbox>
        </v:shape>
      </w:pict>
    </w:r>
  </w:p>
  <w:p w14:paraId="48211698">
    <w:pPr>
      <w:pStyle w:val="6"/>
      <w:spacing w:line="14" w:lineRule="auto"/>
      <w:ind w:left="0"/>
      <w:rPr>
        <w:sz w:val="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F907B"/>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EC4AFF"/>
    <w:multiLevelType w:val="singleLevel"/>
    <w:tmpl w:val="31EC4AFF"/>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3,4"/>
    </o:shapelayout>
  </w:hdrShapeDefaults>
  <w:compat>
    <w:ulTrailSpace/>
    <w:doNotExpandShiftReturn/>
    <w:doNotWrapTextWithPunct/>
    <w:doNotUseEastAsianBreakRules/>
    <w:useFELayout/>
    <w:compatSetting w:name="compatibilityMode" w:uri="http://schemas.microsoft.com/office/word" w:val="12"/>
  </w:compat>
  <w:rsids>
    <w:rsidRoot w:val="00A40A25"/>
    <w:rsid w:val="00010585"/>
    <w:rsid w:val="0001557B"/>
    <w:rsid w:val="0002593C"/>
    <w:rsid w:val="00027155"/>
    <w:rsid w:val="00030DD4"/>
    <w:rsid w:val="00037F98"/>
    <w:rsid w:val="00046AE7"/>
    <w:rsid w:val="00076A42"/>
    <w:rsid w:val="0009276A"/>
    <w:rsid w:val="00092E40"/>
    <w:rsid w:val="00093645"/>
    <w:rsid w:val="000A5590"/>
    <w:rsid w:val="000B031C"/>
    <w:rsid w:val="000C35FD"/>
    <w:rsid w:val="000D3E14"/>
    <w:rsid w:val="000F67C4"/>
    <w:rsid w:val="00106448"/>
    <w:rsid w:val="00116DCE"/>
    <w:rsid w:val="0012543C"/>
    <w:rsid w:val="00136B3B"/>
    <w:rsid w:val="0014210A"/>
    <w:rsid w:val="00145179"/>
    <w:rsid w:val="00162F7A"/>
    <w:rsid w:val="001D1926"/>
    <w:rsid w:val="001F53EF"/>
    <w:rsid w:val="00210E55"/>
    <w:rsid w:val="00245CE8"/>
    <w:rsid w:val="00254318"/>
    <w:rsid w:val="002629D4"/>
    <w:rsid w:val="00270B44"/>
    <w:rsid w:val="002805D6"/>
    <w:rsid w:val="00280981"/>
    <w:rsid w:val="00286A88"/>
    <w:rsid w:val="00290DC6"/>
    <w:rsid w:val="0029135F"/>
    <w:rsid w:val="002A1DE4"/>
    <w:rsid w:val="002B59F6"/>
    <w:rsid w:val="00307F41"/>
    <w:rsid w:val="00344E3F"/>
    <w:rsid w:val="003511C5"/>
    <w:rsid w:val="00354E1D"/>
    <w:rsid w:val="0037021C"/>
    <w:rsid w:val="0037195B"/>
    <w:rsid w:val="003A0EC2"/>
    <w:rsid w:val="003A1911"/>
    <w:rsid w:val="003C652D"/>
    <w:rsid w:val="003C694B"/>
    <w:rsid w:val="003C78B7"/>
    <w:rsid w:val="003D1BF9"/>
    <w:rsid w:val="003D1EE6"/>
    <w:rsid w:val="003E1C62"/>
    <w:rsid w:val="004011B5"/>
    <w:rsid w:val="00410BCE"/>
    <w:rsid w:val="00421324"/>
    <w:rsid w:val="004436A9"/>
    <w:rsid w:val="004443B1"/>
    <w:rsid w:val="00451712"/>
    <w:rsid w:val="00473B7B"/>
    <w:rsid w:val="00492A05"/>
    <w:rsid w:val="0049320A"/>
    <w:rsid w:val="004A42C1"/>
    <w:rsid w:val="004D711D"/>
    <w:rsid w:val="004E7566"/>
    <w:rsid w:val="005171F6"/>
    <w:rsid w:val="005245D2"/>
    <w:rsid w:val="005600E5"/>
    <w:rsid w:val="00565998"/>
    <w:rsid w:val="005679CA"/>
    <w:rsid w:val="00572EED"/>
    <w:rsid w:val="005B78D7"/>
    <w:rsid w:val="005F14FF"/>
    <w:rsid w:val="005F7010"/>
    <w:rsid w:val="006059EA"/>
    <w:rsid w:val="00610845"/>
    <w:rsid w:val="006114F5"/>
    <w:rsid w:val="00637BAA"/>
    <w:rsid w:val="00645C4D"/>
    <w:rsid w:val="0066749E"/>
    <w:rsid w:val="00690D3B"/>
    <w:rsid w:val="00692CDF"/>
    <w:rsid w:val="006A4ED7"/>
    <w:rsid w:val="006B4C1B"/>
    <w:rsid w:val="006D0655"/>
    <w:rsid w:val="006E1ACC"/>
    <w:rsid w:val="00707894"/>
    <w:rsid w:val="00732591"/>
    <w:rsid w:val="00750FB8"/>
    <w:rsid w:val="00756D39"/>
    <w:rsid w:val="007A5D89"/>
    <w:rsid w:val="007B5855"/>
    <w:rsid w:val="007B7EA0"/>
    <w:rsid w:val="007C5E75"/>
    <w:rsid w:val="007D2EA9"/>
    <w:rsid w:val="007D5E0E"/>
    <w:rsid w:val="00800729"/>
    <w:rsid w:val="00800961"/>
    <w:rsid w:val="00822A3A"/>
    <w:rsid w:val="00832006"/>
    <w:rsid w:val="0085441C"/>
    <w:rsid w:val="00861EB2"/>
    <w:rsid w:val="0086264E"/>
    <w:rsid w:val="008757C4"/>
    <w:rsid w:val="00892529"/>
    <w:rsid w:val="008A725D"/>
    <w:rsid w:val="008B19BF"/>
    <w:rsid w:val="008B6440"/>
    <w:rsid w:val="008C3F02"/>
    <w:rsid w:val="008C79C5"/>
    <w:rsid w:val="008E29DF"/>
    <w:rsid w:val="008E3C9A"/>
    <w:rsid w:val="00910D3B"/>
    <w:rsid w:val="00915F71"/>
    <w:rsid w:val="0092791E"/>
    <w:rsid w:val="00957601"/>
    <w:rsid w:val="009667B6"/>
    <w:rsid w:val="00987C72"/>
    <w:rsid w:val="00990BFD"/>
    <w:rsid w:val="009A0DE1"/>
    <w:rsid w:val="009C0657"/>
    <w:rsid w:val="009C159D"/>
    <w:rsid w:val="009C65EC"/>
    <w:rsid w:val="009D33DC"/>
    <w:rsid w:val="009E11A1"/>
    <w:rsid w:val="009E18DD"/>
    <w:rsid w:val="009F4168"/>
    <w:rsid w:val="009F6187"/>
    <w:rsid w:val="00A00097"/>
    <w:rsid w:val="00A00591"/>
    <w:rsid w:val="00A06EBD"/>
    <w:rsid w:val="00A40A25"/>
    <w:rsid w:val="00A60C6D"/>
    <w:rsid w:val="00A77A97"/>
    <w:rsid w:val="00A96E03"/>
    <w:rsid w:val="00AA0B47"/>
    <w:rsid w:val="00AA410C"/>
    <w:rsid w:val="00AB744A"/>
    <w:rsid w:val="00AB7618"/>
    <w:rsid w:val="00AC2E19"/>
    <w:rsid w:val="00AE5623"/>
    <w:rsid w:val="00AF4100"/>
    <w:rsid w:val="00B22329"/>
    <w:rsid w:val="00B40A48"/>
    <w:rsid w:val="00B46C04"/>
    <w:rsid w:val="00B50E18"/>
    <w:rsid w:val="00B55177"/>
    <w:rsid w:val="00B8355C"/>
    <w:rsid w:val="00B92942"/>
    <w:rsid w:val="00B96628"/>
    <w:rsid w:val="00BB1FF9"/>
    <w:rsid w:val="00BC0D3C"/>
    <w:rsid w:val="00BC5BEB"/>
    <w:rsid w:val="00C00A25"/>
    <w:rsid w:val="00C34E8A"/>
    <w:rsid w:val="00C36404"/>
    <w:rsid w:val="00C375C3"/>
    <w:rsid w:val="00C45B99"/>
    <w:rsid w:val="00C637C0"/>
    <w:rsid w:val="00C73136"/>
    <w:rsid w:val="00C75AD6"/>
    <w:rsid w:val="00C85FFC"/>
    <w:rsid w:val="00CA3F5D"/>
    <w:rsid w:val="00CB2C66"/>
    <w:rsid w:val="00CB577B"/>
    <w:rsid w:val="00CB5EB8"/>
    <w:rsid w:val="00CC5472"/>
    <w:rsid w:val="00CD559D"/>
    <w:rsid w:val="00CE4D83"/>
    <w:rsid w:val="00CF0767"/>
    <w:rsid w:val="00CF61F4"/>
    <w:rsid w:val="00D16B67"/>
    <w:rsid w:val="00D20B26"/>
    <w:rsid w:val="00D2118A"/>
    <w:rsid w:val="00D423A6"/>
    <w:rsid w:val="00D42957"/>
    <w:rsid w:val="00D61DC9"/>
    <w:rsid w:val="00D66606"/>
    <w:rsid w:val="00D9795F"/>
    <w:rsid w:val="00DA736B"/>
    <w:rsid w:val="00DB0A2B"/>
    <w:rsid w:val="00DB511A"/>
    <w:rsid w:val="00DD6AEA"/>
    <w:rsid w:val="00DE08C4"/>
    <w:rsid w:val="00DF6AED"/>
    <w:rsid w:val="00E07197"/>
    <w:rsid w:val="00E10147"/>
    <w:rsid w:val="00E32ABE"/>
    <w:rsid w:val="00E56706"/>
    <w:rsid w:val="00E605F1"/>
    <w:rsid w:val="00E606F7"/>
    <w:rsid w:val="00E623E9"/>
    <w:rsid w:val="00E62CE6"/>
    <w:rsid w:val="00E67398"/>
    <w:rsid w:val="00E7396B"/>
    <w:rsid w:val="00E95753"/>
    <w:rsid w:val="00EA03B9"/>
    <w:rsid w:val="00EC47BB"/>
    <w:rsid w:val="00ED473A"/>
    <w:rsid w:val="00ED51EC"/>
    <w:rsid w:val="00F051E0"/>
    <w:rsid w:val="00F07796"/>
    <w:rsid w:val="00F318F2"/>
    <w:rsid w:val="00F36401"/>
    <w:rsid w:val="00F666B4"/>
    <w:rsid w:val="00F82247"/>
    <w:rsid w:val="00F87DFD"/>
    <w:rsid w:val="00F91D13"/>
    <w:rsid w:val="00F97103"/>
    <w:rsid w:val="00FE1F56"/>
    <w:rsid w:val="00FF6181"/>
    <w:rsid w:val="01141E4E"/>
    <w:rsid w:val="011F210A"/>
    <w:rsid w:val="02117849"/>
    <w:rsid w:val="02B00BF5"/>
    <w:rsid w:val="02EB3F84"/>
    <w:rsid w:val="02FE3CFC"/>
    <w:rsid w:val="030E6A10"/>
    <w:rsid w:val="039E035A"/>
    <w:rsid w:val="03E75954"/>
    <w:rsid w:val="03F20AEB"/>
    <w:rsid w:val="041A35A5"/>
    <w:rsid w:val="04391BFD"/>
    <w:rsid w:val="04B67105"/>
    <w:rsid w:val="04C02AB8"/>
    <w:rsid w:val="04C628A2"/>
    <w:rsid w:val="04E2157A"/>
    <w:rsid w:val="05BC65E4"/>
    <w:rsid w:val="06461607"/>
    <w:rsid w:val="06CB1BC3"/>
    <w:rsid w:val="07963981"/>
    <w:rsid w:val="087159FC"/>
    <w:rsid w:val="09234897"/>
    <w:rsid w:val="0A012DF6"/>
    <w:rsid w:val="0A505D1A"/>
    <w:rsid w:val="0A9E5E78"/>
    <w:rsid w:val="0AB35D19"/>
    <w:rsid w:val="0AF95195"/>
    <w:rsid w:val="0B7335E9"/>
    <w:rsid w:val="0BEA5E1A"/>
    <w:rsid w:val="0E64107B"/>
    <w:rsid w:val="0F121E91"/>
    <w:rsid w:val="0FB85BDB"/>
    <w:rsid w:val="0FEA7E1A"/>
    <w:rsid w:val="0FFD75C9"/>
    <w:rsid w:val="10360A28"/>
    <w:rsid w:val="11454A0C"/>
    <w:rsid w:val="1165138F"/>
    <w:rsid w:val="119D7E67"/>
    <w:rsid w:val="11A252A8"/>
    <w:rsid w:val="11E6642A"/>
    <w:rsid w:val="12301ADC"/>
    <w:rsid w:val="12597428"/>
    <w:rsid w:val="12FE2B88"/>
    <w:rsid w:val="13E50670"/>
    <w:rsid w:val="141837C0"/>
    <w:rsid w:val="14D40957"/>
    <w:rsid w:val="15133E8F"/>
    <w:rsid w:val="1577373D"/>
    <w:rsid w:val="15BD7962"/>
    <w:rsid w:val="15E05662"/>
    <w:rsid w:val="16837DBC"/>
    <w:rsid w:val="169721C5"/>
    <w:rsid w:val="16C46FE7"/>
    <w:rsid w:val="17E53404"/>
    <w:rsid w:val="18C942B8"/>
    <w:rsid w:val="19431A7B"/>
    <w:rsid w:val="194B2974"/>
    <w:rsid w:val="19AF5431"/>
    <w:rsid w:val="19C458F5"/>
    <w:rsid w:val="1A841F91"/>
    <w:rsid w:val="1B0B760B"/>
    <w:rsid w:val="1B8A54E3"/>
    <w:rsid w:val="1BBC5511"/>
    <w:rsid w:val="1BEF675D"/>
    <w:rsid w:val="1C0B3DD1"/>
    <w:rsid w:val="1CB42226"/>
    <w:rsid w:val="1DA8115B"/>
    <w:rsid w:val="1DCD0F0E"/>
    <w:rsid w:val="1E587189"/>
    <w:rsid w:val="1E6908EA"/>
    <w:rsid w:val="1F9F1BD7"/>
    <w:rsid w:val="213B5E92"/>
    <w:rsid w:val="21A1493D"/>
    <w:rsid w:val="21B22320"/>
    <w:rsid w:val="21D06385"/>
    <w:rsid w:val="22237002"/>
    <w:rsid w:val="22B234B0"/>
    <w:rsid w:val="22BE4F58"/>
    <w:rsid w:val="231216AB"/>
    <w:rsid w:val="23C30A9D"/>
    <w:rsid w:val="23DD3817"/>
    <w:rsid w:val="23EF0C7B"/>
    <w:rsid w:val="23FB453D"/>
    <w:rsid w:val="242A5DFE"/>
    <w:rsid w:val="250D6C6F"/>
    <w:rsid w:val="25F817B2"/>
    <w:rsid w:val="266C581A"/>
    <w:rsid w:val="26F133DA"/>
    <w:rsid w:val="273B7B6E"/>
    <w:rsid w:val="2755558A"/>
    <w:rsid w:val="279B2689"/>
    <w:rsid w:val="27EC0CE3"/>
    <w:rsid w:val="27FE31E6"/>
    <w:rsid w:val="286E6264"/>
    <w:rsid w:val="2922060F"/>
    <w:rsid w:val="296002CC"/>
    <w:rsid w:val="29D60CAE"/>
    <w:rsid w:val="2A233FCE"/>
    <w:rsid w:val="2A940597"/>
    <w:rsid w:val="2ADA7E41"/>
    <w:rsid w:val="2AEA18F7"/>
    <w:rsid w:val="2B210CD1"/>
    <w:rsid w:val="2BC5737C"/>
    <w:rsid w:val="2CF336E0"/>
    <w:rsid w:val="2DE3151F"/>
    <w:rsid w:val="2DE344FA"/>
    <w:rsid w:val="2E8D60F4"/>
    <w:rsid w:val="2F3D6BA4"/>
    <w:rsid w:val="2F520F27"/>
    <w:rsid w:val="2F695827"/>
    <w:rsid w:val="2FA54B7F"/>
    <w:rsid w:val="305F646A"/>
    <w:rsid w:val="30693982"/>
    <w:rsid w:val="31893731"/>
    <w:rsid w:val="31EB466A"/>
    <w:rsid w:val="31FA3E8C"/>
    <w:rsid w:val="32536F72"/>
    <w:rsid w:val="3254192D"/>
    <w:rsid w:val="32A32C8C"/>
    <w:rsid w:val="32ED36F6"/>
    <w:rsid w:val="32F96C6C"/>
    <w:rsid w:val="33E47F50"/>
    <w:rsid w:val="341D48A3"/>
    <w:rsid w:val="34DB4199"/>
    <w:rsid w:val="352652CA"/>
    <w:rsid w:val="356815AA"/>
    <w:rsid w:val="362706E4"/>
    <w:rsid w:val="366B64AE"/>
    <w:rsid w:val="368349E3"/>
    <w:rsid w:val="36A31332"/>
    <w:rsid w:val="37F43FD9"/>
    <w:rsid w:val="38123852"/>
    <w:rsid w:val="38986974"/>
    <w:rsid w:val="391F05ED"/>
    <w:rsid w:val="3923084B"/>
    <w:rsid w:val="39424B74"/>
    <w:rsid w:val="394C5A0D"/>
    <w:rsid w:val="39D80E75"/>
    <w:rsid w:val="3A32028A"/>
    <w:rsid w:val="3A753AAD"/>
    <w:rsid w:val="3A90478F"/>
    <w:rsid w:val="3B450469"/>
    <w:rsid w:val="3B606A3A"/>
    <w:rsid w:val="3C111FA1"/>
    <w:rsid w:val="3C4E0385"/>
    <w:rsid w:val="3CF47AC1"/>
    <w:rsid w:val="3D5C7450"/>
    <w:rsid w:val="3D726E24"/>
    <w:rsid w:val="3D81183B"/>
    <w:rsid w:val="3DFA2EB5"/>
    <w:rsid w:val="3E4E4846"/>
    <w:rsid w:val="3E55713E"/>
    <w:rsid w:val="3E902A1D"/>
    <w:rsid w:val="3ECA63DA"/>
    <w:rsid w:val="3F1B5FEF"/>
    <w:rsid w:val="3F9C733E"/>
    <w:rsid w:val="401B123D"/>
    <w:rsid w:val="401E6514"/>
    <w:rsid w:val="40974583"/>
    <w:rsid w:val="40E83499"/>
    <w:rsid w:val="412255E9"/>
    <w:rsid w:val="412A2B79"/>
    <w:rsid w:val="414B63A6"/>
    <w:rsid w:val="417A1C6A"/>
    <w:rsid w:val="41C660F7"/>
    <w:rsid w:val="4317351F"/>
    <w:rsid w:val="43B34771"/>
    <w:rsid w:val="44903204"/>
    <w:rsid w:val="450B7626"/>
    <w:rsid w:val="45612410"/>
    <w:rsid w:val="474B300D"/>
    <w:rsid w:val="476A3995"/>
    <w:rsid w:val="481932AA"/>
    <w:rsid w:val="48940C70"/>
    <w:rsid w:val="48CC68FF"/>
    <w:rsid w:val="49373EFA"/>
    <w:rsid w:val="49B22075"/>
    <w:rsid w:val="4A002F9F"/>
    <w:rsid w:val="4AC63E98"/>
    <w:rsid w:val="4B007631"/>
    <w:rsid w:val="4C733D4F"/>
    <w:rsid w:val="4D4B3E6B"/>
    <w:rsid w:val="4D8A04C7"/>
    <w:rsid w:val="4DC20EC7"/>
    <w:rsid w:val="4E1E7520"/>
    <w:rsid w:val="4E3F02AD"/>
    <w:rsid w:val="4F8A23F4"/>
    <w:rsid w:val="4FAD3644"/>
    <w:rsid w:val="504464B2"/>
    <w:rsid w:val="50487D45"/>
    <w:rsid w:val="50E435F3"/>
    <w:rsid w:val="50E72ACA"/>
    <w:rsid w:val="519A7071"/>
    <w:rsid w:val="522611C1"/>
    <w:rsid w:val="52C12C52"/>
    <w:rsid w:val="532F5044"/>
    <w:rsid w:val="541E4FA6"/>
    <w:rsid w:val="554E426F"/>
    <w:rsid w:val="55D305EA"/>
    <w:rsid w:val="56D13CB3"/>
    <w:rsid w:val="56DA0916"/>
    <w:rsid w:val="573C32C3"/>
    <w:rsid w:val="58241804"/>
    <w:rsid w:val="58560FFA"/>
    <w:rsid w:val="587005EC"/>
    <w:rsid w:val="59052301"/>
    <w:rsid w:val="59EE791D"/>
    <w:rsid w:val="5A344942"/>
    <w:rsid w:val="5B73752C"/>
    <w:rsid w:val="5C735EB5"/>
    <w:rsid w:val="5C74628D"/>
    <w:rsid w:val="5C785C47"/>
    <w:rsid w:val="5C7E21D6"/>
    <w:rsid w:val="5D0A64AD"/>
    <w:rsid w:val="5D5F2D56"/>
    <w:rsid w:val="5D601CEF"/>
    <w:rsid w:val="5D6E2F89"/>
    <w:rsid w:val="5DB7095E"/>
    <w:rsid w:val="5DFE5C52"/>
    <w:rsid w:val="5F0B1F6C"/>
    <w:rsid w:val="5F1D2B10"/>
    <w:rsid w:val="5F593DD7"/>
    <w:rsid w:val="60710F57"/>
    <w:rsid w:val="609E5C76"/>
    <w:rsid w:val="60B536E7"/>
    <w:rsid w:val="612176EA"/>
    <w:rsid w:val="61410D0D"/>
    <w:rsid w:val="616C280F"/>
    <w:rsid w:val="61750FE3"/>
    <w:rsid w:val="61963FB3"/>
    <w:rsid w:val="61FE5A1B"/>
    <w:rsid w:val="621C5B02"/>
    <w:rsid w:val="63421168"/>
    <w:rsid w:val="63AF649F"/>
    <w:rsid w:val="63DC5E52"/>
    <w:rsid w:val="640F3F59"/>
    <w:rsid w:val="65607B50"/>
    <w:rsid w:val="65F43ABD"/>
    <w:rsid w:val="664572DC"/>
    <w:rsid w:val="66BC5161"/>
    <w:rsid w:val="670C7C8D"/>
    <w:rsid w:val="673D196D"/>
    <w:rsid w:val="67697123"/>
    <w:rsid w:val="67B06428"/>
    <w:rsid w:val="67F46916"/>
    <w:rsid w:val="68FB19A9"/>
    <w:rsid w:val="690D6A53"/>
    <w:rsid w:val="69596B1B"/>
    <w:rsid w:val="69AE4B3B"/>
    <w:rsid w:val="6A1B3B96"/>
    <w:rsid w:val="6A330A31"/>
    <w:rsid w:val="6A995E17"/>
    <w:rsid w:val="6AFC43B0"/>
    <w:rsid w:val="6BD20172"/>
    <w:rsid w:val="6BD201C9"/>
    <w:rsid w:val="6BFB6DB8"/>
    <w:rsid w:val="6C003240"/>
    <w:rsid w:val="6C9E1E44"/>
    <w:rsid w:val="6DC71512"/>
    <w:rsid w:val="6E526F0C"/>
    <w:rsid w:val="6F0D03EB"/>
    <w:rsid w:val="6F321F93"/>
    <w:rsid w:val="6FCC2C16"/>
    <w:rsid w:val="71C07EAD"/>
    <w:rsid w:val="727918F3"/>
    <w:rsid w:val="72EE0588"/>
    <w:rsid w:val="7470324A"/>
    <w:rsid w:val="749C3F9F"/>
    <w:rsid w:val="753470A3"/>
    <w:rsid w:val="753C292C"/>
    <w:rsid w:val="75690A10"/>
    <w:rsid w:val="7569700C"/>
    <w:rsid w:val="759533F6"/>
    <w:rsid w:val="75D925B4"/>
    <w:rsid w:val="75D97A4D"/>
    <w:rsid w:val="77632FEC"/>
    <w:rsid w:val="777C749A"/>
    <w:rsid w:val="778A4376"/>
    <w:rsid w:val="79414954"/>
    <w:rsid w:val="79B11C67"/>
    <w:rsid w:val="7A2F65AA"/>
    <w:rsid w:val="7A6B1788"/>
    <w:rsid w:val="7ADA4DDE"/>
    <w:rsid w:val="7AF661D7"/>
    <w:rsid w:val="7CFD581C"/>
    <w:rsid w:val="7D7031FF"/>
    <w:rsid w:val="7EC85DFE"/>
    <w:rsid w:val="7EC871EC"/>
    <w:rsid w:val="7F637ACF"/>
    <w:rsid w:val="7F7A3A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qFormat/>
    <w:uiPriority w:val="1"/>
    <w:pPr>
      <w:spacing w:before="30"/>
      <w:ind w:left="530"/>
      <w:jc w:val="center"/>
      <w:outlineLvl w:val="0"/>
    </w:pPr>
    <w:rPr>
      <w:b/>
      <w:bCs/>
      <w:sz w:val="32"/>
      <w:szCs w:val="32"/>
    </w:rPr>
  </w:style>
  <w:style w:type="paragraph" w:styleId="3">
    <w:name w:val="heading 2"/>
    <w:basedOn w:val="1"/>
    <w:next w:val="4"/>
    <w:qFormat/>
    <w:uiPriority w:val="1"/>
    <w:pPr>
      <w:ind w:left="980" w:right="977" w:firstLine="559"/>
      <w:jc w:val="both"/>
      <w:outlineLvl w:val="1"/>
    </w:pPr>
    <w:rPr>
      <w:sz w:val="28"/>
      <w:szCs w:val="28"/>
    </w:rPr>
  </w:style>
  <w:style w:type="paragraph" w:styleId="5">
    <w:name w:val="heading 3"/>
    <w:basedOn w:val="1"/>
    <w:link w:val="33"/>
    <w:qFormat/>
    <w:uiPriority w:val="1"/>
    <w:pPr>
      <w:ind w:left="1462" w:hanging="483"/>
      <w:outlineLvl w:val="2"/>
    </w:pPr>
    <w:rPr>
      <w:b/>
      <w:bCs/>
      <w:sz w:val="24"/>
      <w:szCs w:val="24"/>
    </w:rPr>
  </w:style>
  <w:style w:type="character" w:default="1" w:styleId="14">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rPr>
      <w:rFonts w:ascii="Calibri" w:hAnsi="Calibri" w:eastAsia="宋体" w:cs="Times New Roman"/>
      <w:sz w:val="28"/>
      <w:szCs w:val="28"/>
    </w:rPr>
  </w:style>
  <w:style w:type="paragraph" w:styleId="6">
    <w:name w:val="Body Text"/>
    <w:basedOn w:val="1"/>
    <w:next w:val="1"/>
    <w:link w:val="32"/>
    <w:qFormat/>
    <w:uiPriority w:val="1"/>
    <w:pPr>
      <w:ind w:left="980"/>
    </w:pPr>
    <w:rPr>
      <w:sz w:val="24"/>
      <w:szCs w:val="24"/>
    </w:rPr>
  </w:style>
  <w:style w:type="paragraph" w:styleId="7">
    <w:name w:val="footer"/>
    <w:basedOn w:val="1"/>
    <w:link w:val="31"/>
    <w:unhideWhenUsed/>
    <w:qFormat/>
    <w:uiPriority w:val="99"/>
    <w:pPr>
      <w:tabs>
        <w:tab w:val="center" w:pos="4153"/>
        <w:tab w:val="right" w:pos="8306"/>
      </w:tabs>
      <w:snapToGrid w:val="0"/>
    </w:pPr>
    <w:rPr>
      <w:sz w:val="18"/>
      <w:szCs w:val="18"/>
    </w:rPr>
  </w:style>
  <w:style w:type="paragraph" w:styleId="8">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qFormat/>
    <w:uiPriority w:val="1"/>
    <w:pPr>
      <w:spacing w:before="265"/>
      <w:ind w:left="1"/>
      <w:jc w:val="center"/>
    </w:pPr>
    <w:rPr>
      <w:sz w:val="28"/>
      <w:szCs w:val="2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1">
    <w:name w:val="Body Text First Indent"/>
    <w:basedOn w:val="6"/>
    <w:qFormat/>
    <w:uiPriority w:val="0"/>
    <w:pPr>
      <w:ind w:firstLine="420"/>
    </w:pPr>
    <w:rPr>
      <w:rFonts w:eastAsia="楷体_GB2312"/>
      <w:sz w:val="32"/>
      <w:szCs w:val="32"/>
    </w:rPr>
  </w:style>
  <w:style w:type="table" w:styleId="13">
    <w:name w:val="Table Grid"/>
    <w:basedOn w:val="1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22"/>
    <w:rPr>
      <w:b/>
      <w:bCs/>
    </w:rPr>
  </w:style>
  <w:style w:type="character" w:styleId="16">
    <w:name w:val="FollowedHyperlink"/>
    <w:basedOn w:val="14"/>
    <w:semiHidden/>
    <w:unhideWhenUsed/>
    <w:uiPriority w:val="99"/>
    <w:rPr>
      <w:color w:val="800080"/>
      <w:u w:val="none"/>
    </w:rPr>
  </w:style>
  <w:style w:type="character" w:styleId="17">
    <w:name w:val="Emphasis"/>
    <w:basedOn w:val="14"/>
    <w:qFormat/>
    <w:uiPriority w:val="20"/>
    <w:rPr>
      <w:b/>
      <w:bCs/>
    </w:rPr>
  </w:style>
  <w:style w:type="character" w:styleId="18">
    <w:name w:val="HTML Definition"/>
    <w:basedOn w:val="14"/>
    <w:semiHidden/>
    <w:unhideWhenUsed/>
    <w:uiPriority w:val="99"/>
  </w:style>
  <w:style w:type="character" w:styleId="19">
    <w:name w:val="HTML Typewriter"/>
    <w:basedOn w:val="14"/>
    <w:semiHidden/>
    <w:unhideWhenUsed/>
    <w:uiPriority w:val="99"/>
    <w:rPr>
      <w:rFonts w:hint="default" w:ascii="monospace" w:hAnsi="monospace" w:eastAsia="monospace" w:cs="monospace"/>
      <w:sz w:val="20"/>
    </w:rPr>
  </w:style>
  <w:style w:type="character" w:styleId="20">
    <w:name w:val="HTML Acronym"/>
    <w:basedOn w:val="14"/>
    <w:semiHidden/>
    <w:unhideWhenUsed/>
    <w:uiPriority w:val="99"/>
  </w:style>
  <w:style w:type="character" w:styleId="21">
    <w:name w:val="HTML Variable"/>
    <w:basedOn w:val="14"/>
    <w:semiHidden/>
    <w:unhideWhenUsed/>
    <w:uiPriority w:val="99"/>
  </w:style>
  <w:style w:type="character" w:styleId="22">
    <w:name w:val="Hyperlink"/>
    <w:basedOn w:val="14"/>
    <w:semiHidden/>
    <w:unhideWhenUsed/>
    <w:uiPriority w:val="99"/>
    <w:rPr>
      <w:color w:val="0000FF"/>
      <w:u w:val="none"/>
    </w:rPr>
  </w:style>
  <w:style w:type="character" w:styleId="23">
    <w:name w:val="HTML Code"/>
    <w:basedOn w:val="14"/>
    <w:semiHidden/>
    <w:unhideWhenUsed/>
    <w:uiPriority w:val="99"/>
    <w:rPr>
      <w:rFonts w:hint="default" w:ascii="monospace" w:hAnsi="monospace" w:eastAsia="monospace" w:cs="monospace"/>
      <w:sz w:val="20"/>
    </w:rPr>
  </w:style>
  <w:style w:type="character" w:styleId="24">
    <w:name w:val="HTML Cite"/>
    <w:basedOn w:val="14"/>
    <w:semiHidden/>
    <w:unhideWhenUsed/>
    <w:uiPriority w:val="99"/>
  </w:style>
  <w:style w:type="character" w:styleId="25">
    <w:name w:val="HTML Keyboard"/>
    <w:basedOn w:val="14"/>
    <w:semiHidden/>
    <w:unhideWhenUsed/>
    <w:uiPriority w:val="99"/>
    <w:rPr>
      <w:rFonts w:hint="default" w:ascii="monospace" w:hAnsi="monospace" w:eastAsia="monospace" w:cs="monospace"/>
      <w:sz w:val="20"/>
    </w:rPr>
  </w:style>
  <w:style w:type="character" w:styleId="26">
    <w:name w:val="HTML Sample"/>
    <w:basedOn w:val="14"/>
    <w:semiHidden/>
    <w:unhideWhenUsed/>
    <w:uiPriority w:val="99"/>
    <w:rPr>
      <w:rFonts w:ascii="monospace" w:hAnsi="monospace" w:eastAsia="monospace" w:cs="monospace"/>
    </w:rPr>
  </w:style>
  <w:style w:type="table" w:customStyle="1" w:styleId="27">
    <w:name w:val="Table Normal"/>
    <w:semiHidden/>
    <w:unhideWhenUsed/>
    <w:qFormat/>
    <w:uiPriority w:val="2"/>
    <w:tblPr>
      <w:tblCellMar>
        <w:top w:w="0" w:type="dxa"/>
        <w:left w:w="0" w:type="dxa"/>
        <w:bottom w:w="0" w:type="dxa"/>
        <w:right w:w="0" w:type="dxa"/>
      </w:tblCellMar>
    </w:tblPr>
  </w:style>
  <w:style w:type="paragraph" w:styleId="28">
    <w:name w:val="List Paragraph"/>
    <w:basedOn w:val="1"/>
    <w:qFormat/>
    <w:uiPriority w:val="1"/>
    <w:pPr>
      <w:ind w:left="980" w:hanging="483"/>
    </w:pPr>
  </w:style>
  <w:style w:type="paragraph" w:customStyle="1" w:styleId="29">
    <w:name w:val="Table Paragraph"/>
    <w:basedOn w:val="1"/>
    <w:qFormat/>
    <w:uiPriority w:val="1"/>
  </w:style>
  <w:style w:type="character" w:customStyle="1" w:styleId="30">
    <w:name w:val="页眉 字符"/>
    <w:basedOn w:val="14"/>
    <w:link w:val="8"/>
    <w:qFormat/>
    <w:uiPriority w:val="99"/>
    <w:rPr>
      <w:rFonts w:ascii="宋体" w:hAnsi="宋体" w:eastAsia="宋体" w:cs="宋体"/>
      <w:sz w:val="18"/>
      <w:szCs w:val="18"/>
    </w:rPr>
  </w:style>
  <w:style w:type="character" w:customStyle="1" w:styleId="31">
    <w:name w:val="页脚 字符"/>
    <w:basedOn w:val="14"/>
    <w:link w:val="7"/>
    <w:qFormat/>
    <w:uiPriority w:val="99"/>
    <w:rPr>
      <w:rFonts w:ascii="宋体" w:hAnsi="宋体" w:eastAsia="宋体" w:cs="宋体"/>
      <w:sz w:val="18"/>
      <w:szCs w:val="18"/>
    </w:rPr>
  </w:style>
  <w:style w:type="character" w:customStyle="1" w:styleId="32">
    <w:name w:val="正文文本 字符"/>
    <w:basedOn w:val="14"/>
    <w:link w:val="6"/>
    <w:qFormat/>
    <w:uiPriority w:val="1"/>
    <w:rPr>
      <w:rFonts w:ascii="宋体" w:hAnsi="宋体" w:eastAsia="宋体" w:cs="宋体"/>
      <w:sz w:val="24"/>
      <w:szCs w:val="24"/>
    </w:rPr>
  </w:style>
  <w:style w:type="character" w:customStyle="1" w:styleId="33">
    <w:name w:val="标题 3 字符"/>
    <w:basedOn w:val="14"/>
    <w:link w:val="5"/>
    <w:qFormat/>
    <w:uiPriority w:val="1"/>
    <w:rPr>
      <w:rFonts w:ascii="宋体" w:hAnsi="宋体" w:eastAsia="宋体" w:cs="宋体"/>
      <w:b/>
      <w:bCs/>
      <w:sz w:val="24"/>
      <w:szCs w:val="24"/>
    </w:rPr>
  </w:style>
  <w:style w:type="paragraph" w:customStyle="1" w:styleId="34">
    <w:name w:val="Default"/>
    <w:next w:val="1"/>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35">
    <w:name w:val="hover1"/>
    <w:basedOn w:val="14"/>
    <w:uiPriority w:val="0"/>
    <w:rPr>
      <w:color w:val="2590EB"/>
    </w:rPr>
  </w:style>
  <w:style w:type="character" w:customStyle="1" w:styleId="36">
    <w:name w:val="hover2"/>
    <w:basedOn w:val="14"/>
    <w:uiPriority w:val="0"/>
    <w:rPr>
      <w:color w:val="2590EB"/>
    </w:rPr>
  </w:style>
  <w:style w:type="character" w:customStyle="1" w:styleId="37">
    <w:name w:val="hover3"/>
    <w:basedOn w:val="14"/>
    <w:uiPriority w:val="0"/>
  </w:style>
  <w:style w:type="character" w:customStyle="1" w:styleId="38">
    <w:name w:val="mini-outputtext1"/>
    <w:basedOn w:val="14"/>
    <w:uiPriority w:val="0"/>
  </w:style>
  <w:style w:type="character" w:customStyle="1" w:styleId="39">
    <w:name w:val="hover"/>
    <w:basedOn w:val="14"/>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4097" textRotate="1"/>
    <customShpInfo spid="_x0000_s409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52</Pages>
  <Words>13876</Words>
  <Characters>15289</Characters>
  <Lines>167</Lines>
  <Paragraphs>47</Paragraphs>
  <TotalTime>1031</TotalTime>
  <ScaleCrop>false</ScaleCrop>
  <LinksUpToDate>false</LinksUpToDate>
  <CharactersWithSpaces>15530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2024-03-11T01:34:00Z</dcterms:created>
  <dc:creator>Administrator</dc:creator>
  <cp:lastModifiedBy>admin</cp:lastModifiedBy>
  <cp:lastPrinted>2026-10-21T08:56:03Z</cp:lastPrinted>
  <dcterms:modified xsi:type="dcterms:W3CDTF">2026-10-22T00:51:27Z</dcterms:modified>
  <cp:revision>251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2023-09-05T00:00:00Z</vt:filetime>
  </property>
  <property fmtid="{D5CDD505-2E9C-101B-9397-08002B2CF9AE}" pid="3" name="Creator">
    <vt:lpwstr>WPS 文字</vt:lpwstr>
  </property>
  <property fmtid="{D5CDD505-2E9C-101B-9397-08002B2CF9AE}" pid="4" name="LastSaved">
    <vt:filetime>2024-03-11T00:00:00Z</vt:filetime>
  </property>
  <property fmtid="{D5CDD505-2E9C-101B-9397-08002B2CF9AE}" pid="5" name="KSOTemplateDocerSaveRecord">
    <vt:lpwstr>eyJoZGlkIjoiOTY2NzFiZjZkZDc1NjhiN2NlNjI1MDQ2NDgxNWZmMGMiLCJ1c2VySWQiOiI0NzU1NjI0MjQifQ==</vt:lpwstr>
  </property>
  <property fmtid="{D5CDD505-2E9C-101B-9397-08002B2CF9AE}" pid="6" name="KSOProductBuildVer">
    <vt:lpwstr>2052-12.1.0.29161</vt:lpwstr>
  </property>
  <property fmtid="{D5CDD505-2E9C-101B-9397-08002B2CF9AE}" pid="7" name="ICV">
    <vt:lpwstr>43B8A61A2CC649848E4BC15EEAEE0F7B_12</vt:lpwstr>
  </property>
</Properties>
</file>