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91B655">
      <w:pPr>
        <w:rPr>
          <w:rFonts w:hint="eastAsia"/>
          <w:lang w:eastAsia="zh-CN"/>
        </w:rPr>
      </w:pPr>
    </w:p>
    <w:p w14:paraId="798C7109">
      <w:pPr>
        <w:rPr>
          <w:rFonts w:hint="eastAsia"/>
          <w:lang w:eastAsia="zh-CN"/>
        </w:rPr>
      </w:pPr>
    </w:p>
    <w:p w14:paraId="3B3A6E6B">
      <w:pPr>
        <w:pStyle w:val="5"/>
        <w:widowControl/>
        <w:tabs>
          <w:tab w:val="left" w:pos="8280"/>
        </w:tabs>
        <w:spacing w:line="360" w:lineRule="auto"/>
        <w:outlineLvl w:val="0"/>
        <w:rPr>
          <w:rFonts w:hint="eastAsia" w:hAnsi="宋体"/>
          <w:sz w:val="44"/>
          <w:szCs w:val="44"/>
          <w:lang w:eastAsia="zh-CN"/>
        </w:rPr>
      </w:pPr>
      <w:r>
        <w:rPr>
          <w:rFonts w:hint="eastAsia" w:hAnsi="宋体"/>
          <w:sz w:val="52"/>
          <w:szCs w:val="52"/>
          <w:lang w:eastAsia="zh-CN"/>
        </w:rPr>
        <w:t>陕州区智慧消防火眼AI火情智能预警建设项目</w:t>
      </w:r>
    </w:p>
    <w:p w14:paraId="40B789F2">
      <w:pPr>
        <w:rPr>
          <w:rFonts w:hint="eastAsia" w:hAnsi="宋体"/>
          <w:sz w:val="36"/>
          <w:szCs w:val="36"/>
          <w:lang w:eastAsia="zh-CN"/>
        </w:rPr>
      </w:pPr>
    </w:p>
    <w:p w14:paraId="6AB0FC31">
      <w:pPr>
        <w:rPr>
          <w:rFonts w:hint="eastAsia" w:hAnsi="宋体"/>
          <w:sz w:val="36"/>
          <w:szCs w:val="36"/>
          <w:lang w:eastAsia="zh-CN"/>
        </w:rPr>
      </w:pPr>
    </w:p>
    <w:p w14:paraId="2BB4E4BE">
      <w:pPr>
        <w:rPr>
          <w:rFonts w:hint="eastAsia" w:hAnsi="宋体"/>
          <w:sz w:val="36"/>
          <w:szCs w:val="36"/>
          <w:lang w:eastAsia="zh-CN"/>
        </w:rPr>
      </w:pPr>
    </w:p>
    <w:p w14:paraId="1A93CBCC">
      <w:pPr>
        <w:rPr>
          <w:rFonts w:hint="eastAsia" w:hAnsi="宋体"/>
          <w:sz w:val="44"/>
          <w:szCs w:val="44"/>
          <w:lang w:eastAsia="zh-CN"/>
        </w:rPr>
      </w:pPr>
    </w:p>
    <w:p w14:paraId="61E0480B">
      <w:pPr>
        <w:pStyle w:val="5"/>
        <w:widowControl/>
        <w:tabs>
          <w:tab w:val="left" w:pos="8280"/>
        </w:tabs>
        <w:spacing w:line="360" w:lineRule="auto"/>
        <w:outlineLvl w:val="0"/>
        <w:rPr>
          <w:rFonts w:hint="eastAsia" w:hAnsi="宋体"/>
          <w:szCs w:val="72"/>
        </w:rPr>
      </w:pPr>
      <w:r>
        <w:rPr>
          <w:rFonts w:hAnsi="宋体"/>
          <w:szCs w:val="72"/>
        </w:rPr>
        <w:t>竞争性磋商文件</w:t>
      </w:r>
    </w:p>
    <w:p w14:paraId="458FDCBA">
      <w:pPr>
        <w:rPr>
          <w:rFonts w:hint="eastAsia"/>
          <w:color w:val="FF0000"/>
        </w:rPr>
      </w:pPr>
    </w:p>
    <w:p w14:paraId="4318E5B6">
      <w:pPr>
        <w:ind w:firstLine="2711" w:firstLineChars="900"/>
        <w:rPr>
          <w:rFonts w:hint="eastAsia" w:ascii="宋体" w:hAnsi="宋体" w:eastAsia="宋体" w:cs="Times New Roman"/>
          <w:b/>
          <w:color w:val="auto"/>
          <w:sz w:val="30"/>
          <w:szCs w:val="30"/>
          <w:lang w:val="en-US" w:eastAsia="zh-CN"/>
        </w:rPr>
      </w:pPr>
      <w:r>
        <w:rPr>
          <w:rFonts w:hint="eastAsia" w:ascii="宋体" w:hAnsi="宋体" w:eastAsia="宋体" w:cs="Times New Roman"/>
          <w:b/>
          <w:color w:val="auto"/>
          <w:sz w:val="30"/>
          <w:szCs w:val="30"/>
          <w:lang w:val="en-US" w:eastAsia="zh-CN"/>
        </w:rPr>
        <w:t>项目编号：</w:t>
      </w:r>
      <w:r>
        <w:rPr>
          <w:rFonts w:hint="eastAsia" w:ascii="宋体" w:hAnsi="宋体" w:cs="Times New Roman"/>
          <w:b/>
          <w:color w:val="auto"/>
          <w:sz w:val="30"/>
          <w:szCs w:val="30"/>
          <w:lang w:val="en-US" w:eastAsia="zh-CN"/>
        </w:rPr>
        <w:t>陕州竞磋采购-2026-102</w:t>
      </w:r>
    </w:p>
    <w:p w14:paraId="0E18B8D3">
      <w:pPr>
        <w:ind w:firstLine="3915" w:firstLineChars="1300"/>
        <w:rPr>
          <w:rFonts w:hint="eastAsia" w:ascii="宋体" w:hAnsi="宋体" w:eastAsia="宋体" w:cs="Times New Roman"/>
          <w:b/>
          <w:color w:val="FF0000"/>
          <w:sz w:val="30"/>
          <w:szCs w:val="30"/>
          <w:lang w:val="en-US" w:eastAsia="zh-CN"/>
        </w:rPr>
      </w:pPr>
      <w:r>
        <w:rPr>
          <w:rFonts w:hint="eastAsia" w:ascii="宋体" w:hAnsi="宋体" w:cs="Times New Roman"/>
          <w:b/>
          <w:color w:val="auto"/>
          <w:sz w:val="30"/>
          <w:szCs w:val="30"/>
          <w:lang w:val="en-US" w:eastAsia="zh-CN"/>
        </w:rPr>
        <w:t>SZGZ[2026]173-ZC141</w:t>
      </w:r>
    </w:p>
    <w:p w14:paraId="3C50E1D9">
      <w:pPr>
        <w:ind w:firstLine="3915" w:firstLineChars="1300"/>
        <w:rPr>
          <w:rFonts w:hint="eastAsia" w:ascii="宋体" w:hAnsi="宋体" w:eastAsia="宋体" w:cs="Times New Roman"/>
          <w:b/>
          <w:color w:val="FF0000"/>
          <w:sz w:val="30"/>
          <w:szCs w:val="30"/>
          <w:lang w:val="en-US" w:eastAsia="zh-CN"/>
        </w:rPr>
      </w:pPr>
    </w:p>
    <w:p w14:paraId="7E0D2230">
      <w:pPr>
        <w:ind w:firstLine="2409" w:firstLineChars="800"/>
        <w:rPr>
          <w:rFonts w:hint="default" w:ascii="宋体" w:hAnsi="宋体" w:eastAsia="宋体" w:cs="Times New Roman"/>
          <w:b/>
          <w:color w:val="FF0000"/>
          <w:sz w:val="30"/>
          <w:szCs w:val="30"/>
          <w:lang w:val="en-US" w:eastAsia="zh-CN"/>
        </w:rPr>
      </w:pPr>
    </w:p>
    <w:p w14:paraId="6BBAE23C">
      <w:pPr>
        <w:ind w:firstLine="3915" w:firstLineChars="1300"/>
        <w:rPr>
          <w:rFonts w:hint="eastAsia" w:ascii="宋体" w:hAnsi="宋体" w:eastAsia="宋体" w:cs="Times New Roman"/>
          <w:b/>
          <w:color w:val="FF0000"/>
          <w:sz w:val="30"/>
          <w:szCs w:val="30"/>
          <w:lang w:val="en-US" w:eastAsia="zh-CN"/>
        </w:rPr>
      </w:pPr>
    </w:p>
    <w:p w14:paraId="18334856">
      <w:pPr>
        <w:ind w:firstLine="2409" w:firstLineChars="800"/>
        <w:rPr>
          <w:rFonts w:hint="default" w:ascii="宋体" w:hAnsi="宋体" w:eastAsia="宋体" w:cs="Times New Roman"/>
          <w:b/>
          <w:sz w:val="30"/>
          <w:szCs w:val="30"/>
          <w:lang w:val="en-US" w:eastAsia="zh-CN"/>
        </w:rPr>
      </w:pPr>
      <w:r>
        <w:rPr>
          <w:rFonts w:hint="eastAsia" w:ascii="宋体" w:hAnsi="宋体" w:eastAsia="宋体" w:cs="Times New Roman"/>
          <w:b/>
          <w:sz w:val="30"/>
          <w:szCs w:val="30"/>
          <w:lang w:val="en-US" w:eastAsia="zh-CN"/>
        </w:rPr>
        <w:t xml:space="preserve">      </w:t>
      </w:r>
    </w:p>
    <w:p w14:paraId="04B52726">
      <w:pPr>
        <w:ind w:firstLine="2409" w:firstLineChars="800"/>
      </w:pPr>
      <w:r>
        <w:rPr>
          <w:rFonts w:hint="eastAsia" w:ascii="宋体" w:hAnsi="宋体" w:eastAsia="宋体" w:cs="Times New Roman"/>
          <w:b/>
          <w:sz w:val="30"/>
          <w:szCs w:val="30"/>
          <w:lang w:val="en-US" w:eastAsia="zh-CN"/>
        </w:rPr>
        <w:t xml:space="preserve">            </w:t>
      </w:r>
    </w:p>
    <w:p w14:paraId="3C1D3AB3">
      <w:pPr>
        <w:spacing w:line="360" w:lineRule="auto"/>
        <w:ind w:firstLine="1789" w:firstLineChars="495"/>
        <w:rPr>
          <w:rFonts w:hint="eastAsia" w:ascii="宋体" w:hAnsi="宋体"/>
          <w:b/>
          <w:sz w:val="36"/>
          <w:szCs w:val="36"/>
        </w:rPr>
      </w:pPr>
    </w:p>
    <w:p w14:paraId="0EE505F9">
      <w:pPr>
        <w:spacing w:line="360" w:lineRule="auto"/>
        <w:rPr>
          <w:rFonts w:hint="eastAsia" w:ascii="宋体" w:hAnsi="宋体"/>
          <w:b/>
          <w:sz w:val="36"/>
          <w:szCs w:val="36"/>
        </w:rPr>
      </w:pPr>
    </w:p>
    <w:p w14:paraId="6A8F2114">
      <w:pPr>
        <w:rPr>
          <w:rFonts w:hint="eastAsia"/>
        </w:rPr>
      </w:pPr>
    </w:p>
    <w:p w14:paraId="5999FF6B">
      <w:pPr>
        <w:rPr>
          <w:rFonts w:hint="eastAsia"/>
        </w:rPr>
      </w:pPr>
    </w:p>
    <w:p w14:paraId="7106398B">
      <w:pPr>
        <w:spacing w:line="360" w:lineRule="auto"/>
        <w:ind w:firstLine="1807" w:firstLineChars="500"/>
        <w:rPr>
          <w:rFonts w:hint="eastAsia" w:ascii="宋体" w:hAnsi="宋体"/>
          <w:b/>
          <w:sz w:val="36"/>
          <w:szCs w:val="36"/>
          <w:lang w:eastAsia="zh-CN"/>
        </w:rPr>
      </w:pPr>
      <w:r>
        <w:rPr>
          <w:rFonts w:hint="eastAsia" w:ascii="宋体" w:hAnsi="宋体"/>
          <w:b/>
          <w:sz w:val="36"/>
          <w:szCs w:val="36"/>
        </w:rPr>
        <w:t>采 购 人：</w:t>
      </w:r>
      <w:r>
        <w:rPr>
          <w:rFonts w:hint="eastAsia" w:ascii="宋体" w:hAnsi="宋体"/>
          <w:b/>
          <w:sz w:val="36"/>
          <w:szCs w:val="36"/>
          <w:lang w:eastAsia="zh-CN"/>
        </w:rPr>
        <w:t>三门峡市陕州区应急管理局</w:t>
      </w:r>
    </w:p>
    <w:p w14:paraId="2065E3A3">
      <w:pPr>
        <w:spacing w:line="360" w:lineRule="auto"/>
        <w:ind w:firstLine="1807" w:firstLineChars="500"/>
        <w:rPr>
          <w:rFonts w:hint="eastAsia" w:ascii="宋体" w:hAnsi="宋体" w:eastAsia="宋体"/>
          <w:b/>
          <w:sz w:val="36"/>
          <w:szCs w:val="36"/>
          <w:lang w:eastAsia="zh-CN"/>
        </w:rPr>
      </w:pPr>
      <w:r>
        <w:rPr>
          <w:rFonts w:hint="eastAsia" w:ascii="宋体" w:hAnsi="宋体"/>
          <w:b/>
          <w:sz w:val="36"/>
          <w:szCs w:val="36"/>
        </w:rPr>
        <w:t>代理机构：</w:t>
      </w:r>
      <w:r>
        <w:rPr>
          <w:rFonts w:hint="eastAsia" w:ascii="宋体" w:hAnsi="宋体"/>
          <w:b/>
          <w:sz w:val="36"/>
          <w:szCs w:val="36"/>
          <w:lang w:eastAsia="zh-CN"/>
        </w:rPr>
        <w:t>东信工程项目管理有限公司</w:t>
      </w:r>
    </w:p>
    <w:p w14:paraId="0977B824">
      <w:pPr>
        <w:spacing w:line="360" w:lineRule="auto"/>
        <w:ind w:firstLine="1807" w:firstLineChars="500"/>
        <w:rPr>
          <w:rFonts w:ascii="宋体" w:hAnsi="宋体"/>
          <w:b/>
          <w:sz w:val="36"/>
          <w:szCs w:val="36"/>
        </w:rPr>
      </w:pPr>
      <w:r>
        <w:rPr>
          <w:rFonts w:ascii="宋体" w:hAnsi="宋体"/>
          <w:b/>
          <w:sz w:val="36"/>
          <w:szCs w:val="36"/>
        </w:rPr>
        <w:t>日</w:t>
      </w:r>
      <w:r>
        <w:rPr>
          <w:rFonts w:hint="eastAsia" w:ascii="宋体" w:hAnsi="宋体"/>
          <w:b/>
          <w:sz w:val="36"/>
          <w:szCs w:val="36"/>
        </w:rPr>
        <w:t xml:space="preserve">    </w:t>
      </w:r>
      <w:r>
        <w:rPr>
          <w:rFonts w:ascii="宋体" w:hAnsi="宋体"/>
          <w:b/>
          <w:sz w:val="36"/>
          <w:szCs w:val="36"/>
        </w:rPr>
        <w:t>期：</w:t>
      </w:r>
      <w:r>
        <w:rPr>
          <w:rFonts w:hint="eastAsia" w:ascii="宋体" w:hAnsi="宋体"/>
          <w:b/>
          <w:sz w:val="36"/>
          <w:szCs w:val="36"/>
        </w:rPr>
        <w:t>二〇二</w:t>
      </w:r>
      <w:r>
        <w:rPr>
          <w:rFonts w:hint="eastAsia" w:ascii="宋体" w:hAnsi="宋体"/>
          <w:b/>
          <w:sz w:val="36"/>
          <w:szCs w:val="36"/>
          <w:lang w:val="en-US" w:eastAsia="zh-CN"/>
        </w:rPr>
        <w:t>六</w:t>
      </w:r>
      <w:r>
        <w:rPr>
          <w:rFonts w:hint="eastAsia" w:ascii="宋体" w:hAnsi="宋体"/>
          <w:b/>
          <w:sz w:val="36"/>
          <w:szCs w:val="36"/>
        </w:rPr>
        <w:t>年</w:t>
      </w:r>
      <w:r>
        <w:rPr>
          <w:rFonts w:hint="eastAsia" w:ascii="宋体" w:hAnsi="宋体"/>
          <w:b/>
          <w:sz w:val="36"/>
          <w:szCs w:val="36"/>
          <w:lang w:val="en-US" w:eastAsia="zh-CN"/>
        </w:rPr>
        <w:t>十</w:t>
      </w:r>
      <w:r>
        <w:rPr>
          <w:rFonts w:hint="eastAsia" w:ascii="宋体" w:hAnsi="宋体"/>
          <w:b/>
          <w:sz w:val="36"/>
          <w:szCs w:val="36"/>
        </w:rPr>
        <w:t>月</w:t>
      </w:r>
    </w:p>
    <w:p w14:paraId="3288D93A">
      <w:pPr>
        <w:spacing w:line="360" w:lineRule="auto"/>
        <w:rPr>
          <w:rFonts w:ascii="宋体" w:hAnsi="宋体"/>
          <w:b/>
          <w:sz w:val="28"/>
          <w:szCs w:val="20"/>
          <w:lang w:bidi="ar"/>
        </w:rPr>
        <w:sectPr>
          <w:pgSz w:w="11915" w:h="16840"/>
          <w:pgMar w:top="1247" w:right="1135" w:bottom="1247" w:left="1236" w:header="851" w:footer="992" w:gutter="0"/>
          <w:cols w:space="720" w:num="1"/>
          <w:docGrid w:type="lines" w:linePitch="312" w:charSpace="0"/>
        </w:sectPr>
      </w:pPr>
    </w:p>
    <w:p w14:paraId="4A18DFB7">
      <w:pPr>
        <w:tabs>
          <w:tab w:val="left" w:pos="8280"/>
        </w:tabs>
        <w:spacing w:line="360" w:lineRule="auto"/>
        <w:jc w:val="center"/>
        <w:outlineLvl w:val="0"/>
        <w:rPr>
          <w:rFonts w:ascii="宋体" w:hAnsi="宋体" w:cs="宋体"/>
          <w:b/>
          <w:sz w:val="44"/>
          <w:szCs w:val="44"/>
        </w:rPr>
      </w:pPr>
      <w:r>
        <w:rPr>
          <w:rFonts w:hint="eastAsia" w:ascii="宋体" w:hAnsi="宋体" w:cs="宋体"/>
          <w:b/>
          <w:sz w:val="44"/>
          <w:szCs w:val="44"/>
          <w:lang w:bidi="ar"/>
        </w:rPr>
        <w:t>目  录</w:t>
      </w:r>
    </w:p>
    <w:p w14:paraId="7DE2E4AE">
      <w:pPr>
        <w:tabs>
          <w:tab w:val="left" w:pos="8280"/>
        </w:tabs>
        <w:spacing w:line="360" w:lineRule="auto"/>
        <w:jc w:val="center"/>
        <w:rPr>
          <w:rFonts w:ascii="宋体" w:hAnsi="宋体" w:cs="宋体"/>
          <w:b/>
          <w:sz w:val="32"/>
          <w:szCs w:val="32"/>
        </w:rPr>
      </w:pPr>
    </w:p>
    <w:p w14:paraId="5115FEC5"/>
    <w:p w14:paraId="0F048478">
      <w:pPr>
        <w:rPr>
          <w:rFonts w:hint="eastAsia" w:ascii="宋体" w:hAnsi="宋体" w:eastAsia="宋体" w:cs="宋体"/>
          <w:sz w:val="30"/>
          <w:szCs w:val="30"/>
        </w:rPr>
      </w:pPr>
      <w:r>
        <w:rPr>
          <w:rFonts w:hint="eastAsia" w:ascii="宋体" w:hAnsi="宋体" w:eastAsia="宋体" w:cs="宋体"/>
          <w:sz w:val="30"/>
          <w:szCs w:val="30"/>
        </w:rPr>
        <w:t>第一章  竞争性磋商</w:t>
      </w:r>
      <w:r>
        <w:rPr>
          <w:rFonts w:hint="eastAsia" w:ascii="宋体" w:hAnsi="宋体" w:eastAsia="宋体" w:cs="宋体"/>
          <w:sz w:val="30"/>
          <w:szCs w:val="30"/>
          <w:lang w:val="en-US" w:eastAsia="zh-CN"/>
        </w:rPr>
        <w:t>公告</w:t>
      </w:r>
      <w:r>
        <w:rPr>
          <w:rFonts w:hint="eastAsia" w:ascii="宋体" w:hAnsi="宋体" w:eastAsia="宋体" w:cs="宋体"/>
          <w:sz w:val="30"/>
          <w:szCs w:val="30"/>
        </w:rPr>
        <w:t>...............................3</w:t>
      </w:r>
    </w:p>
    <w:p w14:paraId="1E18EF5B">
      <w:pPr>
        <w:rPr>
          <w:rFonts w:hint="eastAsia" w:ascii="宋体" w:hAnsi="宋体" w:eastAsia="宋体" w:cs="宋体"/>
          <w:sz w:val="30"/>
          <w:szCs w:val="30"/>
          <w:lang w:eastAsia="zh-CN"/>
        </w:rPr>
      </w:pPr>
      <w:r>
        <w:rPr>
          <w:rFonts w:hint="eastAsia" w:ascii="宋体" w:hAnsi="宋体" w:eastAsia="宋体" w:cs="宋体"/>
          <w:sz w:val="30"/>
          <w:szCs w:val="30"/>
        </w:rPr>
        <w:t>第二章  供应商须知...................................</w:t>
      </w:r>
      <w:r>
        <w:rPr>
          <w:rFonts w:hint="eastAsia" w:ascii="宋体" w:hAnsi="宋体" w:eastAsia="宋体" w:cs="宋体"/>
          <w:sz w:val="30"/>
          <w:szCs w:val="30"/>
          <w:lang w:val="en-US" w:eastAsia="zh-CN"/>
        </w:rPr>
        <w:t>7</w:t>
      </w:r>
    </w:p>
    <w:p w14:paraId="1779B4BC">
      <w:pPr>
        <w:rPr>
          <w:rFonts w:hint="default" w:ascii="宋体" w:hAnsi="宋体" w:eastAsia="宋体" w:cs="宋体"/>
          <w:sz w:val="30"/>
          <w:szCs w:val="30"/>
          <w:lang w:val="en-US" w:eastAsia="zh-CN"/>
        </w:rPr>
      </w:pPr>
      <w:r>
        <w:rPr>
          <w:rFonts w:hint="eastAsia" w:ascii="宋体" w:hAnsi="宋体" w:eastAsia="宋体" w:cs="宋体"/>
          <w:sz w:val="30"/>
          <w:szCs w:val="30"/>
        </w:rPr>
        <w:t xml:space="preserve">第三章  </w:t>
      </w:r>
      <w:r>
        <w:rPr>
          <w:rFonts w:hint="eastAsia" w:ascii="宋体" w:hAnsi="宋体" w:eastAsia="宋体" w:cs="宋体"/>
          <w:sz w:val="30"/>
          <w:szCs w:val="30"/>
          <w:lang w:val="en-US" w:eastAsia="zh-CN"/>
        </w:rPr>
        <w:t>项目内容</w:t>
      </w:r>
      <w:r>
        <w:rPr>
          <w:rFonts w:hint="eastAsia" w:ascii="宋体" w:hAnsi="宋体" w:eastAsia="宋体" w:cs="宋体"/>
          <w:sz w:val="30"/>
          <w:szCs w:val="30"/>
        </w:rPr>
        <w:t>及要求...............................</w:t>
      </w:r>
      <w:r>
        <w:rPr>
          <w:rFonts w:hint="eastAsia" w:ascii="宋体" w:hAnsi="宋体" w:eastAsia="宋体" w:cs="宋体"/>
          <w:sz w:val="30"/>
          <w:szCs w:val="30"/>
          <w:lang w:val="en-US" w:eastAsia="zh-CN"/>
        </w:rPr>
        <w:t>21</w:t>
      </w:r>
    </w:p>
    <w:p w14:paraId="61930854">
      <w:pPr>
        <w:rPr>
          <w:rFonts w:hint="default" w:ascii="宋体" w:hAnsi="宋体" w:eastAsia="宋体" w:cs="宋体"/>
          <w:sz w:val="30"/>
          <w:szCs w:val="30"/>
          <w:lang w:val="en-US" w:eastAsia="zh-CN"/>
        </w:rPr>
      </w:pPr>
      <w:r>
        <w:rPr>
          <w:rFonts w:hint="eastAsia" w:ascii="宋体" w:hAnsi="宋体" w:eastAsia="宋体" w:cs="宋体"/>
          <w:sz w:val="30"/>
          <w:szCs w:val="30"/>
        </w:rPr>
        <w:t>第四章  评标办法.....................................</w:t>
      </w:r>
      <w:r>
        <w:rPr>
          <w:rFonts w:hint="eastAsia" w:ascii="宋体" w:hAnsi="宋体" w:eastAsia="宋体" w:cs="宋体"/>
          <w:sz w:val="30"/>
          <w:szCs w:val="30"/>
          <w:lang w:val="en-US" w:eastAsia="zh-CN"/>
        </w:rPr>
        <w:t>2</w:t>
      </w:r>
      <w:r>
        <w:rPr>
          <w:rFonts w:hint="eastAsia" w:ascii="宋体" w:hAnsi="宋体" w:cs="宋体"/>
          <w:sz w:val="30"/>
          <w:szCs w:val="30"/>
          <w:lang w:val="en-US" w:eastAsia="zh-CN"/>
        </w:rPr>
        <w:t>8</w:t>
      </w:r>
    </w:p>
    <w:p w14:paraId="0DC41A21">
      <w:pPr>
        <w:rPr>
          <w:rFonts w:hint="default" w:ascii="宋体" w:hAnsi="宋体" w:eastAsia="宋体" w:cs="宋体"/>
          <w:sz w:val="30"/>
          <w:szCs w:val="30"/>
          <w:lang w:val="en-US" w:eastAsia="zh-CN"/>
        </w:rPr>
      </w:pPr>
      <w:r>
        <w:rPr>
          <w:rFonts w:hint="eastAsia" w:ascii="宋体" w:hAnsi="宋体" w:eastAsia="宋体" w:cs="宋体"/>
          <w:sz w:val="30"/>
          <w:szCs w:val="30"/>
        </w:rPr>
        <w:t>第五章</w:t>
      </w:r>
      <w:r>
        <w:rPr>
          <w:rFonts w:hint="eastAsia" w:ascii="宋体" w:hAnsi="宋体" w:eastAsia="宋体" w:cs="宋体"/>
          <w:sz w:val="30"/>
          <w:szCs w:val="30"/>
          <w:lang w:val="en-US" w:eastAsia="zh-CN"/>
        </w:rPr>
        <w:t xml:space="preserve">  政府采购合同.................................</w:t>
      </w:r>
      <w:r>
        <w:rPr>
          <w:rFonts w:hint="eastAsia" w:ascii="宋体" w:hAnsi="宋体" w:cs="宋体"/>
          <w:sz w:val="30"/>
          <w:szCs w:val="30"/>
          <w:lang w:val="en-US" w:eastAsia="zh-CN"/>
        </w:rPr>
        <w:t>35</w:t>
      </w:r>
    </w:p>
    <w:p w14:paraId="1D5792EE">
      <w:pPr>
        <w:rPr>
          <w:rFonts w:hint="default" w:ascii="宋体" w:hAnsi="宋体" w:eastAsia="宋体" w:cs="宋体"/>
          <w:sz w:val="30"/>
          <w:szCs w:val="30"/>
          <w:lang w:val="en-US" w:eastAsia="zh-CN"/>
        </w:rPr>
      </w:pPr>
      <w:r>
        <w:rPr>
          <w:rFonts w:hint="eastAsia" w:ascii="宋体" w:hAnsi="宋体" w:eastAsia="宋体" w:cs="宋体"/>
          <w:sz w:val="30"/>
          <w:szCs w:val="30"/>
        </w:rPr>
        <w:t xml:space="preserve">第六章  </w:t>
      </w:r>
      <w:r>
        <w:rPr>
          <w:rFonts w:hint="eastAsia" w:ascii="宋体" w:hAnsi="宋体" w:eastAsia="宋体" w:cs="宋体"/>
          <w:sz w:val="30"/>
          <w:szCs w:val="30"/>
          <w:lang w:val="en-US" w:eastAsia="zh-CN"/>
        </w:rPr>
        <w:t>响应文件主要内容和格式....</w:t>
      </w:r>
      <w:r>
        <w:rPr>
          <w:rFonts w:hint="eastAsia" w:ascii="宋体" w:hAnsi="宋体" w:cs="宋体"/>
          <w:sz w:val="30"/>
          <w:szCs w:val="30"/>
          <w:lang w:val="en-US" w:eastAsia="zh-CN"/>
        </w:rPr>
        <w:t>..........</w:t>
      </w:r>
      <w:r>
        <w:rPr>
          <w:rFonts w:hint="eastAsia" w:ascii="宋体" w:hAnsi="宋体" w:eastAsia="宋体" w:cs="宋体"/>
          <w:sz w:val="30"/>
          <w:szCs w:val="30"/>
          <w:lang w:val="en-US" w:eastAsia="zh-CN"/>
        </w:rPr>
        <w:t>.....</w:t>
      </w:r>
      <w:r>
        <w:rPr>
          <w:rFonts w:hint="eastAsia" w:ascii="宋体" w:hAnsi="宋体" w:eastAsia="宋体" w:cs="宋体"/>
          <w:sz w:val="30"/>
          <w:szCs w:val="30"/>
        </w:rPr>
        <w:t>....</w:t>
      </w:r>
      <w:r>
        <w:rPr>
          <w:rFonts w:hint="eastAsia" w:ascii="宋体" w:hAnsi="宋体" w:eastAsia="宋体" w:cs="宋体"/>
          <w:sz w:val="30"/>
          <w:szCs w:val="30"/>
          <w:lang w:val="en-US" w:eastAsia="zh-CN"/>
        </w:rPr>
        <w:t>3</w:t>
      </w:r>
      <w:r>
        <w:rPr>
          <w:rFonts w:hint="eastAsia" w:ascii="宋体" w:hAnsi="宋体" w:cs="宋体"/>
          <w:sz w:val="30"/>
          <w:szCs w:val="30"/>
          <w:lang w:val="en-US" w:eastAsia="zh-CN"/>
        </w:rPr>
        <w:t>9</w:t>
      </w:r>
    </w:p>
    <w:p w14:paraId="0609A1CE">
      <w:pPr>
        <w:widowControl/>
        <w:tabs>
          <w:tab w:val="left" w:pos="1260"/>
          <w:tab w:val="left" w:pos="7920"/>
        </w:tabs>
        <w:spacing w:before="100" w:beforeAutospacing="1" w:after="100" w:afterAutospacing="1" w:line="480" w:lineRule="auto"/>
        <w:rPr>
          <w:rFonts w:ascii="宋体" w:hAnsi="宋体" w:cs="宋体"/>
          <w:b/>
          <w:kern w:val="0"/>
          <w:sz w:val="32"/>
          <w:szCs w:val="32"/>
        </w:rPr>
      </w:pPr>
    </w:p>
    <w:p w14:paraId="2D7C6256">
      <w:pPr>
        <w:widowControl/>
        <w:tabs>
          <w:tab w:val="left" w:pos="1260"/>
          <w:tab w:val="left" w:pos="7920"/>
        </w:tabs>
        <w:spacing w:before="100" w:beforeAutospacing="1" w:after="100" w:afterAutospacing="1" w:line="480" w:lineRule="auto"/>
        <w:rPr>
          <w:rFonts w:ascii="宋体" w:hAnsi="宋体" w:cs="宋体"/>
          <w:b/>
          <w:kern w:val="0"/>
          <w:sz w:val="32"/>
          <w:szCs w:val="32"/>
        </w:rPr>
      </w:pPr>
    </w:p>
    <w:p w14:paraId="2B4C0A4A">
      <w:pPr>
        <w:widowControl/>
        <w:tabs>
          <w:tab w:val="left" w:pos="1260"/>
          <w:tab w:val="left" w:pos="7920"/>
        </w:tabs>
        <w:spacing w:before="100" w:beforeAutospacing="1" w:after="100" w:afterAutospacing="1" w:line="480" w:lineRule="auto"/>
        <w:rPr>
          <w:rFonts w:ascii="宋体" w:hAnsi="宋体" w:cs="宋体"/>
          <w:b/>
          <w:kern w:val="0"/>
          <w:sz w:val="32"/>
          <w:szCs w:val="32"/>
        </w:rPr>
      </w:pPr>
    </w:p>
    <w:p w14:paraId="03F60D9B">
      <w:pPr>
        <w:widowControl/>
        <w:tabs>
          <w:tab w:val="left" w:pos="1260"/>
          <w:tab w:val="left" w:pos="7920"/>
        </w:tabs>
        <w:spacing w:before="100" w:beforeAutospacing="1" w:after="100" w:afterAutospacing="1" w:line="480" w:lineRule="auto"/>
        <w:rPr>
          <w:rFonts w:ascii="宋体" w:hAnsi="宋体" w:cs="宋体"/>
          <w:b/>
          <w:kern w:val="0"/>
          <w:sz w:val="32"/>
          <w:szCs w:val="32"/>
        </w:rPr>
      </w:pPr>
    </w:p>
    <w:p w14:paraId="63CAA4E9">
      <w:pPr>
        <w:widowControl/>
        <w:tabs>
          <w:tab w:val="left" w:pos="1260"/>
          <w:tab w:val="left" w:pos="7920"/>
        </w:tabs>
        <w:spacing w:before="100" w:beforeAutospacing="1" w:after="100" w:afterAutospacing="1" w:line="480" w:lineRule="auto"/>
        <w:rPr>
          <w:rFonts w:ascii="宋体" w:hAnsi="宋体" w:cs="宋体"/>
          <w:b/>
          <w:kern w:val="0"/>
          <w:sz w:val="32"/>
          <w:szCs w:val="32"/>
        </w:rPr>
      </w:pPr>
    </w:p>
    <w:p w14:paraId="47580207">
      <w:pPr>
        <w:widowControl/>
        <w:tabs>
          <w:tab w:val="left" w:pos="1260"/>
          <w:tab w:val="left" w:pos="7920"/>
        </w:tabs>
        <w:spacing w:before="100" w:beforeAutospacing="1" w:after="100" w:afterAutospacing="1" w:line="480" w:lineRule="auto"/>
        <w:rPr>
          <w:rFonts w:ascii="宋体" w:hAnsi="宋体" w:cs="宋体"/>
          <w:b/>
          <w:kern w:val="0"/>
          <w:sz w:val="32"/>
          <w:szCs w:val="32"/>
        </w:rPr>
      </w:pPr>
    </w:p>
    <w:p w14:paraId="6BF74C27">
      <w:pPr>
        <w:widowControl/>
        <w:tabs>
          <w:tab w:val="left" w:pos="1260"/>
          <w:tab w:val="left" w:pos="7920"/>
        </w:tabs>
        <w:spacing w:before="100" w:beforeAutospacing="1" w:after="100" w:afterAutospacing="1" w:line="480" w:lineRule="auto"/>
        <w:rPr>
          <w:rFonts w:hint="eastAsia" w:ascii="宋体" w:hAnsi="宋体" w:cs="宋体"/>
          <w:b/>
          <w:kern w:val="0"/>
          <w:sz w:val="32"/>
          <w:szCs w:val="32"/>
        </w:rPr>
      </w:pPr>
    </w:p>
    <w:p w14:paraId="2FDDA319">
      <w:pPr>
        <w:widowControl/>
        <w:tabs>
          <w:tab w:val="left" w:pos="1260"/>
          <w:tab w:val="left" w:pos="7920"/>
        </w:tabs>
        <w:spacing w:before="100" w:beforeAutospacing="1" w:after="100" w:afterAutospacing="1" w:line="480" w:lineRule="auto"/>
        <w:rPr>
          <w:rFonts w:ascii="宋体" w:hAnsi="宋体" w:cs="宋体"/>
          <w:b/>
          <w:kern w:val="0"/>
          <w:sz w:val="32"/>
          <w:szCs w:val="32"/>
        </w:rPr>
      </w:pPr>
    </w:p>
    <w:p w14:paraId="6FA10759">
      <w:pPr>
        <w:autoSpaceDE w:val="0"/>
        <w:autoSpaceDN w:val="0"/>
        <w:adjustRightInd w:val="0"/>
        <w:spacing w:line="360" w:lineRule="auto"/>
        <w:jc w:val="center"/>
        <w:rPr>
          <w:rFonts w:hint="eastAsia" w:ascii="宋体" w:hAnsi="宋体" w:cs="宋体"/>
          <w:b/>
          <w:kern w:val="0"/>
          <w:sz w:val="36"/>
          <w:szCs w:val="36"/>
          <w:lang w:bidi="ar"/>
        </w:rPr>
      </w:pPr>
    </w:p>
    <w:p w14:paraId="08762C51">
      <w:pPr>
        <w:autoSpaceDE w:val="0"/>
        <w:autoSpaceDN w:val="0"/>
        <w:adjustRightInd w:val="0"/>
        <w:spacing w:line="360" w:lineRule="auto"/>
        <w:jc w:val="center"/>
        <w:rPr>
          <w:rFonts w:hint="eastAsia" w:ascii="宋体" w:hAnsi="宋体" w:cs="宋体"/>
          <w:b/>
          <w:kern w:val="0"/>
          <w:sz w:val="36"/>
          <w:szCs w:val="36"/>
          <w:lang w:bidi="ar"/>
        </w:rPr>
      </w:pPr>
    </w:p>
    <w:p w14:paraId="0B5B4590">
      <w:pPr>
        <w:autoSpaceDE w:val="0"/>
        <w:autoSpaceDN w:val="0"/>
        <w:adjustRightInd w:val="0"/>
        <w:spacing w:line="360" w:lineRule="auto"/>
        <w:jc w:val="center"/>
        <w:rPr>
          <w:rFonts w:hint="eastAsia" w:ascii="宋体" w:hAnsi="宋体" w:cs="宋体"/>
          <w:b/>
          <w:kern w:val="0"/>
          <w:sz w:val="36"/>
          <w:szCs w:val="36"/>
          <w:lang w:bidi="ar"/>
        </w:rPr>
      </w:pPr>
      <w:r>
        <w:rPr>
          <w:rFonts w:hint="eastAsia" w:ascii="宋体" w:hAnsi="宋体" w:cs="宋体"/>
          <w:b/>
          <w:kern w:val="0"/>
          <w:sz w:val="36"/>
          <w:szCs w:val="36"/>
          <w:lang w:bidi="ar"/>
        </w:rPr>
        <w:t>第一章  竞争性磋商公告</w:t>
      </w:r>
    </w:p>
    <w:p w14:paraId="2A038D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项目概况</w:t>
      </w:r>
    </w:p>
    <w:p w14:paraId="54B6BA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cs="宋体"/>
          <w:sz w:val="24"/>
          <w:szCs w:val="24"/>
          <w:lang w:eastAsia="zh-CN"/>
        </w:rPr>
        <w:t>陕州区智慧消防火眼AI火情智能预警建设项目</w:t>
      </w:r>
      <w:r>
        <w:rPr>
          <w:rFonts w:hint="eastAsia" w:ascii="宋体" w:hAnsi="宋体" w:eastAsia="宋体" w:cs="宋体"/>
          <w:sz w:val="24"/>
        </w:rPr>
        <w:t>的潜在供应商凭CA登录三门峡市公共资源交易中心网获取磋商文</w:t>
      </w:r>
      <w:r>
        <w:rPr>
          <w:rFonts w:hint="eastAsia" w:ascii="宋体" w:hAnsi="宋体" w:eastAsia="宋体" w:cs="宋体"/>
          <w:color w:val="auto"/>
          <w:sz w:val="24"/>
        </w:rPr>
        <w:t>件，并于202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11月03日08</w:t>
      </w:r>
      <w:r>
        <w:rPr>
          <w:rFonts w:hint="eastAsia" w:ascii="宋体" w:hAnsi="宋体" w:eastAsia="宋体" w:cs="宋体"/>
          <w:color w:val="auto"/>
          <w:sz w:val="24"/>
        </w:rPr>
        <w:t>时</w:t>
      </w:r>
      <w:r>
        <w:rPr>
          <w:rFonts w:hint="eastAsia" w:ascii="宋体" w:hAnsi="宋体" w:cs="宋体"/>
          <w:color w:val="auto"/>
          <w:sz w:val="24"/>
          <w:lang w:val="en-US" w:eastAsia="zh-CN"/>
        </w:rPr>
        <w:t>2</w:t>
      </w:r>
      <w:r>
        <w:rPr>
          <w:rFonts w:hint="eastAsia" w:ascii="宋体" w:hAnsi="宋体" w:eastAsia="宋体" w:cs="宋体"/>
          <w:color w:val="auto"/>
          <w:sz w:val="24"/>
        </w:rPr>
        <w:t>0分（北京时间）前提交</w:t>
      </w:r>
      <w:r>
        <w:rPr>
          <w:rFonts w:hint="eastAsia" w:ascii="宋体" w:hAnsi="宋体" w:eastAsia="宋体" w:cs="宋体"/>
          <w:sz w:val="24"/>
        </w:rPr>
        <w:t>响应文件。</w:t>
      </w:r>
    </w:p>
    <w:p w14:paraId="57CCD0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lang w:val="en-US" w:eastAsia="zh-CN"/>
        </w:rPr>
        <w:t>一、</w:t>
      </w:r>
      <w:r>
        <w:rPr>
          <w:rFonts w:hint="eastAsia" w:ascii="宋体" w:hAnsi="宋体" w:eastAsia="宋体" w:cs="宋体"/>
          <w:sz w:val="24"/>
        </w:rPr>
        <w:t>项目基本情况</w:t>
      </w:r>
    </w:p>
    <w:p w14:paraId="5B0873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项目</w:t>
      </w:r>
      <w:r>
        <w:rPr>
          <w:rFonts w:hint="eastAsia" w:ascii="宋体" w:hAnsi="宋体" w:eastAsia="宋体" w:cs="宋体"/>
          <w:color w:val="auto"/>
          <w:sz w:val="24"/>
          <w:lang w:val="en-US" w:eastAsia="zh-CN"/>
        </w:rPr>
        <w:t>编号：</w:t>
      </w:r>
      <w:r>
        <w:rPr>
          <w:rFonts w:hint="eastAsia" w:ascii="宋体" w:hAnsi="宋体" w:cs="宋体"/>
          <w:color w:val="auto"/>
          <w:sz w:val="24"/>
          <w:lang w:val="en-US" w:eastAsia="zh-CN"/>
        </w:rPr>
        <w:t>陕州竞磋采购-2026-102</w:t>
      </w:r>
      <w:r>
        <w:rPr>
          <w:rFonts w:hint="eastAsia" w:ascii="宋体" w:hAnsi="宋体" w:eastAsia="宋体" w:cs="宋体"/>
          <w:color w:val="auto"/>
          <w:sz w:val="24"/>
          <w:lang w:val="en-US" w:eastAsia="zh-CN"/>
        </w:rPr>
        <w:t>；</w:t>
      </w:r>
      <w:r>
        <w:rPr>
          <w:rFonts w:hint="eastAsia" w:ascii="宋体" w:hAnsi="宋体" w:cs="宋体"/>
          <w:color w:val="auto"/>
          <w:sz w:val="24"/>
          <w:lang w:val="en-US" w:eastAsia="zh-CN"/>
        </w:rPr>
        <w:t>SZGZ[2026]173-ZC141</w:t>
      </w:r>
    </w:p>
    <w:p w14:paraId="5D084D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、项目名称：</w:t>
      </w:r>
      <w:r>
        <w:rPr>
          <w:rFonts w:hint="eastAsia" w:ascii="宋体" w:hAnsi="宋体" w:cs="宋体"/>
          <w:sz w:val="24"/>
          <w:szCs w:val="24"/>
          <w:lang w:eastAsia="zh-CN"/>
        </w:rPr>
        <w:t>陕州区智慧消防火眼AI火情智能预警建设项目</w:t>
      </w:r>
    </w:p>
    <w:p w14:paraId="32A9C3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3、采购方式：竞争性磋商</w:t>
      </w:r>
    </w:p>
    <w:p w14:paraId="6A303C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eastAsia="宋体" w:cs="宋体"/>
          <w:sz w:val="24"/>
          <w:szCs w:val="24"/>
          <w:lang w:val="en-US" w:eastAsia="zh-CN"/>
        </w:rPr>
        <w:t>预算金额：</w:t>
      </w:r>
      <w:r>
        <w:rPr>
          <w:rFonts w:hint="eastAsia" w:ascii="宋体" w:hAnsi="宋体" w:cs="宋体"/>
          <w:sz w:val="24"/>
          <w:szCs w:val="24"/>
          <w:lang w:val="en-US" w:eastAsia="zh-CN"/>
        </w:rPr>
        <w:t>1900000.00</w:t>
      </w:r>
      <w:r>
        <w:rPr>
          <w:rFonts w:hint="eastAsia" w:ascii="宋体" w:hAnsi="宋体" w:eastAsia="宋体" w:cs="宋体"/>
          <w:sz w:val="24"/>
          <w:szCs w:val="24"/>
          <w:lang w:val="en-US" w:eastAsia="zh-CN"/>
        </w:rPr>
        <w:t>元</w:t>
      </w:r>
    </w:p>
    <w:p w14:paraId="7242FE83">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最高限价：</w:t>
      </w:r>
      <w:r>
        <w:rPr>
          <w:rFonts w:hint="eastAsia" w:ascii="宋体" w:hAnsi="宋体" w:cs="宋体"/>
          <w:sz w:val="24"/>
          <w:szCs w:val="24"/>
          <w:lang w:val="en-US" w:eastAsia="zh-CN"/>
        </w:rPr>
        <w:t>1900000.00</w:t>
      </w:r>
      <w:r>
        <w:rPr>
          <w:rFonts w:hint="eastAsia" w:ascii="宋体" w:hAnsi="宋体" w:eastAsia="宋体" w:cs="宋体"/>
          <w:sz w:val="24"/>
          <w:szCs w:val="24"/>
          <w:lang w:val="en-US" w:eastAsia="zh-CN"/>
        </w:rPr>
        <w:t>元</w:t>
      </w:r>
    </w:p>
    <w:tbl>
      <w:tblPr>
        <w:tblStyle w:val="12"/>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1"/>
        <w:gridCol w:w="1921"/>
        <w:gridCol w:w="3069"/>
        <w:gridCol w:w="1491"/>
        <w:gridCol w:w="1492"/>
      </w:tblGrid>
      <w:tr w14:paraId="3435D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noWrap w:val="0"/>
            <w:vAlign w:val="center"/>
          </w:tcPr>
          <w:p w14:paraId="309F8A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序号</w:t>
            </w:r>
          </w:p>
        </w:tc>
        <w:tc>
          <w:tcPr>
            <w:tcW w:w="1921" w:type="dxa"/>
            <w:noWrap w:val="0"/>
            <w:vAlign w:val="center"/>
          </w:tcPr>
          <w:p w14:paraId="3D7250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vertAlign w:val="baseline"/>
                <w:lang w:val="en-US" w:eastAsia="zh-CN"/>
              </w:rPr>
            </w:pPr>
            <w:r>
              <w:rPr>
                <w:rFonts w:hint="eastAsia" w:ascii="宋体" w:hAnsi="宋体" w:eastAsia="宋体" w:cs="宋体"/>
                <w:color w:val="auto"/>
                <w:sz w:val="24"/>
                <w:szCs w:val="24"/>
                <w:vertAlign w:val="baseline"/>
                <w:lang w:val="en-US" w:eastAsia="zh-CN"/>
              </w:rPr>
              <w:t>包号</w:t>
            </w:r>
          </w:p>
        </w:tc>
        <w:tc>
          <w:tcPr>
            <w:tcW w:w="3069" w:type="dxa"/>
            <w:noWrap w:val="0"/>
            <w:vAlign w:val="center"/>
          </w:tcPr>
          <w:p w14:paraId="65245F4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包名称</w:t>
            </w:r>
          </w:p>
        </w:tc>
        <w:tc>
          <w:tcPr>
            <w:tcW w:w="1491" w:type="dxa"/>
            <w:noWrap w:val="0"/>
            <w:vAlign w:val="center"/>
          </w:tcPr>
          <w:p w14:paraId="1E990C7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包预算</w:t>
            </w:r>
          </w:p>
          <w:p w14:paraId="2F3B4F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w:t>
            </w:r>
          </w:p>
        </w:tc>
        <w:tc>
          <w:tcPr>
            <w:tcW w:w="1492" w:type="dxa"/>
            <w:noWrap w:val="0"/>
            <w:vAlign w:val="center"/>
          </w:tcPr>
          <w:p w14:paraId="03BF00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包最高限价</w:t>
            </w:r>
          </w:p>
          <w:p w14:paraId="79480D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（元）</w:t>
            </w:r>
          </w:p>
        </w:tc>
      </w:tr>
      <w:tr w14:paraId="328A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1" w:type="dxa"/>
            <w:noWrap w:val="0"/>
            <w:vAlign w:val="center"/>
          </w:tcPr>
          <w:p w14:paraId="2C05AF2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1921" w:type="dxa"/>
            <w:noWrap w:val="0"/>
            <w:vAlign w:val="center"/>
          </w:tcPr>
          <w:p w14:paraId="527945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color w:val="auto"/>
                <w:sz w:val="24"/>
                <w:szCs w:val="24"/>
                <w:vertAlign w:val="baseline"/>
                <w:lang w:val="en-US" w:eastAsia="zh-CN"/>
              </w:rPr>
            </w:pPr>
            <w:r>
              <w:rPr>
                <w:rFonts w:hint="eastAsia" w:ascii="宋体" w:hAnsi="宋体" w:cs="宋体"/>
                <w:color w:val="auto"/>
                <w:sz w:val="24"/>
                <w:lang w:val="en-US" w:eastAsia="zh-CN"/>
              </w:rPr>
              <w:t>SZGZ[2026]173-ZC141-1</w:t>
            </w:r>
          </w:p>
        </w:tc>
        <w:tc>
          <w:tcPr>
            <w:tcW w:w="3069" w:type="dxa"/>
            <w:noWrap w:val="0"/>
            <w:vAlign w:val="center"/>
          </w:tcPr>
          <w:p w14:paraId="73ED68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cs="宋体"/>
                <w:sz w:val="24"/>
                <w:szCs w:val="24"/>
                <w:lang w:eastAsia="zh-CN"/>
              </w:rPr>
              <w:t>陕州区智慧消防火眼AI火情智能预警建设项目</w:t>
            </w:r>
          </w:p>
        </w:tc>
        <w:tc>
          <w:tcPr>
            <w:tcW w:w="1491" w:type="dxa"/>
            <w:noWrap w:val="0"/>
            <w:vAlign w:val="center"/>
          </w:tcPr>
          <w:p w14:paraId="47F364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cs="宋体"/>
                <w:sz w:val="24"/>
                <w:szCs w:val="24"/>
                <w:lang w:val="en-US" w:eastAsia="zh-CN"/>
              </w:rPr>
              <w:t>1900000</w:t>
            </w:r>
          </w:p>
        </w:tc>
        <w:tc>
          <w:tcPr>
            <w:tcW w:w="1492" w:type="dxa"/>
            <w:noWrap w:val="0"/>
            <w:vAlign w:val="center"/>
          </w:tcPr>
          <w:p w14:paraId="56F996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cs="宋体"/>
                <w:sz w:val="24"/>
                <w:szCs w:val="24"/>
                <w:lang w:val="en-US" w:eastAsia="zh-CN"/>
              </w:rPr>
              <w:t>1900000</w:t>
            </w:r>
          </w:p>
        </w:tc>
      </w:tr>
    </w:tbl>
    <w:p w14:paraId="36004AC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ascii="宋体" w:hAnsi="宋体"/>
          <w:sz w:val="24"/>
        </w:rPr>
      </w:pPr>
      <w:r>
        <w:rPr>
          <w:rFonts w:ascii="宋体" w:hAnsi="宋体"/>
          <w:kern w:val="2"/>
          <w:sz w:val="24"/>
          <w:szCs w:val="24"/>
          <w:lang w:val="en-US" w:eastAsia="zh-CN" w:bidi="ar-SA"/>
        </w:rPr>
        <w:t>5、</w:t>
      </w:r>
      <w:r>
        <w:rPr>
          <w:rFonts w:hint="eastAsia" w:ascii="宋体" w:hAnsi="宋体"/>
          <w:sz w:val="24"/>
        </w:rPr>
        <w:t>采购需求</w:t>
      </w:r>
      <w:r>
        <w:rPr>
          <w:rFonts w:ascii="宋体" w:hAnsi="宋体"/>
          <w:sz w:val="24"/>
        </w:rPr>
        <w:t>（包括但不限于标的的名称、数量、简要技术需求或服务要求等）</w:t>
      </w:r>
    </w:p>
    <w:p w14:paraId="2FF137FE">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5.1</w:t>
      </w:r>
      <w:r>
        <w:rPr>
          <w:rFonts w:hint="eastAsia" w:ascii="宋体" w:hAnsi="宋体" w:eastAsia="宋体" w:cs="宋体"/>
          <w:sz w:val="24"/>
          <w:szCs w:val="24"/>
        </w:rPr>
        <w:t>采购</w:t>
      </w:r>
      <w:r>
        <w:rPr>
          <w:rFonts w:hint="eastAsia" w:ascii="宋体" w:hAnsi="宋体" w:eastAsia="宋体" w:cs="宋体"/>
          <w:sz w:val="24"/>
          <w:szCs w:val="24"/>
          <w:lang w:val="en-US" w:eastAsia="zh-CN"/>
        </w:rPr>
        <w:t>内容：</w:t>
      </w:r>
      <w:r>
        <w:rPr>
          <w:rFonts w:hint="eastAsia" w:ascii="宋体" w:hAnsi="宋体" w:cs="宋体"/>
          <w:sz w:val="24"/>
          <w:szCs w:val="24"/>
          <w:highlight w:val="none"/>
          <w:lang w:val="en-US" w:eastAsia="zh-CN"/>
        </w:rPr>
        <w:t>本项目内容为对人员密集场所、化工园区、充电配套小区等现有摄像头利旧升级，叠加火眼AI火情算法，接入消防救援局及基层高效能治理中心平台，缩短火情预警时限，提升火情处置效率。具体内容及要求详见竞争性磋商文件</w:t>
      </w:r>
      <w:r>
        <w:rPr>
          <w:rFonts w:hint="eastAsia" w:ascii="宋体" w:hAnsi="宋体" w:eastAsia="宋体" w:cs="宋体"/>
          <w:sz w:val="24"/>
          <w:szCs w:val="24"/>
          <w:lang w:val="en-US" w:eastAsia="zh-CN"/>
        </w:rPr>
        <w:t>；</w:t>
      </w:r>
    </w:p>
    <w:p w14:paraId="72DDAC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5.2</w:t>
      </w:r>
      <w:r>
        <w:rPr>
          <w:rFonts w:hint="eastAsia" w:ascii="宋体" w:hAnsi="宋体" w:eastAsia="宋体" w:cs="宋体"/>
          <w:sz w:val="24"/>
          <w:szCs w:val="24"/>
          <w:lang w:eastAsia="zh-CN"/>
        </w:rPr>
        <w:t>资金来源</w:t>
      </w:r>
      <w:r>
        <w:rPr>
          <w:rFonts w:hint="eastAsia" w:ascii="宋体" w:hAnsi="宋体" w:eastAsia="宋体" w:cs="宋体"/>
          <w:sz w:val="24"/>
          <w:szCs w:val="24"/>
          <w:lang w:val="en-US" w:eastAsia="zh-CN"/>
        </w:rPr>
        <w:t>及落实情况</w:t>
      </w:r>
      <w:r>
        <w:rPr>
          <w:rFonts w:hint="eastAsia" w:ascii="宋体" w:hAnsi="宋体" w:eastAsia="宋体" w:cs="宋体"/>
          <w:sz w:val="24"/>
          <w:szCs w:val="24"/>
          <w:lang w:eastAsia="zh-CN"/>
        </w:rPr>
        <w:t>：财政资金，已落实</w:t>
      </w:r>
      <w:r>
        <w:rPr>
          <w:rFonts w:hint="eastAsia" w:ascii="宋体" w:hAnsi="宋体" w:cs="宋体"/>
          <w:sz w:val="24"/>
          <w:szCs w:val="24"/>
          <w:lang w:eastAsia="zh-CN"/>
        </w:rPr>
        <w:t>；</w:t>
      </w:r>
    </w:p>
    <w:p w14:paraId="28A6BA5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5.3质量要求：</w:t>
      </w:r>
      <w:r>
        <w:rPr>
          <w:rFonts w:hint="eastAsia" w:ascii="宋体" w:hAnsi="宋体" w:cs="宋体"/>
          <w:sz w:val="24"/>
          <w:szCs w:val="24"/>
          <w:lang w:val="en-US" w:eastAsia="zh-CN"/>
        </w:rPr>
        <w:t>符合国家相关技术规范、规程和有关技术规定；</w:t>
      </w:r>
    </w:p>
    <w:p w14:paraId="408189A1">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5.4实施周期：合同签订后15日历天内交付</w:t>
      </w:r>
      <w:r>
        <w:rPr>
          <w:rFonts w:hint="eastAsia" w:ascii="宋体" w:hAnsi="宋体" w:cs="宋体"/>
          <w:sz w:val="24"/>
          <w:szCs w:val="24"/>
          <w:lang w:val="en-US" w:eastAsia="zh-CN"/>
        </w:rPr>
        <w:t>；</w:t>
      </w:r>
    </w:p>
    <w:p w14:paraId="270AEB0D">
      <w:pPr>
        <w:spacing w:line="360"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lang w:val="en-US" w:eastAsia="zh-CN"/>
        </w:rPr>
        <w:t>5.5</w:t>
      </w:r>
      <w:r>
        <w:rPr>
          <w:rFonts w:hint="eastAsia" w:ascii="宋体" w:hAnsi="宋体" w:eastAsia="宋体" w:cs="宋体"/>
          <w:sz w:val="24"/>
          <w:szCs w:val="24"/>
          <w:lang w:val="en-US" w:eastAsia="zh-CN"/>
        </w:rPr>
        <w:t>服务周期：5年；</w:t>
      </w:r>
    </w:p>
    <w:p w14:paraId="2B529543">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5.</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服务地点：</w:t>
      </w:r>
      <w:r>
        <w:rPr>
          <w:rFonts w:hint="eastAsia" w:ascii="宋体" w:hAnsi="宋体" w:cs="宋体"/>
          <w:sz w:val="24"/>
          <w:szCs w:val="24"/>
          <w:lang w:val="en-US" w:eastAsia="zh-CN"/>
        </w:rPr>
        <w:t>三门峡市陕州区；</w:t>
      </w:r>
    </w:p>
    <w:p w14:paraId="34D1888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6、</w:t>
      </w:r>
      <w:r>
        <w:rPr>
          <w:rFonts w:hint="eastAsia" w:ascii="宋体" w:hAnsi="宋体"/>
          <w:sz w:val="24"/>
        </w:rPr>
        <w:t>合同履行期限</w:t>
      </w:r>
      <w:r>
        <w:rPr>
          <w:rFonts w:hint="eastAsia" w:ascii="宋体" w:hAnsi="宋体" w:eastAsia="宋体" w:cs="宋体"/>
          <w:sz w:val="24"/>
          <w:szCs w:val="24"/>
          <w:lang w:val="en-US" w:eastAsia="zh-CN"/>
        </w:rPr>
        <w:t>：</w:t>
      </w:r>
      <w:r>
        <w:rPr>
          <w:rFonts w:hint="eastAsia" w:ascii="宋体" w:hAnsi="宋体" w:cs="宋体"/>
          <w:sz w:val="24"/>
          <w:szCs w:val="24"/>
          <w:lang w:val="en-US" w:eastAsia="zh-CN"/>
        </w:rPr>
        <w:t>按合同约定执行。</w:t>
      </w:r>
    </w:p>
    <w:p w14:paraId="7F9CF8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default" w:ascii="宋体" w:hAnsi="宋体"/>
          <w:kern w:val="2"/>
          <w:sz w:val="24"/>
          <w:szCs w:val="24"/>
          <w:lang w:val="en-US" w:eastAsia="zh-CN" w:bidi="ar-SA"/>
        </w:rPr>
        <w:t>7、</w:t>
      </w:r>
      <w:r>
        <w:rPr>
          <w:rFonts w:hint="eastAsia" w:ascii="宋体" w:hAnsi="宋体"/>
          <w:sz w:val="24"/>
        </w:rPr>
        <w:t>本项目是否接受联合体投标：否</w:t>
      </w:r>
    </w:p>
    <w:p w14:paraId="2973D630">
      <w:pPr>
        <w:spacing w:line="360" w:lineRule="auto"/>
        <w:ind w:firstLine="480" w:firstLineChars="200"/>
        <w:rPr>
          <w:rFonts w:hint="eastAsia" w:ascii="宋体" w:hAnsi="宋体"/>
          <w:sz w:val="24"/>
        </w:rPr>
      </w:pPr>
      <w:r>
        <w:rPr>
          <w:rFonts w:hint="eastAsia" w:ascii="宋体" w:hAnsi="宋体" w:eastAsia="宋体" w:cs="宋体"/>
          <w:sz w:val="24"/>
          <w:lang w:val="en-US" w:eastAsia="zh-CN"/>
        </w:rPr>
        <w:t>8</w:t>
      </w:r>
      <w:r>
        <w:rPr>
          <w:rFonts w:hint="eastAsia" w:ascii="宋体" w:hAnsi="宋体" w:eastAsia="宋体" w:cs="宋体"/>
          <w:sz w:val="24"/>
        </w:rPr>
        <w:t>、</w:t>
      </w:r>
      <w:r>
        <w:rPr>
          <w:rFonts w:hint="eastAsia" w:ascii="宋体" w:hAnsi="宋体"/>
          <w:sz w:val="24"/>
        </w:rPr>
        <w:t>是否接受进口产品：否</w:t>
      </w:r>
    </w:p>
    <w:p w14:paraId="4E9AEC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ascii="宋体" w:hAnsi="宋体"/>
          <w:sz w:val="24"/>
        </w:rPr>
        <w:t>9</w:t>
      </w:r>
      <w:r>
        <w:rPr>
          <w:rFonts w:hint="eastAsia" w:ascii="宋体" w:hAnsi="宋体"/>
          <w:sz w:val="24"/>
        </w:rPr>
        <w:t>、是否专门面向中小企业采购：否</w:t>
      </w:r>
    </w:p>
    <w:p w14:paraId="70BA98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二、供应商资格要求：</w:t>
      </w:r>
    </w:p>
    <w:p w14:paraId="482CEF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供应商符合《中华人民共和国政府采购法》第二十二条规定条件：</w:t>
      </w:r>
    </w:p>
    <w:p w14:paraId="656130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落实政府采购政策满足的资格要求：执行促进中小型企业发展政策（残疾人福利性企业、监狱企业视同小微企业）、优先采购节能环保产品等政府采购政策。</w:t>
      </w:r>
    </w:p>
    <w:p w14:paraId="63E572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eastAsia="宋体" w:cs="Times New Roman"/>
          <w:sz w:val="24"/>
          <w:szCs w:val="24"/>
          <w:highlight w:val="none"/>
        </w:rPr>
        <w:t>本项目的特定资格要求</w:t>
      </w:r>
    </w:p>
    <w:p w14:paraId="7A5E4A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3.1</w:t>
      </w:r>
      <w:r>
        <w:rPr>
          <w:rFonts w:hint="eastAsia" w:ascii="宋体" w:hAnsi="宋体" w:cs="宋体"/>
          <w:sz w:val="24"/>
          <w:szCs w:val="24"/>
          <w:lang w:eastAsia="zh-CN"/>
        </w:rPr>
        <w:t>供应商须具备有效的营业执照(分公司或分支机构参与本项目的，还须提供总公司针对本项目的授权书)，并在人员、设备、资金等方面具有相应的能力（</w:t>
      </w:r>
      <w:r>
        <w:rPr>
          <w:rFonts w:hint="eastAsia" w:ascii="宋体" w:hAnsi="宋体" w:cs="宋体"/>
          <w:sz w:val="24"/>
          <w:szCs w:val="24"/>
          <w:lang w:val="en-US" w:eastAsia="zh-CN"/>
        </w:rPr>
        <w:t>提供承诺书</w:t>
      </w:r>
      <w:r>
        <w:rPr>
          <w:rFonts w:hint="eastAsia" w:ascii="宋体" w:hAnsi="宋体" w:cs="宋体"/>
          <w:sz w:val="24"/>
          <w:szCs w:val="24"/>
          <w:lang w:eastAsia="zh-CN"/>
        </w:rPr>
        <w:t>）</w:t>
      </w:r>
      <w:r>
        <w:rPr>
          <w:rFonts w:hint="eastAsia" w:ascii="宋体" w:hAnsi="宋体" w:eastAsia="宋体" w:cs="宋体"/>
          <w:sz w:val="24"/>
          <w:szCs w:val="24"/>
        </w:rPr>
        <w:t>；</w:t>
      </w:r>
    </w:p>
    <w:p w14:paraId="522BD1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3.2</w:t>
      </w:r>
      <w:r>
        <w:rPr>
          <w:rFonts w:hint="eastAsia" w:ascii="宋体" w:hAnsi="宋体" w:eastAsia="宋体" w:cs="宋体"/>
          <w:sz w:val="24"/>
          <w:szCs w:val="24"/>
          <w:lang w:val="en-US" w:eastAsia="zh-CN"/>
        </w:rPr>
        <w:t>供应商</w:t>
      </w:r>
      <w:r>
        <w:rPr>
          <w:rFonts w:hint="eastAsia" w:ascii="宋体" w:hAnsi="宋体" w:eastAsia="宋体" w:cs="宋体"/>
          <w:sz w:val="24"/>
          <w:szCs w:val="24"/>
        </w:rPr>
        <w:t>出具无行贿犯罪记录在中国裁判文书网自行查询或自行承诺（查询对象：企业、法定代表人）；</w:t>
      </w:r>
    </w:p>
    <w:p w14:paraId="77FCA6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3.3</w:t>
      </w:r>
      <w:r>
        <w:rPr>
          <w:rFonts w:hint="eastAsia" w:ascii="宋体" w:hAnsi="宋体" w:eastAsia="宋体" w:cs="宋体"/>
          <w:sz w:val="24"/>
          <w:szCs w:val="24"/>
        </w:rPr>
        <w:t>供应商须提供本企业无商业贿赂和不正当竞争行为承诺书；</w:t>
      </w:r>
    </w:p>
    <w:p w14:paraId="253CB00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3.4</w:t>
      </w:r>
      <w:r>
        <w:rPr>
          <w:rFonts w:hint="eastAsia" w:ascii="宋体" w:hAnsi="宋体" w:eastAsia="宋体" w:cs="宋体"/>
          <w:sz w:val="24"/>
          <w:szCs w:val="24"/>
          <w:lang w:val="en-US" w:eastAsia="zh-CN"/>
        </w:rPr>
        <w:t>供应商</w:t>
      </w:r>
      <w:r>
        <w:rPr>
          <w:rFonts w:hint="eastAsia" w:ascii="宋体" w:hAnsi="宋体" w:eastAsia="宋体" w:cs="宋体"/>
          <w:sz w:val="24"/>
          <w:szCs w:val="24"/>
        </w:rPr>
        <w:t>没有被列入“中国执行信息公开网”的“失信被执行人”、“信用中国”的“重大税收违法失信主体”及“中国政府采购网站”的“政府采购严重违法失信行为记录名单”。【查询渠道：“中国执行信息公开网”（http://zxgk.court.gov.cn/）“信用中国”网站（www.creditchina.gov.cn）、“中国政府采购网”（www.ccgp.gov.cn）】(注：査询时间必须是本公告发布之后开标之前，查询结果清晰可见)；</w:t>
      </w:r>
    </w:p>
    <w:p w14:paraId="0E0F0E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3.5本项目不接</w:t>
      </w:r>
      <w:r>
        <w:rPr>
          <w:rFonts w:hint="eastAsia" w:ascii="宋体" w:hAnsi="宋体" w:eastAsia="宋体" w:cs="宋体"/>
          <w:sz w:val="24"/>
          <w:szCs w:val="24"/>
          <w:lang w:val="en-US" w:eastAsia="zh-CN"/>
        </w:rPr>
        <w:t>受联合体投标；</w:t>
      </w:r>
    </w:p>
    <w:p w14:paraId="060C4F5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lang w:val="en-US" w:eastAsia="zh-CN"/>
        </w:rPr>
      </w:pPr>
      <w:r>
        <w:rPr>
          <w:rFonts w:hint="eastAsia" w:ascii="宋体" w:hAnsi="宋体" w:eastAsia="宋体" w:cs="宋体"/>
          <w:sz w:val="24"/>
          <w:szCs w:val="24"/>
          <w:lang w:val="en-US" w:eastAsia="zh-CN"/>
        </w:rPr>
        <w:t>3.</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本项目实行资格后审，资</w:t>
      </w:r>
      <w:r>
        <w:rPr>
          <w:rFonts w:hint="eastAsia" w:ascii="宋体" w:hAnsi="宋体" w:cs="宋体"/>
          <w:sz w:val="24"/>
          <w:szCs w:val="24"/>
          <w:lang w:val="en-US" w:eastAsia="zh-CN"/>
        </w:rPr>
        <w:t>格审查的具体要求见竞争性磋商文件；</w:t>
      </w:r>
    </w:p>
    <w:p w14:paraId="6D7AC9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w:t>
      </w:r>
      <w:r>
        <w:rPr>
          <w:rFonts w:hint="eastAsia" w:ascii="宋体" w:hAnsi="宋体" w:eastAsia="宋体" w:cs="宋体"/>
          <w:sz w:val="24"/>
          <w:szCs w:val="24"/>
          <w:lang w:val="en-US" w:eastAsia="zh-CN"/>
        </w:rPr>
        <w:t>获取采购文件</w:t>
      </w:r>
      <w:r>
        <w:rPr>
          <w:rFonts w:hint="eastAsia" w:ascii="宋体" w:hAnsi="宋体" w:eastAsia="宋体" w:cs="宋体"/>
          <w:sz w:val="24"/>
          <w:szCs w:val="24"/>
        </w:rPr>
        <w:t>：</w:t>
      </w:r>
    </w:p>
    <w:p w14:paraId="7B026F0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21</w:t>
      </w:r>
      <w:r>
        <w:rPr>
          <w:rFonts w:hint="eastAsia" w:ascii="宋体" w:hAnsi="宋体" w:eastAsia="宋体" w:cs="宋体"/>
          <w:color w:val="auto"/>
          <w:sz w:val="24"/>
          <w:szCs w:val="24"/>
        </w:rPr>
        <w:t>日至202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02</w:t>
      </w:r>
      <w:r>
        <w:rPr>
          <w:rFonts w:hint="eastAsia" w:ascii="宋体" w:hAnsi="宋体" w:eastAsia="宋体" w:cs="宋体"/>
          <w:color w:val="auto"/>
          <w:sz w:val="24"/>
          <w:szCs w:val="24"/>
        </w:rPr>
        <w:t>日，每天上午00:00至12:00，下午12:00至23:59（北京时间，法定节假日除外。）</w:t>
      </w:r>
    </w:p>
    <w:p w14:paraId="7BB8862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2、地点：三门峡市公共资源交易中心网（网址：http://gzjy.smx.gov.cn）</w:t>
      </w:r>
    </w:p>
    <w:p w14:paraId="1BDAFF1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3、方式：本项目没有报名环节，供应商凭CA数字证书通过三门峡市公共资源交易中心网（网址：http://gzjy.smx.gov.cn/），点击公共资源交易平台选择“交易主体登录”，在所参与项目右侧点击参与投标，即可直接下载本项目磋商文件。</w:t>
      </w:r>
    </w:p>
    <w:p w14:paraId="2F9DDBA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具体操作请查看以下链接：http://gzjy.smx.gov.cn/bzzx/008001/20200325/1d4d9bd4-82a2-4284-b2f7-428c4c69ef58.html</w:t>
      </w:r>
    </w:p>
    <w:p w14:paraId="342DE37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CA证书操作手册：http://gzjy.smx.gov.cn/fwzn/004003/20210114/62052444-fa5b-47bb-8c75-c669600e56a8.html</w:t>
      </w:r>
    </w:p>
    <w:p w14:paraId="5C0848A5">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售价：0元</w:t>
      </w:r>
      <w:r>
        <w:rPr>
          <w:rFonts w:hint="eastAsia" w:ascii="宋体" w:hAnsi="宋体" w:eastAsia="宋体" w:cs="宋体"/>
          <w:sz w:val="24"/>
          <w:szCs w:val="24"/>
        </w:rPr>
        <w:t>。</w:t>
      </w:r>
    </w:p>
    <w:p w14:paraId="4485D0B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四</w:t>
      </w:r>
      <w:r>
        <w:rPr>
          <w:rFonts w:hint="eastAsia" w:ascii="宋体" w:hAnsi="宋体" w:eastAsia="宋体" w:cs="宋体"/>
          <w:sz w:val="24"/>
          <w:szCs w:val="24"/>
        </w:rPr>
        <w:t>、响应文件</w:t>
      </w:r>
      <w:r>
        <w:rPr>
          <w:rFonts w:hint="eastAsia" w:ascii="宋体" w:hAnsi="宋体" w:eastAsia="宋体" w:cs="宋体"/>
          <w:sz w:val="24"/>
          <w:szCs w:val="24"/>
          <w:lang w:val="en-US" w:eastAsia="zh-CN"/>
        </w:rPr>
        <w:t>提交</w:t>
      </w:r>
      <w:r>
        <w:rPr>
          <w:rFonts w:hint="eastAsia" w:ascii="宋体" w:hAnsi="宋体" w:eastAsia="宋体" w:cs="宋体"/>
          <w:sz w:val="24"/>
          <w:szCs w:val="24"/>
        </w:rPr>
        <w:t>：</w:t>
      </w:r>
    </w:p>
    <w:p w14:paraId="2B0E733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截止</w:t>
      </w:r>
      <w:r>
        <w:rPr>
          <w:rFonts w:hint="eastAsia" w:ascii="宋体" w:hAnsi="宋体" w:eastAsia="宋体" w:cs="宋体"/>
          <w:color w:val="auto"/>
          <w:sz w:val="24"/>
          <w:szCs w:val="24"/>
        </w:rPr>
        <w:t>时间：202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11月03日08</w:t>
      </w:r>
      <w:r>
        <w:rPr>
          <w:rFonts w:hint="eastAsia" w:ascii="宋体" w:hAnsi="宋体" w:eastAsia="宋体" w:cs="宋体"/>
          <w:color w:val="auto"/>
          <w:sz w:val="24"/>
          <w:szCs w:val="24"/>
        </w:rPr>
        <w:t>时</w:t>
      </w: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分（北京时间）</w:t>
      </w:r>
    </w:p>
    <w:p w14:paraId="0489D13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2、地点：在三门峡市公共资源交易中心网中上传加密响应文件。</w:t>
      </w:r>
    </w:p>
    <w:p w14:paraId="0800052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五、响应文件开启</w:t>
      </w:r>
    </w:p>
    <w:p w14:paraId="35CFD95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1、时间：</w:t>
      </w:r>
      <w:r>
        <w:rPr>
          <w:rFonts w:hint="eastAsia" w:ascii="宋体" w:hAnsi="宋体" w:eastAsia="宋体" w:cs="宋体"/>
          <w:color w:val="auto"/>
          <w:sz w:val="24"/>
          <w:szCs w:val="24"/>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11月03日08</w:t>
      </w:r>
      <w:r>
        <w:rPr>
          <w:rFonts w:hint="eastAsia" w:ascii="宋体" w:hAnsi="宋体" w:eastAsia="宋体" w:cs="宋体"/>
          <w:color w:val="auto"/>
          <w:sz w:val="24"/>
          <w:szCs w:val="24"/>
        </w:rPr>
        <w:t>时</w:t>
      </w: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分（北京时间）</w:t>
      </w:r>
    </w:p>
    <w:p w14:paraId="38C8E05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2、地点：</w:t>
      </w:r>
      <w:r>
        <w:rPr>
          <w:rFonts w:hint="eastAsia" w:ascii="宋体" w:hAnsi="宋体" w:eastAsia="宋体" w:cs="宋体"/>
          <w:sz w:val="24"/>
          <w:szCs w:val="24"/>
        </w:rPr>
        <w:t>三门峡市陕州区公共资源交易中心开标区</w:t>
      </w:r>
    </w:p>
    <w:p w14:paraId="23B66A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六、</w:t>
      </w:r>
      <w:r>
        <w:rPr>
          <w:rFonts w:hint="eastAsia" w:ascii="宋体" w:hAnsi="宋体" w:eastAsia="宋体" w:cs="宋体"/>
          <w:sz w:val="24"/>
          <w:szCs w:val="24"/>
        </w:rPr>
        <w:t>发布公告的媒介</w:t>
      </w:r>
      <w:r>
        <w:rPr>
          <w:rFonts w:hint="eastAsia" w:ascii="宋体" w:hAnsi="宋体" w:eastAsia="宋体" w:cs="宋体"/>
          <w:sz w:val="24"/>
          <w:szCs w:val="24"/>
          <w:lang w:val="en-US" w:eastAsia="zh-CN"/>
        </w:rPr>
        <w:t>及公告期限</w:t>
      </w:r>
    </w:p>
    <w:p w14:paraId="64AFCE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本次磋商公告在《河南省政府采购网》、《三门峡市公共资源交易中心网》、《</w:t>
      </w:r>
      <w:r>
        <w:rPr>
          <w:rFonts w:hint="eastAsia" w:ascii="宋体" w:hAnsi="宋体" w:cs="宋体"/>
          <w:sz w:val="24"/>
          <w:szCs w:val="24"/>
          <w:lang w:val="en-US" w:eastAsia="zh-CN"/>
        </w:rPr>
        <w:t>中国采购与招标网</w:t>
      </w:r>
      <w:r>
        <w:rPr>
          <w:rFonts w:hint="eastAsia" w:ascii="宋体" w:hAnsi="宋体" w:eastAsia="宋体" w:cs="宋体"/>
          <w:sz w:val="24"/>
          <w:szCs w:val="24"/>
        </w:rPr>
        <w:t>》同时发布。</w:t>
      </w:r>
    </w:p>
    <w:p w14:paraId="62061CD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七、</w:t>
      </w:r>
      <w:r>
        <w:rPr>
          <w:rFonts w:hint="eastAsia" w:ascii="宋体" w:hAnsi="宋体" w:eastAsia="宋体" w:cs="宋体"/>
          <w:sz w:val="24"/>
          <w:szCs w:val="24"/>
        </w:rPr>
        <w:t>其他补充事宜</w:t>
      </w:r>
    </w:p>
    <w:p w14:paraId="440E5C5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本项目为不见面开标项目，开标当日，供应商无需到开标现场参加开标会议，供应商应当在磋商截止时间前，登录不见面开标大厅选择登录三门峡市公共资源电子招投标系统进行登录（网址为http://120.194.249.36:10094/BidOpening/bidopeninghallaction/hall/login）,在线准时参加开标活动并进行</w:t>
      </w:r>
      <w:r>
        <w:rPr>
          <w:rFonts w:hint="eastAsia" w:ascii="宋体" w:hAnsi="宋体" w:cs="宋体"/>
          <w:sz w:val="24"/>
          <w:szCs w:val="24"/>
          <w:lang w:val="en-US" w:eastAsia="zh-CN"/>
        </w:rPr>
        <w:t>响应</w:t>
      </w:r>
      <w:r>
        <w:rPr>
          <w:rFonts w:hint="eastAsia" w:ascii="宋体" w:hAnsi="宋体" w:eastAsia="宋体" w:cs="宋体"/>
          <w:sz w:val="24"/>
          <w:szCs w:val="24"/>
          <w:lang w:val="en-US" w:eastAsia="zh-CN"/>
        </w:rPr>
        <w:t>文件解密等。每位供应商的解密时间为开标时间起30分钟内完成，未按时解密的其投标将被否决。因供应商原因未能解密、解密失败或解密超时的将被拒绝。</w:t>
      </w:r>
    </w:p>
    <w:p w14:paraId="0E29591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2</w:t>
      </w:r>
      <w:r>
        <w:rPr>
          <w:rFonts w:hint="eastAsia" w:ascii="宋体" w:hAnsi="宋体" w:eastAsia="宋体" w:cs="宋体"/>
          <w:sz w:val="24"/>
          <w:szCs w:val="24"/>
        </w:rPr>
        <w:t>、资格评（预）审部分：资格评（预）</w:t>
      </w:r>
      <w:r>
        <w:rPr>
          <w:rFonts w:hint="eastAsia" w:ascii="宋体" w:hAnsi="宋体" w:eastAsia="宋体" w:cs="宋体"/>
          <w:sz w:val="24"/>
          <w:szCs w:val="24"/>
          <w:lang w:val="en-US" w:eastAsia="zh-CN"/>
        </w:rPr>
        <w:t>审</w:t>
      </w:r>
      <w:r>
        <w:rPr>
          <w:rFonts w:hint="eastAsia" w:ascii="宋体" w:hAnsi="宋体" w:eastAsia="宋体" w:cs="宋体"/>
          <w:sz w:val="24"/>
          <w:szCs w:val="24"/>
        </w:rPr>
        <w:t>以</w:t>
      </w:r>
      <w:r>
        <w:rPr>
          <w:rFonts w:hint="eastAsia" w:ascii="宋体" w:hAnsi="宋体" w:eastAsia="宋体" w:cs="宋体"/>
          <w:sz w:val="24"/>
          <w:szCs w:val="24"/>
          <w:lang w:val="en-US" w:eastAsia="zh-CN"/>
        </w:rPr>
        <w:t>响应</w:t>
      </w:r>
      <w:r>
        <w:rPr>
          <w:rFonts w:hint="eastAsia" w:ascii="宋体" w:hAnsi="宋体" w:eastAsia="宋体" w:cs="宋体"/>
          <w:sz w:val="24"/>
          <w:szCs w:val="24"/>
        </w:rPr>
        <w:t>文件为准，其上传资料真实性由</w:t>
      </w:r>
      <w:r>
        <w:rPr>
          <w:rFonts w:hint="eastAsia" w:ascii="宋体" w:hAnsi="宋体" w:eastAsia="宋体" w:cs="宋体"/>
          <w:sz w:val="24"/>
          <w:szCs w:val="24"/>
          <w:lang w:val="en-US" w:eastAsia="zh-CN"/>
        </w:rPr>
        <w:t>响应</w:t>
      </w:r>
      <w:r>
        <w:rPr>
          <w:rFonts w:hint="eastAsia" w:ascii="宋体" w:hAnsi="宋体" w:eastAsia="宋体" w:cs="宋体"/>
          <w:sz w:val="24"/>
          <w:szCs w:val="24"/>
        </w:rPr>
        <w:t>人自行承担。</w:t>
      </w:r>
    </w:p>
    <w:p w14:paraId="1E3EC60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3</w:t>
      </w:r>
      <w:r>
        <w:rPr>
          <w:rFonts w:hint="eastAsia" w:ascii="宋体" w:hAnsi="宋体" w:eastAsia="宋体" w:cs="宋体"/>
          <w:sz w:val="24"/>
          <w:szCs w:val="24"/>
          <w:lang w:val="en-US" w:eastAsia="zh-CN"/>
        </w:rPr>
        <w:t>、</w:t>
      </w:r>
      <w:r>
        <w:rPr>
          <w:rFonts w:hint="eastAsia" w:ascii="宋体" w:hAnsi="宋体" w:eastAsia="宋体" w:cs="宋体"/>
          <w:sz w:val="24"/>
          <w:szCs w:val="24"/>
        </w:rPr>
        <w:t>评标打分部分：评标打分部分按照100分制原则进行，涉及到资格审查、企业荣誉、人员业绩、企业业绩等计分部分时，以响应单位自行上传到响应文件中的各类相应内容为准。</w:t>
      </w:r>
    </w:p>
    <w:p w14:paraId="4F8E138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4</w:t>
      </w:r>
      <w:r>
        <w:rPr>
          <w:rFonts w:hint="eastAsia" w:ascii="宋体" w:hAnsi="宋体" w:eastAsia="宋体" w:cs="宋体"/>
          <w:sz w:val="24"/>
          <w:szCs w:val="24"/>
          <w:lang w:val="en-US" w:eastAsia="zh-CN"/>
        </w:rPr>
        <w:t>、</w:t>
      </w:r>
      <w:r>
        <w:rPr>
          <w:rFonts w:hint="eastAsia" w:ascii="宋体" w:hAnsi="宋体" w:eastAsia="宋体" w:cs="宋体"/>
          <w:sz w:val="24"/>
          <w:szCs w:val="24"/>
        </w:rPr>
        <w:t>响应文件编制部分：在</w:t>
      </w:r>
      <w:r>
        <w:rPr>
          <w:rFonts w:hint="eastAsia" w:ascii="宋体" w:hAnsi="宋体" w:cs="宋体"/>
          <w:sz w:val="24"/>
          <w:szCs w:val="24"/>
          <w:lang w:val="en-US" w:eastAsia="zh-CN"/>
        </w:rPr>
        <w:t>竞争性磋商</w:t>
      </w:r>
      <w:r>
        <w:rPr>
          <w:rFonts w:hint="eastAsia" w:ascii="宋体" w:hAnsi="宋体" w:eastAsia="宋体" w:cs="宋体"/>
          <w:sz w:val="24"/>
          <w:szCs w:val="24"/>
        </w:rPr>
        <w:t>文件中要求</w:t>
      </w:r>
      <w:r>
        <w:rPr>
          <w:rFonts w:hint="eastAsia" w:ascii="宋体" w:hAnsi="宋体" w:cs="宋体"/>
          <w:sz w:val="24"/>
          <w:szCs w:val="24"/>
          <w:lang w:val="en-US" w:eastAsia="zh-CN"/>
        </w:rPr>
        <w:t>供应商</w:t>
      </w:r>
      <w:r>
        <w:rPr>
          <w:rFonts w:hint="eastAsia" w:ascii="宋体" w:hAnsi="宋体" w:eastAsia="宋体" w:cs="宋体"/>
          <w:sz w:val="24"/>
          <w:szCs w:val="24"/>
        </w:rPr>
        <w:t>按照响应文件格式进行响应文件编制，在响应文件编制时，应明确将响应单位企业基本情况、</w:t>
      </w:r>
      <w:r>
        <w:rPr>
          <w:rFonts w:hint="eastAsia" w:ascii="宋体" w:hAnsi="宋体" w:eastAsia="宋体" w:cs="宋体"/>
          <w:sz w:val="24"/>
          <w:szCs w:val="24"/>
          <w:highlight w:val="none"/>
        </w:rPr>
        <w:t>资质情况</w:t>
      </w:r>
      <w:r>
        <w:rPr>
          <w:rFonts w:hint="eastAsia" w:ascii="宋体" w:hAnsi="宋体" w:eastAsia="宋体" w:cs="宋体"/>
          <w:sz w:val="24"/>
          <w:szCs w:val="24"/>
        </w:rPr>
        <w:t>、人员情况、财务情况、业绩情况编入响应文件，便于进行资格审查及评标打分。</w:t>
      </w:r>
    </w:p>
    <w:p w14:paraId="73A8D2F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5</w:t>
      </w:r>
      <w:r>
        <w:rPr>
          <w:rFonts w:hint="eastAsia" w:ascii="宋体" w:hAnsi="宋体" w:eastAsia="宋体" w:cs="宋体"/>
          <w:sz w:val="24"/>
          <w:szCs w:val="24"/>
          <w:lang w:val="en-US" w:eastAsia="zh-CN"/>
        </w:rPr>
        <w:t>、</w:t>
      </w:r>
      <w:r>
        <w:rPr>
          <w:rFonts w:hint="eastAsia" w:ascii="宋体" w:hAnsi="宋体" w:eastAsia="宋体" w:cs="宋体"/>
          <w:sz w:val="24"/>
          <w:szCs w:val="24"/>
        </w:rPr>
        <w:t>我单位（采购人）严格按三财购【2021】9号文要求的时限发布</w:t>
      </w:r>
      <w:r>
        <w:rPr>
          <w:rFonts w:hint="eastAsia" w:ascii="宋体" w:hAnsi="宋体" w:eastAsia="宋体" w:cs="宋体"/>
          <w:sz w:val="24"/>
          <w:szCs w:val="24"/>
          <w:lang w:val="en-US" w:eastAsia="zh-CN"/>
        </w:rPr>
        <w:t>成交</w:t>
      </w:r>
      <w:r>
        <w:rPr>
          <w:rFonts w:hint="eastAsia" w:ascii="宋体" w:hAnsi="宋体" w:eastAsia="宋体" w:cs="宋体"/>
          <w:sz w:val="24"/>
          <w:szCs w:val="24"/>
        </w:rPr>
        <w:t>结果公告，发出</w:t>
      </w:r>
      <w:r>
        <w:rPr>
          <w:rFonts w:hint="eastAsia" w:ascii="宋体" w:hAnsi="宋体" w:eastAsia="宋体" w:cs="宋体"/>
          <w:sz w:val="24"/>
          <w:szCs w:val="24"/>
          <w:lang w:val="en-US" w:eastAsia="zh-CN"/>
        </w:rPr>
        <w:t>成交</w:t>
      </w:r>
      <w:r>
        <w:rPr>
          <w:rFonts w:hint="eastAsia" w:ascii="宋体" w:hAnsi="宋体" w:eastAsia="宋体" w:cs="宋体"/>
          <w:sz w:val="24"/>
          <w:szCs w:val="24"/>
        </w:rPr>
        <w:t>通知书，签订采购合同，上传采购合同。</w:t>
      </w:r>
    </w:p>
    <w:p w14:paraId="29D5CD6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w:t>
      </w:r>
      <w:r>
        <w:rPr>
          <w:rFonts w:hint="eastAsia" w:ascii="宋体" w:hAnsi="宋体" w:eastAsia="宋体" w:cs="宋体"/>
          <w:sz w:val="24"/>
          <w:szCs w:val="24"/>
        </w:rPr>
        <w:t>根据《河南省财政厅关于优化政府采购营商环境有关问题的通知》（豫财购【2019】4号）第6条的规定，</w:t>
      </w:r>
      <w:r>
        <w:rPr>
          <w:rFonts w:hint="eastAsia" w:ascii="宋体" w:hAnsi="宋体" w:eastAsia="宋体" w:cs="宋体"/>
          <w:sz w:val="24"/>
          <w:szCs w:val="24"/>
          <w:lang w:val="en-US" w:eastAsia="zh-CN"/>
        </w:rPr>
        <w:t>磋商</w:t>
      </w:r>
      <w:r>
        <w:rPr>
          <w:rFonts w:hint="eastAsia" w:ascii="宋体" w:hAnsi="宋体" w:eastAsia="宋体" w:cs="宋体"/>
          <w:sz w:val="24"/>
          <w:szCs w:val="24"/>
        </w:rPr>
        <w:t>保证金不再收取。</w:t>
      </w:r>
    </w:p>
    <w:p w14:paraId="066EA68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7、监督部门：三门峡市陕州区财政局政府采购监督管理科</w:t>
      </w:r>
    </w:p>
    <w:p w14:paraId="3999199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cs="宋体"/>
          <w:sz w:val="24"/>
          <w:szCs w:val="24"/>
          <w:lang w:val="en-US" w:eastAsia="zh-CN"/>
        </w:rPr>
      </w:pPr>
      <w:r>
        <w:rPr>
          <w:rFonts w:hint="eastAsia" w:ascii="宋体" w:hAnsi="宋体" w:cs="宋体"/>
          <w:sz w:val="24"/>
          <w:szCs w:val="24"/>
          <w:lang w:val="en-US" w:eastAsia="zh-CN"/>
        </w:rPr>
        <w:t>联系方式：0398-3839210</w:t>
      </w:r>
    </w:p>
    <w:p w14:paraId="3D0DBA2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八</w:t>
      </w:r>
      <w:r>
        <w:rPr>
          <w:rFonts w:hint="eastAsia" w:ascii="宋体" w:hAnsi="宋体" w:eastAsia="宋体" w:cs="宋体"/>
          <w:sz w:val="24"/>
          <w:szCs w:val="24"/>
        </w:rPr>
        <w:t>、凡对本次招标提出询问，请按照以下方式联系</w:t>
      </w:r>
    </w:p>
    <w:p w14:paraId="04E913C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eastAsia="zh-CN"/>
        </w:rPr>
        <w:t>1.采购人</w:t>
      </w:r>
      <w:r>
        <w:rPr>
          <w:rFonts w:hint="eastAsia" w:ascii="宋体" w:hAnsi="宋体" w:cs="宋体"/>
          <w:sz w:val="24"/>
          <w:szCs w:val="24"/>
          <w:lang w:val="en-US" w:eastAsia="zh-CN"/>
        </w:rPr>
        <w:t>信息</w:t>
      </w:r>
    </w:p>
    <w:p w14:paraId="1ED813C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名称</w:t>
      </w:r>
      <w:r>
        <w:rPr>
          <w:rFonts w:hint="eastAsia" w:ascii="宋体" w:hAnsi="宋体" w:eastAsia="宋体" w:cs="宋体"/>
          <w:sz w:val="24"/>
          <w:szCs w:val="24"/>
          <w:lang w:eastAsia="zh-CN"/>
        </w:rPr>
        <w:t>：</w:t>
      </w:r>
      <w:r>
        <w:rPr>
          <w:rFonts w:hint="eastAsia" w:ascii="宋体" w:hAnsi="宋体" w:cs="宋体"/>
          <w:sz w:val="24"/>
          <w:szCs w:val="24"/>
          <w:lang w:eastAsia="zh-CN"/>
        </w:rPr>
        <w:t>三门峡市陕州区应急管理局</w:t>
      </w:r>
    </w:p>
    <w:p w14:paraId="0141A00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地址：三门峡市陕州区陕州大道中段</w:t>
      </w:r>
    </w:p>
    <w:p w14:paraId="1E1A09B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联系人：</w:t>
      </w:r>
      <w:r>
        <w:rPr>
          <w:rFonts w:hint="eastAsia" w:ascii="宋体" w:hAnsi="宋体" w:cs="宋体"/>
          <w:sz w:val="24"/>
          <w:szCs w:val="24"/>
          <w:lang w:eastAsia="zh-CN"/>
        </w:rPr>
        <w:t>阴先生</w:t>
      </w:r>
    </w:p>
    <w:p w14:paraId="0CAA85E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w:t>
      </w:r>
      <w:r>
        <w:rPr>
          <w:rFonts w:hint="eastAsia" w:ascii="宋体" w:hAnsi="宋体" w:cs="宋体"/>
          <w:sz w:val="24"/>
          <w:szCs w:val="24"/>
          <w:lang w:eastAsia="zh-CN"/>
        </w:rPr>
        <w:t>15736883195</w:t>
      </w:r>
    </w:p>
    <w:p w14:paraId="48E62F9C">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2.采购代理机构</w:t>
      </w:r>
      <w:r>
        <w:rPr>
          <w:rFonts w:hint="eastAsia" w:ascii="宋体" w:hAnsi="宋体" w:cs="宋体"/>
          <w:sz w:val="24"/>
          <w:szCs w:val="24"/>
          <w:lang w:val="en-US" w:eastAsia="zh-CN"/>
        </w:rPr>
        <w:t>信息</w:t>
      </w:r>
      <w:r>
        <w:rPr>
          <w:rFonts w:hint="eastAsia" w:ascii="宋体" w:hAnsi="宋体" w:eastAsia="宋体" w:cs="宋体"/>
          <w:sz w:val="24"/>
          <w:szCs w:val="24"/>
          <w:lang w:eastAsia="zh-CN"/>
        </w:rPr>
        <w:t>：</w:t>
      </w:r>
    </w:p>
    <w:p w14:paraId="684DC0D4">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名称：</w:t>
      </w:r>
      <w:r>
        <w:rPr>
          <w:rFonts w:hint="eastAsia" w:ascii="宋体" w:hAnsi="宋体" w:eastAsia="宋体" w:cs="宋体"/>
          <w:sz w:val="24"/>
          <w:szCs w:val="24"/>
          <w:lang w:eastAsia="zh-CN"/>
        </w:rPr>
        <w:t>东信工程项目管理有限公司</w:t>
      </w:r>
    </w:p>
    <w:p w14:paraId="07C19F2E">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地址：三门峡市湖滨区文博城文体中心二楼A203</w:t>
      </w:r>
    </w:p>
    <w:p w14:paraId="43725D1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联系人：</w:t>
      </w:r>
      <w:r>
        <w:rPr>
          <w:rFonts w:hint="eastAsia" w:ascii="宋体" w:hAnsi="宋体" w:eastAsia="宋体" w:cs="宋体"/>
          <w:sz w:val="24"/>
          <w:szCs w:val="24"/>
          <w:lang w:val="en-US" w:eastAsia="zh-CN"/>
        </w:rPr>
        <w:t>马</w:t>
      </w:r>
      <w:r>
        <w:rPr>
          <w:rFonts w:hint="eastAsia" w:ascii="宋体" w:hAnsi="宋体" w:eastAsia="宋体" w:cs="宋体"/>
          <w:sz w:val="24"/>
          <w:szCs w:val="24"/>
          <w:lang w:eastAsia="zh-CN"/>
        </w:rPr>
        <w:t>先生</w:t>
      </w:r>
    </w:p>
    <w:p w14:paraId="1AC91B01">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联系方式：15139820632</w:t>
      </w:r>
    </w:p>
    <w:p w14:paraId="005DEBCA">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3.项目联系方式</w:t>
      </w:r>
    </w:p>
    <w:p w14:paraId="70B2577B">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cs="宋体"/>
          <w:sz w:val="24"/>
          <w:szCs w:val="24"/>
          <w:lang w:val="en-US" w:eastAsia="zh-CN"/>
        </w:rPr>
        <w:t>项目</w:t>
      </w:r>
      <w:r>
        <w:rPr>
          <w:rFonts w:hint="eastAsia" w:ascii="宋体" w:hAnsi="宋体" w:eastAsia="宋体" w:cs="宋体"/>
          <w:sz w:val="24"/>
          <w:szCs w:val="24"/>
          <w:lang w:eastAsia="zh-CN"/>
        </w:rPr>
        <w:t>联系人：</w:t>
      </w:r>
      <w:r>
        <w:rPr>
          <w:rFonts w:hint="eastAsia" w:ascii="宋体" w:hAnsi="宋体" w:cs="宋体"/>
          <w:sz w:val="24"/>
          <w:szCs w:val="24"/>
          <w:lang w:eastAsia="zh-CN"/>
        </w:rPr>
        <w:t>阴先生</w:t>
      </w:r>
    </w:p>
    <w:p w14:paraId="7073C9C6">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联系方式：</w:t>
      </w:r>
      <w:r>
        <w:rPr>
          <w:rFonts w:hint="eastAsia" w:ascii="宋体" w:hAnsi="宋体" w:cs="宋体"/>
          <w:sz w:val="24"/>
          <w:szCs w:val="24"/>
          <w:lang w:eastAsia="zh-CN"/>
        </w:rPr>
        <w:t>15736883195</w:t>
      </w:r>
    </w:p>
    <w:p w14:paraId="4D687B67">
      <w:pPr>
        <w:widowControl/>
        <w:spacing w:line="360" w:lineRule="auto"/>
        <w:jc w:val="center"/>
        <w:rPr>
          <w:rFonts w:hint="eastAsia" w:ascii="宋体" w:hAnsi="宋体" w:cs="宋体"/>
          <w:b/>
          <w:kern w:val="0"/>
          <w:sz w:val="32"/>
          <w:szCs w:val="32"/>
          <w:shd w:val="clear" w:color="auto" w:fill="FFFFFF"/>
          <w:lang w:bidi="ar"/>
        </w:rPr>
      </w:pPr>
    </w:p>
    <w:p w14:paraId="5D95B0C8">
      <w:pPr>
        <w:rPr>
          <w:rFonts w:hint="eastAsia" w:ascii="宋体" w:hAnsi="宋体" w:cs="宋体"/>
          <w:b/>
          <w:kern w:val="0"/>
          <w:sz w:val="32"/>
          <w:szCs w:val="32"/>
          <w:shd w:val="clear" w:color="auto" w:fill="FFFFFF"/>
          <w:lang w:bidi="ar"/>
        </w:rPr>
      </w:pPr>
      <w:r>
        <w:rPr>
          <w:rFonts w:hint="eastAsia" w:ascii="宋体" w:hAnsi="宋体" w:cs="宋体"/>
          <w:b/>
          <w:kern w:val="0"/>
          <w:sz w:val="32"/>
          <w:szCs w:val="32"/>
          <w:shd w:val="clear" w:color="auto" w:fill="FFFFFF"/>
          <w:lang w:bidi="ar"/>
        </w:rPr>
        <w:br w:type="page"/>
      </w:r>
    </w:p>
    <w:p w14:paraId="1D3D451F">
      <w:pPr>
        <w:widowControl/>
        <w:spacing w:line="360" w:lineRule="auto"/>
        <w:jc w:val="center"/>
        <w:rPr>
          <w:rFonts w:hint="eastAsia" w:ascii="宋体" w:hAnsi="宋体" w:cs="宋体"/>
          <w:b/>
          <w:kern w:val="0"/>
          <w:sz w:val="32"/>
          <w:szCs w:val="32"/>
          <w:shd w:val="clear" w:color="auto" w:fill="FFFFFF"/>
          <w:lang w:bidi="ar"/>
        </w:rPr>
      </w:pPr>
      <w:r>
        <w:rPr>
          <w:rFonts w:hint="eastAsia" w:ascii="宋体" w:hAnsi="宋体" w:cs="宋体"/>
          <w:b/>
          <w:kern w:val="0"/>
          <w:sz w:val="32"/>
          <w:szCs w:val="32"/>
          <w:shd w:val="clear" w:color="auto" w:fill="FFFFFF"/>
          <w:lang w:bidi="ar"/>
        </w:rPr>
        <w:t>第二章  供应商须知</w:t>
      </w:r>
    </w:p>
    <w:p w14:paraId="5F156629">
      <w:pPr>
        <w:jc w:val="center"/>
        <w:rPr>
          <w:rFonts w:ascii="黑体" w:eastAsia="黑体"/>
          <w:color w:val="000000"/>
          <w:sz w:val="24"/>
        </w:rPr>
      </w:pPr>
      <w:bookmarkStart w:id="0" w:name="_Toc11486"/>
      <w:r>
        <w:rPr>
          <w:rFonts w:hint="eastAsia" w:ascii="黑体" w:eastAsia="黑体"/>
          <w:color w:val="000000"/>
          <w:sz w:val="24"/>
        </w:rPr>
        <w:t>供应商须知前附表</w:t>
      </w:r>
      <w:bookmarkEnd w:id="0"/>
    </w:p>
    <w:tbl>
      <w:tblPr>
        <w:tblStyle w:val="11"/>
        <w:tblW w:w="9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0"/>
        <w:gridCol w:w="2109"/>
        <w:gridCol w:w="6643"/>
      </w:tblGrid>
      <w:tr w14:paraId="60E8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90" w:type="dxa"/>
            <w:noWrap w:val="0"/>
            <w:vAlign w:val="center"/>
          </w:tcPr>
          <w:p w14:paraId="159CC326">
            <w:pPr>
              <w:spacing w:line="360" w:lineRule="auto"/>
              <w:jc w:val="center"/>
              <w:rPr>
                <w:rFonts w:ascii="宋体" w:hAnsi="宋体" w:cs="宋体"/>
                <w:color w:val="000000"/>
                <w:szCs w:val="21"/>
              </w:rPr>
            </w:pPr>
            <w:r>
              <w:rPr>
                <w:rFonts w:hint="eastAsia" w:ascii="宋体" w:hAnsi="宋体" w:cs="宋体"/>
                <w:color w:val="000000"/>
                <w:szCs w:val="21"/>
              </w:rPr>
              <w:t>条款号</w:t>
            </w:r>
          </w:p>
        </w:tc>
        <w:tc>
          <w:tcPr>
            <w:tcW w:w="2109" w:type="dxa"/>
            <w:noWrap w:val="0"/>
            <w:vAlign w:val="center"/>
          </w:tcPr>
          <w:p w14:paraId="192F10D2">
            <w:pPr>
              <w:spacing w:line="360" w:lineRule="auto"/>
              <w:jc w:val="center"/>
              <w:rPr>
                <w:rFonts w:ascii="宋体" w:hAnsi="宋体" w:cs="宋体"/>
                <w:color w:val="000000"/>
                <w:szCs w:val="21"/>
              </w:rPr>
            </w:pPr>
            <w:r>
              <w:rPr>
                <w:rFonts w:hint="eastAsia" w:ascii="宋体" w:hAnsi="宋体" w:cs="宋体"/>
                <w:color w:val="000000"/>
                <w:szCs w:val="21"/>
              </w:rPr>
              <w:t>条  款  名  称</w:t>
            </w:r>
          </w:p>
        </w:tc>
        <w:tc>
          <w:tcPr>
            <w:tcW w:w="6643" w:type="dxa"/>
            <w:noWrap w:val="0"/>
            <w:vAlign w:val="center"/>
          </w:tcPr>
          <w:p w14:paraId="73DACED6">
            <w:pPr>
              <w:spacing w:line="360" w:lineRule="auto"/>
              <w:jc w:val="center"/>
              <w:rPr>
                <w:rFonts w:ascii="宋体" w:hAnsi="宋体" w:cs="宋体"/>
                <w:color w:val="000000"/>
                <w:szCs w:val="21"/>
              </w:rPr>
            </w:pPr>
            <w:r>
              <w:rPr>
                <w:rFonts w:hint="eastAsia" w:ascii="宋体" w:hAnsi="宋体" w:cs="宋体"/>
                <w:color w:val="000000"/>
                <w:szCs w:val="21"/>
              </w:rPr>
              <w:t>编  列  内  容</w:t>
            </w:r>
          </w:p>
        </w:tc>
      </w:tr>
      <w:tr w14:paraId="6FD5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90" w:type="dxa"/>
            <w:noWrap w:val="0"/>
            <w:vAlign w:val="center"/>
          </w:tcPr>
          <w:p w14:paraId="0E1F303C">
            <w:pPr>
              <w:spacing w:line="360" w:lineRule="auto"/>
              <w:jc w:val="center"/>
              <w:rPr>
                <w:rFonts w:ascii="宋体" w:hAnsi="宋体" w:cs="宋体"/>
                <w:color w:val="000000"/>
                <w:szCs w:val="21"/>
              </w:rPr>
            </w:pPr>
            <w:r>
              <w:rPr>
                <w:rFonts w:hint="eastAsia" w:ascii="宋体" w:hAnsi="宋体" w:cs="宋体"/>
                <w:color w:val="000000"/>
                <w:szCs w:val="21"/>
              </w:rPr>
              <w:t>1.1</w:t>
            </w:r>
          </w:p>
        </w:tc>
        <w:tc>
          <w:tcPr>
            <w:tcW w:w="2109" w:type="dxa"/>
            <w:noWrap w:val="0"/>
            <w:vAlign w:val="center"/>
          </w:tcPr>
          <w:p w14:paraId="391CDCBC">
            <w:pPr>
              <w:spacing w:line="360" w:lineRule="auto"/>
              <w:jc w:val="center"/>
              <w:rPr>
                <w:rFonts w:hint="eastAsia" w:ascii="宋体" w:hAnsi="宋体" w:eastAsia="宋体" w:cs="宋体"/>
                <w:color w:val="000000"/>
                <w:szCs w:val="21"/>
                <w:lang w:eastAsia="zh-CN"/>
              </w:rPr>
            </w:pPr>
            <w:r>
              <w:rPr>
                <w:rFonts w:hint="eastAsia" w:ascii="宋体" w:hAnsi="宋体" w:eastAsia="宋体" w:cs="宋体"/>
                <w:color w:val="000000"/>
                <w:szCs w:val="21"/>
                <w:lang w:eastAsia="zh-CN"/>
              </w:rPr>
              <w:t>采购人</w:t>
            </w:r>
          </w:p>
        </w:tc>
        <w:tc>
          <w:tcPr>
            <w:tcW w:w="6643" w:type="dxa"/>
            <w:noWrap w:val="0"/>
            <w:vAlign w:val="center"/>
          </w:tcPr>
          <w:p w14:paraId="0F104F3F">
            <w:pPr>
              <w:spacing w:line="360" w:lineRule="auto"/>
              <w:rPr>
                <w:rFonts w:hint="eastAsia" w:ascii="宋体" w:hAnsi="宋体" w:eastAsia="宋体" w:cs="宋体"/>
                <w:color w:val="000000"/>
                <w:szCs w:val="21"/>
                <w:lang w:eastAsia="zh-CN"/>
              </w:rPr>
            </w:pPr>
            <w:r>
              <w:rPr>
                <w:rFonts w:hint="eastAsia" w:ascii="宋体" w:hAnsi="宋体" w:eastAsia="宋体" w:cs="宋体"/>
                <w:color w:val="000000"/>
                <w:szCs w:val="21"/>
                <w:lang w:eastAsia="zh-CN"/>
              </w:rPr>
              <w:t>名称：</w:t>
            </w:r>
            <w:r>
              <w:rPr>
                <w:rFonts w:hint="eastAsia" w:ascii="宋体" w:hAnsi="宋体" w:cs="宋体"/>
                <w:color w:val="000000"/>
                <w:szCs w:val="21"/>
                <w:lang w:eastAsia="zh-CN"/>
              </w:rPr>
              <w:t>三门峡市陕州区应急管理局</w:t>
            </w:r>
          </w:p>
          <w:p w14:paraId="34741B8A">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eastAsia="zh-CN"/>
              </w:rPr>
              <w:t>地址：三门峡市陕州区陕州大道中段</w:t>
            </w:r>
          </w:p>
          <w:p w14:paraId="03FB66F1">
            <w:pPr>
              <w:spacing w:line="360" w:lineRule="auto"/>
              <w:rPr>
                <w:rFonts w:hint="default" w:ascii="宋体" w:hAnsi="宋体" w:eastAsia="宋体" w:cs="宋体"/>
                <w:color w:val="000000"/>
                <w:szCs w:val="21"/>
                <w:lang w:val="en-US" w:eastAsia="zh-CN"/>
              </w:rPr>
            </w:pPr>
            <w:r>
              <w:rPr>
                <w:rFonts w:hint="eastAsia" w:ascii="宋体" w:hAnsi="宋体" w:eastAsia="宋体" w:cs="宋体"/>
                <w:color w:val="000000"/>
                <w:szCs w:val="21"/>
                <w:lang w:val="en-US" w:eastAsia="zh-CN"/>
              </w:rPr>
              <w:t>联系人（电话）：</w:t>
            </w:r>
            <w:r>
              <w:rPr>
                <w:rFonts w:hint="eastAsia" w:ascii="宋体" w:hAnsi="宋体" w:cs="宋体"/>
                <w:color w:val="000000"/>
                <w:szCs w:val="21"/>
                <w:lang w:val="en-US" w:eastAsia="zh-CN"/>
              </w:rPr>
              <w:t>阴先生</w:t>
            </w:r>
            <w:r>
              <w:rPr>
                <w:rFonts w:hint="eastAsia" w:ascii="宋体" w:hAnsi="宋体" w:eastAsia="宋体" w:cs="宋体"/>
                <w:color w:val="000000"/>
                <w:szCs w:val="21"/>
                <w:lang w:val="en-US" w:eastAsia="zh-CN"/>
              </w:rPr>
              <w:t xml:space="preserve">  </w:t>
            </w:r>
            <w:r>
              <w:rPr>
                <w:rFonts w:hint="eastAsia" w:ascii="宋体" w:hAnsi="宋体" w:cs="宋体"/>
                <w:color w:val="000000"/>
                <w:szCs w:val="21"/>
                <w:lang w:val="en-US" w:eastAsia="zh-CN"/>
              </w:rPr>
              <w:t>15736883195</w:t>
            </w:r>
          </w:p>
        </w:tc>
      </w:tr>
      <w:tr w14:paraId="697C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890" w:type="dxa"/>
            <w:noWrap w:val="0"/>
            <w:vAlign w:val="center"/>
          </w:tcPr>
          <w:p w14:paraId="301BD364">
            <w:pPr>
              <w:spacing w:line="360" w:lineRule="auto"/>
              <w:jc w:val="center"/>
              <w:rPr>
                <w:rFonts w:hint="eastAsia" w:ascii="宋体" w:hAnsi="宋体" w:eastAsia="宋体" w:cs="宋体"/>
                <w:color w:val="000000"/>
                <w:szCs w:val="21"/>
                <w:lang w:eastAsia="zh-CN"/>
              </w:rPr>
            </w:pPr>
            <w:r>
              <w:rPr>
                <w:rFonts w:hint="eastAsia" w:ascii="宋体" w:hAnsi="宋体" w:cs="宋体"/>
                <w:color w:val="000000"/>
                <w:szCs w:val="21"/>
              </w:rPr>
              <w:t>1.</w:t>
            </w:r>
            <w:r>
              <w:rPr>
                <w:rFonts w:hint="eastAsia" w:ascii="宋体" w:hAnsi="宋体" w:cs="宋体"/>
                <w:color w:val="000000"/>
                <w:szCs w:val="21"/>
                <w:lang w:val="en-US" w:eastAsia="zh-CN"/>
              </w:rPr>
              <w:t>2</w:t>
            </w:r>
          </w:p>
        </w:tc>
        <w:tc>
          <w:tcPr>
            <w:tcW w:w="2109" w:type="dxa"/>
            <w:noWrap w:val="0"/>
            <w:vAlign w:val="center"/>
          </w:tcPr>
          <w:p w14:paraId="64E63EE0">
            <w:pPr>
              <w:spacing w:line="360" w:lineRule="auto"/>
              <w:jc w:val="center"/>
              <w:rPr>
                <w:rFonts w:ascii="宋体" w:hAnsi="宋体" w:cs="宋体"/>
                <w:color w:val="000000"/>
                <w:szCs w:val="21"/>
              </w:rPr>
            </w:pPr>
            <w:r>
              <w:rPr>
                <w:rFonts w:hint="eastAsia" w:ascii="宋体" w:hAnsi="宋体" w:cs="宋体"/>
                <w:color w:val="000000"/>
                <w:szCs w:val="21"/>
              </w:rPr>
              <w:t>采购代理机构</w:t>
            </w:r>
          </w:p>
        </w:tc>
        <w:tc>
          <w:tcPr>
            <w:tcW w:w="6643" w:type="dxa"/>
            <w:noWrap w:val="0"/>
            <w:vAlign w:val="center"/>
          </w:tcPr>
          <w:p w14:paraId="1B37F46E">
            <w:pPr>
              <w:spacing w:line="360" w:lineRule="auto"/>
              <w:rPr>
                <w:rFonts w:hint="eastAsia" w:ascii="宋体" w:hAnsi="宋体" w:eastAsia="宋体" w:cs="宋体"/>
                <w:color w:val="000000"/>
                <w:szCs w:val="21"/>
                <w:lang w:val="en-US" w:eastAsia="zh-CN"/>
              </w:rPr>
            </w:pPr>
            <w:r>
              <w:rPr>
                <w:rFonts w:hint="eastAsia" w:ascii="宋体" w:hAnsi="宋体" w:cs="宋体"/>
                <w:color w:val="000000"/>
                <w:szCs w:val="21"/>
              </w:rPr>
              <w:t>名称：</w:t>
            </w:r>
            <w:r>
              <w:rPr>
                <w:rFonts w:hint="eastAsia" w:ascii="宋体" w:hAnsi="宋体" w:cs="宋体"/>
                <w:color w:val="000000"/>
                <w:szCs w:val="21"/>
                <w:lang w:val="en-US" w:eastAsia="zh-CN"/>
              </w:rPr>
              <w:t>东信工程项目管理有限公司</w:t>
            </w:r>
          </w:p>
          <w:p w14:paraId="0CCEFFD1">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地址：三门峡市湖滨区文博城文体中心二楼A203</w:t>
            </w:r>
          </w:p>
          <w:p w14:paraId="5E14ABC8">
            <w:pPr>
              <w:spacing w:line="360" w:lineRule="auto"/>
              <w:rPr>
                <w:rFonts w:ascii="宋体" w:hAnsi="宋体" w:cs="宋体"/>
                <w:color w:val="000000"/>
                <w:szCs w:val="21"/>
              </w:rPr>
            </w:pPr>
            <w:r>
              <w:rPr>
                <w:rFonts w:hint="eastAsia" w:ascii="宋体" w:hAnsi="宋体" w:eastAsia="宋体" w:cs="宋体"/>
                <w:color w:val="000000"/>
                <w:szCs w:val="21"/>
                <w:lang w:val="en-US" w:eastAsia="zh-CN"/>
              </w:rPr>
              <w:t>联系人（电话）：</w:t>
            </w:r>
            <w:r>
              <w:rPr>
                <w:rFonts w:hint="eastAsia" w:ascii="宋体" w:hAnsi="宋体" w:cs="宋体"/>
                <w:color w:val="000000"/>
                <w:szCs w:val="21"/>
                <w:lang w:val="en-US" w:eastAsia="zh-CN"/>
              </w:rPr>
              <w:t>马先生</w:t>
            </w:r>
            <w:r>
              <w:rPr>
                <w:rFonts w:hint="eastAsia" w:ascii="宋体" w:hAnsi="宋体" w:eastAsia="宋体" w:cs="宋体"/>
                <w:color w:val="000000"/>
                <w:szCs w:val="21"/>
                <w:lang w:val="en-US" w:eastAsia="zh-CN"/>
              </w:rPr>
              <w:t xml:space="preserve">   15139820632</w:t>
            </w:r>
          </w:p>
        </w:tc>
      </w:tr>
      <w:tr w14:paraId="016C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exact"/>
          <w:jc w:val="center"/>
        </w:trPr>
        <w:tc>
          <w:tcPr>
            <w:tcW w:w="890" w:type="dxa"/>
            <w:noWrap w:val="0"/>
            <w:vAlign w:val="center"/>
          </w:tcPr>
          <w:p w14:paraId="79E64DC9">
            <w:pPr>
              <w:spacing w:line="360" w:lineRule="auto"/>
              <w:jc w:val="center"/>
              <w:rPr>
                <w:rFonts w:hint="eastAsia" w:ascii="宋体" w:hAnsi="宋体" w:eastAsia="宋体" w:cs="宋体"/>
                <w:color w:val="000000"/>
                <w:szCs w:val="21"/>
                <w:lang w:eastAsia="zh-CN"/>
              </w:rPr>
            </w:pPr>
            <w:r>
              <w:rPr>
                <w:rFonts w:hint="eastAsia" w:ascii="宋体" w:hAnsi="宋体" w:cs="宋体"/>
                <w:color w:val="000000"/>
                <w:szCs w:val="21"/>
              </w:rPr>
              <w:t>1.</w:t>
            </w:r>
            <w:r>
              <w:rPr>
                <w:rFonts w:hint="eastAsia" w:ascii="宋体" w:hAnsi="宋体" w:cs="宋体"/>
                <w:color w:val="000000"/>
                <w:szCs w:val="21"/>
                <w:lang w:val="en-US" w:eastAsia="zh-CN"/>
              </w:rPr>
              <w:t>3</w:t>
            </w:r>
          </w:p>
        </w:tc>
        <w:tc>
          <w:tcPr>
            <w:tcW w:w="2109" w:type="dxa"/>
            <w:noWrap w:val="0"/>
            <w:vAlign w:val="center"/>
          </w:tcPr>
          <w:p w14:paraId="17D35F5C">
            <w:pPr>
              <w:spacing w:line="360" w:lineRule="auto"/>
              <w:jc w:val="center"/>
              <w:rPr>
                <w:rFonts w:ascii="宋体" w:hAnsi="宋体" w:cs="宋体"/>
                <w:color w:val="000000"/>
                <w:szCs w:val="21"/>
              </w:rPr>
            </w:pPr>
            <w:r>
              <w:rPr>
                <w:rFonts w:hint="eastAsia" w:ascii="宋体" w:hAnsi="宋体" w:cs="宋体"/>
                <w:color w:val="000000"/>
                <w:szCs w:val="21"/>
              </w:rPr>
              <w:t>项目名称</w:t>
            </w:r>
          </w:p>
        </w:tc>
        <w:tc>
          <w:tcPr>
            <w:tcW w:w="6643" w:type="dxa"/>
            <w:noWrap w:val="0"/>
            <w:vAlign w:val="center"/>
          </w:tcPr>
          <w:p w14:paraId="73D362A8">
            <w:pPr>
              <w:rPr>
                <w:rFonts w:hint="eastAsia" w:eastAsia="宋体"/>
                <w:lang w:eastAsia="zh-CN"/>
              </w:rPr>
            </w:pPr>
            <w:r>
              <w:rPr>
                <w:rFonts w:hint="eastAsia" w:ascii="宋体" w:hAnsi="宋体" w:cs="宋体"/>
                <w:color w:val="000000"/>
                <w:szCs w:val="21"/>
                <w:lang w:val="en-US" w:eastAsia="zh-CN"/>
              </w:rPr>
              <w:t>陕州区智慧消防火眼AI火情智能预警建设项目</w:t>
            </w:r>
          </w:p>
        </w:tc>
      </w:tr>
      <w:tr w14:paraId="46AFC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7" w:hRule="exact"/>
          <w:jc w:val="center"/>
        </w:trPr>
        <w:tc>
          <w:tcPr>
            <w:tcW w:w="890" w:type="dxa"/>
            <w:noWrap w:val="0"/>
            <w:vAlign w:val="center"/>
          </w:tcPr>
          <w:p w14:paraId="23500932">
            <w:pPr>
              <w:spacing w:line="360" w:lineRule="auto"/>
              <w:jc w:val="center"/>
              <w:rPr>
                <w:rFonts w:hint="eastAsia" w:ascii="宋体" w:hAnsi="宋体" w:eastAsia="宋体" w:cs="宋体"/>
                <w:color w:val="000000"/>
                <w:szCs w:val="21"/>
                <w:lang w:eastAsia="zh-CN"/>
              </w:rPr>
            </w:pPr>
            <w:r>
              <w:rPr>
                <w:rFonts w:hint="eastAsia" w:ascii="宋体" w:hAnsi="宋体" w:cs="宋体"/>
                <w:color w:val="000000"/>
                <w:szCs w:val="21"/>
              </w:rPr>
              <w:t>1.</w:t>
            </w:r>
            <w:r>
              <w:rPr>
                <w:rFonts w:hint="eastAsia" w:ascii="宋体" w:hAnsi="宋体" w:cs="宋体"/>
                <w:color w:val="000000"/>
                <w:szCs w:val="21"/>
                <w:lang w:val="en-US" w:eastAsia="zh-CN"/>
              </w:rPr>
              <w:t>4</w:t>
            </w:r>
          </w:p>
        </w:tc>
        <w:tc>
          <w:tcPr>
            <w:tcW w:w="2109" w:type="dxa"/>
            <w:noWrap w:val="0"/>
            <w:vAlign w:val="center"/>
          </w:tcPr>
          <w:p w14:paraId="7CF9E8E4">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项目内容</w:t>
            </w:r>
          </w:p>
        </w:tc>
        <w:tc>
          <w:tcPr>
            <w:tcW w:w="6643" w:type="dxa"/>
            <w:noWrap w:val="0"/>
            <w:vAlign w:val="center"/>
          </w:tcPr>
          <w:p w14:paraId="29440455">
            <w:pPr>
              <w:spacing w:line="360" w:lineRule="auto"/>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本项目内容为对人员密集场所、化工园区、充电配套小区等现有摄像头利旧升级，叠加火眼AI火情算法，接入消防救援局及基层高效能治理中心平台，缩短火情预警时限，提升火情处置效率。具体内容及要求详见竞争性磋商文件；</w:t>
            </w:r>
          </w:p>
        </w:tc>
      </w:tr>
      <w:tr w14:paraId="2C9F5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exact"/>
          <w:jc w:val="center"/>
        </w:trPr>
        <w:tc>
          <w:tcPr>
            <w:tcW w:w="890" w:type="dxa"/>
            <w:noWrap w:val="0"/>
            <w:vAlign w:val="center"/>
          </w:tcPr>
          <w:p w14:paraId="1C59B467">
            <w:pPr>
              <w:spacing w:line="360" w:lineRule="auto"/>
              <w:jc w:val="center"/>
              <w:rPr>
                <w:rFonts w:hint="eastAsia" w:ascii="宋体" w:hAnsi="宋体" w:eastAsia="宋体" w:cs="宋体"/>
                <w:color w:val="000000"/>
                <w:szCs w:val="21"/>
                <w:lang w:eastAsia="zh-CN"/>
              </w:rPr>
            </w:pPr>
            <w:r>
              <w:rPr>
                <w:rFonts w:hint="eastAsia" w:ascii="宋体" w:hAnsi="宋体" w:cs="宋体"/>
                <w:color w:val="000000"/>
                <w:szCs w:val="21"/>
              </w:rPr>
              <w:t>1.</w:t>
            </w:r>
            <w:r>
              <w:rPr>
                <w:rFonts w:hint="eastAsia" w:ascii="宋体" w:hAnsi="宋体" w:cs="宋体"/>
                <w:color w:val="000000"/>
                <w:szCs w:val="21"/>
                <w:lang w:val="en-US" w:eastAsia="zh-CN"/>
              </w:rPr>
              <w:t>5</w:t>
            </w:r>
          </w:p>
        </w:tc>
        <w:tc>
          <w:tcPr>
            <w:tcW w:w="2109" w:type="dxa"/>
            <w:noWrap w:val="0"/>
            <w:vAlign w:val="center"/>
          </w:tcPr>
          <w:p w14:paraId="4FCABFF3">
            <w:pPr>
              <w:spacing w:line="360" w:lineRule="auto"/>
              <w:jc w:val="center"/>
              <w:rPr>
                <w:rFonts w:hint="eastAsia" w:ascii="宋体" w:hAnsi="宋体" w:eastAsia="宋体" w:cs="宋体"/>
                <w:color w:val="000000"/>
                <w:szCs w:val="21"/>
                <w:lang w:val="en-US" w:eastAsia="zh-CN"/>
              </w:rPr>
            </w:pPr>
            <w:r>
              <w:rPr>
                <w:rFonts w:hint="eastAsia" w:ascii="宋体" w:hAnsi="宋体" w:cs="宋体"/>
                <w:color w:val="000000"/>
                <w:szCs w:val="21"/>
              </w:rPr>
              <w:t>资金来源</w:t>
            </w:r>
            <w:r>
              <w:rPr>
                <w:rFonts w:hint="eastAsia" w:ascii="宋体" w:hAnsi="宋体" w:cs="宋体"/>
                <w:color w:val="000000"/>
                <w:szCs w:val="21"/>
                <w:lang w:val="en-US" w:eastAsia="zh-CN"/>
              </w:rPr>
              <w:t>及</w:t>
            </w:r>
            <w:r>
              <w:rPr>
                <w:rFonts w:hint="eastAsia" w:ascii="宋体" w:hAnsi="宋体" w:cs="宋体"/>
                <w:color w:val="000000"/>
                <w:szCs w:val="21"/>
              </w:rPr>
              <w:t>落实情况</w:t>
            </w:r>
          </w:p>
        </w:tc>
        <w:tc>
          <w:tcPr>
            <w:tcW w:w="6643" w:type="dxa"/>
            <w:noWrap w:val="0"/>
            <w:vAlign w:val="center"/>
          </w:tcPr>
          <w:p w14:paraId="4E8AA781">
            <w:pPr>
              <w:spacing w:line="360" w:lineRule="auto"/>
              <w:rPr>
                <w:rFonts w:hint="default" w:ascii="宋体" w:hAnsi="宋体" w:eastAsia="宋体" w:cs="宋体"/>
                <w:color w:val="000000"/>
                <w:szCs w:val="21"/>
                <w:lang w:val="en-US" w:eastAsia="zh-CN"/>
              </w:rPr>
            </w:pPr>
            <w:r>
              <w:rPr>
                <w:rFonts w:hint="eastAsia" w:ascii="宋体" w:hAnsi="宋体" w:cs="宋体"/>
                <w:color w:val="000000"/>
                <w:szCs w:val="21"/>
              </w:rPr>
              <w:t>财政资金</w:t>
            </w:r>
            <w:r>
              <w:rPr>
                <w:rFonts w:hint="eastAsia" w:ascii="宋体" w:hAnsi="宋体" w:cs="宋体"/>
                <w:color w:val="000000"/>
                <w:szCs w:val="21"/>
                <w:lang w:eastAsia="zh-CN"/>
              </w:rPr>
              <w:t>，</w:t>
            </w:r>
            <w:r>
              <w:rPr>
                <w:rFonts w:hint="eastAsia" w:ascii="宋体" w:hAnsi="宋体" w:cs="宋体"/>
                <w:color w:val="000000"/>
                <w:szCs w:val="21"/>
                <w:lang w:val="en-US" w:eastAsia="zh-CN"/>
              </w:rPr>
              <w:t>已落实</w:t>
            </w:r>
          </w:p>
        </w:tc>
      </w:tr>
      <w:tr w14:paraId="27695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90" w:type="dxa"/>
            <w:noWrap w:val="0"/>
            <w:vAlign w:val="center"/>
          </w:tcPr>
          <w:p w14:paraId="4A8AB053">
            <w:pPr>
              <w:spacing w:line="360" w:lineRule="auto"/>
              <w:jc w:val="center"/>
              <w:rPr>
                <w:rFonts w:hint="eastAsia" w:ascii="宋体" w:hAnsi="宋体" w:eastAsia="宋体" w:cs="宋体"/>
                <w:color w:val="000000"/>
                <w:szCs w:val="21"/>
                <w:lang w:eastAsia="zh-CN"/>
              </w:rPr>
            </w:pPr>
            <w:r>
              <w:rPr>
                <w:rFonts w:hint="eastAsia" w:ascii="宋体" w:hAnsi="宋体" w:cs="宋体"/>
                <w:color w:val="000000"/>
                <w:szCs w:val="21"/>
              </w:rPr>
              <w:t>1.</w:t>
            </w:r>
            <w:r>
              <w:rPr>
                <w:rFonts w:hint="eastAsia" w:ascii="宋体" w:hAnsi="宋体" w:cs="宋体"/>
                <w:color w:val="000000"/>
                <w:szCs w:val="21"/>
                <w:lang w:val="en-US" w:eastAsia="zh-CN"/>
              </w:rPr>
              <w:t>6</w:t>
            </w:r>
          </w:p>
        </w:tc>
        <w:tc>
          <w:tcPr>
            <w:tcW w:w="2109" w:type="dxa"/>
            <w:noWrap w:val="0"/>
            <w:vAlign w:val="center"/>
          </w:tcPr>
          <w:p w14:paraId="18A1D71B">
            <w:pPr>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实施周期及服务周期</w:t>
            </w:r>
          </w:p>
        </w:tc>
        <w:tc>
          <w:tcPr>
            <w:tcW w:w="6643" w:type="dxa"/>
            <w:noWrap w:val="0"/>
            <w:vAlign w:val="center"/>
          </w:tcPr>
          <w:p w14:paraId="6FE8DA3B">
            <w:pPr>
              <w:rPr>
                <w:rFonts w:hint="eastAsia" w:ascii="宋体" w:hAnsi="宋体" w:cs="宋体"/>
                <w:color w:val="000000"/>
                <w:szCs w:val="21"/>
                <w:lang w:val="en-US" w:eastAsia="zh-CN"/>
              </w:rPr>
            </w:pPr>
            <w:r>
              <w:rPr>
                <w:rFonts w:hint="eastAsia" w:ascii="宋体" w:hAnsi="宋体" w:cs="宋体"/>
                <w:color w:val="000000"/>
                <w:szCs w:val="21"/>
                <w:lang w:val="en-US" w:eastAsia="zh-CN"/>
              </w:rPr>
              <w:t>实施周期：合同签订后15日历天内交付。</w:t>
            </w:r>
          </w:p>
          <w:p w14:paraId="3B6BEEE8">
            <w:pP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服务周期：5年。</w:t>
            </w:r>
          </w:p>
        </w:tc>
      </w:tr>
      <w:tr w14:paraId="3902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890" w:type="dxa"/>
            <w:noWrap w:val="0"/>
            <w:vAlign w:val="center"/>
          </w:tcPr>
          <w:p w14:paraId="002293FF">
            <w:pPr>
              <w:spacing w:line="360" w:lineRule="auto"/>
              <w:jc w:val="center"/>
              <w:rPr>
                <w:rFonts w:hint="eastAsia" w:ascii="宋体" w:hAnsi="宋体" w:eastAsia="宋体" w:cs="宋体"/>
                <w:color w:val="000000"/>
                <w:szCs w:val="21"/>
                <w:lang w:eastAsia="zh-CN"/>
              </w:rPr>
            </w:pPr>
            <w:r>
              <w:rPr>
                <w:rFonts w:hint="eastAsia" w:ascii="宋体" w:hAnsi="宋体" w:cs="宋体"/>
                <w:color w:val="000000"/>
                <w:szCs w:val="21"/>
              </w:rPr>
              <w:t>1.</w:t>
            </w:r>
            <w:r>
              <w:rPr>
                <w:rFonts w:hint="eastAsia" w:ascii="宋体" w:hAnsi="宋体" w:cs="宋体"/>
                <w:color w:val="000000"/>
                <w:szCs w:val="21"/>
                <w:lang w:val="en-US" w:eastAsia="zh-CN"/>
              </w:rPr>
              <w:t>7</w:t>
            </w:r>
          </w:p>
        </w:tc>
        <w:tc>
          <w:tcPr>
            <w:tcW w:w="2109" w:type="dxa"/>
            <w:noWrap w:val="0"/>
            <w:vAlign w:val="center"/>
          </w:tcPr>
          <w:p w14:paraId="309FE840">
            <w:pPr>
              <w:spacing w:line="360" w:lineRule="auto"/>
              <w:jc w:val="center"/>
              <w:rPr>
                <w:rFonts w:ascii="宋体" w:hAnsi="宋体" w:cs="宋体"/>
                <w:color w:val="000000"/>
                <w:szCs w:val="21"/>
              </w:rPr>
            </w:pPr>
            <w:r>
              <w:rPr>
                <w:rFonts w:hint="eastAsia" w:ascii="宋体" w:hAnsi="宋体" w:cs="宋体"/>
                <w:color w:val="000000"/>
                <w:szCs w:val="21"/>
              </w:rPr>
              <w:t>质量要求</w:t>
            </w:r>
          </w:p>
        </w:tc>
        <w:tc>
          <w:tcPr>
            <w:tcW w:w="6643" w:type="dxa"/>
            <w:noWrap w:val="0"/>
            <w:vAlign w:val="center"/>
          </w:tcPr>
          <w:p w14:paraId="78E9A1AA">
            <w:pPr>
              <w:spacing w:line="360" w:lineRule="auto"/>
              <w:rPr>
                <w:rFonts w:hint="eastAsia" w:ascii="宋体" w:hAnsi="宋体" w:cs="宋体"/>
                <w:color w:val="000000"/>
                <w:szCs w:val="21"/>
              </w:rPr>
            </w:pPr>
            <w:r>
              <w:rPr>
                <w:rFonts w:hint="eastAsia" w:ascii="宋体" w:hAnsi="宋体" w:cs="宋体"/>
                <w:color w:val="000000"/>
                <w:szCs w:val="21"/>
                <w:lang w:val="en-US" w:eastAsia="zh-CN"/>
              </w:rPr>
              <w:t>符合国家相关技术规范、规程和有关技术规定</w:t>
            </w:r>
          </w:p>
        </w:tc>
      </w:tr>
      <w:tr w14:paraId="578F2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dxa"/>
            <w:noWrap w:val="0"/>
            <w:vAlign w:val="center"/>
          </w:tcPr>
          <w:p w14:paraId="485BE2A7">
            <w:pPr>
              <w:spacing w:line="360" w:lineRule="auto"/>
              <w:jc w:val="center"/>
              <w:rPr>
                <w:rFonts w:hint="eastAsia" w:ascii="宋体" w:hAnsi="宋体" w:eastAsia="宋体" w:cs="宋体"/>
                <w:color w:val="000000"/>
                <w:szCs w:val="21"/>
                <w:lang w:eastAsia="zh-CN"/>
              </w:rPr>
            </w:pPr>
            <w:r>
              <w:rPr>
                <w:rFonts w:hint="eastAsia" w:ascii="宋体" w:hAnsi="宋体" w:cs="宋体"/>
                <w:color w:val="000000"/>
                <w:szCs w:val="21"/>
              </w:rPr>
              <w:t>1.</w:t>
            </w:r>
            <w:r>
              <w:rPr>
                <w:rFonts w:hint="eastAsia" w:ascii="宋体" w:hAnsi="宋体" w:cs="宋体"/>
                <w:color w:val="000000"/>
                <w:szCs w:val="21"/>
                <w:lang w:val="en-US" w:eastAsia="zh-CN"/>
              </w:rPr>
              <w:t>8</w:t>
            </w:r>
          </w:p>
        </w:tc>
        <w:tc>
          <w:tcPr>
            <w:tcW w:w="2109" w:type="dxa"/>
            <w:noWrap w:val="0"/>
            <w:vAlign w:val="center"/>
          </w:tcPr>
          <w:p w14:paraId="7DC94FC4">
            <w:pPr>
              <w:spacing w:line="360" w:lineRule="auto"/>
              <w:jc w:val="center"/>
              <w:rPr>
                <w:rFonts w:hint="eastAsia" w:ascii="宋体" w:hAnsi="宋体" w:eastAsia="宋体" w:cs="宋体"/>
                <w:color w:val="000000"/>
                <w:szCs w:val="21"/>
              </w:rPr>
            </w:pPr>
            <w:r>
              <w:rPr>
                <w:rFonts w:hint="eastAsia" w:ascii="宋体" w:hAnsi="宋体" w:eastAsia="宋体" w:cs="宋体"/>
                <w:color w:val="000000"/>
                <w:szCs w:val="21"/>
              </w:rPr>
              <w:t>供应商资质条件、能力和信誉</w:t>
            </w:r>
          </w:p>
        </w:tc>
        <w:tc>
          <w:tcPr>
            <w:tcW w:w="6643" w:type="dxa"/>
            <w:noWrap w:val="0"/>
            <w:vAlign w:val="top"/>
          </w:tcPr>
          <w:p w14:paraId="62EB4A98">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1、供应商符合《中华人民共和国政府采购法》第二十二条规定条件：</w:t>
            </w:r>
          </w:p>
          <w:p w14:paraId="003D58D4">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2、落实政府采购政策满足的资格要求：执行促进中小型企业发展政策（残疾人福利性企业、监狱企业视同小微企业）、优先采购节能环保产品等政府采购政策。</w:t>
            </w:r>
          </w:p>
          <w:p w14:paraId="37A356B2">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3、本项目的特定资格要求</w:t>
            </w:r>
          </w:p>
          <w:p w14:paraId="17A5D4A0">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3.1供应商须具备有效的营业执照(分公司或分支机构参与本项目的，还须提供总公司针对本项目的授权书)，并在人员、设备、资金等方面具有相应的能力（提供承诺书）；</w:t>
            </w:r>
          </w:p>
          <w:p w14:paraId="531C019F">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3.2供应商出具无行贿犯罪记录在中国裁判文书网自行查询或自行承诺（查询对象：企业、法定代表人）；</w:t>
            </w:r>
          </w:p>
          <w:p w14:paraId="64066551">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3.3供应商须提供本企业无商业贿赂和不正当竞争行为承诺书；</w:t>
            </w:r>
          </w:p>
          <w:p w14:paraId="007E4D46">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3.4供应商没有被列入“中国执行信息公开网”的“失信被执行人”、“信用中国”的“重大税收违法失信主体”及“中国政府采购网站”的“政府采购严重违法失信行为记录名单”。【查询渠道：“中国执行信息公开网”（http://zxgk.court.gov.cn/）“信用中国”网站（www.creditchina.gov.cn）、“中国政府采购网”（www.ccgp.gov.cn）】(注：査询时间必须是本公告发布之后开标之前，查询结果清晰可见)；</w:t>
            </w:r>
          </w:p>
          <w:p w14:paraId="494F7DE5">
            <w:pPr>
              <w:spacing w:line="360" w:lineRule="auto"/>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3.5本项目不接受联合体投标；</w:t>
            </w:r>
          </w:p>
          <w:p w14:paraId="72D69FD6">
            <w:pPr>
              <w:spacing w:line="360" w:lineRule="auto"/>
              <w:rPr>
                <w:rFonts w:hint="default" w:ascii="宋体" w:hAnsi="宋体" w:eastAsia="宋体" w:cs="宋体"/>
                <w:color w:val="000000"/>
                <w:szCs w:val="21"/>
                <w:lang w:val="en-US" w:eastAsia="zh-CN"/>
              </w:rPr>
            </w:pPr>
            <w:r>
              <w:rPr>
                <w:rFonts w:hint="eastAsia" w:ascii="宋体" w:hAnsi="宋体" w:eastAsia="宋体" w:cs="宋体"/>
                <w:color w:val="000000"/>
                <w:szCs w:val="21"/>
                <w:lang w:val="en-US" w:eastAsia="zh-CN"/>
              </w:rPr>
              <w:t>3.6本项目实行资格后审，资格审查的具体要求见竞争性磋商文件；</w:t>
            </w:r>
          </w:p>
        </w:tc>
      </w:tr>
      <w:tr w14:paraId="0F3B5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90" w:type="dxa"/>
            <w:noWrap w:val="0"/>
            <w:vAlign w:val="center"/>
          </w:tcPr>
          <w:p w14:paraId="4E7B7CC6">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1.9</w:t>
            </w:r>
          </w:p>
        </w:tc>
        <w:tc>
          <w:tcPr>
            <w:tcW w:w="2109" w:type="dxa"/>
            <w:noWrap w:val="0"/>
            <w:vAlign w:val="center"/>
          </w:tcPr>
          <w:p w14:paraId="6954D9AD">
            <w:pPr>
              <w:spacing w:line="360" w:lineRule="auto"/>
              <w:jc w:val="left"/>
              <w:rPr>
                <w:rFonts w:hint="eastAsia" w:ascii="宋体" w:hAnsi="宋体" w:cs="宋体"/>
                <w:color w:val="000000"/>
                <w:szCs w:val="21"/>
              </w:rPr>
            </w:pPr>
            <w:r>
              <w:rPr>
                <w:rFonts w:hint="eastAsia" w:ascii="宋体" w:hAnsi="宋体" w:cs="宋体"/>
                <w:color w:val="000000"/>
                <w:szCs w:val="21"/>
              </w:rPr>
              <w:t>是否接受联合体投标</w:t>
            </w:r>
          </w:p>
        </w:tc>
        <w:tc>
          <w:tcPr>
            <w:tcW w:w="6643" w:type="dxa"/>
            <w:noWrap w:val="0"/>
            <w:vAlign w:val="center"/>
          </w:tcPr>
          <w:p w14:paraId="45FD440F">
            <w:pPr>
              <w:spacing w:line="360" w:lineRule="auto"/>
              <w:rPr>
                <w:rFonts w:hint="eastAsia" w:ascii="宋体" w:hAnsi="宋体" w:eastAsia="宋体" w:cs="宋体"/>
                <w:color w:val="000000"/>
                <w:szCs w:val="21"/>
                <w:lang w:val="en-US" w:eastAsia="zh-CN"/>
              </w:rPr>
            </w:pPr>
            <w:r>
              <w:rPr>
                <w:rFonts w:hint="eastAsia" w:ascii="宋体" w:hAnsi="宋体" w:cs="宋体"/>
                <w:color w:val="000000"/>
                <w:szCs w:val="21"/>
                <w:lang w:val="en-US" w:eastAsia="zh-CN"/>
              </w:rPr>
              <w:t>不</w:t>
            </w:r>
            <w:r>
              <w:rPr>
                <w:rFonts w:hint="eastAsia" w:ascii="宋体" w:hAnsi="宋体" w:eastAsia="宋体" w:cs="宋体"/>
                <w:color w:val="000000"/>
                <w:szCs w:val="21"/>
                <w:lang w:val="en-US" w:eastAsia="zh-CN"/>
              </w:rPr>
              <w:t>接受</w:t>
            </w:r>
            <w:r>
              <w:rPr>
                <w:rFonts w:hint="eastAsia" w:ascii="宋体" w:hAnsi="宋体" w:cs="宋体"/>
                <w:color w:val="000000"/>
                <w:szCs w:val="21"/>
                <w:lang w:val="en-US" w:eastAsia="zh-CN"/>
              </w:rPr>
              <w:t>。</w:t>
            </w:r>
          </w:p>
        </w:tc>
      </w:tr>
      <w:tr w14:paraId="1453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890" w:type="dxa"/>
            <w:noWrap w:val="0"/>
            <w:vAlign w:val="center"/>
          </w:tcPr>
          <w:p w14:paraId="0BD9FFED">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2.0</w:t>
            </w:r>
          </w:p>
        </w:tc>
        <w:tc>
          <w:tcPr>
            <w:tcW w:w="2109" w:type="dxa"/>
            <w:noWrap w:val="0"/>
            <w:vAlign w:val="center"/>
          </w:tcPr>
          <w:p w14:paraId="2DBA2F32">
            <w:pPr>
              <w:spacing w:line="360" w:lineRule="auto"/>
              <w:jc w:val="left"/>
              <w:rPr>
                <w:rFonts w:hint="eastAsia" w:ascii="宋体" w:hAnsi="宋体" w:cs="宋体"/>
                <w:color w:val="000000"/>
                <w:szCs w:val="21"/>
              </w:rPr>
            </w:pPr>
            <w:r>
              <w:rPr>
                <w:rFonts w:hint="eastAsia" w:ascii="宋体" w:hAnsi="宋体" w:cs="宋体"/>
                <w:color w:val="000000"/>
                <w:szCs w:val="21"/>
              </w:rPr>
              <w:t>偏离</w:t>
            </w:r>
          </w:p>
        </w:tc>
        <w:tc>
          <w:tcPr>
            <w:tcW w:w="6643" w:type="dxa"/>
            <w:noWrap w:val="0"/>
            <w:vAlign w:val="center"/>
          </w:tcPr>
          <w:p w14:paraId="034C80E2">
            <w:pPr>
              <w:spacing w:line="360" w:lineRule="auto"/>
              <w:rPr>
                <w:rFonts w:hint="eastAsia" w:ascii="宋体" w:hAnsi="宋体" w:cs="宋体"/>
                <w:color w:val="000000"/>
                <w:szCs w:val="21"/>
              </w:rPr>
            </w:pPr>
            <w:r>
              <w:rPr>
                <w:rFonts w:hint="eastAsia" w:ascii="宋体" w:hAnsi="宋体" w:cs="宋体"/>
                <w:color w:val="000000"/>
                <w:szCs w:val="21"/>
                <w:lang w:val="en-US" w:eastAsia="zh-CN"/>
              </w:rPr>
              <w:t>不</w:t>
            </w:r>
            <w:r>
              <w:rPr>
                <w:rFonts w:hint="eastAsia" w:ascii="宋体" w:hAnsi="宋体" w:cs="宋体"/>
                <w:color w:val="000000"/>
                <w:szCs w:val="21"/>
              </w:rPr>
              <w:t>允许</w:t>
            </w:r>
          </w:p>
        </w:tc>
      </w:tr>
      <w:tr w14:paraId="7C4C3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90" w:type="dxa"/>
            <w:noWrap w:val="0"/>
            <w:vAlign w:val="center"/>
          </w:tcPr>
          <w:p w14:paraId="14B1387E">
            <w:pPr>
              <w:spacing w:line="360" w:lineRule="auto"/>
              <w:jc w:val="center"/>
              <w:rPr>
                <w:rFonts w:hint="eastAsia" w:ascii="宋体" w:hAnsi="宋体" w:eastAsia="宋体" w:cs="宋体"/>
                <w:color w:val="000000"/>
                <w:szCs w:val="21"/>
                <w:lang w:eastAsia="zh-CN"/>
              </w:rPr>
            </w:pPr>
            <w:r>
              <w:rPr>
                <w:rFonts w:hint="eastAsia" w:ascii="宋体" w:hAnsi="宋体" w:cs="宋体"/>
                <w:color w:val="000000"/>
                <w:szCs w:val="21"/>
              </w:rPr>
              <w:t>2.</w:t>
            </w:r>
            <w:r>
              <w:rPr>
                <w:rFonts w:hint="eastAsia" w:ascii="宋体" w:hAnsi="宋体" w:cs="宋体"/>
                <w:color w:val="000000"/>
                <w:szCs w:val="21"/>
                <w:lang w:val="en-US" w:eastAsia="zh-CN"/>
              </w:rPr>
              <w:t>1</w:t>
            </w:r>
          </w:p>
        </w:tc>
        <w:tc>
          <w:tcPr>
            <w:tcW w:w="2109" w:type="dxa"/>
            <w:noWrap w:val="0"/>
            <w:vAlign w:val="center"/>
          </w:tcPr>
          <w:p w14:paraId="61ADFB3D">
            <w:pPr>
              <w:spacing w:line="360" w:lineRule="auto"/>
              <w:rPr>
                <w:rFonts w:ascii="宋体" w:hAnsi="宋体" w:cs="宋体"/>
                <w:color w:val="000000"/>
                <w:szCs w:val="21"/>
              </w:rPr>
            </w:pPr>
            <w:r>
              <w:rPr>
                <w:rFonts w:hint="eastAsia" w:ascii="宋体" w:hAnsi="宋体" w:cs="宋体"/>
                <w:color w:val="000000"/>
                <w:szCs w:val="21"/>
              </w:rPr>
              <w:t>供应商要求澄清磋商文件的截止时间</w:t>
            </w:r>
          </w:p>
        </w:tc>
        <w:tc>
          <w:tcPr>
            <w:tcW w:w="6643" w:type="dxa"/>
            <w:noWrap w:val="0"/>
            <w:vAlign w:val="center"/>
          </w:tcPr>
          <w:p w14:paraId="3180D6C6">
            <w:pPr>
              <w:autoSpaceDE w:val="0"/>
              <w:autoSpaceDN w:val="0"/>
              <w:adjustRightInd w:val="0"/>
              <w:spacing w:line="360" w:lineRule="auto"/>
              <w:jc w:val="left"/>
              <w:rPr>
                <w:rFonts w:ascii="宋体" w:hAnsi="宋体" w:cs="宋体"/>
                <w:color w:val="000000"/>
                <w:szCs w:val="21"/>
              </w:rPr>
            </w:pPr>
            <w:r>
              <w:rPr>
                <w:rFonts w:hint="eastAsia" w:ascii="宋体" w:hAnsi="宋体" w:cs="宋体"/>
                <w:color w:val="000000"/>
                <w:szCs w:val="21"/>
              </w:rPr>
              <w:t>递交响应文件的截止之日5日前</w:t>
            </w:r>
            <w:r>
              <w:rPr>
                <w:rFonts w:ascii="宋体" w:hAnsi="宋体" w:cs="宋体"/>
                <w:color w:val="000000"/>
                <w:szCs w:val="21"/>
              </w:rPr>
              <w:t>。</w:t>
            </w:r>
          </w:p>
        </w:tc>
      </w:tr>
      <w:tr w14:paraId="3F8A6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90" w:type="dxa"/>
            <w:noWrap w:val="0"/>
            <w:vAlign w:val="center"/>
          </w:tcPr>
          <w:p w14:paraId="3B6DA44E">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2.2</w:t>
            </w:r>
          </w:p>
        </w:tc>
        <w:tc>
          <w:tcPr>
            <w:tcW w:w="2109" w:type="dxa"/>
            <w:noWrap w:val="0"/>
            <w:vAlign w:val="center"/>
          </w:tcPr>
          <w:p w14:paraId="75C423F5">
            <w:pPr>
              <w:spacing w:line="360" w:lineRule="auto"/>
              <w:rPr>
                <w:rFonts w:ascii="宋体" w:hAnsi="宋体" w:cs="宋体"/>
                <w:color w:val="000000"/>
                <w:szCs w:val="21"/>
              </w:rPr>
            </w:pPr>
            <w:r>
              <w:rPr>
                <w:rFonts w:hint="eastAsia" w:ascii="宋体" w:hAnsi="宋体" w:eastAsia="宋体" w:cs="宋体"/>
                <w:color w:val="000000"/>
                <w:szCs w:val="21"/>
              </w:rPr>
              <w:t>采购人澄清的时间</w:t>
            </w:r>
          </w:p>
        </w:tc>
        <w:tc>
          <w:tcPr>
            <w:tcW w:w="6643" w:type="dxa"/>
            <w:noWrap w:val="0"/>
            <w:vAlign w:val="top"/>
          </w:tcPr>
          <w:p w14:paraId="74128A2A">
            <w:pPr>
              <w:autoSpaceDE w:val="0"/>
              <w:autoSpaceDN w:val="0"/>
              <w:adjustRightInd w:val="0"/>
              <w:spacing w:line="360" w:lineRule="auto"/>
              <w:rPr>
                <w:rFonts w:ascii="宋体" w:hAnsi="宋体" w:cs="宋体"/>
                <w:color w:val="000000"/>
                <w:szCs w:val="21"/>
              </w:rPr>
            </w:pPr>
            <w:r>
              <w:rPr>
                <w:rFonts w:hint="eastAsia" w:ascii="宋体" w:hAnsi="宋体" w:cs="宋体"/>
                <w:color w:val="000000"/>
                <w:szCs w:val="21"/>
              </w:rPr>
              <w:t>磋商</w:t>
            </w:r>
            <w:r>
              <w:rPr>
                <w:rFonts w:ascii="宋体" w:hAnsi="宋体" w:cs="宋体"/>
                <w:color w:val="000000"/>
                <w:szCs w:val="21"/>
              </w:rPr>
              <w:t>截止时间</w:t>
            </w:r>
            <w:r>
              <w:rPr>
                <w:rFonts w:hint="eastAsia" w:ascii="宋体" w:hAnsi="宋体" w:cs="宋体"/>
                <w:color w:val="000000"/>
                <w:szCs w:val="21"/>
              </w:rPr>
              <w:t>5日</w:t>
            </w:r>
            <w:r>
              <w:rPr>
                <w:rFonts w:ascii="宋体" w:hAnsi="宋体" w:cs="宋体"/>
                <w:color w:val="000000"/>
                <w:szCs w:val="21"/>
              </w:rPr>
              <w:t>前</w:t>
            </w:r>
            <w:r>
              <w:rPr>
                <w:rFonts w:hint="eastAsia" w:ascii="宋体" w:hAnsi="宋体" w:cs="宋体"/>
                <w:color w:val="000000"/>
                <w:szCs w:val="21"/>
              </w:rPr>
              <w:t>。</w:t>
            </w:r>
          </w:p>
        </w:tc>
      </w:tr>
      <w:tr w14:paraId="75EC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90" w:type="dxa"/>
            <w:noWrap w:val="0"/>
            <w:vAlign w:val="center"/>
          </w:tcPr>
          <w:p w14:paraId="245F7BDE">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2.3</w:t>
            </w:r>
          </w:p>
        </w:tc>
        <w:tc>
          <w:tcPr>
            <w:tcW w:w="2109" w:type="dxa"/>
            <w:noWrap w:val="0"/>
            <w:vAlign w:val="center"/>
          </w:tcPr>
          <w:p w14:paraId="14D9AD3F">
            <w:pPr>
              <w:spacing w:line="360" w:lineRule="auto"/>
              <w:rPr>
                <w:rFonts w:ascii="宋体" w:hAnsi="宋体"/>
                <w:szCs w:val="21"/>
              </w:rPr>
            </w:pPr>
            <w:r>
              <w:rPr>
                <w:rFonts w:hint="eastAsia" w:ascii="宋体" w:hAnsi="宋体"/>
                <w:szCs w:val="21"/>
              </w:rPr>
              <w:t>构成磋商文件的其他材料</w:t>
            </w:r>
          </w:p>
        </w:tc>
        <w:tc>
          <w:tcPr>
            <w:tcW w:w="6643" w:type="dxa"/>
            <w:noWrap w:val="0"/>
            <w:vAlign w:val="center"/>
          </w:tcPr>
          <w:p w14:paraId="43CEA94F">
            <w:pPr>
              <w:autoSpaceDE w:val="0"/>
              <w:autoSpaceDN w:val="0"/>
              <w:adjustRightInd w:val="0"/>
              <w:jc w:val="left"/>
              <w:rPr>
                <w:rFonts w:ascii="宋体" w:hAnsi="宋体" w:cs="宋体"/>
                <w:color w:val="000000"/>
                <w:szCs w:val="21"/>
              </w:rPr>
            </w:pPr>
            <w:r>
              <w:rPr>
                <w:rFonts w:hint="eastAsia" w:ascii="宋体" w:hAnsi="宋体" w:cs="宋体"/>
                <w:color w:val="000000"/>
                <w:szCs w:val="21"/>
              </w:rPr>
              <w:t>经相关部门确认的答疑纪要、磋商文件的补充、澄清和修改文件（如有）</w:t>
            </w:r>
          </w:p>
        </w:tc>
      </w:tr>
      <w:tr w14:paraId="7DFFA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90" w:type="dxa"/>
            <w:noWrap w:val="0"/>
            <w:vAlign w:val="center"/>
          </w:tcPr>
          <w:p w14:paraId="39BA6072">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2.4</w:t>
            </w:r>
          </w:p>
        </w:tc>
        <w:tc>
          <w:tcPr>
            <w:tcW w:w="2109" w:type="dxa"/>
            <w:noWrap w:val="0"/>
            <w:vAlign w:val="center"/>
          </w:tcPr>
          <w:p w14:paraId="640F1F7B">
            <w:pPr>
              <w:spacing w:line="360" w:lineRule="auto"/>
              <w:rPr>
                <w:rFonts w:hint="eastAsia" w:ascii="宋体" w:hAnsi="宋体"/>
                <w:szCs w:val="21"/>
              </w:rPr>
            </w:pPr>
            <w:r>
              <w:rPr>
                <w:rFonts w:hint="eastAsia" w:ascii="宋体" w:hAnsi="宋体"/>
                <w:szCs w:val="21"/>
                <w:lang w:eastAsia="zh-CN"/>
              </w:rPr>
              <w:t>供应商</w:t>
            </w:r>
            <w:r>
              <w:rPr>
                <w:rFonts w:hint="eastAsia" w:ascii="宋体" w:hAnsi="宋体"/>
                <w:szCs w:val="21"/>
              </w:rPr>
              <w:t>确认收到磋商文件澄清的时间</w:t>
            </w:r>
          </w:p>
        </w:tc>
        <w:tc>
          <w:tcPr>
            <w:tcW w:w="6643" w:type="dxa"/>
            <w:noWrap w:val="0"/>
            <w:vAlign w:val="center"/>
          </w:tcPr>
          <w:p w14:paraId="01C4234A">
            <w:pPr>
              <w:autoSpaceDE w:val="0"/>
              <w:autoSpaceDN w:val="0"/>
              <w:adjustRightInd w:val="0"/>
              <w:jc w:val="left"/>
              <w:rPr>
                <w:rFonts w:hint="eastAsia" w:ascii="宋体" w:hAnsi="宋体" w:cs="宋体"/>
                <w:color w:val="000000"/>
                <w:szCs w:val="21"/>
              </w:rPr>
            </w:pPr>
            <w:r>
              <w:rPr>
                <w:rFonts w:hint="eastAsia" w:ascii="宋体" w:hAnsi="宋体" w:cs="宋体"/>
                <w:color w:val="000000"/>
                <w:szCs w:val="21"/>
              </w:rPr>
              <w:t>在收到相应澄清文件后</w:t>
            </w:r>
            <w:r>
              <w:rPr>
                <w:rFonts w:ascii="宋体" w:hAnsi="宋体" w:cs="宋体"/>
                <w:color w:val="000000"/>
                <w:szCs w:val="21"/>
              </w:rPr>
              <w:t>24</w:t>
            </w:r>
            <w:r>
              <w:rPr>
                <w:rFonts w:hint="eastAsia" w:ascii="宋体" w:hAnsi="宋体" w:cs="宋体"/>
                <w:color w:val="000000"/>
                <w:szCs w:val="21"/>
              </w:rPr>
              <w:t>小时内。</w:t>
            </w:r>
          </w:p>
        </w:tc>
      </w:tr>
      <w:tr w14:paraId="7D95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90" w:type="dxa"/>
            <w:noWrap w:val="0"/>
            <w:vAlign w:val="center"/>
          </w:tcPr>
          <w:p w14:paraId="0A245A2F">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2.5</w:t>
            </w:r>
          </w:p>
        </w:tc>
        <w:tc>
          <w:tcPr>
            <w:tcW w:w="2109" w:type="dxa"/>
            <w:noWrap w:val="0"/>
            <w:vAlign w:val="center"/>
          </w:tcPr>
          <w:p w14:paraId="0235BDE3">
            <w:pPr>
              <w:autoSpaceDE w:val="0"/>
              <w:autoSpaceDN w:val="0"/>
              <w:adjustRightInd w:val="0"/>
              <w:spacing w:line="360" w:lineRule="auto"/>
              <w:jc w:val="left"/>
              <w:rPr>
                <w:rFonts w:hint="eastAsia" w:ascii="宋体" w:hAnsi="宋体"/>
                <w:szCs w:val="21"/>
              </w:rPr>
            </w:pPr>
            <w:r>
              <w:rPr>
                <w:rFonts w:hint="eastAsia" w:ascii="宋体" w:hAnsi="宋体"/>
                <w:szCs w:val="21"/>
              </w:rPr>
              <w:t>供应商确认收到磋商文件修改的时间</w:t>
            </w:r>
          </w:p>
        </w:tc>
        <w:tc>
          <w:tcPr>
            <w:tcW w:w="6643" w:type="dxa"/>
            <w:noWrap w:val="0"/>
            <w:vAlign w:val="center"/>
          </w:tcPr>
          <w:p w14:paraId="53BE479D">
            <w:pPr>
              <w:autoSpaceDE w:val="0"/>
              <w:autoSpaceDN w:val="0"/>
              <w:adjustRightInd w:val="0"/>
              <w:jc w:val="left"/>
              <w:rPr>
                <w:rFonts w:hint="eastAsia" w:ascii="宋体" w:hAnsi="宋体" w:cs="宋体"/>
                <w:color w:val="000000"/>
                <w:szCs w:val="21"/>
              </w:rPr>
            </w:pPr>
            <w:r>
              <w:rPr>
                <w:rFonts w:hint="eastAsia" w:ascii="宋体" w:hAnsi="宋体" w:cs="宋体"/>
                <w:color w:val="000000"/>
                <w:szCs w:val="21"/>
              </w:rPr>
              <w:t>在收到相应修改文件后</w:t>
            </w:r>
            <w:r>
              <w:rPr>
                <w:rFonts w:ascii="宋体" w:hAnsi="宋体" w:cs="宋体"/>
                <w:color w:val="000000"/>
                <w:szCs w:val="21"/>
              </w:rPr>
              <w:t>24</w:t>
            </w:r>
            <w:r>
              <w:rPr>
                <w:rFonts w:hint="eastAsia" w:ascii="宋体" w:hAnsi="宋体" w:cs="宋体"/>
                <w:color w:val="000000"/>
                <w:szCs w:val="21"/>
              </w:rPr>
              <w:t>小时内</w:t>
            </w:r>
          </w:p>
        </w:tc>
      </w:tr>
      <w:tr w14:paraId="35C4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90" w:type="dxa"/>
            <w:noWrap w:val="0"/>
            <w:vAlign w:val="center"/>
          </w:tcPr>
          <w:p w14:paraId="0CF2248C">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2.6</w:t>
            </w:r>
          </w:p>
        </w:tc>
        <w:tc>
          <w:tcPr>
            <w:tcW w:w="2109" w:type="dxa"/>
            <w:noWrap w:val="0"/>
            <w:vAlign w:val="center"/>
          </w:tcPr>
          <w:p w14:paraId="547312D2">
            <w:pPr>
              <w:autoSpaceDE w:val="0"/>
              <w:autoSpaceDN w:val="0"/>
              <w:adjustRightInd w:val="0"/>
              <w:jc w:val="left"/>
              <w:rPr>
                <w:rFonts w:hint="eastAsia" w:ascii="宋体" w:hAnsi="宋体"/>
                <w:szCs w:val="21"/>
              </w:rPr>
            </w:pPr>
            <w:r>
              <w:rPr>
                <w:rFonts w:hint="eastAsia" w:ascii="宋体" w:hAnsi="宋体"/>
                <w:szCs w:val="21"/>
              </w:rPr>
              <w:t>构成响应文件的其他材料</w:t>
            </w:r>
          </w:p>
        </w:tc>
        <w:tc>
          <w:tcPr>
            <w:tcW w:w="6643" w:type="dxa"/>
            <w:noWrap w:val="0"/>
            <w:vAlign w:val="center"/>
          </w:tcPr>
          <w:p w14:paraId="12303752">
            <w:pPr>
              <w:autoSpaceDE w:val="0"/>
              <w:autoSpaceDN w:val="0"/>
              <w:adjustRightInd w:val="0"/>
              <w:jc w:val="left"/>
              <w:rPr>
                <w:rFonts w:hint="eastAsia" w:ascii="宋体" w:hAnsi="宋体" w:cs="宋体"/>
                <w:color w:val="000000"/>
                <w:szCs w:val="21"/>
              </w:rPr>
            </w:pPr>
            <w:r>
              <w:rPr>
                <w:rFonts w:hint="eastAsia" w:ascii="宋体" w:hAnsi="宋体" w:cs="宋体"/>
                <w:color w:val="000000"/>
                <w:szCs w:val="21"/>
              </w:rPr>
              <w:t>无</w:t>
            </w:r>
          </w:p>
        </w:tc>
      </w:tr>
      <w:tr w14:paraId="7B688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890" w:type="dxa"/>
            <w:noWrap w:val="0"/>
            <w:vAlign w:val="center"/>
          </w:tcPr>
          <w:p w14:paraId="5C006E7D">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2.7</w:t>
            </w:r>
          </w:p>
        </w:tc>
        <w:tc>
          <w:tcPr>
            <w:tcW w:w="2109" w:type="dxa"/>
            <w:noWrap w:val="0"/>
            <w:vAlign w:val="center"/>
          </w:tcPr>
          <w:p w14:paraId="38F451B8">
            <w:pPr>
              <w:spacing w:line="360" w:lineRule="auto"/>
              <w:rPr>
                <w:rFonts w:ascii="宋体" w:hAnsi="宋体" w:cs="宋体"/>
                <w:color w:val="000000"/>
                <w:szCs w:val="21"/>
              </w:rPr>
            </w:pPr>
            <w:r>
              <w:rPr>
                <w:rFonts w:hint="eastAsia" w:ascii="宋体" w:hAnsi="宋体" w:cs="宋体"/>
                <w:color w:val="000000"/>
                <w:szCs w:val="21"/>
              </w:rPr>
              <w:t>磋商有效期</w:t>
            </w:r>
          </w:p>
        </w:tc>
        <w:tc>
          <w:tcPr>
            <w:tcW w:w="6643" w:type="dxa"/>
            <w:noWrap w:val="0"/>
            <w:vAlign w:val="center"/>
          </w:tcPr>
          <w:p w14:paraId="50320E44">
            <w:pPr>
              <w:spacing w:line="360" w:lineRule="auto"/>
              <w:rPr>
                <w:rFonts w:ascii="宋体" w:hAnsi="宋体" w:cs="宋体"/>
                <w:color w:val="000000"/>
                <w:szCs w:val="21"/>
              </w:rPr>
            </w:pPr>
            <w:r>
              <w:rPr>
                <w:rFonts w:hint="eastAsia" w:ascii="宋体" w:hAnsi="宋体" w:cs="宋体"/>
                <w:color w:val="000000"/>
                <w:szCs w:val="21"/>
              </w:rPr>
              <w:t>磋商截止时间起60日历天</w:t>
            </w:r>
          </w:p>
        </w:tc>
      </w:tr>
      <w:tr w14:paraId="3F30C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890" w:type="dxa"/>
            <w:noWrap w:val="0"/>
            <w:vAlign w:val="center"/>
          </w:tcPr>
          <w:p w14:paraId="6E9503BA">
            <w:pPr>
              <w:spacing w:line="360" w:lineRule="auto"/>
              <w:jc w:val="center"/>
              <w:rPr>
                <w:rFonts w:hint="default" w:ascii="宋体" w:hAnsi="宋体" w:eastAsia="宋体" w:cs="宋体"/>
                <w:color w:val="000000"/>
                <w:szCs w:val="21"/>
                <w:lang w:val="en-US" w:eastAsia="zh-CN"/>
              </w:rPr>
            </w:pPr>
            <w:r>
              <w:rPr>
                <w:rFonts w:hint="eastAsia" w:ascii="宋体" w:hAnsi="宋体" w:eastAsia="宋体" w:cs="宋体"/>
                <w:color w:val="000000"/>
                <w:szCs w:val="21"/>
                <w:lang w:val="en-US" w:eastAsia="zh-CN"/>
              </w:rPr>
              <w:t>2.8</w:t>
            </w:r>
          </w:p>
        </w:tc>
        <w:tc>
          <w:tcPr>
            <w:tcW w:w="2109" w:type="dxa"/>
            <w:noWrap w:val="0"/>
            <w:vAlign w:val="center"/>
          </w:tcPr>
          <w:p w14:paraId="7BDC69F7">
            <w:pPr>
              <w:spacing w:line="360" w:lineRule="auto"/>
              <w:rPr>
                <w:rFonts w:hint="eastAsia" w:ascii="宋体" w:hAnsi="宋体" w:eastAsia="宋体" w:cs="宋体"/>
                <w:color w:val="000000"/>
                <w:szCs w:val="21"/>
              </w:rPr>
            </w:pPr>
            <w:r>
              <w:rPr>
                <w:rFonts w:hint="eastAsia" w:ascii="宋体" w:hAnsi="宋体" w:eastAsia="宋体" w:cs="宋体"/>
                <w:color w:val="000000"/>
                <w:szCs w:val="21"/>
                <w:lang w:val="en-US" w:eastAsia="zh-CN"/>
              </w:rPr>
              <w:t>磋商</w:t>
            </w:r>
            <w:r>
              <w:rPr>
                <w:rFonts w:hint="eastAsia" w:ascii="宋体" w:hAnsi="宋体" w:eastAsia="宋体" w:cs="宋体"/>
                <w:color w:val="000000"/>
                <w:szCs w:val="21"/>
              </w:rPr>
              <w:t>保证金</w:t>
            </w:r>
          </w:p>
        </w:tc>
        <w:tc>
          <w:tcPr>
            <w:tcW w:w="6643" w:type="dxa"/>
            <w:noWrap w:val="0"/>
            <w:vAlign w:val="center"/>
          </w:tcPr>
          <w:p w14:paraId="5837BC08">
            <w:pPr>
              <w:spacing w:line="360" w:lineRule="auto"/>
              <w:rPr>
                <w:rFonts w:hint="eastAsia" w:ascii="宋体" w:hAnsi="宋体" w:eastAsia="宋体" w:cs="宋体"/>
                <w:color w:val="000000"/>
                <w:szCs w:val="21"/>
              </w:rPr>
            </w:pPr>
            <w:r>
              <w:rPr>
                <w:rFonts w:hint="eastAsia" w:ascii="宋体" w:hAnsi="宋体" w:eastAsia="宋体" w:cs="宋体"/>
                <w:color w:val="000000"/>
                <w:szCs w:val="21"/>
              </w:rPr>
              <w:t>根据《河南省财政厅关于优化政府采购营商环境有关问题的通知》（豫财购【2019】4号）第6条的规定，磋商保证金不再收取。</w:t>
            </w:r>
          </w:p>
        </w:tc>
      </w:tr>
      <w:tr w14:paraId="3DB52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890" w:type="dxa"/>
            <w:noWrap w:val="0"/>
            <w:vAlign w:val="center"/>
          </w:tcPr>
          <w:p w14:paraId="4F6CFEBA">
            <w:pPr>
              <w:spacing w:line="360" w:lineRule="auto"/>
              <w:jc w:val="center"/>
              <w:rPr>
                <w:rFonts w:hint="eastAsia" w:ascii="宋体" w:hAnsi="宋体" w:eastAsia="宋体" w:cs="宋体"/>
                <w:color w:val="000000"/>
                <w:szCs w:val="21"/>
                <w:lang w:eastAsia="zh-CN"/>
              </w:rPr>
            </w:pPr>
            <w:r>
              <w:rPr>
                <w:rFonts w:hint="eastAsia" w:ascii="宋体" w:hAnsi="宋体" w:cs="宋体"/>
                <w:color w:val="000000"/>
                <w:szCs w:val="21"/>
              </w:rPr>
              <w:t>3.</w:t>
            </w:r>
            <w:r>
              <w:rPr>
                <w:rFonts w:hint="eastAsia" w:ascii="宋体" w:hAnsi="宋体" w:cs="宋体"/>
                <w:color w:val="000000"/>
                <w:szCs w:val="21"/>
                <w:lang w:val="en-US" w:eastAsia="zh-CN"/>
              </w:rPr>
              <w:t>0</w:t>
            </w:r>
          </w:p>
        </w:tc>
        <w:tc>
          <w:tcPr>
            <w:tcW w:w="2109" w:type="dxa"/>
            <w:noWrap w:val="0"/>
            <w:vAlign w:val="center"/>
          </w:tcPr>
          <w:p w14:paraId="64FBDE72">
            <w:pPr>
              <w:spacing w:line="360" w:lineRule="auto"/>
              <w:rPr>
                <w:rFonts w:ascii="宋体" w:hAnsi="宋体" w:cs="宋体"/>
                <w:color w:val="000000"/>
                <w:szCs w:val="21"/>
              </w:rPr>
            </w:pPr>
            <w:r>
              <w:rPr>
                <w:rFonts w:hint="eastAsia" w:ascii="宋体" w:hAnsi="宋体" w:cs="宋体"/>
                <w:color w:val="000000"/>
                <w:szCs w:val="21"/>
              </w:rPr>
              <w:t>近年完成的类似项目的年份要求</w:t>
            </w:r>
          </w:p>
        </w:tc>
        <w:tc>
          <w:tcPr>
            <w:tcW w:w="6643" w:type="dxa"/>
            <w:noWrap w:val="0"/>
            <w:vAlign w:val="center"/>
          </w:tcPr>
          <w:p w14:paraId="0C8FEF50">
            <w:pPr>
              <w:spacing w:line="360" w:lineRule="auto"/>
              <w:rPr>
                <w:rFonts w:ascii="宋体" w:hAnsi="宋体" w:cs="宋体"/>
                <w:color w:val="000000"/>
                <w:szCs w:val="21"/>
              </w:rPr>
            </w:pPr>
            <w:r>
              <w:rPr>
                <w:rFonts w:hint="eastAsia" w:ascii="宋体" w:hAnsi="宋体" w:cs="宋体"/>
                <w:color w:val="000000"/>
                <w:szCs w:val="21"/>
              </w:rPr>
              <w:t>20</w:t>
            </w:r>
            <w:r>
              <w:rPr>
                <w:rFonts w:hint="eastAsia" w:ascii="宋体" w:hAnsi="宋体" w:cs="宋体"/>
                <w:color w:val="000000"/>
                <w:szCs w:val="21"/>
                <w:lang w:val="en-US" w:eastAsia="zh-CN"/>
              </w:rPr>
              <w:t>23</w:t>
            </w:r>
            <w:r>
              <w:rPr>
                <w:rFonts w:hint="eastAsia" w:ascii="宋体" w:hAnsi="宋体" w:cs="宋体"/>
                <w:color w:val="000000"/>
                <w:szCs w:val="21"/>
              </w:rPr>
              <w:t>年---至今</w:t>
            </w:r>
          </w:p>
        </w:tc>
      </w:tr>
      <w:tr w14:paraId="1FF0B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90" w:type="dxa"/>
            <w:noWrap w:val="0"/>
            <w:vAlign w:val="center"/>
          </w:tcPr>
          <w:p w14:paraId="008FCEFD">
            <w:pPr>
              <w:spacing w:line="360" w:lineRule="auto"/>
              <w:jc w:val="center"/>
              <w:rPr>
                <w:rFonts w:hint="eastAsia" w:ascii="宋体" w:hAnsi="宋体" w:eastAsia="宋体" w:cs="宋体"/>
                <w:color w:val="000000"/>
                <w:szCs w:val="21"/>
                <w:lang w:eastAsia="zh-CN"/>
              </w:rPr>
            </w:pPr>
            <w:r>
              <w:rPr>
                <w:rFonts w:hint="eastAsia" w:ascii="宋体" w:hAnsi="宋体" w:cs="宋体"/>
                <w:color w:val="000000"/>
                <w:szCs w:val="21"/>
              </w:rPr>
              <w:t>3.</w:t>
            </w:r>
            <w:r>
              <w:rPr>
                <w:rFonts w:hint="eastAsia" w:ascii="宋体" w:hAnsi="宋体" w:cs="宋体"/>
                <w:color w:val="000000"/>
                <w:szCs w:val="21"/>
                <w:lang w:val="en-US" w:eastAsia="zh-CN"/>
              </w:rPr>
              <w:t>2</w:t>
            </w:r>
          </w:p>
        </w:tc>
        <w:tc>
          <w:tcPr>
            <w:tcW w:w="2109" w:type="dxa"/>
            <w:noWrap w:val="0"/>
            <w:vAlign w:val="center"/>
          </w:tcPr>
          <w:p w14:paraId="17807248">
            <w:pPr>
              <w:spacing w:line="360" w:lineRule="auto"/>
              <w:rPr>
                <w:rFonts w:ascii="宋体" w:hAnsi="宋体" w:cs="宋体"/>
                <w:color w:val="000000"/>
                <w:szCs w:val="21"/>
              </w:rPr>
            </w:pPr>
            <w:r>
              <w:rPr>
                <w:rFonts w:hint="eastAsia" w:ascii="宋体" w:hAnsi="宋体" w:cs="宋体"/>
                <w:color w:val="000000"/>
                <w:szCs w:val="21"/>
              </w:rPr>
              <w:t>是否允许递交备选投标方案</w:t>
            </w:r>
          </w:p>
        </w:tc>
        <w:tc>
          <w:tcPr>
            <w:tcW w:w="6643" w:type="dxa"/>
            <w:noWrap w:val="0"/>
            <w:vAlign w:val="center"/>
          </w:tcPr>
          <w:p w14:paraId="032529FC">
            <w:pPr>
              <w:spacing w:line="360" w:lineRule="auto"/>
              <w:rPr>
                <w:rFonts w:ascii="宋体" w:hAnsi="宋体" w:cs="宋体"/>
                <w:color w:val="000000"/>
                <w:szCs w:val="21"/>
              </w:rPr>
            </w:pPr>
            <w:r>
              <w:rPr>
                <w:rFonts w:hint="eastAsia" w:ascii="宋体" w:hAnsi="宋体" w:cs="宋体"/>
                <w:color w:val="000000"/>
                <w:szCs w:val="21"/>
              </w:rPr>
              <w:t>不允许</w:t>
            </w:r>
          </w:p>
        </w:tc>
      </w:tr>
      <w:tr w14:paraId="3063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90" w:type="dxa"/>
            <w:noWrap w:val="0"/>
            <w:vAlign w:val="center"/>
          </w:tcPr>
          <w:p w14:paraId="3EAF5615">
            <w:pPr>
              <w:spacing w:line="360" w:lineRule="auto"/>
              <w:jc w:val="center"/>
              <w:rPr>
                <w:rFonts w:hint="eastAsia" w:ascii="宋体" w:hAnsi="宋体" w:eastAsia="宋体" w:cs="宋体"/>
                <w:color w:val="000000"/>
                <w:szCs w:val="21"/>
                <w:lang w:eastAsia="zh-CN"/>
              </w:rPr>
            </w:pPr>
            <w:r>
              <w:rPr>
                <w:rFonts w:hint="eastAsia" w:ascii="宋体" w:hAnsi="宋体" w:cs="宋体"/>
                <w:color w:val="000000"/>
                <w:szCs w:val="21"/>
              </w:rPr>
              <w:t>3.</w:t>
            </w:r>
            <w:r>
              <w:rPr>
                <w:rFonts w:hint="eastAsia" w:ascii="宋体" w:hAnsi="宋体" w:cs="宋体"/>
                <w:color w:val="000000"/>
                <w:szCs w:val="21"/>
                <w:lang w:val="en-US" w:eastAsia="zh-CN"/>
              </w:rPr>
              <w:t>3</w:t>
            </w:r>
          </w:p>
        </w:tc>
        <w:tc>
          <w:tcPr>
            <w:tcW w:w="2109" w:type="dxa"/>
            <w:noWrap w:val="0"/>
            <w:vAlign w:val="center"/>
          </w:tcPr>
          <w:p w14:paraId="0D4DDCB7">
            <w:pPr>
              <w:widowControl/>
              <w:spacing w:line="360" w:lineRule="auto"/>
              <w:rPr>
                <w:rFonts w:hint="eastAsia" w:ascii="宋体" w:hAnsi="宋体" w:cs="宋体"/>
                <w:color w:val="000000"/>
                <w:szCs w:val="21"/>
              </w:rPr>
            </w:pPr>
            <w:r>
              <w:rPr>
                <w:rFonts w:hint="eastAsia" w:ascii="宋体" w:hAnsi="宋体" w:cs="宋体"/>
                <w:color w:val="000000"/>
                <w:szCs w:val="21"/>
              </w:rPr>
              <w:t>响应文件份数</w:t>
            </w:r>
          </w:p>
        </w:tc>
        <w:tc>
          <w:tcPr>
            <w:tcW w:w="6643" w:type="dxa"/>
            <w:noWrap w:val="0"/>
            <w:vAlign w:val="center"/>
          </w:tcPr>
          <w:p w14:paraId="451FBBB1">
            <w:pPr>
              <w:widowControl/>
              <w:jc w:val="left"/>
              <w:rPr>
                <w:rFonts w:hint="eastAsia" w:ascii="宋体" w:hAnsi="宋体" w:cs="宋体"/>
                <w:color w:val="000000"/>
                <w:szCs w:val="21"/>
              </w:rPr>
            </w:pPr>
            <w:r>
              <w:rPr>
                <w:rFonts w:hint="eastAsia" w:ascii="宋体" w:hAnsi="宋体" w:cs="宋体"/>
                <w:color w:val="000000"/>
                <w:szCs w:val="21"/>
              </w:rPr>
              <w:t>电子化响应文件一份</w:t>
            </w:r>
          </w:p>
        </w:tc>
      </w:tr>
      <w:tr w14:paraId="7B125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90" w:type="dxa"/>
            <w:noWrap w:val="0"/>
            <w:vAlign w:val="center"/>
          </w:tcPr>
          <w:p w14:paraId="7D656240">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3.4</w:t>
            </w:r>
          </w:p>
        </w:tc>
        <w:tc>
          <w:tcPr>
            <w:tcW w:w="2109" w:type="dxa"/>
            <w:noWrap w:val="0"/>
            <w:vAlign w:val="center"/>
          </w:tcPr>
          <w:p w14:paraId="02A9EE89">
            <w:pPr>
              <w:spacing w:line="360" w:lineRule="auto"/>
              <w:rPr>
                <w:rFonts w:hint="eastAsia" w:ascii="宋体" w:hAnsi="宋体" w:eastAsia="宋体" w:cs="宋体"/>
                <w:color w:val="000000"/>
                <w:szCs w:val="21"/>
              </w:rPr>
            </w:pPr>
            <w:r>
              <w:rPr>
                <w:rFonts w:hint="eastAsia" w:ascii="宋体" w:hAnsi="宋体" w:eastAsia="宋体" w:cs="宋体"/>
                <w:color w:val="000000"/>
                <w:szCs w:val="21"/>
              </w:rPr>
              <w:t>响应文件的签章</w:t>
            </w:r>
          </w:p>
        </w:tc>
        <w:tc>
          <w:tcPr>
            <w:tcW w:w="6643" w:type="dxa"/>
            <w:noWrap w:val="0"/>
            <w:vAlign w:val="center"/>
          </w:tcPr>
          <w:p w14:paraId="5910164E">
            <w:pPr>
              <w:spacing w:line="360" w:lineRule="auto"/>
              <w:rPr>
                <w:rFonts w:hint="eastAsia" w:ascii="宋体" w:hAnsi="宋体" w:eastAsia="宋体" w:cs="宋体"/>
                <w:color w:val="000000"/>
                <w:szCs w:val="21"/>
              </w:rPr>
            </w:pPr>
            <w:r>
              <w:rPr>
                <w:rFonts w:hint="eastAsia" w:ascii="宋体" w:hAnsi="宋体" w:eastAsia="宋体" w:cs="宋体"/>
                <w:color w:val="000000"/>
                <w:szCs w:val="21"/>
              </w:rPr>
              <w:t>电子化</w:t>
            </w:r>
            <w:r>
              <w:rPr>
                <w:rFonts w:hint="eastAsia" w:ascii="宋体" w:hAnsi="宋体" w:cs="宋体"/>
                <w:color w:val="000000"/>
                <w:szCs w:val="21"/>
                <w:lang w:val="en-US" w:eastAsia="zh-CN"/>
              </w:rPr>
              <w:t>响应</w:t>
            </w:r>
            <w:r>
              <w:rPr>
                <w:rFonts w:hint="eastAsia" w:ascii="宋体" w:hAnsi="宋体" w:eastAsia="宋体" w:cs="宋体"/>
                <w:color w:val="000000"/>
                <w:szCs w:val="21"/>
              </w:rPr>
              <w:t>文件的签章：</w:t>
            </w:r>
          </w:p>
          <w:p w14:paraId="50E8892E">
            <w:pPr>
              <w:spacing w:line="360" w:lineRule="auto"/>
              <w:rPr>
                <w:rFonts w:hint="eastAsia" w:ascii="宋体" w:hAnsi="宋体" w:eastAsia="宋体" w:cs="宋体"/>
                <w:color w:val="000000"/>
                <w:szCs w:val="21"/>
              </w:rPr>
            </w:pPr>
            <w:r>
              <w:rPr>
                <w:rFonts w:hint="eastAsia" w:ascii="宋体" w:hAnsi="宋体" w:eastAsia="宋体" w:cs="宋体"/>
                <w:color w:val="000000"/>
                <w:szCs w:val="21"/>
              </w:rPr>
              <w:t>1、</w:t>
            </w:r>
            <w:r>
              <w:rPr>
                <w:rFonts w:hint="eastAsia" w:ascii="宋体" w:hAnsi="宋体" w:eastAsia="宋体" w:cs="宋体"/>
                <w:color w:val="000000"/>
                <w:szCs w:val="21"/>
                <w:lang w:eastAsia="zh-CN"/>
              </w:rPr>
              <w:t>供应商</w:t>
            </w:r>
            <w:r>
              <w:rPr>
                <w:rFonts w:hint="eastAsia" w:ascii="宋体" w:hAnsi="宋体" w:eastAsia="宋体" w:cs="宋体"/>
                <w:color w:val="000000"/>
                <w:szCs w:val="21"/>
              </w:rPr>
              <w:t>在生成电子化</w:t>
            </w:r>
            <w:r>
              <w:rPr>
                <w:rFonts w:hint="eastAsia" w:ascii="宋体" w:hAnsi="宋体" w:cs="宋体"/>
                <w:color w:val="000000"/>
                <w:szCs w:val="21"/>
                <w:lang w:val="en-US" w:eastAsia="zh-CN"/>
              </w:rPr>
              <w:t>响应</w:t>
            </w:r>
            <w:r>
              <w:rPr>
                <w:rFonts w:hint="eastAsia" w:ascii="宋体" w:hAnsi="宋体" w:eastAsia="宋体" w:cs="宋体"/>
                <w:color w:val="000000"/>
                <w:szCs w:val="21"/>
              </w:rPr>
              <w:t>文件后，应对电子化</w:t>
            </w:r>
            <w:r>
              <w:rPr>
                <w:rFonts w:hint="eastAsia" w:ascii="宋体" w:hAnsi="宋体" w:cs="宋体"/>
                <w:color w:val="000000"/>
                <w:szCs w:val="21"/>
                <w:lang w:val="en-US" w:eastAsia="zh-CN"/>
              </w:rPr>
              <w:t>响应</w:t>
            </w:r>
            <w:r>
              <w:rPr>
                <w:rFonts w:hint="eastAsia" w:ascii="宋体" w:hAnsi="宋体" w:eastAsia="宋体" w:cs="宋体"/>
                <w:color w:val="000000"/>
                <w:szCs w:val="21"/>
              </w:rPr>
              <w:t>文件进行签章，未对电子化文件进行签章的视为无效投标。</w:t>
            </w:r>
          </w:p>
          <w:p w14:paraId="487B9C27">
            <w:pPr>
              <w:spacing w:line="360" w:lineRule="auto"/>
              <w:rPr>
                <w:rFonts w:hint="eastAsia" w:ascii="宋体" w:hAnsi="宋体" w:eastAsia="宋体" w:cs="宋体"/>
                <w:color w:val="000000"/>
                <w:szCs w:val="21"/>
              </w:rPr>
            </w:pPr>
            <w:r>
              <w:rPr>
                <w:rFonts w:hint="eastAsia" w:ascii="宋体" w:hAnsi="宋体" w:eastAsia="宋体" w:cs="宋体"/>
                <w:color w:val="000000"/>
                <w:szCs w:val="21"/>
              </w:rPr>
              <w:t>2、磋商文件中要求法定代表人或授权委托人盖章的，</w:t>
            </w:r>
            <w:r>
              <w:rPr>
                <w:rFonts w:hint="eastAsia" w:ascii="宋体" w:hAnsi="宋体" w:eastAsia="宋体" w:cs="宋体"/>
                <w:color w:val="000000"/>
                <w:szCs w:val="21"/>
                <w:lang w:eastAsia="zh-CN"/>
              </w:rPr>
              <w:t>供应商</w:t>
            </w:r>
            <w:r>
              <w:rPr>
                <w:rFonts w:hint="eastAsia" w:ascii="宋体" w:hAnsi="宋体" w:eastAsia="宋体" w:cs="宋体"/>
                <w:color w:val="000000"/>
                <w:szCs w:val="21"/>
              </w:rPr>
              <w:t>在进行电子化</w:t>
            </w:r>
            <w:r>
              <w:rPr>
                <w:rFonts w:hint="eastAsia" w:ascii="宋体" w:hAnsi="宋体" w:cs="宋体"/>
                <w:color w:val="000000"/>
                <w:szCs w:val="21"/>
                <w:lang w:val="en-US" w:eastAsia="zh-CN"/>
              </w:rPr>
              <w:t>响应</w:t>
            </w:r>
            <w:r>
              <w:rPr>
                <w:rFonts w:hint="eastAsia" w:ascii="宋体" w:hAnsi="宋体" w:eastAsia="宋体" w:cs="宋体"/>
                <w:color w:val="000000"/>
                <w:szCs w:val="21"/>
              </w:rPr>
              <w:t>文件签章时，以签盖法定代表人签章为准。</w:t>
            </w:r>
          </w:p>
          <w:p w14:paraId="39C4EDD7">
            <w:pPr>
              <w:spacing w:line="360" w:lineRule="auto"/>
              <w:rPr>
                <w:rFonts w:hint="eastAsia" w:ascii="宋体" w:hAnsi="宋体" w:eastAsia="宋体" w:cs="宋体"/>
                <w:color w:val="000000"/>
                <w:szCs w:val="21"/>
              </w:rPr>
            </w:pPr>
            <w:r>
              <w:rPr>
                <w:rFonts w:hint="eastAsia" w:ascii="宋体" w:hAnsi="宋体" w:eastAsia="宋体" w:cs="宋体"/>
                <w:color w:val="000000"/>
                <w:szCs w:val="21"/>
              </w:rPr>
              <w:t>3、电子化</w:t>
            </w:r>
            <w:r>
              <w:rPr>
                <w:rFonts w:hint="eastAsia" w:ascii="宋体" w:hAnsi="宋体" w:cs="宋体"/>
                <w:color w:val="000000"/>
                <w:szCs w:val="21"/>
                <w:lang w:val="en-US" w:eastAsia="zh-CN"/>
              </w:rPr>
              <w:t>响应</w:t>
            </w:r>
            <w:r>
              <w:rPr>
                <w:rFonts w:hint="eastAsia" w:ascii="宋体" w:hAnsi="宋体" w:eastAsia="宋体" w:cs="宋体"/>
                <w:color w:val="000000"/>
                <w:szCs w:val="21"/>
              </w:rPr>
              <w:t>文件工具请在三门峡市公共资源交易中心网首页“帮助中心”下载。</w:t>
            </w:r>
          </w:p>
        </w:tc>
      </w:tr>
      <w:tr w14:paraId="4CD17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90" w:type="dxa"/>
            <w:noWrap w:val="0"/>
            <w:vAlign w:val="center"/>
          </w:tcPr>
          <w:p w14:paraId="55A3A3E7">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3.5</w:t>
            </w:r>
          </w:p>
        </w:tc>
        <w:tc>
          <w:tcPr>
            <w:tcW w:w="2109" w:type="dxa"/>
            <w:noWrap w:val="0"/>
            <w:vAlign w:val="center"/>
          </w:tcPr>
          <w:p w14:paraId="1D9FA66D">
            <w:pPr>
              <w:spacing w:line="360" w:lineRule="auto"/>
              <w:rPr>
                <w:rFonts w:ascii="宋体" w:hAnsi="宋体" w:cs="宋体"/>
                <w:color w:val="000000"/>
                <w:kern w:val="0"/>
                <w:szCs w:val="21"/>
              </w:rPr>
            </w:pPr>
            <w:r>
              <w:rPr>
                <w:rFonts w:hint="eastAsia" w:ascii="宋体" w:hAnsi="宋体" w:cs="宋体"/>
                <w:color w:val="000000"/>
                <w:kern w:val="0"/>
                <w:szCs w:val="21"/>
              </w:rPr>
              <w:t>投标截止时间</w:t>
            </w:r>
          </w:p>
        </w:tc>
        <w:tc>
          <w:tcPr>
            <w:tcW w:w="6643" w:type="dxa"/>
            <w:noWrap w:val="0"/>
            <w:vAlign w:val="center"/>
          </w:tcPr>
          <w:p w14:paraId="3EE656DA">
            <w:pPr>
              <w:rPr>
                <w:rFonts w:ascii="宋体" w:hAnsi="宋体" w:cs="宋体"/>
                <w:color w:val="000000"/>
                <w:szCs w:val="21"/>
              </w:rPr>
            </w:pPr>
            <w:r>
              <w:rPr>
                <w:rFonts w:hint="eastAsia" w:ascii="宋体" w:hAnsi="宋体" w:cs="宋体"/>
                <w:color w:val="000000"/>
                <w:szCs w:val="21"/>
              </w:rPr>
              <w:t>同磋商时间。</w:t>
            </w:r>
          </w:p>
        </w:tc>
      </w:tr>
      <w:tr w14:paraId="1842C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90" w:type="dxa"/>
            <w:noWrap w:val="0"/>
            <w:vAlign w:val="center"/>
          </w:tcPr>
          <w:p w14:paraId="58BEB570">
            <w:pPr>
              <w:spacing w:line="360" w:lineRule="auto"/>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3.6</w:t>
            </w:r>
          </w:p>
        </w:tc>
        <w:tc>
          <w:tcPr>
            <w:tcW w:w="2109" w:type="dxa"/>
            <w:noWrap w:val="0"/>
            <w:vAlign w:val="center"/>
          </w:tcPr>
          <w:p w14:paraId="7949013B">
            <w:pPr>
              <w:spacing w:line="360" w:lineRule="auto"/>
              <w:rPr>
                <w:rFonts w:ascii="宋体" w:hAnsi="宋体" w:cs="宋体"/>
                <w:color w:val="auto"/>
                <w:szCs w:val="21"/>
              </w:rPr>
            </w:pPr>
            <w:r>
              <w:rPr>
                <w:rFonts w:hint="eastAsia" w:ascii="宋体" w:hAnsi="宋体" w:cs="宋体"/>
                <w:color w:val="auto"/>
                <w:szCs w:val="21"/>
              </w:rPr>
              <w:t>磋商时间和地点</w:t>
            </w:r>
          </w:p>
        </w:tc>
        <w:tc>
          <w:tcPr>
            <w:tcW w:w="6643" w:type="dxa"/>
            <w:noWrap w:val="0"/>
            <w:vAlign w:val="center"/>
          </w:tcPr>
          <w:p w14:paraId="2CAD208F">
            <w:pPr>
              <w:spacing w:line="360" w:lineRule="auto"/>
              <w:rPr>
                <w:rFonts w:hint="eastAsia" w:ascii="宋体" w:hAnsi="宋体" w:eastAsia="宋体" w:cs="宋体"/>
                <w:color w:val="auto"/>
                <w:szCs w:val="21"/>
                <w:lang w:val="en-US" w:eastAsia="zh-CN"/>
              </w:rPr>
            </w:pPr>
            <w:r>
              <w:rPr>
                <w:rFonts w:hint="eastAsia" w:ascii="宋体" w:hAnsi="宋体" w:eastAsia="宋体" w:cs="宋体"/>
                <w:color w:val="auto"/>
                <w:szCs w:val="21"/>
              </w:rPr>
              <w:t>磋商</w:t>
            </w:r>
            <w:r>
              <w:rPr>
                <w:rFonts w:hint="eastAsia" w:ascii="宋体" w:hAnsi="宋体" w:eastAsia="宋体" w:cs="宋体"/>
                <w:color w:val="auto"/>
                <w:szCs w:val="21"/>
                <w:lang w:val="en-US" w:eastAsia="zh-CN"/>
              </w:rPr>
              <w:t>时间：202</w:t>
            </w:r>
            <w:r>
              <w:rPr>
                <w:rFonts w:hint="eastAsia" w:ascii="宋体" w:hAnsi="宋体" w:cs="宋体"/>
                <w:color w:val="auto"/>
                <w:szCs w:val="21"/>
                <w:lang w:val="en-US" w:eastAsia="zh-CN"/>
              </w:rPr>
              <w:t>6</w:t>
            </w:r>
            <w:r>
              <w:rPr>
                <w:rFonts w:hint="eastAsia" w:ascii="宋体" w:hAnsi="宋体" w:eastAsia="宋体" w:cs="宋体"/>
                <w:color w:val="auto"/>
                <w:szCs w:val="21"/>
                <w:lang w:val="en-US" w:eastAsia="zh-CN"/>
              </w:rPr>
              <w:t>年</w:t>
            </w:r>
            <w:r>
              <w:rPr>
                <w:rFonts w:hint="eastAsia" w:ascii="宋体" w:hAnsi="宋体" w:cs="宋体"/>
                <w:color w:val="auto"/>
                <w:szCs w:val="21"/>
                <w:lang w:val="en-US" w:eastAsia="zh-CN"/>
              </w:rPr>
              <w:t>11月03日08</w:t>
            </w:r>
            <w:r>
              <w:rPr>
                <w:rFonts w:hint="eastAsia" w:ascii="宋体" w:hAnsi="宋体" w:eastAsia="宋体" w:cs="宋体"/>
                <w:color w:val="auto"/>
                <w:szCs w:val="21"/>
                <w:lang w:val="en-US" w:eastAsia="zh-CN"/>
              </w:rPr>
              <w:t>时</w:t>
            </w:r>
            <w:r>
              <w:rPr>
                <w:rFonts w:hint="eastAsia" w:ascii="宋体" w:hAnsi="宋体" w:cs="宋体"/>
                <w:color w:val="auto"/>
                <w:szCs w:val="21"/>
                <w:lang w:val="en-US" w:eastAsia="zh-CN"/>
              </w:rPr>
              <w:t>2</w:t>
            </w:r>
            <w:r>
              <w:rPr>
                <w:rFonts w:hint="eastAsia" w:ascii="宋体" w:hAnsi="宋体" w:eastAsia="宋体" w:cs="宋体"/>
                <w:color w:val="auto"/>
                <w:szCs w:val="21"/>
                <w:lang w:val="en-US" w:eastAsia="zh-CN"/>
              </w:rPr>
              <w:t>0分（北京时间）。</w:t>
            </w:r>
          </w:p>
          <w:p w14:paraId="4D6B4C0F">
            <w:pPr>
              <w:spacing w:line="360" w:lineRule="auto"/>
              <w:rPr>
                <w:rFonts w:ascii="宋体" w:hAnsi="宋体" w:cs="宋体"/>
                <w:color w:val="auto"/>
                <w:szCs w:val="21"/>
              </w:rPr>
            </w:pPr>
            <w:r>
              <w:rPr>
                <w:rFonts w:hint="eastAsia" w:ascii="宋体" w:hAnsi="宋体" w:eastAsia="宋体" w:cs="宋体"/>
                <w:color w:val="auto"/>
                <w:szCs w:val="21"/>
              </w:rPr>
              <w:t>磋商地点：</w:t>
            </w:r>
            <w:r>
              <w:rPr>
                <w:rFonts w:hint="eastAsia" w:ascii="宋体" w:hAnsi="宋体" w:eastAsia="宋体" w:cs="宋体"/>
                <w:color w:val="auto"/>
                <w:szCs w:val="21"/>
                <w:lang w:val="en-US" w:eastAsia="zh-CN"/>
              </w:rPr>
              <w:t>三门峡市</w:t>
            </w:r>
            <w:r>
              <w:rPr>
                <w:rFonts w:hint="eastAsia" w:ascii="宋体" w:hAnsi="宋体" w:cs="宋体"/>
                <w:color w:val="auto"/>
                <w:szCs w:val="21"/>
                <w:lang w:val="en-US" w:eastAsia="zh-CN"/>
              </w:rPr>
              <w:t>陕州区</w:t>
            </w:r>
            <w:r>
              <w:rPr>
                <w:rFonts w:hint="eastAsia" w:ascii="宋体" w:hAnsi="宋体" w:eastAsia="宋体" w:cs="宋体"/>
                <w:color w:val="auto"/>
                <w:szCs w:val="21"/>
                <w:lang w:val="en-US" w:eastAsia="zh-CN"/>
              </w:rPr>
              <w:t>公共资源交易中心开标</w:t>
            </w:r>
            <w:r>
              <w:rPr>
                <w:rFonts w:hint="eastAsia" w:ascii="宋体" w:hAnsi="宋体" w:cs="宋体"/>
                <w:color w:val="auto"/>
                <w:szCs w:val="21"/>
                <w:lang w:val="en-US" w:eastAsia="zh-CN"/>
              </w:rPr>
              <w:t>一</w:t>
            </w:r>
            <w:r>
              <w:rPr>
                <w:rFonts w:hint="eastAsia" w:ascii="宋体" w:hAnsi="宋体" w:eastAsia="宋体" w:cs="宋体"/>
                <w:color w:val="auto"/>
                <w:szCs w:val="21"/>
                <w:lang w:val="en-US" w:eastAsia="zh-CN"/>
              </w:rPr>
              <w:t>室</w:t>
            </w:r>
            <w:r>
              <w:rPr>
                <w:rFonts w:hint="eastAsia" w:ascii="宋体" w:hAnsi="宋体" w:eastAsia="宋体" w:cs="宋体"/>
                <w:color w:val="auto"/>
                <w:szCs w:val="21"/>
              </w:rPr>
              <w:t>。</w:t>
            </w:r>
          </w:p>
        </w:tc>
      </w:tr>
      <w:tr w14:paraId="2A9B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890" w:type="dxa"/>
            <w:noWrap w:val="0"/>
            <w:vAlign w:val="center"/>
          </w:tcPr>
          <w:p w14:paraId="7D1713C4">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3.7</w:t>
            </w:r>
          </w:p>
        </w:tc>
        <w:tc>
          <w:tcPr>
            <w:tcW w:w="2109" w:type="dxa"/>
            <w:noWrap w:val="0"/>
            <w:vAlign w:val="center"/>
          </w:tcPr>
          <w:p w14:paraId="68702AAD">
            <w:pPr>
              <w:spacing w:line="360" w:lineRule="auto"/>
              <w:rPr>
                <w:rFonts w:ascii="宋体" w:hAnsi="宋体" w:cs="宋体"/>
                <w:color w:val="000000"/>
                <w:szCs w:val="21"/>
              </w:rPr>
            </w:pPr>
            <w:r>
              <w:rPr>
                <w:rFonts w:hint="eastAsia" w:ascii="宋体" w:hAnsi="宋体" w:cs="宋体"/>
                <w:color w:val="000000"/>
                <w:szCs w:val="21"/>
              </w:rPr>
              <w:t>磋商小组的组建</w:t>
            </w:r>
          </w:p>
        </w:tc>
        <w:tc>
          <w:tcPr>
            <w:tcW w:w="6643" w:type="dxa"/>
            <w:noWrap w:val="0"/>
            <w:vAlign w:val="center"/>
          </w:tcPr>
          <w:p w14:paraId="4C899603">
            <w:pPr>
              <w:spacing w:line="360" w:lineRule="auto"/>
              <w:rPr>
                <w:rFonts w:ascii="宋体" w:hAnsi="宋体" w:cs="宋体"/>
                <w:color w:val="000000"/>
                <w:szCs w:val="21"/>
              </w:rPr>
            </w:pPr>
            <w:r>
              <w:rPr>
                <w:rFonts w:hint="eastAsia" w:ascii="宋体" w:hAnsi="宋体" w:cs="宋体"/>
                <w:color w:val="000000"/>
                <w:szCs w:val="21"/>
              </w:rPr>
              <w:t>磋商小组构成：3人；</w:t>
            </w:r>
            <w:r>
              <w:rPr>
                <w:rFonts w:hint="eastAsia" w:ascii="宋体" w:hAnsi="宋体" w:cs="宋体"/>
                <w:color w:val="000000"/>
                <w:szCs w:val="21"/>
                <w:lang w:val="en-US" w:eastAsia="zh-CN"/>
              </w:rPr>
              <w:t>采购人</w:t>
            </w:r>
            <w:r>
              <w:rPr>
                <w:rFonts w:hint="eastAsia" w:ascii="宋体" w:hAnsi="宋体" w:cs="宋体"/>
                <w:color w:val="000000"/>
                <w:szCs w:val="21"/>
              </w:rPr>
              <w:t>代表1人，评审专家2人；</w:t>
            </w:r>
          </w:p>
          <w:p w14:paraId="54CEC695">
            <w:pPr>
              <w:pStyle w:val="2"/>
              <w:spacing w:line="360" w:lineRule="auto"/>
              <w:ind w:left="0" w:leftChars="0" w:firstLine="0" w:firstLineChars="0"/>
              <w:rPr>
                <w:rFonts w:ascii="宋体" w:hAnsi="宋体" w:cs="宋体"/>
                <w:color w:val="000000"/>
                <w:szCs w:val="21"/>
              </w:rPr>
            </w:pPr>
            <w:r>
              <w:rPr>
                <w:rFonts w:hint="eastAsia" w:ascii="宋体" w:hAnsi="宋体" w:eastAsia="宋体" w:cs="宋体"/>
                <w:b w:val="0"/>
                <w:bCs/>
                <w:color w:val="000000"/>
                <w:kern w:val="2"/>
                <w:sz w:val="21"/>
                <w:szCs w:val="21"/>
                <w:lang w:val="en-US" w:eastAsia="zh-CN" w:bidi="ar-SA"/>
              </w:rPr>
              <w:t>评标专家确定方式：从河南省电子化政府采购系统评标专家库中随机抽取。（采购人代表无评标劳务费用）</w:t>
            </w:r>
          </w:p>
        </w:tc>
      </w:tr>
      <w:tr w14:paraId="006F7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90" w:type="dxa"/>
            <w:noWrap w:val="0"/>
            <w:vAlign w:val="center"/>
          </w:tcPr>
          <w:p w14:paraId="6B40C1B3">
            <w:pPr>
              <w:spacing w:line="360" w:lineRule="auto"/>
              <w:jc w:val="center"/>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3.8</w:t>
            </w:r>
          </w:p>
        </w:tc>
        <w:tc>
          <w:tcPr>
            <w:tcW w:w="2109" w:type="dxa"/>
            <w:noWrap w:val="0"/>
            <w:vAlign w:val="center"/>
          </w:tcPr>
          <w:p w14:paraId="5FD5340A">
            <w:pPr>
              <w:spacing w:line="360" w:lineRule="auto"/>
              <w:rPr>
                <w:rFonts w:hint="eastAsia" w:ascii="宋体" w:hAnsi="宋体" w:cs="宋体"/>
                <w:color w:val="000000"/>
                <w:szCs w:val="21"/>
              </w:rPr>
            </w:pPr>
            <w:r>
              <w:rPr>
                <w:rFonts w:hint="eastAsia" w:ascii="宋体" w:hAnsi="宋体" w:cs="宋体"/>
                <w:color w:val="000000"/>
                <w:szCs w:val="21"/>
              </w:rPr>
              <w:t>是否授权磋商小组确定成交供应商</w:t>
            </w:r>
          </w:p>
        </w:tc>
        <w:tc>
          <w:tcPr>
            <w:tcW w:w="6643" w:type="dxa"/>
            <w:noWrap w:val="0"/>
            <w:vAlign w:val="center"/>
          </w:tcPr>
          <w:p w14:paraId="1055FE26">
            <w:pPr>
              <w:spacing w:line="360" w:lineRule="auto"/>
              <w:rPr>
                <w:rFonts w:ascii="宋体" w:hAnsi="宋体" w:cs="宋体"/>
                <w:color w:val="000000"/>
                <w:szCs w:val="21"/>
              </w:rPr>
            </w:pPr>
            <w:r>
              <w:rPr>
                <w:rFonts w:hint="eastAsia" w:ascii="宋体" w:hAnsi="宋体" w:cs="宋体"/>
                <w:color w:val="000000"/>
                <w:szCs w:val="21"/>
              </w:rPr>
              <w:t>否，磋商小组原则上推荐3名成交候选人并排序；</w:t>
            </w:r>
          </w:p>
        </w:tc>
      </w:tr>
      <w:tr w14:paraId="14A6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9642" w:type="dxa"/>
            <w:gridSpan w:val="3"/>
            <w:noWrap w:val="0"/>
            <w:vAlign w:val="center"/>
          </w:tcPr>
          <w:p w14:paraId="2115BF55">
            <w:pPr>
              <w:spacing w:line="360" w:lineRule="auto"/>
              <w:rPr>
                <w:rFonts w:ascii="宋体" w:hAnsi="宋体" w:cs="宋体"/>
                <w:color w:val="000000"/>
                <w:szCs w:val="21"/>
              </w:rPr>
            </w:pPr>
            <w:r>
              <w:rPr>
                <w:rFonts w:hint="eastAsia" w:ascii="宋体" w:hAnsi="宋体" w:cs="宋体"/>
                <w:color w:val="000000"/>
                <w:szCs w:val="21"/>
                <w:lang w:val="en-US" w:eastAsia="zh-CN"/>
              </w:rPr>
              <w:t>4</w:t>
            </w:r>
            <w:r>
              <w:rPr>
                <w:rFonts w:hint="eastAsia" w:ascii="宋体" w:hAnsi="宋体" w:cs="宋体"/>
                <w:color w:val="000000"/>
                <w:szCs w:val="21"/>
              </w:rPr>
              <w:t>.需要补充的其他内容</w:t>
            </w:r>
          </w:p>
        </w:tc>
      </w:tr>
      <w:tr w14:paraId="49F67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90" w:type="dxa"/>
            <w:noWrap w:val="0"/>
            <w:vAlign w:val="center"/>
          </w:tcPr>
          <w:p w14:paraId="02CBABA1">
            <w:pPr>
              <w:adjustRightInd w:val="0"/>
              <w:spacing w:line="360" w:lineRule="auto"/>
              <w:jc w:val="center"/>
              <w:textAlignment w:val="baseline"/>
              <w:rPr>
                <w:rFonts w:hint="default" w:ascii="宋体" w:hAnsi="宋体" w:cs="宋体"/>
                <w:szCs w:val="21"/>
                <w:lang w:val="en-US"/>
              </w:rPr>
            </w:pPr>
            <w:r>
              <w:rPr>
                <w:rFonts w:hint="eastAsia" w:ascii="宋体" w:hAnsi="宋体" w:cs="宋体"/>
                <w:color w:val="000000"/>
                <w:szCs w:val="21"/>
                <w:lang w:val="en-US" w:eastAsia="zh-CN"/>
              </w:rPr>
              <w:t>4.1</w:t>
            </w:r>
          </w:p>
        </w:tc>
        <w:tc>
          <w:tcPr>
            <w:tcW w:w="2109" w:type="dxa"/>
            <w:noWrap w:val="0"/>
            <w:vAlign w:val="center"/>
          </w:tcPr>
          <w:p w14:paraId="60BED580">
            <w:pPr>
              <w:spacing w:line="360" w:lineRule="auto"/>
              <w:jc w:val="center"/>
              <w:rPr>
                <w:rFonts w:hint="eastAsia" w:ascii="宋体" w:hAnsi="宋体" w:cs="宋体"/>
                <w:kern w:val="2"/>
                <w:sz w:val="21"/>
                <w:szCs w:val="21"/>
                <w:lang w:val="en-US" w:eastAsia="zh-CN" w:bidi="ar-SA"/>
              </w:rPr>
            </w:pPr>
            <w:r>
              <w:rPr>
                <w:rFonts w:hint="eastAsia" w:ascii="宋体" w:hAnsi="宋体" w:cs="宋体"/>
                <w:color w:val="000000"/>
                <w:szCs w:val="21"/>
              </w:rPr>
              <w:t>预算金额</w:t>
            </w:r>
          </w:p>
        </w:tc>
        <w:tc>
          <w:tcPr>
            <w:tcW w:w="6643" w:type="dxa"/>
            <w:noWrap w:val="0"/>
            <w:vAlign w:val="center"/>
          </w:tcPr>
          <w:p w14:paraId="37EBA8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000000"/>
                <w:kern w:val="2"/>
                <w:sz w:val="21"/>
                <w:szCs w:val="21"/>
                <w:lang w:val="en-US" w:eastAsia="zh-CN" w:bidi="ar-SA"/>
              </w:rPr>
            </w:pPr>
            <w:r>
              <w:rPr>
                <w:rFonts w:hint="eastAsia" w:ascii="宋体" w:hAnsi="宋体" w:eastAsia="宋体" w:cs="宋体"/>
                <w:color w:val="000000"/>
                <w:szCs w:val="21"/>
              </w:rPr>
              <w:t>本项目预算金额：</w:t>
            </w:r>
            <w:r>
              <w:rPr>
                <w:rFonts w:hint="eastAsia" w:ascii="宋体" w:hAnsi="宋体" w:cs="宋体"/>
                <w:color w:val="000000"/>
                <w:szCs w:val="21"/>
                <w:lang w:val="en-US" w:eastAsia="zh-CN"/>
              </w:rPr>
              <w:t>壹佰玖拾万元整</w:t>
            </w:r>
            <w:r>
              <w:rPr>
                <w:rFonts w:hint="eastAsia" w:ascii="宋体" w:hAnsi="宋体" w:eastAsia="宋体" w:cs="宋体"/>
                <w:color w:val="000000"/>
                <w:szCs w:val="21"/>
                <w:lang w:val="en-US" w:eastAsia="zh-CN"/>
              </w:rPr>
              <w:t>（¥</w:t>
            </w:r>
            <w:r>
              <w:rPr>
                <w:rFonts w:hint="eastAsia" w:ascii="宋体" w:hAnsi="宋体" w:cs="宋体"/>
                <w:color w:val="000000"/>
                <w:szCs w:val="21"/>
                <w:lang w:val="en-US" w:eastAsia="zh-CN"/>
              </w:rPr>
              <w:t>1900000.00</w:t>
            </w:r>
            <w:r>
              <w:rPr>
                <w:rFonts w:hint="eastAsia" w:ascii="宋体" w:hAnsi="宋体" w:eastAsia="宋体" w:cs="宋体"/>
                <w:color w:val="000000"/>
                <w:szCs w:val="21"/>
                <w:lang w:val="en-US" w:eastAsia="zh-CN"/>
              </w:rPr>
              <w:t>元），</w:t>
            </w:r>
            <w:r>
              <w:rPr>
                <w:rFonts w:hint="eastAsia" w:ascii="宋体" w:hAnsi="宋体" w:eastAsia="宋体" w:cs="宋体"/>
                <w:color w:val="000000"/>
                <w:szCs w:val="21"/>
              </w:rPr>
              <w:t>投标报价超过采购预算按无效标处理。</w:t>
            </w:r>
          </w:p>
        </w:tc>
      </w:tr>
      <w:tr w14:paraId="0DB9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90" w:type="dxa"/>
            <w:noWrap w:val="0"/>
            <w:vAlign w:val="center"/>
          </w:tcPr>
          <w:p w14:paraId="3E79ECFE">
            <w:pPr>
              <w:adjustRightInd w:val="0"/>
              <w:spacing w:line="360" w:lineRule="auto"/>
              <w:jc w:val="center"/>
              <w:textAlignment w:val="baseline"/>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4.2</w:t>
            </w:r>
          </w:p>
        </w:tc>
        <w:tc>
          <w:tcPr>
            <w:tcW w:w="2109" w:type="dxa"/>
            <w:noWrap w:val="0"/>
            <w:vAlign w:val="center"/>
          </w:tcPr>
          <w:p w14:paraId="78279B8D">
            <w:pPr>
              <w:spacing w:line="360" w:lineRule="auto"/>
              <w:jc w:val="center"/>
              <w:rPr>
                <w:rFonts w:hint="default" w:ascii="宋体" w:hAnsi="宋体" w:cs="宋体"/>
                <w:color w:val="000000"/>
                <w:kern w:val="2"/>
                <w:sz w:val="21"/>
                <w:szCs w:val="21"/>
                <w:lang w:val="en-US" w:eastAsia="zh-CN" w:bidi="ar-SA"/>
              </w:rPr>
            </w:pPr>
            <w:r>
              <w:rPr>
                <w:rFonts w:hint="eastAsia" w:ascii="宋体" w:hAnsi="宋体" w:cs="宋体"/>
                <w:color w:val="000000"/>
                <w:kern w:val="2"/>
                <w:sz w:val="21"/>
                <w:szCs w:val="21"/>
                <w:lang w:val="en-US" w:eastAsia="zh-CN" w:bidi="ar-SA"/>
              </w:rPr>
              <w:t>代理费</w:t>
            </w:r>
          </w:p>
        </w:tc>
        <w:tc>
          <w:tcPr>
            <w:tcW w:w="6643" w:type="dxa"/>
            <w:noWrap w:val="0"/>
            <w:vAlign w:val="center"/>
          </w:tcPr>
          <w:p w14:paraId="005293ED">
            <w:pPr>
              <w:spacing w:line="360" w:lineRule="auto"/>
              <w:rPr>
                <w:rFonts w:hint="default" w:ascii="宋体" w:hAnsi="宋体" w:eastAsia="宋体" w:cs="宋体"/>
                <w:color w:val="000000"/>
                <w:kern w:val="2"/>
                <w:sz w:val="21"/>
                <w:szCs w:val="21"/>
                <w:lang w:val="en-US" w:eastAsia="zh-CN" w:bidi="ar-SA"/>
              </w:rPr>
            </w:pPr>
            <w:r>
              <w:rPr>
                <w:rFonts w:hint="eastAsia" w:ascii="宋体" w:hAnsi="宋体" w:eastAsia="宋体" w:cs="宋体"/>
                <w:color w:val="000000"/>
                <w:szCs w:val="21"/>
              </w:rPr>
              <w:t>执行河南省招标投标协会关于印发《河南省招标代理服务收费指导意见》的通知(豫招协[2023]002号)收费标准，招标代理服务费由成交人在领取成交通知书前以银行电汇方式一次性支付给招标代理机构。</w:t>
            </w:r>
          </w:p>
        </w:tc>
      </w:tr>
      <w:tr w14:paraId="341E0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90" w:type="dxa"/>
            <w:noWrap w:val="0"/>
            <w:vAlign w:val="center"/>
          </w:tcPr>
          <w:p w14:paraId="5C666FE4">
            <w:pPr>
              <w:adjustRightInd w:val="0"/>
              <w:spacing w:line="360" w:lineRule="auto"/>
              <w:jc w:val="center"/>
              <w:textAlignment w:val="baseline"/>
              <w:rPr>
                <w:rFonts w:hint="default" w:ascii="宋体" w:hAnsi="宋体" w:cs="宋体"/>
                <w:color w:val="000000"/>
                <w:szCs w:val="21"/>
                <w:lang w:val="en-US" w:eastAsia="zh-CN"/>
              </w:rPr>
            </w:pPr>
            <w:r>
              <w:rPr>
                <w:rFonts w:hint="eastAsia" w:ascii="宋体" w:hAnsi="宋体" w:cs="宋体"/>
                <w:color w:val="000000"/>
                <w:szCs w:val="21"/>
                <w:lang w:val="en-US" w:eastAsia="zh-CN"/>
              </w:rPr>
              <w:t>4.3</w:t>
            </w:r>
          </w:p>
        </w:tc>
        <w:tc>
          <w:tcPr>
            <w:tcW w:w="2109" w:type="dxa"/>
            <w:noWrap w:val="0"/>
            <w:vAlign w:val="center"/>
          </w:tcPr>
          <w:p w14:paraId="1E8267D3">
            <w:pPr>
              <w:spacing w:line="360" w:lineRule="auto"/>
              <w:jc w:val="center"/>
              <w:rPr>
                <w:rFonts w:hint="default" w:ascii="宋体" w:hAnsi="宋体" w:eastAsia="宋体" w:cs="宋体"/>
                <w:szCs w:val="21"/>
                <w:lang w:val="en-US" w:eastAsia="zh-CN"/>
              </w:rPr>
            </w:pPr>
            <w:r>
              <w:rPr>
                <w:rFonts w:hint="eastAsia" w:ascii="宋体" w:hAnsi="宋体" w:cs="宋体"/>
                <w:szCs w:val="21"/>
              </w:rPr>
              <w:t>监督</w:t>
            </w:r>
          </w:p>
        </w:tc>
        <w:tc>
          <w:tcPr>
            <w:tcW w:w="6643" w:type="dxa"/>
            <w:noWrap w:val="0"/>
            <w:vAlign w:val="center"/>
          </w:tcPr>
          <w:p w14:paraId="29819361">
            <w:pPr>
              <w:spacing w:line="360" w:lineRule="auto"/>
              <w:rPr>
                <w:rFonts w:hint="eastAsia" w:ascii="宋体" w:hAnsi="宋体" w:cs="宋体"/>
                <w:color w:val="000000"/>
                <w:szCs w:val="21"/>
              </w:rPr>
            </w:pPr>
            <w:r>
              <w:rPr>
                <w:rFonts w:hint="eastAsia" w:ascii="宋体" w:hAnsi="宋体" w:cs="宋体"/>
                <w:color w:val="000000"/>
                <w:szCs w:val="21"/>
              </w:rPr>
              <w:t>本项目的招标投标活动及其相关当事人必须接受相关行政监督部门依法实施的监督。</w:t>
            </w:r>
          </w:p>
        </w:tc>
      </w:tr>
      <w:tr w14:paraId="57992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90" w:type="dxa"/>
            <w:noWrap w:val="0"/>
            <w:vAlign w:val="center"/>
          </w:tcPr>
          <w:p w14:paraId="105AB1C9">
            <w:pPr>
              <w:adjustRightInd w:val="0"/>
              <w:spacing w:line="360" w:lineRule="auto"/>
              <w:jc w:val="center"/>
              <w:textAlignment w:val="baseline"/>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4.4</w:t>
            </w:r>
          </w:p>
        </w:tc>
        <w:tc>
          <w:tcPr>
            <w:tcW w:w="2109" w:type="dxa"/>
            <w:noWrap w:val="0"/>
            <w:vAlign w:val="center"/>
          </w:tcPr>
          <w:p w14:paraId="6504567C">
            <w:pPr>
              <w:spacing w:line="360" w:lineRule="auto"/>
              <w:jc w:val="center"/>
              <w:rPr>
                <w:rFonts w:hint="eastAsia" w:ascii="宋体" w:hAnsi="宋体" w:eastAsia="宋体" w:cs="宋体"/>
                <w:szCs w:val="21"/>
                <w:lang w:val="en-US" w:eastAsia="zh-CN"/>
              </w:rPr>
            </w:pPr>
            <w:r>
              <w:rPr>
                <w:rFonts w:hint="eastAsia" w:ascii="宋体" w:hAnsi="宋体" w:cs="宋体"/>
                <w:szCs w:val="21"/>
                <w:lang w:val="en-US" w:eastAsia="zh-CN"/>
              </w:rPr>
              <w:t>付款方式</w:t>
            </w:r>
          </w:p>
        </w:tc>
        <w:tc>
          <w:tcPr>
            <w:tcW w:w="6643" w:type="dxa"/>
            <w:noWrap w:val="0"/>
            <w:vAlign w:val="center"/>
          </w:tcPr>
          <w:p w14:paraId="610DFA92">
            <w:pPr>
              <w:spacing w:line="360" w:lineRule="auto"/>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另行约定</w:t>
            </w:r>
            <w:r>
              <w:rPr>
                <w:rFonts w:hint="eastAsia" w:ascii="宋体" w:hAnsi="宋体" w:eastAsia="宋体" w:cs="宋体"/>
                <w:color w:val="000000"/>
                <w:szCs w:val="21"/>
                <w:lang w:val="en-US" w:eastAsia="zh-CN"/>
              </w:rPr>
              <w:t>。</w:t>
            </w:r>
          </w:p>
        </w:tc>
      </w:tr>
      <w:tr w14:paraId="1B6D7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90" w:type="dxa"/>
            <w:noWrap w:val="0"/>
            <w:vAlign w:val="center"/>
          </w:tcPr>
          <w:p w14:paraId="2D9DEE19">
            <w:pPr>
              <w:adjustRightInd w:val="0"/>
              <w:spacing w:line="360" w:lineRule="auto"/>
              <w:jc w:val="center"/>
              <w:textAlignment w:val="baseline"/>
              <w:rPr>
                <w:rFonts w:hint="default" w:ascii="宋体" w:hAnsi="宋体" w:eastAsia="宋体" w:cs="宋体"/>
                <w:color w:val="000000"/>
                <w:szCs w:val="21"/>
                <w:lang w:val="en-US" w:eastAsia="zh-CN"/>
              </w:rPr>
            </w:pPr>
            <w:r>
              <w:rPr>
                <w:rFonts w:hint="eastAsia" w:ascii="宋体" w:hAnsi="宋体" w:eastAsia="宋体" w:cs="宋体"/>
                <w:color w:val="000000"/>
                <w:szCs w:val="21"/>
                <w:lang w:val="en-US" w:eastAsia="zh-CN"/>
              </w:rPr>
              <w:t>4.5</w:t>
            </w:r>
          </w:p>
        </w:tc>
        <w:tc>
          <w:tcPr>
            <w:tcW w:w="2109" w:type="dxa"/>
            <w:noWrap w:val="0"/>
            <w:vAlign w:val="center"/>
          </w:tcPr>
          <w:p w14:paraId="36AE957E">
            <w:pPr>
              <w:spacing w:line="360" w:lineRule="auto"/>
              <w:jc w:val="center"/>
              <w:rPr>
                <w:rFonts w:hint="eastAsia" w:ascii="宋体" w:hAnsi="宋体" w:cs="宋体"/>
                <w:kern w:val="2"/>
                <w:sz w:val="21"/>
                <w:szCs w:val="21"/>
                <w:lang w:val="en-US" w:eastAsia="zh-CN" w:bidi="ar-SA"/>
              </w:rPr>
            </w:pPr>
            <w:r>
              <w:rPr>
                <w:rFonts w:hint="eastAsia" w:ascii="宋体" w:hAnsi="宋体" w:cs="宋体"/>
                <w:szCs w:val="21"/>
              </w:rPr>
              <w:t>解释权</w:t>
            </w:r>
          </w:p>
        </w:tc>
        <w:tc>
          <w:tcPr>
            <w:tcW w:w="6643" w:type="dxa"/>
            <w:noWrap w:val="0"/>
            <w:vAlign w:val="center"/>
          </w:tcPr>
          <w:p w14:paraId="5C39A696">
            <w:pPr>
              <w:autoSpaceDE w:val="0"/>
              <w:autoSpaceDN w:val="0"/>
              <w:adjustRightInd w:val="0"/>
              <w:spacing w:line="360" w:lineRule="auto"/>
              <w:jc w:val="left"/>
              <w:rPr>
                <w:rFonts w:hint="eastAsia" w:ascii="宋体" w:hAnsi="宋体" w:cs="宋体"/>
                <w:color w:val="000000"/>
                <w:kern w:val="2"/>
                <w:sz w:val="21"/>
                <w:szCs w:val="21"/>
                <w:lang w:val="en-US" w:eastAsia="zh-CN" w:bidi="ar-SA"/>
              </w:rPr>
            </w:pPr>
            <w:r>
              <w:rPr>
                <w:rFonts w:hint="eastAsia" w:ascii="宋体" w:hAnsi="宋体" w:cs="宋体"/>
                <w:color w:val="000000"/>
                <w:szCs w:val="21"/>
              </w:rPr>
              <w:t>构成本磋商文件的各个组成文件应互为解释，互为说明；如有不明确或不一致，除磋商文件中有特别规定外，仅适用于招标投标阶段的规定，按招标公告、</w:t>
            </w:r>
            <w:r>
              <w:rPr>
                <w:rFonts w:hint="eastAsia" w:ascii="宋体" w:hAnsi="宋体" w:cs="宋体"/>
                <w:color w:val="000000"/>
                <w:szCs w:val="21"/>
                <w:lang w:eastAsia="zh-CN"/>
              </w:rPr>
              <w:t>供应商</w:t>
            </w:r>
            <w:r>
              <w:rPr>
                <w:rFonts w:hint="eastAsia" w:ascii="宋体" w:hAnsi="宋体" w:cs="宋体"/>
                <w:color w:val="000000"/>
                <w:szCs w:val="21"/>
              </w:rPr>
              <w:t>须知、评标办法、响应文件格式的先后顺序解释；同一组成文件中就同一事项的规定或约定不一致的，以编排顺序在后者为准；同一组成文件不同版本之间有不一致的，以形成时间在后者为准。按本款前述规定仍不能形成结论的，由负责解释。</w:t>
            </w:r>
          </w:p>
        </w:tc>
      </w:tr>
      <w:tr w14:paraId="48706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90" w:type="dxa"/>
            <w:noWrap w:val="0"/>
            <w:vAlign w:val="center"/>
          </w:tcPr>
          <w:p w14:paraId="59C21CE8">
            <w:pPr>
              <w:adjustRightInd w:val="0"/>
              <w:spacing w:line="360" w:lineRule="auto"/>
              <w:jc w:val="center"/>
              <w:textAlignment w:val="baseline"/>
              <w:rPr>
                <w:rFonts w:hint="default" w:ascii="宋体" w:hAnsi="宋体" w:eastAsia="宋体" w:cs="宋体"/>
                <w:color w:val="000000"/>
                <w:szCs w:val="21"/>
                <w:lang w:val="en-US" w:eastAsia="zh-CN"/>
              </w:rPr>
            </w:pPr>
            <w:r>
              <w:rPr>
                <w:rFonts w:hint="eastAsia" w:ascii="宋体" w:hAnsi="宋体" w:cs="宋体"/>
                <w:color w:val="000000"/>
                <w:szCs w:val="21"/>
                <w:lang w:val="en-US" w:eastAsia="zh-CN"/>
              </w:rPr>
              <w:t>4.6</w:t>
            </w:r>
          </w:p>
        </w:tc>
        <w:tc>
          <w:tcPr>
            <w:tcW w:w="2109" w:type="dxa"/>
            <w:noWrap w:val="0"/>
            <w:vAlign w:val="center"/>
          </w:tcPr>
          <w:p w14:paraId="549CFDFD">
            <w:pPr>
              <w:spacing w:line="360" w:lineRule="auto"/>
              <w:jc w:val="center"/>
              <w:rPr>
                <w:rFonts w:hint="default" w:ascii="宋体" w:hAnsi="宋体" w:eastAsia="宋体" w:cs="宋体"/>
                <w:szCs w:val="21"/>
                <w:lang w:val="en-US" w:eastAsia="zh-CN"/>
              </w:rPr>
            </w:pPr>
            <w:r>
              <w:rPr>
                <w:rFonts w:hint="eastAsia" w:ascii="宋体" w:hAnsi="宋体" w:eastAsia="宋体" w:cs="宋体"/>
                <w:szCs w:val="21"/>
                <w:lang w:val="en-US" w:eastAsia="zh-CN"/>
              </w:rPr>
              <w:t>其他内容</w:t>
            </w:r>
          </w:p>
        </w:tc>
        <w:tc>
          <w:tcPr>
            <w:tcW w:w="6643" w:type="dxa"/>
            <w:noWrap w:val="0"/>
            <w:vAlign w:val="center"/>
          </w:tcPr>
          <w:p w14:paraId="028F3F05">
            <w:pPr>
              <w:autoSpaceDE w:val="0"/>
              <w:autoSpaceDN w:val="0"/>
              <w:adjustRightInd w:val="0"/>
              <w:spacing w:line="360" w:lineRule="auto"/>
              <w:jc w:val="left"/>
              <w:rPr>
                <w:rFonts w:hint="eastAsia" w:ascii="宋体" w:hAnsi="宋体" w:eastAsia="宋体" w:cs="宋体"/>
                <w:color w:val="000000"/>
                <w:szCs w:val="21"/>
              </w:rPr>
            </w:pPr>
            <w:r>
              <w:rPr>
                <w:rFonts w:hint="eastAsia" w:ascii="宋体" w:hAnsi="宋体" w:eastAsia="宋体" w:cs="宋体"/>
                <w:color w:val="000000"/>
                <w:szCs w:val="21"/>
                <w:lang w:val="en-US" w:eastAsia="zh-CN"/>
              </w:rPr>
              <w:t>1、</w:t>
            </w:r>
            <w:r>
              <w:rPr>
                <w:rFonts w:hint="eastAsia" w:ascii="宋体" w:hAnsi="宋体" w:eastAsia="宋体" w:cs="宋体"/>
                <w:color w:val="000000"/>
                <w:szCs w:val="21"/>
              </w:rPr>
              <w:t>资格评（预）审部分：资格评（预）以</w:t>
            </w:r>
            <w:r>
              <w:rPr>
                <w:rFonts w:hint="eastAsia" w:ascii="宋体" w:hAnsi="宋体" w:eastAsia="宋体" w:cs="宋体"/>
                <w:color w:val="000000"/>
                <w:szCs w:val="21"/>
                <w:lang w:val="en-US" w:eastAsia="zh-CN"/>
              </w:rPr>
              <w:t>响应</w:t>
            </w:r>
            <w:r>
              <w:rPr>
                <w:rFonts w:hint="eastAsia" w:ascii="宋体" w:hAnsi="宋体" w:eastAsia="宋体" w:cs="宋体"/>
                <w:color w:val="000000"/>
                <w:szCs w:val="21"/>
              </w:rPr>
              <w:t>文件为准，其上传资料真实性由</w:t>
            </w:r>
            <w:r>
              <w:rPr>
                <w:rFonts w:hint="eastAsia" w:ascii="宋体" w:hAnsi="宋体" w:eastAsia="宋体" w:cs="宋体"/>
                <w:color w:val="000000"/>
                <w:szCs w:val="21"/>
                <w:lang w:eastAsia="zh-CN"/>
              </w:rPr>
              <w:t>供应商</w:t>
            </w:r>
            <w:r>
              <w:rPr>
                <w:rFonts w:hint="eastAsia" w:ascii="宋体" w:hAnsi="宋体" w:eastAsia="宋体" w:cs="宋体"/>
                <w:color w:val="000000"/>
                <w:szCs w:val="21"/>
              </w:rPr>
              <w:t>自行承担。</w:t>
            </w:r>
          </w:p>
          <w:p w14:paraId="3312CBB2">
            <w:pPr>
              <w:autoSpaceDE w:val="0"/>
              <w:autoSpaceDN w:val="0"/>
              <w:adjustRightInd w:val="0"/>
              <w:spacing w:line="360" w:lineRule="auto"/>
              <w:jc w:val="left"/>
              <w:rPr>
                <w:rFonts w:hint="eastAsia" w:ascii="宋体" w:hAnsi="宋体" w:eastAsia="宋体" w:cs="宋体"/>
                <w:color w:val="000000"/>
                <w:szCs w:val="21"/>
              </w:rPr>
            </w:pPr>
            <w:r>
              <w:rPr>
                <w:rFonts w:hint="eastAsia" w:ascii="宋体" w:hAnsi="宋体" w:eastAsia="宋体" w:cs="宋体"/>
                <w:color w:val="000000"/>
                <w:szCs w:val="21"/>
                <w:lang w:val="en-US" w:eastAsia="zh-CN"/>
              </w:rPr>
              <w:t>2、响应</w:t>
            </w:r>
            <w:r>
              <w:rPr>
                <w:rFonts w:hint="eastAsia" w:ascii="宋体" w:hAnsi="宋体" w:eastAsia="宋体" w:cs="宋体"/>
                <w:color w:val="000000"/>
                <w:szCs w:val="21"/>
              </w:rPr>
              <w:t>文件编制部分</w:t>
            </w:r>
            <w:r>
              <w:rPr>
                <w:rFonts w:hint="eastAsia" w:ascii="宋体" w:hAnsi="宋体" w:eastAsia="宋体" w:cs="宋体"/>
                <w:color w:val="000000"/>
                <w:szCs w:val="21"/>
                <w:lang w:eastAsia="zh-CN"/>
              </w:rPr>
              <w:t>：</w:t>
            </w:r>
            <w:r>
              <w:rPr>
                <w:rFonts w:hint="eastAsia" w:ascii="宋体" w:hAnsi="宋体" w:eastAsia="宋体" w:cs="宋体"/>
                <w:color w:val="000000"/>
                <w:szCs w:val="21"/>
              </w:rPr>
              <w:t>在</w:t>
            </w:r>
            <w:r>
              <w:rPr>
                <w:rFonts w:hint="eastAsia" w:ascii="宋体" w:hAnsi="宋体" w:eastAsia="宋体" w:cs="宋体"/>
                <w:color w:val="000000"/>
                <w:szCs w:val="21"/>
                <w:lang w:val="en-US" w:eastAsia="zh-CN"/>
              </w:rPr>
              <w:t>竞争性磋商</w:t>
            </w:r>
            <w:r>
              <w:rPr>
                <w:rFonts w:hint="eastAsia" w:ascii="宋体" w:hAnsi="宋体" w:eastAsia="宋体" w:cs="宋体"/>
                <w:color w:val="000000"/>
                <w:szCs w:val="21"/>
              </w:rPr>
              <w:t>文件中要求</w:t>
            </w:r>
            <w:r>
              <w:rPr>
                <w:rFonts w:hint="eastAsia" w:ascii="宋体" w:hAnsi="宋体" w:eastAsia="宋体" w:cs="宋体"/>
                <w:color w:val="000000"/>
                <w:szCs w:val="21"/>
                <w:lang w:eastAsia="zh-CN"/>
              </w:rPr>
              <w:t>供应商</w:t>
            </w:r>
            <w:r>
              <w:rPr>
                <w:rFonts w:hint="eastAsia" w:ascii="宋体" w:hAnsi="宋体" w:eastAsia="宋体" w:cs="宋体"/>
                <w:color w:val="000000"/>
                <w:szCs w:val="21"/>
              </w:rPr>
              <w:t>按照</w:t>
            </w:r>
            <w:r>
              <w:rPr>
                <w:rFonts w:hint="eastAsia" w:ascii="宋体" w:hAnsi="宋体" w:eastAsia="宋体" w:cs="宋体"/>
                <w:color w:val="000000"/>
                <w:szCs w:val="21"/>
                <w:lang w:val="en-US" w:eastAsia="zh-CN"/>
              </w:rPr>
              <w:t>响应</w:t>
            </w:r>
            <w:r>
              <w:rPr>
                <w:rFonts w:hint="eastAsia" w:ascii="宋体" w:hAnsi="宋体" w:eastAsia="宋体" w:cs="宋体"/>
                <w:color w:val="000000"/>
                <w:szCs w:val="21"/>
              </w:rPr>
              <w:t>文件格式进行</w:t>
            </w:r>
            <w:r>
              <w:rPr>
                <w:rFonts w:hint="eastAsia" w:ascii="宋体" w:hAnsi="宋体" w:eastAsia="宋体" w:cs="宋体"/>
                <w:color w:val="000000"/>
                <w:szCs w:val="21"/>
                <w:lang w:val="en-US" w:eastAsia="zh-CN"/>
              </w:rPr>
              <w:t>响应</w:t>
            </w:r>
            <w:r>
              <w:rPr>
                <w:rFonts w:hint="eastAsia" w:ascii="宋体" w:hAnsi="宋体" w:eastAsia="宋体" w:cs="宋体"/>
                <w:color w:val="000000"/>
                <w:szCs w:val="21"/>
              </w:rPr>
              <w:t>文件编制，在</w:t>
            </w:r>
            <w:r>
              <w:rPr>
                <w:rFonts w:hint="eastAsia" w:ascii="宋体" w:hAnsi="宋体" w:eastAsia="宋体" w:cs="宋体"/>
                <w:color w:val="000000"/>
                <w:szCs w:val="21"/>
                <w:lang w:val="en-US" w:eastAsia="zh-CN"/>
              </w:rPr>
              <w:t>响应</w:t>
            </w:r>
            <w:r>
              <w:rPr>
                <w:rFonts w:hint="eastAsia" w:ascii="宋体" w:hAnsi="宋体" w:eastAsia="宋体" w:cs="宋体"/>
                <w:color w:val="000000"/>
                <w:szCs w:val="21"/>
              </w:rPr>
              <w:t>文件编制时，应明确将投标单位企业基本情况、资质情况、人员情况、财务情况、业绩情况编入</w:t>
            </w:r>
            <w:r>
              <w:rPr>
                <w:rFonts w:hint="eastAsia" w:ascii="宋体" w:hAnsi="宋体" w:eastAsia="宋体" w:cs="宋体"/>
                <w:color w:val="000000"/>
                <w:szCs w:val="21"/>
                <w:lang w:val="en-US" w:eastAsia="zh-CN"/>
              </w:rPr>
              <w:t>响应</w:t>
            </w:r>
            <w:r>
              <w:rPr>
                <w:rFonts w:hint="eastAsia" w:ascii="宋体" w:hAnsi="宋体" w:eastAsia="宋体" w:cs="宋体"/>
                <w:color w:val="000000"/>
                <w:szCs w:val="21"/>
              </w:rPr>
              <w:t>文件，便于进行资格审查及评标打分。</w:t>
            </w:r>
          </w:p>
          <w:p w14:paraId="317534F3">
            <w:pPr>
              <w:autoSpaceDE w:val="0"/>
              <w:autoSpaceDN w:val="0"/>
              <w:adjustRightInd w:val="0"/>
              <w:spacing w:line="360" w:lineRule="auto"/>
              <w:jc w:val="left"/>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3、供应商在中标后可以持政府采购合同向融资机构申请贷款，供应商可在河南省政府采购网“河南省政府采购合同融资平台”获取融资渠道和方式。</w:t>
            </w:r>
          </w:p>
        </w:tc>
      </w:tr>
      <w:tr w14:paraId="1673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90" w:type="dxa"/>
            <w:noWrap w:val="0"/>
            <w:vAlign w:val="center"/>
          </w:tcPr>
          <w:p w14:paraId="70C662CB">
            <w:pPr>
              <w:adjustRightInd w:val="0"/>
              <w:spacing w:line="360" w:lineRule="auto"/>
              <w:jc w:val="center"/>
              <w:textAlignment w:val="baseline"/>
              <w:rPr>
                <w:rFonts w:hint="default" w:ascii="宋体" w:hAnsi="宋体" w:cs="宋体"/>
                <w:color w:val="000000"/>
                <w:szCs w:val="21"/>
                <w:lang w:val="en-US" w:eastAsia="zh-CN"/>
              </w:rPr>
            </w:pPr>
            <w:r>
              <w:rPr>
                <w:rFonts w:hint="eastAsia" w:ascii="宋体" w:hAnsi="宋体" w:cs="宋体"/>
                <w:color w:val="000000"/>
                <w:szCs w:val="21"/>
                <w:lang w:val="en-US" w:eastAsia="zh-CN"/>
              </w:rPr>
              <w:t>4.7</w:t>
            </w:r>
          </w:p>
        </w:tc>
        <w:tc>
          <w:tcPr>
            <w:tcW w:w="2109" w:type="dxa"/>
            <w:noWrap w:val="0"/>
            <w:vAlign w:val="center"/>
          </w:tcPr>
          <w:p w14:paraId="080431BC">
            <w:pPr>
              <w:spacing w:line="360" w:lineRule="auto"/>
              <w:jc w:val="center"/>
              <w:rPr>
                <w:rFonts w:hint="eastAsia" w:ascii="宋体" w:hAnsi="宋体" w:eastAsia="宋体" w:cs="宋体"/>
                <w:szCs w:val="21"/>
                <w:lang w:val="en-US" w:eastAsia="zh-CN"/>
              </w:rPr>
            </w:pPr>
            <w:r>
              <w:rPr>
                <w:rFonts w:hint="eastAsia" w:ascii="宋体" w:hAnsi="宋体" w:eastAsia="宋体" w:cs="宋体"/>
                <w:szCs w:val="21"/>
                <w:lang w:val="en-US" w:eastAsia="zh-CN"/>
              </w:rPr>
              <w:t>政府采购政策</w:t>
            </w:r>
          </w:p>
        </w:tc>
        <w:tc>
          <w:tcPr>
            <w:tcW w:w="6643" w:type="dxa"/>
            <w:noWrap w:val="0"/>
            <w:vAlign w:val="center"/>
          </w:tcPr>
          <w:p w14:paraId="0E37911C">
            <w:pPr>
              <w:autoSpaceDE w:val="0"/>
              <w:autoSpaceDN w:val="0"/>
              <w:adjustRightInd w:val="0"/>
              <w:spacing w:line="360" w:lineRule="auto"/>
              <w:jc w:val="left"/>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1、投标人应优先采购“节能产品政府采购清单”中的产品，投标人应当列明本项目中所投的“节能产品清单”并提供相关有效证明材料,否则不予认可。评标时涉及节能产品的将按《节能产品政府采购实施意见》(财库【2004】185号)的规定执行。“节能产品政府采购清单”在中国政府采购网、中国环境资源信息网、中国节能节水认证网发布，属于清单内的产品，投标人优先采用该产品。</w:t>
            </w:r>
          </w:p>
          <w:p w14:paraId="6E38CADA">
            <w:pPr>
              <w:autoSpaceDE w:val="0"/>
              <w:autoSpaceDN w:val="0"/>
              <w:adjustRightInd w:val="0"/>
              <w:spacing w:line="360" w:lineRule="auto"/>
              <w:jc w:val="left"/>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2、关于计算机办公设备，必须执行国家版权局、信息产业部、财政部等部门规定，投标人所投货物必须是国家信息部、版权局、商务部等部门认可的预装正版操作系统软件的计算机产品。</w:t>
            </w:r>
          </w:p>
          <w:p w14:paraId="226046BD">
            <w:pPr>
              <w:autoSpaceDE w:val="0"/>
              <w:autoSpaceDN w:val="0"/>
              <w:adjustRightInd w:val="0"/>
              <w:spacing w:line="360" w:lineRule="auto"/>
              <w:jc w:val="left"/>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3、优先采购本国产品。采购进口产品应符合《中华人民共和国政府采购法》并依法办理论证、公示、审批手续。</w:t>
            </w:r>
          </w:p>
          <w:p w14:paraId="2A300CB6">
            <w:pPr>
              <w:autoSpaceDE w:val="0"/>
              <w:autoSpaceDN w:val="0"/>
              <w:adjustRightInd w:val="0"/>
              <w:spacing w:line="360" w:lineRule="auto"/>
              <w:jc w:val="left"/>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4、投标人应优先采购“环境标志产品政府采购清单”中的产品时，投标人应当列明本项目中所投的“环境标志产品清单”并提供相关有效证明材料，否则不予认可。评标时涉及环境标志产品的将按《环境标志产品政府采购实施意见》(财库【2006】90号）的规定执行。“环境标志产品政府采购清单”在中国政府采购网、中国绿色采购网、国家环境保护总局网发布，属于清单内的产品，投标人优先采用该产品。</w:t>
            </w:r>
          </w:p>
          <w:p w14:paraId="57CD9D94">
            <w:pPr>
              <w:autoSpaceDE w:val="0"/>
              <w:autoSpaceDN w:val="0"/>
              <w:adjustRightInd w:val="0"/>
              <w:spacing w:line="360" w:lineRule="auto"/>
              <w:jc w:val="left"/>
              <w:rPr>
                <w:rFonts w:hint="eastAsia" w:ascii="宋体" w:hAnsi="宋体" w:eastAsia="宋体" w:cs="宋体"/>
                <w:color w:val="000000"/>
                <w:szCs w:val="21"/>
                <w:lang w:val="en-US" w:eastAsia="zh-CN"/>
              </w:rPr>
            </w:pPr>
            <w:r>
              <w:rPr>
                <w:rFonts w:hint="eastAsia" w:ascii="宋体" w:hAnsi="宋体" w:eastAsia="宋体" w:cs="宋体"/>
                <w:color w:val="000000"/>
                <w:szCs w:val="21"/>
                <w:lang w:val="en-US" w:eastAsia="zh-CN"/>
              </w:rPr>
              <w:t>5、落实政府采购政策，对小型、微型企业、监狱企业及残疾人福利性单位产品价格给予20%的扣除（同一投标人，中小微企业产品和监狱企业产品价格扣除优惠只享受一次，不得重复享受），用扣除后的价格参与评审，参加政府采购活动的中小企业应当提供《中小企业声明函》并提供证明材料，未填写中小企业声明函的在评标过程中不予认可；参加政府采购活动的残疾人福利性企业应当提供《残疾人福利性单位声明函》并提供证明材料，未填写残疾人福利性单位声明函的在评标过程中不予认可。中标人如为小型和微型企业的，并在投标时填写了中小企业声明函，若不能提供或提供的材料与投标时做出的声明不符，招标人有权取消该中标人的中标资格，并对因其造成的损失进行追责。</w:t>
            </w:r>
          </w:p>
          <w:p w14:paraId="23B8EB91">
            <w:pPr>
              <w:autoSpaceDE w:val="0"/>
              <w:autoSpaceDN w:val="0"/>
              <w:adjustRightInd w:val="0"/>
              <w:spacing w:line="360" w:lineRule="auto"/>
              <w:jc w:val="left"/>
              <w:rPr>
                <w:rFonts w:hint="eastAsia" w:ascii="宋体" w:hAnsi="宋体" w:eastAsia="宋体" w:cs="宋体"/>
                <w:color w:val="000000"/>
                <w:szCs w:val="21"/>
                <w:lang w:val="en-US" w:eastAsia="zh-CN"/>
              </w:rPr>
            </w:pPr>
            <w:r>
              <w:rPr>
                <w:rFonts w:hint="eastAsia" w:ascii="宋体" w:hAnsi="宋体" w:eastAsia="宋体" w:cs="宋体"/>
                <w:b/>
                <w:bCs/>
                <w:color w:val="000000"/>
                <w:szCs w:val="21"/>
                <w:lang w:val="en-US" w:eastAsia="zh-CN"/>
              </w:rPr>
              <w:t>本项目采购标所属行业：其他未列明行业。</w:t>
            </w:r>
          </w:p>
        </w:tc>
      </w:tr>
      <w:tr w14:paraId="15E2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890" w:type="dxa"/>
            <w:noWrap w:val="0"/>
            <w:vAlign w:val="center"/>
          </w:tcPr>
          <w:p w14:paraId="0418BB03">
            <w:pPr>
              <w:adjustRightInd w:val="0"/>
              <w:spacing w:line="360" w:lineRule="auto"/>
              <w:jc w:val="center"/>
              <w:textAlignment w:val="baseline"/>
              <w:rPr>
                <w:rFonts w:hint="default" w:ascii="宋体" w:hAnsi="宋体" w:eastAsia="宋体" w:cs="宋体"/>
                <w:color w:val="000000"/>
                <w:szCs w:val="21"/>
                <w:lang w:val="en-US" w:eastAsia="zh-CN"/>
              </w:rPr>
            </w:pPr>
            <w:r>
              <w:rPr>
                <w:rFonts w:hint="eastAsia" w:ascii="宋体" w:hAnsi="宋体" w:eastAsia="宋体" w:cs="宋体"/>
                <w:color w:val="000000"/>
                <w:szCs w:val="21"/>
                <w:lang w:val="en-US" w:eastAsia="zh-CN"/>
              </w:rPr>
              <w:t>4.</w:t>
            </w:r>
            <w:r>
              <w:rPr>
                <w:rFonts w:hint="eastAsia" w:ascii="宋体" w:hAnsi="宋体" w:cs="宋体"/>
                <w:color w:val="000000"/>
                <w:szCs w:val="21"/>
                <w:lang w:val="en-US" w:eastAsia="zh-CN"/>
              </w:rPr>
              <w:t>8</w:t>
            </w:r>
          </w:p>
        </w:tc>
        <w:tc>
          <w:tcPr>
            <w:tcW w:w="8752" w:type="dxa"/>
            <w:gridSpan w:val="2"/>
            <w:noWrap w:val="0"/>
            <w:vAlign w:val="center"/>
          </w:tcPr>
          <w:p w14:paraId="7056E305">
            <w:pPr>
              <w:spacing w:line="360" w:lineRule="auto"/>
              <w:rPr>
                <w:rFonts w:ascii="宋体" w:hAnsi="宋体" w:cs="宋体"/>
                <w:color w:val="000000"/>
                <w:szCs w:val="21"/>
              </w:rPr>
            </w:pPr>
            <w:r>
              <w:rPr>
                <w:rFonts w:hint="eastAsia" w:ascii="宋体" w:hAnsi="宋体" w:cs="宋体"/>
                <w:color w:val="000000"/>
                <w:szCs w:val="21"/>
              </w:rPr>
              <w:t>其他需要注意的事项：</w:t>
            </w:r>
          </w:p>
        </w:tc>
      </w:tr>
      <w:tr w14:paraId="504F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9642" w:type="dxa"/>
            <w:gridSpan w:val="3"/>
            <w:noWrap w:val="0"/>
            <w:vAlign w:val="center"/>
          </w:tcPr>
          <w:p w14:paraId="11E6F934">
            <w:pPr>
              <w:spacing w:line="360" w:lineRule="auto"/>
              <w:ind w:firstLine="422" w:firstLineChars="200"/>
              <w:rPr>
                <w:rFonts w:hint="eastAsia" w:ascii="宋体" w:hAnsi="宋体" w:cs="宋体"/>
                <w:b/>
                <w:szCs w:val="21"/>
              </w:rPr>
            </w:pPr>
            <w:r>
              <w:rPr>
                <w:rFonts w:hint="eastAsia" w:ascii="宋体" w:hAnsi="宋体" w:cs="宋体"/>
                <w:b/>
                <w:szCs w:val="21"/>
              </w:rPr>
              <w:t>本项目为电子化、无纸化交易项目，投标文件是投标人、供应商（以下简称“投标人”）通过</w:t>
            </w:r>
            <w:r>
              <w:rPr>
                <w:rFonts w:hint="eastAsia" w:ascii="宋体" w:hAnsi="宋体"/>
                <w:b/>
                <w:szCs w:val="21"/>
              </w:rPr>
              <w:t>中心投标文件制作系统制作，并经过电子签章和加密后生成的电子版投标文件。投标人投标时，将不再接</w:t>
            </w:r>
            <w:r>
              <w:rPr>
                <w:rFonts w:hint="eastAsia" w:ascii="宋体" w:hAnsi="宋体" w:cs="宋体"/>
                <w:b/>
                <w:szCs w:val="21"/>
              </w:rPr>
              <w:t>受任何纸质文件资料。</w:t>
            </w:r>
          </w:p>
          <w:p w14:paraId="3FFA05FD">
            <w:pPr>
              <w:spacing w:line="360" w:lineRule="auto"/>
              <w:ind w:firstLine="573"/>
              <w:rPr>
                <w:rFonts w:hint="eastAsia" w:ascii="宋体" w:hAnsi="宋体" w:cs="宋体"/>
                <w:b/>
                <w:szCs w:val="21"/>
              </w:rPr>
            </w:pPr>
            <w:r>
              <w:rPr>
                <w:rFonts w:hint="eastAsia" w:ascii="宋体" w:hAnsi="宋体"/>
                <w:b/>
                <w:szCs w:val="21"/>
              </w:rPr>
              <w:t>电子化投标文件工具请在三门峡市公共资源交易中心网首页“帮助中心”下载。</w:t>
            </w:r>
          </w:p>
          <w:p w14:paraId="7DAA004A">
            <w:pPr>
              <w:spacing w:line="360" w:lineRule="auto"/>
              <w:ind w:firstLine="573"/>
              <w:rPr>
                <w:rFonts w:hint="eastAsia" w:ascii="宋体" w:hAnsi="宋体"/>
                <w:szCs w:val="21"/>
              </w:rPr>
            </w:pPr>
            <w:r>
              <w:rPr>
                <w:rFonts w:hint="eastAsia" w:ascii="宋体" w:hAnsi="宋体" w:cs="宋体"/>
                <w:b/>
                <w:szCs w:val="21"/>
              </w:rPr>
              <w:t>温馨提示：本项目为电子化、无纸化交易项目，开标时不接受任何纸质资料，为保证您能投标成功，请需仔细阅读以下条款。</w:t>
            </w:r>
          </w:p>
          <w:p w14:paraId="62946FB5">
            <w:pPr>
              <w:spacing w:line="360" w:lineRule="auto"/>
              <w:ind w:firstLine="422" w:firstLineChars="200"/>
              <w:rPr>
                <w:rFonts w:hint="eastAsia" w:ascii="宋体" w:hAnsi="宋体" w:cs="宋体"/>
                <w:b/>
                <w:szCs w:val="21"/>
              </w:rPr>
            </w:pPr>
            <w:r>
              <w:rPr>
                <w:rFonts w:hint="eastAsia" w:ascii="宋体" w:hAnsi="宋体" w:cs="宋体"/>
                <w:b/>
                <w:szCs w:val="21"/>
              </w:rPr>
              <w:t>一、电子化投标</w:t>
            </w:r>
          </w:p>
          <w:p w14:paraId="7F7CDDF9">
            <w:pPr>
              <w:spacing w:line="360" w:lineRule="auto"/>
              <w:ind w:firstLine="573"/>
              <w:rPr>
                <w:rFonts w:hint="eastAsia" w:ascii="宋体" w:hAnsi="宋体"/>
                <w:szCs w:val="21"/>
              </w:rPr>
            </w:pPr>
            <w:r>
              <w:rPr>
                <w:rFonts w:hint="eastAsia" w:ascii="宋体" w:hAnsi="宋体"/>
                <w:szCs w:val="21"/>
              </w:rPr>
              <w:t>（一）电子化投标文件的签章</w:t>
            </w:r>
          </w:p>
          <w:p w14:paraId="6FE144A3">
            <w:pPr>
              <w:spacing w:line="360" w:lineRule="auto"/>
              <w:ind w:firstLine="573"/>
              <w:rPr>
                <w:rFonts w:hint="eastAsia" w:ascii="宋体" w:hAnsi="宋体"/>
                <w:szCs w:val="21"/>
              </w:rPr>
            </w:pPr>
            <w:r>
              <w:rPr>
                <w:rFonts w:hint="eastAsia" w:ascii="宋体" w:hAnsi="宋体"/>
                <w:szCs w:val="21"/>
              </w:rPr>
              <w:t>1、投标人在生成电子化投标文件后，应对电子化投标文件进行签章，未进行签章的视为无效投标。</w:t>
            </w:r>
          </w:p>
          <w:p w14:paraId="3AD5595B">
            <w:pPr>
              <w:spacing w:line="360" w:lineRule="auto"/>
              <w:ind w:firstLine="573"/>
              <w:rPr>
                <w:rFonts w:hint="eastAsia" w:ascii="宋体" w:hAnsi="宋体"/>
                <w:szCs w:val="21"/>
              </w:rPr>
            </w:pPr>
            <w:r>
              <w:rPr>
                <w:rFonts w:hint="eastAsia" w:ascii="宋体" w:hAnsi="宋体"/>
                <w:szCs w:val="21"/>
              </w:rPr>
              <w:t>2、投标文件中要求</w:t>
            </w:r>
            <w:r>
              <w:rPr>
                <w:rFonts w:hint="eastAsia" w:ascii="宋体" w:hAnsi="宋体"/>
                <w:b/>
                <w:szCs w:val="21"/>
              </w:rPr>
              <w:t>法定代表人或授权委托人盖章的，</w:t>
            </w:r>
            <w:r>
              <w:rPr>
                <w:rFonts w:hint="eastAsia" w:ascii="宋体" w:hAnsi="宋体"/>
                <w:szCs w:val="21"/>
              </w:rPr>
              <w:t>投标人在进行</w:t>
            </w:r>
            <w:r>
              <w:rPr>
                <w:rFonts w:hint="eastAsia" w:ascii="宋体" w:hAnsi="宋体"/>
                <w:b/>
                <w:szCs w:val="21"/>
              </w:rPr>
              <w:t>电子化投标文件签章时，以签盖法定代表人签章为准。</w:t>
            </w:r>
            <w:r>
              <w:rPr>
                <w:rFonts w:hint="eastAsia" w:ascii="宋体" w:hAnsi="宋体"/>
                <w:szCs w:val="21"/>
              </w:rPr>
              <w:t>电子化投标文件具体制作教材请投标人通过CA证书登录三门峡市公共资源电子化交易系统在右上角“交易智库”中查看。电子化投标文件工具请在三门峡市公共资源交易中心网首页“帮助中心”下载。</w:t>
            </w:r>
          </w:p>
          <w:p w14:paraId="26A70D2C">
            <w:pPr>
              <w:spacing w:line="360" w:lineRule="auto"/>
              <w:ind w:firstLine="420" w:firstLineChars="200"/>
              <w:rPr>
                <w:rFonts w:hint="eastAsia" w:ascii="宋体" w:hAnsi="宋体"/>
                <w:b/>
                <w:szCs w:val="21"/>
              </w:rPr>
            </w:pPr>
            <w:r>
              <w:rPr>
                <w:rFonts w:hint="eastAsia" w:ascii="宋体" w:hAnsi="宋体"/>
                <w:szCs w:val="21"/>
              </w:rPr>
              <w:t>（二）电子化投标文件的格式及上传投标</w:t>
            </w:r>
          </w:p>
          <w:p w14:paraId="55E060D9">
            <w:pPr>
              <w:wordWrap w:val="0"/>
              <w:spacing w:line="360" w:lineRule="auto"/>
              <w:ind w:firstLine="573"/>
              <w:rPr>
                <w:rFonts w:hint="eastAsia" w:ascii="宋体" w:hAnsi="宋体"/>
                <w:szCs w:val="21"/>
              </w:rPr>
            </w:pPr>
            <w:r>
              <w:rPr>
                <w:rFonts w:hint="eastAsia" w:ascii="宋体" w:hAnsi="宋体"/>
                <w:szCs w:val="21"/>
              </w:rPr>
              <w:t>1、投标人所上传的电子化投标文件，应是通过中心投标文件制作系统制作的，经过签章和加密后生成的电子版投标文件。生成的电子版投标文件包含用于投标文件上传的主文件（后缀为.smxtf）和用于应急补救的投标文件备份文件（后缀为.nsmxtf），备份文件主要用于电子化开标出现技术问题后的补救，请投标人随身携带。</w:t>
            </w:r>
          </w:p>
          <w:p w14:paraId="6B7DE445">
            <w:pPr>
              <w:spacing w:line="360" w:lineRule="auto"/>
              <w:ind w:firstLine="573"/>
              <w:rPr>
                <w:rFonts w:hint="eastAsia" w:ascii="宋体" w:hAnsi="宋体"/>
                <w:szCs w:val="21"/>
              </w:rPr>
            </w:pPr>
            <w:r>
              <w:rPr>
                <w:rFonts w:hint="eastAsia" w:ascii="宋体" w:hAnsi="宋体"/>
                <w:szCs w:val="21"/>
              </w:rPr>
              <w:t>注：投标人投报多个标段的，需要每个标段单独制作电子投标文件。</w:t>
            </w:r>
          </w:p>
          <w:p w14:paraId="6CF093C3">
            <w:pPr>
              <w:spacing w:line="360" w:lineRule="auto"/>
              <w:ind w:firstLine="573"/>
              <w:rPr>
                <w:rFonts w:hint="eastAsia" w:ascii="宋体" w:hAnsi="宋体"/>
                <w:szCs w:val="21"/>
              </w:rPr>
            </w:pPr>
            <w:r>
              <w:rPr>
                <w:rFonts w:hint="eastAsia" w:ascii="宋体" w:hAnsi="宋体"/>
                <w:szCs w:val="21"/>
              </w:rPr>
              <w:t>2、电子化投标文件应在投标截止时间前成功上传至三门峡市公共资源电子化交易系统。至投标截止时间止，仍未上传成功的电子化投标文件将不予接收。</w:t>
            </w:r>
          </w:p>
          <w:p w14:paraId="6DDD02F4">
            <w:pPr>
              <w:spacing w:line="360" w:lineRule="auto"/>
              <w:ind w:firstLine="573"/>
              <w:rPr>
                <w:rFonts w:hint="eastAsia" w:ascii="宋体" w:hAnsi="宋体"/>
                <w:szCs w:val="21"/>
              </w:rPr>
            </w:pPr>
            <w:r>
              <w:rPr>
                <w:rFonts w:hint="eastAsia" w:ascii="宋体" w:hAnsi="宋体"/>
                <w:szCs w:val="21"/>
              </w:rPr>
              <w:t>注：如按照电子化投标操作教材制作完成的电子化投标文件无法上传的，投标人应在投标截止时间前尽早的联系中心技术人员，以便有充分的时间进行处理。投标人应充分考虑到处理技术问题和上传数据等工作所需的时间问题，投标文件未在投标截止时间前成功上传的，其投标文件不予接收。</w:t>
            </w:r>
          </w:p>
          <w:p w14:paraId="268FCC39">
            <w:pPr>
              <w:spacing w:line="360" w:lineRule="auto"/>
              <w:ind w:firstLine="573"/>
              <w:rPr>
                <w:rFonts w:ascii="宋体" w:hAnsi="宋体"/>
                <w:szCs w:val="21"/>
              </w:rPr>
            </w:pPr>
            <w:r>
              <w:rPr>
                <w:rFonts w:hint="eastAsia" w:ascii="宋体" w:hAnsi="宋体"/>
                <w:szCs w:val="21"/>
              </w:rPr>
              <w:t>技术联系电话：0398-3117871</w:t>
            </w:r>
          </w:p>
          <w:p w14:paraId="6A757EBF">
            <w:pPr>
              <w:spacing w:line="360" w:lineRule="auto"/>
              <w:ind w:firstLine="573"/>
              <w:rPr>
                <w:rFonts w:hint="eastAsia" w:ascii="宋体" w:hAnsi="宋体"/>
                <w:szCs w:val="21"/>
              </w:rPr>
            </w:pPr>
            <w:r>
              <w:rPr>
                <w:rFonts w:hint="eastAsia" w:ascii="宋体" w:hAnsi="宋体"/>
                <w:szCs w:val="21"/>
              </w:rPr>
              <w:t>（三）电子化项目开标、解密、唱标、评标</w:t>
            </w:r>
          </w:p>
          <w:p w14:paraId="02145E0F">
            <w:pPr>
              <w:spacing w:line="360" w:lineRule="auto"/>
              <w:ind w:firstLine="573"/>
              <w:rPr>
                <w:rFonts w:hint="eastAsia" w:ascii="宋体" w:hAnsi="宋体"/>
                <w:szCs w:val="21"/>
              </w:rPr>
            </w:pPr>
            <w:r>
              <w:rPr>
                <w:rFonts w:hint="eastAsia" w:ascii="宋体" w:hAnsi="宋体"/>
                <w:szCs w:val="21"/>
              </w:rPr>
              <w:t>1、本项目采用电子化、无纸化进行招标，开标当日，投标人</w:t>
            </w:r>
            <w:r>
              <w:rPr>
                <w:rFonts w:hint="eastAsia" w:ascii="宋体" w:hAnsi="宋体"/>
                <w:szCs w:val="21"/>
                <w:lang w:val="en-US" w:eastAsia="zh-CN"/>
              </w:rPr>
              <w:t>无需</w:t>
            </w:r>
            <w:r>
              <w:rPr>
                <w:rFonts w:hint="eastAsia" w:ascii="宋体" w:hAnsi="宋体"/>
                <w:szCs w:val="21"/>
              </w:rPr>
              <w:t>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3E90D0C6">
            <w:pPr>
              <w:spacing w:line="360" w:lineRule="auto"/>
              <w:ind w:firstLine="573"/>
              <w:rPr>
                <w:rFonts w:hint="eastAsia" w:ascii="宋体" w:hAnsi="宋体"/>
                <w:szCs w:val="21"/>
              </w:rPr>
            </w:pPr>
            <w:r>
              <w:rPr>
                <w:rFonts w:hint="eastAsia" w:ascii="宋体" w:hAnsi="宋体"/>
                <w:szCs w:val="21"/>
              </w:rPr>
              <w:t>2、电子化投标文件采用一次加密方式。开标时，由磋商供应商使用CA证书，在规定时间内对其电子化投标文件进行解密。每位投标人的解密时间为开标时间起30分钟内，如在规定时间内未完成解密的，其投标文件不予开标、唱标。</w:t>
            </w:r>
          </w:p>
          <w:p w14:paraId="50A96AC8">
            <w:pPr>
              <w:spacing w:line="360" w:lineRule="auto"/>
              <w:ind w:firstLine="573"/>
              <w:rPr>
                <w:rFonts w:hint="eastAsia" w:ascii="宋体" w:hAnsi="宋体"/>
                <w:szCs w:val="21"/>
              </w:rPr>
            </w:pPr>
            <w:r>
              <w:rPr>
                <w:rFonts w:hint="eastAsia" w:ascii="宋体" w:hAnsi="宋体"/>
                <w:szCs w:val="21"/>
              </w:rPr>
              <w:t>如投标人携带CA证书至现场参加开标的，首先应按照中介服务机构指引，使用投标人CA证书对其电子化投标文件进行解密。</w:t>
            </w:r>
          </w:p>
          <w:p w14:paraId="5E3E2D3F">
            <w:pPr>
              <w:spacing w:line="360" w:lineRule="auto"/>
              <w:ind w:firstLine="573"/>
              <w:rPr>
                <w:rFonts w:hint="eastAsia" w:ascii="宋体" w:hAnsi="宋体"/>
                <w:b/>
                <w:szCs w:val="21"/>
              </w:rPr>
            </w:pPr>
            <w:r>
              <w:rPr>
                <w:rFonts w:hint="eastAsia" w:ascii="宋体" w:hAnsi="宋体"/>
                <w:szCs w:val="21"/>
              </w:rPr>
              <w:t>3、电子化磋商响应文件异常情况的处理</w:t>
            </w:r>
          </w:p>
          <w:p w14:paraId="0FFEB5D9">
            <w:pPr>
              <w:spacing w:line="360" w:lineRule="auto"/>
              <w:ind w:firstLine="420" w:firstLineChars="200"/>
              <w:rPr>
                <w:rFonts w:hint="eastAsia" w:ascii="宋体" w:hAnsi="宋体"/>
                <w:szCs w:val="21"/>
              </w:rPr>
            </w:pPr>
            <w:r>
              <w:rPr>
                <w:rFonts w:hint="eastAsia" w:ascii="宋体" w:hAnsi="宋体"/>
                <w:szCs w:val="21"/>
              </w:rPr>
              <w:t>如出现投标人的电子投标文件无法解密等异常情况，投标人应及时致电中介服务机构说明。投标文件异常，按以下步骤进行处理：</w:t>
            </w:r>
          </w:p>
          <w:p w14:paraId="726F8723">
            <w:pPr>
              <w:spacing w:line="360" w:lineRule="auto"/>
              <w:ind w:firstLine="573"/>
              <w:rPr>
                <w:rFonts w:hint="eastAsia" w:ascii="宋体" w:hAnsi="宋体"/>
                <w:szCs w:val="21"/>
              </w:rPr>
            </w:pPr>
            <w:r>
              <w:rPr>
                <w:rFonts w:hint="eastAsia" w:ascii="宋体" w:hAnsi="宋体"/>
                <w:szCs w:val="21"/>
              </w:rPr>
              <w:t>（1）首先由技术人员进行问题排查。</w:t>
            </w:r>
          </w:p>
          <w:p w14:paraId="518F1F70">
            <w:pPr>
              <w:spacing w:line="360" w:lineRule="auto"/>
              <w:ind w:firstLine="573"/>
              <w:rPr>
                <w:rFonts w:hint="eastAsia" w:ascii="宋体" w:hAnsi="宋体"/>
                <w:szCs w:val="21"/>
              </w:rPr>
            </w:pPr>
            <w:r>
              <w:rPr>
                <w:rFonts w:hint="eastAsia" w:ascii="宋体" w:hAnsi="宋体"/>
                <w:szCs w:val="21"/>
              </w:rPr>
              <w:t>（2）经技术人员排查后，是投标人文件自身问题导致投标文件无法解密的，该投标文件将不予接收、解密和唱标。开标会议继续进行。</w:t>
            </w:r>
          </w:p>
          <w:p w14:paraId="48A96A17">
            <w:pPr>
              <w:spacing w:line="360" w:lineRule="auto"/>
              <w:ind w:firstLine="573"/>
              <w:rPr>
                <w:rFonts w:hint="eastAsia" w:ascii="宋体" w:hAnsi="宋体"/>
                <w:szCs w:val="21"/>
              </w:rPr>
            </w:pPr>
            <w:r>
              <w:rPr>
                <w:rFonts w:hint="eastAsia" w:ascii="宋体" w:hAnsi="宋体"/>
                <w:szCs w:val="21"/>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29C74AD9">
            <w:pPr>
              <w:spacing w:line="360" w:lineRule="auto"/>
              <w:ind w:firstLine="573"/>
              <w:rPr>
                <w:rFonts w:hint="eastAsia" w:ascii="宋体" w:hAnsi="宋体"/>
                <w:szCs w:val="21"/>
              </w:rPr>
            </w:pPr>
            <w:r>
              <w:rPr>
                <w:rFonts w:hint="eastAsia" w:ascii="宋体" w:hAnsi="宋体"/>
                <w:szCs w:val="21"/>
              </w:rPr>
              <w:t>4、待所有投标人投标文件解密完成后，由中介服务机构操作，对所有已解密投标文件进行唱标。</w:t>
            </w:r>
          </w:p>
          <w:p w14:paraId="57C89E49">
            <w:pPr>
              <w:spacing w:line="360" w:lineRule="auto"/>
              <w:ind w:firstLine="573"/>
              <w:rPr>
                <w:rFonts w:hint="eastAsia" w:ascii="宋体" w:hAnsi="宋体"/>
                <w:b/>
                <w:szCs w:val="21"/>
              </w:rPr>
            </w:pPr>
            <w:r>
              <w:rPr>
                <w:rFonts w:hint="eastAsia" w:ascii="宋体" w:hAnsi="宋体"/>
                <w:b/>
                <w:szCs w:val="21"/>
              </w:rPr>
              <w:t>投标人应保证在开标期间电话、电脑、网络能够正常工作，投标人因停电、电脑病毒、网络堵塞等原因，未在规定的解密时间内对投标文件进行解密的，其投标文件不予接收、唱标。</w:t>
            </w:r>
          </w:p>
          <w:p w14:paraId="5D02B6E1">
            <w:pPr>
              <w:spacing w:line="360" w:lineRule="auto"/>
              <w:ind w:firstLine="573"/>
              <w:rPr>
                <w:rFonts w:hint="eastAsia" w:ascii="宋体" w:hAnsi="宋体" w:cs="宋体"/>
                <w:szCs w:val="21"/>
              </w:rPr>
            </w:pPr>
            <w:r>
              <w:rPr>
                <w:rFonts w:hint="eastAsia" w:ascii="宋体" w:hAnsi="宋体" w:cs="宋体"/>
                <w:szCs w:val="21"/>
              </w:rPr>
              <w:t>5、开标时</w:t>
            </w:r>
            <w:r>
              <w:rPr>
                <w:rFonts w:hint="eastAsia" w:ascii="宋体" w:hAnsi="宋体"/>
                <w:szCs w:val="21"/>
              </w:rPr>
              <w:t>投标</w:t>
            </w:r>
            <w:r>
              <w:rPr>
                <w:rFonts w:hint="eastAsia" w:ascii="宋体" w:hAnsi="宋体" w:cs="宋体"/>
                <w:szCs w:val="21"/>
              </w:rPr>
              <w:t>人可登录到交易系统中在开标大厅中点击开标一览表查看自己的投标报价。如对自己的唱标内容有异议的，应在唱标内容显示后10分钟内向中介服务机构电话质疑。中介服务机构应在监督人员的监督下进行免提通话接受</w:t>
            </w:r>
            <w:r>
              <w:rPr>
                <w:rFonts w:hint="eastAsia" w:ascii="宋体" w:hAnsi="宋体"/>
                <w:szCs w:val="21"/>
              </w:rPr>
              <w:t>投标</w:t>
            </w:r>
            <w:r>
              <w:rPr>
                <w:rFonts w:hint="eastAsia" w:ascii="宋体" w:hAnsi="宋体" w:cs="宋体"/>
                <w:szCs w:val="21"/>
              </w:rPr>
              <w:t>人的质疑并做好书面记录。</w:t>
            </w:r>
            <w:r>
              <w:rPr>
                <w:rFonts w:hint="eastAsia" w:ascii="宋体" w:hAnsi="宋体"/>
                <w:szCs w:val="21"/>
              </w:rPr>
              <w:t>投标</w:t>
            </w:r>
            <w:r>
              <w:rPr>
                <w:rFonts w:hint="eastAsia" w:ascii="宋体" w:hAnsi="宋体" w:cs="宋体"/>
                <w:szCs w:val="21"/>
              </w:rPr>
              <w:t>人未在规定时间内提出质疑的，视为认可唱标内容。</w:t>
            </w:r>
          </w:p>
          <w:p w14:paraId="3C0DE966">
            <w:pPr>
              <w:spacing w:line="360" w:lineRule="auto"/>
              <w:ind w:firstLine="573"/>
              <w:rPr>
                <w:rFonts w:hint="eastAsia" w:ascii="宋体" w:hAnsi="宋体"/>
                <w:szCs w:val="21"/>
              </w:rPr>
            </w:pPr>
            <w:r>
              <w:rPr>
                <w:rFonts w:hint="eastAsia" w:ascii="宋体" w:hAnsi="宋体"/>
                <w:szCs w:val="21"/>
              </w:rPr>
              <w:t>6、评标时，评标委员会对电子化投标文件有质疑的，将通过电子化交易系统对投标人发起质疑，并在监督人员的监督下，用免提模式致电需要答复的投标人进行详细质询。质疑回复内容确认后，投标人的回复文件必须以经过投标人和其法定代表人签章的PDF格式文件为准，并通过电子化交易系统提交至评标委员会。</w:t>
            </w:r>
          </w:p>
          <w:p w14:paraId="76396C54">
            <w:pPr>
              <w:spacing w:line="360" w:lineRule="auto"/>
              <w:ind w:firstLine="573"/>
              <w:rPr>
                <w:rFonts w:hint="eastAsia" w:ascii="宋体" w:hAnsi="宋体"/>
                <w:szCs w:val="21"/>
              </w:rPr>
            </w:pPr>
            <w:r>
              <w:rPr>
                <w:rFonts w:hint="eastAsia" w:ascii="宋体" w:hAnsi="宋体"/>
                <w:szCs w:val="21"/>
              </w:rPr>
              <w:t>7、如评标委员会对需要回复的投标人连续三次致电未接通的，视为磋商供应商放弃回复，评标委员会将自行对需要回复的内容进行认定。</w:t>
            </w:r>
          </w:p>
          <w:p w14:paraId="338BD345">
            <w:pPr>
              <w:snapToGrid w:val="0"/>
              <w:spacing w:line="360" w:lineRule="auto"/>
              <w:ind w:firstLine="573"/>
              <w:rPr>
                <w:rFonts w:hint="eastAsia" w:ascii="宋体" w:hAnsi="宋体" w:cs="宋体"/>
                <w:bCs/>
                <w:kern w:val="44"/>
                <w:sz w:val="24"/>
              </w:rPr>
            </w:pPr>
            <w:r>
              <w:rPr>
                <w:rFonts w:hint="eastAsia" w:ascii="宋体" w:hAnsi="宋体" w:cs="宋体"/>
                <w:b/>
                <w:szCs w:val="21"/>
              </w:rPr>
              <w:t>提示：本项目为电子化、无纸化交易项目，开标时不再接受任何纸质资料，为保证您能投标成功，请需仔细阅读以上条款。</w:t>
            </w:r>
          </w:p>
        </w:tc>
      </w:tr>
    </w:tbl>
    <w:p w14:paraId="44D3F65E">
      <w:pPr>
        <w:widowControl/>
        <w:spacing w:line="360" w:lineRule="auto"/>
        <w:rPr>
          <w:rFonts w:hint="eastAsia" w:ascii="宋体" w:hAnsi="宋体" w:eastAsia="宋体" w:cs="宋体"/>
          <w:b/>
          <w:kern w:val="0"/>
          <w:sz w:val="24"/>
          <w:lang w:val="en-US" w:eastAsia="zh-CN" w:bidi="ar"/>
        </w:rPr>
      </w:pPr>
      <w:r>
        <w:rPr>
          <w:rFonts w:hint="eastAsia" w:ascii="宋体" w:hAnsi="宋体" w:cs="宋体"/>
          <w:b/>
          <w:kern w:val="0"/>
          <w:sz w:val="24"/>
          <w:lang w:val="en-US" w:eastAsia="zh-CN" w:bidi="ar"/>
        </w:rPr>
        <w:t>总则</w:t>
      </w:r>
    </w:p>
    <w:p w14:paraId="4465DD3A">
      <w:pPr>
        <w:widowControl/>
        <w:spacing w:line="360" w:lineRule="auto"/>
        <w:rPr>
          <w:rFonts w:ascii="宋体" w:hAnsi="宋体" w:cs="宋体"/>
          <w:b/>
          <w:kern w:val="0"/>
          <w:sz w:val="24"/>
        </w:rPr>
      </w:pPr>
      <w:r>
        <w:rPr>
          <w:rFonts w:hint="eastAsia" w:ascii="宋体" w:hAnsi="宋体" w:cs="宋体"/>
          <w:b/>
          <w:kern w:val="0"/>
          <w:sz w:val="24"/>
          <w:lang w:bidi="ar"/>
        </w:rPr>
        <w:t>1、适用范围</w:t>
      </w:r>
    </w:p>
    <w:p w14:paraId="602A63A2">
      <w:pPr>
        <w:spacing w:line="360" w:lineRule="auto"/>
        <w:ind w:firstLine="420" w:firstLineChars="200"/>
        <w:rPr>
          <w:rFonts w:hint="eastAsia" w:ascii="宋体" w:hAnsi="宋体" w:eastAsia="宋体" w:cs="Times New Roman"/>
          <w:lang w:eastAsia="zh-CN"/>
        </w:rPr>
      </w:pPr>
      <w:r>
        <w:rPr>
          <w:rFonts w:hint="eastAsia" w:ascii="宋体" w:hAnsi="宋体" w:eastAsia="宋体" w:cs="Times New Roman"/>
        </w:rPr>
        <w:t>本竞争性磋商文件仅适用于</w:t>
      </w:r>
      <w:r>
        <w:rPr>
          <w:rFonts w:hint="eastAsia" w:ascii="宋体" w:hAnsi="宋体" w:cs="Times New Roman"/>
          <w:lang w:eastAsia="zh-CN"/>
        </w:rPr>
        <w:t>陕州区智慧消防火眼AI火情智能预警建设项目</w:t>
      </w:r>
      <w:r>
        <w:rPr>
          <w:rFonts w:hint="eastAsia" w:ascii="宋体" w:hAnsi="宋体" w:eastAsia="宋体" w:cs="Times New Roman"/>
          <w:lang w:eastAsia="zh-CN"/>
        </w:rPr>
        <w:t>；</w:t>
      </w:r>
    </w:p>
    <w:p w14:paraId="1AA8FABE">
      <w:pPr>
        <w:widowControl/>
        <w:spacing w:line="360" w:lineRule="auto"/>
        <w:rPr>
          <w:rFonts w:hint="eastAsia" w:ascii="宋体" w:hAnsi="宋体" w:cs="宋体"/>
          <w:b/>
          <w:kern w:val="0"/>
          <w:sz w:val="24"/>
        </w:rPr>
      </w:pPr>
      <w:r>
        <w:rPr>
          <w:rFonts w:hint="eastAsia" w:ascii="宋体" w:hAnsi="宋体" w:cs="宋体"/>
          <w:b/>
          <w:kern w:val="0"/>
          <w:sz w:val="24"/>
          <w:lang w:bidi="ar"/>
        </w:rPr>
        <w:t>2、合格的供应商</w:t>
      </w:r>
    </w:p>
    <w:p w14:paraId="46381ACE">
      <w:pPr>
        <w:spacing w:line="360" w:lineRule="auto"/>
        <w:ind w:firstLine="420" w:firstLineChars="200"/>
        <w:rPr>
          <w:rFonts w:hint="eastAsia" w:ascii="宋体" w:hAnsi="宋体"/>
        </w:rPr>
      </w:pPr>
      <w:r>
        <w:rPr>
          <w:rFonts w:hint="eastAsia" w:ascii="宋体" w:hAnsi="宋体"/>
        </w:rPr>
        <w:t>详见第二章供应商须知前附表。</w:t>
      </w:r>
    </w:p>
    <w:p w14:paraId="4CBA0C6A">
      <w:pPr>
        <w:widowControl/>
        <w:spacing w:line="360" w:lineRule="auto"/>
        <w:rPr>
          <w:rFonts w:ascii="宋体" w:hAnsi="宋体" w:cs="宋体"/>
          <w:b/>
          <w:kern w:val="0"/>
          <w:sz w:val="24"/>
        </w:rPr>
      </w:pPr>
      <w:r>
        <w:rPr>
          <w:rFonts w:hint="eastAsia" w:ascii="宋体" w:hAnsi="宋体" w:cs="宋体"/>
          <w:b/>
          <w:kern w:val="0"/>
          <w:sz w:val="24"/>
          <w:lang w:bidi="ar"/>
        </w:rPr>
        <w:t>3、费用</w:t>
      </w:r>
    </w:p>
    <w:p w14:paraId="0E3A7B8C">
      <w:pPr>
        <w:widowControl/>
        <w:spacing w:line="360" w:lineRule="auto"/>
        <w:ind w:firstLine="420" w:firstLineChars="200"/>
        <w:rPr>
          <w:rFonts w:ascii="宋体" w:hAnsi="宋体"/>
        </w:rPr>
      </w:pPr>
      <w:r>
        <w:rPr>
          <w:rFonts w:hint="eastAsia" w:ascii="宋体" w:hAnsi="宋体"/>
        </w:rPr>
        <w:t>供应商应自行承担参加竞争性磋商活动有关的全部费用，采购人和采购代理机构在任何情况下均无义务和责任承担上述费用。</w:t>
      </w:r>
    </w:p>
    <w:p w14:paraId="4B02B02C">
      <w:pPr>
        <w:widowControl/>
        <w:spacing w:line="360" w:lineRule="auto"/>
        <w:rPr>
          <w:rFonts w:hint="eastAsia" w:ascii="宋体" w:hAnsi="宋体" w:cs="宋体"/>
          <w:b/>
          <w:kern w:val="0"/>
          <w:sz w:val="24"/>
        </w:rPr>
      </w:pPr>
      <w:r>
        <w:rPr>
          <w:rFonts w:hint="eastAsia" w:ascii="宋体" w:hAnsi="宋体" w:cs="宋体"/>
          <w:b/>
          <w:kern w:val="0"/>
          <w:sz w:val="24"/>
          <w:lang w:bidi="ar"/>
        </w:rPr>
        <w:t>4、竞争性磋商文件的构成：</w:t>
      </w:r>
    </w:p>
    <w:p w14:paraId="29BD4454">
      <w:pPr>
        <w:widowControl/>
        <w:spacing w:line="360" w:lineRule="auto"/>
        <w:ind w:firstLine="420" w:firstLineChars="200"/>
        <w:rPr>
          <w:rFonts w:hint="eastAsia" w:ascii="宋体" w:hAnsi="宋体" w:eastAsia="宋体" w:cs="Times New Roman"/>
        </w:rPr>
      </w:pPr>
      <w:r>
        <w:rPr>
          <w:rFonts w:hint="eastAsia" w:ascii="宋体" w:hAnsi="宋体" w:eastAsia="宋体" w:cs="Times New Roman"/>
          <w:lang w:val="en-US" w:eastAsia="zh-CN"/>
        </w:rPr>
        <w:t>4.1</w:t>
      </w:r>
      <w:r>
        <w:rPr>
          <w:rFonts w:hint="eastAsia" w:ascii="宋体" w:hAnsi="宋体" w:eastAsia="宋体" w:cs="Times New Roman"/>
        </w:rPr>
        <w:t>竞争性磋商</w:t>
      </w:r>
      <w:r>
        <w:rPr>
          <w:rFonts w:hint="eastAsia" w:ascii="宋体" w:hAnsi="宋体" w:eastAsia="宋体" w:cs="Times New Roman"/>
          <w:lang w:val="en-US" w:eastAsia="zh-CN"/>
        </w:rPr>
        <w:t>公告</w:t>
      </w:r>
    </w:p>
    <w:p w14:paraId="0B9A6447">
      <w:pPr>
        <w:widowControl/>
        <w:spacing w:line="360" w:lineRule="auto"/>
        <w:ind w:firstLine="420" w:firstLineChars="200"/>
        <w:rPr>
          <w:rFonts w:hint="eastAsia" w:ascii="宋体" w:hAnsi="宋体" w:eastAsia="宋体" w:cs="Times New Roman"/>
          <w:lang w:eastAsia="zh-CN"/>
        </w:rPr>
      </w:pPr>
      <w:r>
        <w:rPr>
          <w:rFonts w:hint="eastAsia" w:ascii="宋体" w:hAnsi="宋体" w:eastAsia="宋体" w:cs="Times New Roman"/>
          <w:lang w:val="en-US" w:eastAsia="zh-CN"/>
        </w:rPr>
        <w:t>4.2</w:t>
      </w:r>
      <w:r>
        <w:rPr>
          <w:rFonts w:hint="eastAsia" w:ascii="宋体" w:hAnsi="宋体" w:eastAsia="宋体" w:cs="Times New Roman"/>
        </w:rPr>
        <w:t>供应商须知</w:t>
      </w:r>
    </w:p>
    <w:p w14:paraId="2A7069F3">
      <w:pPr>
        <w:widowControl/>
        <w:spacing w:line="360" w:lineRule="auto"/>
        <w:ind w:firstLine="420" w:firstLineChars="200"/>
        <w:rPr>
          <w:rFonts w:hint="default" w:ascii="宋体" w:hAnsi="宋体" w:eastAsia="宋体" w:cs="Times New Roman"/>
          <w:lang w:val="en-US" w:eastAsia="zh-CN"/>
        </w:rPr>
      </w:pPr>
      <w:r>
        <w:rPr>
          <w:rFonts w:hint="eastAsia" w:ascii="宋体" w:hAnsi="宋体" w:eastAsia="宋体" w:cs="Times New Roman"/>
          <w:lang w:val="en-US" w:eastAsia="zh-CN"/>
        </w:rPr>
        <w:t>4.3项目内容</w:t>
      </w:r>
      <w:r>
        <w:rPr>
          <w:rFonts w:hint="eastAsia" w:ascii="宋体" w:hAnsi="宋体" w:eastAsia="宋体" w:cs="Times New Roman"/>
        </w:rPr>
        <w:t>及要求</w:t>
      </w:r>
    </w:p>
    <w:p w14:paraId="7FB08D7A">
      <w:pPr>
        <w:widowControl/>
        <w:spacing w:line="360" w:lineRule="auto"/>
        <w:ind w:firstLine="420" w:firstLineChars="200"/>
        <w:rPr>
          <w:rFonts w:hint="default" w:ascii="宋体" w:hAnsi="宋体" w:eastAsia="宋体" w:cs="Times New Roman"/>
          <w:lang w:val="en-US" w:eastAsia="zh-CN"/>
        </w:rPr>
      </w:pPr>
      <w:r>
        <w:rPr>
          <w:rFonts w:hint="eastAsia" w:ascii="宋体" w:hAnsi="宋体" w:eastAsia="宋体" w:cs="Times New Roman"/>
          <w:lang w:val="en-US" w:eastAsia="zh-CN"/>
        </w:rPr>
        <w:t>4.4</w:t>
      </w:r>
      <w:r>
        <w:rPr>
          <w:rFonts w:hint="eastAsia" w:ascii="宋体" w:hAnsi="宋体" w:eastAsia="宋体" w:cs="Times New Roman"/>
        </w:rPr>
        <w:t>评标办法</w:t>
      </w:r>
    </w:p>
    <w:p w14:paraId="0B8CE530">
      <w:pPr>
        <w:widowControl/>
        <w:spacing w:line="360" w:lineRule="auto"/>
        <w:ind w:firstLine="420" w:firstLineChars="200"/>
        <w:rPr>
          <w:rFonts w:hint="default" w:ascii="宋体" w:hAnsi="宋体" w:eastAsia="宋体" w:cs="Times New Roman"/>
          <w:lang w:val="en-US" w:eastAsia="zh-CN"/>
        </w:rPr>
      </w:pPr>
      <w:r>
        <w:rPr>
          <w:rFonts w:hint="eastAsia" w:ascii="宋体" w:hAnsi="宋体" w:eastAsia="宋体" w:cs="Times New Roman"/>
          <w:lang w:val="en-US" w:eastAsia="zh-CN"/>
        </w:rPr>
        <w:t>4.5政府采购合同</w:t>
      </w:r>
    </w:p>
    <w:p w14:paraId="40F9ED37">
      <w:pPr>
        <w:widowControl/>
        <w:spacing w:line="360" w:lineRule="auto"/>
        <w:ind w:firstLine="420" w:firstLineChars="200"/>
        <w:rPr>
          <w:rFonts w:hint="eastAsia" w:ascii="宋体" w:hAnsi="宋体" w:eastAsia="宋体" w:cs="Times New Roman"/>
        </w:rPr>
      </w:pPr>
      <w:r>
        <w:rPr>
          <w:rFonts w:hint="eastAsia" w:ascii="宋体" w:hAnsi="宋体" w:eastAsia="宋体" w:cs="Times New Roman"/>
          <w:lang w:val="en-US" w:eastAsia="zh-CN"/>
        </w:rPr>
        <w:t>4.6响应文件主要内容和格式</w:t>
      </w:r>
    </w:p>
    <w:p w14:paraId="049E5530">
      <w:pPr>
        <w:widowControl/>
        <w:spacing w:line="360" w:lineRule="auto"/>
        <w:rPr>
          <w:rFonts w:ascii="宋体" w:hAnsi="宋体" w:cs="宋体"/>
          <w:b/>
          <w:kern w:val="0"/>
          <w:sz w:val="24"/>
        </w:rPr>
      </w:pPr>
      <w:r>
        <w:rPr>
          <w:rFonts w:hint="eastAsia" w:ascii="宋体" w:hAnsi="宋体" w:cs="宋体"/>
          <w:b/>
          <w:kern w:val="0"/>
          <w:sz w:val="24"/>
          <w:lang w:bidi="ar"/>
        </w:rPr>
        <w:t>5、竞争性磋商文件的澄清</w:t>
      </w:r>
    </w:p>
    <w:p w14:paraId="503EB3A0">
      <w:pPr>
        <w:spacing w:line="360" w:lineRule="auto"/>
        <w:ind w:firstLine="420" w:firstLineChars="200"/>
        <w:rPr>
          <w:rFonts w:hint="eastAsia" w:ascii="宋体" w:hAnsi="宋体"/>
        </w:rPr>
      </w:pPr>
      <w:r>
        <w:rPr>
          <w:rFonts w:hint="eastAsia" w:ascii="宋体" w:hAnsi="宋体"/>
        </w:rPr>
        <w:t>5.1潜在供应商对磋商文件如有疑问，应在磋商截止时间5</w:t>
      </w:r>
      <w:r>
        <w:rPr>
          <w:rFonts w:hint="eastAsia" w:ascii="宋体" w:hAnsi="宋体"/>
          <w:lang w:val="en-US" w:eastAsia="zh-CN"/>
        </w:rPr>
        <w:t>日</w:t>
      </w:r>
      <w:r>
        <w:rPr>
          <w:rFonts w:hint="eastAsia" w:ascii="宋体" w:hAnsi="宋体"/>
        </w:rPr>
        <w:t>前登录三门峡市公共资源交易中心网（http://gzjy.smx.gov.cn），在网上向提出澄清要求，要求对磋商文件予以澄清。</w:t>
      </w:r>
    </w:p>
    <w:p w14:paraId="3A2B4AB6">
      <w:pPr>
        <w:widowControl/>
        <w:spacing w:line="360" w:lineRule="auto"/>
        <w:ind w:firstLine="480"/>
        <w:rPr>
          <w:rFonts w:ascii="宋体" w:hAnsi="宋体"/>
        </w:rPr>
      </w:pPr>
      <w:r>
        <w:rPr>
          <w:rFonts w:hint="eastAsia" w:ascii="宋体" w:hAnsi="宋体"/>
        </w:rPr>
        <w:t>5.2竞争性磋商文件的澄清将在供应商须知前附表规定的提交响应文件5日前在三门峡市公共资源交易中心网（http://gzjy.smx.gov.cn）以网上形式通知所有</w:t>
      </w:r>
      <w:r>
        <w:rPr>
          <w:rFonts w:hint="eastAsia" w:ascii="宋体" w:hAnsi="宋体"/>
          <w:lang w:eastAsia="zh-CN"/>
        </w:rPr>
        <w:t>下载</w:t>
      </w:r>
      <w:r>
        <w:rPr>
          <w:rFonts w:hint="eastAsia" w:ascii="宋体" w:hAnsi="宋体"/>
        </w:rPr>
        <w:t>磋商文件的供应商，但不指明澄清问题的来源。如果澄清发出的时间距磋商截止时间不足5日，相应延长磋商截止时间。</w:t>
      </w:r>
    </w:p>
    <w:p w14:paraId="3657C8C4">
      <w:pPr>
        <w:widowControl/>
        <w:spacing w:line="360" w:lineRule="auto"/>
        <w:rPr>
          <w:rFonts w:hint="eastAsia" w:ascii="宋体" w:hAnsi="宋体" w:cs="宋体"/>
          <w:b/>
          <w:kern w:val="0"/>
          <w:sz w:val="24"/>
          <w:lang w:bidi="ar"/>
        </w:rPr>
      </w:pPr>
      <w:r>
        <w:rPr>
          <w:rFonts w:hint="eastAsia" w:ascii="宋体" w:hAnsi="宋体" w:cs="宋体"/>
          <w:b/>
          <w:kern w:val="0"/>
          <w:sz w:val="24"/>
          <w:lang w:bidi="ar"/>
        </w:rPr>
        <w:t>6、竞争性磋商文件的修改</w:t>
      </w:r>
    </w:p>
    <w:p w14:paraId="75072321">
      <w:pPr>
        <w:spacing w:line="360" w:lineRule="auto"/>
        <w:ind w:firstLine="420" w:firstLineChars="200"/>
        <w:rPr>
          <w:rFonts w:hint="eastAsia" w:ascii="宋体" w:hAnsi="宋体"/>
        </w:rPr>
      </w:pPr>
      <w:r>
        <w:rPr>
          <w:rFonts w:hint="eastAsia" w:ascii="宋体" w:hAnsi="宋体"/>
        </w:rPr>
        <w:t>6.1在递交响应文件截止之日5日前的任何时间，</w:t>
      </w:r>
      <w:r>
        <w:rPr>
          <w:rStyle w:val="28"/>
          <w:rFonts w:hint="eastAsia" w:ascii="宋体" w:hAnsi="宋体"/>
          <w:color w:val="000000"/>
          <w:kern w:val="0"/>
          <w:szCs w:val="21"/>
        </w:rPr>
        <w:t>采购</w:t>
      </w:r>
      <w:r>
        <w:rPr>
          <w:rStyle w:val="28"/>
          <w:rFonts w:ascii="宋体" w:hAnsi="宋体"/>
          <w:color w:val="000000"/>
          <w:kern w:val="0"/>
          <w:szCs w:val="21"/>
        </w:rPr>
        <w:t>人可以</w:t>
      </w:r>
      <w:r>
        <w:rPr>
          <w:rStyle w:val="28"/>
          <w:rFonts w:hint="eastAsia" w:ascii="宋体" w:hAnsi="宋体"/>
          <w:color w:val="000000"/>
          <w:kern w:val="0"/>
          <w:szCs w:val="21"/>
        </w:rPr>
        <w:t>在</w:t>
      </w:r>
      <w:r>
        <w:rPr>
          <w:rStyle w:val="28"/>
          <w:rFonts w:ascii="宋体" w:hAnsi="宋体"/>
          <w:color w:val="000000"/>
          <w:kern w:val="0"/>
          <w:szCs w:val="21"/>
        </w:rPr>
        <w:t>三门峡市公共资源交易中心网以网上答疑形式修改</w:t>
      </w:r>
      <w:r>
        <w:rPr>
          <w:rStyle w:val="28"/>
          <w:rFonts w:hint="eastAsia" w:ascii="宋体" w:hAnsi="宋体"/>
          <w:color w:val="000000"/>
          <w:kern w:val="0"/>
          <w:szCs w:val="21"/>
        </w:rPr>
        <w:t>磋商</w:t>
      </w:r>
      <w:r>
        <w:rPr>
          <w:rStyle w:val="28"/>
          <w:rFonts w:ascii="宋体" w:hAnsi="宋体"/>
          <w:color w:val="000000"/>
          <w:kern w:val="0"/>
          <w:szCs w:val="21"/>
        </w:rPr>
        <w:t>文件，并通知所有已</w:t>
      </w:r>
      <w:r>
        <w:rPr>
          <w:rStyle w:val="28"/>
          <w:rFonts w:hint="eastAsia" w:ascii="宋体" w:hAnsi="宋体"/>
          <w:color w:val="000000"/>
          <w:kern w:val="0"/>
          <w:szCs w:val="21"/>
          <w:lang w:eastAsia="zh-CN"/>
        </w:rPr>
        <w:t>下载</w:t>
      </w:r>
      <w:r>
        <w:rPr>
          <w:rStyle w:val="28"/>
          <w:rFonts w:hint="eastAsia" w:ascii="宋体" w:hAnsi="宋体"/>
          <w:color w:val="000000"/>
          <w:kern w:val="0"/>
          <w:szCs w:val="21"/>
        </w:rPr>
        <w:t>磋商</w:t>
      </w:r>
      <w:r>
        <w:rPr>
          <w:rStyle w:val="28"/>
          <w:rFonts w:ascii="宋体" w:hAnsi="宋体"/>
          <w:color w:val="000000"/>
          <w:kern w:val="0"/>
          <w:szCs w:val="21"/>
        </w:rPr>
        <w:t>文件的</w:t>
      </w:r>
      <w:r>
        <w:rPr>
          <w:rStyle w:val="28"/>
          <w:rFonts w:hint="eastAsia" w:ascii="宋体" w:hAnsi="宋体"/>
          <w:color w:val="000000"/>
          <w:kern w:val="0"/>
          <w:szCs w:val="21"/>
        </w:rPr>
        <w:t>供应商</w:t>
      </w:r>
      <w:r>
        <w:rPr>
          <w:rStyle w:val="28"/>
          <w:rFonts w:ascii="宋体" w:hAnsi="宋体"/>
          <w:color w:val="000000"/>
          <w:kern w:val="0"/>
          <w:szCs w:val="21"/>
        </w:rPr>
        <w:t>。如果修改</w:t>
      </w:r>
      <w:r>
        <w:rPr>
          <w:rStyle w:val="28"/>
          <w:rFonts w:hint="eastAsia" w:ascii="宋体" w:hAnsi="宋体"/>
          <w:color w:val="000000"/>
          <w:kern w:val="0"/>
          <w:szCs w:val="21"/>
        </w:rPr>
        <w:t>磋商</w:t>
      </w:r>
      <w:r>
        <w:rPr>
          <w:rStyle w:val="28"/>
          <w:rFonts w:ascii="宋体" w:hAnsi="宋体"/>
          <w:color w:val="000000"/>
          <w:kern w:val="0"/>
          <w:szCs w:val="21"/>
        </w:rPr>
        <w:t>文件的时间距投标截止时间不足</w:t>
      </w:r>
      <w:r>
        <w:rPr>
          <w:rStyle w:val="28"/>
          <w:rFonts w:hint="eastAsia" w:ascii="宋体" w:hAnsi="宋体"/>
          <w:color w:val="000000"/>
          <w:kern w:val="0"/>
          <w:szCs w:val="21"/>
        </w:rPr>
        <w:t>5</w:t>
      </w:r>
      <w:r>
        <w:rPr>
          <w:rStyle w:val="28"/>
          <w:rFonts w:ascii="宋体" w:hAnsi="宋体"/>
          <w:color w:val="000000"/>
          <w:kern w:val="0"/>
          <w:szCs w:val="21"/>
        </w:rPr>
        <w:t>天，相应延长投标截止时间。</w:t>
      </w:r>
      <w:r>
        <w:rPr>
          <w:rFonts w:hint="eastAsia" w:ascii="宋体" w:hAnsi="宋体"/>
        </w:rPr>
        <w:t>补充文件将作为竞争性磋商文件组成部分，具有约束作用。</w:t>
      </w:r>
    </w:p>
    <w:p w14:paraId="79962B35">
      <w:pPr>
        <w:spacing w:line="360" w:lineRule="auto"/>
        <w:ind w:firstLine="420" w:firstLineChars="200"/>
        <w:rPr>
          <w:rFonts w:hint="eastAsia" w:ascii="宋体" w:hAnsi="宋体"/>
        </w:rPr>
      </w:pPr>
      <w:r>
        <w:rPr>
          <w:rFonts w:hint="eastAsia" w:ascii="宋体" w:hAnsi="宋体"/>
        </w:rPr>
        <w:t>6.2竞争性磋商</w:t>
      </w:r>
      <w:r>
        <w:rPr>
          <w:rFonts w:ascii="宋体" w:hAnsi="宋体" w:cs="宋体"/>
          <w:color w:val="000000"/>
          <w:kern w:val="0"/>
          <w:szCs w:val="21"/>
        </w:rPr>
        <w:t>文件的澄清、修改、补充等内容均以</w:t>
      </w:r>
      <w:r>
        <w:rPr>
          <w:rFonts w:hint="eastAsia" w:ascii="宋体" w:hAnsi="宋体" w:cs="宋体"/>
          <w:color w:val="000000"/>
          <w:kern w:val="0"/>
          <w:szCs w:val="21"/>
        </w:rPr>
        <w:t>采购人</w:t>
      </w:r>
      <w:r>
        <w:rPr>
          <w:rFonts w:ascii="宋体" w:hAnsi="宋体" w:cs="宋体"/>
          <w:color w:val="000000"/>
          <w:kern w:val="0"/>
          <w:szCs w:val="21"/>
        </w:rPr>
        <w:t>答疑形式明确的内容为准。当</w:t>
      </w:r>
      <w:r>
        <w:rPr>
          <w:rFonts w:hint="eastAsia" w:ascii="宋体" w:hAnsi="宋体" w:cs="宋体"/>
          <w:color w:val="000000"/>
          <w:kern w:val="0"/>
          <w:szCs w:val="21"/>
        </w:rPr>
        <w:t>磋商</w:t>
      </w:r>
      <w:r>
        <w:rPr>
          <w:rFonts w:ascii="宋体" w:hAnsi="宋体" w:cs="宋体"/>
          <w:color w:val="000000"/>
          <w:kern w:val="0"/>
          <w:szCs w:val="21"/>
        </w:rPr>
        <w:t>文件的澄清、修改、补充等在同一内容的表述上不一致时，以最后发出的答疑为准。</w:t>
      </w:r>
    </w:p>
    <w:p w14:paraId="23174FBE">
      <w:pPr>
        <w:widowControl/>
        <w:spacing w:line="360" w:lineRule="auto"/>
        <w:rPr>
          <w:rFonts w:hint="eastAsia" w:ascii="宋体" w:hAnsi="宋体" w:cs="宋体"/>
          <w:b/>
          <w:kern w:val="0"/>
          <w:sz w:val="24"/>
        </w:rPr>
      </w:pPr>
      <w:r>
        <w:rPr>
          <w:rFonts w:hint="eastAsia" w:ascii="宋体" w:hAnsi="宋体" w:cs="宋体"/>
          <w:b/>
          <w:kern w:val="0"/>
          <w:sz w:val="24"/>
          <w:lang w:bidi="ar"/>
        </w:rPr>
        <w:t>7、要求</w:t>
      </w:r>
    </w:p>
    <w:p w14:paraId="7E0E774E">
      <w:pPr>
        <w:widowControl/>
        <w:spacing w:line="360" w:lineRule="auto"/>
        <w:ind w:firstLine="411" w:firstLineChars="196"/>
        <w:rPr>
          <w:rStyle w:val="28"/>
          <w:rFonts w:ascii="宋体" w:hAnsi="宋体"/>
          <w:color w:val="000000"/>
          <w:szCs w:val="21"/>
        </w:rPr>
      </w:pPr>
      <w:r>
        <w:rPr>
          <w:rStyle w:val="28"/>
          <w:rFonts w:hint="eastAsia" w:ascii="宋体" w:hAnsi="宋体"/>
          <w:color w:val="000000"/>
          <w:szCs w:val="21"/>
        </w:rPr>
        <w:t>7.1供应商应仔细阅读竞争性磋商文件的所有内容，按竞争性磋商文件的要求提供响应文件，并保证所提供资料的真实性，以使其响应文件对竞争性磋商文件作出实质性响应，否则，其响应文件不予接受。</w:t>
      </w:r>
    </w:p>
    <w:p w14:paraId="2083910B">
      <w:pPr>
        <w:widowControl/>
        <w:spacing w:line="360" w:lineRule="auto"/>
        <w:rPr>
          <w:rFonts w:ascii="宋体" w:hAnsi="宋体" w:cs="宋体"/>
          <w:b/>
          <w:kern w:val="0"/>
          <w:sz w:val="24"/>
        </w:rPr>
      </w:pPr>
      <w:r>
        <w:rPr>
          <w:rFonts w:hint="eastAsia" w:ascii="宋体" w:hAnsi="宋体" w:cs="宋体"/>
          <w:b/>
          <w:kern w:val="0"/>
          <w:sz w:val="24"/>
          <w:lang w:bidi="ar"/>
        </w:rPr>
        <w:t>8、响应文件的组成</w:t>
      </w:r>
    </w:p>
    <w:p w14:paraId="7111A5E6">
      <w:pPr>
        <w:widowControl/>
        <w:spacing w:line="360" w:lineRule="auto"/>
        <w:rPr>
          <w:rFonts w:ascii="宋体" w:hAnsi="宋体" w:cs="宋体"/>
          <w:b/>
          <w:kern w:val="0"/>
          <w:sz w:val="24"/>
        </w:rPr>
      </w:pPr>
      <w:r>
        <w:rPr>
          <w:rFonts w:hint="eastAsia" w:ascii="宋体" w:hAnsi="宋体" w:cs="宋体"/>
          <w:b/>
          <w:sz w:val="24"/>
          <w:lang w:bidi="ar"/>
        </w:rPr>
        <w:t>8.1响应文件应包括下列内容</w:t>
      </w:r>
    </w:p>
    <w:p w14:paraId="2EDF2638">
      <w:pPr>
        <w:widowControl/>
        <w:spacing w:line="360" w:lineRule="auto"/>
        <w:ind w:firstLine="411" w:firstLineChars="196"/>
        <w:rPr>
          <w:rStyle w:val="28"/>
          <w:rFonts w:hint="eastAsia" w:ascii="宋体" w:hAnsi="宋体" w:eastAsia="宋体" w:cs="Times New Roman"/>
          <w:color w:val="000000"/>
          <w:szCs w:val="21"/>
        </w:rPr>
      </w:pPr>
      <w:r>
        <w:rPr>
          <w:rStyle w:val="28"/>
          <w:rFonts w:hint="eastAsia" w:ascii="宋体" w:hAnsi="宋体" w:eastAsia="宋体" w:cs="Times New Roman"/>
          <w:color w:val="000000"/>
          <w:szCs w:val="21"/>
        </w:rPr>
        <w:t>一、法定代表人身份证明</w:t>
      </w:r>
    </w:p>
    <w:p w14:paraId="6869169B">
      <w:pPr>
        <w:widowControl/>
        <w:spacing w:line="360" w:lineRule="auto"/>
        <w:ind w:firstLine="411" w:firstLineChars="196"/>
        <w:rPr>
          <w:rStyle w:val="28"/>
          <w:rFonts w:hint="eastAsia" w:ascii="宋体" w:hAnsi="宋体" w:eastAsia="宋体" w:cs="Times New Roman"/>
          <w:color w:val="000000"/>
          <w:szCs w:val="21"/>
        </w:rPr>
      </w:pPr>
      <w:r>
        <w:rPr>
          <w:rStyle w:val="28"/>
          <w:rFonts w:hint="eastAsia" w:ascii="宋体" w:hAnsi="宋体" w:eastAsia="宋体" w:cs="Times New Roman"/>
          <w:color w:val="000000"/>
          <w:szCs w:val="21"/>
        </w:rPr>
        <w:t>二、响应文件签署授权委托书</w:t>
      </w:r>
    </w:p>
    <w:p w14:paraId="128FDFD5">
      <w:pPr>
        <w:widowControl/>
        <w:spacing w:line="360" w:lineRule="auto"/>
        <w:ind w:firstLine="411" w:firstLineChars="196"/>
        <w:rPr>
          <w:rStyle w:val="28"/>
          <w:rFonts w:hint="eastAsia" w:ascii="宋体" w:hAnsi="宋体" w:eastAsia="宋体" w:cs="Times New Roman"/>
          <w:color w:val="000000"/>
          <w:szCs w:val="21"/>
        </w:rPr>
      </w:pPr>
      <w:r>
        <w:rPr>
          <w:rStyle w:val="28"/>
          <w:rFonts w:hint="eastAsia" w:ascii="宋体" w:hAnsi="宋体" w:eastAsia="宋体" w:cs="Times New Roman"/>
          <w:color w:val="000000"/>
          <w:szCs w:val="21"/>
        </w:rPr>
        <w:t>三、磋商函及磋商函附录</w:t>
      </w:r>
    </w:p>
    <w:p w14:paraId="35B30D4D">
      <w:pPr>
        <w:widowControl/>
        <w:spacing w:line="360" w:lineRule="auto"/>
        <w:ind w:firstLine="411" w:firstLineChars="196"/>
        <w:rPr>
          <w:rStyle w:val="28"/>
          <w:rFonts w:hint="eastAsia" w:ascii="宋体" w:hAnsi="宋体" w:eastAsia="宋体" w:cs="Times New Roman"/>
          <w:color w:val="000000"/>
          <w:szCs w:val="21"/>
        </w:rPr>
      </w:pPr>
      <w:r>
        <w:rPr>
          <w:rStyle w:val="28"/>
          <w:rFonts w:hint="eastAsia" w:ascii="宋体" w:hAnsi="宋体" w:eastAsia="宋体" w:cs="Times New Roman"/>
          <w:color w:val="000000"/>
          <w:szCs w:val="21"/>
        </w:rPr>
        <w:t>四、服务方案</w:t>
      </w:r>
    </w:p>
    <w:p w14:paraId="1F67AE1A">
      <w:pPr>
        <w:widowControl/>
        <w:spacing w:line="360" w:lineRule="auto"/>
        <w:ind w:firstLine="411" w:firstLineChars="196"/>
        <w:rPr>
          <w:rStyle w:val="28"/>
          <w:rFonts w:hint="eastAsia" w:ascii="宋体" w:hAnsi="宋体" w:eastAsia="宋体" w:cs="Times New Roman"/>
          <w:color w:val="000000"/>
          <w:szCs w:val="21"/>
        </w:rPr>
      </w:pPr>
      <w:r>
        <w:rPr>
          <w:rStyle w:val="28"/>
          <w:rFonts w:hint="eastAsia" w:ascii="宋体" w:hAnsi="宋体" w:eastAsia="宋体" w:cs="Times New Roman"/>
          <w:color w:val="000000"/>
          <w:szCs w:val="21"/>
        </w:rPr>
        <w:t>五、资格审查资料</w:t>
      </w:r>
    </w:p>
    <w:p w14:paraId="646FD34B">
      <w:pPr>
        <w:widowControl/>
        <w:spacing w:line="360" w:lineRule="auto"/>
        <w:ind w:firstLine="411" w:firstLineChars="196"/>
        <w:rPr>
          <w:rStyle w:val="28"/>
          <w:rFonts w:hint="eastAsia" w:ascii="宋体" w:hAnsi="宋体" w:eastAsia="宋体" w:cs="Times New Roman"/>
          <w:color w:val="000000"/>
          <w:szCs w:val="21"/>
        </w:rPr>
      </w:pPr>
      <w:r>
        <w:rPr>
          <w:rStyle w:val="28"/>
          <w:rFonts w:hint="eastAsia" w:ascii="宋体" w:hAnsi="宋体" w:eastAsia="宋体" w:cs="Times New Roman"/>
          <w:color w:val="000000"/>
          <w:szCs w:val="21"/>
        </w:rPr>
        <w:t>六、中小微企业声明函</w:t>
      </w:r>
    </w:p>
    <w:p w14:paraId="1C51B1F5">
      <w:pPr>
        <w:widowControl/>
        <w:spacing w:line="360" w:lineRule="auto"/>
        <w:ind w:firstLine="411" w:firstLineChars="196"/>
        <w:rPr>
          <w:rStyle w:val="28"/>
          <w:rFonts w:hint="eastAsia" w:ascii="宋体" w:hAnsi="宋体" w:eastAsia="宋体" w:cs="Times New Roman"/>
          <w:color w:val="000000"/>
          <w:szCs w:val="21"/>
        </w:rPr>
      </w:pPr>
      <w:r>
        <w:rPr>
          <w:rStyle w:val="28"/>
          <w:rFonts w:hint="eastAsia" w:ascii="宋体" w:hAnsi="宋体" w:eastAsia="宋体" w:cs="Times New Roman"/>
          <w:color w:val="000000"/>
          <w:szCs w:val="21"/>
        </w:rPr>
        <w:t>七、磋商承诺函</w:t>
      </w:r>
    </w:p>
    <w:p w14:paraId="1F125294">
      <w:pPr>
        <w:widowControl/>
        <w:spacing w:line="360" w:lineRule="auto"/>
        <w:ind w:firstLine="411" w:firstLineChars="196"/>
        <w:rPr>
          <w:rStyle w:val="28"/>
          <w:rFonts w:hint="eastAsia" w:ascii="宋体" w:hAnsi="宋体" w:eastAsia="宋体" w:cs="Times New Roman"/>
          <w:color w:val="000000"/>
          <w:szCs w:val="21"/>
        </w:rPr>
      </w:pPr>
      <w:r>
        <w:rPr>
          <w:rStyle w:val="28"/>
          <w:rFonts w:hint="eastAsia" w:ascii="宋体" w:hAnsi="宋体" w:eastAsia="宋体" w:cs="Times New Roman"/>
          <w:color w:val="000000"/>
          <w:szCs w:val="21"/>
        </w:rPr>
        <w:t>八、拟投入本项目的人员情况</w:t>
      </w:r>
    </w:p>
    <w:p w14:paraId="13385C29">
      <w:pPr>
        <w:widowControl/>
        <w:spacing w:line="360" w:lineRule="auto"/>
        <w:ind w:firstLine="411" w:firstLineChars="196"/>
        <w:rPr>
          <w:rStyle w:val="28"/>
          <w:rFonts w:hint="eastAsia" w:ascii="宋体" w:hAnsi="宋体" w:eastAsia="宋体" w:cs="Times New Roman"/>
          <w:color w:val="000000"/>
          <w:szCs w:val="21"/>
        </w:rPr>
      </w:pPr>
      <w:r>
        <w:rPr>
          <w:rStyle w:val="28"/>
          <w:rFonts w:hint="eastAsia" w:ascii="宋体" w:hAnsi="宋体" w:eastAsia="宋体" w:cs="Times New Roman"/>
          <w:color w:val="000000"/>
          <w:szCs w:val="21"/>
        </w:rPr>
        <w:t>九、其他资料</w:t>
      </w:r>
    </w:p>
    <w:p w14:paraId="0933DA26">
      <w:pPr>
        <w:widowControl/>
        <w:spacing w:line="360" w:lineRule="auto"/>
        <w:rPr>
          <w:rFonts w:ascii="宋体" w:hAnsi="宋体" w:cs="宋体"/>
          <w:b/>
          <w:kern w:val="0"/>
          <w:sz w:val="24"/>
          <w:lang w:bidi="ar"/>
        </w:rPr>
      </w:pPr>
      <w:r>
        <w:rPr>
          <w:rFonts w:hint="eastAsia" w:ascii="宋体" w:hAnsi="宋体" w:cs="宋体"/>
          <w:b/>
          <w:kern w:val="0"/>
          <w:sz w:val="24"/>
          <w:lang w:bidi="ar"/>
        </w:rPr>
        <w:t>9、磋商报价</w:t>
      </w:r>
    </w:p>
    <w:p w14:paraId="1CFA1D55">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9.</w:t>
      </w:r>
      <w:r>
        <w:rPr>
          <w:rStyle w:val="28"/>
          <w:rFonts w:ascii="宋体" w:hAnsi="宋体"/>
          <w:color w:val="000000"/>
          <w:szCs w:val="21"/>
        </w:rPr>
        <w:t>1</w:t>
      </w:r>
      <w:r>
        <w:rPr>
          <w:rStyle w:val="28"/>
          <w:rFonts w:hint="eastAsia" w:ascii="宋体" w:hAnsi="宋体"/>
          <w:color w:val="000000"/>
          <w:szCs w:val="21"/>
        </w:rPr>
        <w:t>所有磋商报价均</w:t>
      </w:r>
      <w:r>
        <w:rPr>
          <w:rStyle w:val="28"/>
          <w:rFonts w:ascii="宋体" w:hAnsi="宋体"/>
          <w:color w:val="000000"/>
          <w:szCs w:val="21"/>
        </w:rPr>
        <w:t>以人民币</w:t>
      </w:r>
      <w:r>
        <w:rPr>
          <w:rStyle w:val="28"/>
          <w:rFonts w:hint="eastAsia" w:ascii="宋体" w:hAnsi="宋体"/>
          <w:color w:val="000000"/>
          <w:szCs w:val="21"/>
        </w:rPr>
        <w:t>报价</w:t>
      </w:r>
      <w:r>
        <w:rPr>
          <w:rStyle w:val="28"/>
          <w:rFonts w:ascii="宋体" w:hAnsi="宋体"/>
          <w:color w:val="000000"/>
          <w:szCs w:val="21"/>
        </w:rPr>
        <w:t>。</w:t>
      </w:r>
      <w:r>
        <w:rPr>
          <w:rStyle w:val="28"/>
          <w:rFonts w:hint="eastAsia" w:ascii="宋体" w:hAnsi="宋体"/>
          <w:color w:val="000000"/>
          <w:szCs w:val="21"/>
        </w:rPr>
        <w:t>供应商的磋商报价应遵守《中华人民共和国价格法》。</w:t>
      </w:r>
    </w:p>
    <w:p w14:paraId="4D42FCDD">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9.</w:t>
      </w:r>
      <w:r>
        <w:rPr>
          <w:rStyle w:val="28"/>
          <w:rFonts w:hint="eastAsia" w:ascii="宋体" w:hAnsi="宋体"/>
          <w:color w:val="000000"/>
          <w:szCs w:val="21"/>
          <w:lang w:val="en-US" w:eastAsia="zh-CN"/>
        </w:rPr>
        <w:t>2</w:t>
      </w:r>
      <w:r>
        <w:rPr>
          <w:rStyle w:val="28"/>
          <w:rFonts w:hint="eastAsia" w:ascii="宋体" w:hAnsi="宋体"/>
          <w:color w:val="000000"/>
          <w:szCs w:val="21"/>
        </w:rPr>
        <w:t>供应商的报价应包括为完成本项目所发生的一切费用和税费（含增值税），采购人将不再支付报价以外的任何费用。供应商估算错误或漏项的风险一律由供应商自行承担。</w:t>
      </w:r>
    </w:p>
    <w:p w14:paraId="23C0EA1A">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9.</w:t>
      </w:r>
      <w:r>
        <w:rPr>
          <w:rStyle w:val="28"/>
          <w:rFonts w:hint="eastAsia" w:ascii="宋体" w:hAnsi="宋体"/>
          <w:color w:val="000000"/>
          <w:szCs w:val="21"/>
          <w:lang w:val="en-US" w:eastAsia="zh-CN"/>
        </w:rPr>
        <w:t>3</w:t>
      </w:r>
      <w:r>
        <w:rPr>
          <w:rStyle w:val="28"/>
          <w:rFonts w:hint="eastAsia" w:ascii="宋体" w:hAnsi="宋体"/>
          <w:color w:val="000000"/>
          <w:szCs w:val="21"/>
        </w:rPr>
        <w:t>磋商报价总价中不得包含磋商文件要求以外的内容，否则，在评审时不予核减。磋商报价总价中也不得缺漏磋商文件所要求的内容，否则，将以所有有效报价中该项内容的最高价计入其磋商报价总价，实质性的缺漏可能导致其响应文件被拒绝。</w:t>
      </w:r>
    </w:p>
    <w:p w14:paraId="1F941144">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9.</w:t>
      </w:r>
      <w:r>
        <w:rPr>
          <w:rStyle w:val="28"/>
          <w:rFonts w:hint="eastAsia" w:ascii="宋体" w:hAnsi="宋体"/>
          <w:color w:val="000000"/>
          <w:szCs w:val="21"/>
          <w:lang w:val="en-US" w:eastAsia="zh-CN"/>
        </w:rPr>
        <w:t>4</w:t>
      </w:r>
      <w:r>
        <w:rPr>
          <w:rStyle w:val="28"/>
          <w:rFonts w:hint="eastAsia" w:ascii="宋体" w:hAnsi="宋体"/>
          <w:color w:val="000000"/>
          <w:szCs w:val="21"/>
        </w:rPr>
        <w:t>供应商所报的各分项单价在合同履行过程中是固定不变的，在合同履行中不得以任何理由予以变更。</w:t>
      </w:r>
    </w:p>
    <w:p w14:paraId="6ECFF7F0">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9.</w:t>
      </w:r>
      <w:r>
        <w:rPr>
          <w:rStyle w:val="28"/>
          <w:rFonts w:hint="eastAsia" w:ascii="宋体" w:hAnsi="宋体"/>
          <w:color w:val="000000"/>
          <w:szCs w:val="21"/>
          <w:lang w:val="en-US" w:eastAsia="zh-CN"/>
        </w:rPr>
        <w:t>5</w:t>
      </w:r>
      <w:r>
        <w:rPr>
          <w:rStyle w:val="28"/>
          <w:rFonts w:hint="eastAsia" w:ascii="宋体" w:hAnsi="宋体"/>
          <w:color w:val="000000"/>
          <w:szCs w:val="21"/>
        </w:rPr>
        <w:t>每种产品/服务只能有一个报价，否则其响应文件将被拒绝。</w:t>
      </w:r>
    </w:p>
    <w:p w14:paraId="055CEBEB">
      <w:pPr>
        <w:autoSpaceDE w:val="0"/>
        <w:autoSpaceDN w:val="0"/>
        <w:adjustRightInd w:val="0"/>
        <w:spacing w:line="360" w:lineRule="auto"/>
        <w:ind w:firstLine="420" w:firstLineChars="200"/>
        <w:jc w:val="left"/>
        <w:rPr>
          <w:rFonts w:ascii="宋体" w:hAnsi="宋体" w:cs="宋体"/>
          <w:kern w:val="0"/>
          <w:sz w:val="24"/>
        </w:rPr>
      </w:pPr>
      <w:r>
        <w:rPr>
          <w:rStyle w:val="28"/>
          <w:rFonts w:hint="eastAsia" w:ascii="宋体" w:hAnsi="宋体"/>
          <w:color w:val="000000"/>
          <w:szCs w:val="21"/>
        </w:rPr>
        <w:t>9</w:t>
      </w:r>
      <w:r>
        <w:rPr>
          <w:rStyle w:val="28"/>
          <w:rFonts w:ascii="宋体" w:hAnsi="宋体"/>
          <w:color w:val="000000"/>
          <w:szCs w:val="21"/>
        </w:rPr>
        <w:t>.</w:t>
      </w:r>
      <w:r>
        <w:rPr>
          <w:rStyle w:val="28"/>
          <w:rFonts w:hint="eastAsia" w:ascii="宋体" w:hAnsi="宋体"/>
          <w:color w:val="000000"/>
          <w:szCs w:val="21"/>
          <w:lang w:val="en-US" w:eastAsia="zh-CN"/>
        </w:rPr>
        <w:t>6</w:t>
      </w:r>
      <w:r>
        <w:rPr>
          <w:rStyle w:val="28"/>
          <w:rFonts w:ascii="宋体" w:hAnsi="宋体"/>
          <w:color w:val="000000"/>
          <w:szCs w:val="21"/>
        </w:rPr>
        <w:t>本次采购为竞争性磋商采购，允许二次报价。</w:t>
      </w:r>
    </w:p>
    <w:p w14:paraId="3B0C5803">
      <w:pPr>
        <w:widowControl/>
        <w:spacing w:line="360" w:lineRule="auto"/>
        <w:rPr>
          <w:rFonts w:hint="eastAsia" w:ascii="宋体" w:hAnsi="宋体" w:cs="宋体"/>
          <w:b/>
          <w:kern w:val="0"/>
          <w:sz w:val="24"/>
          <w:lang w:bidi="ar"/>
        </w:rPr>
      </w:pPr>
      <w:r>
        <w:rPr>
          <w:rFonts w:hint="eastAsia" w:ascii="宋体" w:hAnsi="宋体" w:cs="宋体"/>
          <w:b/>
          <w:kern w:val="0"/>
          <w:sz w:val="24"/>
          <w:lang w:bidi="ar"/>
        </w:rPr>
        <w:t>10、供应商资格的审查</w:t>
      </w:r>
    </w:p>
    <w:p w14:paraId="2ED1EDF2">
      <w:pPr>
        <w:autoSpaceDE w:val="0"/>
        <w:autoSpaceDN w:val="0"/>
        <w:adjustRightInd w:val="0"/>
        <w:spacing w:line="360" w:lineRule="auto"/>
        <w:ind w:firstLine="420" w:firstLineChars="200"/>
        <w:jc w:val="left"/>
        <w:rPr>
          <w:rStyle w:val="28"/>
          <w:rFonts w:hint="eastAsia" w:ascii="宋体" w:hAnsi="宋体" w:eastAsia="宋体" w:cs="Times New Roman"/>
          <w:color w:val="000000"/>
          <w:szCs w:val="21"/>
          <w:lang w:val="en-US" w:eastAsia="zh-CN"/>
        </w:rPr>
      </w:pPr>
      <w:r>
        <w:rPr>
          <w:rStyle w:val="28"/>
          <w:rFonts w:hint="eastAsia" w:ascii="宋体" w:hAnsi="宋体" w:eastAsia="宋体" w:cs="Times New Roman"/>
          <w:color w:val="000000"/>
          <w:szCs w:val="21"/>
          <w:lang w:val="en-US" w:eastAsia="zh-CN"/>
        </w:rPr>
        <w:t>10.1、供应商符合《中华人民共和国政府采购法》第二十二条规定条件：</w:t>
      </w:r>
    </w:p>
    <w:p w14:paraId="42A939E2">
      <w:pPr>
        <w:autoSpaceDE w:val="0"/>
        <w:autoSpaceDN w:val="0"/>
        <w:adjustRightInd w:val="0"/>
        <w:spacing w:line="360" w:lineRule="auto"/>
        <w:ind w:firstLine="420" w:firstLineChars="200"/>
        <w:jc w:val="left"/>
        <w:rPr>
          <w:rStyle w:val="28"/>
          <w:rFonts w:hint="eastAsia" w:ascii="宋体" w:hAnsi="宋体" w:eastAsia="宋体" w:cs="Times New Roman"/>
          <w:color w:val="000000"/>
          <w:szCs w:val="21"/>
          <w:lang w:val="en-US" w:eastAsia="zh-CN"/>
        </w:rPr>
      </w:pPr>
      <w:r>
        <w:rPr>
          <w:rStyle w:val="28"/>
          <w:rFonts w:hint="eastAsia" w:ascii="宋体" w:hAnsi="宋体" w:eastAsia="宋体" w:cs="Times New Roman"/>
          <w:color w:val="000000"/>
          <w:szCs w:val="21"/>
          <w:lang w:val="en-US" w:eastAsia="zh-CN"/>
        </w:rPr>
        <w:t>10.2、落实政府采购政策满足的资格要求：执行促进中小型企业发展政策（残疾人福利性企业、监狱企业视同小微企业）、优先采购节能环保产品等政府采购政策。</w:t>
      </w:r>
    </w:p>
    <w:p w14:paraId="3A9128E8">
      <w:pPr>
        <w:autoSpaceDE w:val="0"/>
        <w:autoSpaceDN w:val="0"/>
        <w:adjustRightInd w:val="0"/>
        <w:spacing w:line="360" w:lineRule="auto"/>
        <w:ind w:firstLine="420" w:firstLineChars="200"/>
        <w:jc w:val="left"/>
        <w:rPr>
          <w:rStyle w:val="28"/>
          <w:rFonts w:hint="eastAsia" w:ascii="宋体" w:hAnsi="宋体" w:eastAsia="宋体" w:cs="Times New Roman"/>
          <w:color w:val="000000"/>
          <w:szCs w:val="21"/>
          <w:lang w:val="en-US" w:eastAsia="zh-CN"/>
        </w:rPr>
      </w:pPr>
      <w:r>
        <w:rPr>
          <w:rStyle w:val="28"/>
          <w:rFonts w:hint="eastAsia" w:ascii="宋体" w:hAnsi="宋体" w:eastAsia="宋体" w:cs="Times New Roman"/>
          <w:color w:val="000000"/>
          <w:szCs w:val="21"/>
          <w:lang w:val="en-US" w:eastAsia="zh-CN"/>
        </w:rPr>
        <w:t>10.3、本项目的特定资格要求</w:t>
      </w:r>
    </w:p>
    <w:p w14:paraId="578C5524">
      <w:pPr>
        <w:autoSpaceDE w:val="0"/>
        <w:autoSpaceDN w:val="0"/>
        <w:adjustRightInd w:val="0"/>
        <w:spacing w:line="360" w:lineRule="auto"/>
        <w:ind w:firstLine="420" w:firstLineChars="200"/>
        <w:jc w:val="left"/>
        <w:rPr>
          <w:rStyle w:val="28"/>
          <w:rFonts w:hint="eastAsia" w:ascii="宋体" w:hAnsi="宋体" w:eastAsia="宋体" w:cs="Times New Roman"/>
          <w:color w:val="000000"/>
          <w:szCs w:val="21"/>
          <w:lang w:val="en-US" w:eastAsia="zh-CN"/>
        </w:rPr>
      </w:pPr>
      <w:r>
        <w:rPr>
          <w:rStyle w:val="28"/>
          <w:rFonts w:hint="eastAsia" w:ascii="宋体" w:hAnsi="宋体" w:eastAsia="宋体" w:cs="Times New Roman"/>
          <w:color w:val="000000"/>
          <w:szCs w:val="21"/>
          <w:lang w:val="en-US" w:eastAsia="zh-CN"/>
        </w:rPr>
        <w:t>10.3.1供应商须具备有效的营业执照(分公司或分支机构参与本项目的，还须提供总公司针对本项目的授权书)，并在人员、设备、资金等方面具有相应的能力（提供承诺书）；</w:t>
      </w:r>
    </w:p>
    <w:p w14:paraId="4E9B0061">
      <w:pPr>
        <w:autoSpaceDE w:val="0"/>
        <w:autoSpaceDN w:val="0"/>
        <w:adjustRightInd w:val="0"/>
        <w:spacing w:line="360" w:lineRule="auto"/>
        <w:ind w:firstLine="420" w:firstLineChars="200"/>
        <w:jc w:val="left"/>
        <w:rPr>
          <w:rStyle w:val="28"/>
          <w:rFonts w:hint="eastAsia" w:ascii="宋体" w:hAnsi="宋体" w:eastAsia="宋体" w:cs="Times New Roman"/>
          <w:color w:val="000000"/>
          <w:szCs w:val="21"/>
          <w:lang w:val="en-US" w:eastAsia="zh-CN"/>
        </w:rPr>
      </w:pPr>
      <w:r>
        <w:rPr>
          <w:rStyle w:val="28"/>
          <w:rFonts w:hint="eastAsia" w:ascii="宋体" w:hAnsi="宋体" w:eastAsia="宋体" w:cs="Times New Roman"/>
          <w:color w:val="000000"/>
          <w:szCs w:val="21"/>
          <w:lang w:val="en-US" w:eastAsia="zh-CN"/>
        </w:rPr>
        <w:t>10.3.2供应商出具无行贿犯罪记录在中国裁判文书网自行查询或自行承诺（查询对象：企业、法定代表人）；</w:t>
      </w:r>
    </w:p>
    <w:p w14:paraId="29962F92">
      <w:pPr>
        <w:autoSpaceDE w:val="0"/>
        <w:autoSpaceDN w:val="0"/>
        <w:adjustRightInd w:val="0"/>
        <w:spacing w:line="360" w:lineRule="auto"/>
        <w:ind w:firstLine="420" w:firstLineChars="200"/>
        <w:jc w:val="left"/>
        <w:rPr>
          <w:rStyle w:val="28"/>
          <w:rFonts w:hint="eastAsia" w:ascii="宋体" w:hAnsi="宋体" w:eastAsia="宋体" w:cs="Times New Roman"/>
          <w:color w:val="000000"/>
          <w:szCs w:val="21"/>
          <w:lang w:val="en-US" w:eastAsia="zh-CN"/>
        </w:rPr>
      </w:pPr>
      <w:r>
        <w:rPr>
          <w:rStyle w:val="28"/>
          <w:rFonts w:hint="eastAsia" w:ascii="宋体" w:hAnsi="宋体" w:eastAsia="宋体" w:cs="Times New Roman"/>
          <w:color w:val="000000"/>
          <w:szCs w:val="21"/>
          <w:lang w:val="en-US" w:eastAsia="zh-CN"/>
        </w:rPr>
        <w:t>10.3.3供应商须提供本企业无商业贿赂和不正当竞争行为承诺书；</w:t>
      </w:r>
    </w:p>
    <w:p w14:paraId="446D48C9">
      <w:pPr>
        <w:autoSpaceDE w:val="0"/>
        <w:autoSpaceDN w:val="0"/>
        <w:adjustRightInd w:val="0"/>
        <w:spacing w:line="360" w:lineRule="auto"/>
        <w:ind w:firstLine="420" w:firstLineChars="200"/>
        <w:jc w:val="left"/>
        <w:rPr>
          <w:rStyle w:val="28"/>
          <w:rFonts w:hint="eastAsia" w:ascii="宋体" w:hAnsi="宋体" w:eastAsia="宋体" w:cs="Times New Roman"/>
          <w:color w:val="000000"/>
          <w:szCs w:val="21"/>
          <w:lang w:val="en-US" w:eastAsia="zh-CN"/>
        </w:rPr>
      </w:pPr>
      <w:r>
        <w:rPr>
          <w:rStyle w:val="28"/>
          <w:rFonts w:hint="eastAsia" w:ascii="宋体" w:hAnsi="宋体" w:eastAsia="宋体" w:cs="Times New Roman"/>
          <w:color w:val="000000"/>
          <w:szCs w:val="21"/>
          <w:lang w:val="en-US" w:eastAsia="zh-CN"/>
        </w:rPr>
        <w:t>10.3.4供应商没有被列入“中国执行信息公开网”的“失信被执行人”、“信用中国”的“重大税收违法失信主体”及“中国政府采购网站”的“政府采购严重违法失信行为记录名单”。【查询渠道：“中国执行信息公开网”（http://zxgk.court.gov.cn/）“信用中国”网站（www.creditchina.gov.cn）、“中国政府采购网”（www.ccgp.gov.cn）】(注：査询时间必须是本公告发布之后开标之前，查询结果清晰可见)；</w:t>
      </w:r>
    </w:p>
    <w:p w14:paraId="6808EE21">
      <w:pPr>
        <w:autoSpaceDE w:val="0"/>
        <w:autoSpaceDN w:val="0"/>
        <w:adjustRightInd w:val="0"/>
        <w:spacing w:line="360" w:lineRule="auto"/>
        <w:ind w:firstLine="420" w:firstLineChars="200"/>
        <w:jc w:val="left"/>
        <w:rPr>
          <w:rStyle w:val="28"/>
          <w:rFonts w:hint="eastAsia" w:ascii="宋体" w:hAnsi="宋体" w:eastAsia="宋体" w:cs="Times New Roman"/>
          <w:color w:val="000000"/>
          <w:szCs w:val="21"/>
          <w:lang w:val="en-US" w:eastAsia="zh-CN"/>
        </w:rPr>
      </w:pPr>
      <w:r>
        <w:rPr>
          <w:rStyle w:val="28"/>
          <w:rFonts w:hint="eastAsia" w:ascii="宋体" w:hAnsi="宋体" w:eastAsia="宋体" w:cs="Times New Roman"/>
          <w:color w:val="000000"/>
          <w:szCs w:val="21"/>
          <w:lang w:val="en-US" w:eastAsia="zh-CN"/>
        </w:rPr>
        <w:t>10.3.5本项目不接受联合体投标；</w:t>
      </w:r>
    </w:p>
    <w:p w14:paraId="22A4208D">
      <w:pPr>
        <w:autoSpaceDE w:val="0"/>
        <w:autoSpaceDN w:val="0"/>
        <w:adjustRightInd w:val="0"/>
        <w:spacing w:line="360" w:lineRule="auto"/>
        <w:ind w:firstLine="420" w:firstLineChars="200"/>
        <w:jc w:val="left"/>
        <w:rPr>
          <w:rStyle w:val="28"/>
          <w:rFonts w:hint="eastAsia" w:ascii="宋体" w:hAnsi="宋体" w:eastAsia="宋体" w:cs="Times New Roman"/>
          <w:color w:val="000000"/>
          <w:szCs w:val="21"/>
          <w:lang w:val="en-US" w:eastAsia="zh-CN"/>
        </w:rPr>
      </w:pPr>
      <w:r>
        <w:rPr>
          <w:rStyle w:val="28"/>
          <w:rFonts w:hint="eastAsia" w:ascii="宋体" w:hAnsi="宋体" w:eastAsia="宋体" w:cs="Times New Roman"/>
          <w:color w:val="000000"/>
          <w:szCs w:val="21"/>
          <w:lang w:val="en-US" w:eastAsia="zh-CN"/>
        </w:rPr>
        <w:t>10.3.6本项目实行资格后审，资格审查的具体要求见竞争性磋商文件；</w:t>
      </w:r>
    </w:p>
    <w:p w14:paraId="7DB38067">
      <w:pPr>
        <w:widowControl/>
        <w:spacing w:line="360" w:lineRule="auto"/>
        <w:rPr>
          <w:rFonts w:ascii="宋体" w:hAnsi="宋体" w:cs="宋体"/>
          <w:b/>
          <w:kern w:val="0"/>
          <w:sz w:val="24"/>
        </w:rPr>
      </w:pPr>
      <w:r>
        <w:rPr>
          <w:rFonts w:hint="eastAsia" w:ascii="宋体" w:hAnsi="宋体" w:cs="宋体"/>
          <w:b/>
          <w:kern w:val="0"/>
          <w:sz w:val="24"/>
          <w:lang w:bidi="ar"/>
        </w:rPr>
        <w:t>11、磋商保证金</w:t>
      </w:r>
    </w:p>
    <w:p w14:paraId="539D73D3">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按照《河南省财政厅关于优化政府采购营商环境有关问题的通知》（豫财购[2019]4号文）的要求本项目不再收取磋商保证金。</w:t>
      </w:r>
    </w:p>
    <w:p w14:paraId="35C4A8E2">
      <w:pPr>
        <w:widowControl/>
        <w:spacing w:line="360" w:lineRule="auto"/>
        <w:rPr>
          <w:rFonts w:ascii="宋体" w:hAnsi="宋体" w:cs="宋体"/>
          <w:b/>
          <w:bCs/>
          <w:kern w:val="0"/>
          <w:sz w:val="24"/>
        </w:rPr>
      </w:pPr>
      <w:r>
        <w:rPr>
          <w:rFonts w:hint="eastAsia" w:ascii="宋体" w:hAnsi="宋体" w:cs="宋体"/>
          <w:b/>
          <w:kern w:val="0"/>
          <w:sz w:val="24"/>
          <w:lang w:bidi="ar"/>
        </w:rPr>
        <w:t>12、响应文件</w:t>
      </w:r>
      <w:r>
        <w:rPr>
          <w:rFonts w:hint="eastAsia" w:ascii="宋体" w:hAnsi="宋体" w:cs="宋体"/>
          <w:b/>
          <w:bCs/>
          <w:kern w:val="0"/>
          <w:sz w:val="24"/>
          <w:lang w:bidi="ar"/>
        </w:rPr>
        <w:t>有效期</w:t>
      </w:r>
    </w:p>
    <w:p w14:paraId="13ABA91D">
      <w:pPr>
        <w:widowControl/>
        <w:spacing w:line="360" w:lineRule="auto"/>
        <w:ind w:firstLine="480"/>
        <w:rPr>
          <w:rStyle w:val="28"/>
          <w:rFonts w:ascii="宋体" w:hAnsi="宋体"/>
          <w:color w:val="000000"/>
          <w:szCs w:val="21"/>
        </w:rPr>
      </w:pPr>
      <w:r>
        <w:rPr>
          <w:rStyle w:val="28"/>
          <w:rFonts w:hint="eastAsia" w:ascii="宋体" w:hAnsi="宋体"/>
          <w:color w:val="000000"/>
          <w:szCs w:val="21"/>
        </w:rPr>
        <w:t>12</w:t>
      </w:r>
      <w:r>
        <w:rPr>
          <w:rStyle w:val="28"/>
          <w:rFonts w:hint="eastAsia" w:ascii="宋体" w:hAnsi="宋体"/>
          <w:color w:val="000000"/>
          <w:szCs w:val="21"/>
          <w:lang w:val="en-US" w:eastAsia="zh-CN"/>
        </w:rPr>
        <w:t>.</w:t>
      </w:r>
      <w:r>
        <w:rPr>
          <w:rStyle w:val="28"/>
          <w:rFonts w:hint="eastAsia" w:ascii="宋体" w:hAnsi="宋体"/>
          <w:color w:val="000000"/>
          <w:szCs w:val="21"/>
        </w:rPr>
        <w:t>1响应文件有效期为</w:t>
      </w:r>
      <w:r>
        <w:rPr>
          <w:rFonts w:hint="eastAsia" w:ascii="宋体" w:hAnsi="宋体" w:cs="宋体"/>
          <w:color w:val="000000"/>
          <w:szCs w:val="21"/>
        </w:rPr>
        <w:t>磋商截止时间起60日历天</w:t>
      </w:r>
      <w:r>
        <w:rPr>
          <w:rStyle w:val="28"/>
          <w:rFonts w:hint="eastAsia" w:ascii="宋体" w:hAnsi="宋体"/>
          <w:color w:val="000000"/>
          <w:szCs w:val="21"/>
        </w:rPr>
        <w:t>。</w:t>
      </w:r>
    </w:p>
    <w:p w14:paraId="585D48B9">
      <w:pPr>
        <w:widowControl/>
        <w:spacing w:line="360" w:lineRule="auto"/>
        <w:ind w:firstLine="480"/>
        <w:rPr>
          <w:rStyle w:val="28"/>
          <w:rFonts w:ascii="宋体" w:hAnsi="宋体"/>
          <w:color w:val="000000"/>
          <w:szCs w:val="21"/>
        </w:rPr>
      </w:pPr>
      <w:r>
        <w:rPr>
          <w:rStyle w:val="28"/>
          <w:rFonts w:hint="eastAsia" w:ascii="宋体" w:hAnsi="宋体"/>
          <w:color w:val="000000"/>
          <w:szCs w:val="21"/>
        </w:rPr>
        <w:t>12．2特殊情况下，采购人可于响应文件有效期满之前要求供应商同意延长有效期，要求与答复均为网上答疑形式。供应商可以拒绝上述要求，对于同意该要求的供应商，不允许其修改响应文件。</w:t>
      </w:r>
    </w:p>
    <w:p w14:paraId="30829070">
      <w:pPr>
        <w:widowControl/>
        <w:spacing w:line="360" w:lineRule="auto"/>
        <w:rPr>
          <w:rFonts w:hint="eastAsia" w:ascii="宋体" w:hAnsi="宋体" w:cs="宋体"/>
          <w:b/>
          <w:kern w:val="0"/>
          <w:sz w:val="24"/>
        </w:rPr>
      </w:pPr>
      <w:r>
        <w:rPr>
          <w:rFonts w:hint="eastAsia" w:ascii="宋体" w:hAnsi="宋体" w:cs="宋体"/>
          <w:b/>
          <w:kern w:val="0"/>
          <w:sz w:val="24"/>
          <w:lang w:bidi="ar"/>
        </w:rPr>
        <w:t>13、磋商程序</w:t>
      </w:r>
    </w:p>
    <w:p w14:paraId="50BA1AE1">
      <w:pPr>
        <w:spacing w:line="460" w:lineRule="exact"/>
        <w:ind w:firstLine="420" w:firstLineChars="200"/>
        <w:rPr>
          <w:rStyle w:val="28"/>
          <w:rFonts w:hint="eastAsia" w:ascii="宋体" w:hAnsi="宋体"/>
          <w:color w:val="000000"/>
          <w:szCs w:val="21"/>
        </w:rPr>
      </w:pPr>
      <w:r>
        <w:rPr>
          <w:rStyle w:val="28"/>
          <w:rFonts w:hint="eastAsia" w:ascii="宋体" w:hAnsi="宋体"/>
          <w:color w:val="000000"/>
          <w:szCs w:val="21"/>
        </w:rPr>
        <w:t>（1）宣布会议纪律；</w:t>
      </w:r>
    </w:p>
    <w:p w14:paraId="77C34353">
      <w:pPr>
        <w:spacing w:line="460" w:lineRule="exact"/>
        <w:ind w:firstLine="420" w:firstLineChars="200"/>
        <w:rPr>
          <w:rStyle w:val="28"/>
          <w:rFonts w:hint="eastAsia" w:ascii="宋体" w:hAnsi="宋体"/>
          <w:color w:val="000000"/>
          <w:szCs w:val="21"/>
        </w:rPr>
      </w:pPr>
      <w:r>
        <w:rPr>
          <w:rStyle w:val="28"/>
          <w:rFonts w:hint="eastAsia" w:ascii="宋体" w:hAnsi="宋体"/>
          <w:color w:val="000000"/>
          <w:szCs w:val="21"/>
        </w:rPr>
        <w:t>（2）公布在递交响应文件截止时间前递交响应文件的供应商数量、名称；</w:t>
      </w:r>
    </w:p>
    <w:p w14:paraId="7D480595">
      <w:pPr>
        <w:spacing w:line="460" w:lineRule="exact"/>
        <w:ind w:firstLine="420" w:firstLineChars="200"/>
        <w:rPr>
          <w:rStyle w:val="28"/>
          <w:rFonts w:ascii="宋体" w:hAnsi="宋体"/>
          <w:color w:val="000000"/>
          <w:szCs w:val="21"/>
        </w:rPr>
      </w:pPr>
      <w:r>
        <w:rPr>
          <w:rStyle w:val="28"/>
          <w:rFonts w:hint="eastAsia" w:ascii="宋体" w:hAnsi="宋体"/>
          <w:color w:val="000000"/>
          <w:szCs w:val="21"/>
        </w:rPr>
        <w:t>（3）宣布有关与会人员；</w:t>
      </w:r>
    </w:p>
    <w:p w14:paraId="49B1682D">
      <w:pPr>
        <w:spacing w:line="460" w:lineRule="exact"/>
        <w:ind w:firstLine="420" w:firstLineChars="200"/>
        <w:rPr>
          <w:rStyle w:val="28"/>
          <w:rFonts w:hint="eastAsia" w:ascii="宋体" w:hAnsi="宋体"/>
          <w:color w:val="000000"/>
          <w:szCs w:val="21"/>
        </w:rPr>
      </w:pPr>
      <w:r>
        <w:rPr>
          <w:rStyle w:val="28"/>
          <w:rFonts w:hint="eastAsia" w:ascii="宋体" w:hAnsi="宋体"/>
          <w:color w:val="000000"/>
          <w:szCs w:val="21"/>
        </w:rPr>
        <w:t>（</w:t>
      </w:r>
      <w:r>
        <w:rPr>
          <w:rStyle w:val="28"/>
          <w:rFonts w:ascii="宋体" w:hAnsi="宋体"/>
          <w:color w:val="000000"/>
          <w:szCs w:val="21"/>
        </w:rPr>
        <w:t>4</w:t>
      </w:r>
      <w:r>
        <w:rPr>
          <w:rStyle w:val="28"/>
          <w:rFonts w:hint="eastAsia" w:ascii="宋体" w:hAnsi="宋体"/>
          <w:color w:val="000000"/>
          <w:szCs w:val="21"/>
        </w:rPr>
        <w:t xml:space="preserve">）通过电子招标投标交易平台对已递交的电子响应文件进行解密，程序详见供应商须知前附表“电子化交易注意事项”； </w:t>
      </w:r>
    </w:p>
    <w:p w14:paraId="21F28593">
      <w:pPr>
        <w:spacing w:line="460" w:lineRule="exact"/>
        <w:ind w:firstLine="420" w:firstLineChars="200"/>
        <w:rPr>
          <w:rStyle w:val="28"/>
          <w:rFonts w:hint="eastAsia" w:ascii="宋体" w:hAnsi="宋体"/>
          <w:color w:val="000000"/>
          <w:szCs w:val="21"/>
        </w:rPr>
      </w:pPr>
      <w:r>
        <w:rPr>
          <w:rStyle w:val="28"/>
          <w:rFonts w:hint="eastAsia" w:ascii="宋体" w:hAnsi="宋体"/>
          <w:color w:val="000000"/>
          <w:szCs w:val="21"/>
        </w:rPr>
        <w:t>（5）通过响应文件初步评审的供应商在网上进行二次报价；</w:t>
      </w:r>
    </w:p>
    <w:p w14:paraId="692B38B5">
      <w:pPr>
        <w:spacing w:line="460" w:lineRule="exact"/>
        <w:ind w:firstLine="420" w:firstLineChars="200"/>
        <w:rPr>
          <w:rStyle w:val="28"/>
          <w:rFonts w:ascii="宋体" w:hAnsi="宋体"/>
          <w:color w:val="000000"/>
          <w:szCs w:val="21"/>
        </w:rPr>
      </w:pPr>
      <w:r>
        <w:rPr>
          <w:rStyle w:val="28"/>
          <w:rFonts w:hint="eastAsia" w:ascii="宋体" w:hAnsi="宋体"/>
          <w:color w:val="000000"/>
          <w:szCs w:val="21"/>
        </w:rPr>
        <w:t>（6）招标代理机构将对磋商过程进行记录以存档备查。</w:t>
      </w:r>
    </w:p>
    <w:p w14:paraId="61F819C2">
      <w:pPr>
        <w:spacing w:line="480" w:lineRule="auto"/>
        <w:rPr>
          <w:rFonts w:hint="eastAsia" w:ascii="宋体" w:hAnsi="宋体" w:cs="宋体"/>
          <w:b/>
          <w:kern w:val="0"/>
          <w:sz w:val="24"/>
          <w:lang w:bidi="ar"/>
        </w:rPr>
      </w:pPr>
      <w:r>
        <w:rPr>
          <w:rFonts w:hint="eastAsia" w:ascii="宋体" w:hAnsi="宋体" w:cs="宋体"/>
          <w:b/>
          <w:sz w:val="24"/>
          <w:lang w:bidi="ar"/>
        </w:rPr>
        <w:t>14.5电子化磋商响应文件的有效性</w:t>
      </w:r>
      <w:r>
        <w:rPr>
          <w:rFonts w:hint="eastAsia" w:ascii="宋体" w:hAnsi="宋体" w:cs="宋体"/>
          <w:b/>
          <w:kern w:val="0"/>
          <w:sz w:val="24"/>
          <w:lang w:bidi="ar"/>
        </w:rPr>
        <w:t xml:space="preserve"> </w:t>
      </w:r>
    </w:p>
    <w:p w14:paraId="74EFA051">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14.5.1.</w:t>
      </w:r>
      <w:r>
        <w:rPr>
          <w:rStyle w:val="28"/>
          <w:rFonts w:ascii="宋体" w:hAnsi="宋体"/>
          <w:color w:val="000000"/>
          <w:szCs w:val="21"/>
        </w:rPr>
        <w:t>电子化磋商响应文件有下列情形的为无效电子化磋商响应文件，采购人不予受理：因磋商</w:t>
      </w:r>
      <w:r>
        <w:rPr>
          <w:rStyle w:val="28"/>
          <w:rFonts w:hint="eastAsia" w:ascii="宋体" w:hAnsi="宋体"/>
          <w:color w:val="000000"/>
          <w:szCs w:val="21"/>
        </w:rPr>
        <w:t>供应商</w:t>
      </w:r>
      <w:r>
        <w:rPr>
          <w:rStyle w:val="28"/>
          <w:rFonts w:ascii="宋体" w:hAnsi="宋体"/>
          <w:color w:val="000000"/>
          <w:szCs w:val="21"/>
        </w:rPr>
        <w:t>原因造成磋商响应文件未解密的，视为撤销其磋商响应文件；因磋商</w:t>
      </w:r>
      <w:r>
        <w:rPr>
          <w:rStyle w:val="28"/>
          <w:rFonts w:hint="eastAsia" w:ascii="宋体" w:hAnsi="宋体"/>
          <w:color w:val="000000"/>
          <w:szCs w:val="21"/>
        </w:rPr>
        <w:t>供应商</w:t>
      </w:r>
      <w:r>
        <w:rPr>
          <w:rStyle w:val="28"/>
          <w:rFonts w:ascii="宋体" w:hAnsi="宋体"/>
          <w:color w:val="000000"/>
          <w:szCs w:val="21"/>
        </w:rPr>
        <w:t>之外的原因造成电子化磋商响应文件未解密的，视为撤回其磋商响应文件，磋商</w:t>
      </w:r>
      <w:r>
        <w:rPr>
          <w:rStyle w:val="28"/>
          <w:rFonts w:hint="eastAsia" w:ascii="宋体" w:hAnsi="宋体"/>
          <w:color w:val="000000"/>
          <w:szCs w:val="21"/>
        </w:rPr>
        <w:t>供应商</w:t>
      </w:r>
      <w:r>
        <w:rPr>
          <w:rStyle w:val="28"/>
          <w:rFonts w:ascii="宋体" w:hAnsi="宋体"/>
          <w:color w:val="000000"/>
          <w:szCs w:val="21"/>
        </w:rPr>
        <w:t>有权要求责任方赔偿因此遭受的直接损失。部分电子化磋商响应文件未解密的，其他电子化磋商响应文件的磋商可以继续进行。</w:t>
      </w:r>
    </w:p>
    <w:p w14:paraId="1F38DFB6">
      <w:pPr>
        <w:autoSpaceDE w:val="0"/>
        <w:autoSpaceDN w:val="0"/>
        <w:adjustRightInd w:val="0"/>
        <w:spacing w:line="360" w:lineRule="auto"/>
        <w:ind w:firstLine="420" w:firstLineChars="200"/>
        <w:jc w:val="left"/>
        <w:rPr>
          <w:rFonts w:hint="eastAsia" w:ascii="宋体" w:hAnsi="宋体" w:cs="宋体"/>
          <w:sz w:val="24"/>
          <w:lang w:bidi="ar"/>
        </w:rPr>
      </w:pPr>
      <w:r>
        <w:rPr>
          <w:rStyle w:val="28"/>
          <w:rFonts w:hint="eastAsia" w:ascii="宋体" w:hAnsi="宋体"/>
          <w:color w:val="000000"/>
          <w:szCs w:val="21"/>
        </w:rPr>
        <w:t>14.5.2各供应商的首次报价不进行公开唱价，首次报价不作为最终决定性评审因素，仅供磋商小组参考。</w:t>
      </w:r>
    </w:p>
    <w:p w14:paraId="6B49A9C9">
      <w:pPr>
        <w:widowControl/>
        <w:spacing w:line="360" w:lineRule="auto"/>
        <w:rPr>
          <w:rFonts w:ascii="宋体" w:hAnsi="宋体" w:cs="宋体"/>
          <w:b/>
          <w:kern w:val="0"/>
          <w:sz w:val="24"/>
        </w:rPr>
      </w:pPr>
      <w:r>
        <w:rPr>
          <w:rFonts w:hint="eastAsia" w:ascii="宋体" w:hAnsi="宋体" w:cs="宋体"/>
          <w:b/>
          <w:kern w:val="0"/>
          <w:sz w:val="24"/>
          <w:lang w:bidi="ar"/>
        </w:rPr>
        <w:t>15、磋商小组</w:t>
      </w:r>
    </w:p>
    <w:p w14:paraId="34C0C325">
      <w:pPr>
        <w:spacing w:line="360" w:lineRule="auto"/>
        <w:ind w:firstLine="210" w:firstLineChars="100"/>
        <w:rPr>
          <w:rStyle w:val="28"/>
          <w:rFonts w:hint="eastAsia" w:ascii="宋体" w:hAnsi="宋体"/>
          <w:color w:val="000000"/>
          <w:szCs w:val="21"/>
        </w:rPr>
      </w:pPr>
      <w:r>
        <w:rPr>
          <w:rStyle w:val="28"/>
          <w:rFonts w:hint="eastAsia" w:ascii="宋体" w:hAnsi="宋体"/>
          <w:color w:val="000000"/>
          <w:szCs w:val="21"/>
        </w:rPr>
        <w:t>15</w:t>
      </w:r>
      <w:r>
        <w:rPr>
          <w:rStyle w:val="28"/>
          <w:rFonts w:ascii="宋体" w:hAnsi="宋体"/>
          <w:color w:val="000000"/>
          <w:szCs w:val="21"/>
        </w:rPr>
        <w:t>.1</w:t>
      </w:r>
      <w:r>
        <w:rPr>
          <w:rFonts w:hint="eastAsia" w:ascii="宋体" w:hAnsi="宋体" w:cs="宋体"/>
          <w:color w:val="000000"/>
          <w:szCs w:val="21"/>
        </w:rPr>
        <w:t>磋商小组构成：3人；</w:t>
      </w:r>
      <w:r>
        <w:rPr>
          <w:rFonts w:hint="eastAsia" w:ascii="宋体" w:hAnsi="宋体" w:cs="宋体"/>
          <w:color w:val="000000"/>
          <w:szCs w:val="21"/>
          <w:lang w:val="en-US" w:eastAsia="zh-CN"/>
        </w:rPr>
        <w:t>采购人</w:t>
      </w:r>
      <w:r>
        <w:rPr>
          <w:rFonts w:hint="eastAsia" w:ascii="宋体" w:hAnsi="宋体" w:cs="宋体"/>
          <w:color w:val="000000"/>
          <w:szCs w:val="21"/>
        </w:rPr>
        <w:t>代表1人，评审专家2人；</w:t>
      </w:r>
      <w:r>
        <w:rPr>
          <w:rFonts w:hint="eastAsia" w:ascii="宋体" w:hAnsi="宋体" w:eastAsia="宋体" w:cs="宋体"/>
          <w:b w:val="0"/>
          <w:bCs/>
          <w:color w:val="000000"/>
          <w:kern w:val="2"/>
          <w:sz w:val="21"/>
          <w:szCs w:val="21"/>
          <w:lang w:val="en-US" w:eastAsia="zh-CN" w:bidi="ar-SA"/>
        </w:rPr>
        <w:t>评标专家确定方式：从河南省电子化政府采购系统评标专家库中随机抽取。（采购人代表无评标劳务费用）</w:t>
      </w:r>
    </w:p>
    <w:p w14:paraId="1EC340FD">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15.2磋商纪律</w:t>
      </w:r>
    </w:p>
    <w:p w14:paraId="7FD42152">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（1）磋商小组成员内部讨论的情况和意见必须保密，任何人不得以任何形式透露给供应商或与供应商有关的单位或个人；</w:t>
      </w:r>
    </w:p>
    <w:p w14:paraId="491D53DE">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（2）在磋商过程中，供应商不得以任何形式对磋商小组成员进行旨在影响磋商结果的私下接触，否则取消其磋商资格；</w:t>
      </w:r>
    </w:p>
    <w:p w14:paraId="1ABB9D3B">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 xml:space="preserve">（3）磋商小组采用以及与磋商有关的人员应当对评审情况和评审过程中获悉的国家秘密、商业秘密予以保密。 </w:t>
      </w:r>
    </w:p>
    <w:p w14:paraId="295762D0">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 xml:space="preserve">（4）供应商不得泄漏竞争性磋商活动中应当保密的情况和资料，不得与其他供应商串通损害国家利益、社会公共利益或者他人合法权益。 </w:t>
      </w:r>
    </w:p>
    <w:p w14:paraId="5CDB346B">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 xml:space="preserve">（5）供应商不得相互串通响应或者与串通响应，不得向或者磋商小组行贿谋取成交，不得以他人名义响应或者以其他方式弄虚作假骗取成交；供应商不得以任何方式干扰、影响评审工作。 </w:t>
      </w:r>
    </w:p>
    <w:p w14:paraId="6CE0C9A2">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 xml:space="preserve">（6）磋商小组成员不得收受他人的财物或者其他好处，不得向他人透漏对响应文件的评审和比较、成交候选人的推荐情况以及评审有关的其他情况。在评审活动中，磋商小组应当客观、公正地履行职责，遵守职业道德，不得擅离职守，影响评审程序正常进行，不得使用评审办法中没有规定的评审因素和标准进行评审。 </w:t>
      </w:r>
    </w:p>
    <w:p w14:paraId="0CCFF2EB">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 xml:space="preserve">（7）与评审活动有关的工作人员不得收受他人的财物或者其他好处，不得向他人透漏对响应文件的评审和比较、成交候选人的推荐情况以及评审有关的其他情况。在评审活动中，与评审活动有关的工作人员不得擅离职守，影响评审程序正常进行。 </w:t>
      </w:r>
    </w:p>
    <w:p w14:paraId="229314E5">
      <w:pPr>
        <w:autoSpaceDE w:val="0"/>
        <w:autoSpaceDN w:val="0"/>
        <w:adjustRightInd w:val="0"/>
        <w:spacing w:line="360" w:lineRule="auto"/>
        <w:ind w:firstLine="482" w:firstLineChars="200"/>
        <w:jc w:val="left"/>
        <w:rPr>
          <w:rFonts w:hint="eastAsia" w:ascii="宋体" w:hAnsi="宋体" w:cs="宋体"/>
          <w:b/>
          <w:bCs/>
          <w:kern w:val="0"/>
          <w:sz w:val="24"/>
        </w:rPr>
      </w:pPr>
      <w:r>
        <w:rPr>
          <w:rFonts w:hint="eastAsia" w:ascii="宋体" w:hAnsi="宋体" w:cs="宋体"/>
          <w:b/>
          <w:bCs/>
          <w:kern w:val="0"/>
          <w:sz w:val="24"/>
        </w:rPr>
        <w:t>16、评审</w:t>
      </w:r>
    </w:p>
    <w:p w14:paraId="0E2A511B">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16.1响应文件的审查</w:t>
      </w:r>
    </w:p>
    <w:p w14:paraId="3ECDD057">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16.1.1磋商小组审查响应文件是否完整，是否有计算错误，文件是否已恰当地签署。</w:t>
      </w:r>
    </w:p>
    <w:p w14:paraId="3C3FDEE2">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16.1.2在对响应文件进行详细评审之前，磋商小组依据磋商文件的规定，对供应商的资格及响应文件的有效性、完整性和对磋商文件的响应程度进行审查，以确定是否对磋商文件的要求做出实质性响应。未通过资格审查的供应商，不得进入详细评审。资格性审查内容详见附表初步评审表 。</w:t>
      </w:r>
    </w:p>
    <w:p w14:paraId="73C0A527">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16.1.3竞争性磋商小组将确定响应文件是否对竞争性磋商文件的要求作出了实质性的响应，而没有重大偏离。实质性响应是指磋商符合竞争性磋商文件的所有条款、条件和规定且没有重大偏离和保留。重大偏离和保留是指影响到竞争性磋商文件规定的范围、质量和性能，或限制了采购人的权利和供应商的义务的规定，而纠正这些偏离将影响到其它供应商的公平竞争地位。</w:t>
      </w:r>
    </w:p>
    <w:p w14:paraId="3ACD923A">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16.1.4竞争性磋商小组判断响应文件的响应性仅基于响应文件本身内容而不靠外部证据。</w:t>
      </w:r>
    </w:p>
    <w:p w14:paraId="4E963A1A">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16.1.5竞争性磋商小组将拒绝被确定为非实质性响应的磋商，供应商不能通过修正或撤消不符之处而使其磋商成为实质性响应的磋商。</w:t>
      </w:r>
    </w:p>
    <w:p w14:paraId="34FAD3F9">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16.1.6竞争性磋商小组允许修改磋商中不构成重大偏离的、微小的、非正规、不一致或不规则的地方。</w:t>
      </w:r>
    </w:p>
    <w:p w14:paraId="1C91656C">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16.2未响应竞争性磋商文件规定</w:t>
      </w:r>
    </w:p>
    <w:p w14:paraId="68BA5D36">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16.2.1报价超出采购人预算价的；</w:t>
      </w:r>
    </w:p>
    <w:p w14:paraId="03743AB1">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16.2.2未响应竞争性磋商文件中磋商文件格式盖章的；</w:t>
      </w:r>
    </w:p>
    <w:p w14:paraId="05176CCA">
      <w:pPr>
        <w:autoSpaceDE w:val="0"/>
        <w:autoSpaceDN w:val="0"/>
        <w:adjustRightInd w:val="0"/>
        <w:spacing w:line="360" w:lineRule="auto"/>
        <w:ind w:firstLine="420" w:firstLineChars="200"/>
        <w:jc w:val="left"/>
        <w:rPr>
          <w:rStyle w:val="28"/>
          <w:rFonts w:ascii="宋体" w:hAnsi="宋体"/>
          <w:color w:val="000000"/>
          <w:szCs w:val="21"/>
        </w:rPr>
      </w:pPr>
      <w:r>
        <w:rPr>
          <w:rStyle w:val="28"/>
          <w:rFonts w:hint="eastAsia" w:ascii="宋体" w:hAnsi="宋体"/>
          <w:color w:val="000000"/>
          <w:szCs w:val="21"/>
        </w:rPr>
        <w:t>16.2.3未响应竞争性磋商文件</w:t>
      </w:r>
      <w:r>
        <w:rPr>
          <w:rStyle w:val="28"/>
          <w:rFonts w:hint="eastAsia" w:ascii="宋体" w:hAnsi="宋体"/>
          <w:color w:val="000000"/>
          <w:szCs w:val="21"/>
          <w:lang w:val="en-US" w:eastAsia="zh-CN"/>
        </w:rPr>
        <w:t>服务期限</w:t>
      </w:r>
      <w:r>
        <w:rPr>
          <w:rStyle w:val="28"/>
          <w:rFonts w:hint="eastAsia" w:ascii="宋体" w:hAnsi="宋体"/>
          <w:color w:val="000000"/>
          <w:szCs w:val="21"/>
        </w:rPr>
        <w:t>、磋商有效期；</w:t>
      </w:r>
    </w:p>
    <w:p w14:paraId="31C19B8E">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16.2.4未响应竞争性磋商文件</w:t>
      </w:r>
      <w:r>
        <w:rPr>
          <w:rStyle w:val="28"/>
          <w:rFonts w:hint="eastAsia" w:ascii="宋体" w:hAnsi="宋体"/>
          <w:color w:val="000000"/>
          <w:szCs w:val="21"/>
          <w:lang w:val="en-US" w:eastAsia="zh-CN"/>
        </w:rPr>
        <w:t>服务</w:t>
      </w:r>
      <w:r>
        <w:rPr>
          <w:rStyle w:val="28"/>
          <w:rFonts w:hint="eastAsia" w:ascii="宋体" w:hAnsi="宋体"/>
          <w:color w:val="000000"/>
          <w:szCs w:val="21"/>
        </w:rPr>
        <w:t>需求和技术要求。</w:t>
      </w:r>
    </w:p>
    <w:p w14:paraId="470D7F29">
      <w:pPr>
        <w:autoSpaceDE w:val="0"/>
        <w:autoSpaceDN w:val="0"/>
        <w:adjustRightInd w:val="0"/>
        <w:spacing w:line="360" w:lineRule="auto"/>
        <w:ind w:firstLine="420" w:firstLineChars="200"/>
        <w:jc w:val="left"/>
        <w:rPr>
          <w:rStyle w:val="28"/>
          <w:rFonts w:hint="eastAsia" w:ascii="宋体" w:hAnsi="宋体"/>
          <w:color w:val="000000"/>
          <w:szCs w:val="21"/>
        </w:rPr>
      </w:pPr>
      <w:r>
        <w:rPr>
          <w:rStyle w:val="28"/>
          <w:rFonts w:hint="eastAsia" w:ascii="宋体" w:hAnsi="宋体"/>
          <w:color w:val="000000"/>
          <w:szCs w:val="21"/>
        </w:rPr>
        <w:t>16.3在磋商过程中，磋商小组可以根据磋商文件和磋商情况实质性变动招标需求中的技术、服务要求以及合同草案条款，但不得变动磋商文件中的其他内容。实质性变动的内容，须经采购人代表确认。</w:t>
      </w:r>
    </w:p>
    <w:p w14:paraId="29240670">
      <w:pPr>
        <w:widowControl/>
        <w:spacing w:line="360" w:lineRule="auto"/>
        <w:ind w:firstLine="480"/>
        <w:rPr>
          <w:rFonts w:hint="eastAsia" w:ascii="宋体" w:hAnsi="宋体" w:cs="宋体"/>
          <w:b/>
          <w:bCs/>
          <w:kern w:val="0"/>
          <w:szCs w:val="21"/>
          <w:lang w:bidi="ar"/>
        </w:rPr>
      </w:pPr>
      <w:r>
        <w:rPr>
          <w:rFonts w:hint="eastAsia" w:ascii="宋体" w:hAnsi="宋体" w:cs="宋体"/>
          <w:kern w:val="0"/>
          <w:szCs w:val="21"/>
          <w:lang w:bidi="ar"/>
        </w:rPr>
        <w:t>16.4各供应商进行报价：</w:t>
      </w:r>
      <w:r>
        <w:rPr>
          <w:rFonts w:hint="eastAsia" w:ascii="宋体" w:hAnsi="宋体" w:cs="宋体"/>
          <w:b/>
          <w:bCs/>
          <w:kern w:val="0"/>
          <w:szCs w:val="21"/>
          <w:lang w:bidi="ar"/>
        </w:rPr>
        <w:t>（本项目进行二次报价，二次报价不能高于上次报价，高于上次报价视为无效标）</w:t>
      </w:r>
    </w:p>
    <w:p w14:paraId="58A32674">
      <w:pPr>
        <w:widowControl/>
        <w:spacing w:line="360" w:lineRule="auto"/>
        <w:ind w:firstLine="480"/>
        <w:rPr>
          <w:rFonts w:hint="eastAsia" w:ascii="宋体" w:hAnsi="宋体" w:cs="宋体"/>
          <w:kern w:val="0"/>
          <w:szCs w:val="21"/>
          <w:lang w:bidi="ar"/>
        </w:rPr>
      </w:pPr>
      <w:r>
        <w:rPr>
          <w:rFonts w:hint="eastAsia" w:ascii="宋体" w:hAnsi="宋体" w:cs="宋体"/>
          <w:kern w:val="0"/>
          <w:szCs w:val="21"/>
          <w:lang w:bidi="ar"/>
        </w:rPr>
        <w:t>16.5由磋商小组采用综合评分法对提交最后报价的供应商的响应文件和最后报价进行综合评分。</w:t>
      </w:r>
    </w:p>
    <w:p w14:paraId="7A5CC009">
      <w:pPr>
        <w:widowControl/>
        <w:spacing w:line="360" w:lineRule="auto"/>
        <w:ind w:firstLine="480"/>
        <w:rPr>
          <w:rFonts w:hint="eastAsia" w:ascii="宋体" w:hAnsi="宋体" w:cs="宋体"/>
          <w:kern w:val="0"/>
          <w:szCs w:val="21"/>
          <w:lang w:bidi="ar"/>
        </w:rPr>
      </w:pPr>
      <w:r>
        <w:rPr>
          <w:rFonts w:hint="eastAsia" w:ascii="宋体" w:hAnsi="宋体" w:cs="宋体"/>
          <w:kern w:val="0"/>
          <w:szCs w:val="21"/>
          <w:lang w:val="en-US" w:eastAsia="zh-CN" w:bidi="ar"/>
        </w:rPr>
        <w:t>16.6</w:t>
      </w:r>
      <w:r>
        <w:rPr>
          <w:rFonts w:hint="eastAsia" w:ascii="宋体" w:hAnsi="宋体" w:cs="宋体"/>
          <w:kern w:val="0"/>
          <w:szCs w:val="21"/>
          <w:lang w:bidi="ar"/>
        </w:rPr>
        <w:t>出现下列情形之一的，将终止竞争性磋商釆购活动，发布项目终止公告并说明原因，重新开展采购活动：</w:t>
      </w:r>
    </w:p>
    <w:p w14:paraId="083CB28F">
      <w:pPr>
        <w:widowControl/>
        <w:spacing w:line="360" w:lineRule="auto"/>
        <w:ind w:firstLine="480"/>
        <w:rPr>
          <w:rFonts w:hint="eastAsia" w:ascii="宋体" w:hAnsi="宋体" w:cs="宋体"/>
          <w:kern w:val="0"/>
          <w:szCs w:val="21"/>
          <w:lang w:bidi="ar"/>
        </w:rPr>
      </w:pPr>
      <w:r>
        <w:rPr>
          <w:rFonts w:hint="eastAsia" w:ascii="宋体" w:hAnsi="宋体" w:cs="宋体"/>
          <w:kern w:val="0"/>
          <w:szCs w:val="21"/>
          <w:lang w:bidi="ar"/>
        </w:rPr>
        <w:t>1、不符合法律、法规和竞争性磋商文件中规定的其他实质性要求的。</w:t>
      </w:r>
    </w:p>
    <w:p w14:paraId="3EE452DF">
      <w:pPr>
        <w:widowControl/>
        <w:spacing w:line="360" w:lineRule="auto"/>
        <w:ind w:firstLine="480"/>
        <w:rPr>
          <w:rFonts w:hint="eastAsia" w:ascii="宋体" w:hAnsi="宋体" w:cs="宋体"/>
          <w:kern w:val="0"/>
          <w:szCs w:val="21"/>
          <w:lang w:bidi="ar"/>
        </w:rPr>
      </w:pPr>
      <w:r>
        <w:rPr>
          <w:rFonts w:hint="eastAsia" w:ascii="宋体" w:hAnsi="宋体" w:cs="宋体"/>
          <w:kern w:val="0"/>
          <w:szCs w:val="21"/>
          <w:lang w:bidi="ar"/>
        </w:rPr>
        <w:t>2、其他法律、法规及本竞争性磋商文件规定的属响应无效的情形。终止竞争性磋商釆购活动的条款。</w:t>
      </w:r>
    </w:p>
    <w:p w14:paraId="58CD3D2A">
      <w:pPr>
        <w:widowControl/>
        <w:spacing w:line="360" w:lineRule="auto"/>
        <w:ind w:firstLine="480"/>
        <w:rPr>
          <w:rFonts w:hint="eastAsia" w:ascii="宋体" w:hAnsi="宋体" w:cs="宋体"/>
          <w:kern w:val="0"/>
          <w:szCs w:val="21"/>
          <w:lang w:bidi="ar"/>
        </w:rPr>
      </w:pPr>
      <w:r>
        <w:rPr>
          <w:rFonts w:hint="eastAsia" w:ascii="宋体" w:hAnsi="宋体" w:cs="宋体"/>
          <w:kern w:val="0"/>
          <w:szCs w:val="21"/>
          <w:lang w:bidi="ar"/>
        </w:rPr>
        <w:t>3、因情况变化，不再符合规定的竞争性磋商釆购方式适用情形的；出现影响釆购公正的违法、违规行为的。</w:t>
      </w:r>
    </w:p>
    <w:p w14:paraId="4A86697B">
      <w:pPr>
        <w:widowControl/>
        <w:spacing w:line="360" w:lineRule="auto"/>
        <w:ind w:firstLine="480"/>
        <w:rPr>
          <w:rFonts w:hint="eastAsia" w:ascii="宋体" w:hAnsi="宋体" w:cs="宋体"/>
          <w:kern w:val="0"/>
          <w:szCs w:val="21"/>
          <w:lang w:bidi="ar"/>
        </w:rPr>
      </w:pPr>
      <w:r>
        <w:rPr>
          <w:rFonts w:hint="eastAsia" w:ascii="宋体" w:hAnsi="宋体" w:cs="宋体"/>
          <w:kern w:val="0"/>
          <w:szCs w:val="21"/>
          <w:lang w:val="en-US" w:eastAsia="zh-CN" w:bidi="ar"/>
        </w:rPr>
        <w:t>4</w:t>
      </w:r>
      <w:r>
        <w:rPr>
          <w:rFonts w:hint="eastAsia" w:ascii="宋体" w:hAnsi="宋体" w:cs="宋体"/>
          <w:kern w:val="0"/>
          <w:szCs w:val="21"/>
          <w:lang w:bidi="ar"/>
        </w:rPr>
        <w:t>、磋商截止时间结束后参加供应商不足3家的，评审期间符合专业条件的供应商或者对磋商响应文件作出实质响应的供应商不足3家的,釆购代理机构将报请同级监督部门批准。</w:t>
      </w:r>
    </w:p>
    <w:p w14:paraId="7B4764FF">
      <w:pPr>
        <w:widowControl/>
        <w:spacing w:line="360" w:lineRule="auto"/>
        <w:rPr>
          <w:rFonts w:ascii="宋体" w:hAnsi="宋体" w:cs="宋体"/>
          <w:b/>
          <w:kern w:val="0"/>
          <w:sz w:val="24"/>
        </w:rPr>
      </w:pPr>
      <w:r>
        <w:rPr>
          <w:rFonts w:hint="eastAsia" w:ascii="宋体" w:hAnsi="宋体" w:cs="宋体"/>
          <w:b/>
          <w:kern w:val="0"/>
          <w:sz w:val="24"/>
          <w:lang w:bidi="ar"/>
        </w:rPr>
        <w:t>17、确定成交供应商原则</w:t>
      </w:r>
    </w:p>
    <w:p w14:paraId="04281BD6">
      <w:pPr>
        <w:widowControl/>
        <w:spacing w:line="360" w:lineRule="auto"/>
        <w:ind w:firstLine="480"/>
        <w:rPr>
          <w:rFonts w:hint="eastAsia" w:ascii="宋体" w:hAnsi="宋体" w:cs="宋体"/>
          <w:kern w:val="0"/>
          <w:szCs w:val="21"/>
          <w:lang w:bidi="ar"/>
        </w:rPr>
      </w:pPr>
      <w:r>
        <w:rPr>
          <w:rFonts w:hint="eastAsia" w:ascii="宋体" w:hAnsi="宋体" w:cs="宋体"/>
          <w:kern w:val="0"/>
          <w:szCs w:val="21"/>
          <w:lang w:bidi="ar"/>
        </w:rPr>
        <w:t>17.1确定实质上响应磋商文件且满足条件者为成交候选人。采用综合评分法，按评审后得分由高到低顺序排列；得分相同的，按最终报价由低到高顺序排列；得分与最终报价均相同的，按技术指标优劣排列。</w:t>
      </w:r>
    </w:p>
    <w:p w14:paraId="012D870D">
      <w:pPr>
        <w:widowControl/>
        <w:spacing w:line="360" w:lineRule="auto"/>
        <w:ind w:firstLine="480"/>
        <w:rPr>
          <w:rFonts w:hint="eastAsia" w:ascii="宋体" w:hAnsi="宋体" w:cs="宋体"/>
          <w:kern w:val="0"/>
          <w:sz w:val="24"/>
          <w:lang w:bidi="ar"/>
        </w:rPr>
      </w:pPr>
      <w:r>
        <w:rPr>
          <w:rFonts w:hint="eastAsia" w:ascii="宋体" w:hAnsi="宋体" w:cs="宋体"/>
          <w:kern w:val="0"/>
          <w:szCs w:val="21"/>
          <w:lang w:bidi="ar"/>
        </w:rPr>
        <w:t>17.2磋商小组将根据评审标准原则上推荐3名成交候选人并排序。并向采购人提供书面评审报告。</w:t>
      </w:r>
    </w:p>
    <w:p w14:paraId="67A2E6C3">
      <w:pPr>
        <w:widowControl/>
        <w:spacing w:line="360" w:lineRule="auto"/>
        <w:rPr>
          <w:rFonts w:hint="eastAsia" w:ascii="宋体" w:hAnsi="宋体" w:cs="宋体"/>
          <w:b/>
          <w:kern w:val="0"/>
          <w:sz w:val="24"/>
          <w:lang w:bidi="ar"/>
        </w:rPr>
      </w:pPr>
      <w:r>
        <w:rPr>
          <w:rFonts w:hint="eastAsia" w:ascii="宋体" w:hAnsi="宋体" w:cs="宋体"/>
          <w:b/>
          <w:kern w:val="0"/>
          <w:sz w:val="24"/>
          <w:lang w:bidi="ar"/>
        </w:rPr>
        <w:t>18、成交公告与成交通知书</w:t>
      </w:r>
    </w:p>
    <w:p w14:paraId="7060A6BA">
      <w:pPr>
        <w:widowControl/>
        <w:spacing w:line="360" w:lineRule="auto"/>
        <w:ind w:firstLine="411" w:firstLineChars="196"/>
        <w:rPr>
          <w:rFonts w:hint="eastAsia" w:ascii="宋体" w:hAnsi="宋体" w:eastAsia="宋体" w:cs="宋体"/>
          <w:kern w:val="0"/>
          <w:szCs w:val="21"/>
          <w:lang w:bidi="ar"/>
        </w:rPr>
      </w:pPr>
      <w:r>
        <w:rPr>
          <w:rFonts w:hint="eastAsia" w:ascii="宋体" w:hAnsi="宋体" w:eastAsia="宋体" w:cs="宋体"/>
          <w:kern w:val="0"/>
          <w:szCs w:val="21"/>
          <w:lang w:bidi="ar"/>
        </w:rPr>
        <w:t>18.1采购人或者采购代理机构应当自成交供应商确定之日起2个工作日内，在相关媒体上发布成交公告，公告期限为1个工作日。</w:t>
      </w:r>
    </w:p>
    <w:p w14:paraId="5964822A">
      <w:pPr>
        <w:widowControl/>
        <w:spacing w:line="360" w:lineRule="auto"/>
        <w:ind w:firstLine="411" w:firstLineChars="196"/>
        <w:rPr>
          <w:rFonts w:hint="eastAsia" w:ascii="宋体" w:hAnsi="宋体" w:eastAsia="宋体" w:cs="宋体"/>
          <w:kern w:val="0"/>
          <w:szCs w:val="21"/>
          <w:lang w:bidi="ar"/>
        </w:rPr>
      </w:pPr>
      <w:r>
        <w:rPr>
          <w:rFonts w:hint="eastAsia" w:ascii="宋体" w:hAnsi="宋体" w:eastAsia="宋体" w:cs="宋体"/>
          <w:kern w:val="0"/>
          <w:szCs w:val="21"/>
          <w:lang w:bidi="ar"/>
        </w:rPr>
        <w:t>18.2成交供应商确定后，采购人向成交供应商签发《成交通知书》。</w:t>
      </w:r>
    </w:p>
    <w:p w14:paraId="63C75350">
      <w:pPr>
        <w:widowControl/>
        <w:spacing w:line="360" w:lineRule="auto"/>
        <w:ind w:firstLine="411" w:firstLineChars="196"/>
        <w:rPr>
          <w:rFonts w:hint="eastAsia" w:ascii="宋体" w:hAnsi="宋体" w:eastAsia="宋体" w:cs="宋体"/>
          <w:kern w:val="0"/>
          <w:szCs w:val="21"/>
          <w:lang w:bidi="ar"/>
        </w:rPr>
      </w:pPr>
      <w:r>
        <w:rPr>
          <w:rFonts w:hint="eastAsia" w:ascii="宋体" w:hAnsi="宋体" w:eastAsia="宋体" w:cs="宋体"/>
          <w:kern w:val="0"/>
          <w:szCs w:val="21"/>
          <w:lang w:bidi="ar"/>
        </w:rPr>
        <w:t>18.3《成交通知书》作为签订合同的依据，对采购人和成交供应商均具有法律效力，成交通知书发出后，采购人改变成交结果或者成交供应商放弃项目，应依法承担法律责任。</w:t>
      </w:r>
    </w:p>
    <w:p w14:paraId="32401CC1">
      <w:pPr>
        <w:widowControl/>
        <w:spacing w:line="360" w:lineRule="auto"/>
        <w:ind w:firstLine="411" w:firstLineChars="196"/>
        <w:rPr>
          <w:rFonts w:hint="eastAsia" w:ascii="宋体" w:hAnsi="宋体" w:eastAsia="宋体" w:cs="宋体"/>
          <w:kern w:val="0"/>
          <w:szCs w:val="21"/>
          <w:lang w:bidi="ar"/>
        </w:rPr>
      </w:pPr>
      <w:r>
        <w:rPr>
          <w:rFonts w:hint="eastAsia" w:ascii="宋体" w:hAnsi="宋体" w:eastAsia="宋体" w:cs="宋体"/>
          <w:kern w:val="0"/>
          <w:szCs w:val="21"/>
          <w:lang w:bidi="ar"/>
        </w:rPr>
        <w:t>18.4成交通知书、竞争性磋商文件、成交供应商的响应文件及澄清文件将作为签订合同的依据。</w:t>
      </w:r>
    </w:p>
    <w:p w14:paraId="17349360">
      <w:pPr>
        <w:widowControl/>
        <w:spacing w:line="360" w:lineRule="auto"/>
        <w:rPr>
          <w:rFonts w:ascii="宋体" w:hAnsi="宋体" w:cs="宋体"/>
          <w:b/>
          <w:kern w:val="0"/>
          <w:sz w:val="24"/>
        </w:rPr>
      </w:pPr>
      <w:r>
        <w:rPr>
          <w:rFonts w:hint="eastAsia" w:ascii="宋体" w:hAnsi="宋体" w:cs="宋体"/>
          <w:b/>
          <w:kern w:val="0"/>
          <w:sz w:val="24"/>
          <w:lang w:bidi="ar"/>
        </w:rPr>
        <w:t>19、授予合同时变更数量的权力</w:t>
      </w:r>
    </w:p>
    <w:p w14:paraId="37FE050D">
      <w:pPr>
        <w:widowControl/>
        <w:spacing w:line="360" w:lineRule="auto"/>
        <w:ind w:firstLine="480"/>
        <w:rPr>
          <w:rFonts w:ascii="宋体" w:hAnsi="宋体" w:cs="宋体"/>
          <w:kern w:val="0"/>
          <w:szCs w:val="21"/>
        </w:rPr>
      </w:pPr>
      <w:r>
        <w:rPr>
          <w:rFonts w:hint="eastAsia" w:ascii="宋体" w:hAnsi="宋体" w:cs="宋体"/>
          <w:kern w:val="0"/>
          <w:szCs w:val="21"/>
          <w:lang w:bidi="ar"/>
        </w:rPr>
        <w:t>采购人在授予合同时，保留对货物数量予以适当增减的权利。供应商不得在此情况下对响应文件作出修改，如价格、完成期限、售后服务等。</w:t>
      </w:r>
    </w:p>
    <w:p w14:paraId="0CD7FD3E">
      <w:pPr>
        <w:widowControl/>
        <w:spacing w:line="360" w:lineRule="auto"/>
        <w:rPr>
          <w:rFonts w:ascii="宋体" w:hAnsi="宋体" w:cs="宋体"/>
          <w:b/>
          <w:kern w:val="0"/>
          <w:sz w:val="24"/>
        </w:rPr>
      </w:pPr>
      <w:r>
        <w:rPr>
          <w:rFonts w:hint="eastAsia" w:ascii="宋体" w:hAnsi="宋体" w:cs="宋体"/>
          <w:b/>
          <w:kern w:val="0"/>
          <w:sz w:val="24"/>
          <w:lang w:bidi="ar"/>
        </w:rPr>
        <w:t>20、签定合同</w:t>
      </w:r>
    </w:p>
    <w:p w14:paraId="3D9F68C4">
      <w:pPr>
        <w:widowControl/>
        <w:spacing w:line="360" w:lineRule="auto"/>
        <w:ind w:firstLine="499"/>
        <w:rPr>
          <w:rFonts w:hint="eastAsia" w:ascii="宋体" w:hAnsi="宋体" w:cs="宋体"/>
          <w:kern w:val="0"/>
          <w:szCs w:val="21"/>
          <w:lang w:bidi="ar"/>
        </w:rPr>
      </w:pPr>
      <w:r>
        <w:rPr>
          <w:rFonts w:hint="eastAsia" w:ascii="宋体" w:hAnsi="宋体" w:cs="宋体"/>
          <w:kern w:val="0"/>
          <w:szCs w:val="21"/>
          <w:lang w:bidi="ar"/>
        </w:rPr>
        <w:t>20.1成交供应商在收到</w:t>
      </w:r>
      <w:r>
        <w:rPr>
          <w:rFonts w:hint="eastAsia" w:ascii="宋体" w:hAnsi="宋体"/>
          <w:kern w:val="0"/>
          <w:szCs w:val="21"/>
        </w:rPr>
        <w:t>成交</w:t>
      </w:r>
      <w:r>
        <w:rPr>
          <w:rFonts w:ascii="宋体" w:hAnsi="宋体"/>
          <w:kern w:val="0"/>
          <w:szCs w:val="21"/>
        </w:rPr>
        <w:t>通知书后</w:t>
      </w:r>
      <w:r>
        <w:rPr>
          <w:rFonts w:hint="eastAsia" w:ascii="宋体" w:hAnsi="宋体"/>
          <w:kern w:val="0"/>
          <w:szCs w:val="21"/>
        </w:rPr>
        <w:t>2个工作日内应与采购人签订合同</w:t>
      </w:r>
    </w:p>
    <w:p w14:paraId="14D385D9">
      <w:pPr>
        <w:widowControl/>
        <w:spacing w:line="360" w:lineRule="auto"/>
        <w:ind w:firstLine="499"/>
        <w:rPr>
          <w:rFonts w:hint="eastAsia" w:ascii="宋体" w:hAnsi="宋体" w:cs="宋体"/>
          <w:kern w:val="0"/>
          <w:szCs w:val="21"/>
          <w:lang w:bidi="ar"/>
        </w:rPr>
      </w:pPr>
      <w:r>
        <w:rPr>
          <w:rFonts w:hint="eastAsia" w:ascii="宋体" w:hAnsi="宋体" w:cs="宋体"/>
          <w:kern w:val="0"/>
          <w:szCs w:val="21"/>
          <w:lang w:bidi="ar"/>
        </w:rPr>
        <w:t>20.2竞争性磋商文件、成交供应商的响应文件及其澄清文件等，均为签定合同的依据。</w:t>
      </w:r>
    </w:p>
    <w:p w14:paraId="73AE7A62">
      <w:pPr>
        <w:widowControl/>
        <w:spacing w:line="360" w:lineRule="auto"/>
        <w:ind w:firstLine="499"/>
        <w:rPr>
          <w:rFonts w:hint="eastAsia" w:ascii="宋体" w:hAnsi="宋体" w:cs="宋体"/>
          <w:kern w:val="0"/>
          <w:szCs w:val="21"/>
          <w:lang w:bidi="ar"/>
        </w:rPr>
      </w:pPr>
      <w:r>
        <w:rPr>
          <w:rFonts w:hint="eastAsia" w:ascii="宋体" w:hAnsi="宋体" w:cs="宋体"/>
          <w:kern w:val="0"/>
          <w:szCs w:val="21"/>
          <w:lang w:bidi="ar"/>
        </w:rPr>
        <w:t>20.3如成交供应商拒签合同，给采购人造成损失的，向采购人缴纳不高于成交价2%的经济补偿，同时依法承担相应法律责任。</w:t>
      </w:r>
    </w:p>
    <w:p w14:paraId="2DD28BF8">
      <w:pPr>
        <w:widowControl/>
        <w:spacing w:line="360" w:lineRule="auto"/>
        <w:ind w:firstLine="499"/>
        <w:rPr>
          <w:rFonts w:hint="eastAsia" w:ascii="宋体" w:hAnsi="宋体" w:cs="宋体"/>
          <w:kern w:val="0"/>
          <w:szCs w:val="21"/>
          <w:lang w:bidi="ar"/>
        </w:rPr>
      </w:pPr>
      <w:r>
        <w:rPr>
          <w:rFonts w:hint="eastAsia" w:ascii="宋体" w:hAnsi="宋体" w:cs="宋体"/>
          <w:kern w:val="0"/>
          <w:szCs w:val="21"/>
          <w:lang w:bidi="ar"/>
        </w:rPr>
        <w:t>20.4采购人或采购代理机构应于合同签订后1个工作日内在河南省政府采购网公示及河南省电子化政府采购系统内备案采购。</w:t>
      </w:r>
    </w:p>
    <w:p w14:paraId="19C84514">
      <w:pPr>
        <w:pStyle w:val="2"/>
        <w:keepNext w:val="0"/>
        <w:keepLines w:val="0"/>
        <w:pageBreakBefore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hAnsi="宋体" w:cs="宋体"/>
          <w:kern w:val="0"/>
          <w:sz w:val="24"/>
          <w:lang w:val="en-US" w:eastAsia="zh-CN" w:bidi="ar"/>
        </w:rPr>
      </w:pPr>
      <w:r>
        <w:rPr>
          <w:rFonts w:hint="eastAsia" w:ascii="宋体" w:hAnsi="宋体" w:cs="宋体"/>
          <w:b/>
          <w:kern w:val="0"/>
          <w:sz w:val="24"/>
          <w:szCs w:val="24"/>
          <w:lang w:val="en-US" w:eastAsia="zh-CN" w:bidi="ar"/>
        </w:rPr>
        <w:t>21、</w:t>
      </w:r>
      <w:r>
        <w:rPr>
          <w:rFonts w:hint="eastAsia" w:hAnsi="宋体" w:cs="宋体"/>
          <w:kern w:val="0"/>
          <w:sz w:val="24"/>
          <w:lang w:val="en-US" w:eastAsia="zh-CN" w:bidi="ar"/>
        </w:rPr>
        <w:t>履约保证金</w:t>
      </w:r>
    </w:p>
    <w:p w14:paraId="3179BA6B">
      <w:pPr>
        <w:pStyle w:val="2"/>
        <w:keepNext w:val="0"/>
        <w:keepLines w:val="0"/>
        <w:pageBreakBefore w:val="0"/>
        <w:numPr>
          <w:ilvl w:val="0"/>
          <w:numId w:val="0"/>
        </w:numPr>
        <w:kinsoku/>
        <w:wordWrap/>
        <w:overflowPunct/>
        <w:topLinePunct w:val="0"/>
        <w:autoSpaceDE/>
        <w:autoSpaceDN/>
        <w:bidi w:val="0"/>
        <w:adjustRightInd/>
        <w:snapToGrid/>
        <w:spacing w:line="360" w:lineRule="auto"/>
        <w:ind w:firstLine="210" w:firstLineChars="100"/>
        <w:textAlignment w:val="auto"/>
        <w:rPr>
          <w:rFonts w:hint="eastAsia" w:hAnsi="宋体" w:cs="宋体"/>
          <w:b w:val="0"/>
          <w:bCs/>
          <w:kern w:val="0"/>
          <w:szCs w:val="21"/>
          <w:lang w:val="en-US" w:eastAsia="zh-CN" w:bidi="ar"/>
        </w:rPr>
      </w:pPr>
      <w:r>
        <w:rPr>
          <w:rFonts w:hint="eastAsia" w:hAnsi="宋体" w:cs="宋体"/>
          <w:b w:val="0"/>
          <w:bCs/>
          <w:kern w:val="0"/>
          <w:szCs w:val="21"/>
          <w:lang w:val="en-US" w:eastAsia="zh-CN" w:bidi="ar"/>
        </w:rPr>
        <w:t>21.1本项目不收取履约保证金。</w:t>
      </w:r>
    </w:p>
    <w:p w14:paraId="0855626B">
      <w:pPr>
        <w:pStyle w:val="2"/>
        <w:keepNext w:val="0"/>
        <w:keepLines w:val="0"/>
        <w:pageBreakBefore w:val="0"/>
        <w:kinsoku/>
        <w:wordWrap/>
        <w:overflowPunct/>
        <w:topLinePunct w:val="0"/>
        <w:autoSpaceDE/>
        <w:autoSpaceDN/>
        <w:bidi w:val="0"/>
        <w:adjustRightInd/>
        <w:snapToGrid/>
        <w:spacing w:line="360" w:lineRule="auto"/>
        <w:ind w:firstLine="210"/>
        <w:textAlignment w:val="auto"/>
        <w:rPr>
          <w:rFonts w:hint="eastAsia" w:ascii="宋体" w:hAnsi="宋体" w:eastAsia="宋体" w:cs="宋体"/>
          <w:b/>
          <w:kern w:val="0"/>
          <w:sz w:val="24"/>
          <w:szCs w:val="24"/>
          <w:lang w:val="en-US" w:eastAsia="zh-CN" w:bidi="ar"/>
        </w:rPr>
      </w:pPr>
      <w:r>
        <w:rPr>
          <w:rFonts w:hint="eastAsia" w:ascii="宋体" w:hAnsi="宋体" w:eastAsia="宋体" w:cs="宋体"/>
          <w:b/>
          <w:kern w:val="0"/>
          <w:sz w:val="24"/>
          <w:szCs w:val="24"/>
          <w:lang w:val="en-US" w:eastAsia="zh-CN" w:bidi="ar"/>
        </w:rPr>
        <w:t>22、 重新招标</w:t>
      </w:r>
    </w:p>
    <w:p w14:paraId="0FB3CBBD">
      <w:pPr>
        <w:pStyle w:val="3"/>
        <w:keepNext w:val="0"/>
        <w:keepLines w:val="0"/>
        <w:pageBreakBefore w:val="0"/>
        <w:kinsoku/>
        <w:wordWrap/>
        <w:overflowPunct/>
        <w:topLinePunct w:val="0"/>
        <w:autoSpaceDE/>
        <w:autoSpaceDN/>
        <w:bidi w:val="0"/>
        <w:adjustRightInd/>
        <w:snapToGrid/>
        <w:spacing w:line="360" w:lineRule="auto"/>
        <w:ind w:left="0" w:leftChars="0" w:firstLine="210" w:firstLineChars="10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22.1重新招标</w:t>
      </w:r>
    </w:p>
    <w:p w14:paraId="23FA1970">
      <w:pPr>
        <w:pStyle w:val="3"/>
        <w:keepNext w:val="0"/>
        <w:keepLines w:val="0"/>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（1）投标截止时间止，供应商少于3个的；</w:t>
      </w:r>
    </w:p>
    <w:p w14:paraId="46A444A5">
      <w:pPr>
        <w:pStyle w:val="3"/>
        <w:keepNext w:val="0"/>
        <w:keepLines w:val="0"/>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（2）若响应文件解密后，有效电子响应文件不足三家的，本项目应予废标。</w:t>
      </w:r>
    </w:p>
    <w:p w14:paraId="2AF38C6F">
      <w:pPr>
        <w:pStyle w:val="3"/>
        <w:keepNext w:val="0"/>
        <w:keepLines w:val="0"/>
        <w:pageBreakBefore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（3）经评标委员会评审后否决所有投标的。</w:t>
      </w:r>
    </w:p>
    <w:p w14:paraId="42F9444E">
      <w:pPr>
        <w:pStyle w:val="3"/>
        <w:keepNext w:val="0"/>
        <w:keepLines w:val="0"/>
        <w:pageBreakBefore w:val="0"/>
        <w:kinsoku/>
        <w:wordWrap/>
        <w:overflowPunct/>
        <w:topLinePunct w:val="0"/>
        <w:autoSpaceDE/>
        <w:autoSpaceDN/>
        <w:bidi w:val="0"/>
        <w:adjustRightInd/>
        <w:snapToGrid/>
        <w:spacing w:line="360" w:lineRule="auto"/>
        <w:ind w:left="0" w:leftChars="0" w:firstLine="241" w:firstLineChars="100"/>
        <w:jc w:val="both"/>
        <w:textAlignment w:val="auto"/>
        <w:rPr>
          <w:rFonts w:hint="eastAsia" w:ascii="宋体" w:hAnsi="宋体" w:eastAsia="宋体" w:cs="宋体"/>
          <w:b/>
          <w:kern w:val="0"/>
          <w:sz w:val="24"/>
          <w:szCs w:val="24"/>
          <w:lang w:val="en-US" w:eastAsia="zh-CN" w:bidi="ar"/>
        </w:rPr>
      </w:pPr>
      <w:r>
        <w:rPr>
          <w:rFonts w:hint="eastAsia" w:ascii="宋体" w:hAnsi="宋体" w:eastAsia="宋体" w:cs="宋体"/>
          <w:b/>
          <w:kern w:val="0"/>
          <w:sz w:val="24"/>
          <w:szCs w:val="24"/>
          <w:lang w:val="en-US" w:eastAsia="zh-CN" w:bidi="ar"/>
        </w:rPr>
        <w:t>23、纪律和监督</w:t>
      </w:r>
    </w:p>
    <w:p w14:paraId="1AB9C922">
      <w:pPr>
        <w:pStyle w:val="3"/>
        <w:keepNext w:val="0"/>
        <w:keepLines w:val="0"/>
        <w:pageBreakBefore w:val="0"/>
        <w:kinsoku/>
        <w:wordWrap/>
        <w:overflowPunct/>
        <w:topLinePunct w:val="0"/>
        <w:autoSpaceDE/>
        <w:autoSpaceDN/>
        <w:bidi w:val="0"/>
        <w:adjustRightInd/>
        <w:snapToGrid/>
        <w:spacing w:line="360" w:lineRule="auto"/>
        <w:ind w:left="0" w:leftChars="0" w:firstLine="210" w:firstLineChars="10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23.1对采购人的纪律要求</w:t>
      </w:r>
    </w:p>
    <w:p w14:paraId="77D7F81E">
      <w:pPr>
        <w:pStyle w:val="3"/>
        <w:keepNext w:val="0"/>
        <w:keepLines w:val="0"/>
        <w:pageBreakBefore w:val="0"/>
        <w:kinsoku/>
        <w:wordWrap/>
        <w:overflowPunct/>
        <w:topLinePunct w:val="0"/>
        <w:autoSpaceDE/>
        <w:autoSpaceDN/>
        <w:bidi w:val="0"/>
        <w:adjustRightInd/>
        <w:snapToGrid/>
        <w:spacing w:line="360" w:lineRule="auto"/>
        <w:ind w:left="0" w:leftChars="0" w:firstLine="210" w:firstLineChars="10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采购人不得泄漏招标投标活动中应当保密的情况和资料，不得与供应商串通损害国家利益、社会公共利益或者他人合法权益。</w:t>
      </w:r>
    </w:p>
    <w:p w14:paraId="527FAE75">
      <w:pPr>
        <w:pStyle w:val="3"/>
        <w:keepNext w:val="0"/>
        <w:keepLines w:val="0"/>
        <w:pageBreakBefore w:val="0"/>
        <w:kinsoku/>
        <w:wordWrap/>
        <w:overflowPunct/>
        <w:topLinePunct w:val="0"/>
        <w:autoSpaceDE/>
        <w:autoSpaceDN/>
        <w:bidi w:val="0"/>
        <w:adjustRightInd/>
        <w:snapToGrid/>
        <w:spacing w:line="360" w:lineRule="auto"/>
        <w:ind w:left="0" w:leftChars="0" w:firstLine="210" w:firstLineChars="10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23.2对供应商的纪律要求</w:t>
      </w:r>
    </w:p>
    <w:p w14:paraId="52B53DA3">
      <w:pPr>
        <w:pStyle w:val="3"/>
        <w:keepNext w:val="0"/>
        <w:keepLines w:val="0"/>
        <w:pageBreakBefore w:val="0"/>
        <w:kinsoku/>
        <w:wordWrap/>
        <w:overflowPunct/>
        <w:topLinePunct w:val="0"/>
        <w:autoSpaceDE/>
        <w:autoSpaceDN/>
        <w:bidi w:val="0"/>
        <w:adjustRightInd/>
        <w:snapToGrid/>
        <w:spacing w:line="360" w:lineRule="auto"/>
        <w:ind w:left="0" w:leftChars="0" w:firstLine="210" w:firstLineChars="10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供应商不得相互串通投标或者与采购人串通投标，不得向采购人或者评标委员会成员行贿谋取供应商，不得以他人名义投标或者以其他方式弄虚作假骗取供应商；供应商不得以任何方式干扰、影响评标工作。</w:t>
      </w:r>
    </w:p>
    <w:p w14:paraId="78B8EE0F">
      <w:pPr>
        <w:pStyle w:val="3"/>
        <w:keepNext w:val="0"/>
        <w:keepLines w:val="0"/>
        <w:pageBreakBefore w:val="0"/>
        <w:kinsoku/>
        <w:wordWrap/>
        <w:overflowPunct/>
        <w:topLinePunct w:val="0"/>
        <w:autoSpaceDE/>
        <w:autoSpaceDN/>
        <w:bidi w:val="0"/>
        <w:adjustRightInd/>
        <w:snapToGrid/>
        <w:spacing w:line="360" w:lineRule="auto"/>
        <w:ind w:left="0" w:leftChars="0" w:firstLine="210" w:firstLineChars="10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23.3对评标委员会成员的纪律要求</w:t>
      </w:r>
    </w:p>
    <w:p w14:paraId="782B46E7">
      <w:pPr>
        <w:pStyle w:val="3"/>
        <w:keepNext w:val="0"/>
        <w:keepLines w:val="0"/>
        <w:pageBreakBefore w:val="0"/>
        <w:kinsoku/>
        <w:wordWrap/>
        <w:overflowPunct/>
        <w:topLinePunct w:val="0"/>
        <w:autoSpaceDE/>
        <w:autoSpaceDN/>
        <w:bidi w:val="0"/>
        <w:adjustRightInd/>
        <w:snapToGrid/>
        <w:spacing w:line="360" w:lineRule="auto"/>
        <w:ind w:left="0" w:leftChars="0" w:firstLine="210" w:firstLineChars="10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评标委员会成员不得收受他人的财物或者其他好处，不得向他人透漏对响应文件的评审和比较、成交候选人的推荐情况以及评标有关的其他情况。在评标活动中，评标委员会成员不得擅离职守，影响评标程序正常进行，不得使用第四章“评标办法”没有规定的评审因素和标准进行评标。</w:t>
      </w:r>
    </w:p>
    <w:p w14:paraId="4D5648F5">
      <w:pPr>
        <w:pStyle w:val="3"/>
        <w:keepNext w:val="0"/>
        <w:keepLines w:val="0"/>
        <w:pageBreakBefore w:val="0"/>
        <w:kinsoku/>
        <w:wordWrap/>
        <w:overflowPunct/>
        <w:topLinePunct w:val="0"/>
        <w:autoSpaceDE/>
        <w:autoSpaceDN/>
        <w:bidi w:val="0"/>
        <w:adjustRightInd/>
        <w:snapToGrid/>
        <w:spacing w:line="360" w:lineRule="auto"/>
        <w:ind w:left="0" w:leftChars="0" w:firstLine="210" w:firstLineChars="10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23.4对与评标活动有关的工作人员的纪律要求</w:t>
      </w:r>
    </w:p>
    <w:p w14:paraId="1647562A">
      <w:pPr>
        <w:pStyle w:val="3"/>
        <w:keepNext w:val="0"/>
        <w:keepLines w:val="0"/>
        <w:pageBreakBefore w:val="0"/>
        <w:kinsoku/>
        <w:wordWrap/>
        <w:overflowPunct/>
        <w:topLinePunct w:val="0"/>
        <w:autoSpaceDE/>
        <w:autoSpaceDN/>
        <w:bidi w:val="0"/>
        <w:adjustRightInd/>
        <w:snapToGrid/>
        <w:spacing w:line="360" w:lineRule="auto"/>
        <w:ind w:left="0" w:leftChars="0" w:firstLine="210" w:firstLineChars="10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与评标活动有关的工作人员不得收受他人的财物或者其他好处，不得向他人透漏对响应文件的评审和比较、供应商候选人的推荐情况以及评标有关的其他情况。在评标活动中，与评标活动有关的工作人员不得擅离职守，影响评标程序正常进行。</w:t>
      </w:r>
    </w:p>
    <w:p w14:paraId="571F2191">
      <w:pPr>
        <w:pStyle w:val="3"/>
        <w:keepNext w:val="0"/>
        <w:keepLines w:val="0"/>
        <w:pageBreakBefore w:val="0"/>
        <w:kinsoku/>
        <w:wordWrap/>
        <w:overflowPunct/>
        <w:topLinePunct w:val="0"/>
        <w:autoSpaceDE/>
        <w:autoSpaceDN/>
        <w:bidi w:val="0"/>
        <w:adjustRightInd/>
        <w:snapToGrid/>
        <w:spacing w:line="360" w:lineRule="auto"/>
        <w:ind w:left="0" w:leftChars="0" w:firstLine="210" w:firstLineChars="10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23.5投诉</w:t>
      </w:r>
    </w:p>
    <w:p w14:paraId="3C423F57">
      <w:pPr>
        <w:pStyle w:val="3"/>
        <w:keepNext w:val="0"/>
        <w:keepLines w:val="0"/>
        <w:pageBreakBefore w:val="0"/>
        <w:kinsoku/>
        <w:wordWrap/>
        <w:overflowPunct/>
        <w:topLinePunct w:val="0"/>
        <w:autoSpaceDE/>
        <w:autoSpaceDN/>
        <w:bidi w:val="0"/>
        <w:adjustRightInd/>
        <w:snapToGrid/>
        <w:spacing w:line="360" w:lineRule="auto"/>
        <w:ind w:left="0" w:leftChars="0" w:firstLine="210" w:firstLineChars="100"/>
        <w:jc w:val="both"/>
        <w:textAlignment w:val="auto"/>
        <w:rPr>
          <w:rFonts w:hint="eastAsia" w:ascii="宋体" w:hAnsi="宋体" w:eastAsia="宋体" w:cs="宋体"/>
          <w:b w:val="0"/>
          <w:kern w:val="0"/>
          <w:sz w:val="21"/>
          <w:szCs w:val="21"/>
          <w:lang w:val="en-US" w:eastAsia="zh-CN" w:bidi="ar"/>
        </w:rPr>
      </w:pPr>
      <w:r>
        <w:rPr>
          <w:rFonts w:hint="eastAsia" w:ascii="宋体" w:hAnsi="宋体" w:eastAsia="宋体" w:cs="宋体"/>
          <w:b w:val="0"/>
          <w:kern w:val="0"/>
          <w:sz w:val="21"/>
          <w:szCs w:val="21"/>
          <w:lang w:val="en-US" w:eastAsia="zh-CN" w:bidi="ar"/>
        </w:rPr>
        <w:t>供应商和其他利害关系人认为本次招标活动违反法律、法规和规章规定的，有权向有关行政监督部门投诉。</w:t>
      </w:r>
    </w:p>
    <w:p w14:paraId="5E9B36BA">
      <w:pPr>
        <w:pStyle w:val="2"/>
        <w:keepNext w:val="0"/>
        <w:keepLines w:val="0"/>
        <w:pageBreakBefore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hAnsi="宋体" w:cs="宋体"/>
          <w:kern w:val="0"/>
          <w:sz w:val="24"/>
          <w:lang w:val="en-US" w:eastAsia="zh-CN" w:bidi="ar"/>
        </w:rPr>
      </w:pPr>
      <w:r>
        <w:rPr>
          <w:rFonts w:hint="eastAsia" w:ascii="宋体" w:hAnsi="宋体" w:cs="宋体"/>
          <w:b/>
          <w:kern w:val="0"/>
          <w:sz w:val="24"/>
          <w:szCs w:val="24"/>
          <w:lang w:val="en-US" w:eastAsia="zh-CN" w:bidi="ar"/>
        </w:rPr>
        <w:t>2</w:t>
      </w:r>
      <w:r>
        <w:rPr>
          <w:rFonts w:hint="eastAsia" w:hAnsi="宋体" w:cs="宋体"/>
          <w:b/>
          <w:kern w:val="0"/>
          <w:sz w:val="24"/>
          <w:szCs w:val="24"/>
          <w:lang w:val="en-US" w:eastAsia="zh-CN" w:bidi="ar"/>
        </w:rPr>
        <w:t>4</w:t>
      </w:r>
      <w:r>
        <w:rPr>
          <w:rFonts w:hint="eastAsia" w:ascii="宋体" w:hAnsi="宋体" w:cs="宋体"/>
          <w:b/>
          <w:kern w:val="0"/>
          <w:sz w:val="24"/>
          <w:szCs w:val="24"/>
          <w:lang w:val="en-US" w:eastAsia="zh-CN" w:bidi="ar"/>
        </w:rPr>
        <w:t>、</w:t>
      </w:r>
      <w:r>
        <w:rPr>
          <w:rFonts w:hint="eastAsia" w:hAnsi="宋体" w:cs="宋体"/>
          <w:kern w:val="0"/>
          <w:sz w:val="24"/>
          <w:lang w:val="en-US" w:eastAsia="zh-CN" w:bidi="ar"/>
        </w:rPr>
        <w:t>其他</w:t>
      </w:r>
    </w:p>
    <w:p w14:paraId="42BBACA1">
      <w:pPr>
        <w:keepNext w:val="0"/>
        <w:keepLines w:val="0"/>
        <w:pageBreakBefore w:val="0"/>
        <w:widowControl/>
        <w:kinsoku/>
        <w:wordWrap/>
        <w:overflowPunct/>
        <w:topLinePunct w:val="0"/>
        <w:autoSpaceDE/>
        <w:autoSpaceDN/>
        <w:bidi w:val="0"/>
        <w:adjustRightInd/>
        <w:snapToGrid/>
        <w:spacing w:line="360" w:lineRule="auto"/>
        <w:ind w:firstLine="210" w:firstLineChars="100"/>
        <w:textAlignment w:val="auto"/>
        <w:rPr>
          <w:rFonts w:hint="eastAsia" w:ascii="宋体" w:hAnsi="宋体" w:cs="宋体"/>
          <w:kern w:val="0"/>
          <w:szCs w:val="21"/>
          <w:lang w:bidi="ar"/>
        </w:rPr>
      </w:pPr>
      <w:r>
        <w:rPr>
          <w:rFonts w:hint="eastAsia" w:ascii="宋体" w:hAnsi="宋体" w:cs="宋体"/>
          <w:kern w:val="0"/>
          <w:szCs w:val="21"/>
          <w:lang w:bidi="ar"/>
        </w:rPr>
        <w:t>2</w:t>
      </w:r>
      <w:r>
        <w:rPr>
          <w:rFonts w:hint="eastAsia" w:ascii="宋体" w:hAnsi="宋体" w:cs="宋体"/>
          <w:kern w:val="0"/>
          <w:szCs w:val="21"/>
          <w:lang w:val="en-US" w:eastAsia="zh-CN" w:bidi="ar"/>
        </w:rPr>
        <w:t>4</w:t>
      </w:r>
      <w:r>
        <w:rPr>
          <w:rFonts w:hint="eastAsia" w:ascii="宋体" w:hAnsi="宋体" w:cs="宋体"/>
          <w:kern w:val="0"/>
          <w:szCs w:val="21"/>
          <w:lang w:bidi="ar"/>
        </w:rPr>
        <w:t>.1未尽事宜按国家有关规定执行。</w:t>
      </w:r>
    </w:p>
    <w:p w14:paraId="24762F5C">
      <w:pPr>
        <w:keepNext w:val="0"/>
        <w:keepLines w:val="0"/>
        <w:pageBreakBefore w:val="0"/>
        <w:widowControl/>
        <w:kinsoku/>
        <w:wordWrap/>
        <w:overflowPunct/>
        <w:topLinePunct w:val="0"/>
        <w:autoSpaceDE/>
        <w:autoSpaceDN/>
        <w:bidi w:val="0"/>
        <w:adjustRightInd/>
        <w:snapToGrid/>
        <w:spacing w:line="360" w:lineRule="auto"/>
        <w:ind w:firstLine="210" w:firstLineChars="100"/>
        <w:textAlignment w:val="auto"/>
        <w:rPr>
          <w:rFonts w:ascii="宋体" w:hAnsi="宋体"/>
          <w:color w:val="000000"/>
          <w:kern w:val="0"/>
          <w:sz w:val="28"/>
          <w:szCs w:val="28"/>
        </w:rPr>
        <w:sectPr>
          <w:footerReference r:id="rId3" w:type="default"/>
          <w:pgSz w:w="11906" w:h="16838"/>
          <w:pgMar w:top="1383" w:right="1463" w:bottom="1383" w:left="1463" w:header="851" w:footer="992" w:gutter="0"/>
          <w:cols w:space="720" w:num="1"/>
          <w:docGrid w:type="lines" w:linePitch="312" w:charSpace="0"/>
        </w:sectPr>
      </w:pPr>
      <w:r>
        <w:rPr>
          <w:rFonts w:hint="eastAsia" w:ascii="宋体" w:hAnsi="宋体" w:cs="宋体"/>
          <w:kern w:val="0"/>
          <w:szCs w:val="21"/>
          <w:lang w:bidi="ar"/>
        </w:rPr>
        <w:t>2</w:t>
      </w:r>
      <w:r>
        <w:rPr>
          <w:rFonts w:hint="eastAsia" w:ascii="宋体" w:hAnsi="宋体" w:cs="宋体"/>
          <w:kern w:val="0"/>
          <w:szCs w:val="21"/>
          <w:lang w:val="en-US" w:eastAsia="zh-CN" w:bidi="ar"/>
        </w:rPr>
        <w:t>4</w:t>
      </w:r>
      <w:r>
        <w:rPr>
          <w:rFonts w:hint="eastAsia" w:ascii="宋体" w:hAnsi="宋体" w:cs="宋体"/>
          <w:kern w:val="0"/>
          <w:szCs w:val="21"/>
          <w:lang w:bidi="ar"/>
        </w:rPr>
        <w:t>.2 本磋商文件最终解释权归采购人。</w:t>
      </w:r>
    </w:p>
    <w:p w14:paraId="0E0A5B14">
      <w:pPr>
        <w:jc w:val="center"/>
        <w:rPr>
          <w:sz w:val="24"/>
          <w:szCs w:val="24"/>
        </w:rPr>
      </w:pPr>
      <w:r>
        <w:rPr>
          <w:rFonts w:hint="eastAsia" w:ascii="宋体" w:hAnsi="宋体" w:cs="宋体"/>
          <w:b/>
          <w:color w:val="000000"/>
          <w:kern w:val="0"/>
          <w:sz w:val="36"/>
          <w:szCs w:val="36"/>
          <w:lang w:bidi="ar"/>
        </w:rPr>
        <w:t xml:space="preserve">第三章 </w:t>
      </w:r>
      <w:r>
        <w:rPr>
          <w:rFonts w:hint="eastAsia" w:ascii="宋体" w:hAnsi="宋体" w:cs="宋体"/>
          <w:b/>
          <w:color w:val="000000"/>
          <w:kern w:val="0"/>
          <w:sz w:val="36"/>
          <w:szCs w:val="36"/>
          <w:lang w:val="en-US" w:eastAsia="zh-CN" w:bidi="ar"/>
        </w:rPr>
        <w:t xml:space="preserve"> 项目</w:t>
      </w:r>
      <w:r>
        <w:rPr>
          <w:rFonts w:hint="eastAsia" w:ascii="宋体" w:hAnsi="宋体" w:cs="宋体"/>
          <w:b/>
          <w:color w:val="000000"/>
          <w:kern w:val="0"/>
          <w:sz w:val="36"/>
          <w:szCs w:val="36"/>
          <w:lang w:bidi="ar"/>
        </w:rPr>
        <w:t>内容及要求</w:t>
      </w:r>
    </w:p>
    <w:p w14:paraId="181078BB">
      <w:pPr>
        <w:tabs>
          <w:tab w:val="left" w:pos="900"/>
        </w:tabs>
        <w:spacing w:line="360" w:lineRule="auto"/>
        <w:ind w:left="-128" w:leftChars="-61" w:firstLine="560"/>
        <w:rPr>
          <w:rFonts w:hint="eastAsia" w:ascii="宋体" w:hAnsi="宋体" w:cs="宋体"/>
          <w:color w:val="000000"/>
          <w:kern w:val="0"/>
          <w:sz w:val="24"/>
        </w:rPr>
      </w:pPr>
    </w:p>
    <w:tbl>
      <w:tblPr>
        <w:tblStyle w:val="12"/>
        <w:tblW w:w="97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696"/>
        <w:gridCol w:w="561"/>
        <w:gridCol w:w="5567"/>
        <w:gridCol w:w="1152"/>
        <w:gridCol w:w="1070"/>
      </w:tblGrid>
      <w:tr w14:paraId="52082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2" w:type="dxa"/>
            <w:gridSpan w:val="6"/>
            <w:vAlign w:val="center"/>
          </w:tcPr>
          <w:p w14:paraId="7E7B6F46">
            <w:pPr>
              <w:keepNext w:val="0"/>
              <w:keepLines w:val="0"/>
              <w:suppressLineNumbers w:val="0"/>
              <w:spacing w:before="0" w:beforeAutospacing="0" w:after="0" w:afterAutospacing="0"/>
              <w:ind w:left="0" w:right="0"/>
              <w:jc w:val="center"/>
              <w:rPr>
                <w:rFonts w:hint="eastAsia" w:ascii="Times New Roman" w:hAnsi="Times New Roman" w:eastAsia="宋体" w:cs="Times New Roman"/>
                <w:b/>
                <w:bCs/>
                <w:sz w:val="28"/>
                <w:szCs w:val="36"/>
                <w:lang w:val="en-US" w:eastAsia="zh-CN"/>
              </w:rPr>
            </w:pPr>
            <w:r>
              <w:rPr>
                <w:rFonts w:hint="eastAsia" w:ascii="Times New Roman" w:hAnsi="Times New Roman" w:eastAsia="宋体" w:cs="Times New Roman"/>
                <w:b/>
                <w:bCs/>
                <w:sz w:val="28"/>
                <w:szCs w:val="36"/>
              </w:rPr>
              <w:t>采购</w:t>
            </w:r>
            <w:r>
              <w:rPr>
                <w:rFonts w:hint="eastAsia" w:ascii="Times New Roman" w:hAnsi="Times New Roman" w:eastAsia="宋体" w:cs="Times New Roman"/>
                <w:b/>
                <w:bCs/>
                <w:sz w:val="28"/>
                <w:szCs w:val="36"/>
                <w:lang w:val="en-US" w:eastAsia="zh-CN"/>
              </w:rPr>
              <w:t>清单</w:t>
            </w:r>
          </w:p>
        </w:tc>
      </w:tr>
      <w:tr w14:paraId="03C7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vAlign w:val="center"/>
          </w:tcPr>
          <w:p w14:paraId="531B581E">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32"/>
              </w:rPr>
            </w:pPr>
            <w:r>
              <w:rPr>
                <w:rFonts w:hint="eastAsia" w:ascii="Times New Roman" w:hAnsi="Times New Roman" w:eastAsia="宋体" w:cs="Times New Roman"/>
                <w:sz w:val="24"/>
                <w:szCs w:val="32"/>
              </w:rPr>
              <w:t>名称</w:t>
            </w:r>
          </w:p>
        </w:tc>
        <w:tc>
          <w:tcPr>
            <w:tcW w:w="696" w:type="dxa"/>
            <w:vAlign w:val="center"/>
          </w:tcPr>
          <w:p w14:paraId="5EF68E3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32"/>
              </w:rPr>
            </w:pPr>
            <w:r>
              <w:rPr>
                <w:rFonts w:hint="eastAsia" w:ascii="Times New Roman" w:hAnsi="Times New Roman" w:eastAsia="宋体" w:cs="Times New Roman"/>
                <w:sz w:val="24"/>
                <w:szCs w:val="32"/>
              </w:rPr>
              <w:t>数量</w:t>
            </w:r>
          </w:p>
        </w:tc>
        <w:tc>
          <w:tcPr>
            <w:tcW w:w="561" w:type="dxa"/>
            <w:vAlign w:val="center"/>
          </w:tcPr>
          <w:p w14:paraId="32A4371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32"/>
              </w:rPr>
            </w:pPr>
            <w:r>
              <w:rPr>
                <w:rFonts w:hint="eastAsia" w:ascii="Times New Roman" w:hAnsi="Times New Roman" w:eastAsia="宋体" w:cs="Times New Roman"/>
                <w:sz w:val="24"/>
                <w:szCs w:val="32"/>
              </w:rPr>
              <w:t>单位</w:t>
            </w:r>
          </w:p>
        </w:tc>
        <w:tc>
          <w:tcPr>
            <w:tcW w:w="5567" w:type="dxa"/>
            <w:vAlign w:val="center"/>
          </w:tcPr>
          <w:p w14:paraId="69C14F72">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32"/>
              </w:rPr>
            </w:pPr>
            <w:r>
              <w:rPr>
                <w:rFonts w:hint="eastAsia" w:ascii="Times New Roman" w:hAnsi="Times New Roman" w:eastAsia="宋体" w:cs="Times New Roman"/>
                <w:sz w:val="24"/>
                <w:szCs w:val="32"/>
              </w:rPr>
              <w:t>技术参数</w:t>
            </w:r>
          </w:p>
        </w:tc>
        <w:tc>
          <w:tcPr>
            <w:tcW w:w="1152" w:type="dxa"/>
            <w:vAlign w:val="center"/>
          </w:tcPr>
          <w:p w14:paraId="32DC75B7">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32"/>
              </w:rPr>
            </w:pPr>
            <w:r>
              <w:rPr>
                <w:rFonts w:hint="eastAsia" w:ascii="Times New Roman" w:hAnsi="Times New Roman" w:eastAsia="宋体" w:cs="Times New Roman"/>
                <w:sz w:val="24"/>
                <w:szCs w:val="32"/>
              </w:rPr>
              <w:t>单价</w:t>
            </w:r>
          </w:p>
          <w:p w14:paraId="4AFE868C">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32"/>
              </w:rPr>
            </w:pPr>
            <w:r>
              <w:rPr>
                <w:rFonts w:hint="eastAsia" w:ascii="Times New Roman" w:hAnsi="Times New Roman" w:eastAsia="宋体" w:cs="Times New Roman"/>
                <w:sz w:val="24"/>
                <w:szCs w:val="32"/>
              </w:rPr>
              <w:t>(元)</w:t>
            </w:r>
          </w:p>
        </w:tc>
        <w:tc>
          <w:tcPr>
            <w:tcW w:w="1070" w:type="dxa"/>
            <w:vAlign w:val="center"/>
          </w:tcPr>
          <w:p w14:paraId="3EDE1301">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32"/>
              </w:rPr>
            </w:pPr>
            <w:r>
              <w:rPr>
                <w:rFonts w:hint="eastAsia" w:ascii="Times New Roman" w:hAnsi="Times New Roman" w:eastAsia="宋体" w:cs="Times New Roman"/>
                <w:sz w:val="24"/>
                <w:szCs w:val="32"/>
              </w:rPr>
              <w:t>总价</w:t>
            </w:r>
          </w:p>
          <w:p w14:paraId="0D523CD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32"/>
              </w:rPr>
            </w:pPr>
            <w:r>
              <w:rPr>
                <w:rFonts w:hint="eastAsia" w:ascii="Times New Roman" w:hAnsi="Times New Roman" w:eastAsia="宋体" w:cs="Times New Roman"/>
                <w:sz w:val="24"/>
                <w:szCs w:val="32"/>
              </w:rPr>
              <w:t>(元)</w:t>
            </w:r>
          </w:p>
        </w:tc>
      </w:tr>
      <w:tr w14:paraId="1C933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vAlign w:val="center"/>
          </w:tcPr>
          <w:p w14:paraId="30B258F3">
            <w:pPr>
              <w:keepNext w:val="0"/>
              <w:keepLines w:val="0"/>
              <w:suppressLineNumbers w:val="0"/>
              <w:spacing w:before="0" w:beforeAutospacing="0" w:after="0" w:afterAutospacing="0"/>
              <w:ind w:left="0" w:right="0"/>
              <w:jc w:val="center"/>
              <w:rPr>
                <w:rFonts w:hint="eastAsia" w:ascii="Times New Roman" w:hAnsi="Times New Roman" w:eastAsia="宋体" w:cs="Times New Roman"/>
                <w:sz w:val="24"/>
                <w:szCs w:val="32"/>
              </w:rPr>
            </w:pPr>
          </w:p>
        </w:tc>
        <w:tc>
          <w:tcPr>
            <w:tcW w:w="696" w:type="dxa"/>
            <w:vAlign w:val="center"/>
          </w:tcPr>
          <w:p w14:paraId="35057476">
            <w:pPr>
              <w:keepNext w:val="0"/>
              <w:keepLines w:val="0"/>
              <w:suppressLineNumbers w:val="0"/>
              <w:spacing w:before="0" w:beforeAutospacing="0" w:after="0" w:afterAutospacing="0"/>
              <w:ind w:left="0" w:right="0"/>
              <w:jc w:val="center"/>
              <w:rPr>
                <w:rFonts w:hint="default" w:ascii="Times New Roman" w:hAnsi="Times New Roman" w:eastAsia="宋体" w:cs="Times New Roman"/>
                <w:sz w:val="24"/>
                <w:szCs w:val="32"/>
                <w:lang w:val="en-US" w:eastAsia="zh-CN"/>
              </w:rPr>
            </w:pPr>
          </w:p>
        </w:tc>
        <w:tc>
          <w:tcPr>
            <w:tcW w:w="561" w:type="dxa"/>
            <w:vAlign w:val="center"/>
          </w:tcPr>
          <w:p w14:paraId="1D273167">
            <w:pPr>
              <w:keepNext w:val="0"/>
              <w:keepLines w:val="0"/>
              <w:suppressLineNumbers w:val="0"/>
              <w:spacing w:before="0" w:beforeAutospacing="0" w:after="0" w:afterAutospacing="0"/>
              <w:ind w:left="0" w:right="0"/>
              <w:jc w:val="center"/>
              <w:rPr>
                <w:rFonts w:hint="eastAsia" w:ascii="Times New Roman" w:hAnsi="Times New Roman" w:eastAsia="宋体" w:cs="Times New Roman"/>
                <w:sz w:val="24"/>
                <w:szCs w:val="32"/>
                <w:lang w:val="en-US" w:eastAsia="zh-CN"/>
              </w:rPr>
            </w:pPr>
          </w:p>
        </w:tc>
        <w:tc>
          <w:tcPr>
            <w:tcW w:w="5567" w:type="dxa"/>
            <w:vAlign w:val="center"/>
          </w:tcPr>
          <w:p w14:paraId="78365B4F">
            <w:pPr>
              <w:keepNext w:val="0"/>
              <w:keepLines w:val="0"/>
              <w:suppressLineNumbers w:val="0"/>
              <w:spacing w:before="0" w:beforeAutospacing="0" w:after="0" w:afterAutospacing="0"/>
              <w:ind w:left="0" w:right="0"/>
              <w:jc w:val="center"/>
              <w:rPr>
                <w:rFonts w:hint="eastAsia" w:ascii="Times New Roman" w:hAnsi="Times New Roman" w:eastAsia="宋体" w:cs="Times New Roman"/>
                <w:sz w:val="24"/>
                <w:szCs w:val="32"/>
                <w:lang w:val="en-US" w:eastAsia="zh-CN"/>
              </w:rPr>
            </w:pPr>
            <w:r>
              <w:rPr>
                <w:rFonts w:hint="eastAsia" w:ascii="Times New Roman" w:hAnsi="Times New Roman" w:eastAsia="宋体" w:cs="Times New Roman"/>
                <w:sz w:val="24"/>
                <w:szCs w:val="32"/>
                <w:lang w:val="en-US" w:eastAsia="zh-CN"/>
              </w:rPr>
              <w:t>一、主要功能要求</w:t>
            </w:r>
          </w:p>
        </w:tc>
        <w:tc>
          <w:tcPr>
            <w:tcW w:w="1152" w:type="dxa"/>
            <w:vAlign w:val="center"/>
          </w:tcPr>
          <w:p w14:paraId="7F946241">
            <w:pPr>
              <w:keepNext w:val="0"/>
              <w:keepLines w:val="0"/>
              <w:suppressLineNumbers w:val="0"/>
              <w:spacing w:before="0" w:beforeAutospacing="0" w:after="0" w:afterAutospacing="0"/>
              <w:ind w:left="0" w:right="0"/>
              <w:jc w:val="center"/>
              <w:rPr>
                <w:rFonts w:hint="eastAsia" w:ascii="Times New Roman" w:hAnsi="Times New Roman" w:eastAsia="宋体" w:cs="Times New Roman"/>
                <w:sz w:val="24"/>
                <w:szCs w:val="32"/>
              </w:rPr>
            </w:pPr>
          </w:p>
        </w:tc>
        <w:tc>
          <w:tcPr>
            <w:tcW w:w="1070" w:type="dxa"/>
            <w:vAlign w:val="center"/>
          </w:tcPr>
          <w:p w14:paraId="0648B979">
            <w:pPr>
              <w:keepNext w:val="0"/>
              <w:keepLines w:val="0"/>
              <w:suppressLineNumbers w:val="0"/>
              <w:spacing w:before="0" w:beforeAutospacing="0" w:after="0" w:afterAutospacing="0"/>
              <w:ind w:left="0" w:right="0"/>
              <w:jc w:val="center"/>
              <w:rPr>
                <w:rFonts w:hint="eastAsia" w:ascii="Times New Roman" w:hAnsi="Times New Roman" w:eastAsia="宋体" w:cs="Times New Roman"/>
                <w:sz w:val="24"/>
                <w:szCs w:val="32"/>
              </w:rPr>
            </w:pPr>
          </w:p>
        </w:tc>
      </w:tr>
      <w:tr w14:paraId="0E88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6" w:type="dxa"/>
            <w:shd w:val="clear" w:color="auto" w:fill="auto"/>
            <w:vAlign w:val="center"/>
          </w:tcPr>
          <w:p w14:paraId="1246D43A">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4"/>
                <w:szCs w:val="32"/>
                <w:lang w:val="en-US" w:eastAsia="zh-CN" w:bidi="ar-SA"/>
              </w:rPr>
            </w:pPr>
            <w:r>
              <w:rPr>
                <w:rFonts w:hint="eastAsia" w:ascii="Times New Roman" w:hAnsi="Times New Roman" w:eastAsia="宋体" w:cs="Times New Roman"/>
                <w:kern w:val="2"/>
                <w:sz w:val="24"/>
                <w:szCs w:val="32"/>
                <w:lang w:val="en-US" w:eastAsia="zh-CN" w:bidi="ar-SA"/>
              </w:rPr>
              <w:t>全域智慧消防预警平台</w:t>
            </w:r>
            <w:r>
              <w:rPr>
                <w:rFonts w:hint="eastAsia" w:ascii="Times New Roman" w:hAnsi="Times New Roman" w:eastAsia="宋体" w:cs="Times New Roman"/>
                <w:sz w:val="24"/>
                <w:szCs w:val="32"/>
                <w:lang w:val="en-US" w:eastAsia="zh-CN"/>
              </w:rPr>
              <w:t>服务</w:t>
            </w:r>
          </w:p>
        </w:tc>
        <w:tc>
          <w:tcPr>
            <w:tcW w:w="696" w:type="dxa"/>
            <w:shd w:val="clear" w:color="auto" w:fill="auto"/>
            <w:vAlign w:val="center"/>
          </w:tcPr>
          <w:p w14:paraId="78B24FFC">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4"/>
                <w:szCs w:val="32"/>
                <w:lang w:val="en-US" w:eastAsia="zh-CN" w:bidi="ar-SA"/>
              </w:rPr>
            </w:pPr>
            <w:r>
              <w:rPr>
                <w:rFonts w:hint="eastAsia" w:ascii="Times New Roman" w:hAnsi="Times New Roman" w:eastAsia="宋体" w:cs="Times New Roman"/>
                <w:sz w:val="24"/>
                <w:szCs w:val="32"/>
                <w:lang w:val="en-US" w:eastAsia="zh-CN"/>
              </w:rPr>
              <w:t>1</w:t>
            </w:r>
          </w:p>
        </w:tc>
        <w:tc>
          <w:tcPr>
            <w:tcW w:w="561" w:type="dxa"/>
            <w:shd w:val="clear" w:color="auto" w:fill="auto"/>
            <w:vAlign w:val="center"/>
          </w:tcPr>
          <w:p w14:paraId="085322E8">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kern w:val="2"/>
                <w:sz w:val="24"/>
                <w:szCs w:val="32"/>
                <w:lang w:val="en-US" w:eastAsia="zh-CN" w:bidi="ar-SA"/>
              </w:rPr>
            </w:pPr>
            <w:r>
              <w:rPr>
                <w:rFonts w:hint="eastAsia" w:ascii="Times New Roman" w:hAnsi="Times New Roman" w:eastAsia="宋体" w:cs="Times New Roman"/>
                <w:sz w:val="24"/>
                <w:szCs w:val="32"/>
                <w:lang w:val="en-US" w:eastAsia="zh-CN"/>
              </w:rPr>
              <w:t>套</w:t>
            </w:r>
          </w:p>
        </w:tc>
        <w:tc>
          <w:tcPr>
            <w:tcW w:w="5567" w:type="dxa"/>
            <w:shd w:val="clear" w:color="auto" w:fill="auto"/>
            <w:vAlign w:val="center"/>
          </w:tcPr>
          <w:p w14:paraId="67260483">
            <w:pPr>
              <w:keepNext w:val="0"/>
              <w:keepLines w:val="0"/>
              <w:numPr>
                <w:ilvl w:val="0"/>
                <w:numId w:val="1"/>
              </w:numPr>
              <w:suppressLineNumbers w:val="0"/>
              <w:spacing w:before="0" w:beforeAutospacing="0" w:after="0" w:afterAutospacing="0"/>
              <w:ind w:left="0" w:leftChars="0" w:right="0" w:rightChars="0"/>
              <w:jc w:val="left"/>
              <w:rPr>
                <w:rFonts w:hint="eastAsia" w:ascii="Times New Roman" w:hAnsi="Times New Roman" w:eastAsia="宋体" w:cs="Times New Roman"/>
                <w:kern w:val="2"/>
                <w:sz w:val="24"/>
                <w:szCs w:val="32"/>
                <w:lang w:val="en-US" w:eastAsia="zh-CN" w:bidi="ar-SA"/>
              </w:rPr>
            </w:pPr>
            <w:r>
              <w:rPr>
                <w:rFonts w:hint="eastAsia" w:ascii="Times New Roman" w:hAnsi="Times New Roman" w:eastAsia="宋体" w:cs="Times New Roman"/>
                <w:kern w:val="2"/>
                <w:sz w:val="24"/>
                <w:szCs w:val="32"/>
                <w:lang w:val="en-US" w:eastAsia="zh-CN" w:bidi="ar-SA"/>
              </w:rPr>
              <w:t>对人员密集场所、化工园区、充电配套小区等现有摄像头利旧接入电路升级改造服务，叠加火眼AI火情算法，视频流接入全域智慧消防预警平台，实现明火、烟雾秒级预警。</w:t>
            </w:r>
          </w:p>
          <w:p w14:paraId="2DE6DD05">
            <w:pPr>
              <w:keepNext w:val="0"/>
              <w:keepLines w:val="0"/>
              <w:numPr>
                <w:ilvl w:val="0"/>
                <w:numId w:val="0"/>
              </w:numPr>
              <w:suppressLineNumbers w:val="0"/>
              <w:spacing w:before="0" w:beforeAutospacing="0" w:after="0" w:afterAutospacing="0"/>
              <w:ind w:left="0" w:right="0" w:rightChars="0"/>
              <w:jc w:val="left"/>
              <w:rPr>
                <w:rFonts w:hint="eastAsia" w:ascii="Times New Roman" w:hAnsi="Times New Roman" w:eastAsia="宋体" w:cs="Times New Roman"/>
                <w:kern w:val="2"/>
                <w:sz w:val="24"/>
                <w:szCs w:val="32"/>
                <w:lang w:val="en-US" w:eastAsia="zh-CN" w:bidi="ar-SA"/>
              </w:rPr>
            </w:pPr>
            <w:r>
              <w:rPr>
                <w:rFonts w:hint="eastAsia" w:ascii="Times New Roman" w:hAnsi="Times New Roman" w:eastAsia="宋体" w:cs="Times New Roman"/>
                <w:kern w:val="2"/>
                <w:sz w:val="24"/>
                <w:szCs w:val="32"/>
                <w:lang w:val="en-US" w:eastAsia="zh-CN" w:bidi="ar-SA"/>
              </w:rPr>
              <w:t>2.接入火情专线服务，利用监控专网保证企业生产信息安全，防止画面外泄。</w:t>
            </w:r>
          </w:p>
          <w:p w14:paraId="25251AFC">
            <w:pPr>
              <w:keepNext w:val="0"/>
              <w:keepLines w:val="0"/>
              <w:numPr>
                <w:ilvl w:val="0"/>
                <w:numId w:val="0"/>
              </w:numPr>
              <w:suppressLineNumbers w:val="0"/>
              <w:spacing w:before="0" w:beforeAutospacing="0" w:after="0" w:afterAutospacing="0"/>
              <w:ind w:left="0" w:right="0" w:rightChars="0"/>
              <w:jc w:val="left"/>
              <w:rPr>
                <w:rFonts w:hint="eastAsia" w:ascii="Times New Roman" w:hAnsi="Times New Roman" w:eastAsia="宋体" w:cs="Times New Roman"/>
                <w:kern w:val="2"/>
                <w:sz w:val="24"/>
                <w:szCs w:val="32"/>
                <w:lang w:val="en-US" w:eastAsia="zh-CN" w:bidi="ar-SA"/>
              </w:rPr>
            </w:pPr>
            <w:r>
              <w:rPr>
                <w:rFonts w:hint="eastAsia" w:ascii="Times New Roman" w:hAnsi="Times New Roman" w:eastAsia="宋体" w:cs="Times New Roman"/>
                <w:kern w:val="2"/>
                <w:sz w:val="24"/>
                <w:szCs w:val="32"/>
                <w:lang w:val="en-US" w:eastAsia="zh-CN" w:bidi="ar-SA"/>
              </w:rPr>
              <w:t>3.对相关单位摄像头进行纳管，单位提供相关三级联系人，如发生火灾可向单位相关负责人提供三种预警通知服务：包括短信、语音机器人，人工电话。</w:t>
            </w:r>
          </w:p>
          <w:p w14:paraId="135B73EA">
            <w:pPr>
              <w:keepNext w:val="0"/>
              <w:keepLines w:val="0"/>
              <w:numPr>
                <w:ilvl w:val="0"/>
                <w:numId w:val="0"/>
              </w:numPr>
              <w:suppressLineNumbers w:val="0"/>
              <w:spacing w:before="0" w:beforeAutospacing="0" w:after="0" w:afterAutospacing="0"/>
              <w:ind w:left="0" w:right="0" w:rightChars="0"/>
              <w:jc w:val="left"/>
              <w:rPr>
                <w:rFonts w:hint="eastAsia" w:ascii="Times New Roman" w:hAnsi="Times New Roman" w:eastAsia="宋体" w:cs="Times New Roman"/>
                <w:kern w:val="2"/>
                <w:sz w:val="24"/>
                <w:szCs w:val="32"/>
                <w:lang w:val="en-US" w:eastAsia="zh-CN" w:bidi="ar-SA"/>
              </w:rPr>
            </w:pPr>
            <w:r>
              <w:rPr>
                <w:rFonts w:hint="eastAsia" w:ascii="Times New Roman" w:hAnsi="Times New Roman" w:eastAsia="宋体" w:cs="Times New Roman"/>
                <w:kern w:val="2"/>
                <w:sz w:val="24"/>
                <w:szCs w:val="32"/>
                <w:lang w:val="en-US" w:eastAsia="zh-CN" w:bidi="ar-SA"/>
              </w:rPr>
              <w:t>4.完成九小场所、老旧小区监控点位补盲服务。</w:t>
            </w:r>
          </w:p>
          <w:p w14:paraId="20490171">
            <w:pPr>
              <w:keepNext w:val="0"/>
              <w:keepLines w:val="0"/>
              <w:numPr>
                <w:ilvl w:val="0"/>
                <w:numId w:val="0"/>
              </w:numPr>
              <w:suppressLineNumbers w:val="0"/>
              <w:spacing w:before="0" w:beforeAutospacing="0" w:after="0" w:afterAutospacing="0"/>
              <w:ind w:left="0" w:right="0" w:rightChars="0"/>
              <w:jc w:val="left"/>
              <w:rPr>
                <w:rFonts w:hint="eastAsia" w:ascii="Times New Roman" w:hAnsi="Times New Roman" w:eastAsia="宋体" w:cs="Times New Roman"/>
                <w:kern w:val="2"/>
                <w:sz w:val="24"/>
                <w:szCs w:val="32"/>
                <w:lang w:val="en-US" w:eastAsia="zh-CN" w:bidi="ar-SA"/>
              </w:rPr>
            </w:pPr>
            <w:r>
              <w:rPr>
                <w:rFonts w:hint="eastAsia" w:ascii="Times New Roman" w:hAnsi="Times New Roman" w:eastAsia="宋体" w:cs="Times New Roman"/>
                <w:kern w:val="2"/>
                <w:sz w:val="24"/>
                <w:szCs w:val="32"/>
                <w:lang w:val="en-US" w:eastAsia="zh-CN" w:bidi="ar-SA"/>
              </w:rPr>
              <w:t>5.实现全区重点区域、重点场所、企业消防预警智能化、全覆盖，破解传统消防巡查短板，推动消防安全治理模式升级，依托AI+视频监控算法优势实现从“被动救灾”向“主动防控”转变。</w:t>
            </w:r>
          </w:p>
          <w:p w14:paraId="18AE8BFB">
            <w:pPr>
              <w:keepNext w:val="0"/>
              <w:keepLines w:val="0"/>
              <w:numPr>
                <w:ilvl w:val="0"/>
                <w:numId w:val="0"/>
              </w:numPr>
              <w:suppressLineNumbers w:val="0"/>
              <w:spacing w:before="0" w:beforeAutospacing="0" w:after="0" w:afterAutospacing="0"/>
              <w:ind w:left="0" w:right="0" w:rightChars="0"/>
              <w:jc w:val="left"/>
              <w:rPr>
                <w:rFonts w:hint="default" w:ascii="Times New Roman" w:hAnsi="Times New Roman" w:eastAsia="宋体" w:cs="Times New Roman"/>
                <w:kern w:val="2"/>
                <w:sz w:val="24"/>
                <w:szCs w:val="32"/>
                <w:lang w:val="en-US" w:eastAsia="zh-CN" w:bidi="ar-SA"/>
              </w:rPr>
            </w:pPr>
            <w:r>
              <w:rPr>
                <w:rFonts w:hint="eastAsia" w:ascii="Times New Roman" w:hAnsi="Times New Roman" w:eastAsia="宋体" w:cs="Times New Roman"/>
                <w:kern w:val="2"/>
                <w:sz w:val="24"/>
                <w:szCs w:val="32"/>
                <w:lang w:val="en-US" w:eastAsia="zh-CN" w:bidi="ar-SA"/>
              </w:rPr>
              <w:t>6.包含五年维保服务。</w:t>
            </w:r>
          </w:p>
        </w:tc>
        <w:tc>
          <w:tcPr>
            <w:tcW w:w="1152" w:type="dxa"/>
            <w:shd w:val="clear" w:color="auto" w:fill="auto"/>
            <w:vAlign w:val="center"/>
          </w:tcPr>
          <w:p w14:paraId="348C6461">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32"/>
                <w:lang w:val="en-US" w:eastAsia="zh-CN" w:bidi="ar-SA"/>
              </w:rPr>
            </w:pPr>
          </w:p>
        </w:tc>
        <w:tc>
          <w:tcPr>
            <w:tcW w:w="1070" w:type="dxa"/>
            <w:shd w:val="clear" w:color="auto" w:fill="auto"/>
            <w:vAlign w:val="center"/>
          </w:tcPr>
          <w:p w14:paraId="36330F97">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32"/>
                <w:lang w:val="en-US" w:eastAsia="zh-CN" w:bidi="ar-SA"/>
              </w:rPr>
            </w:pPr>
          </w:p>
        </w:tc>
      </w:tr>
      <w:tr w14:paraId="1ABA7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92" w:type="dxa"/>
            <w:gridSpan w:val="6"/>
            <w:shd w:val="clear" w:color="auto" w:fill="auto"/>
            <w:vAlign w:val="center"/>
          </w:tcPr>
          <w:p w14:paraId="40B4ADE6">
            <w:pPr>
              <w:keepNext w:val="0"/>
              <w:keepLines w:val="0"/>
              <w:suppressLineNumbers w:val="0"/>
              <w:spacing w:before="0" w:beforeAutospacing="0" w:after="0" w:afterAutospacing="0"/>
              <w:ind w:left="0" w:leftChars="0" w:right="0" w:rightChars="0"/>
              <w:jc w:val="center"/>
              <w:rPr>
                <w:rFonts w:hint="default" w:ascii="Times New Roman" w:hAnsi="Times New Roman" w:eastAsia="宋体" w:cs="Times New Roman"/>
                <w:kern w:val="2"/>
                <w:sz w:val="24"/>
                <w:szCs w:val="32"/>
                <w:lang w:val="en-US" w:eastAsia="zh-CN" w:bidi="ar-SA"/>
              </w:rPr>
            </w:pPr>
            <w:r>
              <w:rPr>
                <w:rFonts w:hint="eastAsia" w:ascii="Times New Roman" w:hAnsi="Times New Roman" w:eastAsia="宋体" w:cs="Times New Roman"/>
                <w:kern w:val="2"/>
                <w:sz w:val="24"/>
                <w:szCs w:val="32"/>
                <w:lang w:val="en-US" w:eastAsia="zh-CN" w:bidi="ar-SA"/>
              </w:rPr>
              <w:t>总计：</w:t>
            </w:r>
          </w:p>
        </w:tc>
      </w:tr>
    </w:tbl>
    <w:p w14:paraId="204137AD">
      <w:pPr>
        <w:keepNext w:val="0"/>
        <w:keepLines w:val="0"/>
        <w:pageBreakBefore w:val="0"/>
        <w:widowControl w:val="0"/>
        <w:kinsoku/>
        <w:wordWrap/>
        <w:overflowPunct/>
        <w:topLinePunct w:val="0"/>
        <w:autoSpaceDE/>
        <w:autoSpaceDN/>
        <w:bidi w:val="0"/>
        <w:adjustRightInd/>
        <w:snapToGrid/>
        <w:textAlignment w:val="auto"/>
        <w:rPr>
          <w:rFonts w:hint="eastAsia" w:ascii="Calibri" w:hAnsi="Calibri" w:eastAsia="宋体" w:cs="Times New Roman"/>
          <w:kern w:val="0"/>
          <w:sz w:val="24"/>
          <w:szCs w:val="24"/>
          <w:lang w:val="en-US" w:eastAsia="zh-CN"/>
        </w:rPr>
      </w:pPr>
    </w:p>
    <w:p w14:paraId="5354C1ED">
      <w:pPr>
        <w:keepNext w:val="0"/>
        <w:keepLines w:val="0"/>
        <w:pageBreakBefore w:val="0"/>
        <w:widowControl w:val="0"/>
        <w:kinsoku/>
        <w:wordWrap/>
        <w:overflowPunct/>
        <w:topLinePunct w:val="0"/>
        <w:autoSpaceDE/>
        <w:autoSpaceDN/>
        <w:bidi w:val="0"/>
        <w:adjustRightInd/>
        <w:snapToGrid/>
        <w:ind w:firstLine="480" w:firstLineChars="200"/>
        <w:textAlignment w:val="auto"/>
        <w:rPr>
          <w:rFonts w:asciiTheme="minorHAnsi" w:hAnsiTheme="minorHAnsi" w:eastAsiaTheme="minorEastAsia" w:cstheme="minorBidi"/>
          <w:sz w:val="24"/>
          <w:szCs w:val="32"/>
        </w:rPr>
      </w:pPr>
    </w:p>
    <w:p w14:paraId="6F071AD3"/>
    <w:p w14:paraId="686AA029">
      <w:pPr>
        <w:sectPr>
          <w:pgSz w:w="11910" w:h="16840"/>
          <w:pgMar w:top="1380" w:right="1680" w:bottom="1200" w:left="1680" w:header="0" w:footer="1006" w:gutter="0"/>
          <w:cols w:space="720" w:num="1"/>
        </w:sectPr>
      </w:pPr>
    </w:p>
    <w:p w14:paraId="51398B03">
      <w:pPr>
        <w:jc w:val="center"/>
        <w:rPr>
          <w:rFonts w:ascii="宋体" w:hAnsi="宋体" w:cs="宋体"/>
          <w:b/>
          <w:color w:val="000000"/>
          <w:kern w:val="0"/>
          <w:sz w:val="36"/>
          <w:szCs w:val="36"/>
          <w:lang w:bidi="ar"/>
        </w:rPr>
      </w:pPr>
      <w:r>
        <w:rPr>
          <w:rFonts w:hint="eastAsia" w:ascii="宋体" w:hAnsi="宋体" w:cs="宋体"/>
          <w:b/>
          <w:color w:val="000000"/>
          <w:kern w:val="0"/>
          <w:sz w:val="36"/>
          <w:szCs w:val="36"/>
          <w:lang w:bidi="ar"/>
        </w:rPr>
        <w:t>第四章  评标办法</w:t>
      </w:r>
    </w:p>
    <w:p w14:paraId="10B3E78F">
      <w:pPr>
        <w:spacing w:line="360" w:lineRule="auto"/>
        <w:ind w:left="718"/>
        <w:rPr>
          <w:b/>
          <w:sz w:val="28"/>
          <w:szCs w:val="28"/>
        </w:rPr>
      </w:pPr>
      <w:r>
        <w:rPr>
          <w:b/>
          <w:sz w:val="28"/>
          <w:szCs w:val="28"/>
        </w:rPr>
        <w:t>一、磋商方法</w:t>
      </w:r>
      <w:r>
        <w:rPr>
          <w:b/>
          <w:w w:val="99"/>
          <w:sz w:val="28"/>
          <w:szCs w:val="28"/>
        </w:rPr>
        <w:t xml:space="preserve"> </w:t>
      </w:r>
    </w:p>
    <w:p w14:paraId="7C31443B">
      <w:pPr>
        <w:spacing w:line="360" w:lineRule="auto"/>
        <w:ind w:firstLine="480" w:firstLineChars="200"/>
        <w:rPr>
          <w:rFonts w:ascii="宋体" w:hAnsi="宋体"/>
          <w:sz w:val="24"/>
        </w:rPr>
      </w:pPr>
      <w:r>
        <w:rPr>
          <w:rFonts w:ascii="宋体" w:hAnsi="宋体"/>
          <w:sz w:val="24"/>
        </w:rPr>
        <w:t>本次磋商采用综合评</w:t>
      </w:r>
      <w:r>
        <w:rPr>
          <w:rFonts w:hint="eastAsia" w:ascii="宋体" w:hAnsi="宋体"/>
          <w:sz w:val="24"/>
        </w:rPr>
        <w:t>分</w:t>
      </w:r>
      <w:r>
        <w:rPr>
          <w:rFonts w:ascii="宋体" w:hAnsi="宋体"/>
          <w:sz w:val="24"/>
        </w:rPr>
        <w:t>法。磋商小组对满足</w:t>
      </w:r>
      <w:r>
        <w:rPr>
          <w:rFonts w:hint="eastAsia" w:ascii="宋体" w:hAnsi="宋体"/>
          <w:sz w:val="24"/>
        </w:rPr>
        <w:t>磋商</w:t>
      </w:r>
      <w:r>
        <w:rPr>
          <w:rFonts w:ascii="宋体" w:hAnsi="宋体"/>
          <w:sz w:val="24"/>
        </w:rPr>
        <w:t>文件实质性要求的</w:t>
      </w:r>
      <w:r>
        <w:rPr>
          <w:rFonts w:hint="eastAsia" w:ascii="宋体" w:hAnsi="宋体"/>
          <w:sz w:val="24"/>
        </w:rPr>
        <w:t>响应</w:t>
      </w:r>
      <w:r>
        <w:rPr>
          <w:rFonts w:ascii="宋体" w:hAnsi="宋体"/>
          <w:sz w:val="24"/>
        </w:rPr>
        <w:t>文件，按照本章第2.2款规定的评分标准进行打分，并按得分由高到低顺序向</w:t>
      </w:r>
      <w:r>
        <w:rPr>
          <w:rFonts w:hint="eastAsia" w:ascii="宋体" w:hAnsi="宋体"/>
          <w:sz w:val="24"/>
        </w:rPr>
        <w:t>采购</w:t>
      </w:r>
      <w:r>
        <w:rPr>
          <w:rFonts w:ascii="宋体" w:hAnsi="宋体"/>
          <w:sz w:val="24"/>
        </w:rPr>
        <w:t>人推荐</w:t>
      </w:r>
      <w:r>
        <w:rPr>
          <w:rFonts w:hint="eastAsia" w:ascii="宋体" w:hAnsi="宋体"/>
          <w:sz w:val="24"/>
        </w:rPr>
        <w:t>3名成交</w:t>
      </w:r>
      <w:r>
        <w:rPr>
          <w:rFonts w:ascii="宋体" w:hAnsi="宋体"/>
          <w:sz w:val="24"/>
        </w:rPr>
        <w:t>候选人，但</w:t>
      </w:r>
      <w:r>
        <w:rPr>
          <w:rFonts w:hint="eastAsia" w:ascii="宋体" w:hAnsi="宋体"/>
          <w:sz w:val="24"/>
        </w:rPr>
        <w:t>磋商</w:t>
      </w:r>
      <w:r>
        <w:rPr>
          <w:rFonts w:ascii="宋体" w:hAnsi="宋体"/>
          <w:sz w:val="24"/>
        </w:rPr>
        <w:t>报价低于其成本的除外。综合评分相等时，以磋商报价低的优先；磋商报价也相等的，由</w:t>
      </w:r>
      <w:r>
        <w:rPr>
          <w:rFonts w:hint="eastAsia" w:ascii="宋体" w:hAnsi="宋体"/>
          <w:sz w:val="24"/>
        </w:rPr>
        <w:t>采购</w:t>
      </w:r>
      <w:r>
        <w:rPr>
          <w:rFonts w:ascii="宋体" w:hAnsi="宋体"/>
          <w:sz w:val="24"/>
        </w:rPr>
        <w:t>人自行确定。</w:t>
      </w:r>
    </w:p>
    <w:p w14:paraId="0D2C20AF">
      <w:pPr>
        <w:ind w:left="718"/>
        <w:rPr>
          <w:sz w:val="28"/>
          <w:szCs w:val="28"/>
        </w:rPr>
      </w:pPr>
      <w:r>
        <w:rPr>
          <w:b/>
          <w:sz w:val="28"/>
          <w:szCs w:val="28"/>
        </w:rPr>
        <w:t>二、评审标准</w:t>
      </w:r>
    </w:p>
    <w:p w14:paraId="28852226">
      <w:pPr>
        <w:spacing w:line="360" w:lineRule="auto"/>
        <w:ind w:firstLine="480" w:firstLineChars="200"/>
        <w:rPr>
          <w:rFonts w:ascii="宋体" w:hAnsi="宋体"/>
          <w:sz w:val="24"/>
        </w:rPr>
      </w:pPr>
      <w:r>
        <w:rPr>
          <w:rFonts w:hint="eastAsia" w:ascii="宋体" w:hAnsi="宋体"/>
          <w:sz w:val="24"/>
        </w:rPr>
        <w:t>2.1</w:t>
      </w:r>
      <w:r>
        <w:rPr>
          <w:rFonts w:ascii="宋体" w:hAnsi="宋体"/>
          <w:sz w:val="24"/>
        </w:rPr>
        <w:t xml:space="preserve">初步评审标准 </w:t>
      </w:r>
    </w:p>
    <w:p w14:paraId="1E8674E8">
      <w:pPr>
        <w:spacing w:line="360" w:lineRule="auto"/>
        <w:ind w:firstLine="480" w:firstLineChars="200"/>
        <w:rPr>
          <w:rFonts w:ascii="宋体" w:hAnsi="宋体"/>
          <w:sz w:val="24"/>
        </w:rPr>
      </w:pPr>
      <w:r>
        <w:rPr>
          <w:rFonts w:hint="eastAsia" w:ascii="宋体" w:hAnsi="宋体"/>
          <w:sz w:val="24"/>
        </w:rPr>
        <w:t>2.1.1</w:t>
      </w:r>
      <w:r>
        <w:rPr>
          <w:rFonts w:ascii="宋体" w:hAnsi="宋体"/>
          <w:sz w:val="24"/>
        </w:rPr>
        <w:t>资格审查标准：见附表1</w:t>
      </w:r>
    </w:p>
    <w:p w14:paraId="54E65CCC">
      <w:pPr>
        <w:spacing w:line="360" w:lineRule="auto"/>
        <w:ind w:firstLine="480" w:firstLineChars="200"/>
        <w:rPr>
          <w:rFonts w:hint="eastAsia" w:ascii="宋体" w:hAnsi="宋体"/>
          <w:sz w:val="24"/>
        </w:rPr>
      </w:pPr>
      <w:r>
        <w:rPr>
          <w:rFonts w:hint="eastAsia" w:ascii="宋体" w:hAnsi="宋体"/>
          <w:sz w:val="24"/>
        </w:rPr>
        <w:t>2.1.2</w:t>
      </w:r>
      <w:r>
        <w:rPr>
          <w:rFonts w:ascii="宋体" w:hAnsi="宋体"/>
          <w:sz w:val="24"/>
        </w:rPr>
        <w:t>符合性评审标准：见附表1</w:t>
      </w:r>
    </w:p>
    <w:p w14:paraId="5F72290A">
      <w:pPr>
        <w:spacing w:line="360" w:lineRule="auto"/>
        <w:ind w:firstLine="480" w:firstLineChars="200"/>
        <w:rPr>
          <w:rFonts w:hint="default" w:ascii="宋体" w:hAnsi="宋体" w:eastAsia="宋体"/>
          <w:sz w:val="24"/>
          <w:lang w:val="en-US" w:eastAsia="zh-CN"/>
        </w:rPr>
      </w:pPr>
      <w:r>
        <w:rPr>
          <w:rFonts w:hint="eastAsia" w:ascii="宋体" w:hAnsi="宋体"/>
          <w:sz w:val="24"/>
          <w:lang w:val="en-US" w:eastAsia="zh-CN"/>
        </w:rPr>
        <w:t>2.1.3实质性响应评审标准：</w:t>
      </w:r>
      <w:r>
        <w:rPr>
          <w:rFonts w:ascii="宋体" w:hAnsi="宋体"/>
          <w:sz w:val="24"/>
        </w:rPr>
        <w:t>见附表1</w:t>
      </w:r>
    </w:p>
    <w:p w14:paraId="2D583412">
      <w:pPr>
        <w:spacing w:line="360" w:lineRule="auto"/>
        <w:ind w:firstLine="480" w:firstLineChars="200"/>
        <w:rPr>
          <w:rFonts w:ascii="宋体" w:hAnsi="宋体"/>
          <w:sz w:val="24"/>
        </w:rPr>
      </w:pPr>
      <w:r>
        <w:rPr>
          <w:rFonts w:hint="eastAsia" w:ascii="宋体" w:hAnsi="宋体"/>
          <w:sz w:val="24"/>
        </w:rPr>
        <w:t>2.2</w:t>
      </w:r>
      <w:r>
        <w:rPr>
          <w:rFonts w:ascii="宋体" w:hAnsi="宋体"/>
          <w:sz w:val="24"/>
        </w:rPr>
        <w:t>磋商基准价计算</w:t>
      </w:r>
    </w:p>
    <w:p w14:paraId="7B392016">
      <w:pPr>
        <w:spacing w:line="360" w:lineRule="auto"/>
        <w:ind w:firstLine="480" w:firstLineChars="200"/>
        <w:rPr>
          <w:rFonts w:ascii="宋体" w:hAnsi="宋体"/>
          <w:sz w:val="24"/>
        </w:rPr>
      </w:pPr>
      <w:r>
        <w:rPr>
          <w:rFonts w:hint="eastAsia" w:ascii="宋体" w:hAnsi="宋体"/>
          <w:sz w:val="24"/>
        </w:rPr>
        <w:t>2.2.1</w:t>
      </w:r>
      <w:r>
        <w:rPr>
          <w:rFonts w:ascii="宋体" w:hAnsi="宋体"/>
          <w:sz w:val="24"/>
        </w:rPr>
        <w:t>磋商基准价计算方法：见附表2；</w:t>
      </w:r>
    </w:p>
    <w:p w14:paraId="5AF7D7FC">
      <w:pPr>
        <w:spacing w:line="360" w:lineRule="auto"/>
        <w:ind w:firstLine="480" w:firstLineChars="200"/>
        <w:rPr>
          <w:rFonts w:ascii="宋体" w:hAnsi="宋体"/>
          <w:sz w:val="24"/>
        </w:rPr>
      </w:pPr>
      <w:r>
        <w:rPr>
          <w:rFonts w:hint="eastAsia" w:ascii="宋体" w:hAnsi="宋体"/>
          <w:sz w:val="24"/>
        </w:rPr>
        <w:t>2.3</w:t>
      </w:r>
      <w:r>
        <w:rPr>
          <w:rFonts w:ascii="宋体" w:hAnsi="宋体"/>
          <w:sz w:val="24"/>
        </w:rPr>
        <w:t>磋商报价的偏差率计算</w:t>
      </w:r>
    </w:p>
    <w:p w14:paraId="5EAC2FEA">
      <w:pPr>
        <w:spacing w:line="360" w:lineRule="auto"/>
        <w:ind w:firstLine="480" w:firstLineChars="200"/>
        <w:rPr>
          <w:rFonts w:ascii="宋体" w:hAnsi="宋体"/>
          <w:sz w:val="24"/>
        </w:rPr>
      </w:pPr>
      <w:r>
        <w:rPr>
          <w:rFonts w:hint="eastAsia" w:ascii="宋体" w:hAnsi="宋体"/>
          <w:sz w:val="24"/>
        </w:rPr>
        <w:t>2.3.1</w:t>
      </w:r>
      <w:r>
        <w:rPr>
          <w:rFonts w:ascii="宋体" w:hAnsi="宋体"/>
          <w:sz w:val="24"/>
        </w:rPr>
        <w:t>磋商报价的偏差率计算公式：见附表2；</w:t>
      </w:r>
    </w:p>
    <w:p w14:paraId="5AA06419">
      <w:pPr>
        <w:spacing w:line="360" w:lineRule="auto"/>
        <w:ind w:firstLine="480" w:firstLineChars="200"/>
        <w:rPr>
          <w:rFonts w:ascii="宋体" w:hAnsi="宋体"/>
          <w:sz w:val="24"/>
        </w:rPr>
      </w:pPr>
      <w:r>
        <w:rPr>
          <w:rFonts w:hint="eastAsia" w:ascii="宋体" w:hAnsi="宋体"/>
          <w:sz w:val="24"/>
        </w:rPr>
        <w:t>2.3.2</w:t>
      </w:r>
      <w:r>
        <w:rPr>
          <w:rFonts w:ascii="宋体" w:hAnsi="宋体"/>
          <w:sz w:val="24"/>
        </w:rPr>
        <w:t>评分标准：见附表2；</w:t>
      </w:r>
    </w:p>
    <w:p w14:paraId="5D337183">
      <w:pPr>
        <w:ind w:left="718"/>
        <w:rPr>
          <w:b/>
          <w:sz w:val="28"/>
          <w:szCs w:val="28"/>
        </w:rPr>
      </w:pPr>
      <w:r>
        <w:rPr>
          <w:b/>
          <w:sz w:val="28"/>
          <w:szCs w:val="28"/>
        </w:rPr>
        <w:t xml:space="preserve">三、磋商程序 </w:t>
      </w:r>
    </w:p>
    <w:p w14:paraId="29721083">
      <w:pPr>
        <w:spacing w:line="360" w:lineRule="auto"/>
        <w:ind w:firstLine="482" w:firstLineChars="200"/>
        <w:rPr>
          <w:rFonts w:ascii="宋体" w:hAnsi="宋体"/>
          <w:b/>
          <w:sz w:val="24"/>
        </w:rPr>
      </w:pPr>
      <w:r>
        <w:rPr>
          <w:rFonts w:ascii="宋体" w:hAnsi="宋体"/>
          <w:b/>
          <w:sz w:val="24"/>
        </w:rPr>
        <w:t xml:space="preserve">3.1 初步评审 </w:t>
      </w:r>
    </w:p>
    <w:p w14:paraId="49F47295">
      <w:pPr>
        <w:spacing w:line="360" w:lineRule="auto"/>
        <w:ind w:firstLine="480" w:firstLineChars="200"/>
        <w:rPr>
          <w:rFonts w:ascii="宋体" w:hAnsi="宋体"/>
          <w:sz w:val="24"/>
        </w:rPr>
      </w:pPr>
      <w:r>
        <w:rPr>
          <w:rFonts w:ascii="宋体" w:hAnsi="宋体"/>
          <w:sz w:val="24"/>
        </w:rPr>
        <w:t>3.1.1磋商小组应该以</w:t>
      </w:r>
      <w:r>
        <w:rPr>
          <w:rFonts w:hint="eastAsia" w:ascii="宋体" w:hAnsi="宋体"/>
          <w:sz w:val="24"/>
        </w:rPr>
        <w:t>响应文件</w:t>
      </w:r>
      <w:r>
        <w:rPr>
          <w:rFonts w:ascii="宋体" w:hAnsi="宋体"/>
          <w:sz w:val="24"/>
        </w:rPr>
        <w:t>为准，进行核验。磋商小组依据本章第2.1款规定的标准对磋商响应文件进行初步评审。有一项不符合评审标准的，作无效标处理。</w:t>
      </w:r>
    </w:p>
    <w:p w14:paraId="4FFE636E">
      <w:pPr>
        <w:spacing w:line="360" w:lineRule="auto"/>
        <w:ind w:firstLine="480" w:firstLineChars="200"/>
        <w:rPr>
          <w:rFonts w:ascii="宋体" w:hAnsi="宋体"/>
          <w:sz w:val="24"/>
        </w:rPr>
      </w:pPr>
      <w:r>
        <w:rPr>
          <w:rFonts w:hint="eastAsia" w:ascii="宋体" w:hAnsi="宋体"/>
          <w:sz w:val="24"/>
        </w:rPr>
        <w:t>3.1.2</w:t>
      </w:r>
      <w:r>
        <w:rPr>
          <w:rFonts w:ascii="宋体" w:hAnsi="宋体"/>
          <w:sz w:val="24"/>
        </w:rPr>
        <w:t>磋商小组依据本章第2.1.1项、第2.1.2项</w:t>
      </w:r>
      <w:r>
        <w:rPr>
          <w:rFonts w:hint="eastAsia" w:ascii="宋体" w:hAnsi="宋体"/>
          <w:sz w:val="24"/>
          <w:lang w:eastAsia="zh-CN"/>
        </w:rPr>
        <w:t>、</w:t>
      </w:r>
      <w:r>
        <w:rPr>
          <w:rFonts w:ascii="宋体" w:hAnsi="宋体"/>
          <w:sz w:val="24"/>
        </w:rPr>
        <w:t>第2.1.</w:t>
      </w:r>
      <w:r>
        <w:rPr>
          <w:rFonts w:hint="eastAsia" w:ascii="宋体" w:hAnsi="宋体"/>
          <w:sz w:val="24"/>
          <w:lang w:val="en-US" w:eastAsia="zh-CN"/>
        </w:rPr>
        <w:t>3</w:t>
      </w:r>
      <w:r>
        <w:rPr>
          <w:rFonts w:ascii="宋体" w:hAnsi="宋体"/>
          <w:sz w:val="24"/>
        </w:rPr>
        <w:t>项规定的评审标准对</w:t>
      </w:r>
      <w:r>
        <w:rPr>
          <w:rFonts w:hint="eastAsia" w:ascii="宋体" w:hAnsi="宋体"/>
          <w:sz w:val="24"/>
        </w:rPr>
        <w:t>响应</w:t>
      </w:r>
      <w:r>
        <w:rPr>
          <w:rFonts w:ascii="宋体" w:hAnsi="宋体"/>
          <w:sz w:val="24"/>
        </w:rPr>
        <w:t>文件进行初步评审。有一项不符合评审标准的，作无效标处理。</w:t>
      </w:r>
    </w:p>
    <w:p w14:paraId="29934B14">
      <w:pPr>
        <w:spacing w:line="360" w:lineRule="auto"/>
        <w:ind w:firstLine="480" w:firstLineChars="200"/>
        <w:rPr>
          <w:rFonts w:ascii="宋体" w:hAnsi="宋体"/>
          <w:sz w:val="24"/>
        </w:rPr>
      </w:pPr>
      <w:r>
        <w:rPr>
          <w:rFonts w:hint="eastAsia" w:ascii="宋体" w:hAnsi="宋体"/>
          <w:sz w:val="24"/>
        </w:rPr>
        <w:t>3.1.3供应商</w:t>
      </w:r>
      <w:r>
        <w:rPr>
          <w:rFonts w:ascii="宋体" w:hAnsi="宋体"/>
          <w:sz w:val="24"/>
        </w:rPr>
        <w:t>有以下情形之一的，其</w:t>
      </w:r>
      <w:r>
        <w:rPr>
          <w:rFonts w:hint="eastAsia" w:ascii="宋体" w:hAnsi="宋体"/>
          <w:sz w:val="24"/>
        </w:rPr>
        <w:t>磋商</w:t>
      </w:r>
      <w:r>
        <w:rPr>
          <w:rFonts w:ascii="宋体" w:hAnsi="宋体"/>
          <w:sz w:val="24"/>
        </w:rPr>
        <w:t>作无效标处理：</w:t>
      </w:r>
    </w:p>
    <w:p w14:paraId="3B925F4D">
      <w:pPr>
        <w:spacing w:line="360" w:lineRule="auto"/>
        <w:ind w:firstLine="480" w:firstLineChars="200"/>
        <w:rPr>
          <w:rFonts w:ascii="宋体" w:hAnsi="宋体"/>
          <w:sz w:val="24"/>
        </w:rPr>
      </w:pPr>
      <w:r>
        <w:rPr>
          <w:rFonts w:ascii="宋体" w:hAnsi="宋体"/>
          <w:sz w:val="24"/>
        </w:rPr>
        <w:t>（1）串通磋商或弄虚作假或有其他违法行为的；</w:t>
      </w:r>
    </w:p>
    <w:p w14:paraId="23BD9BF2">
      <w:pPr>
        <w:spacing w:line="360" w:lineRule="auto"/>
        <w:ind w:firstLine="480" w:firstLineChars="200"/>
        <w:rPr>
          <w:rFonts w:ascii="宋体" w:hAnsi="宋体"/>
          <w:sz w:val="24"/>
        </w:rPr>
      </w:pPr>
      <w:r>
        <w:rPr>
          <w:rFonts w:ascii="宋体" w:hAnsi="宋体"/>
          <w:sz w:val="24"/>
        </w:rPr>
        <w:t>（2）不按磋商</w:t>
      </w:r>
      <w:r>
        <w:rPr>
          <w:rFonts w:hint="eastAsia" w:ascii="宋体" w:hAnsi="宋体"/>
          <w:sz w:val="24"/>
        </w:rPr>
        <w:t>小组</w:t>
      </w:r>
      <w:r>
        <w:rPr>
          <w:rFonts w:ascii="宋体" w:hAnsi="宋体"/>
          <w:sz w:val="24"/>
        </w:rPr>
        <w:t>要求澄清、说明或补正的。</w:t>
      </w:r>
    </w:p>
    <w:p w14:paraId="61E7FF6B">
      <w:pPr>
        <w:spacing w:line="360" w:lineRule="auto"/>
        <w:ind w:firstLine="480" w:firstLineChars="200"/>
        <w:rPr>
          <w:rFonts w:ascii="宋体" w:hAnsi="宋体"/>
          <w:sz w:val="24"/>
        </w:rPr>
      </w:pPr>
      <w:r>
        <w:rPr>
          <w:rFonts w:hint="eastAsia" w:ascii="宋体" w:hAnsi="宋体"/>
          <w:sz w:val="24"/>
        </w:rPr>
        <w:t>3.1.4</w:t>
      </w:r>
      <w:r>
        <w:rPr>
          <w:rFonts w:ascii="宋体" w:hAnsi="宋体"/>
          <w:sz w:val="24"/>
        </w:rPr>
        <w:t>磋商报价有算术错误的，磋商小组按以下原则对磋商报价进行修正，修正的价格经</w:t>
      </w:r>
      <w:r>
        <w:rPr>
          <w:rFonts w:hint="eastAsia" w:ascii="宋体" w:hAnsi="宋体"/>
          <w:sz w:val="24"/>
        </w:rPr>
        <w:t>供应商</w:t>
      </w:r>
      <w:r>
        <w:rPr>
          <w:rFonts w:ascii="宋体" w:hAnsi="宋体"/>
          <w:sz w:val="24"/>
        </w:rPr>
        <w:t>确认后具有约束力。</w:t>
      </w:r>
      <w:r>
        <w:rPr>
          <w:rFonts w:hint="eastAsia" w:ascii="宋体" w:hAnsi="宋体"/>
          <w:sz w:val="24"/>
        </w:rPr>
        <w:t>供应商</w:t>
      </w:r>
      <w:r>
        <w:rPr>
          <w:rFonts w:ascii="宋体" w:hAnsi="宋体"/>
          <w:sz w:val="24"/>
        </w:rPr>
        <w:t xml:space="preserve">不接受修正价格的，其磋商作废标处理。 </w:t>
      </w:r>
    </w:p>
    <w:p w14:paraId="37DD494D">
      <w:pPr>
        <w:spacing w:line="360" w:lineRule="auto"/>
        <w:ind w:firstLine="480" w:firstLineChars="200"/>
        <w:rPr>
          <w:rFonts w:ascii="宋体" w:hAnsi="宋体"/>
          <w:sz w:val="24"/>
        </w:rPr>
      </w:pPr>
      <w:r>
        <w:rPr>
          <w:rFonts w:ascii="宋体" w:hAnsi="宋体"/>
          <w:sz w:val="24"/>
        </w:rPr>
        <w:t xml:space="preserve">（1）磋商文件中的大写金额与小写金额不一致的，以大写金额为准； </w:t>
      </w:r>
    </w:p>
    <w:p w14:paraId="446E03ED">
      <w:pPr>
        <w:spacing w:line="360" w:lineRule="auto"/>
        <w:ind w:firstLine="480" w:firstLineChars="200"/>
        <w:rPr>
          <w:rFonts w:ascii="宋体" w:hAnsi="宋体"/>
          <w:sz w:val="24"/>
        </w:rPr>
      </w:pPr>
      <w:r>
        <w:rPr>
          <w:rFonts w:ascii="宋体" w:hAnsi="宋体"/>
          <w:sz w:val="24"/>
        </w:rPr>
        <w:t xml:space="preserve">（2）总价金额与依据单价计算出的结果不一致的，以单价金额为准修正总价，但单价金额小数点有明显错误的除外。 </w:t>
      </w:r>
    </w:p>
    <w:p w14:paraId="4022D1A2">
      <w:pPr>
        <w:spacing w:line="360" w:lineRule="auto"/>
        <w:ind w:firstLine="482" w:firstLineChars="200"/>
        <w:rPr>
          <w:rFonts w:ascii="宋体" w:hAnsi="宋体"/>
          <w:b/>
          <w:sz w:val="24"/>
        </w:rPr>
      </w:pPr>
      <w:r>
        <w:rPr>
          <w:rFonts w:hint="eastAsia" w:ascii="宋体" w:hAnsi="宋体"/>
          <w:b/>
          <w:sz w:val="24"/>
        </w:rPr>
        <w:t>3.2</w:t>
      </w:r>
      <w:r>
        <w:rPr>
          <w:rFonts w:ascii="宋体" w:hAnsi="宋体"/>
          <w:b/>
          <w:sz w:val="24"/>
        </w:rPr>
        <w:t xml:space="preserve">详细评审 </w:t>
      </w:r>
    </w:p>
    <w:p w14:paraId="58C265F9">
      <w:pPr>
        <w:spacing w:line="360" w:lineRule="auto"/>
        <w:ind w:firstLine="480" w:firstLineChars="200"/>
        <w:rPr>
          <w:rFonts w:ascii="宋体" w:hAnsi="宋体"/>
          <w:sz w:val="24"/>
        </w:rPr>
      </w:pPr>
      <w:r>
        <w:rPr>
          <w:rFonts w:hint="eastAsia" w:ascii="宋体" w:hAnsi="宋体"/>
          <w:sz w:val="24"/>
        </w:rPr>
        <w:t>3.2.1</w:t>
      </w:r>
      <w:r>
        <w:rPr>
          <w:rFonts w:ascii="宋体" w:hAnsi="宋体"/>
          <w:sz w:val="24"/>
        </w:rPr>
        <w:t>磋商</w:t>
      </w:r>
      <w:r>
        <w:rPr>
          <w:rFonts w:hint="eastAsia" w:ascii="宋体" w:hAnsi="宋体"/>
          <w:sz w:val="24"/>
        </w:rPr>
        <w:t>小组</w:t>
      </w:r>
      <w:r>
        <w:rPr>
          <w:rFonts w:ascii="宋体" w:hAnsi="宋体"/>
          <w:sz w:val="24"/>
        </w:rPr>
        <w:t>按本章第 2.2 款规定的量化因素和分值进行打分，并计算出综合评估得分。</w:t>
      </w:r>
    </w:p>
    <w:p w14:paraId="5635FE5B">
      <w:pPr>
        <w:spacing w:line="360" w:lineRule="auto"/>
        <w:ind w:firstLine="480" w:firstLineChars="200"/>
        <w:rPr>
          <w:rFonts w:ascii="宋体" w:hAnsi="宋体" w:eastAsia="宋体" w:cs="Times New Roman"/>
          <w:sz w:val="24"/>
        </w:rPr>
      </w:pPr>
      <w:r>
        <w:rPr>
          <w:rFonts w:hint="eastAsia" w:ascii="宋体" w:hAnsi="宋体"/>
          <w:sz w:val="24"/>
        </w:rPr>
        <w:t>3.2.2</w:t>
      </w:r>
      <w:r>
        <w:rPr>
          <w:rFonts w:ascii="宋体" w:hAnsi="宋体"/>
          <w:sz w:val="24"/>
        </w:rPr>
        <w:t>在评审过程中，磋商小组发现</w:t>
      </w:r>
      <w:r>
        <w:rPr>
          <w:rFonts w:hint="eastAsia" w:ascii="宋体" w:hAnsi="宋体"/>
          <w:sz w:val="24"/>
        </w:rPr>
        <w:t>供应商</w:t>
      </w:r>
      <w:r>
        <w:rPr>
          <w:rFonts w:ascii="宋体" w:hAnsi="宋体"/>
          <w:sz w:val="24"/>
        </w:rPr>
        <w:t>的磋商报价明显低于其他</w:t>
      </w:r>
      <w:r>
        <w:rPr>
          <w:rFonts w:hint="eastAsia" w:ascii="宋体" w:hAnsi="宋体"/>
          <w:sz w:val="24"/>
        </w:rPr>
        <w:t>供应商</w:t>
      </w:r>
      <w:r>
        <w:rPr>
          <w:rFonts w:ascii="宋体" w:hAnsi="宋体"/>
          <w:sz w:val="24"/>
        </w:rPr>
        <w:t>的报价，并有可能低于</w:t>
      </w:r>
      <w:r>
        <w:rPr>
          <w:rFonts w:ascii="宋体" w:hAnsi="宋体" w:eastAsia="宋体" w:cs="Times New Roman"/>
          <w:sz w:val="24"/>
        </w:rPr>
        <w:t>其企业成本的，则磋商小组可以以</w:t>
      </w:r>
      <w:r>
        <w:rPr>
          <w:rFonts w:hint="eastAsia" w:ascii="宋体" w:hAnsi="宋体" w:eastAsia="宋体" w:cs="Times New Roman"/>
          <w:sz w:val="24"/>
        </w:rPr>
        <w:t>网上答疑</w:t>
      </w:r>
      <w:r>
        <w:rPr>
          <w:rFonts w:ascii="宋体" w:hAnsi="宋体" w:eastAsia="宋体" w:cs="Times New Roman"/>
          <w:sz w:val="24"/>
        </w:rPr>
        <w:t>形式要求该</w:t>
      </w:r>
      <w:r>
        <w:rPr>
          <w:rFonts w:hint="eastAsia" w:ascii="宋体" w:hAnsi="宋体" w:eastAsia="宋体" w:cs="Times New Roman"/>
          <w:sz w:val="24"/>
        </w:rPr>
        <w:t>供应商</w:t>
      </w:r>
      <w:r>
        <w:rPr>
          <w:rFonts w:ascii="宋体" w:hAnsi="宋体" w:eastAsia="宋体" w:cs="Times New Roman"/>
          <w:sz w:val="24"/>
        </w:rPr>
        <w:t>作出说明并提供相关证明材料。</w:t>
      </w:r>
      <w:r>
        <w:rPr>
          <w:rFonts w:hint="eastAsia" w:ascii="宋体" w:hAnsi="宋体" w:eastAsia="宋体" w:cs="Times New Roman"/>
          <w:sz w:val="24"/>
        </w:rPr>
        <w:t>供应商</w:t>
      </w:r>
      <w:r>
        <w:rPr>
          <w:rFonts w:ascii="宋体" w:hAnsi="宋体" w:eastAsia="宋体" w:cs="Times New Roman"/>
          <w:sz w:val="24"/>
        </w:rPr>
        <w:t>不能合理说明或不能提供相关证明材料的，磋商小组对其商务标部分不再进行评审。</w:t>
      </w:r>
    </w:p>
    <w:p w14:paraId="7D503376">
      <w:pPr>
        <w:spacing w:line="360" w:lineRule="auto"/>
        <w:ind w:firstLine="480" w:firstLineChars="200"/>
        <w:rPr>
          <w:rFonts w:hint="default" w:ascii="宋体" w:hAnsi="宋体" w:eastAsia="宋体" w:cs="Times New Roman"/>
          <w:sz w:val="24"/>
          <w:lang w:val="en-US" w:eastAsia="zh-CN"/>
        </w:rPr>
      </w:pPr>
      <w:r>
        <w:rPr>
          <w:rFonts w:hint="eastAsia" w:ascii="宋体" w:hAnsi="宋体" w:eastAsia="宋体" w:cs="Times New Roman"/>
          <w:sz w:val="24"/>
          <w:lang w:val="en-US" w:eastAsia="zh-CN"/>
        </w:rPr>
        <w:t>3.2.3</w:t>
      </w:r>
      <w:r>
        <w:rPr>
          <w:rFonts w:hint="eastAsia" w:ascii="宋体" w:hAnsi="宋体" w:eastAsia="宋体" w:cs="Times New Roman"/>
          <w:sz w:val="24"/>
        </w:rPr>
        <w:t>评标打分部分按照100分制原则进行，涉及到资格审查、企业业绩等计分部分时，以</w:t>
      </w:r>
      <w:r>
        <w:rPr>
          <w:rFonts w:hint="eastAsia" w:ascii="宋体" w:hAnsi="宋体" w:eastAsia="宋体" w:cs="Times New Roman"/>
          <w:sz w:val="24"/>
          <w:lang w:val="en-US" w:eastAsia="zh-CN"/>
        </w:rPr>
        <w:t>供应商响应</w:t>
      </w:r>
      <w:r>
        <w:rPr>
          <w:rFonts w:hint="eastAsia" w:ascii="宋体" w:hAnsi="宋体" w:eastAsia="宋体" w:cs="Times New Roman"/>
          <w:sz w:val="24"/>
        </w:rPr>
        <w:t>文件中的各类相应内容为准。</w:t>
      </w:r>
    </w:p>
    <w:p w14:paraId="09487404">
      <w:pPr>
        <w:spacing w:line="360" w:lineRule="auto"/>
        <w:ind w:firstLine="482" w:firstLineChars="200"/>
        <w:rPr>
          <w:rFonts w:ascii="宋体" w:hAnsi="宋体"/>
          <w:b/>
          <w:sz w:val="24"/>
        </w:rPr>
      </w:pPr>
      <w:r>
        <w:rPr>
          <w:rFonts w:hint="eastAsia" w:ascii="宋体" w:hAnsi="宋体"/>
          <w:b/>
          <w:sz w:val="24"/>
        </w:rPr>
        <w:t>3.3</w:t>
      </w:r>
      <w:r>
        <w:rPr>
          <w:rFonts w:ascii="宋体" w:hAnsi="宋体"/>
          <w:b/>
          <w:sz w:val="24"/>
        </w:rPr>
        <w:t>磋商文件的澄清和补正</w:t>
      </w:r>
    </w:p>
    <w:p w14:paraId="5A8E2227">
      <w:pPr>
        <w:spacing w:line="360" w:lineRule="auto"/>
        <w:ind w:firstLine="480" w:firstLineChars="200"/>
        <w:rPr>
          <w:rFonts w:ascii="宋体" w:hAnsi="宋体"/>
          <w:sz w:val="24"/>
        </w:rPr>
      </w:pPr>
      <w:r>
        <w:rPr>
          <w:rFonts w:hint="eastAsia" w:ascii="宋体" w:hAnsi="宋体"/>
          <w:sz w:val="24"/>
        </w:rPr>
        <w:t>3.3.1</w:t>
      </w:r>
      <w:r>
        <w:rPr>
          <w:rFonts w:ascii="宋体" w:hAnsi="宋体"/>
          <w:sz w:val="24"/>
        </w:rPr>
        <w:t>在磋商过程中，磋商小组可以</w:t>
      </w:r>
      <w:r>
        <w:rPr>
          <w:rFonts w:hint="eastAsia" w:ascii="宋体" w:hAnsi="宋体"/>
          <w:sz w:val="24"/>
        </w:rPr>
        <w:t>网上答疑</w:t>
      </w:r>
      <w:r>
        <w:rPr>
          <w:rFonts w:ascii="宋体" w:hAnsi="宋体"/>
          <w:sz w:val="24"/>
        </w:rPr>
        <w:t>形式要求</w:t>
      </w:r>
      <w:r>
        <w:rPr>
          <w:rFonts w:hint="eastAsia" w:ascii="宋体" w:hAnsi="宋体"/>
          <w:sz w:val="24"/>
        </w:rPr>
        <w:t>供应商</w:t>
      </w:r>
      <w:r>
        <w:rPr>
          <w:rFonts w:ascii="宋体" w:hAnsi="宋体"/>
          <w:sz w:val="24"/>
        </w:rPr>
        <w:t>对所提交磋商</w:t>
      </w:r>
      <w:r>
        <w:rPr>
          <w:rFonts w:hint="eastAsia" w:ascii="宋体" w:hAnsi="宋体"/>
          <w:sz w:val="24"/>
        </w:rPr>
        <w:t>响应</w:t>
      </w:r>
      <w:r>
        <w:rPr>
          <w:rFonts w:ascii="宋体" w:hAnsi="宋体"/>
          <w:sz w:val="24"/>
        </w:rPr>
        <w:t>文件中不明确的内容进行澄清或说明，或者对细微偏差进行补正。磋商</w:t>
      </w:r>
      <w:r>
        <w:rPr>
          <w:rFonts w:hint="eastAsia" w:ascii="宋体" w:hAnsi="宋体"/>
          <w:sz w:val="24"/>
        </w:rPr>
        <w:t>小组</w:t>
      </w:r>
      <w:r>
        <w:rPr>
          <w:rFonts w:ascii="宋体" w:hAnsi="宋体"/>
          <w:sz w:val="24"/>
        </w:rPr>
        <w:t>不接受</w:t>
      </w:r>
      <w:r>
        <w:rPr>
          <w:rFonts w:hint="eastAsia" w:ascii="宋体" w:hAnsi="宋体"/>
          <w:sz w:val="24"/>
        </w:rPr>
        <w:t>供应商</w:t>
      </w:r>
      <w:r>
        <w:rPr>
          <w:rFonts w:ascii="宋体" w:hAnsi="宋体"/>
          <w:sz w:val="24"/>
        </w:rPr>
        <w:t xml:space="preserve">主动提出的澄清、说明或补正。 </w:t>
      </w:r>
    </w:p>
    <w:p w14:paraId="3C7CA122">
      <w:pPr>
        <w:spacing w:line="360" w:lineRule="auto"/>
        <w:ind w:firstLine="480" w:firstLineChars="200"/>
        <w:rPr>
          <w:rFonts w:ascii="宋体" w:hAnsi="宋体"/>
          <w:sz w:val="24"/>
        </w:rPr>
      </w:pPr>
      <w:r>
        <w:rPr>
          <w:rFonts w:hint="eastAsia" w:ascii="宋体" w:hAnsi="宋体"/>
          <w:sz w:val="24"/>
        </w:rPr>
        <w:t>3.3.2</w:t>
      </w:r>
      <w:r>
        <w:rPr>
          <w:rFonts w:ascii="宋体" w:hAnsi="宋体"/>
          <w:sz w:val="24"/>
        </w:rPr>
        <w:t>澄清、说明和补正不得改变磋商文件的实质性内容（算术性错误修正的除外）。</w:t>
      </w:r>
      <w:r>
        <w:rPr>
          <w:rFonts w:hint="eastAsia" w:ascii="宋体" w:hAnsi="宋体"/>
          <w:sz w:val="24"/>
        </w:rPr>
        <w:t>供应商</w:t>
      </w:r>
      <w:r>
        <w:rPr>
          <w:rFonts w:ascii="宋体" w:hAnsi="宋体"/>
          <w:sz w:val="24"/>
        </w:rPr>
        <w:t>的澄清、说明和补正属于磋商响应文件的组成部分。</w:t>
      </w:r>
    </w:p>
    <w:p w14:paraId="190F9D27">
      <w:pPr>
        <w:spacing w:line="360" w:lineRule="auto"/>
        <w:ind w:firstLine="480" w:firstLineChars="200"/>
        <w:rPr>
          <w:rFonts w:ascii="宋体" w:hAnsi="宋体"/>
          <w:sz w:val="24"/>
        </w:rPr>
      </w:pPr>
      <w:r>
        <w:rPr>
          <w:rFonts w:hint="eastAsia" w:ascii="宋体" w:hAnsi="宋体"/>
          <w:sz w:val="24"/>
        </w:rPr>
        <w:t>3.3.3</w:t>
      </w:r>
      <w:r>
        <w:rPr>
          <w:rFonts w:ascii="宋体" w:hAnsi="宋体"/>
          <w:sz w:val="24"/>
        </w:rPr>
        <w:t>磋商小组对</w:t>
      </w:r>
      <w:r>
        <w:rPr>
          <w:rFonts w:hint="eastAsia" w:ascii="宋体" w:hAnsi="宋体"/>
          <w:sz w:val="24"/>
        </w:rPr>
        <w:t>供应商</w:t>
      </w:r>
      <w:r>
        <w:rPr>
          <w:rFonts w:ascii="宋体" w:hAnsi="宋体"/>
          <w:sz w:val="24"/>
        </w:rPr>
        <w:t>提交的澄清、说明或补正有疑问的，可以要求</w:t>
      </w:r>
      <w:r>
        <w:rPr>
          <w:rFonts w:hint="eastAsia" w:ascii="宋体" w:hAnsi="宋体"/>
          <w:sz w:val="24"/>
        </w:rPr>
        <w:t>供应商</w:t>
      </w:r>
      <w:r>
        <w:rPr>
          <w:rFonts w:ascii="宋体" w:hAnsi="宋体"/>
          <w:sz w:val="24"/>
        </w:rPr>
        <w:t>进一步澄清、说明或补正，直至满足磋商小组的要求。</w:t>
      </w:r>
    </w:p>
    <w:p w14:paraId="3230C10C">
      <w:pPr>
        <w:spacing w:line="360" w:lineRule="auto"/>
        <w:ind w:firstLine="482" w:firstLineChars="200"/>
        <w:rPr>
          <w:rFonts w:ascii="宋体" w:hAnsi="宋体"/>
          <w:b/>
          <w:sz w:val="24"/>
        </w:rPr>
      </w:pPr>
      <w:r>
        <w:rPr>
          <w:rFonts w:hint="eastAsia" w:ascii="宋体" w:hAnsi="宋体"/>
          <w:b/>
          <w:sz w:val="24"/>
        </w:rPr>
        <w:t>3.4</w:t>
      </w:r>
      <w:r>
        <w:rPr>
          <w:rFonts w:ascii="宋体" w:hAnsi="宋体"/>
          <w:b/>
          <w:sz w:val="24"/>
        </w:rPr>
        <w:t xml:space="preserve">磋商结果 </w:t>
      </w:r>
    </w:p>
    <w:p w14:paraId="79C5F679">
      <w:pPr>
        <w:spacing w:line="360" w:lineRule="auto"/>
        <w:ind w:firstLine="480" w:firstLineChars="200"/>
        <w:rPr>
          <w:rFonts w:ascii="宋体" w:hAnsi="宋体"/>
          <w:sz w:val="24"/>
        </w:rPr>
      </w:pPr>
      <w:r>
        <w:rPr>
          <w:rFonts w:hint="eastAsia" w:ascii="宋体" w:hAnsi="宋体"/>
          <w:sz w:val="24"/>
        </w:rPr>
        <w:t>3.4.1</w:t>
      </w:r>
      <w:r>
        <w:rPr>
          <w:rFonts w:ascii="宋体" w:hAnsi="宋体"/>
          <w:sz w:val="24"/>
        </w:rPr>
        <w:t>磋商小组按照得分由高到低的顺序推荐</w:t>
      </w:r>
      <w:r>
        <w:rPr>
          <w:rFonts w:hint="eastAsia" w:ascii="宋体" w:hAnsi="宋体"/>
          <w:sz w:val="24"/>
        </w:rPr>
        <w:t>3名成交</w:t>
      </w:r>
      <w:r>
        <w:rPr>
          <w:rFonts w:ascii="宋体" w:hAnsi="宋体"/>
          <w:sz w:val="24"/>
        </w:rPr>
        <w:t>候选人</w:t>
      </w:r>
      <w:r>
        <w:rPr>
          <w:rFonts w:hint="eastAsia" w:ascii="宋体" w:hAnsi="宋体"/>
          <w:sz w:val="24"/>
        </w:rPr>
        <w:t>并排序</w:t>
      </w:r>
      <w:r>
        <w:rPr>
          <w:rFonts w:ascii="宋体" w:hAnsi="宋体"/>
          <w:sz w:val="24"/>
        </w:rPr>
        <w:t>。</w:t>
      </w:r>
    </w:p>
    <w:p w14:paraId="3D4887DE">
      <w:pPr>
        <w:spacing w:line="360" w:lineRule="auto"/>
        <w:ind w:firstLine="480" w:firstLineChars="200"/>
        <w:rPr>
          <w:rFonts w:ascii="宋体" w:hAnsi="宋体"/>
          <w:sz w:val="24"/>
        </w:rPr>
      </w:pPr>
      <w:r>
        <w:rPr>
          <w:rFonts w:ascii="宋体" w:hAnsi="宋体"/>
          <w:sz w:val="24"/>
        </w:rPr>
        <w:t>3.4.2磋商小组完成磋商后，应当向采购人提交书面</w:t>
      </w:r>
      <w:r>
        <w:rPr>
          <w:rFonts w:hint="eastAsia" w:ascii="宋体" w:hAnsi="宋体"/>
          <w:sz w:val="24"/>
          <w:lang w:val="en-US" w:eastAsia="zh-CN"/>
        </w:rPr>
        <w:t>评标</w:t>
      </w:r>
      <w:r>
        <w:rPr>
          <w:rFonts w:ascii="宋体" w:hAnsi="宋体"/>
          <w:sz w:val="24"/>
        </w:rPr>
        <w:t>报告。</w:t>
      </w:r>
    </w:p>
    <w:p w14:paraId="31714AA3">
      <w:pPr>
        <w:spacing w:line="360" w:lineRule="auto"/>
        <w:ind w:firstLine="482" w:firstLineChars="200"/>
        <w:rPr>
          <w:b/>
          <w:sz w:val="24"/>
        </w:rPr>
      </w:pPr>
      <w:r>
        <w:rPr>
          <w:b/>
          <w:sz w:val="24"/>
        </w:rPr>
        <w:t>附表1初步评审表</w:t>
      </w:r>
    </w:p>
    <w:p w14:paraId="58104B96">
      <w:pPr>
        <w:spacing w:line="360" w:lineRule="auto"/>
        <w:ind w:firstLine="480" w:firstLineChars="200"/>
        <w:rPr>
          <w:rFonts w:hint="eastAsia" w:ascii="宋体" w:hAnsi="宋体"/>
          <w:sz w:val="24"/>
        </w:rPr>
      </w:pPr>
      <w:r>
        <w:rPr>
          <w:rFonts w:hint="eastAsia" w:ascii="宋体" w:hAnsi="宋体"/>
          <w:sz w:val="24"/>
        </w:rPr>
        <w:t>1、资格审查</w:t>
      </w:r>
    </w:p>
    <w:p w14:paraId="5E60F708">
      <w:pPr>
        <w:spacing w:line="360" w:lineRule="auto"/>
        <w:ind w:firstLine="480" w:firstLineChars="200"/>
        <w:rPr>
          <w:rFonts w:hint="eastAsia" w:ascii="宋体" w:hAnsi="宋体"/>
          <w:sz w:val="24"/>
        </w:rPr>
      </w:pPr>
      <w:r>
        <w:rPr>
          <w:rFonts w:hint="eastAsia" w:ascii="宋体" w:hAnsi="宋体"/>
          <w:sz w:val="24"/>
        </w:rPr>
        <w:t>磋商小组按照</w:t>
      </w:r>
      <w:r>
        <w:rPr>
          <w:rFonts w:hint="eastAsia" w:ascii="宋体" w:hAnsi="宋体"/>
          <w:b/>
          <w:sz w:val="24"/>
        </w:rPr>
        <w:t>评标办法前附表2.1.1</w:t>
      </w:r>
      <w:r>
        <w:rPr>
          <w:rFonts w:hint="eastAsia" w:ascii="宋体" w:hAnsi="宋体"/>
          <w:sz w:val="24"/>
        </w:rPr>
        <w:t>的要求，对供应商的响应文件进行评审，有一项不符合的，视为未通过资格审查，不得进入下一评标过程。符合的进入下一评标程序。</w:t>
      </w:r>
    </w:p>
    <w:p w14:paraId="31847A70">
      <w:pPr>
        <w:widowControl/>
        <w:spacing w:line="360" w:lineRule="auto"/>
        <w:ind w:firstLine="480" w:firstLineChars="200"/>
        <w:jc w:val="left"/>
        <w:rPr>
          <w:rFonts w:hint="eastAsia" w:ascii="宋体" w:hAnsi="宋体"/>
          <w:sz w:val="24"/>
        </w:rPr>
      </w:pPr>
      <w:r>
        <w:rPr>
          <w:rFonts w:hint="eastAsia" w:ascii="宋体" w:hAnsi="宋体"/>
          <w:sz w:val="24"/>
        </w:rPr>
        <w:t>2、符合性审查</w:t>
      </w:r>
    </w:p>
    <w:p w14:paraId="5D016DB3">
      <w:pPr>
        <w:widowControl/>
        <w:spacing w:line="360" w:lineRule="auto"/>
        <w:ind w:firstLine="480" w:firstLineChars="200"/>
        <w:jc w:val="left"/>
        <w:rPr>
          <w:rFonts w:hint="eastAsia" w:ascii="宋体" w:hAnsi="宋体"/>
          <w:sz w:val="24"/>
        </w:rPr>
      </w:pPr>
      <w:r>
        <w:rPr>
          <w:rFonts w:hint="eastAsia" w:ascii="宋体" w:hAnsi="宋体"/>
          <w:sz w:val="24"/>
        </w:rPr>
        <w:t>磋商小组按照</w:t>
      </w:r>
      <w:r>
        <w:rPr>
          <w:rFonts w:hint="eastAsia" w:ascii="宋体" w:hAnsi="宋体"/>
          <w:b/>
          <w:sz w:val="24"/>
        </w:rPr>
        <w:t>评标办法前附表2.1.2</w:t>
      </w:r>
      <w:r>
        <w:rPr>
          <w:rFonts w:hint="eastAsia" w:ascii="宋体" w:hAnsi="宋体"/>
          <w:sz w:val="24"/>
        </w:rPr>
        <w:t>的要求，对供应商的响应文件进行评审，有一项不符合的，视为未通过符合性审查，不得进入下一评标过程。符合的进入下一评标程序。</w:t>
      </w:r>
    </w:p>
    <w:p w14:paraId="73343224">
      <w:pPr>
        <w:widowControl/>
        <w:spacing w:line="360" w:lineRule="auto"/>
        <w:ind w:firstLine="480" w:firstLineChars="200"/>
        <w:jc w:val="left"/>
        <w:rPr>
          <w:rFonts w:hint="eastAsia" w:ascii="宋体" w:hAnsi="宋体"/>
          <w:sz w:val="24"/>
        </w:rPr>
      </w:pPr>
      <w:r>
        <w:rPr>
          <w:rFonts w:hint="eastAsia" w:ascii="宋体" w:hAnsi="宋体"/>
          <w:sz w:val="24"/>
          <w:lang w:val="en-US" w:eastAsia="zh-CN"/>
        </w:rPr>
        <w:t>3</w:t>
      </w:r>
      <w:r>
        <w:rPr>
          <w:rFonts w:hint="eastAsia" w:ascii="宋体" w:hAnsi="宋体"/>
          <w:sz w:val="24"/>
        </w:rPr>
        <w:t>、</w:t>
      </w:r>
      <w:r>
        <w:rPr>
          <w:rFonts w:hint="eastAsia" w:ascii="宋体" w:hAnsi="宋体"/>
          <w:sz w:val="24"/>
          <w:lang w:val="en-US" w:eastAsia="zh-CN"/>
        </w:rPr>
        <w:t>实质性响应</w:t>
      </w:r>
      <w:r>
        <w:rPr>
          <w:rFonts w:hint="eastAsia" w:ascii="宋体" w:hAnsi="宋体"/>
          <w:sz w:val="24"/>
        </w:rPr>
        <w:t>审查</w:t>
      </w:r>
    </w:p>
    <w:p w14:paraId="33386CCE">
      <w:pPr>
        <w:spacing w:line="360" w:lineRule="auto"/>
        <w:ind w:firstLine="480" w:firstLineChars="200"/>
        <w:rPr>
          <w:rFonts w:hint="eastAsia" w:ascii="宋体" w:hAnsi="宋体"/>
          <w:sz w:val="24"/>
        </w:rPr>
      </w:pPr>
      <w:r>
        <w:rPr>
          <w:rFonts w:hint="eastAsia" w:ascii="宋体" w:hAnsi="宋体"/>
          <w:sz w:val="24"/>
        </w:rPr>
        <w:t>磋商小组按照</w:t>
      </w:r>
      <w:r>
        <w:rPr>
          <w:rFonts w:hint="eastAsia" w:ascii="宋体" w:hAnsi="宋体"/>
          <w:b/>
          <w:sz w:val="24"/>
        </w:rPr>
        <w:t>评标办法前附表2.1.</w:t>
      </w:r>
      <w:r>
        <w:rPr>
          <w:rFonts w:hint="eastAsia" w:ascii="宋体" w:hAnsi="宋体"/>
          <w:b/>
          <w:sz w:val="24"/>
          <w:lang w:val="en-US" w:eastAsia="zh-CN"/>
        </w:rPr>
        <w:t>3</w:t>
      </w:r>
      <w:r>
        <w:rPr>
          <w:rFonts w:hint="eastAsia" w:ascii="宋体" w:hAnsi="宋体"/>
          <w:sz w:val="24"/>
        </w:rPr>
        <w:t>的要求，对供应商的响应文件进行评审，有一项不符合的，视为未通过</w:t>
      </w:r>
      <w:r>
        <w:rPr>
          <w:rFonts w:hint="eastAsia" w:ascii="宋体" w:hAnsi="宋体"/>
          <w:sz w:val="24"/>
          <w:lang w:val="en-US" w:eastAsia="zh-CN"/>
        </w:rPr>
        <w:t>实质性响应</w:t>
      </w:r>
      <w:r>
        <w:rPr>
          <w:rFonts w:hint="eastAsia" w:ascii="宋体" w:hAnsi="宋体"/>
          <w:sz w:val="24"/>
        </w:rPr>
        <w:t>审查，不得进入下一评标过程。符合的进入下一评标程序。</w:t>
      </w:r>
    </w:p>
    <w:p w14:paraId="5094AE24">
      <w:pPr>
        <w:spacing w:line="360" w:lineRule="auto"/>
        <w:ind w:firstLine="413" w:firstLineChars="147"/>
        <w:rPr>
          <w:rFonts w:hint="eastAsia" w:cs="宋体"/>
          <w:b/>
          <w:sz w:val="28"/>
          <w:szCs w:val="28"/>
        </w:rPr>
      </w:pPr>
      <w:r>
        <w:rPr>
          <w:rFonts w:hint="eastAsia" w:cs="宋体"/>
          <w:b/>
          <w:sz w:val="28"/>
          <w:szCs w:val="28"/>
        </w:rPr>
        <w:t>评标办法前附表：</w:t>
      </w:r>
    </w:p>
    <w:tbl>
      <w:tblPr>
        <w:tblStyle w:val="11"/>
        <w:tblW w:w="8418" w:type="dxa"/>
        <w:tblInd w:w="14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49"/>
        <w:gridCol w:w="575"/>
        <w:gridCol w:w="1548"/>
        <w:gridCol w:w="5546"/>
      </w:tblGrid>
      <w:tr w14:paraId="66F5C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1" w:hRule="atLeast"/>
        </w:trPr>
        <w:tc>
          <w:tcPr>
            <w:tcW w:w="749" w:type="dxa"/>
            <w:noWrap w:val="0"/>
            <w:vAlign w:val="top"/>
          </w:tcPr>
          <w:p w14:paraId="256FB59D">
            <w:pPr>
              <w:pStyle w:val="31"/>
              <w:spacing w:before="64" w:line="360" w:lineRule="auto"/>
              <w:ind w:right="42"/>
              <w:jc w:val="center"/>
              <w:rPr>
                <w:sz w:val="24"/>
                <w:szCs w:val="24"/>
              </w:rPr>
            </w:pPr>
            <w:r>
              <w:rPr>
                <w:w w:val="95"/>
                <w:sz w:val="24"/>
                <w:szCs w:val="24"/>
              </w:rPr>
              <w:t>条款号</w:t>
            </w:r>
          </w:p>
        </w:tc>
        <w:tc>
          <w:tcPr>
            <w:tcW w:w="2123" w:type="dxa"/>
            <w:gridSpan w:val="2"/>
            <w:noWrap w:val="0"/>
            <w:vAlign w:val="top"/>
          </w:tcPr>
          <w:p w14:paraId="69AC539A">
            <w:pPr>
              <w:pStyle w:val="31"/>
              <w:spacing w:before="64" w:line="360" w:lineRule="auto"/>
              <w:jc w:val="center"/>
              <w:rPr>
                <w:sz w:val="24"/>
                <w:szCs w:val="24"/>
              </w:rPr>
            </w:pPr>
            <w:r>
              <w:rPr>
                <w:sz w:val="24"/>
                <w:szCs w:val="24"/>
              </w:rPr>
              <w:t>评审因素</w:t>
            </w:r>
          </w:p>
        </w:tc>
        <w:tc>
          <w:tcPr>
            <w:tcW w:w="5546" w:type="dxa"/>
            <w:noWrap w:val="0"/>
            <w:vAlign w:val="center"/>
          </w:tcPr>
          <w:p w14:paraId="5F6A62B8">
            <w:pPr>
              <w:jc w:val="center"/>
            </w:pPr>
            <w:r>
              <w:rPr>
                <w:rFonts w:ascii="宋体" w:hAnsi="宋体" w:cs="宋体"/>
                <w:kern w:val="0"/>
                <w:sz w:val="24"/>
                <w:lang w:val="zh-CN" w:bidi="zh-CN"/>
              </w:rPr>
              <w:t>评审标准</w:t>
            </w:r>
          </w:p>
        </w:tc>
      </w:tr>
      <w:tr w14:paraId="45242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6" w:hRule="atLeast"/>
        </w:trPr>
        <w:tc>
          <w:tcPr>
            <w:tcW w:w="749" w:type="dxa"/>
            <w:vMerge w:val="restart"/>
            <w:noWrap w:val="0"/>
            <w:vAlign w:val="center"/>
          </w:tcPr>
          <w:p w14:paraId="36DD04A5">
            <w:pPr>
              <w:pStyle w:val="31"/>
              <w:spacing w:line="360" w:lineRule="auto"/>
              <w:ind w:right="71"/>
              <w:jc w:val="center"/>
              <w:rPr>
                <w:sz w:val="24"/>
                <w:szCs w:val="24"/>
              </w:rPr>
            </w:pPr>
            <w:r>
              <w:rPr>
                <w:sz w:val="24"/>
                <w:szCs w:val="24"/>
              </w:rPr>
              <w:t>2.1.1</w:t>
            </w:r>
          </w:p>
        </w:tc>
        <w:tc>
          <w:tcPr>
            <w:tcW w:w="575" w:type="dxa"/>
            <w:vMerge w:val="restart"/>
            <w:noWrap w:val="0"/>
            <w:vAlign w:val="center"/>
          </w:tcPr>
          <w:p w14:paraId="1E6EDA57">
            <w:pPr>
              <w:pStyle w:val="31"/>
              <w:spacing w:line="360" w:lineRule="auto"/>
              <w:ind w:left="106"/>
              <w:jc w:val="center"/>
              <w:rPr>
                <w:sz w:val="24"/>
                <w:szCs w:val="24"/>
              </w:rPr>
            </w:pPr>
            <w:r>
              <w:rPr>
                <w:rFonts w:hint="eastAsia"/>
                <w:sz w:val="24"/>
                <w:szCs w:val="24"/>
              </w:rPr>
              <w:t>资</w:t>
            </w:r>
          </w:p>
          <w:p w14:paraId="173F4B66">
            <w:pPr>
              <w:pStyle w:val="31"/>
              <w:spacing w:line="360" w:lineRule="auto"/>
              <w:ind w:left="106"/>
              <w:jc w:val="center"/>
              <w:rPr>
                <w:sz w:val="24"/>
                <w:szCs w:val="24"/>
              </w:rPr>
            </w:pPr>
            <w:r>
              <w:rPr>
                <w:rFonts w:hint="eastAsia"/>
                <w:sz w:val="24"/>
                <w:szCs w:val="24"/>
              </w:rPr>
              <w:t>格</w:t>
            </w:r>
          </w:p>
          <w:p w14:paraId="115A2372">
            <w:pPr>
              <w:pStyle w:val="31"/>
              <w:spacing w:line="360" w:lineRule="auto"/>
              <w:ind w:left="106"/>
              <w:jc w:val="center"/>
              <w:rPr>
                <w:sz w:val="24"/>
                <w:szCs w:val="24"/>
              </w:rPr>
            </w:pPr>
            <w:r>
              <w:rPr>
                <w:sz w:val="24"/>
                <w:szCs w:val="24"/>
              </w:rPr>
              <w:t>评</w:t>
            </w:r>
          </w:p>
          <w:p w14:paraId="5A7EE8CB">
            <w:pPr>
              <w:pStyle w:val="31"/>
              <w:spacing w:line="360" w:lineRule="auto"/>
              <w:ind w:left="106"/>
              <w:jc w:val="center"/>
              <w:rPr>
                <w:sz w:val="24"/>
                <w:szCs w:val="24"/>
              </w:rPr>
            </w:pPr>
            <w:r>
              <w:rPr>
                <w:sz w:val="24"/>
                <w:szCs w:val="24"/>
              </w:rPr>
              <w:t>审</w:t>
            </w:r>
          </w:p>
          <w:p w14:paraId="0D83ABFC">
            <w:pPr>
              <w:pStyle w:val="31"/>
              <w:spacing w:line="360" w:lineRule="auto"/>
              <w:ind w:left="106"/>
              <w:jc w:val="center"/>
              <w:rPr>
                <w:sz w:val="24"/>
                <w:szCs w:val="24"/>
              </w:rPr>
            </w:pPr>
            <w:r>
              <w:rPr>
                <w:rFonts w:hint="eastAsia"/>
                <w:sz w:val="24"/>
                <w:szCs w:val="24"/>
              </w:rPr>
              <w:t>标</w:t>
            </w:r>
          </w:p>
          <w:p w14:paraId="641DF2A2">
            <w:pPr>
              <w:pStyle w:val="31"/>
              <w:spacing w:line="360" w:lineRule="auto"/>
              <w:ind w:left="106"/>
              <w:jc w:val="center"/>
              <w:rPr>
                <w:sz w:val="24"/>
                <w:szCs w:val="24"/>
              </w:rPr>
            </w:pPr>
            <w:r>
              <w:rPr>
                <w:rFonts w:hint="eastAsia"/>
                <w:sz w:val="24"/>
                <w:szCs w:val="24"/>
              </w:rPr>
              <w:t>准</w:t>
            </w:r>
          </w:p>
        </w:tc>
        <w:tc>
          <w:tcPr>
            <w:tcW w:w="1548" w:type="dxa"/>
            <w:noWrap w:val="0"/>
            <w:vAlign w:val="center"/>
          </w:tcPr>
          <w:p w14:paraId="4BD140F4">
            <w:pPr>
              <w:pStyle w:val="31"/>
              <w:spacing w:before="57" w:line="360" w:lineRule="auto"/>
              <w:ind w:left="121" w:right="2"/>
              <w:jc w:val="center"/>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满足《中华人民共和国政府采购法》第二十二条规定</w:t>
            </w:r>
          </w:p>
        </w:tc>
        <w:tc>
          <w:tcPr>
            <w:tcW w:w="5546" w:type="dxa"/>
            <w:noWrap w:val="0"/>
            <w:vAlign w:val="center"/>
          </w:tcPr>
          <w:p w14:paraId="5B0C686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供应商满足《中华人民共和国政府采购法》第二十二条规定条件（提供相关证明资料或承诺书）</w:t>
            </w:r>
          </w:p>
        </w:tc>
      </w:tr>
      <w:tr w14:paraId="7771F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749" w:type="dxa"/>
            <w:vMerge w:val="continue"/>
            <w:noWrap w:val="0"/>
            <w:vAlign w:val="center"/>
          </w:tcPr>
          <w:p w14:paraId="28649FF2">
            <w:pPr>
              <w:pStyle w:val="31"/>
              <w:spacing w:line="360" w:lineRule="auto"/>
              <w:ind w:right="71"/>
              <w:jc w:val="center"/>
              <w:rPr>
                <w:sz w:val="24"/>
                <w:szCs w:val="24"/>
              </w:rPr>
            </w:pPr>
          </w:p>
        </w:tc>
        <w:tc>
          <w:tcPr>
            <w:tcW w:w="575" w:type="dxa"/>
            <w:vMerge w:val="continue"/>
            <w:noWrap w:val="0"/>
            <w:vAlign w:val="center"/>
          </w:tcPr>
          <w:p w14:paraId="70F38B52">
            <w:pPr>
              <w:pStyle w:val="31"/>
              <w:spacing w:line="360" w:lineRule="auto"/>
              <w:ind w:left="106"/>
              <w:jc w:val="center"/>
              <w:rPr>
                <w:sz w:val="24"/>
                <w:szCs w:val="24"/>
              </w:rPr>
            </w:pPr>
          </w:p>
        </w:tc>
        <w:tc>
          <w:tcPr>
            <w:tcW w:w="1548" w:type="dxa"/>
            <w:noWrap w:val="0"/>
            <w:vAlign w:val="center"/>
          </w:tcPr>
          <w:p w14:paraId="79F992FF">
            <w:pPr>
              <w:pStyle w:val="31"/>
              <w:spacing w:before="57" w:line="360" w:lineRule="auto"/>
              <w:ind w:left="121" w:right="2"/>
              <w:jc w:val="center"/>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营业执照</w:t>
            </w:r>
          </w:p>
        </w:tc>
        <w:tc>
          <w:tcPr>
            <w:tcW w:w="5546" w:type="dxa"/>
            <w:noWrap w:val="0"/>
            <w:vAlign w:val="center"/>
          </w:tcPr>
          <w:p w14:paraId="19AD6DA0">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Cs/>
                <w:kern w:val="2"/>
                <w:sz w:val="24"/>
                <w:szCs w:val="24"/>
                <w:lang w:val="zh-CN" w:eastAsia="zh-CN" w:bidi="ar-SA"/>
              </w:rPr>
            </w:pPr>
            <w:r>
              <w:rPr>
                <w:rFonts w:hint="eastAsia" w:ascii="宋体" w:hAnsi="宋体" w:cs="宋体"/>
                <w:sz w:val="24"/>
                <w:szCs w:val="24"/>
                <w:lang w:eastAsia="zh-CN"/>
              </w:rPr>
              <w:t>供应商须具备有效的营业执照(分公司或分支机构参与本项目的，还须提供总公司针对本项目的授权书)，并在人员、设备、资金等方面具有相应的能力（提供承诺书）</w:t>
            </w:r>
          </w:p>
        </w:tc>
      </w:tr>
      <w:tr w14:paraId="27B38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trPr>
        <w:tc>
          <w:tcPr>
            <w:tcW w:w="749" w:type="dxa"/>
            <w:vMerge w:val="continue"/>
            <w:noWrap w:val="0"/>
            <w:vAlign w:val="center"/>
          </w:tcPr>
          <w:p w14:paraId="32391339">
            <w:pPr>
              <w:pStyle w:val="31"/>
              <w:spacing w:line="360" w:lineRule="auto"/>
              <w:ind w:right="71"/>
              <w:jc w:val="center"/>
              <w:rPr>
                <w:sz w:val="24"/>
                <w:szCs w:val="24"/>
              </w:rPr>
            </w:pPr>
          </w:p>
        </w:tc>
        <w:tc>
          <w:tcPr>
            <w:tcW w:w="575" w:type="dxa"/>
            <w:vMerge w:val="continue"/>
            <w:noWrap w:val="0"/>
            <w:vAlign w:val="center"/>
          </w:tcPr>
          <w:p w14:paraId="0FE77D8C">
            <w:pPr>
              <w:pStyle w:val="31"/>
              <w:spacing w:line="360" w:lineRule="auto"/>
              <w:ind w:left="106"/>
              <w:jc w:val="center"/>
              <w:rPr>
                <w:rFonts w:hint="eastAsia"/>
                <w:sz w:val="24"/>
                <w:szCs w:val="24"/>
              </w:rPr>
            </w:pPr>
          </w:p>
        </w:tc>
        <w:tc>
          <w:tcPr>
            <w:tcW w:w="1548" w:type="dxa"/>
            <w:noWrap w:val="0"/>
            <w:vAlign w:val="center"/>
          </w:tcPr>
          <w:p w14:paraId="25E790C8">
            <w:pPr>
              <w:pStyle w:val="31"/>
              <w:spacing w:before="57" w:line="360" w:lineRule="auto"/>
              <w:ind w:left="121" w:right="2"/>
              <w:jc w:val="center"/>
              <w:rPr>
                <w:rFonts w:hint="default"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无行贿查询</w:t>
            </w:r>
          </w:p>
        </w:tc>
        <w:tc>
          <w:tcPr>
            <w:tcW w:w="5546" w:type="dxa"/>
            <w:noWrap w:val="0"/>
            <w:vAlign w:val="center"/>
          </w:tcPr>
          <w:p w14:paraId="71783E2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供应商出具无行贿犯罪记录在中国裁判文书网自行查询或自行承诺（查询对象：企业、法定代表人）；</w:t>
            </w:r>
          </w:p>
        </w:tc>
      </w:tr>
      <w:tr w14:paraId="404218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0" w:hRule="atLeast"/>
        </w:trPr>
        <w:tc>
          <w:tcPr>
            <w:tcW w:w="749" w:type="dxa"/>
            <w:vMerge w:val="continue"/>
            <w:noWrap w:val="0"/>
            <w:vAlign w:val="center"/>
          </w:tcPr>
          <w:p w14:paraId="5170F5CC">
            <w:pPr>
              <w:pStyle w:val="31"/>
              <w:spacing w:line="360" w:lineRule="auto"/>
              <w:ind w:right="71"/>
              <w:jc w:val="center"/>
              <w:rPr>
                <w:sz w:val="24"/>
                <w:szCs w:val="24"/>
              </w:rPr>
            </w:pPr>
          </w:p>
        </w:tc>
        <w:tc>
          <w:tcPr>
            <w:tcW w:w="575" w:type="dxa"/>
            <w:vMerge w:val="continue"/>
            <w:noWrap w:val="0"/>
            <w:vAlign w:val="center"/>
          </w:tcPr>
          <w:p w14:paraId="39030F35">
            <w:pPr>
              <w:pStyle w:val="31"/>
              <w:spacing w:line="360" w:lineRule="auto"/>
              <w:ind w:left="106"/>
              <w:jc w:val="center"/>
              <w:rPr>
                <w:rFonts w:hint="eastAsia"/>
                <w:sz w:val="24"/>
                <w:szCs w:val="24"/>
              </w:rPr>
            </w:pPr>
          </w:p>
        </w:tc>
        <w:tc>
          <w:tcPr>
            <w:tcW w:w="1548" w:type="dxa"/>
            <w:noWrap w:val="0"/>
            <w:vAlign w:val="center"/>
          </w:tcPr>
          <w:p w14:paraId="7BD26C13">
            <w:pPr>
              <w:pStyle w:val="31"/>
              <w:spacing w:before="57" w:line="360" w:lineRule="auto"/>
              <w:ind w:left="121" w:right="2"/>
              <w:jc w:val="center"/>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无商业贿赂和不正当竞争行为承诺书</w:t>
            </w:r>
          </w:p>
        </w:tc>
        <w:tc>
          <w:tcPr>
            <w:tcW w:w="5546" w:type="dxa"/>
            <w:noWrap w:val="0"/>
            <w:vAlign w:val="center"/>
          </w:tcPr>
          <w:p w14:paraId="389EE33F">
            <w:pPr>
              <w:spacing w:line="360" w:lineRule="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供应商须提供本企业无商业贿赂和不正当竞争行为承诺书；</w:t>
            </w:r>
          </w:p>
        </w:tc>
      </w:tr>
      <w:tr w14:paraId="43E996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84" w:hRule="atLeast"/>
        </w:trPr>
        <w:tc>
          <w:tcPr>
            <w:tcW w:w="749" w:type="dxa"/>
            <w:vMerge w:val="continue"/>
            <w:noWrap w:val="0"/>
            <w:vAlign w:val="top"/>
          </w:tcPr>
          <w:p w14:paraId="412F00BD">
            <w:pPr>
              <w:pStyle w:val="31"/>
              <w:spacing w:line="360" w:lineRule="auto"/>
              <w:rPr>
                <w:sz w:val="24"/>
                <w:szCs w:val="24"/>
              </w:rPr>
            </w:pPr>
          </w:p>
        </w:tc>
        <w:tc>
          <w:tcPr>
            <w:tcW w:w="575" w:type="dxa"/>
            <w:vMerge w:val="continue"/>
            <w:noWrap w:val="0"/>
            <w:vAlign w:val="top"/>
          </w:tcPr>
          <w:p w14:paraId="5F2D1507">
            <w:pPr>
              <w:pStyle w:val="31"/>
              <w:spacing w:line="360" w:lineRule="auto"/>
              <w:rPr>
                <w:sz w:val="24"/>
                <w:szCs w:val="24"/>
              </w:rPr>
            </w:pPr>
          </w:p>
        </w:tc>
        <w:tc>
          <w:tcPr>
            <w:tcW w:w="1548" w:type="dxa"/>
            <w:tcBorders>
              <w:bottom w:val="nil"/>
            </w:tcBorders>
            <w:noWrap w:val="0"/>
            <w:vAlign w:val="center"/>
          </w:tcPr>
          <w:p w14:paraId="2DFECDB1">
            <w:pPr>
              <w:pStyle w:val="31"/>
              <w:spacing w:line="360" w:lineRule="auto"/>
              <w:jc w:val="center"/>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信用</w:t>
            </w:r>
            <w:r>
              <w:rPr>
                <w:rFonts w:hint="eastAsia" w:cs="Times New Roman"/>
                <w:kern w:val="2"/>
                <w:sz w:val="24"/>
                <w:szCs w:val="24"/>
                <w:lang w:val="en-US" w:eastAsia="zh-CN" w:bidi="ar-SA"/>
              </w:rPr>
              <w:t>查询</w:t>
            </w:r>
          </w:p>
        </w:tc>
        <w:tc>
          <w:tcPr>
            <w:tcW w:w="5546" w:type="dxa"/>
            <w:tcBorders>
              <w:bottom w:val="nil"/>
            </w:tcBorders>
            <w:noWrap w:val="0"/>
            <w:vAlign w:val="center"/>
          </w:tcPr>
          <w:p w14:paraId="0421956D">
            <w:pPr>
              <w:spacing w:line="360" w:lineRule="auto"/>
              <w:rPr>
                <w:rFonts w:hint="eastAsia" w:ascii="宋体" w:hAnsi="宋体" w:eastAsia="宋体" w:cs="Times New Roman"/>
                <w:kern w:val="2"/>
                <w:sz w:val="24"/>
                <w:szCs w:val="24"/>
                <w:lang w:val="en-US" w:eastAsia="zh-CN" w:bidi="ar-SA"/>
              </w:rPr>
            </w:pPr>
            <w:r>
              <w:rPr>
                <w:rFonts w:hint="eastAsia" w:ascii="宋体" w:hAnsi="宋体" w:eastAsia="宋体" w:cs="宋体"/>
                <w:bCs/>
                <w:kern w:val="2"/>
                <w:sz w:val="24"/>
                <w:szCs w:val="24"/>
                <w:lang w:val="en-US" w:eastAsia="zh-CN" w:bidi="ar-SA"/>
              </w:rPr>
              <w:t>供应商没有被列入“中国执行信息公开网”的“失信被执行人”、“信用中国”的“重大税收违法失信主体”及“中国政府采购网站”的“政府采购严重违法失信行为记录名单”。【查询渠道：“中国执行信息公开网”（http://zxgk.court.gov.cn/）“信用中国”网站（www.creditchina.gov.cn）、“中国政府采购网”（www.ccgp.gov.cn）】(注：査询时间必须是本公告发布之后开标之前，查询结果清晰可见)；</w:t>
            </w:r>
          </w:p>
        </w:tc>
      </w:tr>
      <w:tr w14:paraId="5926B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5" w:hRule="atLeast"/>
        </w:trPr>
        <w:tc>
          <w:tcPr>
            <w:tcW w:w="749" w:type="dxa"/>
            <w:vMerge w:val="continue"/>
            <w:noWrap w:val="0"/>
            <w:vAlign w:val="top"/>
          </w:tcPr>
          <w:p w14:paraId="2FF5326D">
            <w:pPr>
              <w:pStyle w:val="31"/>
              <w:spacing w:line="360" w:lineRule="auto"/>
              <w:rPr>
                <w:sz w:val="24"/>
                <w:szCs w:val="24"/>
              </w:rPr>
            </w:pPr>
          </w:p>
        </w:tc>
        <w:tc>
          <w:tcPr>
            <w:tcW w:w="575" w:type="dxa"/>
            <w:vMerge w:val="continue"/>
            <w:noWrap w:val="0"/>
            <w:vAlign w:val="top"/>
          </w:tcPr>
          <w:p w14:paraId="09C1F13B">
            <w:pPr>
              <w:pStyle w:val="31"/>
              <w:spacing w:line="360" w:lineRule="auto"/>
              <w:rPr>
                <w:sz w:val="24"/>
                <w:szCs w:val="24"/>
              </w:rPr>
            </w:pPr>
          </w:p>
        </w:tc>
        <w:tc>
          <w:tcPr>
            <w:tcW w:w="1548" w:type="dxa"/>
            <w:noWrap w:val="0"/>
            <w:vAlign w:val="center"/>
          </w:tcPr>
          <w:p w14:paraId="7DE596C4">
            <w:pPr>
              <w:pStyle w:val="31"/>
              <w:spacing w:line="360" w:lineRule="auto"/>
              <w:jc w:val="center"/>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联合体投标</w:t>
            </w:r>
          </w:p>
        </w:tc>
        <w:tc>
          <w:tcPr>
            <w:tcW w:w="5546" w:type="dxa"/>
            <w:tcBorders>
              <w:bottom w:val="nil"/>
            </w:tcBorders>
            <w:noWrap w:val="0"/>
            <w:vAlign w:val="center"/>
          </w:tcPr>
          <w:p w14:paraId="2318ED4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本项目不接受联合体投标</w:t>
            </w:r>
          </w:p>
        </w:tc>
      </w:tr>
      <w:tr w14:paraId="36F1A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749" w:type="dxa"/>
            <w:vMerge w:val="restart"/>
            <w:noWrap w:val="0"/>
            <w:vAlign w:val="center"/>
          </w:tcPr>
          <w:p w14:paraId="0AABA294">
            <w:pPr>
              <w:pStyle w:val="31"/>
              <w:spacing w:line="360" w:lineRule="auto"/>
              <w:jc w:val="center"/>
              <w:rPr>
                <w:sz w:val="24"/>
                <w:szCs w:val="24"/>
              </w:rPr>
            </w:pPr>
            <w:r>
              <w:rPr>
                <w:sz w:val="24"/>
                <w:szCs w:val="24"/>
              </w:rPr>
              <w:t>2.1.2</w:t>
            </w:r>
          </w:p>
        </w:tc>
        <w:tc>
          <w:tcPr>
            <w:tcW w:w="575" w:type="dxa"/>
            <w:vMerge w:val="restart"/>
            <w:noWrap w:val="0"/>
            <w:vAlign w:val="center"/>
          </w:tcPr>
          <w:p w14:paraId="63C0F981">
            <w:pPr>
              <w:pStyle w:val="31"/>
              <w:spacing w:line="360" w:lineRule="auto"/>
              <w:ind w:right="68"/>
              <w:jc w:val="center"/>
              <w:rPr>
                <w:sz w:val="24"/>
                <w:szCs w:val="24"/>
              </w:rPr>
            </w:pPr>
            <w:r>
              <w:rPr>
                <w:sz w:val="24"/>
                <w:szCs w:val="24"/>
              </w:rPr>
              <w:t>符合性评审标准</w:t>
            </w:r>
          </w:p>
        </w:tc>
        <w:tc>
          <w:tcPr>
            <w:tcW w:w="1548" w:type="dxa"/>
            <w:tcBorders>
              <w:bottom w:val="single" w:color="auto" w:sz="4" w:space="0"/>
            </w:tcBorders>
            <w:noWrap w:val="0"/>
            <w:vAlign w:val="top"/>
          </w:tcPr>
          <w:p w14:paraId="67202040">
            <w:pPr>
              <w:pStyle w:val="31"/>
              <w:spacing w:before="77" w:line="360" w:lineRule="auto"/>
              <w:ind w:left="108"/>
              <w:jc w:val="center"/>
              <w:rPr>
                <w:rFonts w:hint="default" w:ascii="宋体" w:hAnsi="宋体" w:eastAsia="宋体" w:cs="宋体"/>
                <w:sz w:val="24"/>
                <w:szCs w:val="24"/>
                <w:lang w:val="en-US" w:eastAsia="zh-CN"/>
              </w:rPr>
            </w:pPr>
            <w:r>
              <w:rPr>
                <w:rFonts w:hint="eastAsia" w:cs="宋体"/>
                <w:sz w:val="24"/>
                <w:szCs w:val="24"/>
                <w:lang w:val="en-US" w:eastAsia="zh-CN"/>
              </w:rPr>
              <w:t>供应商名称</w:t>
            </w:r>
          </w:p>
        </w:tc>
        <w:tc>
          <w:tcPr>
            <w:tcW w:w="5546" w:type="dxa"/>
            <w:tcBorders>
              <w:bottom w:val="single" w:color="auto" w:sz="4" w:space="0"/>
            </w:tcBorders>
            <w:noWrap w:val="0"/>
            <w:vAlign w:val="top"/>
          </w:tcPr>
          <w:p w14:paraId="073EC450">
            <w:pPr>
              <w:pStyle w:val="31"/>
              <w:spacing w:before="77" w:line="360" w:lineRule="auto"/>
              <w:ind w:left="108"/>
              <w:rPr>
                <w:rFonts w:ascii="宋体" w:hAnsi="宋体" w:eastAsia="宋体" w:cs="宋体"/>
                <w:sz w:val="24"/>
                <w:szCs w:val="24"/>
              </w:rPr>
            </w:pPr>
            <w:r>
              <w:rPr>
                <w:rFonts w:hint="eastAsia" w:ascii="宋体" w:hAnsi="宋体" w:eastAsia="宋体" w:cs="宋体"/>
                <w:sz w:val="24"/>
                <w:szCs w:val="24"/>
              </w:rPr>
              <w:t>与营业执照一致</w:t>
            </w:r>
          </w:p>
        </w:tc>
      </w:tr>
      <w:tr w14:paraId="650A3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1" w:hRule="atLeast"/>
        </w:trPr>
        <w:tc>
          <w:tcPr>
            <w:tcW w:w="749" w:type="dxa"/>
            <w:vMerge w:val="continue"/>
            <w:noWrap w:val="0"/>
            <w:vAlign w:val="center"/>
          </w:tcPr>
          <w:p w14:paraId="0B980556">
            <w:pPr>
              <w:pStyle w:val="31"/>
              <w:spacing w:line="360" w:lineRule="auto"/>
              <w:jc w:val="center"/>
              <w:rPr>
                <w:sz w:val="24"/>
                <w:szCs w:val="24"/>
              </w:rPr>
            </w:pPr>
          </w:p>
        </w:tc>
        <w:tc>
          <w:tcPr>
            <w:tcW w:w="575" w:type="dxa"/>
            <w:vMerge w:val="continue"/>
            <w:noWrap w:val="0"/>
            <w:vAlign w:val="center"/>
          </w:tcPr>
          <w:p w14:paraId="59A3E765">
            <w:pPr>
              <w:pStyle w:val="31"/>
              <w:spacing w:line="360" w:lineRule="auto"/>
              <w:ind w:right="68"/>
              <w:jc w:val="center"/>
              <w:rPr>
                <w:sz w:val="24"/>
                <w:szCs w:val="24"/>
              </w:rPr>
            </w:pPr>
          </w:p>
        </w:tc>
        <w:tc>
          <w:tcPr>
            <w:tcW w:w="1548" w:type="dxa"/>
            <w:tcBorders>
              <w:top w:val="single" w:color="auto" w:sz="4" w:space="0"/>
            </w:tcBorders>
            <w:noWrap w:val="0"/>
            <w:vAlign w:val="top"/>
          </w:tcPr>
          <w:p w14:paraId="0CBB4699">
            <w:pPr>
              <w:pStyle w:val="31"/>
              <w:spacing w:before="77" w:line="360" w:lineRule="auto"/>
              <w:ind w:left="108" w:leftChars="0"/>
              <w:jc w:val="center"/>
              <w:rPr>
                <w:rFonts w:ascii="宋体" w:hAnsi="宋体" w:eastAsia="宋体" w:cs="宋体"/>
                <w:sz w:val="24"/>
                <w:szCs w:val="24"/>
              </w:rPr>
            </w:pPr>
            <w:r>
              <w:rPr>
                <w:rFonts w:ascii="宋体" w:hAnsi="宋体" w:eastAsia="宋体" w:cs="宋体"/>
                <w:sz w:val="24"/>
                <w:szCs w:val="24"/>
              </w:rPr>
              <w:t>报价函签章</w:t>
            </w:r>
          </w:p>
        </w:tc>
        <w:tc>
          <w:tcPr>
            <w:tcW w:w="5546" w:type="dxa"/>
            <w:tcBorders>
              <w:top w:val="single" w:color="auto" w:sz="4" w:space="0"/>
            </w:tcBorders>
            <w:noWrap w:val="0"/>
            <w:vAlign w:val="top"/>
          </w:tcPr>
          <w:p w14:paraId="62FB8ABE">
            <w:pPr>
              <w:pStyle w:val="31"/>
              <w:spacing w:before="77" w:line="360" w:lineRule="auto"/>
              <w:ind w:left="108" w:leftChars="0"/>
              <w:rPr>
                <w:rFonts w:ascii="宋体" w:hAnsi="宋体" w:eastAsia="宋体" w:cs="宋体"/>
                <w:sz w:val="24"/>
                <w:szCs w:val="24"/>
              </w:rPr>
            </w:pPr>
            <w:r>
              <w:rPr>
                <w:rFonts w:ascii="宋体" w:hAnsi="宋体" w:eastAsia="宋体" w:cs="宋体"/>
                <w:sz w:val="24"/>
                <w:szCs w:val="24"/>
              </w:rPr>
              <w:t>有法定代表人</w:t>
            </w:r>
            <w:r>
              <w:rPr>
                <w:rFonts w:hint="eastAsia" w:ascii="宋体" w:hAnsi="宋体" w:eastAsia="宋体" w:cs="宋体"/>
                <w:sz w:val="24"/>
                <w:szCs w:val="24"/>
                <w:lang w:val="en-US"/>
              </w:rPr>
              <w:t>签</w:t>
            </w:r>
            <w:r>
              <w:rPr>
                <w:rFonts w:ascii="宋体" w:hAnsi="宋体" w:eastAsia="宋体" w:cs="宋体"/>
                <w:sz w:val="24"/>
                <w:szCs w:val="24"/>
              </w:rPr>
              <w:t>章并加盖单位公章</w:t>
            </w:r>
          </w:p>
        </w:tc>
      </w:tr>
      <w:tr w14:paraId="27E91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trPr>
        <w:tc>
          <w:tcPr>
            <w:tcW w:w="749" w:type="dxa"/>
            <w:vMerge w:val="continue"/>
            <w:tcBorders>
              <w:top w:val="nil"/>
              <w:bottom w:val="single" w:color="auto" w:sz="4" w:space="0"/>
            </w:tcBorders>
            <w:noWrap w:val="0"/>
            <w:vAlign w:val="top"/>
          </w:tcPr>
          <w:p w14:paraId="697342EE">
            <w:pPr>
              <w:spacing w:line="360" w:lineRule="auto"/>
              <w:rPr>
                <w:rFonts w:ascii="宋体" w:hAnsi="宋体"/>
                <w:sz w:val="24"/>
              </w:rPr>
            </w:pPr>
          </w:p>
        </w:tc>
        <w:tc>
          <w:tcPr>
            <w:tcW w:w="575" w:type="dxa"/>
            <w:vMerge w:val="continue"/>
            <w:tcBorders>
              <w:top w:val="nil"/>
              <w:bottom w:val="single" w:color="auto" w:sz="4" w:space="0"/>
            </w:tcBorders>
            <w:noWrap w:val="0"/>
            <w:vAlign w:val="top"/>
          </w:tcPr>
          <w:p w14:paraId="01A21293">
            <w:pPr>
              <w:spacing w:line="360" w:lineRule="auto"/>
              <w:rPr>
                <w:rFonts w:ascii="宋体" w:hAnsi="宋体"/>
                <w:sz w:val="24"/>
              </w:rPr>
            </w:pPr>
          </w:p>
        </w:tc>
        <w:tc>
          <w:tcPr>
            <w:tcW w:w="1548" w:type="dxa"/>
            <w:noWrap w:val="0"/>
            <w:vAlign w:val="top"/>
          </w:tcPr>
          <w:p w14:paraId="5E0947EC">
            <w:pPr>
              <w:pStyle w:val="31"/>
              <w:spacing w:before="77" w:line="360" w:lineRule="auto"/>
              <w:ind w:left="108"/>
              <w:jc w:val="center"/>
              <w:rPr>
                <w:rFonts w:ascii="宋体" w:hAnsi="宋体" w:eastAsia="宋体" w:cs="宋体"/>
                <w:sz w:val="24"/>
                <w:szCs w:val="24"/>
              </w:rPr>
            </w:pPr>
            <w:r>
              <w:rPr>
                <w:rFonts w:ascii="宋体" w:hAnsi="宋体" w:eastAsia="宋体" w:cs="宋体"/>
                <w:sz w:val="24"/>
                <w:szCs w:val="24"/>
              </w:rPr>
              <w:t>报价唯一</w:t>
            </w:r>
          </w:p>
        </w:tc>
        <w:tc>
          <w:tcPr>
            <w:tcW w:w="5546" w:type="dxa"/>
            <w:noWrap w:val="0"/>
            <w:vAlign w:val="top"/>
          </w:tcPr>
          <w:p w14:paraId="5A5C9416">
            <w:pPr>
              <w:pStyle w:val="31"/>
              <w:spacing w:before="77" w:line="360" w:lineRule="auto"/>
              <w:ind w:left="108"/>
              <w:rPr>
                <w:rFonts w:ascii="宋体" w:hAnsi="宋体" w:eastAsia="宋体" w:cs="宋体"/>
                <w:sz w:val="24"/>
                <w:szCs w:val="24"/>
              </w:rPr>
            </w:pPr>
            <w:r>
              <w:rPr>
                <w:rFonts w:ascii="宋体" w:hAnsi="宋体" w:eastAsia="宋体" w:cs="宋体"/>
                <w:sz w:val="24"/>
                <w:szCs w:val="24"/>
              </w:rPr>
              <w:t>只能有一个有效报价</w:t>
            </w:r>
          </w:p>
        </w:tc>
      </w:tr>
      <w:tr w14:paraId="10A31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749" w:type="dxa"/>
            <w:vMerge w:val="restart"/>
            <w:tcBorders>
              <w:top w:val="single" w:color="auto" w:sz="4" w:space="0"/>
            </w:tcBorders>
            <w:noWrap w:val="0"/>
            <w:vAlign w:val="center"/>
          </w:tcPr>
          <w:p w14:paraId="1E3CE1D5">
            <w:pPr>
              <w:pStyle w:val="31"/>
              <w:spacing w:line="360" w:lineRule="auto"/>
              <w:jc w:val="center"/>
              <w:rPr>
                <w:rFonts w:hint="default"/>
                <w:sz w:val="24"/>
                <w:szCs w:val="24"/>
                <w:lang w:val="en-US" w:eastAsia="zh-CN"/>
              </w:rPr>
            </w:pPr>
            <w:r>
              <w:rPr>
                <w:rFonts w:hint="eastAsia"/>
                <w:sz w:val="24"/>
                <w:szCs w:val="24"/>
                <w:lang w:val="en-US" w:eastAsia="zh-CN"/>
              </w:rPr>
              <w:t>2.1.3</w:t>
            </w:r>
          </w:p>
        </w:tc>
        <w:tc>
          <w:tcPr>
            <w:tcW w:w="575" w:type="dxa"/>
            <w:vMerge w:val="restart"/>
            <w:tcBorders>
              <w:top w:val="single" w:color="auto" w:sz="4" w:space="0"/>
            </w:tcBorders>
            <w:noWrap w:val="0"/>
            <w:vAlign w:val="center"/>
          </w:tcPr>
          <w:p w14:paraId="1CB1DA12">
            <w:pPr>
              <w:pStyle w:val="31"/>
              <w:spacing w:line="360" w:lineRule="auto"/>
              <w:jc w:val="center"/>
              <w:rPr>
                <w:rFonts w:hint="default"/>
                <w:sz w:val="24"/>
                <w:szCs w:val="24"/>
                <w:lang w:val="en-US" w:eastAsia="zh-CN"/>
              </w:rPr>
            </w:pPr>
            <w:r>
              <w:rPr>
                <w:rFonts w:hint="eastAsia"/>
                <w:sz w:val="24"/>
                <w:szCs w:val="24"/>
                <w:lang w:val="en-US" w:eastAsia="zh-CN"/>
              </w:rPr>
              <w:t>实质性响应评审标准</w:t>
            </w:r>
          </w:p>
        </w:tc>
        <w:tc>
          <w:tcPr>
            <w:tcW w:w="1548" w:type="dxa"/>
            <w:noWrap w:val="0"/>
            <w:vAlign w:val="center"/>
          </w:tcPr>
          <w:p w14:paraId="2290307E">
            <w:pPr>
              <w:pStyle w:val="31"/>
              <w:spacing w:before="77" w:line="360" w:lineRule="auto"/>
              <w:ind w:left="108"/>
              <w:jc w:val="center"/>
              <w:rPr>
                <w:rFonts w:hint="default" w:ascii="宋体" w:hAnsi="宋体" w:eastAsia="宋体" w:cs="宋体"/>
                <w:sz w:val="24"/>
                <w:szCs w:val="24"/>
                <w:lang w:val="en-US" w:eastAsia="zh-CN"/>
              </w:rPr>
            </w:pPr>
            <w:r>
              <w:rPr>
                <w:rFonts w:hint="eastAsia" w:cs="宋体"/>
                <w:sz w:val="24"/>
                <w:szCs w:val="24"/>
                <w:lang w:val="en-US" w:eastAsia="zh-CN"/>
              </w:rPr>
              <w:t>实施周期</w:t>
            </w:r>
          </w:p>
        </w:tc>
        <w:tc>
          <w:tcPr>
            <w:tcW w:w="5546" w:type="dxa"/>
            <w:noWrap w:val="0"/>
            <w:vAlign w:val="center"/>
          </w:tcPr>
          <w:p w14:paraId="15D37E67">
            <w:pPr>
              <w:pStyle w:val="31"/>
              <w:spacing w:before="77" w:line="360" w:lineRule="auto"/>
              <w:ind w:left="108"/>
              <w:jc w:val="both"/>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合同签订后15日历天内交付</w:t>
            </w:r>
          </w:p>
        </w:tc>
      </w:tr>
      <w:tr w14:paraId="3661D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0" w:hRule="atLeast"/>
        </w:trPr>
        <w:tc>
          <w:tcPr>
            <w:tcW w:w="749" w:type="dxa"/>
            <w:vMerge w:val="continue"/>
            <w:noWrap w:val="0"/>
            <w:vAlign w:val="center"/>
          </w:tcPr>
          <w:p w14:paraId="5CE9B3A1">
            <w:pPr>
              <w:pStyle w:val="31"/>
              <w:spacing w:line="360" w:lineRule="auto"/>
              <w:jc w:val="center"/>
              <w:rPr>
                <w:rFonts w:hint="eastAsia"/>
                <w:sz w:val="24"/>
                <w:szCs w:val="24"/>
                <w:lang w:val="en-US" w:eastAsia="zh-CN"/>
              </w:rPr>
            </w:pPr>
          </w:p>
        </w:tc>
        <w:tc>
          <w:tcPr>
            <w:tcW w:w="575" w:type="dxa"/>
            <w:vMerge w:val="continue"/>
            <w:noWrap w:val="0"/>
            <w:vAlign w:val="center"/>
          </w:tcPr>
          <w:p w14:paraId="20F2D2DC">
            <w:pPr>
              <w:pStyle w:val="31"/>
              <w:spacing w:line="360" w:lineRule="auto"/>
              <w:jc w:val="center"/>
              <w:rPr>
                <w:rFonts w:hint="eastAsia"/>
                <w:sz w:val="24"/>
                <w:szCs w:val="24"/>
                <w:lang w:val="en-US" w:eastAsia="zh-CN"/>
              </w:rPr>
            </w:pPr>
          </w:p>
        </w:tc>
        <w:tc>
          <w:tcPr>
            <w:tcW w:w="1548" w:type="dxa"/>
            <w:noWrap w:val="0"/>
            <w:vAlign w:val="center"/>
          </w:tcPr>
          <w:p w14:paraId="04184A8F">
            <w:pPr>
              <w:pStyle w:val="31"/>
              <w:spacing w:before="77" w:line="360" w:lineRule="auto"/>
              <w:ind w:left="108"/>
              <w:jc w:val="center"/>
              <w:rPr>
                <w:rFonts w:hint="default" w:cs="宋体"/>
                <w:sz w:val="24"/>
                <w:szCs w:val="24"/>
                <w:lang w:val="en-US" w:eastAsia="zh-CN"/>
              </w:rPr>
            </w:pPr>
            <w:r>
              <w:rPr>
                <w:rFonts w:hint="eastAsia" w:cs="宋体"/>
                <w:sz w:val="24"/>
                <w:szCs w:val="24"/>
                <w:lang w:val="en-US" w:eastAsia="zh-CN"/>
              </w:rPr>
              <w:t>服务周期</w:t>
            </w:r>
          </w:p>
        </w:tc>
        <w:tc>
          <w:tcPr>
            <w:tcW w:w="5546" w:type="dxa"/>
            <w:noWrap w:val="0"/>
            <w:vAlign w:val="center"/>
          </w:tcPr>
          <w:p w14:paraId="70FC9DD9">
            <w:pPr>
              <w:pStyle w:val="31"/>
              <w:spacing w:before="77" w:line="360" w:lineRule="auto"/>
              <w:ind w:left="108"/>
              <w:jc w:val="both"/>
              <w:rPr>
                <w:rFonts w:hint="eastAsia" w:cs="宋体"/>
                <w:sz w:val="24"/>
                <w:szCs w:val="24"/>
                <w:lang w:val="en-US" w:eastAsia="zh-CN"/>
              </w:rPr>
            </w:pPr>
            <w:r>
              <w:rPr>
                <w:rFonts w:hint="eastAsia" w:cs="宋体"/>
                <w:sz w:val="24"/>
                <w:szCs w:val="24"/>
                <w:lang w:val="en-US" w:eastAsia="zh-CN"/>
              </w:rPr>
              <w:t>5年</w:t>
            </w:r>
          </w:p>
        </w:tc>
      </w:tr>
      <w:tr w14:paraId="59516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trPr>
        <w:tc>
          <w:tcPr>
            <w:tcW w:w="749" w:type="dxa"/>
            <w:vMerge w:val="continue"/>
            <w:tcBorders>
              <w:top w:val="nil"/>
            </w:tcBorders>
            <w:noWrap w:val="0"/>
            <w:vAlign w:val="top"/>
          </w:tcPr>
          <w:p w14:paraId="75BC402A">
            <w:pPr>
              <w:spacing w:line="360" w:lineRule="auto"/>
              <w:rPr>
                <w:rFonts w:ascii="宋体" w:hAnsi="宋体"/>
                <w:sz w:val="24"/>
              </w:rPr>
            </w:pPr>
          </w:p>
        </w:tc>
        <w:tc>
          <w:tcPr>
            <w:tcW w:w="575" w:type="dxa"/>
            <w:vMerge w:val="continue"/>
            <w:tcBorders>
              <w:top w:val="nil"/>
            </w:tcBorders>
            <w:noWrap w:val="0"/>
            <w:vAlign w:val="top"/>
          </w:tcPr>
          <w:p w14:paraId="7DEC0D86">
            <w:pPr>
              <w:spacing w:line="360" w:lineRule="auto"/>
              <w:rPr>
                <w:rFonts w:ascii="宋体" w:hAnsi="宋体"/>
                <w:sz w:val="24"/>
              </w:rPr>
            </w:pPr>
          </w:p>
        </w:tc>
        <w:tc>
          <w:tcPr>
            <w:tcW w:w="1548" w:type="dxa"/>
            <w:noWrap w:val="0"/>
            <w:vAlign w:val="center"/>
          </w:tcPr>
          <w:p w14:paraId="2F20A0E3">
            <w:pPr>
              <w:pStyle w:val="31"/>
              <w:spacing w:before="77" w:line="360" w:lineRule="auto"/>
              <w:ind w:left="108"/>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质量要求</w:t>
            </w:r>
          </w:p>
        </w:tc>
        <w:tc>
          <w:tcPr>
            <w:tcW w:w="5546" w:type="dxa"/>
            <w:noWrap w:val="0"/>
            <w:vAlign w:val="center"/>
          </w:tcPr>
          <w:p w14:paraId="1A3E2267">
            <w:pPr>
              <w:pStyle w:val="31"/>
              <w:spacing w:before="77" w:line="360" w:lineRule="auto"/>
              <w:ind w:left="108"/>
              <w:jc w:val="both"/>
              <w:rPr>
                <w:rFonts w:hint="eastAsia" w:ascii="宋体" w:hAnsi="宋体" w:eastAsia="宋体" w:cs="宋体"/>
                <w:sz w:val="24"/>
                <w:szCs w:val="24"/>
                <w:lang w:val="en-US" w:eastAsia="zh-CN"/>
              </w:rPr>
            </w:pPr>
            <w:r>
              <w:rPr>
                <w:rFonts w:hint="eastAsia" w:cs="宋体"/>
                <w:sz w:val="24"/>
                <w:szCs w:val="24"/>
                <w:lang w:val="en-US" w:eastAsia="zh-CN"/>
              </w:rPr>
              <w:t>符合国家相关技术规范、规程和有关技术规定</w:t>
            </w:r>
          </w:p>
        </w:tc>
      </w:tr>
      <w:tr w14:paraId="198977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2" w:hRule="atLeast"/>
        </w:trPr>
        <w:tc>
          <w:tcPr>
            <w:tcW w:w="749" w:type="dxa"/>
            <w:vMerge w:val="continue"/>
            <w:tcBorders>
              <w:top w:val="nil"/>
            </w:tcBorders>
            <w:noWrap w:val="0"/>
            <w:vAlign w:val="top"/>
          </w:tcPr>
          <w:p w14:paraId="390D96B8">
            <w:pPr>
              <w:spacing w:line="360" w:lineRule="auto"/>
              <w:rPr>
                <w:rFonts w:ascii="宋体" w:hAnsi="宋体"/>
                <w:sz w:val="24"/>
              </w:rPr>
            </w:pPr>
          </w:p>
        </w:tc>
        <w:tc>
          <w:tcPr>
            <w:tcW w:w="575" w:type="dxa"/>
            <w:vMerge w:val="continue"/>
            <w:tcBorders>
              <w:top w:val="nil"/>
            </w:tcBorders>
            <w:noWrap w:val="0"/>
            <w:vAlign w:val="top"/>
          </w:tcPr>
          <w:p w14:paraId="26998BA0">
            <w:pPr>
              <w:spacing w:line="360" w:lineRule="auto"/>
              <w:rPr>
                <w:rFonts w:ascii="宋体" w:hAnsi="宋体"/>
                <w:sz w:val="24"/>
              </w:rPr>
            </w:pPr>
          </w:p>
        </w:tc>
        <w:tc>
          <w:tcPr>
            <w:tcW w:w="1548" w:type="dxa"/>
            <w:noWrap w:val="0"/>
            <w:vAlign w:val="top"/>
          </w:tcPr>
          <w:p w14:paraId="71AC6355">
            <w:pPr>
              <w:pStyle w:val="31"/>
              <w:spacing w:before="77" w:line="360" w:lineRule="auto"/>
              <w:ind w:left="108"/>
              <w:jc w:val="center"/>
              <w:rPr>
                <w:rFonts w:ascii="宋体" w:hAnsi="宋体" w:eastAsia="宋体" w:cs="宋体"/>
                <w:sz w:val="24"/>
                <w:szCs w:val="24"/>
              </w:rPr>
            </w:pPr>
            <w:r>
              <w:rPr>
                <w:rFonts w:hint="eastAsia" w:ascii="宋体" w:hAnsi="宋体" w:eastAsia="宋体" w:cs="宋体"/>
                <w:sz w:val="24"/>
                <w:szCs w:val="24"/>
              </w:rPr>
              <w:t>磋商</w:t>
            </w:r>
            <w:r>
              <w:rPr>
                <w:rFonts w:ascii="宋体" w:hAnsi="宋体" w:eastAsia="宋体" w:cs="宋体"/>
                <w:sz w:val="24"/>
                <w:szCs w:val="24"/>
              </w:rPr>
              <w:t>有效期</w:t>
            </w:r>
          </w:p>
        </w:tc>
        <w:tc>
          <w:tcPr>
            <w:tcW w:w="5546" w:type="dxa"/>
            <w:noWrap w:val="0"/>
            <w:vAlign w:val="top"/>
          </w:tcPr>
          <w:p w14:paraId="70131778">
            <w:pPr>
              <w:pStyle w:val="31"/>
              <w:spacing w:before="77" w:line="360" w:lineRule="auto"/>
              <w:ind w:left="108"/>
              <w:rPr>
                <w:rFonts w:ascii="宋体" w:hAnsi="宋体" w:eastAsia="宋体" w:cs="宋体"/>
                <w:sz w:val="24"/>
                <w:szCs w:val="24"/>
              </w:rPr>
            </w:pPr>
            <w:r>
              <w:rPr>
                <w:rFonts w:hint="eastAsia" w:ascii="宋体" w:hAnsi="宋体" w:eastAsia="宋体" w:cs="宋体"/>
                <w:sz w:val="24"/>
                <w:szCs w:val="24"/>
                <w:lang w:val="en-US" w:eastAsia="zh-CN"/>
              </w:rPr>
              <w:t>磋商截止时间起60日历天</w:t>
            </w:r>
          </w:p>
        </w:tc>
      </w:tr>
      <w:tr w14:paraId="1D271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9" w:hRule="atLeast"/>
        </w:trPr>
        <w:tc>
          <w:tcPr>
            <w:tcW w:w="749" w:type="dxa"/>
            <w:vMerge w:val="continue"/>
            <w:tcBorders>
              <w:top w:val="nil"/>
            </w:tcBorders>
            <w:noWrap w:val="0"/>
            <w:vAlign w:val="top"/>
          </w:tcPr>
          <w:p w14:paraId="3D4A3B09">
            <w:pPr>
              <w:spacing w:line="360" w:lineRule="auto"/>
              <w:rPr>
                <w:rFonts w:ascii="宋体" w:hAnsi="宋体"/>
                <w:sz w:val="24"/>
              </w:rPr>
            </w:pPr>
          </w:p>
        </w:tc>
        <w:tc>
          <w:tcPr>
            <w:tcW w:w="575" w:type="dxa"/>
            <w:vMerge w:val="continue"/>
            <w:tcBorders>
              <w:top w:val="nil"/>
            </w:tcBorders>
            <w:noWrap w:val="0"/>
            <w:vAlign w:val="top"/>
          </w:tcPr>
          <w:p w14:paraId="722B4EBF">
            <w:pPr>
              <w:spacing w:line="360" w:lineRule="auto"/>
              <w:rPr>
                <w:rFonts w:ascii="宋体" w:hAnsi="宋体"/>
                <w:sz w:val="24"/>
              </w:rPr>
            </w:pPr>
          </w:p>
        </w:tc>
        <w:tc>
          <w:tcPr>
            <w:tcW w:w="1548" w:type="dxa"/>
            <w:noWrap w:val="0"/>
            <w:vAlign w:val="center"/>
          </w:tcPr>
          <w:p w14:paraId="686BF44D">
            <w:pPr>
              <w:pStyle w:val="31"/>
              <w:spacing w:before="77" w:line="360" w:lineRule="auto"/>
              <w:ind w:left="108"/>
              <w:jc w:val="center"/>
              <w:rPr>
                <w:rFonts w:ascii="宋体" w:hAnsi="宋体" w:eastAsia="宋体" w:cs="宋体"/>
                <w:sz w:val="24"/>
                <w:szCs w:val="24"/>
              </w:rPr>
            </w:pPr>
            <w:r>
              <w:rPr>
                <w:rFonts w:ascii="宋体" w:hAnsi="宋体" w:eastAsia="宋体" w:cs="宋体"/>
                <w:sz w:val="24"/>
                <w:szCs w:val="24"/>
              </w:rPr>
              <w:t>磋商报价</w:t>
            </w:r>
          </w:p>
        </w:tc>
        <w:tc>
          <w:tcPr>
            <w:tcW w:w="5546" w:type="dxa"/>
            <w:noWrap w:val="0"/>
            <w:vAlign w:val="center"/>
          </w:tcPr>
          <w:p w14:paraId="012F6925">
            <w:pPr>
              <w:pStyle w:val="31"/>
              <w:spacing w:before="77" w:line="360" w:lineRule="auto"/>
              <w:ind w:left="108"/>
              <w:rPr>
                <w:rFonts w:ascii="宋体" w:hAnsi="宋体" w:eastAsia="宋体" w:cs="宋体"/>
                <w:sz w:val="24"/>
                <w:szCs w:val="24"/>
              </w:rPr>
            </w:pPr>
            <w:r>
              <w:rPr>
                <w:rFonts w:hint="eastAsia" w:ascii="宋体" w:hAnsi="宋体" w:eastAsia="宋体" w:cs="宋体"/>
                <w:sz w:val="24"/>
                <w:szCs w:val="24"/>
              </w:rPr>
              <w:t>供应商</w:t>
            </w:r>
            <w:r>
              <w:rPr>
                <w:rFonts w:ascii="宋体" w:hAnsi="宋体" w:eastAsia="宋体" w:cs="宋体"/>
                <w:sz w:val="24"/>
                <w:szCs w:val="24"/>
              </w:rPr>
              <w:t>磋商总报价不得高于采购人公布的数额，否则按照无效标处理。</w:t>
            </w:r>
          </w:p>
        </w:tc>
      </w:tr>
    </w:tbl>
    <w:p w14:paraId="34F8C3D7">
      <w:pPr>
        <w:ind w:firstLine="482" w:firstLineChars="200"/>
        <w:rPr>
          <w:b/>
          <w:sz w:val="24"/>
        </w:rPr>
      </w:pPr>
      <w:r>
        <w:rPr>
          <w:b/>
          <w:sz w:val="24"/>
        </w:rPr>
        <w:t>附表 2 详细评审标准</w:t>
      </w:r>
    </w:p>
    <w:p w14:paraId="0F9BE4BB">
      <w:pPr>
        <w:spacing w:line="360" w:lineRule="auto"/>
        <w:ind w:firstLine="480" w:firstLineChars="200"/>
        <w:rPr>
          <w:rFonts w:ascii="宋体" w:hAnsi="宋体" w:eastAsia="宋体" w:cs="宋体"/>
          <w:kern w:val="0"/>
          <w:sz w:val="24"/>
          <w:szCs w:val="24"/>
          <w:lang w:val="zh-CN" w:eastAsia="zh-CN" w:bidi="zh-CN"/>
        </w:rPr>
      </w:pPr>
      <w:r>
        <w:rPr>
          <w:rFonts w:hint="eastAsia" w:ascii="宋体" w:hAnsi="宋体" w:eastAsia="宋体" w:cs="宋体"/>
          <w:kern w:val="0"/>
          <w:sz w:val="24"/>
          <w:szCs w:val="24"/>
          <w:lang w:val="zh-CN" w:eastAsia="zh-CN" w:bidi="zh-CN"/>
        </w:rPr>
        <w:t>1、</w:t>
      </w:r>
      <w:r>
        <w:rPr>
          <w:rFonts w:ascii="宋体" w:hAnsi="宋体" w:eastAsia="宋体" w:cs="宋体"/>
          <w:kern w:val="0"/>
          <w:sz w:val="24"/>
          <w:szCs w:val="24"/>
          <w:lang w:val="zh-CN" w:eastAsia="zh-CN" w:bidi="zh-CN"/>
        </w:rPr>
        <w:t>磋商小组所有成员集中与通过初步评审的单一</w:t>
      </w:r>
      <w:r>
        <w:rPr>
          <w:rFonts w:hint="eastAsia" w:ascii="宋体" w:hAnsi="宋体" w:eastAsia="宋体" w:cs="宋体"/>
          <w:kern w:val="0"/>
          <w:sz w:val="24"/>
          <w:szCs w:val="24"/>
          <w:lang w:val="zh-CN" w:eastAsia="zh-CN" w:bidi="zh-CN"/>
        </w:rPr>
        <w:t>供应商</w:t>
      </w:r>
      <w:r>
        <w:rPr>
          <w:rFonts w:ascii="宋体" w:hAnsi="宋体" w:eastAsia="宋体" w:cs="宋体"/>
          <w:kern w:val="0"/>
          <w:sz w:val="24"/>
          <w:szCs w:val="24"/>
          <w:lang w:val="zh-CN" w:eastAsia="zh-CN" w:bidi="zh-CN"/>
        </w:rPr>
        <w:t>进行磋商。</w:t>
      </w:r>
    </w:p>
    <w:p w14:paraId="08904CB8">
      <w:pPr>
        <w:spacing w:line="360" w:lineRule="auto"/>
        <w:ind w:firstLine="480" w:firstLineChars="200"/>
        <w:rPr>
          <w:rFonts w:ascii="宋体" w:hAnsi="宋体" w:eastAsia="宋体" w:cs="宋体"/>
          <w:kern w:val="0"/>
          <w:sz w:val="24"/>
          <w:szCs w:val="24"/>
          <w:lang w:val="zh-CN" w:eastAsia="zh-CN" w:bidi="zh-CN"/>
        </w:rPr>
      </w:pPr>
      <w:r>
        <w:rPr>
          <w:rFonts w:hint="eastAsia" w:ascii="宋体" w:hAnsi="宋体" w:eastAsia="宋体" w:cs="宋体"/>
          <w:kern w:val="0"/>
          <w:sz w:val="24"/>
          <w:szCs w:val="24"/>
          <w:lang w:val="zh-CN" w:eastAsia="zh-CN" w:bidi="zh-CN"/>
        </w:rPr>
        <w:t>（1）</w:t>
      </w:r>
      <w:r>
        <w:rPr>
          <w:rFonts w:ascii="宋体" w:hAnsi="宋体" w:eastAsia="宋体" w:cs="宋体"/>
          <w:kern w:val="0"/>
          <w:sz w:val="24"/>
          <w:szCs w:val="24"/>
          <w:lang w:val="zh-CN" w:eastAsia="zh-CN" w:bidi="zh-CN"/>
        </w:rPr>
        <w:t>在磋商过程中，磋商小组可以根据磋商文件和磋商情况实质性变动采购需求中的技术、服务要求以及合同草案条款，但不得变动磋商文件中的其他内容。实质性变动的内容，须经采购人代表确认。</w:t>
      </w:r>
    </w:p>
    <w:p w14:paraId="6AF45B44">
      <w:pPr>
        <w:spacing w:line="360" w:lineRule="auto"/>
        <w:ind w:firstLine="480" w:firstLineChars="200"/>
        <w:rPr>
          <w:rFonts w:ascii="宋体" w:hAnsi="宋体" w:eastAsia="宋体" w:cs="宋体"/>
          <w:kern w:val="0"/>
          <w:sz w:val="24"/>
          <w:szCs w:val="24"/>
          <w:lang w:val="zh-CN" w:eastAsia="zh-CN" w:bidi="zh-CN"/>
        </w:rPr>
      </w:pPr>
      <w:r>
        <w:rPr>
          <w:rFonts w:hint="eastAsia" w:ascii="宋体" w:hAnsi="宋体" w:eastAsia="宋体" w:cs="宋体"/>
          <w:kern w:val="0"/>
          <w:sz w:val="24"/>
          <w:szCs w:val="24"/>
          <w:lang w:val="zh-CN" w:eastAsia="zh-CN" w:bidi="zh-CN"/>
        </w:rPr>
        <w:t>（2）</w:t>
      </w:r>
      <w:r>
        <w:rPr>
          <w:rFonts w:ascii="宋体" w:hAnsi="宋体" w:eastAsia="宋体" w:cs="宋体"/>
          <w:kern w:val="0"/>
          <w:sz w:val="24"/>
          <w:szCs w:val="24"/>
          <w:lang w:val="zh-CN" w:eastAsia="zh-CN" w:bidi="zh-CN"/>
        </w:rPr>
        <w:t>对磋商文件作出的实质性变动是磋商文件的有效组成部分，磋商小组应当及时以</w:t>
      </w:r>
      <w:r>
        <w:rPr>
          <w:rFonts w:hint="eastAsia" w:ascii="宋体" w:hAnsi="宋体" w:eastAsia="宋体" w:cs="宋体"/>
          <w:kern w:val="0"/>
          <w:sz w:val="24"/>
          <w:szCs w:val="24"/>
          <w:lang w:val="zh-CN" w:eastAsia="zh-CN" w:bidi="zh-CN"/>
        </w:rPr>
        <w:t>网上答疑</w:t>
      </w:r>
      <w:r>
        <w:rPr>
          <w:rFonts w:ascii="宋体" w:hAnsi="宋体" w:eastAsia="宋体" w:cs="宋体"/>
          <w:kern w:val="0"/>
          <w:sz w:val="24"/>
          <w:szCs w:val="24"/>
          <w:lang w:val="zh-CN" w:eastAsia="zh-CN" w:bidi="zh-CN"/>
        </w:rPr>
        <w:t>形式同时通知所有参加磋商的</w:t>
      </w:r>
      <w:r>
        <w:rPr>
          <w:rFonts w:hint="eastAsia" w:ascii="宋体" w:hAnsi="宋体" w:eastAsia="宋体" w:cs="宋体"/>
          <w:kern w:val="0"/>
          <w:sz w:val="24"/>
          <w:szCs w:val="24"/>
          <w:lang w:val="zh-CN" w:eastAsia="zh-CN" w:bidi="zh-CN"/>
        </w:rPr>
        <w:t>供应商</w:t>
      </w:r>
      <w:r>
        <w:rPr>
          <w:rFonts w:ascii="宋体" w:hAnsi="宋体" w:eastAsia="宋体" w:cs="宋体"/>
          <w:kern w:val="0"/>
          <w:sz w:val="24"/>
          <w:szCs w:val="24"/>
          <w:lang w:val="zh-CN" w:eastAsia="zh-CN" w:bidi="zh-CN"/>
        </w:rPr>
        <w:t>。</w:t>
      </w:r>
    </w:p>
    <w:p w14:paraId="283A2756">
      <w:pPr>
        <w:spacing w:line="360" w:lineRule="auto"/>
        <w:ind w:firstLine="480" w:firstLineChars="200"/>
        <w:rPr>
          <w:rFonts w:ascii="宋体" w:hAnsi="宋体" w:eastAsia="宋体" w:cs="宋体"/>
          <w:kern w:val="0"/>
          <w:sz w:val="24"/>
          <w:szCs w:val="24"/>
          <w:lang w:val="zh-CN" w:eastAsia="zh-CN" w:bidi="zh-CN"/>
        </w:rPr>
      </w:pPr>
      <w:r>
        <w:rPr>
          <w:rFonts w:hint="eastAsia" w:ascii="宋体" w:hAnsi="宋体" w:eastAsia="宋体" w:cs="宋体"/>
          <w:kern w:val="0"/>
          <w:sz w:val="24"/>
          <w:szCs w:val="24"/>
          <w:lang w:val="zh-CN" w:eastAsia="zh-CN" w:bidi="zh-CN"/>
        </w:rPr>
        <w:t>2、</w:t>
      </w:r>
      <w:r>
        <w:rPr>
          <w:rFonts w:ascii="宋体" w:hAnsi="宋体" w:eastAsia="宋体" w:cs="宋体"/>
          <w:kern w:val="0"/>
          <w:sz w:val="24"/>
          <w:szCs w:val="24"/>
          <w:lang w:val="zh-CN" w:eastAsia="zh-CN" w:bidi="zh-CN"/>
        </w:rPr>
        <w:t>磋商报价：本项目进行二次报价，二次报价不能高于</w:t>
      </w:r>
      <w:r>
        <w:rPr>
          <w:rFonts w:hint="eastAsia" w:ascii="宋体" w:hAnsi="宋体" w:eastAsia="宋体" w:cs="宋体"/>
          <w:kern w:val="0"/>
          <w:sz w:val="24"/>
          <w:szCs w:val="24"/>
          <w:lang w:val="zh-CN" w:eastAsia="zh-CN" w:bidi="zh-CN"/>
        </w:rPr>
        <w:t>一</w:t>
      </w:r>
      <w:r>
        <w:rPr>
          <w:rFonts w:ascii="宋体" w:hAnsi="宋体" w:eastAsia="宋体" w:cs="宋体"/>
          <w:kern w:val="0"/>
          <w:sz w:val="24"/>
          <w:szCs w:val="24"/>
          <w:lang w:val="zh-CN" w:eastAsia="zh-CN" w:bidi="zh-CN"/>
        </w:rPr>
        <w:t>次报价，高于</w:t>
      </w:r>
      <w:r>
        <w:rPr>
          <w:rFonts w:hint="eastAsia" w:ascii="宋体" w:hAnsi="宋体" w:eastAsia="宋体" w:cs="宋体"/>
          <w:kern w:val="0"/>
          <w:sz w:val="24"/>
          <w:szCs w:val="24"/>
          <w:lang w:val="zh-CN" w:eastAsia="zh-CN" w:bidi="zh-CN"/>
        </w:rPr>
        <w:t>一</w:t>
      </w:r>
      <w:r>
        <w:rPr>
          <w:rFonts w:ascii="宋体" w:hAnsi="宋体" w:eastAsia="宋体" w:cs="宋体"/>
          <w:kern w:val="0"/>
          <w:sz w:val="24"/>
          <w:szCs w:val="24"/>
          <w:lang w:val="zh-CN" w:eastAsia="zh-CN" w:bidi="zh-CN"/>
        </w:rPr>
        <w:t>次报价视为无效标。</w:t>
      </w:r>
    </w:p>
    <w:p w14:paraId="01BCF774">
      <w:pPr>
        <w:spacing w:line="360" w:lineRule="auto"/>
        <w:ind w:firstLine="480" w:firstLineChars="200"/>
        <w:rPr>
          <w:rFonts w:ascii="宋体" w:hAnsi="宋体"/>
          <w:sz w:val="24"/>
        </w:rPr>
      </w:pPr>
      <w:r>
        <w:rPr>
          <w:rFonts w:hint="eastAsia" w:ascii="宋体" w:hAnsi="宋体"/>
          <w:sz w:val="24"/>
        </w:rPr>
        <w:t>3、</w:t>
      </w:r>
      <w:r>
        <w:rPr>
          <w:rFonts w:ascii="宋体" w:hAnsi="宋体"/>
          <w:sz w:val="24"/>
        </w:rPr>
        <w:t>磋商报价结束后，参加磋商的</w:t>
      </w:r>
      <w:r>
        <w:rPr>
          <w:rFonts w:hint="eastAsia" w:ascii="宋体" w:hAnsi="宋体"/>
          <w:sz w:val="24"/>
        </w:rPr>
        <w:t>供应商</w:t>
      </w:r>
      <w:r>
        <w:rPr>
          <w:rFonts w:ascii="宋体" w:hAnsi="宋体"/>
          <w:sz w:val="24"/>
        </w:rPr>
        <w:t>应当对磋商的承诺在三门峡市公共资源交易中心系统中予以确认。</w:t>
      </w:r>
    </w:p>
    <w:p w14:paraId="5C9CEF90">
      <w:pPr>
        <w:ind w:firstLine="480" w:firstLineChars="200"/>
        <w:rPr>
          <w:rFonts w:hint="eastAsia" w:ascii="宋体" w:hAnsi="宋体"/>
          <w:sz w:val="24"/>
        </w:rPr>
      </w:pPr>
      <w:r>
        <w:rPr>
          <w:rFonts w:hint="eastAsia" w:ascii="宋体" w:hAnsi="宋体"/>
          <w:sz w:val="24"/>
        </w:rPr>
        <w:t>4、</w:t>
      </w:r>
      <w:r>
        <w:rPr>
          <w:rFonts w:ascii="宋体" w:hAnsi="宋体"/>
          <w:sz w:val="24"/>
        </w:rPr>
        <w:t>磋商小组按照评审标准对提交最后报价的</w:t>
      </w:r>
      <w:r>
        <w:rPr>
          <w:rFonts w:hint="eastAsia" w:ascii="宋体" w:hAnsi="宋体"/>
          <w:sz w:val="24"/>
        </w:rPr>
        <w:t>供应商</w:t>
      </w:r>
      <w:r>
        <w:rPr>
          <w:rFonts w:ascii="宋体" w:hAnsi="宋体"/>
          <w:sz w:val="24"/>
        </w:rPr>
        <w:t>的响应文件进行综合评分。</w:t>
      </w:r>
    </w:p>
    <w:p w14:paraId="182606B1">
      <w:pPr>
        <w:ind w:firstLine="562" w:firstLineChars="200"/>
        <w:rPr>
          <w:rFonts w:hint="eastAsia" w:ascii="宋体" w:hAnsi="宋体"/>
          <w:b/>
          <w:sz w:val="28"/>
          <w:szCs w:val="28"/>
        </w:rPr>
      </w:pPr>
      <w:r>
        <w:rPr>
          <w:rFonts w:hint="eastAsia" w:ascii="宋体" w:hAnsi="宋体"/>
          <w:b/>
          <w:sz w:val="28"/>
          <w:szCs w:val="28"/>
        </w:rPr>
        <w:t>评审标准</w:t>
      </w:r>
    </w:p>
    <w:p w14:paraId="4926CBC7">
      <w:pPr>
        <w:pStyle w:val="27"/>
        <w:ind w:firstLine="480" w:firstLineChars="200"/>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评标方法采用“综合评分法”即是指在最大限度地满足磋商文件实质性要求前提下，按照磋商文件中规定的各项因素进行综合评审后，以评标总得分最高的供应商作为推荐供应商候选人的评标方法。</w:t>
      </w:r>
    </w:p>
    <w:tbl>
      <w:tblPr>
        <w:tblStyle w:val="11"/>
        <w:tblpPr w:leftFromText="180" w:rightFromText="180" w:vertAnchor="text" w:horzAnchor="page" w:tblpX="1249" w:tblpY="885"/>
        <w:tblOverlap w:val="never"/>
        <w:tblW w:w="542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024"/>
        <w:gridCol w:w="1455"/>
        <w:gridCol w:w="5453"/>
        <w:gridCol w:w="800"/>
      </w:tblGrid>
      <w:tr w14:paraId="579F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949" w:type="pct"/>
            <w:gridSpan w:val="2"/>
            <w:noWrap/>
            <w:vAlign w:val="center"/>
          </w:tcPr>
          <w:p w14:paraId="621A07BE">
            <w:pPr>
              <w:pStyle w:val="27"/>
              <w:keepNext w:val="0"/>
              <w:keepLines w:val="0"/>
              <w:pageBreakBefore w:val="0"/>
              <w:kinsoku/>
              <w:wordWrap/>
              <w:overflowPunct/>
              <w:topLinePunct w:val="0"/>
              <w:autoSpaceDE/>
              <w:autoSpaceDN/>
              <w:bidi w:val="0"/>
              <w:spacing w:line="240" w:lineRule="auto"/>
              <w:ind w:firstLine="480" w:firstLineChars="200"/>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 xml:space="preserve"> 条款号</w:t>
            </w:r>
          </w:p>
        </w:tc>
        <w:tc>
          <w:tcPr>
            <w:tcW w:w="764" w:type="pct"/>
            <w:noWrap/>
            <w:vAlign w:val="center"/>
          </w:tcPr>
          <w:p w14:paraId="63305F65">
            <w:pPr>
              <w:pStyle w:val="27"/>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条款内容</w:t>
            </w:r>
          </w:p>
        </w:tc>
        <w:tc>
          <w:tcPr>
            <w:tcW w:w="3285" w:type="pct"/>
            <w:gridSpan w:val="2"/>
            <w:noWrap/>
            <w:vAlign w:val="center"/>
          </w:tcPr>
          <w:p w14:paraId="7B37FB9F">
            <w:pPr>
              <w:pStyle w:val="27"/>
              <w:keepNext w:val="0"/>
              <w:keepLines w:val="0"/>
              <w:pageBreakBefore w:val="0"/>
              <w:kinsoku/>
              <w:wordWrap/>
              <w:overflowPunct/>
              <w:topLinePunct w:val="0"/>
              <w:autoSpaceDE/>
              <w:autoSpaceDN/>
              <w:bidi w:val="0"/>
              <w:spacing w:line="240" w:lineRule="auto"/>
              <w:ind w:firstLine="480" w:firstLineChars="200"/>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编列内容</w:t>
            </w:r>
          </w:p>
        </w:tc>
      </w:tr>
      <w:tr w14:paraId="1646C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6" w:hRule="atLeast"/>
        </w:trPr>
        <w:tc>
          <w:tcPr>
            <w:tcW w:w="949" w:type="pct"/>
            <w:gridSpan w:val="2"/>
            <w:noWrap/>
            <w:vAlign w:val="center"/>
          </w:tcPr>
          <w:p w14:paraId="0F58694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w:t>
            </w:r>
          </w:p>
        </w:tc>
        <w:tc>
          <w:tcPr>
            <w:tcW w:w="764" w:type="pct"/>
            <w:noWrap/>
            <w:vAlign w:val="center"/>
          </w:tcPr>
          <w:p w14:paraId="456FC3B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分值构成(总分100分)</w:t>
            </w:r>
          </w:p>
        </w:tc>
        <w:tc>
          <w:tcPr>
            <w:tcW w:w="3285" w:type="pct"/>
            <w:gridSpan w:val="2"/>
            <w:noWrap/>
            <w:vAlign w:val="center"/>
          </w:tcPr>
          <w:p w14:paraId="5538401D">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投标报价</w:t>
            </w:r>
            <w:r>
              <w:rPr>
                <w:rFonts w:hint="eastAsia" w:ascii="宋体" w:hAnsi="宋体" w:eastAsia="宋体" w:cs="宋体"/>
                <w:kern w:val="0"/>
                <w:sz w:val="24"/>
                <w:szCs w:val="24"/>
                <w:lang w:val="en-US" w:eastAsia="zh-CN" w:bidi="zh-CN"/>
              </w:rPr>
              <w:t>：</w:t>
            </w:r>
            <w:r>
              <w:rPr>
                <w:rFonts w:hint="eastAsia" w:ascii="宋体" w:hAnsi="宋体" w:cs="宋体"/>
                <w:kern w:val="0"/>
                <w:sz w:val="24"/>
                <w:szCs w:val="24"/>
                <w:lang w:val="en-US" w:eastAsia="zh-CN" w:bidi="zh-CN"/>
              </w:rPr>
              <w:t>3</w:t>
            </w:r>
            <w:r>
              <w:rPr>
                <w:rFonts w:hint="eastAsia" w:ascii="宋体" w:hAnsi="宋体" w:eastAsia="宋体" w:cs="宋体"/>
                <w:kern w:val="0"/>
                <w:sz w:val="24"/>
                <w:szCs w:val="24"/>
                <w:lang w:val="en-US" w:eastAsia="zh-CN" w:bidi="zh-CN"/>
              </w:rPr>
              <w:t>0分</w:t>
            </w:r>
          </w:p>
          <w:p w14:paraId="294BEFD6">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技术</w:t>
            </w:r>
            <w:r>
              <w:rPr>
                <w:rFonts w:hint="eastAsia" w:ascii="宋体" w:hAnsi="宋体" w:cs="宋体"/>
                <w:kern w:val="0"/>
                <w:sz w:val="24"/>
                <w:szCs w:val="24"/>
                <w:lang w:val="en-US" w:eastAsia="zh-CN" w:bidi="zh-CN"/>
              </w:rPr>
              <w:t>部分</w:t>
            </w:r>
            <w:r>
              <w:rPr>
                <w:rFonts w:hint="eastAsia" w:ascii="宋体" w:hAnsi="宋体" w:eastAsia="宋体" w:cs="宋体"/>
                <w:kern w:val="0"/>
                <w:sz w:val="24"/>
                <w:szCs w:val="24"/>
                <w:lang w:val="en-US" w:eastAsia="zh-CN" w:bidi="zh-CN"/>
              </w:rPr>
              <w:t>：</w:t>
            </w:r>
            <w:r>
              <w:rPr>
                <w:rFonts w:hint="eastAsia" w:ascii="宋体" w:hAnsi="宋体" w:cs="宋体"/>
                <w:kern w:val="0"/>
                <w:sz w:val="24"/>
                <w:szCs w:val="24"/>
                <w:lang w:val="en-US" w:eastAsia="zh-CN" w:bidi="zh-CN"/>
              </w:rPr>
              <w:t>60</w:t>
            </w:r>
            <w:r>
              <w:rPr>
                <w:rFonts w:hint="eastAsia" w:ascii="宋体" w:hAnsi="宋体" w:eastAsia="宋体" w:cs="宋体"/>
                <w:kern w:val="0"/>
                <w:sz w:val="24"/>
                <w:szCs w:val="24"/>
                <w:lang w:val="en-US" w:eastAsia="zh-CN" w:bidi="zh-CN"/>
              </w:rPr>
              <w:t>分</w:t>
            </w:r>
          </w:p>
          <w:p w14:paraId="73658C9F">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商务部分</w:t>
            </w:r>
            <w:r>
              <w:rPr>
                <w:rFonts w:hint="eastAsia" w:ascii="宋体" w:hAnsi="宋体" w:eastAsia="宋体" w:cs="宋体"/>
                <w:kern w:val="0"/>
                <w:sz w:val="24"/>
                <w:szCs w:val="24"/>
                <w:lang w:val="en-US" w:eastAsia="zh-CN" w:bidi="zh-CN"/>
              </w:rPr>
              <w:t>：</w:t>
            </w:r>
            <w:r>
              <w:rPr>
                <w:rFonts w:hint="eastAsia" w:ascii="宋体" w:hAnsi="宋体" w:cs="宋体"/>
                <w:kern w:val="0"/>
                <w:sz w:val="24"/>
                <w:szCs w:val="24"/>
                <w:lang w:val="en-US" w:eastAsia="zh-CN" w:bidi="zh-CN"/>
              </w:rPr>
              <w:t>10</w:t>
            </w:r>
            <w:r>
              <w:rPr>
                <w:rFonts w:hint="eastAsia" w:ascii="宋体" w:hAnsi="宋体" w:eastAsia="宋体" w:cs="宋体"/>
                <w:kern w:val="0"/>
                <w:sz w:val="24"/>
                <w:szCs w:val="24"/>
                <w:lang w:val="en-US" w:eastAsia="zh-CN" w:bidi="zh-CN"/>
              </w:rPr>
              <w:t>分</w:t>
            </w:r>
          </w:p>
        </w:tc>
      </w:tr>
      <w:tr w14:paraId="3784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411" w:type="pct"/>
            <w:noWrap/>
            <w:vAlign w:val="center"/>
          </w:tcPr>
          <w:p w14:paraId="0018CA5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1.1</w:t>
            </w:r>
          </w:p>
          <w:p w14:paraId="39EAC14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538" w:type="pct"/>
            <w:noWrap/>
            <w:vAlign w:val="center"/>
          </w:tcPr>
          <w:p w14:paraId="4F2128C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投标报价</w:t>
            </w:r>
            <w:r>
              <w:rPr>
                <w:rFonts w:hint="eastAsia" w:ascii="宋体" w:hAnsi="宋体" w:eastAsia="宋体" w:cs="宋体"/>
                <w:kern w:val="0"/>
                <w:sz w:val="24"/>
                <w:szCs w:val="24"/>
                <w:lang w:val="en-US" w:eastAsia="zh-CN" w:bidi="zh-CN"/>
              </w:rPr>
              <w:t>（</w:t>
            </w:r>
            <w:r>
              <w:rPr>
                <w:rFonts w:hint="eastAsia" w:ascii="宋体" w:hAnsi="宋体" w:cs="宋体"/>
                <w:kern w:val="0"/>
                <w:sz w:val="24"/>
                <w:szCs w:val="24"/>
                <w:lang w:val="en-US" w:eastAsia="zh-CN" w:bidi="zh-CN"/>
              </w:rPr>
              <w:t>3</w:t>
            </w:r>
            <w:r>
              <w:rPr>
                <w:rFonts w:hint="eastAsia" w:ascii="宋体" w:hAnsi="宋体" w:eastAsia="宋体" w:cs="宋体"/>
                <w:kern w:val="0"/>
                <w:sz w:val="24"/>
                <w:szCs w:val="24"/>
                <w:lang w:val="en-US" w:eastAsia="zh-CN" w:bidi="zh-CN"/>
              </w:rPr>
              <w:t>0分）</w:t>
            </w:r>
          </w:p>
        </w:tc>
        <w:tc>
          <w:tcPr>
            <w:tcW w:w="764" w:type="pct"/>
            <w:noWrap/>
            <w:vAlign w:val="center"/>
          </w:tcPr>
          <w:p w14:paraId="4F0E417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投标报价    （</w:t>
            </w:r>
            <w:r>
              <w:rPr>
                <w:rFonts w:hint="eastAsia" w:ascii="宋体" w:hAnsi="宋体" w:cs="宋体"/>
                <w:kern w:val="0"/>
                <w:sz w:val="24"/>
                <w:szCs w:val="24"/>
                <w:lang w:val="en-US" w:eastAsia="zh-CN" w:bidi="zh-CN"/>
              </w:rPr>
              <w:t>3</w:t>
            </w:r>
            <w:r>
              <w:rPr>
                <w:rFonts w:hint="eastAsia" w:ascii="宋体" w:hAnsi="宋体" w:eastAsia="宋体" w:cs="宋体"/>
                <w:kern w:val="0"/>
                <w:sz w:val="24"/>
                <w:szCs w:val="24"/>
                <w:lang w:val="en-US" w:eastAsia="zh-CN" w:bidi="zh-CN"/>
              </w:rPr>
              <w:t>0分）</w:t>
            </w:r>
          </w:p>
        </w:tc>
        <w:tc>
          <w:tcPr>
            <w:tcW w:w="3285" w:type="pct"/>
            <w:gridSpan w:val="2"/>
            <w:noWrap/>
            <w:vAlign w:val="center"/>
          </w:tcPr>
          <w:p w14:paraId="65C6ABC3">
            <w:pPr>
              <w:pStyle w:val="2"/>
              <w:keepNext w:val="0"/>
              <w:keepLines w:val="0"/>
              <w:pageBreakBefore w:val="0"/>
              <w:kinsoku/>
              <w:wordWrap/>
              <w:overflowPunct/>
              <w:topLinePunct w:val="0"/>
              <w:autoSpaceDE/>
              <w:autoSpaceDN/>
              <w:bidi w:val="0"/>
              <w:spacing w:after="0" w:line="240" w:lineRule="auto"/>
              <w:ind w:firstLine="0" w:firstLineChars="0"/>
              <w:textAlignment w:val="auto"/>
              <w:rPr>
                <w:rFonts w:hint="eastAsia" w:ascii="宋体" w:hAnsi="宋体" w:eastAsia="宋体" w:cs="宋体"/>
                <w:b w:val="0"/>
                <w:bCs/>
                <w:kern w:val="0"/>
                <w:sz w:val="24"/>
                <w:szCs w:val="24"/>
                <w:lang w:val="en-US" w:eastAsia="zh-CN" w:bidi="zh-CN"/>
              </w:rPr>
            </w:pPr>
            <w:r>
              <w:rPr>
                <w:rFonts w:hint="eastAsia" w:ascii="宋体" w:hAnsi="宋体" w:eastAsia="宋体" w:cs="宋体"/>
                <w:b w:val="0"/>
                <w:bCs/>
                <w:kern w:val="0"/>
                <w:sz w:val="24"/>
                <w:szCs w:val="24"/>
                <w:lang w:val="en-US" w:eastAsia="zh-CN" w:bidi="zh-CN"/>
              </w:rPr>
              <w:t>1、超出采购人最高限价的投标报价为无效报价、按废标处理。</w:t>
            </w:r>
          </w:p>
          <w:p w14:paraId="563CE167">
            <w:pPr>
              <w:pStyle w:val="2"/>
              <w:keepNext w:val="0"/>
              <w:keepLines w:val="0"/>
              <w:pageBreakBefore w:val="0"/>
              <w:kinsoku/>
              <w:wordWrap/>
              <w:overflowPunct/>
              <w:topLinePunct w:val="0"/>
              <w:autoSpaceDE/>
              <w:autoSpaceDN/>
              <w:bidi w:val="0"/>
              <w:spacing w:after="0" w:line="240" w:lineRule="auto"/>
              <w:ind w:firstLine="0" w:firstLineChars="0"/>
              <w:textAlignment w:val="auto"/>
              <w:rPr>
                <w:rFonts w:hint="eastAsia" w:ascii="宋体" w:hAnsi="宋体" w:eastAsia="宋体" w:cs="宋体"/>
                <w:b w:val="0"/>
                <w:bCs/>
                <w:kern w:val="0"/>
                <w:sz w:val="24"/>
                <w:szCs w:val="24"/>
                <w:lang w:val="en-US" w:eastAsia="zh-CN" w:bidi="zh-CN"/>
              </w:rPr>
            </w:pPr>
            <w:r>
              <w:rPr>
                <w:rFonts w:hint="eastAsia" w:ascii="宋体" w:hAnsi="宋体" w:eastAsia="宋体" w:cs="宋体"/>
                <w:b w:val="0"/>
                <w:bCs/>
                <w:kern w:val="0"/>
                <w:sz w:val="24"/>
                <w:szCs w:val="24"/>
                <w:lang w:val="en-US" w:eastAsia="zh-CN" w:bidi="zh-CN"/>
              </w:rPr>
              <w:t>2、所有为未进入详细评审的投标为无效投标，其报价不作为评分依据。</w:t>
            </w:r>
          </w:p>
          <w:p w14:paraId="45866997">
            <w:pPr>
              <w:pStyle w:val="2"/>
              <w:keepNext w:val="0"/>
              <w:keepLines w:val="0"/>
              <w:pageBreakBefore w:val="0"/>
              <w:kinsoku/>
              <w:wordWrap/>
              <w:overflowPunct/>
              <w:topLinePunct w:val="0"/>
              <w:autoSpaceDE/>
              <w:autoSpaceDN/>
              <w:bidi w:val="0"/>
              <w:spacing w:after="0" w:line="240" w:lineRule="auto"/>
              <w:ind w:firstLine="0" w:firstLineChars="0"/>
              <w:textAlignment w:val="auto"/>
              <w:rPr>
                <w:rFonts w:hint="eastAsia" w:ascii="宋体" w:hAnsi="宋体" w:eastAsia="宋体" w:cs="宋体"/>
                <w:b w:val="0"/>
                <w:bCs/>
                <w:kern w:val="0"/>
                <w:sz w:val="24"/>
                <w:szCs w:val="24"/>
                <w:lang w:val="en-US" w:eastAsia="zh-CN" w:bidi="zh-CN"/>
              </w:rPr>
            </w:pPr>
            <w:r>
              <w:rPr>
                <w:rFonts w:hint="eastAsia" w:ascii="宋体" w:hAnsi="宋体" w:eastAsia="宋体" w:cs="宋体"/>
                <w:b w:val="0"/>
                <w:bCs/>
                <w:kern w:val="0"/>
                <w:sz w:val="24"/>
                <w:szCs w:val="24"/>
                <w:lang w:val="en-US" w:eastAsia="zh-CN" w:bidi="zh-CN"/>
              </w:rPr>
              <w:t>3、价格分统一采用低价优先法计算，既满足磋商文件要求且投标价格最低的投标报价为评标基准价，其价格分为满分。其他供应商的价格分统一按照下列公式计算：</w:t>
            </w:r>
          </w:p>
          <w:p w14:paraId="07C29888">
            <w:pPr>
              <w:pStyle w:val="2"/>
              <w:keepNext w:val="0"/>
              <w:keepLines w:val="0"/>
              <w:pageBreakBefore w:val="0"/>
              <w:kinsoku/>
              <w:wordWrap/>
              <w:overflowPunct/>
              <w:topLinePunct w:val="0"/>
              <w:autoSpaceDE/>
              <w:autoSpaceDN/>
              <w:bidi w:val="0"/>
              <w:spacing w:after="0" w:line="240" w:lineRule="auto"/>
              <w:ind w:firstLine="0" w:firstLineChars="0"/>
              <w:textAlignment w:val="auto"/>
              <w:rPr>
                <w:rFonts w:hint="eastAsia" w:ascii="宋体" w:hAnsi="宋体" w:eastAsia="宋体" w:cs="宋体"/>
                <w:b w:val="0"/>
                <w:bCs/>
                <w:kern w:val="0"/>
                <w:sz w:val="24"/>
                <w:szCs w:val="24"/>
                <w:lang w:val="en-US" w:eastAsia="zh-CN" w:bidi="zh-CN"/>
              </w:rPr>
            </w:pPr>
            <w:r>
              <w:rPr>
                <w:rFonts w:hint="eastAsia" w:ascii="宋体" w:hAnsi="宋体" w:eastAsia="宋体" w:cs="宋体"/>
                <w:b w:val="0"/>
                <w:bCs/>
                <w:kern w:val="0"/>
                <w:sz w:val="24"/>
                <w:szCs w:val="24"/>
                <w:lang w:val="en-US" w:eastAsia="zh-CN" w:bidi="zh-CN"/>
              </w:rPr>
              <w:t>供应商报价得分=（评标基准价/供应商投标报价）×</w:t>
            </w:r>
            <w:r>
              <w:rPr>
                <w:rFonts w:hint="eastAsia" w:hAnsi="宋体" w:cs="宋体"/>
                <w:b w:val="0"/>
                <w:bCs/>
                <w:kern w:val="0"/>
                <w:sz w:val="24"/>
                <w:szCs w:val="24"/>
                <w:lang w:val="en-US" w:eastAsia="zh-CN" w:bidi="zh-CN"/>
              </w:rPr>
              <w:t>3</w:t>
            </w:r>
            <w:r>
              <w:rPr>
                <w:rFonts w:hint="eastAsia" w:ascii="宋体" w:hAnsi="宋体" w:eastAsia="宋体" w:cs="宋体"/>
                <w:b w:val="0"/>
                <w:bCs/>
                <w:kern w:val="0"/>
                <w:sz w:val="24"/>
                <w:szCs w:val="24"/>
                <w:lang w:val="en-US" w:eastAsia="zh-CN" w:bidi="zh-CN"/>
              </w:rPr>
              <w:t>0</w:t>
            </w:r>
          </w:p>
          <w:p w14:paraId="35AFB966">
            <w:pPr>
              <w:pStyle w:val="2"/>
              <w:keepNext w:val="0"/>
              <w:keepLines w:val="0"/>
              <w:pageBreakBefore w:val="0"/>
              <w:kinsoku/>
              <w:wordWrap/>
              <w:overflowPunct/>
              <w:topLinePunct w:val="0"/>
              <w:autoSpaceDE/>
              <w:autoSpaceDN/>
              <w:bidi w:val="0"/>
              <w:spacing w:after="0" w:line="240" w:lineRule="auto"/>
              <w:ind w:firstLine="0" w:firstLineChars="0"/>
              <w:textAlignment w:val="auto"/>
              <w:rPr>
                <w:rFonts w:hint="eastAsia" w:ascii="宋体" w:hAnsi="宋体" w:eastAsia="宋体" w:cs="宋体"/>
                <w:b w:val="0"/>
                <w:bCs/>
                <w:kern w:val="0"/>
                <w:sz w:val="24"/>
                <w:szCs w:val="24"/>
                <w:lang w:val="en-US" w:eastAsia="zh-CN" w:bidi="zh-CN"/>
              </w:rPr>
            </w:pPr>
            <w:r>
              <w:rPr>
                <w:rFonts w:hint="eastAsia" w:hAnsi="宋体" w:cs="宋体"/>
                <w:b w:val="0"/>
                <w:bCs/>
                <w:kern w:val="0"/>
                <w:sz w:val="24"/>
                <w:szCs w:val="24"/>
                <w:lang w:val="en-US" w:eastAsia="zh-CN" w:bidi="zh-CN"/>
              </w:rPr>
              <w:t>4、</w:t>
            </w:r>
            <w:r>
              <w:rPr>
                <w:rFonts w:hint="eastAsia" w:ascii="宋体" w:hAnsi="宋体" w:eastAsia="宋体" w:cs="宋体"/>
                <w:b w:val="0"/>
                <w:bCs/>
                <w:kern w:val="0"/>
                <w:sz w:val="24"/>
                <w:szCs w:val="24"/>
                <w:lang w:val="en-US" w:eastAsia="zh-CN" w:bidi="zh-CN"/>
              </w:rPr>
              <w:t>最终得分计算保留小数点后两位。</w:t>
            </w:r>
          </w:p>
          <w:p w14:paraId="7E4831B1">
            <w:pPr>
              <w:pStyle w:val="2"/>
              <w:keepNext w:val="0"/>
              <w:keepLines w:val="0"/>
              <w:pageBreakBefore w:val="0"/>
              <w:kinsoku/>
              <w:wordWrap/>
              <w:overflowPunct/>
              <w:topLinePunct w:val="0"/>
              <w:autoSpaceDE/>
              <w:autoSpaceDN/>
              <w:bidi w:val="0"/>
              <w:spacing w:after="0" w:line="240" w:lineRule="auto"/>
              <w:ind w:firstLine="0" w:firstLineChars="0"/>
              <w:textAlignment w:val="auto"/>
              <w:rPr>
                <w:rFonts w:hint="eastAsia" w:ascii="宋体" w:hAnsi="宋体" w:eastAsia="宋体" w:cs="宋体"/>
                <w:kern w:val="0"/>
                <w:sz w:val="24"/>
                <w:szCs w:val="24"/>
                <w:lang w:val="en-US" w:eastAsia="zh-CN" w:bidi="zh-CN"/>
              </w:rPr>
            </w:pPr>
            <w:r>
              <w:rPr>
                <w:rFonts w:hint="eastAsia" w:hAnsi="宋体" w:cs="宋体"/>
                <w:b w:val="0"/>
                <w:bCs/>
                <w:kern w:val="0"/>
                <w:sz w:val="24"/>
                <w:szCs w:val="24"/>
                <w:lang w:val="en-US" w:eastAsia="zh-CN" w:bidi="zh-CN"/>
              </w:rPr>
              <w:t>5、</w:t>
            </w:r>
            <w:r>
              <w:rPr>
                <w:rFonts w:hint="eastAsia" w:ascii="宋体" w:hAnsi="宋体" w:eastAsia="宋体" w:cs="宋体"/>
                <w:b w:val="0"/>
                <w:bCs/>
                <w:kern w:val="0"/>
                <w:sz w:val="24"/>
                <w:szCs w:val="24"/>
                <w:lang w:val="en-US" w:eastAsia="zh-CN" w:bidi="zh-CN"/>
              </w:rPr>
              <w:t>投标人报价不得低于成本价：评标委员会认为投标人的报价明显低于其他通过初步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21A1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1" w:type="pct"/>
            <w:vMerge w:val="restart"/>
            <w:noWrap/>
            <w:vAlign w:val="center"/>
          </w:tcPr>
          <w:p w14:paraId="14E5269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1.2</w:t>
            </w:r>
          </w:p>
          <w:p w14:paraId="6541EC9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538" w:type="pct"/>
            <w:vMerge w:val="restart"/>
            <w:noWrap/>
            <w:vAlign w:val="center"/>
          </w:tcPr>
          <w:p w14:paraId="781736B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技术</w:t>
            </w:r>
            <w:r>
              <w:rPr>
                <w:rFonts w:hint="eastAsia" w:ascii="宋体" w:hAnsi="宋体" w:cs="宋体"/>
                <w:kern w:val="0"/>
                <w:sz w:val="24"/>
                <w:szCs w:val="24"/>
                <w:lang w:val="en-US" w:eastAsia="zh-CN" w:bidi="zh-CN"/>
              </w:rPr>
              <w:t>部分</w:t>
            </w:r>
          </w:p>
          <w:p w14:paraId="3FC249A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w:t>
            </w:r>
            <w:r>
              <w:rPr>
                <w:rFonts w:hint="eastAsia" w:ascii="宋体" w:hAnsi="宋体" w:cs="宋体"/>
                <w:kern w:val="0"/>
                <w:sz w:val="24"/>
                <w:szCs w:val="24"/>
                <w:lang w:val="en-US" w:eastAsia="zh-CN" w:bidi="zh-CN"/>
              </w:rPr>
              <w:t>60</w:t>
            </w:r>
            <w:r>
              <w:rPr>
                <w:rFonts w:hint="eastAsia" w:ascii="宋体" w:hAnsi="宋体" w:eastAsia="宋体" w:cs="宋体"/>
                <w:kern w:val="0"/>
                <w:sz w:val="24"/>
                <w:szCs w:val="24"/>
                <w:lang w:val="en-US" w:eastAsia="zh-CN" w:bidi="zh-CN"/>
              </w:rPr>
              <w:t>分）</w:t>
            </w:r>
          </w:p>
        </w:tc>
        <w:tc>
          <w:tcPr>
            <w:tcW w:w="764" w:type="pct"/>
            <w:noWrap/>
            <w:vAlign w:val="center"/>
          </w:tcPr>
          <w:p w14:paraId="2AA3E082">
            <w:pPr>
              <w:spacing w:after="0" w:afterLines="0" w:line="259" w:lineRule="auto"/>
              <w:ind w:left="0" w:leftChars="0" w:firstLine="0" w:firstLineChars="0"/>
              <w:jc w:val="center"/>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1、针对本项目的整体理解及认识（0-12分）</w:t>
            </w:r>
          </w:p>
        </w:tc>
        <w:tc>
          <w:tcPr>
            <w:tcW w:w="2865" w:type="pct"/>
            <w:noWrap/>
            <w:vAlign w:val="center"/>
          </w:tcPr>
          <w:p w14:paraId="0C08E054">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1、对本项目的整体理解透彻，认识充分的得5分；对本项目的整体理解基本透彻，认识基本充分的得2分；</w:t>
            </w:r>
          </w:p>
          <w:p w14:paraId="4076B5EF">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2、项目技术符合本项目要求，方案具有针对性的得7分；项目技术要求基本符合要求的，方案基本具有针对性的得3分；</w:t>
            </w:r>
          </w:p>
          <w:p w14:paraId="4688345F">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zh-CN" w:eastAsia="zh-CN" w:bidi="zh-CN"/>
              </w:rPr>
            </w:pPr>
            <w:r>
              <w:rPr>
                <w:rFonts w:hint="eastAsia" w:ascii="宋体" w:hAnsi="宋体" w:eastAsia="宋体" w:cs="宋体"/>
                <w:kern w:val="0"/>
                <w:sz w:val="24"/>
                <w:szCs w:val="24"/>
                <w:lang w:val="en-US" w:eastAsia="zh-CN" w:bidi="zh-CN"/>
              </w:rPr>
              <w:t>本项最多得12分，缺项或不合理的，本项不得分。</w:t>
            </w:r>
          </w:p>
        </w:tc>
        <w:tc>
          <w:tcPr>
            <w:tcW w:w="420" w:type="pct"/>
            <w:noWrap/>
            <w:vAlign w:val="center"/>
          </w:tcPr>
          <w:p w14:paraId="0FD0367D">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12</w:t>
            </w:r>
            <w:r>
              <w:rPr>
                <w:rFonts w:hint="eastAsia" w:ascii="宋体" w:hAnsi="宋体" w:eastAsia="宋体" w:cs="宋体"/>
                <w:kern w:val="0"/>
                <w:sz w:val="24"/>
                <w:szCs w:val="24"/>
                <w:lang w:val="en-US" w:eastAsia="zh-CN" w:bidi="zh-CN"/>
              </w:rPr>
              <w:t>分</w:t>
            </w:r>
          </w:p>
        </w:tc>
      </w:tr>
      <w:tr w14:paraId="03656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11" w:type="pct"/>
            <w:vMerge w:val="continue"/>
            <w:noWrap/>
            <w:vAlign w:val="center"/>
          </w:tcPr>
          <w:p w14:paraId="3DF52AD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538" w:type="pct"/>
            <w:vMerge w:val="continue"/>
            <w:noWrap/>
            <w:vAlign w:val="center"/>
          </w:tcPr>
          <w:p w14:paraId="4BCB0F9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764" w:type="pct"/>
            <w:noWrap/>
            <w:vAlign w:val="center"/>
          </w:tcPr>
          <w:p w14:paraId="4A134379">
            <w:pPr>
              <w:spacing w:after="0" w:afterLines="0" w:line="259" w:lineRule="auto"/>
              <w:ind w:left="0" w:leftChars="0" w:firstLine="0" w:firstLineChars="0"/>
              <w:jc w:val="center"/>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2、针对本项目质量目标及保证措施（0-12分）</w:t>
            </w:r>
          </w:p>
        </w:tc>
        <w:tc>
          <w:tcPr>
            <w:tcW w:w="2865" w:type="pct"/>
            <w:noWrap/>
            <w:vAlign w:val="center"/>
          </w:tcPr>
          <w:p w14:paraId="1B20D065">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1、质量目标明确得4分；质量目标基本明确得2分；</w:t>
            </w:r>
          </w:p>
          <w:p w14:paraId="5340ACE6">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2、质量保证措施具体并具有针对性得4分；质量保证措施基本健全有效且合理的得2分；</w:t>
            </w:r>
          </w:p>
          <w:p w14:paraId="601FDE65">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3、质量保证措施健全有效且合理的，可操作性强的得4分；质量保证措施具备基本可操作性的得2分；</w:t>
            </w:r>
          </w:p>
          <w:p w14:paraId="0513573A">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zh-CN" w:eastAsia="en-US" w:bidi="zh-CN"/>
              </w:rPr>
            </w:pPr>
            <w:r>
              <w:rPr>
                <w:rFonts w:hint="eastAsia" w:ascii="宋体" w:hAnsi="宋体" w:eastAsia="宋体" w:cs="宋体"/>
                <w:kern w:val="0"/>
                <w:sz w:val="24"/>
                <w:szCs w:val="24"/>
                <w:lang w:val="en-US" w:eastAsia="zh-CN" w:bidi="zh-CN"/>
              </w:rPr>
              <w:t>本项最多得12分，缺项或不合理的，本项不得分。</w:t>
            </w:r>
          </w:p>
        </w:tc>
        <w:tc>
          <w:tcPr>
            <w:tcW w:w="420" w:type="pct"/>
            <w:noWrap/>
            <w:vAlign w:val="center"/>
          </w:tcPr>
          <w:p w14:paraId="412BABF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12</w:t>
            </w:r>
            <w:r>
              <w:rPr>
                <w:rFonts w:hint="eastAsia" w:ascii="宋体" w:hAnsi="宋体" w:eastAsia="宋体" w:cs="宋体"/>
                <w:kern w:val="0"/>
                <w:sz w:val="24"/>
                <w:szCs w:val="24"/>
                <w:lang w:val="en-US" w:eastAsia="zh-CN" w:bidi="zh-CN"/>
              </w:rPr>
              <w:t>分</w:t>
            </w:r>
          </w:p>
        </w:tc>
      </w:tr>
      <w:tr w14:paraId="4C4EF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411" w:type="pct"/>
            <w:vMerge w:val="continue"/>
            <w:noWrap/>
            <w:vAlign w:val="center"/>
          </w:tcPr>
          <w:p w14:paraId="4709D5E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538" w:type="pct"/>
            <w:vMerge w:val="continue"/>
            <w:noWrap/>
            <w:vAlign w:val="center"/>
          </w:tcPr>
          <w:p w14:paraId="56F7543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764" w:type="pct"/>
            <w:noWrap/>
            <w:vAlign w:val="center"/>
          </w:tcPr>
          <w:p w14:paraId="66354727">
            <w:pPr>
              <w:spacing w:after="0" w:afterLines="0" w:line="259" w:lineRule="auto"/>
              <w:ind w:left="0" w:leftChars="0" w:firstLine="0" w:firstLineChars="0"/>
              <w:jc w:val="center"/>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3、针对本项目工作思路、方法、技术路线，关键问题的把握（0-15分）</w:t>
            </w:r>
          </w:p>
        </w:tc>
        <w:tc>
          <w:tcPr>
            <w:tcW w:w="2865" w:type="pct"/>
            <w:noWrap/>
            <w:vAlign w:val="center"/>
          </w:tcPr>
          <w:p w14:paraId="4D9D1D98">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1、思路清晰、方法合理得7分；思路基本清晰、方法基本合理，得3分；</w:t>
            </w:r>
          </w:p>
          <w:p w14:paraId="58E0E4C9">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2、技术支持完善，关键问题把握明确的，得8分；技术支持基本完善，关键问题把握基本明确的，得5分，技术可行，关键问题不全面的，得3分。</w:t>
            </w:r>
          </w:p>
          <w:p w14:paraId="13B98C19">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zh-CN" w:eastAsia="en-US" w:bidi="zh-CN"/>
              </w:rPr>
            </w:pPr>
            <w:r>
              <w:rPr>
                <w:rFonts w:hint="eastAsia" w:ascii="宋体" w:hAnsi="宋体" w:eastAsia="宋体" w:cs="宋体"/>
                <w:kern w:val="0"/>
                <w:sz w:val="24"/>
                <w:szCs w:val="24"/>
                <w:lang w:val="en-US" w:eastAsia="zh-CN" w:bidi="zh-CN"/>
              </w:rPr>
              <w:t>本项最多得15分，缺项或不合理的，本项不得分。</w:t>
            </w:r>
          </w:p>
        </w:tc>
        <w:tc>
          <w:tcPr>
            <w:tcW w:w="420" w:type="pct"/>
            <w:noWrap/>
            <w:vAlign w:val="center"/>
          </w:tcPr>
          <w:p w14:paraId="237F8B4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w:t>
            </w:r>
            <w:r>
              <w:rPr>
                <w:rFonts w:hint="eastAsia" w:ascii="宋体" w:hAnsi="宋体" w:cs="宋体"/>
                <w:kern w:val="0"/>
                <w:sz w:val="24"/>
                <w:szCs w:val="24"/>
                <w:lang w:val="en-US" w:eastAsia="zh-CN" w:bidi="zh-CN"/>
              </w:rPr>
              <w:t>5</w:t>
            </w:r>
            <w:r>
              <w:rPr>
                <w:rFonts w:hint="eastAsia" w:ascii="宋体" w:hAnsi="宋体" w:eastAsia="宋体" w:cs="宋体"/>
                <w:kern w:val="0"/>
                <w:sz w:val="24"/>
                <w:szCs w:val="24"/>
                <w:lang w:val="en-US" w:eastAsia="zh-CN" w:bidi="zh-CN"/>
              </w:rPr>
              <w:t>分</w:t>
            </w:r>
          </w:p>
        </w:tc>
      </w:tr>
      <w:tr w14:paraId="6A2EE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0" w:hRule="atLeast"/>
        </w:trPr>
        <w:tc>
          <w:tcPr>
            <w:tcW w:w="411" w:type="pct"/>
            <w:vMerge w:val="continue"/>
            <w:noWrap/>
            <w:vAlign w:val="center"/>
          </w:tcPr>
          <w:p w14:paraId="46C9CE8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538" w:type="pct"/>
            <w:vMerge w:val="continue"/>
            <w:noWrap/>
            <w:vAlign w:val="center"/>
          </w:tcPr>
          <w:p w14:paraId="61E6A3D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764" w:type="pct"/>
            <w:noWrap/>
            <w:vAlign w:val="center"/>
          </w:tcPr>
          <w:p w14:paraId="1DE55A71">
            <w:pPr>
              <w:spacing w:after="0" w:afterLines="0" w:line="259" w:lineRule="auto"/>
              <w:ind w:left="0" w:leftChars="0" w:firstLine="0" w:firstLineChars="0"/>
              <w:jc w:val="center"/>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4、针对本项目的任务分解及责任分工（0-12分）</w:t>
            </w:r>
          </w:p>
        </w:tc>
        <w:tc>
          <w:tcPr>
            <w:tcW w:w="2865" w:type="pct"/>
            <w:noWrap/>
            <w:vAlign w:val="center"/>
          </w:tcPr>
          <w:p w14:paraId="69CBD965">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1、针对本项目的任务分解科学、合理得3分；任务分解基本科学、合理得1分；</w:t>
            </w:r>
          </w:p>
          <w:p w14:paraId="34363681">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2、项目拟派管理机构人员责任明确的得3分，不明确的得1分；</w:t>
            </w:r>
          </w:p>
          <w:p w14:paraId="568E3F9A">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3、各类人员工作标准及考评方法科学合理得3分；各类人员工作标准及考评方法基本合理得1分；</w:t>
            </w:r>
          </w:p>
          <w:p w14:paraId="021E4775">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4、各类人员工作标准及考评方法具有可操作性的得3分；各类人员工作标准及考评方法具有基本可操作性的得1分；</w:t>
            </w:r>
          </w:p>
          <w:p w14:paraId="46F3661B">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zh-CN" w:eastAsia="zh-CN" w:bidi="zh-CN"/>
              </w:rPr>
            </w:pPr>
            <w:r>
              <w:rPr>
                <w:rFonts w:hint="eastAsia" w:ascii="宋体" w:hAnsi="宋体" w:eastAsia="宋体" w:cs="宋体"/>
                <w:kern w:val="0"/>
                <w:sz w:val="24"/>
                <w:szCs w:val="24"/>
                <w:lang w:val="en-US" w:eastAsia="zh-CN" w:bidi="zh-CN"/>
              </w:rPr>
              <w:t>本项最多得12分，缺项或不合理的，本项不得分。</w:t>
            </w:r>
          </w:p>
        </w:tc>
        <w:tc>
          <w:tcPr>
            <w:tcW w:w="420" w:type="pct"/>
            <w:noWrap/>
            <w:vAlign w:val="center"/>
          </w:tcPr>
          <w:p w14:paraId="0486A62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w:t>
            </w:r>
            <w:r>
              <w:rPr>
                <w:rFonts w:hint="eastAsia" w:ascii="宋体" w:hAnsi="宋体" w:cs="宋体"/>
                <w:kern w:val="0"/>
                <w:sz w:val="24"/>
                <w:szCs w:val="24"/>
                <w:lang w:val="en-US" w:eastAsia="zh-CN" w:bidi="zh-CN"/>
              </w:rPr>
              <w:t>2</w:t>
            </w:r>
            <w:r>
              <w:rPr>
                <w:rFonts w:hint="eastAsia" w:ascii="宋体" w:hAnsi="宋体" w:eastAsia="宋体" w:cs="宋体"/>
                <w:kern w:val="0"/>
                <w:sz w:val="24"/>
                <w:szCs w:val="24"/>
                <w:lang w:val="en-US" w:eastAsia="zh-CN" w:bidi="zh-CN"/>
              </w:rPr>
              <w:t>分</w:t>
            </w:r>
          </w:p>
        </w:tc>
      </w:tr>
      <w:tr w14:paraId="3DCA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411" w:type="pct"/>
            <w:vMerge w:val="continue"/>
            <w:noWrap/>
            <w:vAlign w:val="center"/>
          </w:tcPr>
          <w:p w14:paraId="0858BD2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538" w:type="pct"/>
            <w:vMerge w:val="continue"/>
            <w:noWrap/>
            <w:vAlign w:val="center"/>
          </w:tcPr>
          <w:p w14:paraId="311BA3E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764" w:type="pct"/>
            <w:noWrap/>
            <w:vAlign w:val="center"/>
          </w:tcPr>
          <w:p w14:paraId="546348E3">
            <w:pPr>
              <w:spacing w:after="0" w:afterLines="0" w:line="259" w:lineRule="auto"/>
              <w:ind w:left="0" w:leftChars="0" w:firstLine="0" w:firstLineChars="0"/>
              <w:jc w:val="center"/>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5、针对本项目工作进度的计划和保证措施（0-5分）</w:t>
            </w:r>
          </w:p>
        </w:tc>
        <w:tc>
          <w:tcPr>
            <w:tcW w:w="2865" w:type="pct"/>
            <w:noWrap/>
            <w:vAlign w:val="center"/>
          </w:tcPr>
          <w:p w14:paraId="64AAAB83">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1、工作进度计划合理，保证措施具有针对性、措施先进可行，得5分；工作进度计划基本合理，保证措施基本具有针对性、措施基本可行，得2分；</w:t>
            </w:r>
          </w:p>
          <w:p w14:paraId="75C81833">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zh-CN" w:eastAsia="zh-CN" w:bidi="zh-CN"/>
              </w:rPr>
            </w:pPr>
            <w:r>
              <w:rPr>
                <w:rFonts w:hint="eastAsia" w:ascii="宋体" w:hAnsi="宋体" w:eastAsia="宋体" w:cs="宋体"/>
                <w:kern w:val="0"/>
                <w:sz w:val="24"/>
                <w:szCs w:val="24"/>
                <w:lang w:val="en-US" w:eastAsia="zh-CN" w:bidi="zh-CN"/>
              </w:rPr>
              <w:t>2、工作进度计划不合理，保证措施没有针对性、措施基本不可行或缺项的，本项不得分。</w:t>
            </w:r>
          </w:p>
        </w:tc>
        <w:tc>
          <w:tcPr>
            <w:tcW w:w="420" w:type="pct"/>
            <w:noWrap/>
            <w:vAlign w:val="center"/>
          </w:tcPr>
          <w:p w14:paraId="5374023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5分</w:t>
            </w:r>
          </w:p>
        </w:tc>
      </w:tr>
      <w:tr w14:paraId="6B8BB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trPr>
        <w:tc>
          <w:tcPr>
            <w:tcW w:w="411" w:type="pct"/>
            <w:vMerge w:val="continue"/>
            <w:noWrap/>
            <w:vAlign w:val="center"/>
          </w:tcPr>
          <w:p w14:paraId="09D6BC6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538" w:type="pct"/>
            <w:vMerge w:val="continue"/>
            <w:noWrap/>
            <w:vAlign w:val="center"/>
          </w:tcPr>
          <w:p w14:paraId="1A66072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p>
        </w:tc>
        <w:tc>
          <w:tcPr>
            <w:tcW w:w="764" w:type="pct"/>
            <w:noWrap/>
            <w:vAlign w:val="center"/>
          </w:tcPr>
          <w:p w14:paraId="44F7027D">
            <w:pPr>
              <w:spacing w:after="0" w:afterLines="0" w:line="259" w:lineRule="auto"/>
              <w:ind w:left="0" w:leftChars="0" w:firstLine="0" w:firstLineChars="0"/>
              <w:jc w:val="center"/>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6、合理化建议（0-4分）</w:t>
            </w:r>
          </w:p>
        </w:tc>
        <w:tc>
          <w:tcPr>
            <w:tcW w:w="2865" w:type="pct"/>
            <w:noWrap/>
            <w:vAlign w:val="center"/>
          </w:tcPr>
          <w:p w14:paraId="77F9EBED">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zh-CN" w:eastAsia="zh-CN" w:bidi="zh-CN"/>
              </w:rPr>
            </w:pPr>
            <w:r>
              <w:rPr>
                <w:rFonts w:hint="eastAsia" w:ascii="宋体" w:hAnsi="宋体" w:eastAsia="宋体" w:cs="宋体"/>
                <w:kern w:val="0"/>
                <w:sz w:val="24"/>
                <w:szCs w:val="24"/>
                <w:lang w:val="en-US" w:eastAsia="zh-CN" w:bidi="zh-CN"/>
              </w:rPr>
              <w:t>建议合理、科学，具有针对性，可行性强得4分；建议基本合理，针对性和可行性不强得2分，缺项0分。</w:t>
            </w:r>
          </w:p>
        </w:tc>
        <w:tc>
          <w:tcPr>
            <w:tcW w:w="420" w:type="pct"/>
            <w:noWrap/>
            <w:vAlign w:val="center"/>
          </w:tcPr>
          <w:p w14:paraId="6F84647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4</w:t>
            </w:r>
            <w:r>
              <w:rPr>
                <w:rFonts w:hint="eastAsia" w:ascii="宋体" w:hAnsi="宋体" w:eastAsia="宋体" w:cs="宋体"/>
                <w:kern w:val="0"/>
                <w:sz w:val="24"/>
                <w:szCs w:val="24"/>
                <w:lang w:val="en-US" w:eastAsia="zh-CN" w:bidi="zh-CN"/>
              </w:rPr>
              <w:t>分</w:t>
            </w:r>
          </w:p>
        </w:tc>
      </w:tr>
      <w:tr w14:paraId="75E2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411" w:type="pct"/>
            <w:vMerge w:val="restart"/>
            <w:noWrap/>
            <w:vAlign w:val="center"/>
          </w:tcPr>
          <w:p w14:paraId="71A2FAD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1.3</w:t>
            </w:r>
          </w:p>
          <w:p w14:paraId="103C7455">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kern w:val="0"/>
                <w:sz w:val="24"/>
                <w:szCs w:val="24"/>
                <w:lang w:val="en-US" w:eastAsia="zh-CN" w:bidi="zh-CN"/>
              </w:rPr>
            </w:pPr>
          </w:p>
        </w:tc>
        <w:tc>
          <w:tcPr>
            <w:tcW w:w="538" w:type="pct"/>
            <w:vMerge w:val="restart"/>
            <w:noWrap/>
            <w:vAlign w:val="center"/>
          </w:tcPr>
          <w:p w14:paraId="02B50A2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商务部分</w:t>
            </w:r>
            <w:r>
              <w:rPr>
                <w:rFonts w:hint="eastAsia" w:ascii="宋体" w:hAnsi="宋体" w:eastAsia="宋体" w:cs="宋体"/>
                <w:kern w:val="0"/>
                <w:sz w:val="24"/>
                <w:szCs w:val="24"/>
                <w:lang w:val="en-US" w:eastAsia="zh-CN" w:bidi="zh-CN"/>
              </w:rPr>
              <w:t>(</w:t>
            </w:r>
            <w:r>
              <w:rPr>
                <w:rFonts w:hint="eastAsia" w:ascii="宋体" w:hAnsi="宋体" w:cs="宋体"/>
                <w:kern w:val="0"/>
                <w:sz w:val="24"/>
                <w:szCs w:val="24"/>
                <w:lang w:val="en-US" w:eastAsia="zh-CN" w:bidi="zh-CN"/>
              </w:rPr>
              <w:t>10</w:t>
            </w:r>
            <w:r>
              <w:rPr>
                <w:rFonts w:hint="eastAsia" w:ascii="宋体" w:hAnsi="宋体" w:eastAsia="宋体" w:cs="宋体"/>
                <w:kern w:val="0"/>
                <w:sz w:val="24"/>
                <w:szCs w:val="24"/>
                <w:lang w:val="en-US" w:eastAsia="zh-CN" w:bidi="zh-CN"/>
              </w:rPr>
              <w:t>分）</w:t>
            </w:r>
          </w:p>
        </w:tc>
        <w:tc>
          <w:tcPr>
            <w:tcW w:w="764" w:type="pct"/>
            <w:noWrap/>
            <w:vAlign w:val="center"/>
          </w:tcPr>
          <w:p w14:paraId="527E37A4">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类似业绩</w:t>
            </w:r>
          </w:p>
        </w:tc>
        <w:tc>
          <w:tcPr>
            <w:tcW w:w="2865" w:type="pct"/>
            <w:noWrap/>
            <w:vAlign w:val="center"/>
          </w:tcPr>
          <w:p w14:paraId="6467AC46">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eastAsia="宋体" w:cs="宋体"/>
                <w:kern w:val="0"/>
                <w:sz w:val="24"/>
                <w:szCs w:val="24"/>
                <w:lang w:val="en-US" w:eastAsia="zh-CN" w:bidi="zh-CN"/>
              </w:rPr>
              <w:t>提供2023年1月1日以来（以合同签订日期为准）承接过的类似业绩，每项得2分，本项最多得</w:t>
            </w:r>
            <w:r>
              <w:rPr>
                <w:rFonts w:hint="eastAsia" w:ascii="宋体" w:hAnsi="宋体" w:cs="宋体"/>
                <w:kern w:val="0"/>
                <w:sz w:val="24"/>
                <w:szCs w:val="24"/>
                <w:lang w:val="en-US" w:eastAsia="zh-CN" w:bidi="zh-CN"/>
              </w:rPr>
              <w:t>6</w:t>
            </w:r>
            <w:r>
              <w:rPr>
                <w:rFonts w:hint="eastAsia" w:ascii="宋体" w:hAnsi="宋体" w:eastAsia="宋体" w:cs="宋体"/>
                <w:kern w:val="0"/>
                <w:sz w:val="24"/>
                <w:szCs w:val="24"/>
                <w:lang w:val="en-US" w:eastAsia="zh-CN" w:bidi="zh-CN"/>
              </w:rPr>
              <w:t>分。</w:t>
            </w:r>
          </w:p>
          <w:p w14:paraId="49B92133">
            <w:pPr>
              <w:keepNext w:val="0"/>
              <w:keepLines w:val="0"/>
              <w:pageBreakBefore w:val="0"/>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zh-CN" w:eastAsia="zh-CN" w:bidi="zh-CN"/>
              </w:rPr>
            </w:pPr>
            <w:r>
              <w:rPr>
                <w:rFonts w:hint="eastAsia" w:ascii="宋体" w:hAnsi="宋体" w:eastAsia="宋体" w:cs="宋体"/>
                <w:kern w:val="0"/>
                <w:sz w:val="24"/>
                <w:szCs w:val="24"/>
                <w:lang w:val="en-US" w:eastAsia="zh-CN" w:bidi="zh-CN"/>
              </w:rPr>
              <w:t>（响应文件中附完整版合同扫描件，扫描件须清晰可见，并加盖电子签章，否则不得分。）</w:t>
            </w:r>
          </w:p>
        </w:tc>
        <w:tc>
          <w:tcPr>
            <w:tcW w:w="420" w:type="pct"/>
            <w:noWrap/>
            <w:vAlign w:val="center"/>
          </w:tcPr>
          <w:p w14:paraId="53A3E5E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6</w:t>
            </w:r>
            <w:r>
              <w:rPr>
                <w:rFonts w:hint="eastAsia" w:ascii="宋体" w:hAnsi="宋体" w:eastAsia="宋体" w:cs="宋体"/>
                <w:kern w:val="0"/>
                <w:sz w:val="24"/>
                <w:szCs w:val="24"/>
                <w:lang w:val="en-US" w:eastAsia="zh-CN" w:bidi="zh-CN"/>
              </w:rPr>
              <w:t>分</w:t>
            </w:r>
          </w:p>
        </w:tc>
      </w:tr>
      <w:tr w14:paraId="2AC3D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411" w:type="pct"/>
            <w:vMerge w:val="continue"/>
            <w:noWrap/>
            <w:vAlign w:val="center"/>
          </w:tcPr>
          <w:p w14:paraId="566C3E46">
            <w:pPr>
              <w:keepNext w:val="0"/>
              <w:keepLines w:val="0"/>
              <w:pageBreakBefore w:val="0"/>
              <w:kinsoku/>
              <w:wordWrap/>
              <w:overflowPunct/>
              <w:topLinePunct w:val="0"/>
              <w:autoSpaceDE/>
              <w:autoSpaceDN/>
              <w:bidi w:val="0"/>
              <w:adjustRightInd w:val="0"/>
              <w:snapToGrid w:val="0"/>
              <w:spacing w:line="240" w:lineRule="auto"/>
              <w:textAlignment w:val="auto"/>
              <w:rPr>
                <w:rFonts w:hint="eastAsia" w:ascii="宋体" w:hAnsi="宋体" w:eastAsia="宋体" w:cs="宋体"/>
                <w:kern w:val="0"/>
                <w:sz w:val="24"/>
                <w:szCs w:val="24"/>
                <w:lang w:val="en-US" w:eastAsia="zh-CN" w:bidi="zh-CN"/>
              </w:rPr>
            </w:pPr>
          </w:p>
        </w:tc>
        <w:tc>
          <w:tcPr>
            <w:tcW w:w="538" w:type="pct"/>
            <w:vMerge w:val="continue"/>
            <w:noWrap/>
            <w:vAlign w:val="center"/>
          </w:tcPr>
          <w:p w14:paraId="3FE6CD3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cs="宋体"/>
                <w:kern w:val="0"/>
                <w:sz w:val="24"/>
                <w:szCs w:val="24"/>
                <w:lang w:val="en-US" w:eastAsia="zh-CN" w:bidi="zh-CN"/>
              </w:rPr>
            </w:pPr>
          </w:p>
        </w:tc>
        <w:tc>
          <w:tcPr>
            <w:tcW w:w="1455" w:type="dxa"/>
            <w:noWrap/>
            <w:vAlign w:val="center"/>
          </w:tcPr>
          <w:p w14:paraId="7B394662">
            <w:pPr>
              <w:keepNext w:val="0"/>
              <w:keepLines w:val="0"/>
              <w:pageBreakBefore w:val="0"/>
              <w:kinsoku/>
              <w:wordWrap/>
              <w:overflowPunct/>
              <w:topLinePunct w:val="0"/>
              <w:autoSpaceDE/>
              <w:autoSpaceDN/>
              <w:bidi w:val="0"/>
              <w:spacing w:line="240" w:lineRule="auto"/>
              <w:jc w:val="center"/>
              <w:textAlignment w:val="auto"/>
              <w:rPr>
                <w:rFonts w:hint="eastAsia"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售后服务承诺</w:t>
            </w:r>
          </w:p>
        </w:tc>
        <w:tc>
          <w:tcPr>
            <w:tcW w:w="5453" w:type="dxa"/>
            <w:noWrap/>
            <w:vAlign w:val="center"/>
          </w:tcPr>
          <w:p w14:paraId="35D5E6BA">
            <w:pPr>
              <w:keepNext w:val="0"/>
              <w:keepLines w:val="0"/>
              <w:pageBreakBefore w:val="0"/>
              <w:numPr>
                <w:ilvl w:val="0"/>
                <w:numId w:val="2"/>
              </w:numPr>
              <w:kinsoku/>
              <w:wordWrap/>
              <w:overflowPunct/>
              <w:topLinePunct w:val="0"/>
              <w:autoSpaceDE/>
              <w:autoSpaceDN/>
              <w:bidi w:val="0"/>
              <w:spacing w:line="240" w:lineRule="auto"/>
              <w:jc w:val="both"/>
              <w:textAlignment w:val="auto"/>
              <w:rPr>
                <w:rFonts w:hint="eastAsia" w:ascii="宋体" w:hAnsi="宋体" w:cs="宋体"/>
                <w:kern w:val="0"/>
                <w:sz w:val="24"/>
                <w:szCs w:val="24"/>
                <w:lang w:val="en-US" w:eastAsia="zh-CN" w:bidi="zh-CN"/>
              </w:rPr>
            </w:pPr>
            <w:r>
              <w:rPr>
                <w:rFonts w:hint="eastAsia" w:ascii="宋体" w:hAnsi="宋体" w:cs="宋体"/>
                <w:kern w:val="0"/>
                <w:sz w:val="24"/>
                <w:szCs w:val="24"/>
                <w:lang w:val="en-US" w:eastAsia="zh-CN" w:bidi="zh-CN"/>
              </w:rPr>
              <w:t>售后服务方案：评委根据供应商提供服务质量、服务计划、响应时间、服务组织结构、技术水平、项目团队配置等情况打分，方案全面、具有针对性的得3分；方案简洁、针对性不强的得1分。</w:t>
            </w:r>
          </w:p>
          <w:p w14:paraId="3A9FB4FD">
            <w:pPr>
              <w:keepNext w:val="0"/>
              <w:keepLines w:val="0"/>
              <w:pageBreakBefore w:val="0"/>
              <w:numPr>
                <w:ilvl w:val="0"/>
                <w:numId w:val="2"/>
              </w:numPr>
              <w:kinsoku/>
              <w:wordWrap/>
              <w:overflowPunct/>
              <w:topLinePunct w:val="0"/>
              <w:autoSpaceDE/>
              <w:autoSpaceDN/>
              <w:bidi w:val="0"/>
              <w:spacing w:line="240" w:lineRule="auto"/>
              <w:jc w:val="both"/>
              <w:textAlignment w:val="auto"/>
              <w:rPr>
                <w:rFonts w:hint="eastAsia" w:ascii="宋体" w:hAnsi="宋体" w:eastAsia="宋体" w:cs="宋体"/>
                <w:kern w:val="0"/>
                <w:sz w:val="24"/>
                <w:szCs w:val="24"/>
                <w:lang w:val="en-US" w:eastAsia="zh-CN" w:bidi="zh-CN"/>
              </w:rPr>
            </w:pPr>
            <w:r>
              <w:rPr>
                <w:rFonts w:hint="eastAsia" w:ascii="宋体" w:hAnsi="宋体" w:cs="宋体"/>
                <w:kern w:val="0"/>
                <w:sz w:val="24"/>
                <w:szCs w:val="24"/>
                <w:lang w:val="en-US" w:eastAsia="zh-CN" w:bidi="zh-CN"/>
              </w:rPr>
              <w:t>服务响应及时性:要求供应商服务及时响应，30分钟内完成响应，2小时之内提供上门服务，提供承诺书。(1分)</w:t>
            </w:r>
          </w:p>
        </w:tc>
        <w:tc>
          <w:tcPr>
            <w:tcW w:w="800" w:type="dxa"/>
            <w:noWrap/>
            <w:vAlign w:val="center"/>
          </w:tcPr>
          <w:p w14:paraId="403A5BA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宋体" w:hAnsi="宋体" w:cs="宋体"/>
                <w:kern w:val="0"/>
                <w:sz w:val="24"/>
                <w:szCs w:val="24"/>
                <w:lang w:val="en-US" w:eastAsia="zh-CN" w:bidi="zh-CN"/>
              </w:rPr>
            </w:pPr>
            <w:r>
              <w:rPr>
                <w:rFonts w:hint="eastAsia" w:ascii="宋体" w:hAnsi="宋体" w:cs="宋体"/>
                <w:kern w:val="0"/>
                <w:sz w:val="24"/>
                <w:szCs w:val="24"/>
                <w:lang w:val="en-US" w:eastAsia="zh-CN" w:bidi="zh-CN"/>
              </w:rPr>
              <w:t>4分</w:t>
            </w:r>
          </w:p>
        </w:tc>
      </w:tr>
    </w:tbl>
    <w:p w14:paraId="398B84B3">
      <w:pPr>
        <w:spacing w:line="360" w:lineRule="auto"/>
        <w:ind w:firstLine="480" w:firstLineChars="200"/>
        <w:rPr>
          <w:rFonts w:ascii="宋体" w:hAnsi="宋体"/>
          <w:sz w:val="24"/>
        </w:rPr>
      </w:pPr>
      <w:r>
        <w:rPr>
          <w:rFonts w:hint="eastAsia" w:ascii="宋体" w:hAnsi="宋体"/>
          <w:sz w:val="24"/>
        </w:rPr>
        <w:t>5、</w:t>
      </w:r>
      <w:r>
        <w:rPr>
          <w:rFonts w:ascii="宋体" w:hAnsi="宋体"/>
          <w:sz w:val="24"/>
        </w:rPr>
        <w:t>计分办法</w:t>
      </w:r>
    </w:p>
    <w:p w14:paraId="73030409">
      <w:pPr>
        <w:spacing w:line="360" w:lineRule="auto"/>
        <w:ind w:firstLine="480" w:firstLineChars="200"/>
        <w:rPr>
          <w:rFonts w:ascii="宋体" w:hAnsi="宋体"/>
          <w:sz w:val="24"/>
        </w:rPr>
      </w:pPr>
      <w:r>
        <w:rPr>
          <w:rFonts w:ascii="宋体" w:hAnsi="宋体"/>
          <w:sz w:val="24"/>
        </w:rPr>
        <w:t>根据磋商文件、响应文件，按照评分办法，得出每个评委对</w:t>
      </w:r>
      <w:r>
        <w:rPr>
          <w:rFonts w:hint="eastAsia" w:ascii="宋体" w:hAnsi="宋体"/>
          <w:sz w:val="24"/>
          <w:lang w:eastAsia="zh-CN"/>
        </w:rPr>
        <w:t>供应商</w:t>
      </w:r>
      <w:r>
        <w:rPr>
          <w:rFonts w:ascii="宋体" w:hAnsi="宋体"/>
          <w:sz w:val="24"/>
        </w:rPr>
        <w:t>的评标分数。</w:t>
      </w:r>
      <w:r>
        <w:rPr>
          <w:rFonts w:hint="eastAsia" w:ascii="宋体" w:hAnsi="宋体"/>
          <w:sz w:val="24"/>
          <w:lang w:eastAsia="zh-CN"/>
        </w:rPr>
        <w:t>供应商</w:t>
      </w:r>
      <w:r>
        <w:rPr>
          <w:rFonts w:ascii="宋体" w:hAnsi="宋体"/>
          <w:sz w:val="24"/>
        </w:rPr>
        <w:t>的最终得分为所有评委对其打分的算术平均值。计分过程按四舍五入取至小数点后两位，最终得分取至小数点后二位。</w:t>
      </w:r>
    </w:p>
    <w:p w14:paraId="522D10F6">
      <w:pPr>
        <w:spacing w:line="360" w:lineRule="auto"/>
        <w:ind w:firstLine="480" w:firstLineChars="200"/>
        <w:rPr>
          <w:rFonts w:ascii="宋体" w:hAnsi="宋体"/>
          <w:sz w:val="24"/>
        </w:rPr>
      </w:pPr>
      <w:r>
        <w:rPr>
          <w:rFonts w:hint="eastAsia" w:ascii="宋体" w:hAnsi="宋体"/>
          <w:sz w:val="24"/>
        </w:rPr>
        <w:t>6、</w:t>
      </w:r>
      <w:r>
        <w:rPr>
          <w:rFonts w:ascii="宋体" w:hAnsi="宋体"/>
          <w:sz w:val="24"/>
        </w:rPr>
        <w:t>定标办法</w:t>
      </w:r>
    </w:p>
    <w:p w14:paraId="6557AA19">
      <w:pPr>
        <w:spacing w:line="360" w:lineRule="auto"/>
        <w:ind w:firstLine="480" w:firstLineChars="200"/>
        <w:rPr>
          <w:rFonts w:hint="eastAsia" w:ascii="宋体" w:hAnsi="宋体" w:cs="宋体"/>
          <w:color w:val="000000"/>
          <w:szCs w:val="21"/>
        </w:rPr>
      </w:pPr>
      <w:r>
        <w:rPr>
          <w:rFonts w:hint="eastAsia" w:ascii="宋体" w:hAnsi="宋体"/>
          <w:sz w:val="24"/>
        </w:rPr>
        <w:t>（1）</w:t>
      </w:r>
      <w:r>
        <w:rPr>
          <w:rFonts w:hint="eastAsia" w:ascii="宋体" w:hAnsi="宋体"/>
          <w:sz w:val="24"/>
          <w:lang w:eastAsia="zh-CN"/>
        </w:rPr>
        <w:t>供应商</w:t>
      </w:r>
      <w:r>
        <w:rPr>
          <w:rFonts w:ascii="宋体" w:hAnsi="宋体"/>
          <w:sz w:val="24"/>
        </w:rPr>
        <w:t>的排名按得分顺序从高到低</w:t>
      </w:r>
      <w:r>
        <w:rPr>
          <w:rFonts w:hint="eastAsia" w:ascii="宋体" w:hAnsi="宋体"/>
          <w:sz w:val="24"/>
        </w:rPr>
        <w:t>推荐3名成交候选人并排序。</w:t>
      </w:r>
    </w:p>
    <w:p w14:paraId="1F6F0A5A">
      <w:pPr>
        <w:spacing w:line="360" w:lineRule="auto"/>
        <w:ind w:firstLine="480" w:firstLineChars="200"/>
        <w:rPr>
          <w:rFonts w:hint="eastAsia" w:ascii="宋体" w:hAnsi="宋体"/>
          <w:sz w:val="24"/>
        </w:rPr>
      </w:pPr>
      <w:r>
        <w:rPr>
          <w:rFonts w:hint="eastAsia" w:ascii="宋体" w:hAnsi="宋体"/>
          <w:sz w:val="24"/>
        </w:rPr>
        <w:t>（2）磋商小组</w:t>
      </w:r>
      <w:r>
        <w:rPr>
          <w:rFonts w:ascii="宋体" w:hAnsi="宋体"/>
          <w:sz w:val="24"/>
        </w:rPr>
        <w:t>写出</w:t>
      </w:r>
      <w:r>
        <w:rPr>
          <w:rFonts w:hint="eastAsia" w:ascii="宋体" w:hAnsi="宋体"/>
          <w:sz w:val="24"/>
        </w:rPr>
        <w:t>磋商</w:t>
      </w:r>
      <w:r>
        <w:rPr>
          <w:rFonts w:ascii="宋体" w:hAnsi="宋体"/>
          <w:sz w:val="24"/>
        </w:rPr>
        <w:t>报告确定排序第一的</w:t>
      </w:r>
      <w:r>
        <w:rPr>
          <w:rFonts w:hint="eastAsia" w:ascii="宋体" w:hAnsi="宋体"/>
          <w:sz w:val="24"/>
          <w:lang w:eastAsia="zh-CN"/>
        </w:rPr>
        <w:t>供应商</w:t>
      </w:r>
      <w:r>
        <w:rPr>
          <w:rFonts w:ascii="宋体" w:hAnsi="宋体"/>
          <w:sz w:val="24"/>
        </w:rPr>
        <w:t>为</w:t>
      </w:r>
      <w:r>
        <w:rPr>
          <w:rFonts w:hint="eastAsia" w:ascii="宋体" w:hAnsi="宋体"/>
          <w:sz w:val="24"/>
        </w:rPr>
        <w:t>成交供应商</w:t>
      </w:r>
      <w:r>
        <w:rPr>
          <w:rFonts w:ascii="宋体" w:hAnsi="宋体"/>
          <w:sz w:val="24"/>
        </w:rPr>
        <w:t>。</w:t>
      </w:r>
    </w:p>
    <w:p w14:paraId="0BEC2592">
      <w:pPr>
        <w:tabs>
          <w:tab w:val="left" w:pos="1995"/>
          <w:tab w:val="left" w:pos="2846"/>
        </w:tabs>
        <w:spacing w:after="156" w:afterLines="50" w:line="520" w:lineRule="exact"/>
        <w:jc w:val="both"/>
        <w:rPr>
          <w:rFonts w:hint="eastAsia" w:ascii="宋体" w:hAnsi="宋体" w:cs="宋体"/>
          <w:b/>
          <w:bCs/>
          <w:color w:val="000000"/>
          <w:kern w:val="0"/>
          <w:sz w:val="36"/>
          <w:szCs w:val="36"/>
        </w:rPr>
      </w:pPr>
    </w:p>
    <w:p w14:paraId="1A775872">
      <w:pPr>
        <w:tabs>
          <w:tab w:val="left" w:pos="1995"/>
          <w:tab w:val="left" w:pos="2846"/>
        </w:tabs>
        <w:spacing w:after="156" w:afterLines="50" w:line="520" w:lineRule="exact"/>
        <w:jc w:val="both"/>
        <w:rPr>
          <w:rFonts w:hint="eastAsia" w:ascii="宋体" w:hAnsi="宋体" w:cs="宋体"/>
          <w:b/>
          <w:bCs/>
          <w:color w:val="000000"/>
          <w:kern w:val="0"/>
          <w:sz w:val="36"/>
          <w:szCs w:val="36"/>
        </w:rPr>
      </w:pPr>
    </w:p>
    <w:p w14:paraId="09BAF65B">
      <w:pPr>
        <w:tabs>
          <w:tab w:val="left" w:pos="1995"/>
          <w:tab w:val="left" w:pos="2846"/>
        </w:tabs>
        <w:spacing w:after="156" w:afterLines="50" w:line="520" w:lineRule="exact"/>
        <w:jc w:val="both"/>
        <w:rPr>
          <w:rFonts w:hint="eastAsia" w:ascii="宋体" w:hAnsi="宋体" w:cs="宋体"/>
          <w:b/>
          <w:bCs/>
          <w:color w:val="000000"/>
          <w:kern w:val="0"/>
          <w:sz w:val="36"/>
          <w:szCs w:val="36"/>
        </w:rPr>
      </w:pPr>
    </w:p>
    <w:p w14:paraId="5A64610D">
      <w:pPr>
        <w:tabs>
          <w:tab w:val="left" w:pos="1995"/>
          <w:tab w:val="left" w:pos="2846"/>
        </w:tabs>
        <w:spacing w:after="156" w:afterLines="50" w:line="520" w:lineRule="exact"/>
        <w:jc w:val="both"/>
        <w:rPr>
          <w:rFonts w:hint="eastAsia" w:ascii="宋体" w:hAnsi="宋体" w:cs="宋体"/>
          <w:b/>
          <w:bCs/>
          <w:color w:val="000000"/>
          <w:kern w:val="0"/>
          <w:sz w:val="36"/>
          <w:szCs w:val="36"/>
        </w:rPr>
      </w:pPr>
    </w:p>
    <w:p w14:paraId="697BFCE6">
      <w:pPr>
        <w:rPr>
          <w:rFonts w:hint="eastAsia" w:ascii="宋体" w:hAnsi="宋体" w:cs="宋体"/>
          <w:b/>
          <w:bCs/>
          <w:color w:val="000000"/>
          <w:kern w:val="0"/>
          <w:sz w:val="36"/>
          <w:szCs w:val="36"/>
        </w:rPr>
      </w:pPr>
      <w:r>
        <w:rPr>
          <w:rFonts w:hint="eastAsia" w:ascii="宋体" w:hAnsi="宋体" w:cs="宋体"/>
          <w:b/>
          <w:bCs/>
          <w:color w:val="000000"/>
          <w:kern w:val="0"/>
          <w:sz w:val="36"/>
          <w:szCs w:val="36"/>
        </w:rPr>
        <w:br w:type="page"/>
      </w:r>
    </w:p>
    <w:p w14:paraId="404A94BD">
      <w:pPr>
        <w:tabs>
          <w:tab w:val="left" w:pos="1995"/>
          <w:tab w:val="left" w:pos="2846"/>
        </w:tabs>
        <w:spacing w:after="156" w:afterLines="50" w:line="520" w:lineRule="exact"/>
        <w:jc w:val="center"/>
        <w:rPr>
          <w:rFonts w:ascii="宋体"/>
          <w:b/>
          <w:bCs/>
          <w:color w:val="000000"/>
          <w:kern w:val="0"/>
          <w:sz w:val="36"/>
          <w:szCs w:val="36"/>
        </w:rPr>
      </w:pPr>
      <w:r>
        <w:rPr>
          <w:rFonts w:hint="eastAsia" w:ascii="宋体" w:hAnsi="宋体" w:cs="宋体"/>
          <w:b/>
          <w:bCs/>
          <w:color w:val="000000"/>
          <w:kern w:val="0"/>
          <w:sz w:val="36"/>
          <w:szCs w:val="36"/>
        </w:rPr>
        <w:t>第五章</w:t>
      </w:r>
      <w:r>
        <w:rPr>
          <w:rFonts w:ascii="宋体" w:hAnsi="宋体" w:cs="宋体"/>
          <w:b/>
          <w:bCs/>
          <w:color w:val="000000"/>
          <w:kern w:val="0"/>
          <w:sz w:val="36"/>
          <w:szCs w:val="36"/>
        </w:rPr>
        <w:t xml:space="preserve"> </w:t>
      </w:r>
      <w:r>
        <w:rPr>
          <w:rFonts w:hint="eastAsia" w:ascii="宋体" w:hAnsi="宋体" w:cs="宋体"/>
          <w:b/>
          <w:bCs/>
          <w:color w:val="000000"/>
          <w:kern w:val="0"/>
          <w:sz w:val="36"/>
          <w:szCs w:val="36"/>
        </w:rPr>
        <w:t>政府采购合同</w:t>
      </w:r>
    </w:p>
    <w:p w14:paraId="1067609F">
      <w:pPr>
        <w:widowControl/>
        <w:snapToGrid w:val="0"/>
        <w:spacing w:line="520" w:lineRule="exact"/>
        <w:jc w:val="center"/>
        <w:rPr>
          <w:rFonts w:hint="eastAsia" w:ascii="宋体" w:hAnsi="宋体" w:cs="宋体"/>
          <w:b/>
          <w:bCs/>
          <w:color w:val="000000"/>
          <w:kern w:val="0"/>
          <w:sz w:val="24"/>
          <w:szCs w:val="24"/>
        </w:rPr>
      </w:pPr>
      <w:r>
        <w:rPr>
          <w:rFonts w:hint="eastAsia" w:ascii="宋体" w:hAnsi="宋体" w:cs="宋体"/>
          <w:b/>
          <w:bCs/>
          <w:color w:val="000000"/>
          <w:kern w:val="0"/>
          <w:sz w:val="24"/>
          <w:szCs w:val="24"/>
        </w:rPr>
        <w:t>（（仅供参考，具体条款由双方平等协商确定）</w:t>
      </w:r>
    </w:p>
    <w:p w14:paraId="55FA12D3">
      <w:pPr>
        <w:autoSpaceDE w:val="0"/>
        <w:autoSpaceDN w:val="0"/>
        <w:ind w:left="1001" w:right="1002"/>
        <w:jc w:val="center"/>
        <w:rPr>
          <w:rFonts w:ascii="仿宋" w:hAnsi="仿宋" w:eastAsia="仿宋" w:cs="仿宋"/>
          <w:b/>
          <w:kern w:val="0"/>
          <w:sz w:val="52"/>
          <w:lang w:eastAsia="en-US"/>
        </w:rPr>
      </w:pPr>
    </w:p>
    <w:p w14:paraId="7711D329">
      <w:pPr>
        <w:autoSpaceDE w:val="0"/>
        <w:autoSpaceDN w:val="0"/>
        <w:ind w:left="1001" w:right="1002"/>
        <w:jc w:val="center"/>
        <w:rPr>
          <w:rFonts w:ascii="仿宋" w:hAnsi="仿宋" w:eastAsia="仿宋" w:cs="仿宋"/>
          <w:b/>
          <w:kern w:val="0"/>
          <w:sz w:val="52"/>
          <w:lang w:eastAsia="en-US"/>
        </w:rPr>
      </w:pPr>
    </w:p>
    <w:p w14:paraId="22347E3E">
      <w:pPr>
        <w:autoSpaceDE w:val="0"/>
        <w:autoSpaceDN w:val="0"/>
        <w:ind w:left="1001" w:right="1002"/>
        <w:jc w:val="center"/>
        <w:rPr>
          <w:rFonts w:ascii="仿宋" w:hAnsi="仿宋" w:eastAsia="仿宋" w:cs="仿宋"/>
          <w:b/>
          <w:kern w:val="0"/>
          <w:sz w:val="52"/>
          <w:lang w:eastAsia="en-US"/>
        </w:rPr>
      </w:pPr>
      <w:r>
        <w:rPr>
          <w:rFonts w:ascii="仿宋" w:hAnsi="仿宋" w:eastAsia="仿宋" w:cs="仿宋"/>
          <w:b/>
          <w:kern w:val="0"/>
          <w:sz w:val="52"/>
          <w:lang w:eastAsia="en-US"/>
        </w:rPr>
        <w:t xml:space="preserve">服 务 </w:t>
      </w:r>
      <w:bookmarkStart w:id="1" w:name="_bookmark9"/>
      <w:bookmarkEnd w:id="1"/>
      <w:r>
        <w:rPr>
          <w:rFonts w:ascii="仿宋" w:hAnsi="仿宋" w:eastAsia="仿宋" w:cs="仿宋"/>
          <w:b/>
          <w:kern w:val="0"/>
          <w:sz w:val="52"/>
          <w:lang w:eastAsia="en-US"/>
        </w:rPr>
        <w:t>合 同</w:t>
      </w:r>
    </w:p>
    <w:p w14:paraId="5C952BEE">
      <w:pPr>
        <w:autoSpaceDE w:val="0"/>
        <w:autoSpaceDN w:val="0"/>
        <w:jc w:val="left"/>
        <w:rPr>
          <w:rFonts w:ascii="仿宋" w:hAnsi="仿宋" w:eastAsia="仿宋" w:cs="仿宋"/>
          <w:b/>
          <w:kern w:val="0"/>
          <w:sz w:val="20"/>
          <w:szCs w:val="24"/>
          <w:lang w:eastAsia="en-US"/>
        </w:rPr>
      </w:pPr>
    </w:p>
    <w:p w14:paraId="2C8D9DBD">
      <w:pPr>
        <w:autoSpaceDE w:val="0"/>
        <w:autoSpaceDN w:val="0"/>
        <w:jc w:val="left"/>
        <w:rPr>
          <w:rFonts w:ascii="仿宋" w:hAnsi="仿宋" w:eastAsia="仿宋" w:cs="仿宋"/>
          <w:b/>
          <w:kern w:val="0"/>
          <w:sz w:val="20"/>
          <w:szCs w:val="24"/>
          <w:lang w:eastAsia="en-US"/>
        </w:rPr>
      </w:pPr>
    </w:p>
    <w:p w14:paraId="7A6BBF92">
      <w:pPr>
        <w:autoSpaceDE w:val="0"/>
        <w:autoSpaceDN w:val="0"/>
        <w:jc w:val="left"/>
        <w:rPr>
          <w:rFonts w:ascii="仿宋" w:hAnsi="仿宋" w:eastAsia="仿宋" w:cs="仿宋"/>
          <w:b/>
          <w:kern w:val="0"/>
          <w:sz w:val="20"/>
          <w:szCs w:val="24"/>
          <w:lang w:eastAsia="en-US"/>
        </w:rPr>
      </w:pPr>
    </w:p>
    <w:p w14:paraId="1E1048D0">
      <w:pPr>
        <w:autoSpaceDE w:val="0"/>
        <w:autoSpaceDN w:val="0"/>
        <w:jc w:val="left"/>
        <w:rPr>
          <w:rFonts w:ascii="仿宋" w:hAnsi="仿宋" w:eastAsia="仿宋" w:cs="仿宋"/>
          <w:b/>
          <w:kern w:val="0"/>
          <w:sz w:val="20"/>
          <w:szCs w:val="24"/>
          <w:lang w:eastAsia="en-US"/>
        </w:rPr>
      </w:pPr>
    </w:p>
    <w:p w14:paraId="03BED600">
      <w:pPr>
        <w:autoSpaceDE w:val="0"/>
        <w:autoSpaceDN w:val="0"/>
        <w:jc w:val="left"/>
        <w:rPr>
          <w:rFonts w:ascii="仿宋" w:hAnsi="仿宋" w:eastAsia="仿宋" w:cs="仿宋"/>
          <w:b/>
          <w:kern w:val="0"/>
          <w:sz w:val="20"/>
          <w:szCs w:val="24"/>
          <w:lang w:eastAsia="en-US"/>
        </w:rPr>
      </w:pPr>
    </w:p>
    <w:p w14:paraId="2D7605EF">
      <w:pPr>
        <w:autoSpaceDE w:val="0"/>
        <w:autoSpaceDN w:val="0"/>
        <w:jc w:val="left"/>
        <w:rPr>
          <w:rFonts w:ascii="仿宋" w:hAnsi="仿宋" w:eastAsia="仿宋" w:cs="仿宋"/>
          <w:b/>
          <w:kern w:val="0"/>
          <w:sz w:val="20"/>
          <w:szCs w:val="24"/>
          <w:lang w:eastAsia="en-US"/>
        </w:rPr>
      </w:pPr>
    </w:p>
    <w:p w14:paraId="3C27DB62">
      <w:pPr>
        <w:autoSpaceDE w:val="0"/>
        <w:autoSpaceDN w:val="0"/>
        <w:jc w:val="left"/>
        <w:rPr>
          <w:rFonts w:ascii="仿宋" w:hAnsi="仿宋" w:eastAsia="仿宋" w:cs="仿宋"/>
          <w:b/>
          <w:kern w:val="0"/>
          <w:sz w:val="20"/>
          <w:szCs w:val="24"/>
          <w:lang w:eastAsia="en-US"/>
        </w:rPr>
      </w:pPr>
    </w:p>
    <w:p w14:paraId="7CCC65E2">
      <w:pPr>
        <w:autoSpaceDE w:val="0"/>
        <w:autoSpaceDN w:val="0"/>
        <w:jc w:val="left"/>
        <w:rPr>
          <w:rFonts w:ascii="仿宋" w:hAnsi="仿宋" w:eastAsia="仿宋" w:cs="仿宋"/>
          <w:b/>
          <w:kern w:val="0"/>
          <w:sz w:val="20"/>
          <w:szCs w:val="24"/>
          <w:lang w:eastAsia="en-US"/>
        </w:rPr>
      </w:pPr>
    </w:p>
    <w:p w14:paraId="5EAB0018">
      <w:pPr>
        <w:autoSpaceDE w:val="0"/>
        <w:autoSpaceDN w:val="0"/>
        <w:jc w:val="left"/>
        <w:rPr>
          <w:rFonts w:ascii="仿宋" w:hAnsi="仿宋" w:eastAsia="仿宋" w:cs="仿宋"/>
          <w:b/>
          <w:kern w:val="0"/>
          <w:sz w:val="20"/>
          <w:szCs w:val="24"/>
          <w:lang w:eastAsia="en-US"/>
        </w:rPr>
      </w:pPr>
    </w:p>
    <w:p w14:paraId="59645B95">
      <w:pPr>
        <w:autoSpaceDE w:val="0"/>
        <w:autoSpaceDN w:val="0"/>
        <w:jc w:val="left"/>
        <w:rPr>
          <w:rFonts w:ascii="仿宋" w:hAnsi="仿宋" w:eastAsia="仿宋" w:cs="仿宋"/>
          <w:b/>
          <w:kern w:val="0"/>
          <w:sz w:val="20"/>
          <w:szCs w:val="24"/>
          <w:lang w:eastAsia="en-US"/>
        </w:rPr>
      </w:pPr>
    </w:p>
    <w:p w14:paraId="122DC8DC">
      <w:pPr>
        <w:autoSpaceDE w:val="0"/>
        <w:autoSpaceDN w:val="0"/>
        <w:jc w:val="left"/>
        <w:rPr>
          <w:rFonts w:ascii="仿宋" w:hAnsi="仿宋" w:eastAsia="仿宋" w:cs="仿宋"/>
          <w:b/>
          <w:kern w:val="0"/>
          <w:sz w:val="20"/>
          <w:szCs w:val="24"/>
          <w:lang w:eastAsia="en-US"/>
        </w:rPr>
      </w:pPr>
    </w:p>
    <w:p w14:paraId="02E0FBC5">
      <w:pPr>
        <w:autoSpaceDE w:val="0"/>
        <w:autoSpaceDN w:val="0"/>
        <w:jc w:val="left"/>
        <w:rPr>
          <w:rFonts w:ascii="仿宋" w:hAnsi="仿宋" w:eastAsia="仿宋" w:cs="仿宋"/>
          <w:b/>
          <w:kern w:val="0"/>
          <w:sz w:val="20"/>
          <w:szCs w:val="24"/>
          <w:lang w:eastAsia="en-US"/>
        </w:rPr>
      </w:pPr>
    </w:p>
    <w:p w14:paraId="548CABB6">
      <w:pPr>
        <w:autoSpaceDE w:val="0"/>
        <w:autoSpaceDN w:val="0"/>
        <w:jc w:val="left"/>
        <w:rPr>
          <w:rFonts w:ascii="仿宋" w:hAnsi="仿宋" w:eastAsia="仿宋" w:cs="仿宋"/>
          <w:b/>
          <w:kern w:val="0"/>
          <w:sz w:val="20"/>
          <w:szCs w:val="24"/>
          <w:lang w:eastAsia="en-US"/>
        </w:rPr>
      </w:pPr>
    </w:p>
    <w:p w14:paraId="7E780EFA">
      <w:pPr>
        <w:autoSpaceDE w:val="0"/>
        <w:autoSpaceDN w:val="0"/>
        <w:jc w:val="left"/>
        <w:rPr>
          <w:rFonts w:ascii="仿宋" w:hAnsi="仿宋" w:eastAsia="仿宋" w:cs="仿宋"/>
          <w:b/>
          <w:kern w:val="0"/>
          <w:sz w:val="20"/>
          <w:szCs w:val="24"/>
          <w:lang w:eastAsia="en-US"/>
        </w:rPr>
      </w:pPr>
    </w:p>
    <w:p w14:paraId="190C9DC3">
      <w:pPr>
        <w:autoSpaceDE w:val="0"/>
        <w:autoSpaceDN w:val="0"/>
        <w:jc w:val="left"/>
        <w:rPr>
          <w:rFonts w:ascii="仿宋" w:hAnsi="仿宋" w:eastAsia="仿宋" w:cs="仿宋"/>
          <w:b/>
          <w:kern w:val="0"/>
          <w:sz w:val="20"/>
          <w:szCs w:val="24"/>
          <w:lang w:eastAsia="en-US"/>
        </w:rPr>
      </w:pPr>
    </w:p>
    <w:p w14:paraId="4AF67EDA">
      <w:pPr>
        <w:autoSpaceDE w:val="0"/>
        <w:autoSpaceDN w:val="0"/>
        <w:jc w:val="left"/>
        <w:rPr>
          <w:rFonts w:ascii="仿宋" w:hAnsi="仿宋" w:eastAsia="仿宋" w:cs="仿宋"/>
          <w:b/>
          <w:kern w:val="0"/>
          <w:sz w:val="20"/>
          <w:szCs w:val="24"/>
          <w:lang w:eastAsia="en-US"/>
        </w:rPr>
      </w:pPr>
    </w:p>
    <w:p w14:paraId="77438BAF">
      <w:pPr>
        <w:autoSpaceDE w:val="0"/>
        <w:autoSpaceDN w:val="0"/>
        <w:jc w:val="left"/>
        <w:rPr>
          <w:rFonts w:ascii="仿宋" w:hAnsi="仿宋" w:eastAsia="仿宋" w:cs="仿宋"/>
          <w:b/>
          <w:kern w:val="0"/>
          <w:sz w:val="20"/>
          <w:szCs w:val="24"/>
          <w:lang w:eastAsia="en-US"/>
        </w:rPr>
      </w:pPr>
    </w:p>
    <w:p w14:paraId="1A3B8700">
      <w:pPr>
        <w:autoSpaceDE w:val="0"/>
        <w:autoSpaceDN w:val="0"/>
        <w:jc w:val="left"/>
        <w:rPr>
          <w:rFonts w:ascii="仿宋" w:hAnsi="仿宋" w:eastAsia="仿宋" w:cs="仿宋"/>
          <w:b/>
          <w:kern w:val="0"/>
          <w:sz w:val="20"/>
          <w:szCs w:val="24"/>
          <w:lang w:eastAsia="en-US"/>
        </w:rPr>
      </w:pPr>
    </w:p>
    <w:p w14:paraId="406E0C90">
      <w:pPr>
        <w:autoSpaceDE w:val="0"/>
        <w:autoSpaceDN w:val="0"/>
        <w:jc w:val="left"/>
        <w:rPr>
          <w:rFonts w:ascii="仿宋" w:hAnsi="仿宋" w:eastAsia="仿宋" w:cs="仿宋"/>
          <w:b/>
          <w:kern w:val="0"/>
          <w:sz w:val="20"/>
          <w:szCs w:val="24"/>
          <w:lang w:eastAsia="en-US"/>
        </w:rPr>
      </w:pPr>
    </w:p>
    <w:p w14:paraId="63CB45C1">
      <w:pPr>
        <w:autoSpaceDE w:val="0"/>
        <w:autoSpaceDN w:val="0"/>
        <w:jc w:val="left"/>
        <w:rPr>
          <w:rFonts w:ascii="仿宋" w:hAnsi="仿宋" w:eastAsia="仿宋" w:cs="仿宋"/>
          <w:b/>
          <w:kern w:val="0"/>
          <w:sz w:val="20"/>
          <w:szCs w:val="24"/>
          <w:lang w:eastAsia="en-US"/>
        </w:rPr>
      </w:pPr>
    </w:p>
    <w:p w14:paraId="3B0E4EEE">
      <w:pPr>
        <w:autoSpaceDE w:val="0"/>
        <w:autoSpaceDN w:val="0"/>
        <w:jc w:val="left"/>
        <w:rPr>
          <w:rFonts w:ascii="仿宋" w:hAnsi="仿宋" w:eastAsia="仿宋" w:cs="仿宋"/>
          <w:b/>
          <w:kern w:val="0"/>
          <w:sz w:val="20"/>
          <w:szCs w:val="24"/>
          <w:lang w:eastAsia="en-US"/>
        </w:rPr>
      </w:pPr>
    </w:p>
    <w:p w14:paraId="6B010EA8">
      <w:pPr>
        <w:autoSpaceDE w:val="0"/>
        <w:autoSpaceDN w:val="0"/>
        <w:jc w:val="left"/>
        <w:rPr>
          <w:rFonts w:ascii="仿宋" w:hAnsi="仿宋" w:eastAsia="仿宋" w:cs="仿宋"/>
          <w:b/>
          <w:kern w:val="0"/>
          <w:sz w:val="20"/>
          <w:szCs w:val="24"/>
          <w:lang w:eastAsia="en-US"/>
        </w:rPr>
      </w:pPr>
    </w:p>
    <w:p w14:paraId="05F1F731">
      <w:pPr>
        <w:autoSpaceDE w:val="0"/>
        <w:autoSpaceDN w:val="0"/>
        <w:jc w:val="left"/>
        <w:rPr>
          <w:rFonts w:ascii="仿宋" w:hAnsi="仿宋" w:eastAsia="仿宋" w:cs="仿宋"/>
          <w:b/>
          <w:kern w:val="0"/>
          <w:sz w:val="20"/>
          <w:szCs w:val="24"/>
          <w:lang w:eastAsia="en-US"/>
        </w:rPr>
      </w:pPr>
    </w:p>
    <w:p w14:paraId="2FD75F1F">
      <w:pPr>
        <w:autoSpaceDE w:val="0"/>
        <w:autoSpaceDN w:val="0"/>
        <w:jc w:val="left"/>
        <w:rPr>
          <w:rFonts w:ascii="仿宋" w:hAnsi="仿宋" w:eastAsia="仿宋" w:cs="仿宋"/>
          <w:b/>
          <w:kern w:val="0"/>
          <w:sz w:val="20"/>
          <w:szCs w:val="24"/>
          <w:lang w:eastAsia="en-US"/>
        </w:rPr>
      </w:pPr>
    </w:p>
    <w:p w14:paraId="4554BFEC">
      <w:pPr>
        <w:autoSpaceDE w:val="0"/>
        <w:autoSpaceDN w:val="0"/>
        <w:jc w:val="left"/>
        <w:rPr>
          <w:rFonts w:ascii="仿宋" w:hAnsi="仿宋" w:eastAsia="仿宋" w:cs="仿宋"/>
          <w:b/>
          <w:kern w:val="0"/>
          <w:sz w:val="20"/>
          <w:szCs w:val="24"/>
          <w:lang w:eastAsia="en-US"/>
        </w:rPr>
      </w:pPr>
    </w:p>
    <w:p w14:paraId="35FA5197">
      <w:pPr>
        <w:autoSpaceDE w:val="0"/>
        <w:autoSpaceDN w:val="0"/>
        <w:jc w:val="left"/>
        <w:rPr>
          <w:rFonts w:ascii="仿宋" w:hAnsi="仿宋" w:eastAsia="仿宋" w:cs="仿宋"/>
          <w:b/>
          <w:kern w:val="0"/>
          <w:sz w:val="20"/>
          <w:szCs w:val="24"/>
          <w:lang w:eastAsia="en-US"/>
        </w:rPr>
      </w:pPr>
    </w:p>
    <w:p w14:paraId="111DA36D">
      <w:pPr>
        <w:autoSpaceDE w:val="0"/>
        <w:autoSpaceDN w:val="0"/>
        <w:jc w:val="left"/>
        <w:rPr>
          <w:rFonts w:ascii="仿宋" w:hAnsi="仿宋" w:eastAsia="仿宋" w:cs="仿宋"/>
          <w:b/>
          <w:kern w:val="0"/>
          <w:sz w:val="24"/>
          <w:szCs w:val="24"/>
          <w:lang w:eastAsia="en-US"/>
        </w:rPr>
      </w:pPr>
    </w:p>
    <w:tbl>
      <w:tblPr>
        <w:tblStyle w:val="35"/>
        <w:tblW w:w="0" w:type="auto"/>
        <w:tblInd w:w="348" w:type="dxa"/>
        <w:tblLayout w:type="fixed"/>
        <w:tblCellMar>
          <w:top w:w="0" w:type="dxa"/>
          <w:left w:w="0" w:type="dxa"/>
          <w:bottom w:w="0" w:type="dxa"/>
          <w:right w:w="0" w:type="dxa"/>
        </w:tblCellMar>
      </w:tblPr>
      <w:tblGrid>
        <w:gridCol w:w="381"/>
        <w:gridCol w:w="422"/>
        <w:gridCol w:w="422"/>
        <w:gridCol w:w="422"/>
        <w:gridCol w:w="499"/>
        <w:gridCol w:w="3998"/>
      </w:tblGrid>
      <w:tr w14:paraId="51AB0882">
        <w:tblPrEx>
          <w:tblCellMar>
            <w:top w:w="0" w:type="dxa"/>
            <w:left w:w="0" w:type="dxa"/>
            <w:bottom w:w="0" w:type="dxa"/>
            <w:right w:w="0" w:type="dxa"/>
          </w:tblCellMar>
        </w:tblPrEx>
        <w:trPr>
          <w:trHeight w:val="366" w:hRule="exact"/>
        </w:trPr>
        <w:tc>
          <w:tcPr>
            <w:tcW w:w="381" w:type="dxa"/>
          </w:tcPr>
          <w:p w14:paraId="0A905794">
            <w:pPr>
              <w:keepNext w:val="0"/>
              <w:keepLines w:val="0"/>
              <w:pageBreakBefore w:val="0"/>
              <w:widowControl w:val="0"/>
              <w:kinsoku/>
              <w:wordWrap/>
              <w:overflowPunct/>
              <w:topLinePunct w:val="0"/>
              <w:autoSpaceDE w:val="0"/>
              <w:autoSpaceDN w:val="0"/>
              <w:bidi w:val="0"/>
              <w:adjustRightInd/>
              <w:snapToGrid/>
              <w:spacing w:line="240" w:lineRule="auto"/>
              <w:ind w:right="39"/>
              <w:jc w:val="center"/>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项</w:t>
            </w:r>
          </w:p>
        </w:tc>
        <w:tc>
          <w:tcPr>
            <w:tcW w:w="422" w:type="dxa"/>
          </w:tcPr>
          <w:p w14:paraId="1A68E9F5">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目</w:t>
            </w:r>
          </w:p>
        </w:tc>
        <w:tc>
          <w:tcPr>
            <w:tcW w:w="422" w:type="dxa"/>
          </w:tcPr>
          <w:p w14:paraId="6626AD9F">
            <w:pPr>
              <w:keepNext w:val="0"/>
              <w:keepLines w:val="0"/>
              <w:pageBreakBefore w:val="0"/>
              <w:widowControl w:val="0"/>
              <w:kinsoku/>
              <w:wordWrap/>
              <w:overflowPunct/>
              <w:topLinePunct w:val="0"/>
              <w:autoSpaceDE w:val="0"/>
              <w:autoSpaceDN w:val="0"/>
              <w:bidi w:val="0"/>
              <w:adjustRightInd/>
              <w:snapToGrid/>
              <w:spacing w:line="240" w:lineRule="auto"/>
              <w:ind w:right="89"/>
              <w:jc w:val="righ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名</w:t>
            </w:r>
          </w:p>
        </w:tc>
        <w:tc>
          <w:tcPr>
            <w:tcW w:w="422" w:type="dxa"/>
          </w:tcPr>
          <w:p w14:paraId="1073556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称</w:t>
            </w:r>
          </w:p>
        </w:tc>
        <w:tc>
          <w:tcPr>
            <w:tcW w:w="499" w:type="dxa"/>
          </w:tcPr>
          <w:p w14:paraId="2FBA75DD">
            <w:pPr>
              <w:keepNext w:val="0"/>
              <w:keepLines w:val="0"/>
              <w:pageBreakBefore w:val="0"/>
              <w:widowControl w:val="0"/>
              <w:kinsoku/>
              <w:wordWrap/>
              <w:overflowPunct/>
              <w:topLinePunct w:val="0"/>
              <w:autoSpaceDE w:val="0"/>
              <w:autoSpaceDN w:val="0"/>
              <w:bidi w:val="0"/>
              <w:adjustRightInd/>
              <w:snapToGrid/>
              <w:spacing w:line="240" w:lineRule="auto"/>
              <w:ind w:left="91"/>
              <w:jc w:val="lef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w:t>
            </w:r>
          </w:p>
        </w:tc>
        <w:tc>
          <w:tcPr>
            <w:tcW w:w="3998" w:type="dxa"/>
          </w:tcPr>
          <w:p w14:paraId="2B644664">
            <w:pPr>
              <w:keepNext w:val="0"/>
              <w:keepLines w:val="0"/>
              <w:pageBreakBefore w:val="0"/>
              <w:widowControl w:val="0"/>
              <w:tabs>
                <w:tab w:val="left" w:pos="3779"/>
              </w:tabs>
              <w:kinsoku/>
              <w:wordWrap/>
              <w:overflowPunct/>
              <w:topLinePunct w:val="0"/>
              <w:autoSpaceDE w:val="0"/>
              <w:autoSpaceDN w:val="0"/>
              <w:bidi w:val="0"/>
              <w:adjustRightInd/>
              <w:snapToGrid/>
              <w:spacing w:line="240" w:lineRule="auto"/>
              <w:ind w:right="48"/>
              <w:jc w:val="righ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u w:val="single"/>
                <w:lang w:eastAsia="en-US"/>
              </w:rPr>
              <w:tab/>
            </w:r>
          </w:p>
        </w:tc>
      </w:tr>
      <w:tr w14:paraId="31E61E85">
        <w:tblPrEx>
          <w:tblCellMar>
            <w:top w:w="0" w:type="dxa"/>
            <w:left w:w="0" w:type="dxa"/>
            <w:bottom w:w="0" w:type="dxa"/>
            <w:right w:w="0" w:type="dxa"/>
          </w:tblCellMar>
        </w:tblPrEx>
        <w:trPr>
          <w:trHeight w:val="467" w:hRule="exact"/>
        </w:trPr>
        <w:tc>
          <w:tcPr>
            <w:tcW w:w="381" w:type="dxa"/>
          </w:tcPr>
          <w:p w14:paraId="594E9FE6">
            <w:pPr>
              <w:keepNext w:val="0"/>
              <w:keepLines w:val="0"/>
              <w:pageBreakBefore w:val="0"/>
              <w:widowControl w:val="0"/>
              <w:kinsoku/>
              <w:wordWrap/>
              <w:overflowPunct/>
              <w:topLinePunct w:val="0"/>
              <w:autoSpaceDE w:val="0"/>
              <w:autoSpaceDN w:val="0"/>
              <w:bidi w:val="0"/>
              <w:adjustRightInd/>
              <w:snapToGrid/>
              <w:spacing w:before="33" w:line="240" w:lineRule="auto"/>
              <w:ind w:right="39"/>
              <w:jc w:val="center"/>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项</w:t>
            </w:r>
          </w:p>
        </w:tc>
        <w:tc>
          <w:tcPr>
            <w:tcW w:w="422" w:type="dxa"/>
          </w:tcPr>
          <w:p w14:paraId="119B6F16">
            <w:pPr>
              <w:keepNext w:val="0"/>
              <w:keepLines w:val="0"/>
              <w:pageBreakBefore w:val="0"/>
              <w:widowControl w:val="0"/>
              <w:kinsoku/>
              <w:wordWrap/>
              <w:overflowPunct/>
              <w:topLinePunct w:val="0"/>
              <w:autoSpaceDE w:val="0"/>
              <w:autoSpaceDN w:val="0"/>
              <w:bidi w:val="0"/>
              <w:adjustRightInd/>
              <w:snapToGrid/>
              <w:spacing w:before="33" w:line="240" w:lineRule="auto"/>
              <w:jc w:val="center"/>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目</w:t>
            </w:r>
          </w:p>
        </w:tc>
        <w:tc>
          <w:tcPr>
            <w:tcW w:w="422" w:type="dxa"/>
          </w:tcPr>
          <w:p w14:paraId="3DE63DC2">
            <w:pPr>
              <w:keepNext w:val="0"/>
              <w:keepLines w:val="0"/>
              <w:pageBreakBefore w:val="0"/>
              <w:widowControl w:val="0"/>
              <w:kinsoku/>
              <w:wordWrap/>
              <w:overflowPunct/>
              <w:topLinePunct w:val="0"/>
              <w:autoSpaceDE w:val="0"/>
              <w:autoSpaceDN w:val="0"/>
              <w:bidi w:val="0"/>
              <w:adjustRightInd/>
              <w:snapToGrid/>
              <w:spacing w:before="33" w:line="240" w:lineRule="auto"/>
              <w:ind w:right="89"/>
              <w:jc w:val="righ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编</w:t>
            </w:r>
          </w:p>
        </w:tc>
        <w:tc>
          <w:tcPr>
            <w:tcW w:w="422" w:type="dxa"/>
          </w:tcPr>
          <w:p w14:paraId="38BBE6E0">
            <w:pPr>
              <w:keepNext w:val="0"/>
              <w:keepLines w:val="0"/>
              <w:pageBreakBefore w:val="0"/>
              <w:widowControl w:val="0"/>
              <w:kinsoku/>
              <w:wordWrap/>
              <w:overflowPunct/>
              <w:topLinePunct w:val="0"/>
              <w:autoSpaceDE w:val="0"/>
              <w:autoSpaceDN w:val="0"/>
              <w:bidi w:val="0"/>
              <w:adjustRightInd/>
              <w:snapToGrid/>
              <w:spacing w:before="33" w:line="240" w:lineRule="auto"/>
              <w:jc w:val="center"/>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号</w:t>
            </w:r>
          </w:p>
        </w:tc>
        <w:tc>
          <w:tcPr>
            <w:tcW w:w="499" w:type="dxa"/>
          </w:tcPr>
          <w:p w14:paraId="64864901">
            <w:pPr>
              <w:keepNext w:val="0"/>
              <w:keepLines w:val="0"/>
              <w:pageBreakBefore w:val="0"/>
              <w:widowControl w:val="0"/>
              <w:kinsoku/>
              <w:wordWrap/>
              <w:overflowPunct/>
              <w:topLinePunct w:val="0"/>
              <w:autoSpaceDE w:val="0"/>
              <w:autoSpaceDN w:val="0"/>
              <w:bidi w:val="0"/>
              <w:adjustRightInd/>
              <w:snapToGrid/>
              <w:spacing w:before="33" w:line="240" w:lineRule="auto"/>
              <w:ind w:left="91"/>
              <w:jc w:val="lef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w:t>
            </w:r>
          </w:p>
        </w:tc>
        <w:tc>
          <w:tcPr>
            <w:tcW w:w="3998" w:type="dxa"/>
          </w:tcPr>
          <w:p w14:paraId="170044AE">
            <w:pPr>
              <w:keepNext w:val="0"/>
              <w:keepLines w:val="0"/>
              <w:pageBreakBefore w:val="0"/>
              <w:widowControl w:val="0"/>
              <w:tabs>
                <w:tab w:val="left" w:pos="3779"/>
              </w:tabs>
              <w:kinsoku/>
              <w:wordWrap/>
              <w:overflowPunct/>
              <w:topLinePunct w:val="0"/>
              <w:autoSpaceDE w:val="0"/>
              <w:autoSpaceDN w:val="0"/>
              <w:bidi w:val="0"/>
              <w:adjustRightInd/>
              <w:snapToGrid/>
              <w:spacing w:before="89" w:line="240" w:lineRule="auto"/>
              <w:ind w:right="48"/>
              <w:jc w:val="righ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u w:val="single"/>
                <w:lang w:eastAsia="en-US"/>
              </w:rPr>
              <w:tab/>
            </w:r>
          </w:p>
        </w:tc>
      </w:tr>
      <w:tr w14:paraId="51D9E977">
        <w:tblPrEx>
          <w:tblCellMar>
            <w:top w:w="0" w:type="dxa"/>
            <w:left w:w="0" w:type="dxa"/>
            <w:bottom w:w="0" w:type="dxa"/>
            <w:right w:w="0" w:type="dxa"/>
          </w:tblCellMar>
        </w:tblPrEx>
        <w:trPr>
          <w:trHeight w:val="467" w:hRule="exact"/>
        </w:trPr>
        <w:tc>
          <w:tcPr>
            <w:tcW w:w="381" w:type="dxa"/>
          </w:tcPr>
          <w:p w14:paraId="570A5989">
            <w:pPr>
              <w:keepNext w:val="0"/>
              <w:keepLines w:val="0"/>
              <w:pageBreakBefore w:val="0"/>
              <w:widowControl w:val="0"/>
              <w:kinsoku/>
              <w:wordWrap/>
              <w:overflowPunct/>
              <w:topLinePunct w:val="0"/>
              <w:autoSpaceDE w:val="0"/>
              <w:autoSpaceDN w:val="0"/>
              <w:bidi w:val="0"/>
              <w:adjustRightInd/>
              <w:snapToGrid/>
              <w:spacing w:before="34" w:line="240" w:lineRule="auto"/>
              <w:ind w:right="39"/>
              <w:jc w:val="center"/>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甲</w:t>
            </w:r>
          </w:p>
        </w:tc>
        <w:tc>
          <w:tcPr>
            <w:tcW w:w="422" w:type="dxa"/>
          </w:tcPr>
          <w:p w14:paraId="4D00A0E4">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Theme="minorEastAsia" w:hAnsiTheme="minorEastAsia" w:eastAsiaTheme="minorEastAsia" w:cstheme="minorEastAsia"/>
                <w:kern w:val="0"/>
                <w:sz w:val="24"/>
                <w:szCs w:val="24"/>
                <w:lang w:eastAsia="en-US"/>
              </w:rPr>
            </w:pPr>
          </w:p>
        </w:tc>
        <w:tc>
          <w:tcPr>
            <w:tcW w:w="422" w:type="dxa"/>
          </w:tcPr>
          <w:p w14:paraId="29CD8A2C">
            <w:pPr>
              <w:keepNext w:val="0"/>
              <w:keepLines w:val="0"/>
              <w:pageBreakBefore w:val="0"/>
              <w:widowControl w:val="0"/>
              <w:kinsoku/>
              <w:wordWrap/>
              <w:overflowPunct/>
              <w:topLinePunct w:val="0"/>
              <w:autoSpaceDE w:val="0"/>
              <w:autoSpaceDN w:val="0"/>
              <w:bidi w:val="0"/>
              <w:adjustRightInd/>
              <w:snapToGrid/>
              <w:spacing w:before="34" w:line="240" w:lineRule="auto"/>
              <w:ind w:right="89"/>
              <w:jc w:val="righ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方</w:t>
            </w:r>
          </w:p>
        </w:tc>
        <w:tc>
          <w:tcPr>
            <w:tcW w:w="422" w:type="dxa"/>
          </w:tcPr>
          <w:p w14:paraId="217B13B6">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Theme="minorEastAsia" w:hAnsiTheme="minorEastAsia" w:eastAsiaTheme="minorEastAsia" w:cstheme="minorEastAsia"/>
                <w:kern w:val="0"/>
                <w:sz w:val="24"/>
                <w:szCs w:val="24"/>
                <w:lang w:eastAsia="en-US"/>
              </w:rPr>
            </w:pPr>
          </w:p>
        </w:tc>
        <w:tc>
          <w:tcPr>
            <w:tcW w:w="499" w:type="dxa"/>
          </w:tcPr>
          <w:p w14:paraId="2FC76E74">
            <w:pPr>
              <w:keepNext w:val="0"/>
              <w:keepLines w:val="0"/>
              <w:pageBreakBefore w:val="0"/>
              <w:widowControl w:val="0"/>
              <w:kinsoku/>
              <w:wordWrap/>
              <w:overflowPunct/>
              <w:topLinePunct w:val="0"/>
              <w:autoSpaceDE w:val="0"/>
              <w:autoSpaceDN w:val="0"/>
              <w:bidi w:val="0"/>
              <w:adjustRightInd/>
              <w:snapToGrid/>
              <w:spacing w:before="34" w:line="240" w:lineRule="auto"/>
              <w:ind w:left="91"/>
              <w:jc w:val="lef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w:t>
            </w:r>
          </w:p>
        </w:tc>
        <w:tc>
          <w:tcPr>
            <w:tcW w:w="3998" w:type="dxa"/>
          </w:tcPr>
          <w:p w14:paraId="1F231198">
            <w:pPr>
              <w:keepNext w:val="0"/>
              <w:keepLines w:val="0"/>
              <w:pageBreakBefore w:val="0"/>
              <w:widowControl w:val="0"/>
              <w:tabs>
                <w:tab w:val="left" w:pos="3779"/>
              </w:tabs>
              <w:kinsoku/>
              <w:wordWrap/>
              <w:overflowPunct/>
              <w:topLinePunct w:val="0"/>
              <w:autoSpaceDE w:val="0"/>
              <w:autoSpaceDN w:val="0"/>
              <w:bidi w:val="0"/>
              <w:adjustRightInd/>
              <w:snapToGrid/>
              <w:spacing w:before="91" w:line="240" w:lineRule="auto"/>
              <w:ind w:right="48"/>
              <w:jc w:val="righ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u w:val="single"/>
                <w:lang w:eastAsia="en-US"/>
              </w:rPr>
              <w:tab/>
            </w:r>
          </w:p>
        </w:tc>
      </w:tr>
      <w:tr w14:paraId="2946576D">
        <w:tblPrEx>
          <w:tblCellMar>
            <w:top w:w="0" w:type="dxa"/>
            <w:left w:w="0" w:type="dxa"/>
            <w:bottom w:w="0" w:type="dxa"/>
            <w:right w:w="0" w:type="dxa"/>
          </w:tblCellMar>
        </w:tblPrEx>
        <w:trPr>
          <w:trHeight w:val="366" w:hRule="exact"/>
        </w:trPr>
        <w:tc>
          <w:tcPr>
            <w:tcW w:w="381" w:type="dxa"/>
          </w:tcPr>
          <w:p w14:paraId="0CE9BEB7">
            <w:pPr>
              <w:keepNext w:val="0"/>
              <w:keepLines w:val="0"/>
              <w:pageBreakBefore w:val="0"/>
              <w:widowControl w:val="0"/>
              <w:kinsoku/>
              <w:wordWrap/>
              <w:overflowPunct/>
              <w:topLinePunct w:val="0"/>
              <w:autoSpaceDE w:val="0"/>
              <w:autoSpaceDN w:val="0"/>
              <w:bidi w:val="0"/>
              <w:adjustRightInd/>
              <w:snapToGrid/>
              <w:spacing w:before="33" w:line="240" w:lineRule="auto"/>
              <w:ind w:right="39"/>
              <w:jc w:val="center"/>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乙</w:t>
            </w:r>
          </w:p>
        </w:tc>
        <w:tc>
          <w:tcPr>
            <w:tcW w:w="422" w:type="dxa"/>
          </w:tcPr>
          <w:p w14:paraId="0BF11AEC">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Theme="minorEastAsia" w:hAnsiTheme="minorEastAsia" w:eastAsiaTheme="minorEastAsia" w:cstheme="minorEastAsia"/>
                <w:kern w:val="0"/>
                <w:sz w:val="24"/>
                <w:szCs w:val="24"/>
                <w:lang w:eastAsia="en-US"/>
              </w:rPr>
            </w:pPr>
          </w:p>
        </w:tc>
        <w:tc>
          <w:tcPr>
            <w:tcW w:w="422" w:type="dxa"/>
          </w:tcPr>
          <w:p w14:paraId="69731EE8">
            <w:pPr>
              <w:keepNext w:val="0"/>
              <w:keepLines w:val="0"/>
              <w:pageBreakBefore w:val="0"/>
              <w:widowControl w:val="0"/>
              <w:kinsoku/>
              <w:wordWrap/>
              <w:overflowPunct/>
              <w:topLinePunct w:val="0"/>
              <w:autoSpaceDE w:val="0"/>
              <w:autoSpaceDN w:val="0"/>
              <w:bidi w:val="0"/>
              <w:adjustRightInd/>
              <w:snapToGrid/>
              <w:spacing w:before="33" w:line="240" w:lineRule="auto"/>
              <w:ind w:right="89"/>
              <w:jc w:val="righ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方</w:t>
            </w:r>
          </w:p>
        </w:tc>
        <w:tc>
          <w:tcPr>
            <w:tcW w:w="422" w:type="dxa"/>
          </w:tcPr>
          <w:p w14:paraId="05AF357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Theme="minorEastAsia" w:hAnsiTheme="minorEastAsia" w:eastAsiaTheme="minorEastAsia" w:cstheme="minorEastAsia"/>
                <w:kern w:val="0"/>
                <w:sz w:val="24"/>
                <w:szCs w:val="24"/>
                <w:lang w:eastAsia="en-US"/>
              </w:rPr>
            </w:pPr>
          </w:p>
        </w:tc>
        <w:tc>
          <w:tcPr>
            <w:tcW w:w="499" w:type="dxa"/>
          </w:tcPr>
          <w:p w14:paraId="3C77149C">
            <w:pPr>
              <w:keepNext w:val="0"/>
              <w:keepLines w:val="0"/>
              <w:pageBreakBefore w:val="0"/>
              <w:widowControl w:val="0"/>
              <w:kinsoku/>
              <w:wordWrap/>
              <w:overflowPunct/>
              <w:topLinePunct w:val="0"/>
              <w:autoSpaceDE w:val="0"/>
              <w:autoSpaceDN w:val="0"/>
              <w:bidi w:val="0"/>
              <w:adjustRightInd/>
              <w:snapToGrid/>
              <w:spacing w:before="33" w:line="240" w:lineRule="auto"/>
              <w:ind w:left="91"/>
              <w:jc w:val="lef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w:t>
            </w:r>
          </w:p>
        </w:tc>
        <w:tc>
          <w:tcPr>
            <w:tcW w:w="3998" w:type="dxa"/>
          </w:tcPr>
          <w:p w14:paraId="42F36D4D">
            <w:pPr>
              <w:keepNext w:val="0"/>
              <w:keepLines w:val="0"/>
              <w:pageBreakBefore w:val="0"/>
              <w:widowControl w:val="0"/>
              <w:tabs>
                <w:tab w:val="left" w:pos="3779"/>
              </w:tabs>
              <w:kinsoku/>
              <w:wordWrap/>
              <w:overflowPunct/>
              <w:topLinePunct w:val="0"/>
              <w:autoSpaceDE w:val="0"/>
              <w:autoSpaceDN w:val="0"/>
              <w:bidi w:val="0"/>
              <w:adjustRightInd/>
              <w:snapToGrid/>
              <w:spacing w:before="89" w:line="240" w:lineRule="auto"/>
              <w:ind w:right="48"/>
              <w:jc w:val="righ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u w:val="single"/>
                <w:lang w:eastAsia="en-US"/>
              </w:rPr>
              <w:tab/>
            </w:r>
          </w:p>
        </w:tc>
      </w:tr>
    </w:tbl>
    <w:p w14:paraId="6B967497">
      <w:pPr>
        <w:keepNext w:val="0"/>
        <w:keepLines w:val="0"/>
        <w:pageBreakBefore w:val="0"/>
        <w:widowControl w:val="0"/>
        <w:kinsoku/>
        <w:wordWrap/>
        <w:overflowPunct/>
        <w:topLinePunct w:val="0"/>
        <w:autoSpaceDE w:val="0"/>
        <w:autoSpaceDN w:val="0"/>
        <w:bidi w:val="0"/>
        <w:adjustRightInd/>
        <w:snapToGrid/>
        <w:spacing w:before="5" w:line="240" w:lineRule="auto"/>
        <w:jc w:val="left"/>
        <w:textAlignment w:val="auto"/>
        <w:rPr>
          <w:rFonts w:hint="eastAsia" w:asciiTheme="minorEastAsia" w:hAnsiTheme="minorEastAsia" w:eastAsiaTheme="minorEastAsia" w:cstheme="minorEastAsia"/>
          <w:b/>
          <w:kern w:val="0"/>
          <w:sz w:val="24"/>
          <w:szCs w:val="24"/>
          <w:lang w:eastAsia="en-US"/>
        </w:rPr>
      </w:pPr>
    </w:p>
    <w:p w14:paraId="6AAFD040">
      <w:pPr>
        <w:keepNext w:val="0"/>
        <w:keepLines w:val="0"/>
        <w:pageBreakBefore w:val="0"/>
        <w:widowControl w:val="0"/>
        <w:tabs>
          <w:tab w:val="left" w:pos="2663"/>
          <w:tab w:val="left" w:pos="6443"/>
        </w:tabs>
        <w:kinsoku/>
        <w:wordWrap/>
        <w:overflowPunct/>
        <w:topLinePunct w:val="0"/>
        <w:autoSpaceDE w:val="0"/>
        <w:autoSpaceDN w:val="0"/>
        <w:bidi w:val="0"/>
        <w:adjustRightInd/>
        <w:snapToGrid/>
        <w:spacing w:before="26" w:line="240" w:lineRule="auto"/>
        <w:ind w:left="398"/>
        <w:jc w:val="lef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spacing w:val="35"/>
          <w:kern w:val="0"/>
          <w:sz w:val="24"/>
          <w:szCs w:val="24"/>
          <w:lang w:eastAsia="en-US"/>
        </w:rPr>
        <w:t>合同签订日期：</w:t>
      </w:r>
      <w:r>
        <w:rPr>
          <w:rFonts w:hint="eastAsia" w:asciiTheme="minorEastAsia" w:hAnsiTheme="minorEastAsia" w:eastAsiaTheme="minorEastAsia" w:cstheme="minorEastAsia"/>
          <w:spacing w:val="35"/>
          <w:kern w:val="0"/>
          <w:sz w:val="24"/>
          <w:szCs w:val="24"/>
          <w:lang w:eastAsia="en-US"/>
        </w:rPr>
        <w:tab/>
      </w:r>
      <w:r>
        <w:rPr>
          <w:rFonts w:hint="eastAsia" w:asciiTheme="minorEastAsia" w:hAnsiTheme="minorEastAsia" w:eastAsiaTheme="minorEastAsia" w:cstheme="minorEastAsia"/>
          <w:spacing w:val="35"/>
          <w:kern w:val="0"/>
          <w:sz w:val="24"/>
          <w:szCs w:val="24"/>
          <w:u w:val="single"/>
          <w:lang w:eastAsia="en-US"/>
        </w:rPr>
        <w:tab/>
      </w:r>
    </w:p>
    <w:p w14:paraId="2BE29DBA">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Theme="minorEastAsia" w:hAnsiTheme="minorEastAsia" w:eastAsiaTheme="minorEastAsia" w:cstheme="minorEastAsia"/>
          <w:kern w:val="0"/>
          <w:sz w:val="24"/>
          <w:szCs w:val="24"/>
          <w:lang w:eastAsia="en-US"/>
        </w:rPr>
        <w:sectPr>
          <w:pgSz w:w="11910" w:h="16840"/>
          <w:pgMar w:top="1380" w:right="1680" w:bottom="1200" w:left="1680" w:header="0" w:footer="1006" w:gutter="0"/>
          <w:cols w:space="720" w:num="1"/>
        </w:sectPr>
      </w:pPr>
    </w:p>
    <w:p w14:paraId="5738AE5C">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Theme="minorEastAsia" w:hAnsiTheme="minorEastAsia" w:eastAsiaTheme="minorEastAsia" w:cstheme="minorEastAsia"/>
          <w:kern w:val="0"/>
          <w:sz w:val="24"/>
          <w:szCs w:val="24"/>
          <w:lang w:eastAsia="en-US"/>
        </w:rPr>
      </w:pPr>
    </w:p>
    <w:p w14:paraId="5E263F0D">
      <w:pPr>
        <w:keepNext w:val="0"/>
        <w:keepLines w:val="0"/>
        <w:pageBreakBefore w:val="0"/>
        <w:widowControl w:val="0"/>
        <w:tabs>
          <w:tab w:val="left" w:pos="5019"/>
        </w:tabs>
        <w:kinsoku/>
        <w:wordWrap/>
        <w:overflowPunct/>
        <w:topLinePunct w:val="0"/>
        <w:autoSpaceDE w:val="0"/>
        <w:autoSpaceDN w:val="0"/>
        <w:bidi w:val="0"/>
        <w:adjustRightInd/>
        <w:snapToGrid/>
        <w:spacing w:before="158" w:line="240" w:lineRule="auto"/>
        <w:ind w:left="460" w:right="3519"/>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甲方：</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（以下称甲方）</w:t>
      </w:r>
    </w:p>
    <w:p w14:paraId="4C257BC9">
      <w:pPr>
        <w:keepNext w:val="0"/>
        <w:keepLines w:val="0"/>
        <w:pageBreakBefore w:val="0"/>
        <w:widowControl w:val="0"/>
        <w:tabs>
          <w:tab w:val="left" w:pos="5019"/>
        </w:tabs>
        <w:kinsoku/>
        <w:wordWrap/>
        <w:overflowPunct/>
        <w:topLinePunct w:val="0"/>
        <w:autoSpaceDE w:val="0"/>
        <w:autoSpaceDN w:val="0"/>
        <w:bidi w:val="0"/>
        <w:adjustRightInd/>
        <w:snapToGrid/>
        <w:spacing w:before="158" w:line="240" w:lineRule="auto"/>
        <w:ind w:left="460" w:right="3519"/>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乙方：</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（以下称乙方）</w:t>
      </w:r>
    </w:p>
    <w:p w14:paraId="02378AAC">
      <w:pPr>
        <w:keepNext w:val="0"/>
        <w:keepLines w:val="0"/>
        <w:pageBreakBefore w:val="0"/>
        <w:widowControl w:val="0"/>
        <w:kinsoku/>
        <w:wordWrap/>
        <w:overflowPunct/>
        <w:topLinePunct w:val="0"/>
        <w:autoSpaceDE w:val="0"/>
        <w:autoSpaceDN w:val="0"/>
        <w:bidi w:val="0"/>
        <w:adjustRightInd/>
        <w:snapToGrid/>
        <w:spacing w:before="31" w:line="240" w:lineRule="auto"/>
        <w:ind w:left="100" w:right="237"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根</w:t>
      </w:r>
      <w:r>
        <w:rPr>
          <w:rFonts w:hint="eastAsia" w:asciiTheme="minorEastAsia" w:hAnsiTheme="minorEastAsia" w:eastAsiaTheme="minorEastAsia" w:cstheme="minorEastAsia"/>
          <w:spacing w:val="-41"/>
          <w:kern w:val="0"/>
          <w:sz w:val="24"/>
          <w:szCs w:val="24"/>
        </w:rPr>
        <w:t>据</w:t>
      </w:r>
      <w:r>
        <w:rPr>
          <w:rFonts w:hint="eastAsia" w:asciiTheme="minorEastAsia" w:hAnsiTheme="minorEastAsia" w:eastAsiaTheme="minorEastAsia" w:cstheme="minorEastAsia"/>
          <w:kern w:val="0"/>
          <w:sz w:val="24"/>
          <w:szCs w:val="24"/>
        </w:rPr>
        <w:t>《中华人民共和国民法典</w:t>
      </w:r>
      <w:r>
        <w:rPr>
          <w:rFonts w:hint="eastAsia" w:asciiTheme="minorEastAsia" w:hAnsiTheme="minorEastAsia" w:eastAsiaTheme="minorEastAsia" w:cstheme="minorEastAsia"/>
          <w:spacing w:val="-39"/>
          <w:kern w:val="0"/>
          <w:sz w:val="24"/>
          <w:szCs w:val="24"/>
        </w:rPr>
        <w:t>》</w:t>
      </w:r>
      <w:r>
        <w:rPr>
          <w:rFonts w:hint="eastAsia" w:asciiTheme="minorEastAsia" w:hAnsiTheme="minorEastAsia" w:eastAsiaTheme="minorEastAsia" w:cstheme="minorEastAsia"/>
          <w:kern w:val="0"/>
          <w:sz w:val="24"/>
          <w:szCs w:val="24"/>
        </w:rPr>
        <w:t>等相关法律法规的规定，甲方经政府招标采购确定乙方作为</w:t>
      </w:r>
      <w:r>
        <w:rPr>
          <w:rFonts w:hint="eastAsia" w:asciiTheme="minorEastAsia" w:hAnsiTheme="minorEastAsia" w:eastAsiaTheme="minorEastAsia" w:cstheme="minorEastAsia"/>
          <w:kern w:val="0"/>
          <w:sz w:val="24"/>
          <w:szCs w:val="24"/>
          <w:u w:val="single"/>
          <w:lang w:val="en-US" w:eastAsia="zh-CN"/>
        </w:rPr>
        <w:t xml:space="preserve">  </w:t>
      </w:r>
      <w:r>
        <w:rPr>
          <w:rFonts w:hint="eastAsia" w:asciiTheme="minorEastAsia" w:hAnsiTheme="minorEastAsia" w:eastAsiaTheme="minorEastAsia" w:cstheme="minorEastAsia"/>
          <w:kern w:val="0"/>
          <w:sz w:val="24"/>
          <w:szCs w:val="24"/>
          <w:highlight w:val="none"/>
          <w:u w:val="single"/>
          <w:lang w:eastAsia="zh-CN"/>
        </w:rPr>
        <w:t>陕州区智慧消防火眼AI火情智能预警建设项目</w:t>
      </w:r>
      <w:r>
        <w:rPr>
          <w:rFonts w:hint="eastAsia" w:asciiTheme="minorEastAsia" w:hAnsiTheme="minorEastAsia" w:eastAsiaTheme="minorEastAsia" w:cstheme="minorEastAsia"/>
          <w:kern w:val="0"/>
          <w:sz w:val="24"/>
          <w:szCs w:val="24"/>
          <w:u w:val="single"/>
        </w:rPr>
        <w:t xml:space="preserve">  </w:t>
      </w:r>
      <w:r>
        <w:rPr>
          <w:rFonts w:hint="eastAsia" w:asciiTheme="minorEastAsia" w:hAnsiTheme="minorEastAsia" w:eastAsiaTheme="minorEastAsia" w:cstheme="minorEastAsia"/>
          <w:kern w:val="0"/>
          <w:sz w:val="24"/>
          <w:szCs w:val="24"/>
        </w:rPr>
        <w:t>的技术服务单位，经双方充分协商一致，签订本合同。</w:t>
      </w:r>
    </w:p>
    <w:p w14:paraId="1E17B6D5">
      <w:pPr>
        <w:keepNext w:val="0"/>
        <w:keepLines w:val="0"/>
        <w:pageBreakBefore w:val="0"/>
        <w:widowControl w:val="0"/>
        <w:kinsoku/>
        <w:wordWrap/>
        <w:overflowPunct/>
        <w:topLinePunct w:val="0"/>
        <w:autoSpaceDE w:val="0"/>
        <w:autoSpaceDN w:val="0"/>
        <w:bidi w:val="0"/>
        <w:adjustRightInd/>
        <w:snapToGrid/>
        <w:spacing w:before="31" w:line="240" w:lineRule="auto"/>
        <w:ind w:left="100" w:firstLine="482" w:firstLineChars="200"/>
        <w:jc w:val="left"/>
        <w:textAlignment w:val="auto"/>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一、服务范围</w:t>
      </w:r>
    </w:p>
    <w:p w14:paraId="377349DF">
      <w:pPr>
        <w:keepNext w:val="0"/>
        <w:keepLines w:val="0"/>
        <w:pageBreakBefore w:val="0"/>
        <w:widowControl w:val="0"/>
        <w:kinsoku/>
        <w:wordWrap/>
        <w:overflowPunct/>
        <w:topLinePunct w:val="0"/>
        <w:autoSpaceDE w:val="0"/>
        <w:autoSpaceDN w:val="0"/>
        <w:bidi w:val="0"/>
        <w:adjustRightInd/>
        <w:snapToGrid/>
        <w:spacing w:before="146" w:line="240" w:lineRule="auto"/>
        <w:ind w:left="100" w:right="5799"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开展/。</w:t>
      </w:r>
    </w:p>
    <w:p w14:paraId="724BF0D2">
      <w:pPr>
        <w:keepNext w:val="0"/>
        <w:keepLines w:val="0"/>
        <w:pageBreakBefore w:val="0"/>
        <w:widowControl w:val="0"/>
        <w:numPr>
          <w:ilvl w:val="0"/>
          <w:numId w:val="0"/>
        </w:numPr>
        <w:kinsoku/>
        <w:wordWrap/>
        <w:overflowPunct/>
        <w:topLinePunct w:val="0"/>
        <w:autoSpaceDE w:val="0"/>
        <w:autoSpaceDN w:val="0"/>
        <w:bidi w:val="0"/>
        <w:adjustRightInd/>
        <w:snapToGrid/>
        <w:spacing w:before="146" w:line="240" w:lineRule="auto"/>
        <w:ind w:right="5799" w:rightChars="0" w:firstLine="476" w:firstLineChars="200"/>
        <w:jc w:val="left"/>
        <w:textAlignment w:val="auto"/>
        <w:rPr>
          <w:rFonts w:hint="eastAsia" w:asciiTheme="minorEastAsia" w:hAnsiTheme="minorEastAsia" w:eastAsiaTheme="minorEastAsia" w:cstheme="minorEastAsia"/>
          <w:b/>
          <w:w w:val="99"/>
          <w:kern w:val="0"/>
          <w:sz w:val="24"/>
          <w:szCs w:val="24"/>
        </w:rPr>
      </w:pPr>
      <w:r>
        <w:rPr>
          <w:rFonts w:hint="eastAsia" w:asciiTheme="minorEastAsia" w:hAnsiTheme="minorEastAsia" w:eastAsiaTheme="minorEastAsia" w:cstheme="minorEastAsia"/>
          <w:b/>
          <w:w w:val="99"/>
          <w:kern w:val="0"/>
          <w:sz w:val="24"/>
          <w:szCs w:val="24"/>
          <w:lang w:val="en-US" w:eastAsia="zh-CN"/>
        </w:rPr>
        <w:t>二、</w:t>
      </w:r>
      <w:r>
        <w:rPr>
          <w:rFonts w:hint="eastAsia" w:asciiTheme="minorEastAsia" w:hAnsiTheme="minorEastAsia" w:eastAsiaTheme="minorEastAsia" w:cstheme="minorEastAsia"/>
          <w:b/>
          <w:w w:val="99"/>
          <w:kern w:val="0"/>
          <w:sz w:val="24"/>
          <w:szCs w:val="24"/>
        </w:rPr>
        <w:t>主</w:t>
      </w:r>
      <w:r>
        <w:rPr>
          <w:rFonts w:hint="eastAsia" w:asciiTheme="minorEastAsia" w:hAnsiTheme="minorEastAsia" w:eastAsiaTheme="minorEastAsia" w:cstheme="minorEastAsia"/>
          <w:b/>
          <w:spacing w:val="2"/>
          <w:w w:val="99"/>
          <w:kern w:val="0"/>
          <w:sz w:val="24"/>
          <w:szCs w:val="24"/>
        </w:rPr>
        <w:t>要</w:t>
      </w:r>
      <w:r>
        <w:rPr>
          <w:rFonts w:hint="eastAsia" w:asciiTheme="minorEastAsia" w:hAnsiTheme="minorEastAsia" w:eastAsiaTheme="minorEastAsia" w:cstheme="minorEastAsia"/>
          <w:b/>
          <w:w w:val="99"/>
          <w:kern w:val="0"/>
          <w:sz w:val="24"/>
          <w:szCs w:val="24"/>
        </w:rPr>
        <w:t>工作</w:t>
      </w:r>
      <w:r>
        <w:rPr>
          <w:rFonts w:hint="eastAsia" w:asciiTheme="minorEastAsia" w:hAnsiTheme="minorEastAsia" w:eastAsiaTheme="minorEastAsia" w:cstheme="minorEastAsia"/>
          <w:b/>
          <w:spacing w:val="2"/>
          <w:w w:val="99"/>
          <w:kern w:val="0"/>
          <w:sz w:val="24"/>
          <w:szCs w:val="24"/>
        </w:rPr>
        <w:t>内</w:t>
      </w:r>
      <w:r>
        <w:rPr>
          <w:rFonts w:hint="eastAsia" w:asciiTheme="minorEastAsia" w:hAnsiTheme="minorEastAsia" w:eastAsiaTheme="minorEastAsia" w:cstheme="minorEastAsia"/>
          <w:b/>
          <w:w w:val="99"/>
          <w:kern w:val="0"/>
          <w:sz w:val="24"/>
          <w:szCs w:val="24"/>
        </w:rPr>
        <w:t>容：</w:t>
      </w:r>
    </w:p>
    <w:p w14:paraId="22DA92C7">
      <w:pPr>
        <w:keepNext w:val="0"/>
        <w:keepLines w:val="0"/>
        <w:pageBreakBefore w:val="0"/>
        <w:widowControl w:val="0"/>
        <w:kinsoku/>
        <w:wordWrap/>
        <w:overflowPunct/>
        <w:topLinePunct w:val="0"/>
        <w:autoSpaceDE w:val="0"/>
        <w:autoSpaceDN w:val="0"/>
        <w:bidi w:val="0"/>
        <w:adjustRightInd/>
        <w:snapToGrid/>
        <w:spacing w:before="146" w:line="240" w:lineRule="auto"/>
        <w:ind w:left="580" w:right="5799"/>
        <w:jc w:val="left"/>
        <w:textAlignment w:val="auto"/>
        <w:rPr>
          <w:rFonts w:hint="eastAsia" w:asciiTheme="minorEastAsia" w:hAnsiTheme="minorEastAsia" w:eastAsiaTheme="minorEastAsia" w:cstheme="minorEastAsia"/>
          <w:b/>
          <w:kern w:val="0"/>
          <w:sz w:val="24"/>
          <w:szCs w:val="24"/>
          <w:u w:val="single"/>
          <w:lang w:eastAsia="zh-CN"/>
        </w:rPr>
      </w:pPr>
      <w:r>
        <w:rPr>
          <w:rFonts w:hint="eastAsia" w:asciiTheme="minorEastAsia" w:hAnsiTheme="minorEastAsia" w:eastAsiaTheme="minorEastAsia" w:cstheme="minorEastAsia"/>
          <w:b/>
          <w:w w:val="99"/>
          <w:kern w:val="0"/>
          <w:sz w:val="24"/>
          <w:szCs w:val="24"/>
          <w:u w:val="single"/>
        </w:rPr>
        <w:t xml:space="preserve">                </w:t>
      </w:r>
      <w:r>
        <w:rPr>
          <w:rFonts w:hint="eastAsia" w:asciiTheme="minorEastAsia" w:hAnsiTheme="minorEastAsia" w:eastAsiaTheme="minorEastAsia" w:cstheme="minorEastAsia"/>
          <w:b/>
          <w:w w:val="99"/>
          <w:kern w:val="0"/>
          <w:sz w:val="24"/>
          <w:szCs w:val="24"/>
          <w:u w:val="single"/>
          <w:lang w:val="en-US" w:eastAsia="zh-CN"/>
        </w:rPr>
        <w:t xml:space="preserve"> </w:t>
      </w:r>
      <w:r>
        <w:rPr>
          <w:rFonts w:hint="eastAsia" w:asciiTheme="minorEastAsia" w:hAnsiTheme="minorEastAsia" w:eastAsiaTheme="minorEastAsia" w:cstheme="minorEastAsia"/>
          <w:b/>
          <w:w w:val="99"/>
          <w:kern w:val="0"/>
          <w:sz w:val="24"/>
          <w:szCs w:val="24"/>
          <w:u w:val="single"/>
        </w:rPr>
        <w:t xml:space="preserve">   </w:t>
      </w:r>
      <w:r>
        <w:rPr>
          <w:rFonts w:hint="eastAsia" w:asciiTheme="minorEastAsia" w:hAnsiTheme="minorEastAsia" w:eastAsiaTheme="minorEastAsia" w:cstheme="minorEastAsia"/>
          <w:b/>
          <w:w w:val="99"/>
          <w:kern w:val="0"/>
          <w:sz w:val="24"/>
          <w:szCs w:val="24"/>
          <w:u w:val="none"/>
          <w:lang w:eastAsia="zh-CN"/>
        </w:rPr>
        <w:t>。</w:t>
      </w:r>
    </w:p>
    <w:p w14:paraId="39E0EB53">
      <w:pPr>
        <w:keepNext w:val="0"/>
        <w:keepLines w:val="0"/>
        <w:pageBreakBefore w:val="0"/>
        <w:widowControl w:val="0"/>
        <w:kinsoku/>
        <w:wordWrap/>
        <w:overflowPunct/>
        <w:topLinePunct w:val="0"/>
        <w:autoSpaceDE w:val="0"/>
        <w:autoSpaceDN w:val="0"/>
        <w:bidi w:val="0"/>
        <w:adjustRightInd/>
        <w:snapToGrid/>
        <w:spacing w:before="31" w:line="240" w:lineRule="auto"/>
        <w:ind w:firstLine="482" w:firstLineChars="200"/>
        <w:jc w:val="left"/>
        <w:textAlignment w:val="auto"/>
        <w:outlineLvl w:val="3"/>
        <w:rPr>
          <w:rFonts w:hint="eastAsia" w:asciiTheme="minorEastAsia" w:hAnsiTheme="minorEastAsia" w:eastAsiaTheme="minorEastAsia" w:cstheme="minorEastAsia"/>
          <w:b/>
          <w:bCs/>
          <w:kern w:val="0"/>
          <w:sz w:val="24"/>
          <w:szCs w:val="24"/>
          <w:lang w:val="en-US" w:eastAsia="zh-CN"/>
        </w:rPr>
      </w:pPr>
      <w:r>
        <w:rPr>
          <w:rFonts w:hint="eastAsia" w:asciiTheme="minorEastAsia" w:hAnsiTheme="minorEastAsia" w:eastAsiaTheme="minorEastAsia" w:cstheme="minorEastAsia"/>
          <w:b/>
          <w:bCs/>
          <w:kern w:val="0"/>
          <w:sz w:val="24"/>
          <w:szCs w:val="24"/>
          <w:lang w:val="en-US" w:eastAsia="zh-CN"/>
        </w:rPr>
        <w:t>三、</w:t>
      </w:r>
      <w:r>
        <w:rPr>
          <w:rFonts w:hint="eastAsia" w:asciiTheme="minorEastAsia" w:hAnsiTheme="minorEastAsia" w:eastAsiaTheme="minorEastAsia" w:cstheme="minorEastAsia"/>
          <w:b/>
          <w:bCs/>
          <w:kern w:val="0"/>
          <w:sz w:val="24"/>
          <w:szCs w:val="24"/>
        </w:rPr>
        <w:t>工作依据</w:t>
      </w:r>
      <w:r>
        <w:rPr>
          <w:rFonts w:hint="eastAsia" w:asciiTheme="minorEastAsia" w:hAnsiTheme="minorEastAsia" w:eastAsiaTheme="minorEastAsia" w:cstheme="minorEastAsia"/>
          <w:b/>
          <w:bCs/>
          <w:kern w:val="0"/>
          <w:sz w:val="24"/>
          <w:szCs w:val="24"/>
          <w:lang w:val="en-US" w:eastAsia="zh-CN"/>
        </w:rPr>
        <w:t xml:space="preserve"> </w:t>
      </w:r>
    </w:p>
    <w:p w14:paraId="1DDB3A5A">
      <w:pPr>
        <w:keepNext w:val="0"/>
        <w:keepLines w:val="0"/>
        <w:pageBreakBefore w:val="0"/>
        <w:widowControl w:val="0"/>
        <w:kinsoku/>
        <w:wordWrap/>
        <w:overflowPunct/>
        <w:topLinePunct w:val="0"/>
        <w:autoSpaceDE w:val="0"/>
        <w:autoSpaceDN w:val="0"/>
        <w:bidi w:val="0"/>
        <w:adjustRightInd/>
        <w:snapToGrid/>
        <w:spacing w:before="146" w:line="240" w:lineRule="auto"/>
        <w:ind w:left="508"/>
        <w:jc w:val="left"/>
        <w:textAlignment w:val="auto"/>
        <w:rPr>
          <w:rFonts w:hint="eastAsia" w:asciiTheme="minorEastAsia" w:hAnsiTheme="minorEastAsia" w:eastAsiaTheme="minorEastAsia" w:cstheme="minorEastAsia"/>
          <w:kern w:val="0"/>
          <w:sz w:val="24"/>
          <w:szCs w:val="24"/>
          <w:u w:val="single"/>
          <w:lang w:eastAsia="zh-CN"/>
        </w:rPr>
      </w:pPr>
      <w:r>
        <w:rPr>
          <w:rFonts w:hint="eastAsia" w:asciiTheme="minorEastAsia" w:hAnsiTheme="minorEastAsia" w:eastAsiaTheme="minorEastAsia" w:cstheme="minorEastAsia"/>
          <w:kern w:val="0"/>
          <w:sz w:val="24"/>
          <w:szCs w:val="24"/>
          <w:u w:val="single"/>
        </w:rPr>
        <w:t xml:space="preserve">                    </w:t>
      </w:r>
      <w:r>
        <w:rPr>
          <w:rFonts w:hint="eastAsia" w:asciiTheme="minorEastAsia" w:hAnsiTheme="minorEastAsia" w:eastAsiaTheme="minorEastAsia" w:cstheme="minorEastAsia"/>
          <w:kern w:val="0"/>
          <w:sz w:val="24"/>
          <w:szCs w:val="24"/>
          <w:u w:val="none"/>
          <w:lang w:eastAsia="zh-CN"/>
        </w:rPr>
        <w:t>。</w:t>
      </w:r>
    </w:p>
    <w:p w14:paraId="75FFE5F2">
      <w:pPr>
        <w:keepNext w:val="0"/>
        <w:keepLines w:val="0"/>
        <w:pageBreakBefore w:val="0"/>
        <w:widowControl w:val="0"/>
        <w:kinsoku/>
        <w:wordWrap/>
        <w:overflowPunct/>
        <w:topLinePunct w:val="0"/>
        <w:autoSpaceDE w:val="0"/>
        <w:autoSpaceDN w:val="0"/>
        <w:bidi w:val="0"/>
        <w:adjustRightInd/>
        <w:snapToGrid/>
        <w:spacing w:before="146" w:line="240" w:lineRule="auto"/>
        <w:ind w:left="508"/>
        <w:jc w:val="left"/>
        <w:textAlignment w:val="auto"/>
        <w:rPr>
          <w:rFonts w:hint="eastAsia" w:asciiTheme="minorEastAsia" w:hAnsiTheme="minorEastAsia" w:eastAsiaTheme="minorEastAsia" w:cstheme="minorEastAsia"/>
          <w:b/>
          <w:bCs/>
          <w:w w:val="99"/>
          <w:kern w:val="0"/>
          <w:sz w:val="24"/>
          <w:szCs w:val="24"/>
          <w:lang w:eastAsia="zh-CN"/>
        </w:rPr>
      </w:pPr>
      <w:r>
        <w:rPr>
          <w:rFonts w:hint="eastAsia" w:asciiTheme="minorEastAsia" w:hAnsiTheme="minorEastAsia" w:eastAsiaTheme="minorEastAsia" w:cstheme="minorEastAsia"/>
          <w:b/>
          <w:bCs/>
          <w:kern w:val="0"/>
          <w:sz w:val="24"/>
          <w:szCs w:val="24"/>
          <w:u w:val="none"/>
          <w:lang w:val="en-US" w:eastAsia="zh-CN"/>
        </w:rPr>
        <w:t>四、</w:t>
      </w:r>
      <w:r>
        <w:rPr>
          <w:rFonts w:hint="eastAsia" w:asciiTheme="minorEastAsia" w:hAnsiTheme="minorEastAsia" w:eastAsiaTheme="minorEastAsia" w:cstheme="minorEastAsia"/>
          <w:b/>
          <w:bCs/>
          <w:w w:val="99"/>
          <w:kern w:val="0"/>
          <w:sz w:val="24"/>
          <w:szCs w:val="24"/>
          <w:lang w:eastAsia="zh-CN"/>
        </w:rPr>
        <w:t>服务期限</w:t>
      </w:r>
    </w:p>
    <w:p w14:paraId="3AE6488D">
      <w:pPr>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Chars="0" w:right="0" w:rightChars="0" w:firstLine="480" w:firstLineChars="20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eastAsia="zh-CN"/>
        </w:rPr>
        <w:t>服务期限</w:t>
      </w:r>
      <w:r>
        <w:rPr>
          <w:rFonts w:hint="eastAsia" w:asciiTheme="minorEastAsia" w:hAnsiTheme="minorEastAsia" w:eastAsiaTheme="minorEastAsia" w:cstheme="minorEastAsia"/>
          <w:kern w:val="0"/>
          <w:sz w:val="24"/>
          <w:szCs w:val="24"/>
        </w:rPr>
        <w:t>：</w:t>
      </w:r>
    </w:p>
    <w:p w14:paraId="756C4F1A">
      <w:pPr>
        <w:keepNext w:val="0"/>
        <w:keepLines w:val="0"/>
        <w:pageBreakBefore w:val="0"/>
        <w:widowControl w:val="0"/>
        <w:kinsoku/>
        <w:wordWrap/>
        <w:overflowPunct/>
        <w:topLinePunct w:val="0"/>
        <w:autoSpaceDE w:val="0"/>
        <w:autoSpaceDN w:val="0"/>
        <w:bidi w:val="0"/>
        <w:adjustRightInd/>
        <w:snapToGrid/>
        <w:spacing w:before="146" w:line="240" w:lineRule="auto"/>
        <w:ind w:left="100" w:firstLine="482" w:firstLineChars="200"/>
        <w:jc w:val="left"/>
        <w:textAlignment w:val="auto"/>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五、提交成果内容及要求</w:t>
      </w:r>
    </w:p>
    <w:p w14:paraId="610A3012">
      <w:pPr>
        <w:keepNext w:val="0"/>
        <w:keepLines w:val="0"/>
        <w:pageBreakBefore w:val="0"/>
        <w:widowControl w:val="0"/>
        <w:numPr>
          <w:ilvl w:val="1"/>
          <w:numId w:val="3"/>
        </w:numPr>
        <w:tabs>
          <w:tab w:val="left" w:pos="1000"/>
        </w:tabs>
        <w:kinsoku/>
        <w:wordWrap/>
        <w:overflowPunct/>
        <w:topLinePunct w:val="0"/>
        <w:autoSpaceDE w:val="0"/>
        <w:autoSpaceDN w:val="0"/>
        <w:bidi w:val="0"/>
        <w:adjustRightInd/>
        <w:snapToGrid/>
        <w:spacing w:before="146" w:line="240" w:lineRule="auto"/>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lang w:eastAsia="en-US"/>
        </w:rPr>
        <w:t>提交成果内容</w:t>
      </w:r>
      <w:r>
        <w:rPr>
          <w:rFonts w:hint="eastAsia" w:asciiTheme="minorEastAsia" w:hAnsiTheme="minorEastAsia" w:eastAsiaTheme="minorEastAsia" w:cstheme="minorEastAsia"/>
          <w:kern w:val="0"/>
          <w:sz w:val="24"/>
          <w:szCs w:val="24"/>
          <w:u w:val="single"/>
          <w:lang w:val="en-US" w:eastAsia="zh-CN"/>
        </w:rPr>
        <w:t xml:space="preserve">      </w:t>
      </w:r>
      <w:r>
        <w:rPr>
          <w:rFonts w:hint="eastAsia" w:asciiTheme="minorEastAsia" w:hAnsiTheme="minorEastAsia" w:eastAsiaTheme="minorEastAsia" w:cstheme="minorEastAsia"/>
          <w:kern w:val="0"/>
          <w:sz w:val="24"/>
          <w:szCs w:val="24"/>
        </w:rPr>
        <w:t>。</w:t>
      </w:r>
    </w:p>
    <w:p w14:paraId="222ABC2E">
      <w:pPr>
        <w:keepNext w:val="0"/>
        <w:keepLines w:val="0"/>
        <w:pageBreakBefore w:val="0"/>
        <w:widowControl w:val="0"/>
        <w:numPr>
          <w:ilvl w:val="1"/>
          <w:numId w:val="3"/>
        </w:numPr>
        <w:tabs>
          <w:tab w:val="left" w:pos="1000"/>
        </w:tabs>
        <w:kinsoku/>
        <w:wordWrap/>
        <w:overflowPunct/>
        <w:topLinePunct w:val="0"/>
        <w:autoSpaceDE w:val="0"/>
        <w:autoSpaceDN w:val="0"/>
        <w:bidi w:val="0"/>
        <w:adjustRightInd/>
        <w:snapToGrid/>
        <w:spacing w:before="34" w:line="240" w:lineRule="auto"/>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提交成果要求</w:t>
      </w:r>
      <w:r>
        <w:rPr>
          <w:rFonts w:hint="eastAsia" w:asciiTheme="minorEastAsia" w:hAnsiTheme="minorEastAsia" w:eastAsiaTheme="minorEastAsia" w:cstheme="minorEastAsia"/>
          <w:kern w:val="0"/>
          <w:sz w:val="24"/>
          <w:szCs w:val="24"/>
          <w:u w:val="single"/>
          <w:lang w:val="en-US" w:eastAsia="zh-CN"/>
        </w:rPr>
        <w:t xml:space="preserve">      </w:t>
      </w:r>
      <w:r>
        <w:rPr>
          <w:rFonts w:hint="eastAsia" w:asciiTheme="minorEastAsia" w:hAnsiTheme="minorEastAsia" w:eastAsiaTheme="minorEastAsia" w:cstheme="minorEastAsia"/>
          <w:kern w:val="0"/>
          <w:sz w:val="24"/>
          <w:szCs w:val="24"/>
        </w:rPr>
        <w:t>。</w:t>
      </w:r>
    </w:p>
    <w:p w14:paraId="4D144AC6">
      <w:pPr>
        <w:keepNext w:val="0"/>
        <w:keepLines w:val="0"/>
        <w:pageBreakBefore w:val="0"/>
        <w:widowControl w:val="0"/>
        <w:kinsoku/>
        <w:wordWrap/>
        <w:overflowPunct/>
        <w:topLinePunct w:val="0"/>
        <w:autoSpaceDE w:val="0"/>
        <w:autoSpaceDN w:val="0"/>
        <w:bidi w:val="0"/>
        <w:adjustRightInd/>
        <w:snapToGrid/>
        <w:spacing w:before="34" w:line="240" w:lineRule="auto"/>
        <w:ind w:left="100" w:firstLine="241" w:firstLineChars="100"/>
        <w:jc w:val="left"/>
        <w:textAlignment w:val="auto"/>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六、权利和义务</w:t>
      </w:r>
    </w:p>
    <w:p w14:paraId="7E65C570">
      <w:pPr>
        <w:keepNext w:val="0"/>
        <w:keepLines w:val="0"/>
        <w:pageBreakBefore w:val="0"/>
        <w:widowControl w:val="0"/>
        <w:kinsoku/>
        <w:wordWrap/>
        <w:overflowPunct/>
        <w:topLinePunct w:val="0"/>
        <w:autoSpaceDE w:val="0"/>
        <w:autoSpaceDN w:val="0"/>
        <w:bidi w:val="0"/>
        <w:adjustRightInd/>
        <w:snapToGrid/>
        <w:spacing w:before="144" w:line="240" w:lineRule="auto"/>
        <w:ind w:left="10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（一）甲方的权利与义务</w:t>
      </w:r>
    </w:p>
    <w:p w14:paraId="7ECE657E">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1.权利</w:t>
      </w:r>
    </w:p>
    <w:p w14:paraId="3297C682">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（1）确定工作范围，审查技术方案，对项目成果提出具体要求；</w:t>
      </w:r>
    </w:p>
    <w:p w14:paraId="5B47026D">
      <w:pPr>
        <w:keepNext w:val="0"/>
        <w:keepLines w:val="0"/>
        <w:pageBreakBefore w:val="0"/>
        <w:widowControl w:val="0"/>
        <w:kinsoku/>
        <w:wordWrap/>
        <w:overflowPunct/>
        <w:topLinePunct w:val="0"/>
        <w:autoSpaceDE w:val="0"/>
        <w:autoSpaceDN w:val="0"/>
        <w:bidi w:val="0"/>
        <w:adjustRightInd/>
        <w:snapToGrid/>
        <w:spacing w:before="144"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（2）甲方有权督促乙方按计划完成项目并提交符合验收标准的成果；</w:t>
      </w:r>
    </w:p>
    <w:p w14:paraId="2CF11CE7">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（3）甲方有权对乙方承担的项目经费的使用状况进行监督；</w:t>
      </w:r>
    </w:p>
    <w:p w14:paraId="5094D5F8">
      <w:pPr>
        <w:keepNext w:val="0"/>
        <w:keepLines w:val="0"/>
        <w:pageBreakBefore w:val="0"/>
        <w:widowControl w:val="0"/>
        <w:kinsoku/>
        <w:wordWrap/>
        <w:overflowPunct/>
        <w:topLinePunct w:val="0"/>
        <w:autoSpaceDE w:val="0"/>
        <w:autoSpaceDN w:val="0"/>
        <w:bidi w:val="0"/>
        <w:adjustRightInd/>
        <w:snapToGrid/>
        <w:spacing w:before="146" w:line="240" w:lineRule="auto"/>
        <w:ind w:left="100" w:right="159"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（4）甲方有权纠正和制止乙方在项目实施过程中出现的未按工作方案及本合同要求开展工作的情形。</w:t>
      </w:r>
    </w:p>
    <w:p w14:paraId="7E73BA3E">
      <w:pPr>
        <w:keepNext w:val="0"/>
        <w:keepLines w:val="0"/>
        <w:pageBreakBefore w:val="0"/>
        <w:widowControl w:val="0"/>
        <w:kinsoku/>
        <w:wordWrap/>
        <w:overflowPunct/>
        <w:topLinePunct w:val="0"/>
        <w:autoSpaceDE w:val="0"/>
        <w:autoSpaceDN w:val="0"/>
        <w:bidi w:val="0"/>
        <w:adjustRightInd/>
        <w:snapToGrid/>
        <w:spacing w:before="36"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2.义务</w:t>
      </w:r>
    </w:p>
    <w:p w14:paraId="3A8C276C">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（1）配合乙方做好外业调查和资料收集工作；</w:t>
      </w:r>
    </w:p>
    <w:p w14:paraId="6CA9281A">
      <w:pPr>
        <w:keepNext w:val="0"/>
        <w:keepLines w:val="0"/>
        <w:pageBreakBefore w:val="0"/>
        <w:widowControl w:val="0"/>
        <w:kinsoku/>
        <w:wordWrap/>
        <w:overflowPunct/>
        <w:topLinePunct w:val="0"/>
        <w:autoSpaceDE w:val="0"/>
        <w:autoSpaceDN w:val="0"/>
        <w:bidi w:val="0"/>
        <w:adjustRightInd/>
        <w:snapToGrid/>
        <w:spacing w:before="144"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（2）对项目实施过程中出现的问题进行行政协调；</w:t>
      </w:r>
    </w:p>
    <w:p w14:paraId="7A0AD64A">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（3）按期、足额将项目经费拨付给乙方。</w:t>
      </w:r>
    </w:p>
    <w:p w14:paraId="1A2C1DDB">
      <w:pPr>
        <w:keepNext w:val="0"/>
        <w:keepLines w:val="0"/>
        <w:pageBreakBefore w:val="0"/>
        <w:widowControl w:val="0"/>
        <w:kinsoku/>
        <w:wordWrap/>
        <w:overflowPunct/>
        <w:topLinePunct w:val="0"/>
        <w:autoSpaceDE w:val="0"/>
        <w:autoSpaceDN w:val="0"/>
        <w:bidi w:val="0"/>
        <w:adjustRightInd/>
        <w:snapToGrid/>
        <w:spacing w:before="146" w:line="240" w:lineRule="auto"/>
        <w:ind w:left="10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（二）乙方的权利与义务</w:t>
      </w:r>
    </w:p>
    <w:p w14:paraId="15B2C538">
      <w:pPr>
        <w:keepNext w:val="0"/>
        <w:keepLines w:val="0"/>
        <w:pageBreakBefore w:val="0"/>
        <w:widowControl w:val="0"/>
        <w:kinsoku/>
        <w:wordWrap/>
        <w:overflowPunct/>
        <w:topLinePunct w:val="0"/>
        <w:autoSpaceDE w:val="0"/>
        <w:autoSpaceDN w:val="0"/>
        <w:bidi w:val="0"/>
        <w:adjustRightInd/>
        <w:snapToGrid/>
        <w:spacing w:before="144"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1.权利</w:t>
      </w:r>
    </w:p>
    <w:p w14:paraId="474CEEF3">
      <w:pPr>
        <w:keepNext w:val="0"/>
        <w:keepLines w:val="0"/>
        <w:pageBreakBefore w:val="0"/>
        <w:widowControl w:val="0"/>
        <w:kinsoku/>
        <w:wordWrap/>
        <w:overflowPunct/>
        <w:topLinePunct w:val="0"/>
        <w:autoSpaceDE w:val="0"/>
        <w:autoSpaceDN w:val="0"/>
        <w:bidi w:val="0"/>
        <w:adjustRightInd/>
        <w:snapToGrid/>
        <w:spacing w:before="146" w:line="240" w:lineRule="auto"/>
        <w:ind w:left="100" w:right="159"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（1）乙方有权按照工作方案和技术方案的要求，自主选择确定具体的工作方式和组织形式；</w:t>
      </w:r>
    </w:p>
    <w:p w14:paraId="0E7162B7">
      <w:pPr>
        <w:keepNext w:val="0"/>
        <w:keepLines w:val="0"/>
        <w:pageBreakBefore w:val="0"/>
        <w:widowControl w:val="0"/>
        <w:kinsoku/>
        <w:wordWrap/>
        <w:overflowPunct/>
        <w:topLinePunct w:val="0"/>
        <w:autoSpaceDE w:val="0"/>
        <w:autoSpaceDN w:val="0"/>
        <w:bidi w:val="0"/>
        <w:adjustRightInd/>
        <w:snapToGrid/>
        <w:spacing w:before="146" w:line="240" w:lineRule="auto"/>
        <w:ind w:left="100" w:right="159"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（2）乙方有按合同规定实施项目计划、安排所承担项目经费使用的权利；</w:t>
      </w:r>
    </w:p>
    <w:p w14:paraId="406AD138">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（3）乙方对提供的成果具有解释权。</w:t>
      </w:r>
    </w:p>
    <w:p w14:paraId="58FD70F0">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2.义务</w:t>
      </w:r>
    </w:p>
    <w:p w14:paraId="3BD12723">
      <w:pPr>
        <w:keepNext w:val="0"/>
        <w:keepLines w:val="0"/>
        <w:pageBreakBefore w:val="0"/>
        <w:widowControl w:val="0"/>
        <w:kinsoku/>
        <w:wordWrap/>
        <w:overflowPunct/>
        <w:topLinePunct w:val="0"/>
        <w:autoSpaceDE w:val="0"/>
        <w:autoSpaceDN w:val="0"/>
        <w:bidi w:val="0"/>
        <w:adjustRightInd/>
        <w:snapToGrid/>
        <w:spacing w:before="144"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（1）乙方负责全部技术工作，包括技术方案编制、级别划分、报告撰写工作；</w:t>
      </w:r>
    </w:p>
    <w:p w14:paraId="2B68B760">
      <w:pPr>
        <w:keepNext w:val="0"/>
        <w:keepLines w:val="0"/>
        <w:pageBreakBefore w:val="0"/>
        <w:widowControl w:val="0"/>
        <w:kinsoku/>
        <w:wordWrap/>
        <w:overflowPunct/>
        <w:topLinePunct w:val="0"/>
        <w:autoSpaceDE w:val="0"/>
        <w:autoSpaceDN w:val="0"/>
        <w:bidi w:val="0"/>
        <w:adjustRightInd/>
        <w:snapToGrid/>
        <w:spacing w:before="146" w:line="240" w:lineRule="auto"/>
        <w:ind w:left="100" w:right="239"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（2）未经甲方同意，不得以任何理由和任何形式向其它单位和个人提供项目成果，包括调查资料，中间成果及最终成果；</w:t>
      </w:r>
    </w:p>
    <w:p w14:paraId="26DB2302">
      <w:pPr>
        <w:keepNext w:val="0"/>
        <w:keepLines w:val="0"/>
        <w:pageBreakBefore w:val="0"/>
        <w:widowControl w:val="0"/>
        <w:kinsoku/>
        <w:wordWrap/>
        <w:overflowPunct/>
        <w:topLinePunct w:val="0"/>
        <w:autoSpaceDE w:val="0"/>
        <w:autoSpaceDN w:val="0"/>
        <w:bidi w:val="0"/>
        <w:adjustRightInd/>
        <w:snapToGrid/>
        <w:spacing w:before="31" w:line="240" w:lineRule="auto"/>
        <w:ind w:left="100" w:right="239"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（3）按照工作方案和上级部门相关要求，及时提交成果，但由于甲方原因造成不能按时提交成果的除外；</w:t>
      </w:r>
    </w:p>
    <w:p w14:paraId="7028A467">
      <w:pPr>
        <w:keepNext w:val="0"/>
        <w:keepLines w:val="0"/>
        <w:pageBreakBefore w:val="0"/>
        <w:widowControl w:val="0"/>
        <w:kinsoku/>
        <w:wordWrap/>
        <w:overflowPunct/>
        <w:topLinePunct w:val="0"/>
        <w:autoSpaceDE w:val="0"/>
        <w:autoSpaceDN w:val="0"/>
        <w:bidi w:val="0"/>
        <w:adjustRightInd/>
        <w:snapToGrid/>
        <w:spacing w:before="34" w:line="240" w:lineRule="auto"/>
        <w:ind w:left="100" w:right="239"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（4）乙方对成果的质量负责，若项目成果因不符合国家相关标准造成验收不合格的，乙方负责返工修改、补充和完善工作，并承担由此引起的一切费用。</w:t>
      </w:r>
    </w:p>
    <w:p w14:paraId="5B71AEA2">
      <w:pPr>
        <w:keepNext w:val="0"/>
        <w:keepLines w:val="0"/>
        <w:pageBreakBefore w:val="0"/>
        <w:widowControl w:val="0"/>
        <w:kinsoku/>
        <w:wordWrap/>
        <w:overflowPunct/>
        <w:topLinePunct w:val="0"/>
        <w:autoSpaceDE w:val="0"/>
        <w:autoSpaceDN w:val="0"/>
        <w:bidi w:val="0"/>
        <w:adjustRightInd/>
        <w:snapToGrid/>
        <w:spacing w:before="36" w:line="240" w:lineRule="auto"/>
        <w:ind w:left="100" w:right="2639"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（5）乙方协助甲方完成成果的验收工作，并承担成果验收费用。</w:t>
      </w:r>
    </w:p>
    <w:p w14:paraId="3E0991EB">
      <w:pPr>
        <w:keepNext w:val="0"/>
        <w:keepLines w:val="0"/>
        <w:pageBreakBefore w:val="0"/>
        <w:widowControl w:val="0"/>
        <w:kinsoku/>
        <w:wordWrap/>
        <w:overflowPunct/>
        <w:topLinePunct w:val="0"/>
        <w:autoSpaceDE w:val="0"/>
        <w:autoSpaceDN w:val="0"/>
        <w:bidi w:val="0"/>
        <w:adjustRightInd/>
        <w:snapToGrid/>
        <w:spacing w:before="36" w:line="240" w:lineRule="auto"/>
        <w:ind w:left="100" w:right="2639" w:firstLine="480"/>
        <w:jc w:val="left"/>
        <w:textAlignment w:val="auto"/>
        <w:rPr>
          <w:rFonts w:hint="eastAsia" w:asciiTheme="minorEastAsia" w:hAnsiTheme="minorEastAsia" w:eastAsiaTheme="minorEastAsia" w:cstheme="minorEastAsia"/>
          <w:b/>
          <w:kern w:val="0"/>
          <w:sz w:val="24"/>
          <w:szCs w:val="24"/>
        </w:rPr>
      </w:pPr>
      <w:r>
        <w:rPr>
          <w:rFonts w:hint="eastAsia" w:asciiTheme="minorEastAsia" w:hAnsiTheme="minorEastAsia" w:eastAsiaTheme="minorEastAsia" w:cstheme="minorEastAsia"/>
          <w:b/>
          <w:w w:val="99"/>
          <w:kern w:val="0"/>
          <w:sz w:val="24"/>
          <w:szCs w:val="24"/>
        </w:rPr>
        <w:t>七、成</w:t>
      </w:r>
      <w:r>
        <w:rPr>
          <w:rFonts w:hint="eastAsia" w:asciiTheme="minorEastAsia" w:hAnsiTheme="minorEastAsia" w:eastAsiaTheme="minorEastAsia" w:cstheme="minorEastAsia"/>
          <w:b/>
          <w:spacing w:val="2"/>
          <w:w w:val="99"/>
          <w:kern w:val="0"/>
          <w:sz w:val="24"/>
          <w:szCs w:val="24"/>
        </w:rPr>
        <w:t>果</w:t>
      </w:r>
      <w:r>
        <w:rPr>
          <w:rFonts w:hint="eastAsia" w:asciiTheme="minorEastAsia" w:hAnsiTheme="minorEastAsia" w:eastAsiaTheme="minorEastAsia" w:cstheme="minorEastAsia"/>
          <w:b/>
          <w:w w:val="99"/>
          <w:kern w:val="0"/>
          <w:sz w:val="24"/>
          <w:szCs w:val="24"/>
        </w:rPr>
        <w:t>所</w:t>
      </w:r>
      <w:r>
        <w:rPr>
          <w:rFonts w:hint="eastAsia" w:asciiTheme="minorEastAsia" w:hAnsiTheme="minorEastAsia" w:eastAsiaTheme="minorEastAsia" w:cstheme="minorEastAsia"/>
          <w:b/>
          <w:spacing w:val="2"/>
          <w:w w:val="99"/>
          <w:kern w:val="0"/>
          <w:sz w:val="24"/>
          <w:szCs w:val="24"/>
        </w:rPr>
        <w:t>有</w:t>
      </w:r>
      <w:r>
        <w:rPr>
          <w:rFonts w:hint="eastAsia" w:asciiTheme="minorEastAsia" w:hAnsiTheme="minorEastAsia" w:eastAsiaTheme="minorEastAsia" w:cstheme="minorEastAsia"/>
          <w:b/>
          <w:w w:val="99"/>
          <w:kern w:val="0"/>
          <w:sz w:val="24"/>
          <w:szCs w:val="24"/>
        </w:rPr>
        <w:t>权：</w:t>
      </w:r>
    </w:p>
    <w:p w14:paraId="741A19DC">
      <w:pPr>
        <w:keepNext w:val="0"/>
        <w:keepLines w:val="0"/>
        <w:pageBreakBefore w:val="0"/>
        <w:widowControl w:val="0"/>
        <w:kinsoku/>
        <w:wordWrap/>
        <w:overflowPunct/>
        <w:topLinePunct w:val="0"/>
        <w:autoSpaceDE w:val="0"/>
        <w:autoSpaceDN w:val="0"/>
        <w:bidi w:val="0"/>
        <w:adjustRightInd/>
        <w:snapToGrid/>
        <w:spacing w:before="31" w:line="240" w:lineRule="auto"/>
        <w:ind w:left="647"/>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1.本次工作产生的成果和产品所有权及相关知识产权归甲方。</w:t>
      </w:r>
    </w:p>
    <w:p w14:paraId="4EC0188C">
      <w:pPr>
        <w:keepNext w:val="0"/>
        <w:keepLines w:val="0"/>
        <w:pageBreakBefore w:val="0"/>
        <w:widowControl w:val="0"/>
        <w:kinsoku/>
        <w:wordWrap/>
        <w:overflowPunct/>
        <w:topLinePunct w:val="0"/>
        <w:autoSpaceDE w:val="0"/>
        <w:autoSpaceDN w:val="0"/>
        <w:bidi w:val="0"/>
        <w:adjustRightInd/>
        <w:snapToGrid/>
        <w:spacing w:before="146" w:line="240" w:lineRule="auto"/>
        <w:ind w:left="647"/>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2.乙方提供的成果不得侵犯第三方的知识产权。</w:t>
      </w:r>
    </w:p>
    <w:p w14:paraId="40D02037">
      <w:pPr>
        <w:keepNext w:val="0"/>
        <w:keepLines w:val="0"/>
        <w:pageBreakBefore w:val="0"/>
        <w:widowControl w:val="0"/>
        <w:kinsoku/>
        <w:wordWrap/>
        <w:overflowPunct/>
        <w:topLinePunct w:val="0"/>
        <w:autoSpaceDE w:val="0"/>
        <w:autoSpaceDN w:val="0"/>
        <w:bidi w:val="0"/>
        <w:adjustRightInd/>
        <w:snapToGrid/>
        <w:spacing w:before="146" w:line="240" w:lineRule="auto"/>
        <w:ind w:left="114" w:right="290" w:firstLine="532"/>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3.乙方未经甲方同意，不得以任何方式向第三方披露、转让和许可本项目的技术成果、技术资料和文件。</w:t>
      </w:r>
    </w:p>
    <w:p w14:paraId="14F430D5">
      <w:pPr>
        <w:keepNext w:val="0"/>
        <w:keepLines w:val="0"/>
        <w:pageBreakBefore w:val="0"/>
        <w:widowControl w:val="0"/>
        <w:kinsoku/>
        <w:wordWrap/>
        <w:overflowPunct/>
        <w:topLinePunct w:val="0"/>
        <w:autoSpaceDE w:val="0"/>
        <w:autoSpaceDN w:val="0"/>
        <w:bidi w:val="0"/>
        <w:adjustRightInd/>
        <w:snapToGrid/>
        <w:spacing w:before="36" w:line="240" w:lineRule="auto"/>
        <w:ind w:left="100" w:firstLine="482" w:firstLineChars="200"/>
        <w:jc w:val="left"/>
        <w:textAlignment w:val="auto"/>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八、项目费用</w:t>
      </w:r>
    </w:p>
    <w:p w14:paraId="1E96B7E3">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1.项目费用</w:t>
      </w:r>
    </w:p>
    <w:p w14:paraId="62137DAF">
      <w:pPr>
        <w:keepNext w:val="0"/>
        <w:keepLines w:val="0"/>
        <w:pageBreakBefore w:val="0"/>
        <w:widowControl w:val="0"/>
        <w:tabs>
          <w:tab w:val="left" w:pos="5739"/>
          <w:tab w:val="left" w:pos="7311"/>
        </w:tabs>
        <w:kinsoku/>
        <w:wordWrap/>
        <w:overflowPunct/>
        <w:topLinePunct w:val="0"/>
        <w:autoSpaceDE w:val="0"/>
        <w:autoSpaceDN w:val="0"/>
        <w:bidi w:val="0"/>
        <w:adjustRightInd/>
        <w:snapToGrid/>
        <w:spacing w:before="144"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本次项目服务费中标价为：大写人民币</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，小写¥</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w:t>
      </w:r>
    </w:p>
    <w:p w14:paraId="4C231E96">
      <w:pPr>
        <w:keepNext w:val="0"/>
        <w:keepLines w:val="0"/>
        <w:pageBreakBefore w:val="0"/>
        <w:widowControl w:val="0"/>
        <w:kinsoku/>
        <w:wordWrap/>
        <w:overflowPunct/>
        <w:topLinePunct w:val="0"/>
        <w:autoSpaceDE w:val="0"/>
        <w:autoSpaceDN w:val="0"/>
        <w:bidi w:val="0"/>
        <w:adjustRightInd/>
        <w:snapToGrid/>
        <w:spacing w:before="129"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2.支付条件与方式</w:t>
      </w:r>
    </w:p>
    <w:p w14:paraId="6AC7068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Theme="minorEastAsia" w:hAnsiTheme="minorEastAsia" w:eastAsiaTheme="minorEastAsia" w:cstheme="minorEastAsia"/>
          <w:kern w:val="0"/>
          <w:sz w:val="24"/>
          <w:szCs w:val="24"/>
        </w:rPr>
      </w:pPr>
    </w:p>
    <w:p w14:paraId="39C43BB1">
      <w:pPr>
        <w:keepNext w:val="0"/>
        <w:keepLines w:val="0"/>
        <w:pageBreakBefore w:val="0"/>
        <w:widowControl w:val="0"/>
        <w:kinsoku/>
        <w:wordWrap/>
        <w:overflowPunct/>
        <w:topLinePunct w:val="0"/>
        <w:autoSpaceDE w:val="0"/>
        <w:autoSpaceDN w:val="0"/>
        <w:bidi w:val="0"/>
        <w:adjustRightInd/>
        <w:snapToGrid/>
        <w:spacing w:before="1" w:line="240" w:lineRule="auto"/>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mc:AlternateContent>
          <mc:Choice Requires="wps">
            <w:drawing>
              <wp:anchor distT="0" distB="0" distL="114300" distR="114300" simplePos="0" relativeHeight="251659264" behindDoc="0" locked="0" layoutInCell="1" allowOverlap="1">
                <wp:simplePos x="0" y="0"/>
                <wp:positionH relativeFrom="page">
                  <wp:posOffset>1138555</wp:posOffset>
                </wp:positionH>
                <wp:positionV relativeFrom="paragraph">
                  <wp:posOffset>81280</wp:posOffset>
                </wp:positionV>
                <wp:extent cx="4356100" cy="42545"/>
                <wp:effectExtent l="0" t="4445" r="6350" b="10160"/>
                <wp:wrapTopAndBottom/>
                <wp:docPr id="4" name="直接连接符 4"/>
                <wp:cNvGraphicFramePr/>
                <a:graphic xmlns:a="http://schemas.openxmlformats.org/drawingml/2006/main">
                  <a:graphicData uri="http://schemas.microsoft.com/office/word/2010/wordprocessingShape">
                    <wps:wsp>
                      <wps:cNvCnPr>
                        <a:cxnSpLocks noChangeShapeType="1"/>
                      </wps:cNvCnPr>
                      <wps:spPr bwMode="auto">
                        <a:xfrm flipV="1">
                          <a:off x="0" y="0"/>
                          <a:ext cx="4356100" cy="42545"/>
                        </a:xfrm>
                        <a:prstGeom prst="line">
                          <a:avLst/>
                        </a:prstGeom>
                        <a:noFill/>
                        <a:ln w="7620">
                          <a:solidFill>
                            <a:srgbClr val="000000"/>
                          </a:solidFill>
                          <a:prstDash val="solid"/>
                          <a:round/>
                        </a:ln>
                        <a:effectLst/>
                      </wps:spPr>
                      <wps:bodyPr/>
                    </wps:wsp>
                  </a:graphicData>
                </a:graphic>
              </wp:anchor>
            </w:drawing>
          </mc:Choice>
          <mc:Fallback>
            <w:pict>
              <v:line id="_x0000_s1026" o:spid="_x0000_s1026" o:spt="20" style="position:absolute;left:0pt;flip:y;margin-left:89.65pt;margin-top:6.4pt;height:3.35pt;width:343pt;mso-position-horizontal-relative:page;mso-wrap-distance-bottom:0pt;mso-wrap-distance-top:0pt;z-index:251659264;mso-width-relative:page;mso-height-relative:page;" filled="f" stroked="t" coordsize="21600,21600" o:gfxdata="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er+UbWAAAACQEAAA8AAAAAAAAAAQAgAAAAIgAAAGRycy9kb3ducmV2&#10;LnhtbFBLAQIUABQAAAAIAIdO4kAqR2Gw/gEAAN8DAAAOAAAAAAAAAAEAIAAAACUBAABkcnMvZTJv&#10;RG9jLnhtbFBLBQYAAAAABgAGAFkBAACVBQAAAAA=&#10;">
                <v:fill on="f" focussize="0,0"/>
                <v:stroke weight="0.6pt" color="#000000" joinstyle="round"/>
                <v:imagedata o:title=""/>
                <o:lock v:ext="edit" aspectratio="f"/>
                <w10:wrap type="topAndBottom"/>
              </v:line>
            </w:pict>
          </mc:Fallback>
        </mc:AlternateContent>
      </w:r>
    </w:p>
    <w:p w14:paraId="041459E8">
      <w:pPr>
        <w:keepNext w:val="0"/>
        <w:keepLines w:val="0"/>
        <w:pageBreakBefore w:val="0"/>
        <w:widowControl w:val="0"/>
        <w:kinsoku/>
        <w:wordWrap/>
        <w:overflowPunct/>
        <w:topLinePunct w:val="0"/>
        <w:autoSpaceDE w:val="0"/>
        <w:autoSpaceDN w:val="0"/>
        <w:bidi w:val="0"/>
        <w:adjustRightInd/>
        <w:snapToGrid/>
        <w:spacing w:before="26" w:line="240" w:lineRule="auto"/>
        <w:ind w:left="100"/>
        <w:jc w:val="left"/>
        <w:textAlignment w:val="auto"/>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九、保密</w:t>
      </w:r>
    </w:p>
    <w:p w14:paraId="6853270E">
      <w:pPr>
        <w:keepNext w:val="0"/>
        <w:keepLines w:val="0"/>
        <w:pageBreakBefore w:val="0"/>
        <w:widowControl w:val="0"/>
        <w:kinsoku/>
        <w:wordWrap/>
        <w:overflowPunct/>
        <w:topLinePunct w:val="0"/>
        <w:autoSpaceDE w:val="0"/>
        <w:autoSpaceDN w:val="0"/>
        <w:bidi w:val="0"/>
        <w:adjustRightInd/>
        <w:snapToGrid/>
        <w:spacing w:before="146" w:line="240" w:lineRule="auto"/>
        <w:ind w:left="100" w:right="197"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1.本项目所涉及的保密数据和保密资料</w:t>
      </w:r>
      <w:r>
        <w:rPr>
          <w:rFonts w:hint="eastAsia" w:asciiTheme="minorEastAsia" w:hAnsiTheme="minorEastAsia" w:eastAsiaTheme="minorEastAsia" w:cstheme="minorEastAsia"/>
          <w:spacing w:val="-41"/>
          <w:kern w:val="0"/>
          <w:sz w:val="24"/>
          <w:szCs w:val="24"/>
        </w:rPr>
        <w:t>，</w:t>
      </w:r>
      <w:r>
        <w:rPr>
          <w:rFonts w:hint="eastAsia" w:asciiTheme="minorEastAsia" w:hAnsiTheme="minorEastAsia" w:eastAsiaTheme="minorEastAsia" w:cstheme="minorEastAsia"/>
          <w:kern w:val="0"/>
          <w:sz w:val="24"/>
          <w:szCs w:val="24"/>
        </w:rPr>
        <w:t>仅限于乙方在本项目合同期内使用</w:t>
      </w:r>
      <w:r>
        <w:rPr>
          <w:rFonts w:hint="eastAsia" w:asciiTheme="minorEastAsia" w:hAnsiTheme="minorEastAsia" w:eastAsiaTheme="minorEastAsia" w:cstheme="minorEastAsia"/>
          <w:spacing w:val="-39"/>
          <w:kern w:val="0"/>
          <w:sz w:val="24"/>
          <w:szCs w:val="24"/>
        </w:rPr>
        <w:t>，</w:t>
      </w:r>
      <w:r>
        <w:rPr>
          <w:rFonts w:hint="eastAsia" w:asciiTheme="minorEastAsia" w:hAnsiTheme="minorEastAsia" w:eastAsiaTheme="minorEastAsia" w:cstheme="minorEastAsia"/>
          <w:kern w:val="0"/>
          <w:sz w:val="24"/>
          <w:szCs w:val="24"/>
        </w:rPr>
        <w:t>不得向第三方提供及用于其它用途。</w:t>
      </w:r>
    </w:p>
    <w:p w14:paraId="18B7AA18">
      <w:pPr>
        <w:keepNext w:val="0"/>
        <w:keepLines w:val="0"/>
        <w:pageBreakBefore w:val="0"/>
        <w:widowControl w:val="0"/>
        <w:kinsoku/>
        <w:wordWrap/>
        <w:overflowPunct/>
        <w:topLinePunct w:val="0"/>
        <w:autoSpaceDE w:val="0"/>
        <w:autoSpaceDN w:val="0"/>
        <w:bidi w:val="0"/>
        <w:adjustRightInd/>
        <w:snapToGrid/>
        <w:spacing w:before="31"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2.乙方不得将涉密数据在计算机互联网、政务网等非涉密网络上传输、登载。</w:t>
      </w:r>
    </w:p>
    <w:p w14:paraId="4E74FC83">
      <w:pPr>
        <w:keepNext w:val="0"/>
        <w:keepLines w:val="0"/>
        <w:pageBreakBefore w:val="0"/>
        <w:widowControl w:val="0"/>
        <w:kinsoku/>
        <w:wordWrap/>
        <w:overflowPunct/>
        <w:topLinePunct w:val="0"/>
        <w:autoSpaceDE w:val="0"/>
        <w:autoSpaceDN w:val="0"/>
        <w:bidi w:val="0"/>
        <w:adjustRightInd/>
        <w:snapToGrid/>
        <w:spacing w:before="146" w:line="240" w:lineRule="auto"/>
        <w:ind w:left="100" w:right="119"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3.乙方发生涉密数据外传、丢失、被盗或者造成泄密事故的，应采取有效措施及时补救，并及时向甲方报告，造成的后果，由乙方承担相应责任。</w:t>
      </w:r>
    </w:p>
    <w:p w14:paraId="25290A08">
      <w:pPr>
        <w:keepNext w:val="0"/>
        <w:keepLines w:val="0"/>
        <w:pageBreakBefore w:val="0"/>
        <w:widowControl w:val="0"/>
        <w:kinsoku/>
        <w:wordWrap/>
        <w:overflowPunct/>
        <w:topLinePunct w:val="0"/>
        <w:autoSpaceDE w:val="0"/>
        <w:autoSpaceDN w:val="0"/>
        <w:bidi w:val="0"/>
        <w:adjustRightInd/>
        <w:snapToGrid/>
        <w:spacing w:before="31" w:line="240" w:lineRule="auto"/>
        <w:ind w:left="100"/>
        <w:jc w:val="left"/>
        <w:textAlignment w:val="auto"/>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十、违约责任</w:t>
      </w:r>
    </w:p>
    <w:p w14:paraId="124EED7B">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乙方有下列情形之一的，甲方有权解除本合同，并赔偿甲方实际损失。</w:t>
      </w:r>
    </w:p>
    <w:p w14:paraId="440E090F">
      <w:pPr>
        <w:keepNext w:val="0"/>
        <w:keepLines w:val="0"/>
        <w:pageBreakBefore w:val="0"/>
        <w:widowControl w:val="0"/>
        <w:kinsoku/>
        <w:wordWrap/>
        <w:overflowPunct/>
        <w:topLinePunct w:val="0"/>
        <w:autoSpaceDE w:val="0"/>
        <w:autoSpaceDN w:val="0"/>
        <w:bidi w:val="0"/>
        <w:adjustRightInd/>
        <w:snapToGrid/>
        <w:spacing w:before="146" w:line="240" w:lineRule="auto"/>
        <w:ind w:left="5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1.降低或不执行质量标准和规划要求，不具备完成项目所需的条件和能力的。</w:t>
      </w:r>
    </w:p>
    <w:p w14:paraId="3D54D4D3">
      <w:pPr>
        <w:keepNext w:val="0"/>
        <w:keepLines w:val="0"/>
        <w:pageBreakBefore w:val="0"/>
        <w:widowControl w:val="0"/>
        <w:kinsoku/>
        <w:wordWrap/>
        <w:overflowPunct/>
        <w:topLinePunct w:val="0"/>
        <w:autoSpaceDE w:val="0"/>
        <w:autoSpaceDN w:val="0"/>
        <w:bidi w:val="0"/>
        <w:adjustRightInd/>
        <w:snapToGrid/>
        <w:spacing w:before="146" w:line="240" w:lineRule="auto"/>
        <w:ind w:left="141" w:leftChars="67" w:firstLine="477" w:firstLineChars="199"/>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2.在甲方或甲方委托技术支撑单位指定的整改期限内，乙方拒不整改或整改后仍不能满足质量要求的。</w:t>
      </w:r>
    </w:p>
    <w:p w14:paraId="1EB16657">
      <w:pPr>
        <w:keepNext w:val="0"/>
        <w:keepLines w:val="0"/>
        <w:pageBreakBefore w:val="0"/>
        <w:widowControl w:val="0"/>
        <w:kinsoku/>
        <w:wordWrap/>
        <w:overflowPunct/>
        <w:topLinePunct w:val="0"/>
        <w:autoSpaceDE w:val="0"/>
        <w:autoSpaceDN w:val="0"/>
        <w:bidi w:val="0"/>
        <w:adjustRightInd/>
        <w:snapToGrid/>
        <w:spacing w:before="146" w:line="240" w:lineRule="auto"/>
        <w:ind w:left="141" w:leftChars="67" w:firstLine="477" w:firstLineChars="199"/>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3.未经甲方同意，向第三方披露、转让和许可本项目的技术成果、技术资料和文件的，或公开发表与本项目有关的论文、著作等的。</w:t>
      </w:r>
    </w:p>
    <w:p w14:paraId="0AE63C2B">
      <w:pPr>
        <w:keepNext w:val="0"/>
        <w:keepLines w:val="0"/>
        <w:pageBreakBefore w:val="0"/>
        <w:widowControl w:val="0"/>
        <w:kinsoku/>
        <w:wordWrap/>
        <w:overflowPunct/>
        <w:topLinePunct w:val="0"/>
        <w:autoSpaceDE w:val="0"/>
        <w:autoSpaceDN w:val="0"/>
        <w:bidi w:val="0"/>
        <w:adjustRightInd/>
        <w:snapToGrid/>
        <w:spacing w:before="146" w:line="240" w:lineRule="auto"/>
        <w:ind w:left="141" w:leftChars="67" w:firstLine="477" w:firstLineChars="199"/>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4.违反本合同约定的保密义务的。</w:t>
      </w:r>
    </w:p>
    <w:p w14:paraId="11EBA2D4">
      <w:pPr>
        <w:keepNext w:val="0"/>
        <w:keepLines w:val="0"/>
        <w:pageBreakBefore w:val="0"/>
        <w:widowControl w:val="0"/>
        <w:kinsoku/>
        <w:wordWrap/>
        <w:overflowPunct/>
        <w:topLinePunct w:val="0"/>
        <w:autoSpaceDE w:val="0"/>
        <w:autoSpaceDN w:val="0"/>
        <w:bidi w:val="0"/>
        <w:adjustRightInd/>
        <w:snapToGrid/>
        <w:spacing w:before="146" w:line="240" w:lineRule="auto"/>
        <w:ind w:left="141" w:leftChars="67" w:firstLine="477" w:firstLineChars="199"/>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5.乙方将该项目转让给他人的，未经甲方书面同意将项目的部分非主体、非关键性工作分包给他人的。</w:t>
      </w:r>
    </w:p>
    <w:p w14:paraId="252B5143">
      <w:pPr>
        <w:keepNext w:val="0"/>
        <w:keepLines w:val="0"/>
        <w:pageBreakBefore w:val="0"/>
        <w:widowControl w:val="0"/>
        <w:kinsoku/>
        <w:wordWrap/>
        <w:overflowPunct/>
        <w:topLinePunct w:val="0"/>
        <w:autoSpaceDE w:val="0"/>
        <w:autoSpaceDN w:val="0"/>
        <w:bidi w:val="0"/>
        <w:adjustRightInd/>
        <w:snapToGrid/>
        <w:spacing w:before="36" w:line="240" w:lineRule="auto"/>
        <w:ind w:left="220" w:firstLine="482" w:firstLineChars="200"/>
        <w:jc w:val="left"/>
        <w:textAlignment w:val="auto"/>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十一、合同争议及解决办法</w:t>
      </w:r>
    </w:p>
    <w:p w14:paraId="1FDB6588">
      <w:pPr>
        <w:keepNext w:val="0"/>
        <w:keepLines w:val="0"/>
        <w:pageBreakBefore w:val="0"/>
        <w:widowControl w:val="0"/>
        <w:kinsoku/>
        <w:wordWrap/>
        <w:overflowPunct/>
        <w:topLinePunct w:val="0"/>
        <w:autoSpaceDE w:val="0"/>
        <w:autoSpaceDN w:val="0"/>
        <w:bidi w:val="0"/>
        <w:adjustRightInd/>
        <w:snapToGrid/>
        <w:spacing w:before="146" w:line="240" w:lineRule="auto"/>
        <w:ind w:left="220" w:right="237" w:firstLine="480"/>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甲</w:t>
      </w:r>
      <w:r>
        <w:rPr>
          <w:rFonts w:hint="eastAsia" w:asciiTheme="minorEastAsia" w:hAnsiTheme="minorEastAsia" w:eastAsiaTheme="minorEastAsia" w:cstheme="minorEastAsia"/>
          <w:spacing w:val="-20"/>
          <w:kern w:val="0"/>
          <w:sz w:val="24"/>
          <w:szCs w:val="24"/>
        </w:rPr>
        <w:t>、</w:t>
      </w:r>
      <w:r>
        <w:rPr>
          <w:rFonts w:hint="eastAsia" w:asciiTheme="minorEastAsia" w:hAnsiTheme="minorEastAsia" w:eastAsiaTheme="minorEastAsia" w:cstheme="minorEastAsia"/>
          <w:kern w:val="0"/>
          <w:sz w:val="24"/>
          <w:szCs w:val="24"/>
        </w:rPr>
        <w:t>乙双方应本着友好合作</w:t>
      </w:r>
      <w:r>
        <w:rPr>
          <w:rFonts w:hint="eastAsia" w:asciiTheme="minorEastAsia" w:hAnsiTheme="minorEastAsia" w:eastAsiaTheme="minorEastAsia" w:cstheme="minorEastAsia"/>
          <w:spacing w:val="-22"/>
          <w:kern w:val="0"/>
          <w:sz w:val="24"/>
          <w:szCs w:val="24"/>
        </w:rPr>
        <w:t>、</w:t>
      </w:r>
      <w:r>
        <w:rPr>
          <w:rFonts w:hint="eastAsia" w:asciiTheme="minorEastAsia" w:hAnsiTheme="minorEastAsia" w:eastAsiaTheme="minorEastAsia" w:cstheme="minorEastAsia"/>
          <w:kern w:val="0"/>
          <w:sz w:val="24"/>
          <w:szCs w:val="24"/>
        </w:rPr>
        <w:t>积极协商的态度</w:t>
      </w:r>
      <w:r>
        <w:rPr>
          <w:rFonts w:hint="eastAsia" w:asciiTheme="minorEastAsia" w:hAnsiTheme="minorEastAsia" w:eastAsiaTheme="minorEastAsia" w:cstheme="minorEastAsia"/>
          <w:spacing w:val="-20"/>
          <w:kern w:val="0"/>
          <w:sz w:val="24"/>
          <w:szCs w:val="24"/>
        </w:rPr>
        <w:t>，</w:t>
      </w:r>
      <w:r>
        <w:rPr>
          <w:rFonts w:hint="eastAsia" w:asciiTheme="minorEastAsia" w:hAnsiTheme="minorEastAsia" w:eastAsiaTheme="minorEastAsia" w:cstheme="minorEastAsia"/>
          <w:kern w:val="0"/>
          <w:sz w:val="24"/>
          <w:szCs w:val="24"/>
        </w:rPr>
        <w:t>严格履行本合同</w:t>
      </w:r>
      <w:r>
        <w:rPr>
          <w:rFonts w:hint="eastAsia" w:asciiTheme="minorEastAsia" w:hAnsiTheme="minorEastAsia" w:eastAsiaTheme="minorEastAsia" w:cstheme="minorEastAsia"/>
          <w:spacing w:val="-20"/>
          <w:kern w:val="0"/>
          <w:sz w:val="24"/>
          <w:szCs w:val="24"/>
        </w:rPr>
        <w:t>，</w:t>
      </w:r>
      <w:r>
        <w:rPr>
          <w:rFonts w:hint="eastAsia" w:asciiTheme="minorEastAsia" w:hAnsiTheme="minorEastAsia" w:eastAsiaTheme="minorEastAsia" w:cstheme="minorEastAsia"/>
          <w:kern w:val="0"/>
          <w:sz w:val="24"/>
          <w:szCs w:val="24"/>
        </w:rPr>
        <w:t>因为不可预见因素或本合同未尽事宜发生争议</w:t>
      </w:r>
      <w:r>
        <w:rPr>
          <w:rFonts w:hint="eastAsia" w:asciiTheme="minorEastAsia" w:hAnsiTheme="minorEastAsia" w:eastAsiaTheme="minorEastAsia" w:cstheme="minorEastAsia"/>
          <w:spacing w:val="-27"/>
          <w:kern w:val="0"/>
          <w:sz w:val="24"/>
          <w:szCs w:val="24"/>
        </w:rPr>
        <w:t>，</w:t>
      </w:r>
      <w:r>
        <w:rPr>
          <w:rFonts w:hint="eastAsia" w:asciiTheme="minorEastAsia" w:hAnsiTheme="minorEastAsia" w:eastAsiaTheme="minorEastAsia" w:cstheme="minorEastAsia"/>
          <w:kern w:val="0"/>
          <w:sz w:val="24"/>
          <w:szCs w:val="24"/>
        </w:rPr>
        <w:t>由双方协商解决</w:t>
      </w:r>
      <w:r>
        <w:rPr>
          <w:rFonts w:hint="eastAsia" w:asciiTheme="minorEastAsia" w:hAnsiTheme="minorEastAsia" w:eastAsiaTheme="minorEastAsia" w:cstheme="minorEastAsia"/>
          <w:spacing w:val="-29"/>
          <w:kern w:val="0"/>
          <w:sz w:val="24"/>
          <w:szCs w:val="24"/>
        </w:rPr>
        <w:t>。</w:t>
      </w:r>
      <w:r>
        <w:rPr>
          <w:rFonts w:hint="eastAsia" w:asciiTheme="minorEastAsia" w:hAnsiTheme="minorEastAsia" w:eastAsiaTheme="minorEastAsia" w:cstheme="minorEastAsia"/>
          <w:kern w:val="0"/>
          <w:sz w:val="24"/>
          <w:szCs w:val="24"/>
        </w:rPr>
        <w:t>若协商解决不成</w:t>
      </w:r>
      <w:r>
        <w:rPr>
          <w:rFonts w:hint="eastAsia" w:asciiTheme="minorEastAsia" w:hAnsiTheme="minorEastAsia" w:eastAsiaTheme="minorEastAsia" w:cstheme="minorEastAsia"/>
          <w:spacing w:val="-24"/>
          <w:kern w:val="0"/>
          <w:sz w:val="24"/>
          <w:szCs w:val="24"/>
        </w:rPr>
        <w:t>，</w:t>
      </w:r>
      <w:r>
        <w:rPr>
          <w:rFonts w:hint="eastAsia" w:asciiTheme="minorEastAsia" w:hAnsiTheme="minorEastAsia" w:eastAsiaTheme="minorEastAsia" w:cstheme="minorEastAsia"/>
          <w:kern w:val="0"/>
          <w:sz w:val="24"/>
          <w:szCs w:val="24"/>
        </w:rPr>
        <w:t>可依法向三门峡市</w:t>
      </w:r>
      <w:r>
        <w:rPr>
          <w:rFonts w:hint="eastAsia" w:asciiTheme="minorEastAsia" w:hAnsiTheme="minorEastAsia" w:eastAsiaTheme="minorEastAsia" w:cstheme="minorEastAsia"/>
          <w:kern w:val="0"/>
          <w:sz w:val="24"/>
          <w:szCs w:val="24"/>
          <w:lang w:val="en-US" w:eastAsia="zh-CN"/>
        </w:rPr>
        <w:t>陕州区</w:t>
      </w:r>
      <w:r>
        <w:rPr>
          <w:rFonts w:hint="eastAsia" w:asciiTheme="minorEastAsia" w:hAnsiTheme="minorEastAsia" w:eastAsiaTheme="minorEastAsia" w:cstheme="minorEastAsia"/>
          <w:kern w:val="0"/>
          <w:sz w:val="24"/>
          <w:szCs w:val="24"/>
        </w:rPr>
        <w:t>人民法院提起诉讼。</w:t>
      </w:r>
    </w:p>
    <w:p w14:paraId="60FD0ABA">
      <w:pPr>
        <w:keepNext w:val="0"/>
        <w:keepLines w:val="0"/>
        <w:pageBreakBefore w:val="0"/>
        <w:widowControl w:val="0"/>
        <w:kinsoku/>
        <w:wordWrap/>
        <w:overflowPunct/>
        <w:topLinePunct w:val="0"/>
        <w:autoSpaceDE w:val="0"/>
        <w:autoSpaceDN w:val="0"/>
        <w:bidi w:val="0"/>
        <w:adjustRightInd/>
        <w:snapToGrid/>
        <w:spacing w:before="36" w:line="240" w:lineRule="auto"/>
        <w:ind w:left="220" w:firstLine="482" w:firstLineChars="200"/>
        <w:jc w:val="left"/>
        <w:textAlignment w:val="auto"/>
        <w:outlineLvl w:val="3"/>
        <w:rPr>
          <w:rFonts w:hint="eastAsia" w:asciiTheme="minorEastAsia" w:hAnsiTheme="minorEastAsia" w:eastAsiaTheme="minorEastAsia" w:cstheme="minorEastAsia"/>
          <w:b/>
          <w:bCs/>
          <w:kern w:val="0"/>
          <w:sz w:val="24"/>
          <w:szCs w:val="24"/>
        </w:rPr>
      </w:pPr>
      <w:r>
        <w:rPr>
          <w:rFonts w:hint="eastAsia" w:asciiTheme="minorEastAsia" w:hAnsiTheme="minorEastAsia" w:eastAsiaTheme="minorEastAsia" w:cstheme="minorEastAsia"/>
          <w:b/>
          <w:bCs/>
          <w:kern w:val="0"/>
          <w:sz w:val="24"/>
          <w:szCs w:val="24"/>
        </w:rPr>
        <w:t>十二、其他</w:t>
      </w:r>
    </w:p>
    <w:p w14:paraId="5182A582">
      <w:pPr>
        <w:keepNext w:val="0"/>
        <w:keepLines w:val="0"/>
        <w:pageBreakBefore w:val="0"/>
        <w:widowControl w:val="0"/>
        <w:kinsoku/>
        <w:wordWrap/>
        <w:overflowPunct/>
        <w:topLinePunct w:val="0"/>
        <w:autoSpaceDE w:val="0"/>
        <w:autoSpaceDN w:val="0"/>
        <w:bidi w:val="0"/>
        <w:adjustRightInd/>
        <w:snapToGrid/>
        <w:spacing w:before="144" w:line="240" w:lineRule="auto"/>
        <w:ind w:left="70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1、对其它有关事项的具体协商意见另立条款，作为本协议书的附件。</w:t>
      </w:r>
    </w:p>
    <w:p w14:paraId="24AAC746">
      <w:pPr>
        <w:keepNext w:val="0"/>
        <w:keepLines w:val="0"/>
        <w:pageBreakBefore w:val="0"/>
        <w:widowControl w:val="0"/>
        <w:kinsoku/>
        <w:wordWrap/>
        <w:overflowPunct/>
        <w:topLinePunct w:val="0"/>
        <w:autoSpaceDE w:val="0"/>
        <w:autoSpaceDN w:val="0"/>
        <w:bidi w:val="0"/>
        <w:adjustRightInd/>
        <w:snapToGrid/>
        <w:spacing w:before="146" w:line="240" w:lineRule="auto"/>
        <w:ind w:left="284" w:firstLine="453" w:firstLineChars="189"/>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2、本协议书一式份，甲方执份，乙方执分，经双方负责人签字之日起生效。</w:t>
      </w:r>
    </w:p>
    <w:p w14:paraId="41076C4B">
      <w:pPr>
        <w:keepNext w:val="0"/>
        <w:keepLines w:val="0"/>
        <w:pageBreakBefore w:val="0"/>
        <w:widowControl w:val="0"/>
        <w:kinsoku/>
        <w:wordWrap/>
        <w:overflowPunct/>
        <w:topLinePunct w:val="0"/>
        <w:autoSpaceDE w:val="0"/>
        <w:autoSpaceDN w:val="0"/>
        <w:bidi w:val="0"/>
        <w:adjustRightInd/>
        <w:snapToGrid/>
        <w:spacing w:before="146" w:line="240" w:lineRule="auto"/>
        <w:ind w:left="220" w:right="117" w:firstLine="48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3</w:t>
      </w:r>
      <w:r>
        <w:rPr>
          <w:rFonts w:hint="eastAsia" w:asciiTheme="minorEastAsia" w:hAnsiTheme="minorEastAsia" w:eastAsiaTheme="minorEastAsia" w:cstheme="minorEastAsia"/>
          <w:spacing w:val="-41"/>
          <w:kern w:val="0"/>
          <w:sz w:val="24"/>
          <w:szCs w:val="24"/>
        </w:rPr>
        <w:t>、</w:t>
      </w:r>
      <w:r>
        <w:rPr>
          <w:rFonts w:hint="eastAsia" w:asciiTheme="minorEastAsia" w:hAnsiTheme="minorEastAsia" w:eastAsiaTheme="minorEastAsia" w:cstheme="minorEastAsia"/>
          <w:kern w:val="0"/>
          <w:sz w:val="24"/>
          <w:szCs w:val="24"/>
        </w:rPr>
        <w:t>其中任何一方若在协议履行过程中对协议有任何变更或修改</w:t>
      </w:r>
      <w:r>
        <w:rPr>
          <w:rFonts w:hint="eastAsia" w:asciiTheme="minorEastAsia" w:hAnsiTheme="minorEastAsia" w:eastAsiaTheme="minorEastAsia" w:cstheme="minorEastAsia"/>
          <w:spacing w:val="-39"/>
          <w:kern w:val="0"/>
          <w:sz w:val="24"/>
          <w:szCs w:val="24"/>
        </w:rPr>
        <w:t>，</w:t>
      </w:r>
      <w:r>
        <w:rPr>
          <w:rFonts w:hint="eastAsia" w:asciiTheme="minorEastAsia" w:hAnsiTheme="minorEastAsia" w:eastAsiaTheme="minorEastAsia" w:cstheme="minorEastAsia"/>
          <w:kern w:val="0"/>
          <w:sz w:val="24"/>
          <w:szCs w:val="24"/>
        </w:rPr>
        <w:t>应提前1个月通知对方，双方进行协商</w:t>
      </w:r>
      <w:r>
        <w:rPr>
          <w:rFonts w:hint="eastAsia" w:asciiTheme="minorEastAsia" w:hAnsiTheme="minorEastAsia" w:eastAsiaTheme="minorEastAsia" w:cstheme="minorEastAsia"/>
          <w:spacing w:val="-20"/>
          <w:kern w:val="0"/>
          <w:sz w:val="24"/>
          <w:szCs w:val="24"/>
        </w:rPr>
        <w:t>，</w:t>
      </w:r>
      <w:r>
        <w:rPr>
          <w:rFonts w:hint="eastAsia" w:asciiTheme="minorEastAsia" w:hAnsiTheme="minorEastAsia" w:eastAsiaTheme="minorEastAsia" w:cstheme="minorEastAsia"/>
          <w:kern w:val="0"/>
          <w:sz w:val="24"/>
          <w:szCs w:val="24"/>
        </w:rPr>
        <w:t>若单方面违反协议内容</w:t>
      </w:r>
      <w:r>
        <w:rPr>
          <w:rFonts w:hint="eastAsia" w:asciiTheme="minorEastAsia" w:hAnsiTheme="minorEastAsia" w:eastAsiaTheme="minorEastAsia" w:cstheme="minorEastAsia"/>
          <w:spacing w:val="-22"/>
          <w:kern w:val="0"/>
          <w:sz w:val="24"/>
          <w:szCs w:val="24"/>
        </w:rPr>
        <w:t>，</w:t>
      </w:r>
      <w:r>
        <w:rPr>
          <w:rFonts w:hint="eastAsia" w:asciiTheme="minorEastAsia" w:hAnsiTheme="minorEastAsia" w:eastAsiaTheme="minorEastAsia" w:cstheme="minorEastAsia"/>
          <w:kern w:val="0"/>
          <w:sz w:val="24"/>
          <w:szCs w:val="24"/>
        </w:rPr>
        <w:t>不履行其职责</w:t>
      </w:r>
      <w:r>
        <w:rPr>
          <w:rFonts w:hint="eastAsia" w:asciiTheme="minorEastAsia" w:hAnsiTheme="minorEastAsia" w:eastAsiaTheme="minorEastAsia" w:cstheme="minorEastAsia"/>
          <w:spacing w:val="-20"/>
          <w:kern w:val="0"/>
          <w:sz w:val="24"/>
          <w:szCs w:val="24"/>
        </w:rPr>
        <w:t>，</w:t>
      </w:r>
      <w:r>
        <w:rPr>
          <w:rFonts w:hint="eastAsia" w:asciiTheme="minorEastAsia" w:hAnsiTheme="minorEastAsia" w:eastAsiaTheme="minorEastAsia" w:cstheme="minorEastAsia"/>
          <w:kern w:val="0"/>
          <w:sz w:val="24"/>
          <w:szCs w:val="24"/>
        </w:rPr>
        <w:t>视作违约</w:t>
      </w:r>
      <w:r>
        <w:rPr>
          <w:rFonts w:hint="eastAsia" w:asciiTheme="minorEastAsia" w:hAnsiTheme="minorEastAsia" w:eastAsiaTheme="minorEastAsia" w:cstheme="minorEastAsia"/>
          <w:spacing w:val="-20"/>
          <w:kern w:val="0"/>
          <w:sz w:val="24"/>
          <w:szCs w:val="24"/>
        </w:rPr>
        <w:t>，</w:t>
      </w:r>
      <w:r>
        <w:rPr>
          <w:rFonts w:hint="eastAsia" w:asciiTheme="minorEastAsia" w:hAnsiTheme="minorEastAsia" w:eastAsiaTheme="minorEastAsia" w:cstheme="minorEastAsia"/>
          <w:kern w:val="0"/>
          <w:sz w:val="24"/>
          <w:szCs w:val="24"/>
        </w:rPr>
        <w:t>应根据协议内容承担违约责任。</w:t>
      </w:r>
    </w:p>
    <w:p w14:paraId="372CDDF0">
      <w:pPr>
        <w:keepNext w:val="0"/>
        <w:keepLines w:val="0"/>
        <w:pageBreakBefore w:val="0"/>
        <w:widowControl w:val="0"/>
        <w:kinsoku/>
        <w:wordWrap/>
        <w:overflowPunct/>
        <w:topLinePunct w:val="0"/>
        <w:autoSpaceDE w:val="0"/>
        <w:autoSpaceDN w:val="0"/>
        <w:bidi w:val="0"/>
        <w:adjustRightInd/>
        <w:snapToGrid/>
        <w:spacing w:before="19" w:line="240" w:lineRule="auto"/>
        <w:ind w:left="22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（本页为合同签署页，无正文）</w:t>
      </w:r>
    </w:p>
    <w:p w14:paraId="54521344">
      <w:pPr>
        <w:keepNext w:val="0"/>
        <w:keepLines w:val="0"/>
        <w:pageBreakBefore w:val="0"/>
        <w:widowControl w:val="0"/>
        <w:kinsoku/>
        <w:wordWrap/>
        <w:overflowPunct/>
        <w:topLinePunct w:val="0"/>
        <w:autoSpaceDE w:val="0"/>
        <w:autoSpaceDN w:val="0"/>
        <w:bidi w:val="0"/>
        <w:adjustRightInd/>
        <w:snapToGrid/>
        <w:spacing w:before="12" w:line="240" w:lineRule="auto"/>
        <w:jc w:val="left"/>
        <w:textAlignment w:val="auto"/>
        <w:rPr>
          <w:rFonts w:hint="eastAsia" w:asciiTheme="minorEastAsia" w:hAnsiTheme="minorEastAsia" w:eastAsiaTheme="minorEastAsia" w:cstheme="minorEastAsia"/>
          <w:kern w:val="0"/>
          <w:sz w:val="24"/>
          <w:szCs w:val="24"/>
        </w:rPr>
      </w:pPr>
    </w:p>
    <w:p w14:paraId="23876AF2">
      <w:pPr>
        <w:keepNext w:val="0"/>
        <w:keepLines w:val="0"/>
        <w:pageBreakBefore w:val="0"/>
        <w:widowControl w:val="0"/>
        <w:tabs>
          <w:tab w:val="left" w:pos="1179"/>
          <w:tab w:val="left" w:pos="3699"/>
          <w:tab w:val="left" w:pos="4659"/>
        </w:tabs>
        <w:kinsoku/>
        <w:wordWrap/>
        <w:overflowPunct/>
        <w:topLinePunct w:val="0"/>
        <w:autoSpaceDE w:val="0"/>
        <w:autoSpaceDN w:val="0"/>
        <w:bidi w:val="0"/>
        <w:adjustRightInd/>
        <w:snapToGrid/>
        <w:spacing w:line="240" w:lineRule="auto"/>
        <w:ind w:left="220"/>
        <w:jc w:val="left"/>
        <w:textAlignment w:val="auto"/>
        <w:rPr>
          <w:rFonts w:hint="eastAsia" w:asciiTheme="minorEastAsia" w:hAnsiTheme="minorEastAsia" w:eastAsiaTheme="minorEastAsia" w:cstheme="minorEastAsia"/>
          <w:kern w:val="0"/>
          <w:sz w:val="24"/>
          <w:szCs w:val="24"/>
          <w:lang w:eastAsia="en-US"/>
        </w:rPr>
      </w:pPr>
      <w:r>
        <w:rPr>
          <w:rFonts w:hint="eastAsia" w:asciiTheme="minorEastAsia" w:hAnsiTheme="minorEastAsia" w:eastAsiaTheme="minorEastAsia" w:cstheme="minorEastAsia"/>
          <w:kern w:val="0"/>
          <w:sz w:val="24"/>
          <w:szCs w:val="24"/>
          <w:lang w:eastAsia="en-US"/>
        </w:rPr>
        <w:t>甲方：</w:t>
      </w:r>
      <w:r>
        <w:rPr>
          <w:rFonts w:hint="eastAsia" w:asciiTheme="minorEastAsia" w:hAnsiTheme="minorEastAsia" w:eastAsiaTheme="minorEastAsia" w:cstheme="minorEastAsia"/>
          <w:kern w:val="0"/>
          <w:sz w:val="24"/>
          <w:szCs w:val="24"/>
          <w:lang w:eastAsia="en-US"/>
        </w:rPr>
        <w:tab/>
      </w:r>
      <w:r>
        <w:rPr>
          <w:rFonts w:hint="eastAsia" w:asciiTheme="minorEastAsia" w:hAnsiTheme="minorEastAsia" w:eastAsiaTheme="minorEastAsia" w:cstheme="minorEastAsia"/>
          <w:kern w:val="0"/>
          <w:sz w:val="24"/>
          <w:szCs w:val="24"/>
          <w:lang w:eastAsia="en-US"/>
        </w:rPr>
        <w:t>（公章）</w:t>
      </w:r>
      <w:r>
        <w:rPr>
          <w:rFonts w:hint="eastAsia" w:asciiTheme="minorEastAsia" w:hAnsiTheme="minorEastAsia" w:eastAsiaTheme="minorEastAsia" w:cstheme="minorEastAsia"/>
          <w:kern w:val="0"/>
          <w:sz w:val="24"/>
          <w:szCs w:val="24"/>
          <w:lang w:eastAsia="en-US"/>
        </w:rPr>
        <w:tab/>
      </w:r>
      <w:r>
        <w:rPr>
          <w:rFonts w:hint="eastAsia" w:asciiTheme="minorEastAsia" w:hAnsiTheme="minorEastAsia" w:eastAsiaTheme="minorEastAsia" w:cstheme="minorEastAsia"/>
          <w:kern w:val="0"/>
          <w:sz w:val="24"/>
          <w:szCs w:val="24"/>
          <w:lang w:eastAsia="en-US"/>
        </w:rPr>
        <w:t>乙方：</w:t>
      </w:r>
      <w:r>
        <w:rPr>
          <w:rFonts w:hint="eastAsia" w:asciiTheme="minorEastAsia" w:hAnsiTheme="minorEastAsia" w:eastAsiaTheme="minorEastAsia" w:cstheme="minorEastAsia"/>
          <w:kern w:val="0"/>
          <w:sz w:val="24"/>
          <w:szCs w:val="24"/>
          <w:lang w:eastAsia="en-US"/>
        </w:rPr>
        <w:tab/>
      </w:r>
      <w:r>
        <w:rPr>
          <w:rFonts w:hint="eastAsia" w:asciiTheme="minorEastAsia" w:hAnsiTheme="minorEastAsia" w:eastAsiaTheme="minorEastAsia" w:cstheme="minorEastAsia"/>
          <w:kern w:val="0"/>
          <w:sz w:val="24"/>
          <w:szCs w:val="24"/>
          <w:lang w:eastAsia="en-US"/>
        </w:rPr>
        <w:t>（公章）</w:t>
      </w:r>
    </w:p>
    <w:p w14:paraId="3AB79EBA">
      <w:pPr>
        <w:keepNext w:val="0"/>
        <w:keepLines w:val="0"/>
        <w:pageBreakBefore w:val="0"/>
        <w:widowControl w:val="0"/>
        <w:tabs>
          <w:tab w:val="left" w:pos="3579"/>
        </w:tabs>
        <w:kinsoku/>
        <w:wordWrap/>
        <w:overflowPunct/>
        <w:topLinePunct w:val="0"/>
        <w:autoSpaceDE w:val="0"/>
        <w:autoSpaceDN w:val="0"/>
        <w:bidi w:val="0"/>
        <w:adjustRightInd/>
        <w:snapToGrid/>
        <w:spacing w:before="151" w:line="240" w:lineRule="auto"/>
        <w:ind w:left="22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法定代表人或其委托代理人：</w:t>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法定代表人或其委托代理人：</w:t>
      </w:r>
    </w:p>
    <w:p w14:paraId="325B65FC">
      <w:pPr>
        <w:keepNext w:val="0"/>
        <w:keepLines w:val="0"/>
        <w:pageBreakBefore w:val="0"/>
        <w:widowControl w:val="0"/>
        <w:tabs>
          <w:tab w:val="left" w:pos="3459"/>
        </w:tabs>
        <w:kinsoku/>
        <w:wordWrap/>
        <w:overflowPunct/>
        <w:topLinePunct w:val="0"/>
        <w:autoSpaceDE w:val="0"/>
        <w:autoSpaceDN w:val="0"/>
        <w:bidi w:val="0"/>
        <w:adjustRightInd/>
        <w:snapToGrid/>
        <w:spacing w:before="154" w:line="240" w:lineRule="auto"/>
        <w:ind w:left="100"/>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（签字）</w:t>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（签字）</w:t>
      </w:r>
    </w:p>
    <w:p w14:paraId="248B8A1F">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Theme="minorEastAsia" w:hAnsiTheme="minorEastAsia" w:eastAsiaTheme="minorEastAsia" w:cstheme="minorEastAsia"/>
          <w:kern w:val="0"/>
          <w:sz w:val="24"/>
          <w:szCs w:val="24"/>
          <w:u w:val="single"/>
        </w:rPr>
      </w:pPr>
      <w:r>
        <w:rPr>
          <w:rFonts w:hint="eastAsia" w:asciiTheme="minorEastAsia" w:hAnsiTheme="minorEastAsia" w:eastAsiaTheme="minorEastAsia" w:cstheme="minorEastAsia"/>
          <w:kern w:val="0"/>
          <w:sz w:val="24"/>
          <w:szCs w:val="24"/>
        </w:rPr>
        <w:t>组织机构代码：</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组织机构代码：</w:t>
      </w:r>
      <w:r>
        <w:rPr>
          <w:rFonts w:hint="eastAsia" w:asciiTheme="minorEastAsia" w:hAnsiTheme="minorEastAsia" w:eastAsiaTheme="minorEastAsia" w:cstheme="minorEastAsia"/>
          <w:kern w:val="0"/>
          <w:sz w:val="24"/>
          <w:szCs w:val="24"/>
          <w:u w:val="single"/>
        </w:rPr>
        <w:tab/>
      </w:r>
    </w:p>
    <w:p w14:paraId="3B3F54B5">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地</w:t>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 xml:space="preserve"> 址：</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地</w:t>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址：</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ab/>
      </w:r>
    </w:p>
    <w:p w14:paraId="019F63FC">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邮政编码：</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邮政编码：</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ab/>
      </w:r>
    </w:p>
    <w:p w14:paraId="00DABE64">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w:t>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话：</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电</w:t>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话：</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p>
    <w:p w14:paraId="12A5D81B">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传</w:t>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真：</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传</w:t>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真：</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p>
    <w:p w14:paraId="7C3B287F">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电子信箱：</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 xml:space="preserve">电子信箱： </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p>
    <w:p w14:paraId="2A53DA40">
      <w:pPr>
        <w:keepNext w:val="0"/>
        <w:keepLines w:val="0"/>
        <w:pageBreakBefore w:val="0"/>
        <w:widowControl w:val="0"/>
        <w:tabs>
          <w:tab w:val="left" w:pos="699"/>
          <w:tab w:val="left" w:pos="3519"/>
          <w:tab w:val="left" w:pos="3639"/>
          <w:tab w:val="left" w:pos="3819"/>
          <w:tab w:val="left" w:pos="4179"/>
          <w:tab w:val="left" w:pos="4299"/>
          <w:tab w:val="left" w:pos="7119"/>
          <w:tab w:val="left" w:pos="7239"/>
          <w:tab w:val="left" w:pos="7359"/>
        </w:tabs>
        <w:kinsoku/>
        <w:wordWrap/>
        <w:overflowPunct/>
        <w:topLinePunct w:val="0"/>
        <w:autoSpaceDE w:val="0"/>
        <w:autoSpaceDN w:val="0"/>
        <w:bidi w:val="0"/>
        <w:adjustRightInd/>
        <w:snapToGrid/>
        <w:spacing w:before="151" w:line="240" w:lineRule="auto"/>
        <w:ind w:left="220" w:right="2858"/>
        <w:jc w:val="left"/>
        <w:textAlignment w:val="auto"/>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开户银行：</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 xml:space="preserve">开户银行： </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rPr>
        <w:tab/>
      </w:r>
    </w:p>
    <w:p w14:paraId="136ADF59">
      <w:pPr>
        <w:keepNext w:val="0"/>
        <w:keepLines w:val="0"/>
        <w:pageBreakBefore w:val="0"/>
        <w:widowControl w:val="0"/>
        <w:kinsoku/>
        <w:wordWrap/>
        <w:overflowPunct/>
        <w:topLinePunct w:val="0"/>
        <w:bidi w:val="0"/>
        <w:adjustRightInd/>
        <w:snapToGrid/>
        <w:spacing w:line="240" w:lineRule="auto"/>
        <w:ind w:firstLine="240" w:firstLineChars="100"/>
        <w:jc w:val="both"/>
        <w:textAlignment w:val="auto"/>
        <w:rPr>
          <w:rFonts w:hint="eastAsia" w:asciiTheme="minorEastAsia" w:hAnsiTheme="minorEastAsia" w:eastAsiaTheme="minorEastAsia" w:cstheme="minorEastAsia"/>
          <w:b/>
          <w:bCs/>
          <w:color w:val="000000"/>
          <w:sz w:val="24"/>
          <w:szCs w:val="24"/>
        </w:rPr>
      </w:pPr>
      <w:r>
        <w:rPr>
          <w:rFonts w:hint="eastAsia" w:asciiTheme="minorEastAsia" w:hAnsiTheme="minorEastAsia" w:eastAsiaTheme="minorEastAsia" w:cstheme="minorEastAsia"/>
          <w:kern w:val="0"/>
          <w:sz w:val="24"/>
          <w:szCs w:val="24"/>
        </w:rPr>
        <w:t>账</w:t>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号：</w:t>
      </w:r>
      <w:r>
        <w:rPr>
          <w:rFonts w:hint="eastAsia" w:asciiTheme="minorEastAsia" w:hAnsiTheme="minorEastAsia" w:eastAsiaTheme="minorEastAsia" w:cstheme="minorEastAsia"/>
          <w:kern w:val="0"/>
          <w:sz w:val="24"/>
          <w:szCs w:val="24"/>
          <w:u w:val="single"/>
        </w:rPr>
        <w:tab/>
      </w:r>
      <w:r>
        <w:rPr>
          <w:rFonts w:hint="eastAsia" w:asciiTheme="minorEastAsia" w:hAnsiTheme="minorEastAsia" w:eastAsiaTheme="minorEastAsia" w:cstheme="minorEastAsia"/>
          <w:kern w:val="0"/>
          <w:sz w:val="24"/>
          <w:szCs w:val="24"/>
          <w:u w:val="single"/>
          <w:lang w:val="en-US" w:eastAsia="zh-CN"/>
        </w:rPr>
        <w:t xml:space="preserve">               </w:t>
      </w:r>
      <w:r>
        <w:rPr>
          <w:rFonts w:hint="eastAsia" w:asciiTheme="minorEastAsia" w:hAnsiTheme="minorEastAsia" w:eastAsiaTheme="minorEastAsia" w:cstheme="minorEastAsia"/>
          <w:kern w:val="0"/>
          <w:sz w:val="24"/>
          <w:szCs w:val="24"/>
          <w:u w:val="none"/>
          <w:lang w:val="en-US" w:eastAsia="zh-CN"/>
        </w:rPr>
        <w:t xml:space="preserve"> </w:t>
      </w:r>
      <w:r>
        <w:rPr>
          <w:rFonts w:hint="eastAsia" w:asciiTheme="minorEastAsia" w:hAnsiTheme="minorEastAsia" w:eastAsiaTheme="minorEastAsia" w:cstheme="minorEastAsia"/>
          <w:kern w:val="0"/>
          <w:sz w:val="24"/>
          <w:szCs w:val="24"/>
        </w:rPr>
        <w:t>账</w:t>
      </w:r>
      <w:r>
        <w:rPr>
          <w:rFonts w:hint="eastAsia" w:asciiTheme="minorEastAsia" w:hAnsiTheme="minorEastAsia" w:eastAsiaTheme="minorEastAsia" w:cstheme="minorEastAsia"/>
          <w:kern w:val="0"/>
          <w:sz w:val="24"/>
          <w:szCs w:val="24"/>
        </w:rPr>
        <w:tab/>
      </w:r>
      <w:r>
        <w:rPr>
          <w:rFonts w:hint="eastAsia" w:asciiTheme="minorEastAsia" w:hAnsiTheme="minorEastAsia" w:eastAsiaTheme="minorEastAsia" w:cstheme="minorEastAsia"/>
          <w:kern w:val="0"/>
          <w:sz w:val="24"/>
          <w:szCs w:val="24"/>
        </w:rPr>
        <w:t>号：</w:t>
      </w:r>
      <w:r>
        <w:rPr>
          <w:rFonts w:hint="eastAsia" w:asciiTheme="minorEastAsia" w:hAnsiTheme="minorEastAsia" w:eastAsiaTheme="minorEastAsia" w:cstheme="minorEastAsia"/>
          <w:kern w:val="0"/>
          <w:sz w:val="24"/>
          <w:szCs w:val="24"/>
          <w:u w:val="single"/>
          <w:lang w:val="en-US" w:eastAsia="zh-CN"/>
        </w:rPr>
        <w:t xml:space="preserve">                  </w:t>
      </w:r>
      <w:r>
        <w:rPr>
          <w:rFonts w:hint="eastAsia" w:asciiTheme="minorEastAsia" w:hAnsiTheme="minorEastAsia" w:eastAsiaTheme="minorEastAsia" w:cstheme="minorEastAsia"/>
          <w:kern w:val="0"/>
          <w:sz w:val="24"/>
          <w:szCs w:val="24"/>
          <w:u w:val="single"/>
        </w:rPr>
        <w:tab/>
      </w:r>
    </w:p>
    <w:p w14:paraId="6D9DCD43">
      <w:pPr>
        <w:spacing w:line="360" w:lineRule="auto"/>
        <w:jc w:val="center"/>
        <w:rPr>
          <w:rFonts w:hint="eastAsia" w:ascii="宋体"/>
          <w:b/>
          <w:bCs/>
          <w:color w:val="000000"/>
          <w:sz w:val="24"/>
          <w:szCs w:val="24"/>
        </w:rPr>
      </w:pPr>
    </w:p>
    <w:p w14:paraId="09A83C8E">
      <w:pPr>
        <w:spacing w:line="360" w:lineRule="auto"/>
        <w:jc w:val="center"/>
        <w:rPr>
          <w:rFonts w:hint="eastAsia" w:ascii="宋体"/>
          <w:b/>
          <w:bCs/>
          <w:color w:val="000000"/>
          <w:sz w:val="24"/>
          <w:szCs w:val="24"/>
        </w:rPr>
      </w:pPr>
    </w:p>
    <w:p w14:paraId="36FF794C">
      <w:pPr>
        <w:pStyle w:val="3"/>
        <w:rPr>
          <w:rFonts w:hint="eastAsia"/>
        </w:rPr>
      </w:pPr>
    </w:p>
    <w:p w14:paraId="42E7ED57">
      <w:pPr>
        <w:rPr>
          <w:rFonts w:hint="eastAsia"/>
        </w:rPr>
      </w:pPr>
    </w:p>
    <w:p w14:paraId="6C4039BE">
      <w:pPr>
        <w:pStyle w:val="2"/>
        <w:rPr>
          <w:rFonts w:hint="eastAsia"/>
        </w:rPr>
      </w:pPr>
    </w:p>
    <w:p w14:paraId="04D159F3">
      <w:pPr>
        <w:pStyle w:val="3"/>
        <w:rPr>
          <w:rFonts w:hint="eastAsia"/>
        </w:rPr>
      </w:pPr>
    </w:p>
    <w:p w14:paraId="6076B258">
      <w:pPr>
        <w:rPr>
          <w:rFonts w:hint="eastAsia"/>
        </w:rPr>
      </w:pPr>
    </w:p>
    <w:p w14:paraId="23570E59">
      <w:pPr>
        <w:pStyle w:val="2"/>
        <w:rPr>
          <w:rFonts w:hint="eastAsia"/>
        </w:rPr>
      </w:pPr>
    </w:p>
    <w:p w14:paraId="3F2F26F4">
      <w:pPr>
        <w:pStyle w:val="3"/>
        <w:rPr>
          <w:rFonts w:hint="eastAsia"/>
        </w:rPr>
      </w:pPr>
    </w:p>
    <w:p w14:paraId="2DDFB0D7">
      <w:pPr>
        <w:rPr>
          <w:rFonts w:hint="eastAsia"/>
        </w:rPr>
      </w:pPr>
    </w:p>
    <w:p w14:paraId="4DF42BB6">
      <w:pPr>
        <w:pStyle w:val="2"/>
        <w:rPr>
          <w:rFonts w:hint="eastAsia"/>
        </w:rPr>
      </w:pPr>
    </w:p>
    <w:p w14:paraId="4D6B7422">
      <w:pPr>
        <w:pStyle w:val="3"/>
        <w:rPr>
          <w:rFonts w:hint="eastAsia"/>
        </w:rPr>
      </w:pPr>
    </w:p>
    <w:p w14:paraId="3564EBED">
      <w:pPr>
        <w:tabs>
          <w:tab w:val="left" w:pos="8280"/>
        </w:tabs>
        <w:spacing w:line="360" w:lineRule="auto"/>
        <w:jc w:val="both"/>
        <w:rPr>
          <w:rFonts w:hint="eastAsia" w:ascii="宋体" w:hAnsi="宋体" w:cs="宋体"/>
          <w:b/>
          <w:sz w:val="36"/>
          <w:szCs w:val="36"/>
          <w:lang w:bidi="ar"/>
        </w:rPr>
      </w:pPr>
    </w:p>
    <w:p w14:paraId="0F5242C1">
      <w:pPr>
        <w:tabs>
          <w:tab w:val="left" w:pos="8280"/>
        </w:tabs>
        <w:spacing w:line="360" w:lineRule="auto"/>
        <w:jc w:val="center"/>
        <w:rPr>
          <w:rFonts w:ascii="宋体" w:hAnsi="宋体" w:cs="宋体"/>
          <w:b/>
          <w:sz w:val="36"/>
          <w:szCs w:val="36"/>
        </w:rPr>
      </w:pPr>
      <w:r>
        <w:rPr>
          <w:rFonts w:hint="eastAsia" w:ascii="宋体" w:hAnsi="宋体" w:cs="宋体"/>
          <w:b/>
          <w:sz w:val="36"/>
          <w:szCs w:val="36"/>
          <w:lang w:bidi="ar"/>
        </w:rPr>
        <w:t>第六章  响应文件主要内容和格式</w:t>
      </w:r>
    </w:p>
    <w:p w14:paraId="41F83CD3">
      <w:pPr>
        <w:tabs>
          <w:tab w:val="left" w:pos="8280"/>
        </w:tabs>
        <w:spacing w:line="360" w:lineRule="auto"/>
        <w:jc w:val="both"/>
        <w:rPr>
          <w:rFonts w:ascii="宋体" w:hAnsi="宋体" w:cs="宋体"/>
          <w:b/>
          <w:sz w:val="32"/>
          <w:szCs w:val="32"/>
        </w:rPr>
      </w:pPr>
    </w:p>
    <w:p w14:paraId="11B009EC">
      <w:pPr>
        <w:tabs>
          <w:tab w:val="left" w:pos="450"/>
          <w:tab w:val="left" w:pos="8280"/>
        </w:tabs>
        <w:spacing w:line="360" w:lineRule="auto"/>
        <w:jc w:val="center"/>
        <w:rPr>
          <w:rFonts w:hint="eastAsia" w:ascii="宋体" w:hAnsi="宋体" w:cs="宋体"/>
          <w:b/>
          <w:sz w:val="40"/>
          <w:szCs w:val="40"/>
          <w:lang w:eastAsia="zh-CN"/>
        </w:rPr>
      </w:pPr>
      <w:r>
        <w:rPr>
          <w:rFonts w:hint="eastAsia" w:hAnsi="宋体"/>
          <w:b/>
          <w:bCs/>
          <w:sz w:val="48"/>
          <w:szCs w:val="48"/>
          <w:lang w:eastAsia="zh-CN"/>
        </w:rPr>
        <w:t>陕州区智慧消防火眼AI火情智能预警建设项目</w:t>
      </w:r>
    </w:p>
    <w:p w14:paraId="170FE0CD">
      <w:pPr>
        <w:tabs>
          <w:tab w:val="left" w:pos="450"/>
          <w:tab w:val="left" w:pos="8280"/>
        </w:tabs>
        <w:spacing w:line="360" w:lineRule="auto"/>
        <w:jc w:val="center"/>
        <w:rPr>
          <w:rFonts w:ascii="宋体" w:hAnsi="宋体" w:cs="宋体"/>
          <w:b/>
          <w:sz w:val="44"/>
          <w:szCs w:val="44"/>
        </w:rPr>
      </w:pPr>
    </w:p>
    <w:p w14:paraId="27B2B34C"/>
    <w:p w14:paraId="08369208"/>
    <w:p w14:paraId="59F26B76">
      <w:pPr>
        <w:tabs>
          <w:tab w:val="left" w:pos="450"/>
          <w:tab w:val="left" w:pos="8280"/>
        </w:tabs>
        <w:spacing w:line="360" w:lineRule="auto"/>
        <w:jc w:val="center"/>
        <w:rPr>
          <w:rFonts w:hint="eastAsia" w:ascii="宋体" w:hAnsi="宋体" w:cs="宋体"/>
          <w:b/>
          <w:sz w:val="72"/>
          <w:szCs w:val="72"/>
          <w:lang w:bidi="ar"/>
        </w:rPr>
      </w:pPr>
    </w:p>
    <w:p w14:paraId="71CEA6E7">
      <w:pPr>
        <w:tabs>
          <w:tab w:val="left" w:pos="450"/>
          <w:tab w:val="left" w:pos="8280"/>
        </w:tabs>
        <w:spacing w:line="360" w:lineRule="auto"/>
        <w:jc w:val="center"/>
        <w:rPr>
          <w:rFonts w:hint="eastAsia" w:ascii="宋体" w:hAnsi="宋体" w:cs="宋体"/>
          <w:b/>
          <w:sz w:val="72"/>
          <w:szCs w:val="72"/>
          <w:lang w:bidi="ar"/>
        </w:rPr>
      </w:pPr>
    </w:p>
    <w:p w14:paraId="532DFF7C">
      <w:pPr>
        <w:tabs>
          <w:tab w:val="left" w:pos="450"/>
          <w:tab w:val="left" w:pos="8280"/>
        </w:tabs>
        <w:spacing w:line="360" w:lineRule="auto"/>
        <w:jc w:val="center"/>
        <w:rPr>
          <w:rFonts w:ascii="宋体" w:hAnsi="宋体" w:cs="宋体"/>
          <w:b/>
          <w:sz w:val="72"/>
          <w:szCs w:val="72"/>
        </w:rPr>
      </w:pPr>
      <w:r>
        <w:rPr>
          <w:rFonts w:hint="eastAsia" w:ascii="宋体" w:hAnsi="宋体" w:cs="宋体"/>
          <w:b/>
          <w:sz w:val="72"/>
          <w:szCs w:val="72"/>
          <w:lang w:bidi="ar"/>
        </w:rPr>
        <w:t>响应文件</w:t>
      </w:r>
    </w:p>
    <w:p w14:paraId="0DE04A88">
      <w:pPr>
        <w:tabs>
          <w:tab w:val="left" w:pos="8280"/>
        </w:tabs>
        <w:spacing w:line="360" w:lineRule="auto"/>
        <w:jc w:val="center"/>
        <w:rPr>
          <w:rFonts w:ascii="宋体" w:hAnsi="宋体" w:cs="宋体"/>
          <w:b/>
          <w:sz w:val="32"/>
          <w:szCs w:val="32"/>
        </w:rPr>
      </w:pPr>
    </w:p>
    <w:p w14:paraId="4D0ED017">
      <w:pPr>
        <w:ind w:firstLine="3915" w:firstLineChars="1300"/>
        <w:rPr>
          <w:rFonts w:hint="default" w:ascii="宋体" w:hAnsi="宋体" w:eastAsia="宋体" w:cs="Times New Roman"/>
          <w:b/>
          <w:sz w:val="30"/>
          <w:szCs w:val="30"/>
          <w:lang w:val="en-US" w:eastAsia="zh-CN"/>
        </w:rPr>
      </w:pPr>
      <w:r>
        <w:rPr>
          <w:rFonts w:hint="eastAsia" w:ascii="宋体" w:hAnsi="宋体" w:eastAsia="宋体" w:cs="Times New Roman"/>
          <w:b/>
          <w:sz w:val="30"/>
          <w:szCs w:val="30"/>
          <w:lang w:val="en-US" w:eastAsia="zh-CN"/>
        </w:rPr>
        <w:t>项目编号：</w:t>
      </w:r>
    </w:p>
    <w:p w14:paraId="23152DB1">
      <w:pPr>
        <w:ind w:firstLine="2409" w:firstLineChars="800"/>
        <w:rPr>
          <w:rFonts w:hint="default" w:ascii="宋体" w:hAnsi="宋体" w:eastAsia="宋体"/>
          <w:b/>
          <w:sz w:val="30"/>
          <w:szCs w:val="30"/>
          <w:lang w:val="en-US" w:eastAsia="zh-CN"/>
        </w:rPr>
      </w:pPr>
      <w:r>
        <w:rPr>
          <w:rFonts w:hint="eastAsia" w:ascii="宋体" w:hAnsi="宋体" w:eastAsia="宋体" w:cs="Times New Roman"/>
          <w:b/>
          <w:sz w:val="30"/>
          <w:szCs w:val="30"/>
          <w:lang w:val="en-US" w:eastAsia="zh-CN"/>
        </w:rPr>
        <w:t xml:space="preserve">       </w:t>
      </w:r>
      <w:r>
        <w:rPr>
          <w:rFonts w:hint="eastAsia" w:ascii="宋体" w:hAnsi="宋体"/>
          <w:b/>
          <w:sz w:val="30"/>
          <w:szCs w:val="30"/>
          <w:lang w:val="en-US" w:eastAsia="zh-CN"/>
        </w:rPr>
        <w:t xml:space="preserve">         </w:t>
      </w:r>
    </w:p>
    <w:p w14:paraId="4E165374">
      <w:pPr>
        <w:tabs>
          <w:tab w:val="left" w:pos="765"/>
          <w:tab w:val="left" w:pos="8280"/>
        </w:tabs>
        <w:spacing w:line="360" w:lineRule="auto"/>
        <w:jc w:val="both"/>
        <w:rPr>
          <w:rFonts w:hint="eastAsia" w:ascii="宋体" w:hAnsi="宋体" w:cs="宋体"/>
          <w:b/>
          <w:sz w:val="28"/>
          <w:szCs w:val="28"/>
          <w:lang w:bidi="ar"/>
        </w:rPr>
      </w:pPr>
    </w:p>
    <w:p w14:paraId="6F112115">
      <w:pPr>
        <w:tabs>
          <w:tab w:val="left" w:pos="765"/>
          <w:tab w:val="left" w:pos="8280"/>
        </w:tabs>
        <w:spacing w:line="360" w:lineRule="auto"/>
        <w:jc w:val="both"/>
        <w:rPr>
          <w:rFonts w:hint="eastAsia" w:ascii="宋体" w:hAnsi="宋体" w:cs="宋体"/>
          <w:b/>
          <w:sz w:val="28"/>
          <w:szCs w:val="28"/>
          <w:lang w:bidi="ar"/>
        </w:rPr>
      </w:pPr>
    </w:p>
    <w:p w14:paraId="3D78D7DA">
      <w:pPr>
        <w:tabs>
          <w:tab w:val="left" w:pos="765"/>
          <w:tab w:val="left" w:pos="8280"/>
        </w:tabs>
        <w:spacing w:line="360" w:lineRule="auto"/>
        <w:jc w:val="both"/>
        <w:rPr>
          <w:rFonts w:hint="eastAsia" w:ascii="宋体" w:hAnsi="宋体" w:cs="宋体"/>
          <w:b/>
          <w:sz w:val="28"/>
          <w:szCs w:val="28"/>
          <w:lang w:bidi="ar"/>
        </w:rPr>
      </w:pPr>
    </w:p>
    <w:p w14:paraId="1306FD0C">
      <w:pPr>
        <w:tabs>
          <w:tab w:val="left" w:pos="765"/>
          <w:tab w:val="left" w:pos="8280"/>
        </w:tabs>
        <w:spacing w:line="360" w:lineRule="auto"/>
        <w:jc w:val="both"/>
        <w:rPr>
          <w:rFonts w:hint="eastAsia" w:ascii="宋体" w:hAnsi="宋体" w:cs="宋体"/>
          <w:b/>
          <w:sz w:val="28"/>
          <w:szCs w:val="28"/>
          <w:lang w:bidi="ar"/>
        </w:rPr>
      </w:pPr>
    </w:p>
    <w:p w14:paraId="0F95FA8F">
      <w:pPr>
        <w:tabs>
          <w:tab w:val="left" w:pos="765"/>
          <w:tab w:val="left" w:pos="8280"/>
        </w:tabs>
        <w:spacing w:line="360" w:lineRule="auto"/>
        <w:ind w:firstLine="2502" w:firstLineChars="890"/>
        <w:rPr>
          <w:rFonts w:hint="eastAsia" w:ascii="宋体" w:hAnsi="宋体" w:cs="宋体"/>
          <w:b/>
          <w:sz w:val="28"/>
          <w:szCs w:val="28"/>
        </w:rPr>
      </w:pPr>
      <w:r>
        <w:rPr>
          <w:rFonts w:hint="eastAsia" w:ascii="宋体" w:hAnsi="宋体" w:cs="宋体"/>
          <w:b/>
          <w:sz w:val="28"/>
          <w:szCs w:val="28"/>
          <w:lang w:bidi="ar"/>
        </w:rPr>
        <w:t>响应供应商（公章）：</w:t>
      </w:r>
    </w:p>
    <w:p w14:paraId="67EB46E4">
      <w:pPr>
        <w:tabs>
          <w:tab w:val="left" w:pos="765"/>
          <w:tab w:val="left" w:pos="8280"/>
        </w:tabs>
        <w:spacing w:line="360" w:lineRule="auto"/>
        <w:ind w:firstLine="2502" w:firstLineChars="890"/>
        <w:rPr>
          <w:rFonts w:ascii="宋体" w:hAnsi="宋体" w:cs="宋体"/>
          <w:b/>
          <w:sz w:val="28"/>
          <w:szCs w:val="28"/>
        </w:rPr>
      </w:pPr>
      <w:r>
        <w:rPr>
          <w:rFonts w:hint="eastAsia" w:ascii="宋体" w:hAnsi="宋体" w:cs="宋体"/>
          <w:b/>
          <w:sz w:val="28"/>
          <w:szCs w:val="28"/>
          <w:lang w:bidi="ar"/>
        </w:rPr>
        <w:t>法定代表人（签章）：</w:t>
      </w:r>
    </w:p>
    <w:p w14:paraId="21DC7261">
      <w:pPr>
        <w:tabs>
          <w:tab w:val="left" w:pos="8280"/>
        </w:tabs>
        <w:spacing w:line="360" w:lineRule="auto"/>
        <w:ind w:firstLine="2502" w:firstLineChars="890"/>
        <w:rPr>
          <w:rFonts w:ascii="宋体" w:hAnsi="宋体" w:cs="宋体"/>
          <w:b/>
          <w:sz w:val="28"/>
          <w:szCs w:val="28"/>
          <w:lang w:bidi="ar"/>
        </w:rPr>
      </w:pPr>
      <w:r>
        <w:rPr>
          <w:rFonts w:hint="eastAsia" w:ascii="宋体" w:hAnsi="宋体" w:cs="宋体"/>
          <w:b/>
          <w:sz w:val="28"/>
          <w:szCs w:val="28"/>
          <w:lang w:bidi="ar"/>
        </w:rPr>
        <w:t>日  期：    年   月   日</w:t>
      </w:r>
    </w:p>
    <w:p w14:paraId="60F4B512">
      <w:pPr>
        <w:spacing w:line="360" w:lineRule="auto"/>
        <w:rPr>
          <w:rFonts w:ascii="宋体" w:hAnsi="宋体"/>
          <w:b/>
          <w:sz w:val="32"/>
          <w:szCs w:val="32"/>
          <w:lang w:val="zh-CN" w:bidi="ar"/>
        </w:rPr>
        <w:sectPr>
          <w:footerReference r:id="rId4" w:type="default"/>
          <w:pgSz w:w="11915" w:h="16840"/>
          <w:pgMar w:top="1021" w:right="964" w:bottom="1021" w:left="964" w:header="964" w:footer="851" w:gutter="0"/>
          <w:cols w:space="720" w:num="1"/>
          <w:docGrid w:type="lines" w:linePitch="312" w:charSpace="0"/>
        </w:sectPr>
      </w:pPr>
    </w:p>
    <w:p w14:paraId="34D8F85D">
      <w:pPr>
        <w:spacing w:line="360" w:lineRule="auto"/>
        <w:jc w:val="center"/>
        <w:rPr>
          <w:rFonts w:hint="eastAsia" w:ascii="宋体" w:hAnsi="宋体" w:cs="宋体"/>
          <w:b/>
          <w:color w:val="000000"/>
          <w:sz w:val="44"/>
          <w:szCs w:val="44"/>
          <w:lang w:bidi="ar"/>
        </w:rPr>
      </w:pPr>
      <w:r>
        <w:rPr>
          <w:rFonts w:hint="eastAsia" w:ascii="宋体" w:hAnsi="宋体" w:cs="宋体"/>
          <w:b/>
          <w:color w:val="000000"/>
          <w:sz w:val="44"/>
          <w:szCs w:val="44"/>
          <w:lang w:bidi="ar"/>
        </w:rPr>
        <w:t>目  录</w:t>
      </w:r>
    </w:p>
    <w:p w14:paraId="23E93CBF">
      <w:pPr>
        <w:pStyle w:val="5"/>
        <w:rPr>
          <w:sz w:val="28"/>
          <w:szCs w:val="28"/>
          <w:lang w:val="en-US" w:eastAsia="zh-CN" w:bidi="ar"/>
        </w:rPr>
      </w:pPr>
      <w:r>
        <w:rPr>
          <w:rFonts w:hint="eastAsia"/>
          <w:sz w:val="28"/>
          <w:szCs w:val="28"/>
          <w:lang w:val="en-US" w:eastAsia="zh-CN" w:bidi="ar"/>
        </w:rPr>
        <w:t>（自拟）</w:t>
      </w:r>
    </w:p>
    <w:p w14:paraId="07782A10">
      <w:pPr>
        <w:spacing w:line="360" w:lineRule="auto"/>
        <w:ind w:firstLine="480" w:firstLineChars="200"/>
        <w:rPr>
          <w:rFonts w:hint="eastAsia" w:ascii="宋体" w:hAnsi="宋体" w:cs="宋体"/>
          <w:color w:val="000000"/>
          <w:sz w:val="24"/>
          <w:lang w:bidi="ar"/>
        </w:rPr>
      </w:pPr>
    </w:p>
    <w:p w14:paraId="4BAC2601">
      <w:pPr>
        <w:ind w:firstLine="560" w:firstLineChars="200"/>
        <w:rPr>
          <w:rFonts w:hint="eastAsia"/>
          <w:sz w:val="28"/>
          <w:szCs w:val="28"/>
        </w:rPr>
      </w:pPr>
      <w:r>
        <w:rPr>
          <w:rFonts w:hint="eastAsia"/>
          <w:sz w:val="28"/>
          <w:szCs w:val="28"/>
        </w:rPr>
        <w:t>一、法定代表人身份证明</w:t>
      </w:r>
    </w:p>
    <w:p w14:paraId="2F49750A">
      <w:pPr>
        <w:ind w:firstLine="560" w:firstLineChars="200"/>
        <w:rPr>
          <w:rFonts w:hint="eastAsia"/>
          <w:sz w:val="28"/>
          <w:szCs w:val="28"/>
        </w:rPr>
      </w:pPr>
      <w:r>
        <w:rPr>
          <w:rFonts w:hint="eastAsia"/>
          <w:sz w:val="28"/>
          <w:szCs w:val="28"/>
        </w:rPr>
        <w:t>二、响应文件签署授权委托书</w:t>
      </w:r>
    </w:p>
    <w:p w14:paraId="144FAC97">
      <w:pPr>
        <w:ind w:firstLine="560" w:firstLineChars="200"/>
        <w:rPr>
          <w:rFonts w:hint="eastAsia"/>
          <w:sz w:val="28"/>
          <w:szCs w:val="28"/>
        </w:rPr>
      </w:pPr>
      <w:r>
        <w:rPr>
          <w:rFonts w:hint="eastAsia"/>
          <w:sz w:val="28"/>
          <w:szCs w:val="28"/>
        </w:rPr>
        <w:t>三、磋商函及磋商函附录</w:t>
      </w:r>
    </w:p>
    <w:p w14:paraId="135A55C8">
      <w:pPr>
        <w:ind w:firstLine="560" w:firstLineChars="200"/>
        <w:rPr>
          <w:rFonts w:hint="eastAsia"/>
          <w:sz w:val="28"/>
          <w:szCs w:val="28"/>
        </w:rPr>
      </w:pPr>
      <w:r>
        <w:rPr>
          <w:rFonts w:hint="eastAsia"/>
          <w:sz w:val="28"/>
          <w:szCs w:val="28"/>
        </w:rPr>
        <w:t>四、服务方案</w:t>
      </w:r>
    </w:p>
    <w:p w14:paraId="25E21C06">
      <w:pPr>
        <w:ind w:firstLine="560" w:firstLineChars="200"/>
        <w:rPr>
          <w:rFonts w:hint="eastAsia"/>
          <w:sz w:val="28"/>
          <w:szCs w:val="28"/>
        </w:rPr>
      </w:pPr>
      <w:r>
        <w:rPr>
          <w:rFonts w:hint="eastAsia"/>
          <w:sz w:val="28"/>
          <w:szCs w:val="28"/>
        </w:rPr>
        <w:t>五、资格审查资料</w:t>
      </w:r>
    </w:p>
    <w:p w14:paraId="3AC516D6">
      <w:pPr>
        <w:ind w:firstLine="560" w:firstLineChars="200"/>
        <w:rPr>
          <w:rFonts w:hint="eastAsia"/>
          <w:sz w:val="28"/>
          <w:szCs w:val="28"/>
        </w:rPr>
      </w:pPr>
      <w:r>
        <w:rPr>
          <w:rFonts w:hint="eastAsia"/>
          <w:sz w:val="28"/>
          <w:szCs w:val="28"/>
        </w:rPr>
        <w:t>六、中小微企业声明函</w:t>
      </w:r>
    </w:p>
    <w:p w14:paraId="39FACA4F">
      <w:pPr>
        <w:ind w:firstLine="560" w:firstLineChars="200"/>
        <w:rPr>
          <w:rFonts w:hint="eastAsia"/>
          <w:sz w:val="28"/>
          <w:szCs w:val="28"/>
        </w:rPr>
      </w:pPr>
      <w:r>
        <w:rPr>
          <w:rFonts w:hint="eastAsia"/>
          <w:sz w:val="28"/>
          <w:szCs w:val="28"/>
        </w:rPr>
        <w:t>七、磋商承诺函</w:t>
      </w:r>
    </w:p>
    <w:p w14:paraId="5ED39128">
      <w:pPr>
        <w:ind w:firstLine="560" w:firstLineChars="200"/>
        <w:rPr>
          <w:rFonts w:hint="eastAsia"/>
          <w:sz w:val="28"/>
          <w:szCs w:val="28"/>
        </w:rPr>
      </w:pPr>
      <w:r>
        <w:rPr>
          <w:rFonts w:hint="eastAsia"/>
          <w:sz w:val="28"/>
          <w:szCs w:val="28"/>
        </w:rPr>
        <w:t>八、拟投入本项目的人员情况</w:t>
      </w:r>
    </w:p>
    <w:p w14:paraId="7BC6D818">
      <w:pPr>
        <w:ind w:firstLine="560" w:firstLineChars="200"/>
        <w:rPr>
          <w:rFonts w:hint="eastAsia" w:ascii="Times New Roman" w:hAnsi="Times New Roman" w:eastAsia="宋体" w:cs="Times New Roman"/>
          <w:sz w:val="28"/>
          <w:szCs w:val="28"/>
        </w:rPr>
      </w:pPr>
      <w:r>
        <w:rPr>
          <w:rFonts w:hint="eastAsia"/>
          <w:sz w:val="28"/>
          <w:szCs w:val="28"/>
        </w:rPr>
        <w:t>九、其他资料</w:t>
      </w:r>
    </w:p>
    <w:p w14:paraId="43939092">
      <w:pPr>
        <w:spacing w:line="360" w:lineRule="auto"/>
        <w:rPr>
          <w:rFonts w:ascii="宋体" w:hAnsi="宋体" w:cs="宋体"/>
          <w:color w:val="000000"/>
          <w:sz w:val="24"/>
        </w:rPr>
      </w:pPr>
    </w:p>
    <w:p w14:paraId="12065095">
      <w:pPr>
        <w:spacing w:line="360" w:lineRule="auto"/>
        <w:rPr>
          <w:rFonts w:ascii="宋体" w:hAnsi="宋体" w:cs="宋体"/>
          <w:b/>
          <w:color w:val="000000"/>
          <w:sz w:val="28"/>
          <w:szCs w:val="28"/>
        </w:rPr>
      </w:pPr>
    </w:p>
    <w:p w14:paraId="6D2F3D03">
      <w:pPr>
        <w:jc w:val="center"/>
        <w:rPr>
          <w:b/>
          <w:bCs/>
          <w:sz w:val="32"/>
          <w:szCs w:val="32"/>
        </w:rPr>
      </w:pPr>
      <w:r>
        <w:rPr>
          <w:rFonts w:hint="eastAsia" w:ascii="宋体" w:hAnsi="宋体"/>
          <w:b/>
          <w:color w:val="000000"/>
          <w:sz w:val="28"/>
          <w:szCs w:val="28"/>
          <w:lang w:bidi="ar"/>
        </w:rPr>
        <w:br w:type="page"/>
      </w:r>
      <w:r>
        <w:rPr>
          <w:rFonts w:hint="eastAsia"/>
          <w:b/>
          <w:bCs/>
          <w:sz w:val="32"/>
          <w:szCs w:val="32"/>
        </w:rPr>
        <w:t>一、法定代表人身份证明书</w:t>
      </w:r>
    </w:p>
    <w:p w14:paraId="166DE1AA">
      <w:pPr>
        <w:spacing w:line="440" w:lineRule="exact"/>
        <w:rPr>
          <w:b/>
          <w:bCs/>
          <w:sz w:val="32"/>
          <w:szCs w:val="32"/>
        </w:rPr>
      </w:pPr>
    </w:p>
    <w:p w14:paraId="67C01E97">
      <w:pPr>
        <w:spacing w:line="480" w:lineRule="auto"/>
        <w:ind w:firstLine="612"/>
        <w:rPr>
          <w:sz w:val="24"/>
        </w:rPr>
      </w:pPr>
      <w:r>
        <w:rPr>
          <w:rFonts w:hint="eastAsia" w:ascii="宋体" w:hAnsi="宋体" w:cs="宋体"/>
          <w:sz w:val="24"/>
        </w:rPr>
        <w:t>单位名称：</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4EE4C53B">
      <w:pPr>
        <w:spacing w:line="480" w:lineRule="auto"/>
        <w:ind w:firstLine="610"/>
        <w:rPr>
          <w:sz w:val="24"/>
          <w:u w:val="single"/>
        </w:rPr>
      </w:pPr>
      <w:r>
        <w:rPr>
          <w:rFonts w:hint="eastAsia" w:ascii="宋体" w:hAnsi="宋体" w:cs="宋体"/>
          <w:sz w:val="24"/>
        </w:rPr>
        <w:t>单位性质：</w:t>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r>
        <w:rPr>
          <w:sz w:val="24"/>
          <w:u w:val="single"/>
        </w:rPr>
        <w:tab/>
      </w:r>
    </w:p>
    <w:p w14:paraId="0C8531CD">
      <w:pPr>
        <w:spacing w:line="480" w:lineRule="auto"/>
        <w:ind w:firstLine="610"/>
        <w:rPr>
          <w:rFonts w:ascii="宋体"/>
          <w:sz w:val="24"/>
          <w:u w:val="single"/>
        </w:rPr>
      </w:pPr>
      <w:r>
        <w:rPr>
          <w:rFonts w:hint="eastAsia" w:ascii="宋体" w:hAnsi="宋体" w:cs="宋体"/>
          <w:sz w:val="24"/>
        </w:rPr>
        <w:t>地    址：</w:t>
      </w:r>
      <w:r>
        <w:rPr>
          <w:sz w:val="24"/>
          <w:u w:val="single"/>
        </w:rPr>
        <w:tab/>
      </w:r>
      <w:r>
        <w:rPr>
          <w:sz w:val="24"/>
          <w:u w:val="single"/>
        </w:rPr>
        <w:tab/>
      </w:r>
      <w:r>
        <w:rPr>
          <w:rFonts w:ascii="宋体"/>
          <w:sz w:val="24"/>
          <w:u w:val="single"/>
        </w:rPr>
        <w:tab/>
      </w:r>
      <w:r>
        <w:rPr>
          <w:rFonts w:ascii="宋体"/>
          <w:sz w:val="24"/>
          <w:u w:val="single"/>
        </w:rPr>
        <w:tab/>
      </w:r>
      <w:r>
        <w:rPr>
          <w:rFonts w:ascii="宋体"/>
          <w:sz w:val="24"/>
          <w:u w:val="single"/>
        </w:rPr>
        <w:tab/>
      </w:r>
      <w:r>
        <w:rPr>
          <w:rFonts w:ascii="宋体"/>
          <w:sz w:val="24"/>
          <w:u w:val="single"/>
        </w:rPr>
        <w:tab/>
      </w:r>
      <w:r>
        <w:rPr>
          <w:rFonts w:ascii="宋体"/>
          <w:sz w:val="24"/>
          <w:u w:val="single"/>
        </w:rPr>
        <w:tab/>
      </w:r>
      <w:r>
        <w:rPr>
          <w:rFonts w:ascii="宋体"/>
          <w:sz w:val="24"/>
          <w:u w:val="single"/>
        </w:rPr>
        <w:tab/>
      </w:r>
      <w:r>
        <w:rPr>
          <w:rFonts w:hint="eastAsia" w:ascii="宋体"/>
          <w:sz w:val="24"/>
          <w:u w:val="single"/>
        </w:rPr>
        <w:t xml:space="preserve">       </w:t>
      </w:r>
    </w:p>
    <w:p w14:paraId="68964416">
      <w:pPr>
        <w:spacing w:line="480" w:lineRule="auto"/>
        <w:ind w:firstLine="610"/>
        <w:rPr>
          <w:sz w:val="24"/>
        </w:rPr>
      </w:pPr>
      <w:r>
        <w:rPr>
          <w:rFonts w:hint="eastAsia" w:ascii="宋体" w:hAnsi="宋体" w:cs="宋体"/>
          <w:sz w:val="24"/>
        </w:rPr>
        <w:t>成立时间：</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rPr>
        <w:t>年</w:t>
      </w:r>
      <w:r>
        <w:rPr>
          <w:rFonts w:hint="eastAsia" w:ascii="宋体" w:hAnsi="宋体" w:cs="宋体"/>
          <w:sz w:val="24"/>
          <w:u w:val="single"/>
          <w:lang w:val="en-US" w:eastAsia="zh-CN"/>
        </w:rPr>
        <w:t xml:space="preserve">      </w:t>
      </w:r>
      <w:r>
        <w:rPr>
          <w:rFonts w:hint="eastAsia" w:ascii="宋体" w:hAnsi="宋体" w:cs="宋体"/>
          <w:sz w:val="24"/>
        </w:rPr>
        <w:t>月</w:t>
      </w:r>
      <w:r>
        <w:rPr>
          <w:rFonts w:hint="eastAsia" w:ascii="宋体" w:hAnsi="宋体" w:cs="宋体"/>
          <w:sz w:val="24"/>
          <w:u w:val="single"/>
          <w:lang w:val="en-US" w:eastAsia="zh-CN"/>
        </w:rPr>
        <w:t xml:space="preserve">           </w:t>
      </w:r>
      <w:r>
        <w:rPr>
          <w:rFonts w:hint="eastAsia" w:ascii="宋体" w:hAnsi="宋体" w:cs="宋体"/>
          <w:sz w:val="24"/>
        </w:rPr>
        <w:t>日</w:t>
      </w:r>
    </w:p>
    <w:p w14:paraId="529C2DB2">
      <w:pPr>
        <w:spacing w:line="480" w:lineRule="auto"/>
        <w:ind w:firstLine="610"/>
        <w:rPr>
          <w:rFonts w:ascii="宋体"/>
          <w:sz w:val="24"/>
          <w:u w:val="single"/>
        </w:rPr>
      </w:pPr>
      <w:r>
        <w:rPr>
          <w:rFonts w:hint="eastAsia" w:ascii="宋体" w:hAnsi="宋体" w:cs="宋体"/>
          <w:sz w:val="24"/>
        </w:rPr>
        <w:t>经营期限：</w:t>
      </w:r>
      <w:r>
        <w:rPr>
          <w:sz w:val="24"/>
          <w:u w:val="single"/>
        </w:rPr>
        <w:tab/>
      </w:r>
      <w:r>
        <w:rPr>
          <w:rFonts w:hint="eastAsia"/>
          <w:sz w:val="24"/>
          <w:u w:val="single"/>
        </w:rPr>
        <w:t xml:space="preserve">                            </w:t>
      </w:r>
      <w:r>
        <w:rPr>
          <w:rFonts w:ascii="宋体"/>
          <w:sz w:val="24"/>
          <w:u w:val="single"/>
        </w:rPr>
        <w:tab/>
      </w:r>
    </w:p>
    <w:p w14:paraId="331CF1BB">
      <w:pPr>
        <w:spacing w:line="480" w:lineRule="auto"/>
        <w:ind w:firstLine="610"/>
        <w:rPr>
          <w:rFonts w:ascii="宋体"/>
          <w:sz w:val="24"/>
          <w:u w:val="single"/>
        </w:rPr>
      </w:pPr>
      <w:r>
        <w:rPr>
          <w:rFonts w:hint="eastAsia" w:ascii="宋体" w:hAnsi="宋体" w:cs="宋体"/>
          <w:sz w:val="24"/>
        </w:rPr>
        <w:t>姓名：</w:t>
      </w:r>
      <w:r>
        <w:rPr>
          <w:rFonts w:hint="eastAsia" w:ascii="宋体" w:hAnsi="宋体" w:cs="宋体"/>
          <w:sz w:val="24"/>
          <w:u w:val="single"/>
        </w:rPr>
        <w:t xml:space="preserve">      </w:t>
      </w:r>
      <w:r>
        <w:rPr>
          <w:rFonts w:hint="eastAsia" w:ascii="宋体" w:hAnsi="宋体" w:cs="宋体"/>
          <w:sz w:val="24"/>
        </w:rPr>
        <w:t>性别：</w:t>
      </w:r>
      <w:r>
        <w:rPr>
          <w:rFonts w:hint="eastAsia" w:ascii="宋体" w:hAnsi="宋体" w:cs="宋体"/>
          <w:sz w:val="24"/>
          <w:u w:val="single"/>
        </w:rPr>
        <w:t xml:space="preserve">       </w:t>
      </w:r>
      <w:r>
        <w:rPr>
          <w:rFonts w:hint="eastAsia" w:ascii="宋体" w:hAnsi="宋体" w:cs="宋体"/>
          <w:sz w:val="24"/>
        </w:rPr>
        <w:t>年龄：</w:t>
      </w:r>
      <w:r>
        <w:rPr>
          <w:rFonts w:hint="eastAsia" w:ascii="宋体" w:hAnsi="宋体" w:cs="宋体"/>
          <w:sz w:val="24"/>
          <w:u w:val="single"/>
        </w:rPr>
        <w:t xml:space="preserve">       </w:t>
      </w:r>
      <w:r>
        <w:rPr>
          <w:rFonts w:hint="eastAsia" w:ascii="宋体" w:hAnsi="宋体" w:cs="宋体"/>
          <w:sz w:val="24"/>
        </w:rPr>
        <w:t>职务：</w:t>
      </w:r>
      <w:r>
        <w:rPr>
          <w:sz w:val="24"/>
          <w:u w:val="single"/>
        </w:rPr>
        <w:tab/>
      </w:r>
      <w:r>
        <w:rPr>
          <w:rFonts w:hint="eastAsia"/>
          <w:sz w:val="24"/>
          <w:u w:val="single"/>
        </w:rPr>
        <w:t xml:space="preserve">    </w:t>
      </w:r>
    </w:p>
    <w:p w14:paraId="531244EA">
      <w:pPr>
        <w:spacing w:line="480" w:lineRule="auto"/>
        <w:ind w:firstLine="610"/>
        <w:rPr>
          <w:sz w:val="24"/>
        </w:rPr>
      </w:pPr>
      <w:r>
        <w:rPr>
          <w:rFonts w:hint="eastAsia" w:ascii="宋体" w:hAnsi="宋体" w:cs="宋体"/>
          <w:sz w:val="24"/>
        </w:rPr>
        <w:t>系</w:t>
      </w:r>
      <w:r>
        <w:rPr>
          <w:rFonts w:hint="eastAsia" w:ascii="宋体" w:hAnsi="宋体" w:cs="宋体"/>
          <w:sz w:val="24"/>
          <w:u w:val="single"/>
        </w:rPr>
        <w:t>（响应供应商单位名称）</w:t>
      </w:r>
      <w:r>
        <w:rPr>
          <w:rFonts w:hint="eastAsia" w:ascii="宋体" w:hAnsi="宋体" w:cs="宋体"/>
          <w:sz w:val="24"/>
        </w:rPr>
        <w:t>的法定代表人。</w:t>
      </w:r>
    </w:p>
    <w:p w14:paraId="6AE49421">
      <w:pPr>
        <w:spacing w:line="480" w:lineRule="auto"/>
        <w:ind w:firstLine="610"/>
        <w:rPr>
          <w:sz w:val="24"/>
        </w:rPr>
      </w:pPr>
    </w:p>
    <w:p w14:paraId="6A79CC40">
      <w:pPr>
        <w:spacing w:line="480" w:lineRule="auto"/>
        <w:ind w:firstLine="1089" w:firstLineChars="454"/>
        <w:rPr>
          <w:sz w:val="24"/>
        </w:rPr>
      </w:pPr>
      <w:r>
        <w:rPr>
          <w:rFonts w:hint="eastAsia" w:ascii="宋体" w:hAnsi="宋体" w:cs="宋体"/>
          <w:sz w:val="24"/>
        </w:rPr>
        <w:t>特此证明。</w:t>
      </w:r>
    </w:p>
    <w:p w14:paraId="1CFEAA17">
      <w:pPr>
        <w:tabs>
          <w:tab w:val="left" w:pos="720"/>
          <w:tab w:val="left" w:pos="900"/>
        </w:tabs>
        <w:spacing w:line="480" w:lineRule="auto"/>
        <w:rPr>
          <w:sz w:val="24"/>
        </w:rPr>
      </w:pPr>
    </w:p>
    <w:p w14:paraId="531D056B">
      <w:pPr>
        <w:wordWrap w:val="0"/>
        <w:spacing w:line="480" w:lineRule="auto"/>
        <w:ind w:firstLine="2400" w:firstLineChars="1000"/>
        <w:rPr>
          <w:rFonts w:hint="eastAsia" w:ascii="宋体" w:hAnsi="宋体"/>
          <w:sz w:val="24"/>
          <w:szCs w:val="22"/>
          <w:u w:val="single"/>
        </w:rPr>
      </w:pPr>
      <w:r>
        <w:rPr>
          <w:rFonts w:hint="eastAsia" w:ascii="宋体" w:hAnsi="宋体"/>
          <w:sz w:val="24"/>
          <w:szCs w:val="22"/>
        </w:rPr>
        <w:t xml:space="preserve">             响应供应商（盖章）：</w:t>
      </w:r>
      <w:r>
        <w:rPr>
          <w:rFonts w:hint="eastAsia" w:ascii="宋体" w:hAnsi="宋体"/>
          <w:sz w:val="24"/>
          <w:szCs w:val="22"/>
          <w:u w:val="single"/>
        </w:rPr>
        <w:t xml:space="preserve">               </w:t>
      </w:r>
    </w:p>
    <w:p w14:paraId="6E8FB87F">
      <w:pPr>
        <w:spacing w:line="480" w:lineRule="auto"/>
        <w:ind w:firstLine="480" w:firstLineChars="200"/>
        <w:rPr>
          <w:rFonts w:hint="eastAsia" w:ascii="宋体" w:hAnsi="宋体"/>
          <w:sz w:val="24"/>
          <w:szCs w:val="22"/>
          <w:u w:val="single"/>
        </w:rPr>
      </w:pPr>
      <w:r>
        <w:rPr>
          <w:rFonts w:hint="eastAsia" w:ascii="宋体" w:hAnsi="宋体"/>
          <w:sz w:val="24"/>
          <w:szCs w:val="22"/>
        </w:rPr>
        <w:t xml:space="preserve">                             法定代表人（签章）： </w:t>
      </w:r>
      <w:r>
        <w:rPr>
          <w:rFonts w:hint="eastAsia" w:ascii="宋体" w:hAnsi="宋体"/>
          <w:sz w:val="24"/>
          <w:szCs w:val="22"/>
          <w:u w:val="single"/>
        </w:rPr>
        <w:t xml:space="preserve">              </w:t>
      </w:r>
    </w:p>
    <w:p w14:paraId="02835512">
      <w:pPr>
        <w:spacing w:line="480" w:lineRule="auto"/>
        <w:jc w:val="center"/>
        <w:rPr>
          <w:rFonts w:ascii="宋体" w:hAnsi="宋体"/>
          <w:kern w:val="0"/>
          <w:sz w:val="24"/>
        </w:rPr>
      </w:pPr>
      <w:r>
        <w:rPr>
          <w:rFonts w:ascii="宋体" w:hAnsi="宋体"/>
          <w:sz w:val="24"/>
          <w:szCs w:val="22"/>
        </w:rPr>
        <w:t xml:space="preserve">                </w:t>
      </w:r>
      <w:r>
        <w:rPr>
          <w:rFonts w:hint="eastAsia" w:ascii="宋体" w:hAnsi="宋体"/>
          <w:sz w:val="24"/>
          <w:szCs w:val="22"/>
        </w:rPr>
        <w:t xml:space="preserve">       日   期：</w:t>
      </w:r>
      <w:r>
        <w:rPr>
          <w:rFonts w:ascii="宋体" w:hAnsi="宋体"/>
          <w:sz w:val="24"/>
          <w:szCs w:val="22"/>
          <w:u w:val="single"/>
        </w:rPr>
        <w:t xml:space="preserve">     </w:t>
      </w:r>
      <w:r>
        <w:rPr>
          <w:rFonts w:hint="eastAsia" w:ascii="宋体" w:hAnsi="宋体"/>
          <w:sz w:val="24"/>
          <w:szCs w:val="22"/>
        </w:rPr>
        <w:t>年</w:t>
      </w:r>
      <w:r>
        <w:rPr>
          <w:rFonts w:ascii="宋体" w:hAnsi="宋体"/>
          <w:sz w:val="24"/>
          <w:szCs w:val="22"/>
        </w:rPr>
        <w:t xml:space="preserve"> </w:t>
      </w:r>
      <w:r>
        <w:rPr>
          <w:rFonts w:ascii="宋体" w:hAnsi="宋体"/>
          <w:sz w:val="24"/>
          <w:szCs w:val="22"/>
          <w:u w:val="single"/>
        </w:rPr>
        <w:t xml:space="preserve">    </w:t>
      </w:r>
      <w:r>
        <w:rPr>
          <w:rFonts w:hint="eastAsia" w:ascii="宋体" w:hAnsi="宋体"/>
          <w:sz w:val="24"/>
          <w:szCs w:val="22"/>
        </w:rPr>
        <w:t>月</w:t>
      </w:r>
      <w:r>
        <w:rPr>
          <w:rFonts w:ascii="宋体" w:hAnsi="宋体"/>
          <w:sz w:val="24"/>
          <w:szCs w:val="22"/>
        </w:rPr>
        <w:t xml:space="preserve"> </w:t>
      </w:r>
      <w:r>
        <w:rPr>
          <w:rFonts w:ascii="宋体" w:hAnsi="宋体"/>
          <w:sz w:val="24"/>
          <w:szCs w:val="22"/>
          <w:u w:val="single"/>
        </w:rPr>
        <w:t xml:space="preserve">    </w:t>
      </w:r>
      <w:r>
        <w:rPr>
          <w:rFonts w:hint="eastAsia" w:ascii="宋体" w:hAnsi="宋体"/>
          <w:sz w:val="24"/>
          <w:szCs w:val="22"/>
        </w:rPr>
        <w:t>日</w:t>
      </w:r>
    </w:p>
    <w:tbl>
      <w:tblPr>
        <w:tblStyle w:val="11"/>
        <w:tblpPr w:leftFromText="180" w:rightFromText="180" w:vertAnchor="text" w:horzAnchor="page" w:tblpX="2160" w:tblpY="51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0"/>
      </w:tblGrid>
      <w:tr w14:paraId="5525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5" w:hRule="atLeast"/>
        </w:trPr>
        <w:tc>
          <w:tcPr>
            <w:tcW w:w="7880" w:type="dxa"/>
            <w:noWrap w:val="0"/>
            <w:vAlign w:val="center"/>
          </w:tcPr>
          <w:p w14:paraId="0D1C4BA5">
            <w:pPr>
              <w:jc w:val="center"/>
              <w:rPr>
                <w:rFonts w:hint="eastAsia" w:ascii="宋体" w:hAnsi="宋体"/>
                <w:color w:val="000000"/>
                <w:sz w:val="28"/>
              </w:rPr>
            </w:pPr>
            <w:r>
              <w:rPr>
                <w:rFonts w:hint="eastAsia" w:ascii="宋体" w:hAnsi="宋体" w:eastAsia="宋体" w:cs="Times New Roman"/>
                <w:sz w:val="24"/>
                <w:szCs w:val="22"/>
              </w:rPr>
              <w:t>法定代表人身份证复印件（或扫描件）</w:t>
            </w:r>
          </w:p>
        </w:tc>
      </w:tr>
    </w:tbl>
    <w:p w14:paraId="79B929C0">
      <w:pPr>
        <w:numPr>
          <w:ilvl w:val="0"/>
          <w:numId w:val="0"/>
        </w:numPr>
        <w:spacing w:line="520" w:lineRule="exact"/>
        <w:jc w:val="both"/>
        <w:rPr>
          <w:rFonts w:hint="eastAsia" w:ascii="宋体" w:hAnsi="宋体" w:cs="宋体"/>
          <w:b/>
          <w:bCs/>
          <w:kern w:val="2"/>
          <w:sz w:val="32"/>
          <w:szCs w:val="32"/>
          <w:lang w:val="en-US" w:eastAsia="zh-CN" w:bidi="ar-SA"/>
        </w:rPr>
      </w:pPr>
    </w:p>
    <w:p w14:paraId="3EF64D7B">
      <w:pPr>
        <w:numPr>
          <w:ilvl w:val="0"/>
          <w:numId w:val="0"/>
        </w:numPr>
        <w:spacing w:line="520" w:lineRule="exact"/>
        <w:jc w:val="center"/>
        <w:rPr>
          <w:rFonts w:hint="eastAsia" w:ascii="宋体" w:hAnsi="宋体" w:cs="宋体"/>
          <w:b/>
          <w:bCs/>
          <w:sz w:val="32"/>
          <w:szCs w:val="32"/>
        </w:rPr>
      </w:pPr>
      <w:r>
        <w:rPr>
          <w:rFonts w:hint="eastAsia" w:ascii="宋体" w:hAnsi="宋体" w:cs="宋体"/>
          <w:b/>
          <w:bCs/>
          <w:kern w:val="2"/>
          <w:sz w:val="32"/>
          <w:szCs w:val="32"/>
          <w:lang w:val="en-US" w:eastAsia="zh-CN" w:bidi="ar-SA"/>
        </w:rPr>
        <w:t>二、</w:t>
      </w:r>
      <w:r>
        <w:rPr>
          <w:rFonts w:hint="eastAsia" w:ascii="宋体" w:hAnsi="宋体" w:cs="宋体"/>
          <w:b/>
          <w:bCs/>
          <w:sz w:val="32"/>
          <w:szCs w:val="32"/>
          <w:lang w:val="en-US" w:eastAsia="zh-CN"/>
        </w:rPr>
        <w:t>响应</w:t>
      </w:r>
      <w:r>
        <w:rPr>
          <w:rFonts w:hint="eastAsia" w:ascii="宋体" w:hAnsi="宋体" w:cs="宋体"/>
          <w:b/>
          <w:bCs/>
          <w:sz w:val="32"/>
          <w:szCs w:val="32"/>
        </w:rPr>
        <w:t>文件签署授权委托书</w:t>
      </w:r>
    </w:p>
    <w:p w14:paraId="45E6E65B">
      <w:pPr>
        <w:pStyle w:val="2"/>
        <w:numPr>
          <w:ilvl w:val="0"/>
          <w:numId w:val="0"/>
        </w:numPr>
      </w:pPr>
    </w:p>
    <w:p w14:paraId="4CBA5A28">
      <w:pPr>
        <w:tabs>
          <w:tab w:val="left" w:pos="3240"/>
        </w:tabs>
        <w:spacing w:line="480" w:lineRule="auto"/>
        <w:ind w:firstLine="612"/>
        <w:rPr>
          <w:rFonts w:hint="eastAsia" w:ascii="宋体" w:hAnsi="宋体" w:cs="宋体"/>
          <w:sz w:val="24"/>
        </w:rPr>
      </w:pPr>
      <w:r>
        <w:rPr>
          <w:rFonts w:hint="eastAsia" w:ascii="宋体" w:hAnsi="宋体" w:cs="宋体"/>
          <w:sz w:val="24"/>
        </w:rPr>
        <w:t>本授权委托书声明：我</w:t>
      </w:r>
      <w:r>
        <w:rPr>
          <w:rFonts w:hint="eastAsia" w:ascii="宋体" w:hAnsi="宋体" w:cs="宋体"/>
          <w:sz w:val="24"/>
          <w:u w:val="single"/>
        </w:rPr>
        <w:t>（法定代表人）</w:t>
      </w:r>
      <w:r>
        <w:rPr>
          <w:rFonts w:hint="eastAsia" w:ascii="宋体" w:hAnsi="宋体" w:cs="宋体"/>
          <w:sz w:val="24"/>
        </w:rPr>
        <w:t>（姓名）系</w:t>
      </w:r>
      <w:r>
        <w:rPr>
          <w:rFonts w:hint="eastAsia" w:ascii="宋体" w:hAnsi="宋体" w:cs="宋体"/>
          <w:sz w:val="24"/>
          <w:u w:val="single"/>
        </w:rPr>
        <w:t>（响应供应商名称）</w:t>
      </w:r>
      <w:r>
        <w:rPr>
          <w:rFonts w:hint="eastAsia" w:ascii="宋体" w:hAnsi="宋体" w:cs="宋体"/>
          <w:sz w:val="24"/>
        </w:rPr>
        <w:t>的法定代表人，现授权委托</w:t>
      </w:r>
      <w:r>
        <w:rPr>
          <w:rFonts w:hint="eastAsia" w:ascii="宋体" w:hAnsi="宋体" w:cs="宋体"/>
          <w:sz w:val="24"/>
          <w:u w:val="single"/>
        </w:rPr>
        <w:t>（单位名称）</w:t>
      </w:r>
      <w:r>
        <w:rPr>
          <w:rFonts w:hint="eastAsia" w:ascii="宋体" w:hAnsi="宋体" w:cs="宋体"/>
          <w:sz w:val="24"/>
        </w:rPr>
        <w:t>的</w:t>
      </w:r>
      <w:r>
        <w:rPr>
          <w:rFonts w:hint="eastAsia" w:ascii="宋体" w:hAnsi="宋体" w:cs="宋体"/>
          <w:sz w:val="24"/>
          <w:u w:val="single"/>
        </w:rPr>
        <w:t>（姓名）</w:t>
      </w:r>
      <w:r>
        <w:rPr>
          <w:rFonts w:hint="eastAsia" w:ascii="宋体" w:hAnsi="宋体" w:cs="宋体"/>
          <w:sz w:val="24"/>
        </w:rPr>
        <w:t>为我公司签署本项目的</w:t>
      </w:r>
      <w:r>
        <w:rPr>
          <w:rFonts w:hint="eastAsia" w:ascii="宋体" w:hAnsi="宋体" w:cs="宋体"/>
          <w:sz w:val="24"/>
          <w:lang w:val="en-US" w:eastAsia="zh-CN"/>
        </w:rPr>
        <w:t>响应</w:t>
      </w:r>
      <w:r>
        <w:rPr>
          <w:rFonts w:hint="eastAsia" w:ascii="宋体" w:hAnsi="宋体" w:cs="宋体"/>
          <w:sz w:val="24"/>
        </w:rPr>
        <w:t>文件的法定代表人授权委托代理人，我承认代理人全权代表我所签署的</w:t>
      </w:r>
      <w:r>
        <w:rPr>
          <w:rFonts w:hint="eastAsia" w:ascii="宋体" w:hAnsi="宋体" w:cs="宋体"/>
          <w:sz w:val="24"/>
          <w:u w:val="single"/>
        </w:rPr>
        <w:t xml:space="preserve">  （项目名称）  </w:t>
      </w:r>
      <w:r>
        <w:rPr>
          <w:rFonts w:hint="eastAsia" w:ascii="宋体" w:hAnsi="宋体" w:cs="宋体"/>
          <w:sz w:val="24"/>
        </w:rPr>
        <w:t>项目的</w:t>
      </w:r>
      <w:r>
        <w:rPr>
          <w:rFonts w:hint="eastAsia" w:ascii="宋体" w:hAnsi="宋体" w:cs="宋体"/>
          <w:sz w:val="24"/>
          <w:lang w:val="en-US" w:eastAsia="zh-CN"/>
        </w:rPr>
        <w:t>响应</w:t>
      </w:r>
      <w:r>
        <w:rPr>
          <w:rFonts w:hint="eastAsia" w:ascii="宋体" w:hAnsi="宋体" w:cs="宋体"/>
          <w:sz w:val="24"/>
        </w:rPr>
        <w:t>文件的内容。同时授权委托该同志代表我公司参加本项目的投标、开标、合同谈判、处理有关事务等并有权签署有关文件。</w:t>
      </w:r>
    </w:p>
    <w:p w14:paraId="74EF9089">
      <w:pPr>
        <w:tabs>
          <w:tab w:val="left" w:pos="3240"/>
        </w:tabs>
        <w:spacing w:line="480" w:lineRule="auto"/>
        <w:ind w:firstLine="612"/>
        <w:rPr>
          <w:rFonts w:hint="default" w:ascii="宋体" w:hAnsi="宋体" w:eastAsia="宋体" w:cs="宋体"/>
          <w:sz w:val="24"/>
          <w:u w:val="single"/>
          <w:lang w:val="en-US" w:eastAsia="zh-CN"/>
        </w:rPr>
      </w:pPr>
      <w:r>
        <w:rPr>
          <w:rFonts w:hint="eastAsia" w:ascii="宋体" w:hAnsi="宋体" w:cs="宋体"/>
          <w:sz w:val="24"/>
          <w:lang w:val="en-US" w:eastAsia="zh-CN"/>
        </w:rPr>
        <w:t>委托期限：</w:t>
      </w:r>
      <w:r>
        <w:rPr>
          <w:rFonts w:hint="eastAsia" w:ascii="宋体" w:hAnsi="宋体" w:cs="宋体"/>
          <w:sz w:val="24"/>
          <w:u w:val="single"/>
          <w:lang w:val="en-US" w:eastAsia="zh-CN"/>
        </w:rPr>
        <w:t xml:space="preserve">                 </w:t>
      </w:r>
      <w:r>
        <w:rPr>
          <w:rFonts w:hint="eastAsia" w:ascii="宋体" w:hAnsi="宋体" w:cs="宋体"/>
          <w:sz w:val="24"/>
          <w:u w:val="none"/>
          <w:lang w:val="en-US" w:eastAsia="zh-CN"/>
        </w:rPr>
        <w:t>。</w:t>
      </w:r>
    </w:p>
    <w:p w14:paraId="3879E274">
      <w:pPr>
        <w:spacing w:line="480" w:lineRule="auto"/>
        <w:ind w:firstLine="697"/>
        <w:rPr>
          <w:sz w:val="24"/>
        </w:rPr>
      </w:pPr>
      <w:r>
        <w:rPr>
          <w:rFonts w:hint="eastAsia" w:ascii="宋体" w:hAnsi="宋体" w:cs="宋体"/>
          <w:sz w:val="24"/>
        </w:rPr>
        <w:t>代理人无转委托权，特此委托。</w:t>
      </w:r>
    </w:p>
    <w:p w14:paraId="3CFE2C01">
      <w:pPr>
        <w:spacing w:line="480" w:lineRule="auto"/>
        <w:ind w:left="2699"/>
        <w:rPr>
          <w:rFonts w:hint="eastAsia" w:ascii="宋体" w:hAnsi="宋体" w:cs="宋体"/>
          <w:sz w:val="24"/>
        </w:rPr>
      </w:pPr>
    </w:p>
    <w:p w14:paraId="38D73895">
      <w:pPr>
        <w:spacing w:line="480" w:lineRule="auto"/>
        <w:ind w:left="2699"/>
        <w:rPr>
          <w:rFonts w:ascii="宋体"/>
          <w:sz w:val="24"/>
        </w:rPr>
      </w:pPr>
      <w:r>
        <w:rPr>
          <w:rFonts w:hint="eastAsia" w:ascii="宋体" w:hAnsi="宋体" w:cs="宋体"/>
          <w:sz w:val="24"/>
        </w:rPr>
        <w:t>代理人（签字）：</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 xml:space="preserve"> </w:t>
      </w:r>
    </w:p>
    <w:p w14:paraId="62E887FD">
      <w:pPr>
        <w:spacing w:line="480" w:lineRule="auto"/>
        <w:ind w:left="2699"/>
        <w:rPr>
          <w:sz w:val="24"/>
        </w:rPr>
      </w:pPr>
      <w:r>
        <w:rPr>
          <w:rFonts w:hint="eastAsia" w:ascii="宋体" w:hAnsi="宋体" w:cs="宋体"/>
          <w:sz w:val="24"/>
        </w:rPr>
        <w:t>身份证号码：</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p>
    <w:p w14:paraId="5F664771">
      <w:pPr>
        <w:spacing w:line="480" w:lineRule="auto"/>
        <w:ind w:left="2699"/>
        <w:rPr>
          <w:sz w:val="24"/>
        </w:rPr>
      </w:pPr>
      <w:r>
        <w:rPr>
          <w:rFonts w:hint="eastAsia" w:ascii="宋体" w:hAnsi="宋体" w:cs="宋体"/>
          <w:sz w:val="24"/>
        </w:rPr>
        <w:t>响应供应商（盖章）：</w:t>
      </w:r>
      <w:r>
        <w:rPr>
          <w:sz w:val="24"/>
        </w:rPr>
        <w:t xml:space="preserve"> </w:t>
      </w:r>
      <w:r>
        <w:rPr>
          <w:rFonts w:hint="eastAsia"/>
          <w:sz w:val="24"/>
          <w:u w:val="single"/>
        </w:rPr>
        <w:t xml:space="preserve">                        </w:t>
      </w:r>
    </w:p>
    <w:p w14:paraId="0BCF7F66">
      <w:pPr>
        <w:spacing w:line="480" w:lineRule="auto"/>
        <w:ind w:left="2699"/>
        <w:rPr>
          <w:sz w:val="24"/>
        </w:rPr>
      </w:pPr>
      <w:r>
        <w:rPr>
          <w:rFonts w:hint="eastAsia" w:ascii="宋体" w:hAnsi="宋体" w:cs="宋体"/>
          <w:sz w:val="24"/>
        </w:rPr>
        <w:t>法定代表人（签章）：</w:t>
      </w:r>
      <w:r>
        <w:rPr>
          <w:rFonts w:hint="eastAsia" w:ascii="宋体" w:hAnsi="宋体" w:cs="宋体"/>
          <w:sz w:val="24"/>
          <w:u w:val="single"/>
        </w:rPr>
        <w:t xml:space="preserve">                         </w:t>
      </w:r>
    </w:p>
    <w:p w14:paraId="0F9A71B0">
      <w:pPr>
        <w:snapToGrid w:val="0"/>
        <w:spacing w:line="580" w:lineRule="exact"/>
        <w:ind w:right="-817" w:rightChars="-389" w:firstLine="2640" w:firstLineChars="1100"/>
        <w:rPr>
          <w:rFonts w:ascii="宋体" w:hAnsi="宋体"/>
          <w:sz w:val="24"/>
        </w:rPr>
      </w:pPr>
      <w:r>
        <w:rPr>
          <w:rFonts w:hint="eastAsia" w:ascii="宋体" w:hAnsi="宋体" w:cs="宋体"/>
          <w:sz w:val="24"/>
        </w:rPr>
        <w:t>授权委托日期：    年   月   日</w:t>
      </w:r>
    </w:p>
    <w:p w14:paraId="6011F898">
      <w:pPr>
        <w:pStyle w:val="2"/>
      </w:pP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52"/>
      </w:tblGrid>
      <w:tr w14:paraId="1B36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1" w:hRule="atLeast"/>
          <w:jc w:val="center"/>
        </w:trPr>
        <w:tc>
          <w:tcPr>
            <w:tcW w:w="8352" w:type="dxa"/>
            <w:noWrap w:val="0"/>
            <w:vAlign w:val="center"/>
          </w:tcPr>
          <w:p w14:paraId="4ED52C9D">
            <w:pPr>
              <w:jc w:val="center"/>
            </w:pPr>
          </w:p>
          <w:p w14:paraId="6B839086">
            <w:pPr>
              <w:jc w:val="center"/>
            </w:pPr>
          </w:p>
          <w:p w14:paraId="6E6CCC0C">
            <w:pPr>
              <w:jc w:val="center"/>
            </w:pPr>
          </w:p>
          <w:p w14:paraId="55DDB35D">
            <w:pPr>
              <w:tabs>
                <w:tab w:val="left" w:pos="3240"/>
              </w:tabs>
              <w:spacing w:line="480" w:lineRule="auto"/>
              <w:jc w:val="center"/>
              <w:rPr>
                <w:rFonts w:hint="eastAsia" w:ascii="宋体" w:hAnsi="宋体" w:eastAsia="宋体" w:cs="宋体"/>
                <w:sz w:val="24"/>
              </w:rPr>
            </w:pPr>
            <w:r>
              <w:rPr>
                <w:rFonts w:hint="eastAsia" w:ascii="宋体" w:hAnsi="宋体" w:eastAsia="宋体" w:cs="宋体"/>
                <w:sz w:val="24"/>
              </w:rPr>
              <w:t>委托代理人身份证复印件（或扫描件）</w:t>
            </w:r>
          </w:p>
          <w:p w14:paraId="51D34613">
            <w:pPr>
              <w:jc w:val="center"/>
            </w:pPr>
          </w:p>
          <w:p w14:paraId="54423444">
            <w:pPr>
              <w:jc w:val="center"/>
            </w:pPr>
          </w:p>
          <w:p w14:paraId="35651816">
            <w:pPr>
              <w:jc w:val="center"/>
            </w:pPr>
          </w:p>
        </w:tc>
      </w:tr>
    </w:tbl>
    <w:p w14:paraId="2A7C1069">
      <w:pPr>
        <w:snapToGrid w:val="0"/>
        <w:spacing w:line="580" w:lineRule="exact"/>
        <w:ind w:right="-817" w:rightChars="-389"/>
        <w:rPr>
          <w:rFonts w:ascii="宋体"/>
          <w:sz w:val="24"/>
        </w:rPr>
      </w:pPr>
      <w:r>
        <w:rPr>
          <w:rFonts w:hint="eastAsia" w:ascii="宋体" w:hAnsi="宋体"/>
          <w:bCs/>
          <w:color w:val="000000"/>
          <w:sz w:val="24"/>
        </w:rPr>
        <w:t>因本项目为电子标，委托代理人无法手写签字，可以电脑打印字体为准或以法定代表人签章为准。</w:t>
      </w:r>
    </w:p>
    <w:p w14:paraId="2C3BBA37">
      <w:pPr>
        <w:keepNext/>
        <w:keepLines/>
        <w:numPr>
          <w:ilvl w:val="0"/>
          <w:numId w:val="0"/>
        </w:numPr>
        <w:spacing w:before="260" w:after="260" w:line="412" w:lineRule="auto"/>
        <w:jc w:val="center"/>
        <w:outlineLvl w:val="1"/>
        <w:rPr>
          <w:rFonts w:hint="eastAsia" w:ascii="宋体" w:hAnsi="宋体" w:cs="宋体"/>
          <w:b/>
          <w:bCs/>
          <w:sz w:val="32"/>
          <w:szCs w:val="32"/>
        </w:rPr>
      </w:pPr>
      <w:r>
        <w:rPr>
          <w:rFonts w:hint="eastAsia" w:ascii="宋体" w:hAnsi="宋体" w:cs="宋体"/>
          <w:b/>
          <w:bCs/>
          <w:kern w:val="2"/>
          <w:sz w:val="32"/>
          <w:szCs w:val="32"/>
          <w:lang w:val="en-US" w:eastAsia="zh-CN" w:bidi="ar-SA"/>
        </w:rPr>
        <w:t>三、</w:t>
      </w:r>
      <w:r>
        <w:rPr>
          <w:rFonts w:hint="eastAsia" w:ascii="宋体" w:hAnsi="宋体" w:cs="宋体"/>
          <w:b/>
          <w:bCs/>
          <w:sz w:val="32"/>
          <w:szCs w:val="32"/>
        </w:rPr>
        <w:t>磋商函</w:t>
      </w:r>
    </w:p>
    <w:p w14:paraId="748BC3CC">
      <w:pPr>
        <w:spacing w:line="360" w:lineRule="auto"/>
        <w:jc w:val="left"/>
        <w:rPr>
          <w:spacing w:val="24"/>
          <w:sz w:val="24"/>
        </w:rPr>
      </w:pPr>
      <w:r>
        <w:rPr>
          <w:rFonts w:hint="eastAsia" w:ascii="宋体" w:hAnsi="宋体" w:cs="宋体"/>
          <w:spacing w:val="24"/>
          <w:sz w:val="24"/>
        </w:rPr>
        <w:t>致：</w:t>
      </w:r>
      <w:r>
        <w:rPr>
          <w:rFonts w:hint="eastAsia" w:ascii="宋体" w:hAnsi="宋体" w:cs="宋体"/>
          <w:spacing w:val="24"/>
          <w:sz w:val="24"/>
          <w:u w:val="single"/>
        </w:rPr>
        <w:t>（采购人）</w:t>
      </w:r>
    </w:p>
    <w:p w14:paraId="4C0280F8">
      <w:pPr>
        <w:spacing w:line="360" w:lineRule="auto"/>
        <w:ind w:firstLine="480" w:firstLineChars="200"/>
        <w:jc w:val="left"/>
        <w:rPr>
          <w:rFonts w:ascii="Times New Roman" w:hAnsi="Times New Roman"/>
          <w:sz w:val="24"/>
          <w:szCs w:val="24"/>
        </w:rPr>
      </w:pPr>
      <w:r>
        <w:rPr>
          <w:rFonts w:hint="eastAsia" w:ascii="宋体" w:hAnsi="宋体" w:cs="宋体"/>
          <w:sz w:val="24"/>
        </w:rPr>
        <w:t>根据已收到贵方的</w:t>
      </w:r>
      <w:r>
        <w:rPr>
          <w:rFonts w:hint="eastAsia" w:ascii="宋体" w:hAnsi="宋体" w:cs="宋体"/>
          <w:sz w:val="24"/>
          <w:u w:val="single"/>
        </w:rPr>
        <w:t>（项目名称）</w:t>
      </w:r>
      <w:r>
        <w:rPr>
          <w:rFonts w:hint="eastAsia" w:ascii="宋体" w:hAnsi="宋体" w:cs="宋体"/>
          <w:sz w:val="24"/>
          <w:u w:val="single"/>
          <w:lang w:eastAsia="zh-CN"/>
        </w:rPr>
        <w:t>（</w:t>
      </w:r>
      <w:r>
        <w:rPr>
          <w:rFonts w:hint="eastAsia" w:ascii="宋体" w:hAnsi="宋体" w:cs="宋体"/>
          <w:sz w:val="24"/>
          <w:u w:val="single"/>
          <w:lang w:val="en-US" w:eastAsia="zh-CN"/>
        </w:rPr>
        <w:t>项目编号</w:t>
      </w:r>
      <w:r>
        <w:rPr>
          <w:rFonts w:hint="eastAsia" w:ascii="宋体" w:hAnsi="宋体" w:cs="宋体"/>
          <w:sz w:val="24"/>
          <w:u w:val="single"/>
          <w:lang w:eastAsia="zh-CN"/>
        </w:rPr>
        <w:t>）</w:t>
      </w:r>
      <w:r>
        <w:rPr>
          <w:rFonts w:hint="eastAsia" w:ascii="宋体" w:hAnsi="宋体" w:cs="宋体"/>
          <w:sz w:val="24"/>
        </w:rPr>
        <w:t>的竞争性磋商文件，遵照《中华人民共和国政府采购法》等有关规定，我单位经考察现场和研究上述磋商文件的响应须知、合同条款、</w:t>
      </w:r>
      <w:r>
        <w:rPr>
          <w:rFonts w:hint="eastAsia" w:ascii="宋体" w:hAnsi="宋体" w:cs="宋体"/>
          <w:sz w:val="24"/>
          <w:lang w:val="en-US" w:eastAsia="zh-CN"/>
        </w:rPr>
        <w:t>采购内容</w:t>
      </w:r>
      <w:r>
        <w:rPr>
          <w:rFonts w:hint="eastAsia" w:ascii="宋体" w:hAnsi="宋体" w:cs="宋体"/>
          <w:sz w:val="24"/>
        </w:rPr>
        <w:t>及其它有关文件后，我方愿以人民币（大写）：</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元（小写：</w:t>
      </w:r>
      <w:r>
        <w:rPr>
          <w:rFonts w:hint="eastAsia" w:ascii="宋体" w:hAnsi="宋体" w:cs="宋体"/>
          <w:sz w:val="24"/>
          <w:u w:val="single"/>
        </w:rPr>
        <w:t xml:space="preserve">        </w:t>
      </w:r>
      <w:r>
        <w:rPr>
          <w:rFonts w:hint="eastAsia" w:ascii="宋体" w:hAnsi="宋体" w:cs="宋体"/>
          <w:sz w:val="24"/>
        </w:rPr>
        <w:t>元）的报价，</w:t>
      </w:r>
      <w:r>
        <w:rPr>
          <w:rFonts w:hint="eastAsia" w:ascii="宋体" w:hAnsi="宋体" w:cs="宋体"/>
          <w:sz w:val="24"/>
          <w:szCs w:val="24"/>
          <w:lang w:val="en-US" w:eastAsia="zh-CN"/>
        </w:rPr>
        <w:t>实施周期：</w:t>
      </w:r>
      <w:r>
        <w:rPr>
          <w:rFonts w:hint="eastAsia" w:ascii="宋体" w:hAnsi="宋体" w:cs="宋体"/>
          <w:sz w:val="24"/>
          <w:szCs w:val="24"/>
          <w:u w:val="single"/>
          <w:lang w:val="en-US" w:eastAsia="zh-CN"/>
        </w:rPr>
        <w:t xml:space="preserve">       </w:t>
      </w:r>
      <w:r>
        <w:rPr>
          <w:rFonts w:hint="eastAsia" w:ascii="宋体" w:cs="宋体"/>
          <w:sz w:val="24"/>
          <w:lang w:eastAsia="zh-CN"/>
        </w:rPr>
        <w:t>，</w:t>
      </w:r>
      <w:r>
        <w:rPr>
          <w:rFonts w:hint="eastAsia" w:ascii="宋体" w:hAnsi="宋体" w:cs="宋体"/>
          <w:sz w:val="24"/>
          <w:szCs w:val="24"/>
          <w:lang w:val="en-US" w:eastAsia="zh-CN"/>
        </w:rPr>
        <w:t>服务周期：</w:t>
      </w:r>
      <w:r>
        <w:rPr>
          <w:rFonts w:hint="eastAsia" w:ascii="宋体" w:hAnsi="宋体" w:cs="宋体"/>
          <w:sz w:val="24"/>
          <w:szCs w:val="24"/>
          <w:u w:val="single"/>
          <w:lang w:val="en-US" w:eastAsia="zh-CN"/>
        </w:rPr>
        <w:t xml:space="preserve">       </w:t>
      </w:r>
      <w:r>
        <w:rPr>
          <w:rFonts w:hint="eastAsia" w:ascii="宋体" w:cs="宋体"/>
          <w:sz w:val="24"/>
          <w:lang w:eastAsia="zh-CN"/>
        </w:rPr>
        <w:t>，</w:t>
      </w:r>
      <w:r>
        <w:rPr>
          <w:rFonts w:hint="eastAsia" w:ascii="宋体" w:hAnsi="宋体" w:eastAsia="宋体" w:cs="宋体"/>
          <w:sz w:val="24"/>
          <w:szCs w:val="24"/>
        </w:rPr>
        <w:t>质量</w:t>
      </w:r>
      <w:r>
        <w:rPr>
          <w:rFonts w:hint="eastAsia" w:ascii="宋体" w:hAnsi="宋体" w:eastAsia="宋体" w:cs="宋体"/>
          <w:sz w:val="24"/>
          <w:szCs w:val="24"/>
          <w:lang w:val="en-US" w:eastAsia="zh-CN"/>
        </w:rPr>
        <w:t>要求</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cs="宋体"/>
          <w:sz w:val="24"/>
          <w:szCs w:val="24"/>
          <w:u w:val="none"/>
          <w:lang w:eastAsia="zh-CN"/>
        </w:rPr>
        <w:t>，</w:t>
      </w:r>
      <w:r>
        <w:rPr>
          <w:rFonts w:hint="eastAsia" w:ascii="宋体" w:hAnsi="宋体" w:eastAsia="宋体" w:cs="宋体"/>
          <w:color w:val="000000" w:themeColor="text1"/>
          <w:kern w:val="0"/>
          <w:sz w:val="24"/>
          <w:szCs w:val="24"/>
          <w14:textFill>
            <w14:solidFill>
              <w14:schemeClr w14:val="tx1"/>
            </w14:solidFill>
          </w14:textFill>
        </w:rPr>
        <w:t>按合同约定完成本项目服务内容，</w:t>
      </w:r>
      <w:r>
        <w:rPr>
          <w:rFonts w:hint="eastAsia" w:ascii="宋体" w:hAnsi="宋体" w:eastAsia="宋体" w:cs="宋体"/>
          <w:color w:val="000000" w:themeColor="text1"/>
          <w:kern w:val="0"/>
          <w:sz w:val="24"/>
          <w:szCs w:val="24"/>
          <w:lang w:val="en-US" w:eastAsia="zh-CN"/>
          <w14:textFill>
            <w14:solidFill>
              <w14:schemeClr w14:val="tx1"/>
            </w14:solidFill>
          </w14:textFill>
        </w:rPr>
        <w:t>并做出以下承诺：</w:t>
      </w:r>
    </w:p>
    <w:p w14:paraId="06C14B3E">
      <w:pPr>
        <w:spacing w:line="360" w:lineRule="auto"/>
        <w:ind w:firstLine="480" w:firstLineChars="200"/>
        <w:jc w:val="left"/>
        <w:rPr>
          <w:sz w:val="24"/>
        </w:rPr>
      </w:pPr>
      <w:r>
        <w:rPr>
          <w:rFonts w:ascii="宋体" w:hAnsi="宋体" w:cs="宋体"/>
          <w:sz w:val="24"/>
        </w:rPr>
        <w:t>1</w:t>
      </w:r>
      <w:r>
        <w:rPr>
          <w:rFonts w:hint="eastAsia" w:ascii="宋体" w:hAnsi="宋体" w:cs="宋体"/>
          <w:sz w:val="24"/>
        </w:rPr>
        <w:t>、我方已详细审核全部磋商文件，包括修改文件（如有）及有关附件，已充分理解并掌握了本次招标项目的全部有关情况，认为磋商文件符合法律、法规的要求，充分体现了公开、公平、公正和诚实信用原则，我方对磋商文件没有任何异议。同意接受磋商文件的全部内容和条件。</w:t>
      </w:r>
    </w:p>
    <w:p w14:paraId="1BFA6607">
      <w:pPr>
        <w:spacing w:line="360" w:lineRule="auto"/>
        <w:ind w:firstLine="480" w:firstLineChars="200"/>
        <w:jc w:val="left"/>
        <w:rPr>
          <w:sz w:val="24"/>
        </w:rPr>
      </w:pPr>
      <w:r>
        <w:rPr>
          <w:rFonts w:ascii="宋体" w:hAnsi="宋体" w:cs="宋体"/>
          <w:sz w:val="24"/>
        </w:rPr>
        <w:t>2</w:t>
      </w:r>
      <w:r>
        <w:rPr>
          <w:rFonts w:hint="eastAsia" w:ascii="宋体" w:hAnsi="宋体" w:cs="宋体"/>
          <w:sz w:val="24"/>
        </w:rPr>
        <w:t>、我方承认投标函附表是我方投标函的组成部分。</w:t>
      </w:r>
    </w:p>
    <w:p w14:paraId="6A02BE15">
      <w:pPr>
        <w:spacing w:line="360" w:lineRule="auto"/>
        <w:ind w:firstLine="480" w:firstLineChars="200"/>
        <w:rPr>
          <w:rFonts w:ascii="宋体"/>
          <w:sz w:val="24"/>
        </w:rPr>
      </w:pPr>
      <w:r>
        <w:rPr>
          <w:rFonts w:ascii="宋体" w:hAnsi="宋体" w:cs="宋体"/>
          <w:sz w:val="24"/>
        </w:rPr>
        <w:t>3</w:t>
      </w:r>
      <w:r>
        <w:rPr>
          <w:rFonts w:hint="eastAsia" w:ascii="宋体" w:hAnsi="宋体" w:cs="宋体"/>
          <w:sz w:val="24"/>
        </w:rPr>
        <w:t>、如我方</w:t>
      </w:r>
      <w:r>
        <w:rPr>
          <w:rFonts w:hint="eastAsia" w:ascii="宋体" w:hAnsi="宋体" w:cs="宋体"/>
          <w:sz w:val="24"/>
          <w:lang w:val="en-US" w:eastAsia="zh-CN"/>
        </w:rPr>
        <w:t>成交</w:t>
      </w:r>
      <w:r>
        <w:rPr>
          <w:rFonts w:hint="eastAsia" w:ascii="宋体" w:hAnsi="宋体" w:cs="宋体"/>
          <w:sz w:val="24"/>
        </w:rPr>
        <w:t>，我方承诺在收到</w:t>
      </w:r>
      <w:r>
        <w:rPr>
          <w:rFonts w:hint="eastAsia" w:ascii="宋体" w:hAnsi="宋体" w:cs="宋体"/>
          <w:sz w:val="24"/>
          <w:lang w:val="en-US" w:eastAsia="zh-CN"/>
        </w:rPr>
        <w:t>成交</w:t>
      </w:r>
      <w:r>
        <w:rPr>
          <w:rFonts w:hint="eastAsia" w:ascii="宋体" w:hAnsi="宋体" w:cs="宋体"/>
          <w:sz w:val="24"/>
        </w:rPr>
        <w:t>通知书后，在</w:t>
      </w:r>
      <w:r>
        <w:rPr>
          <w:rFonts w:hint="eastAsia" w:ascii="宋体" w:hAnsi="宋体" w:cs="宋体"/>
          <w:sz w:val="24"/>
          <w:lang w:val="en-US" w:eastAsia="zh-CN"/>
        </w:rPr>
        <w:t>成交</w:t>
      </w:r>
      <w:r>
        <w:rPr>
          <w:rFonts w:hint="eastAsia" w:ascii="宋体" w:hAnsi="宋体" w:cs="宋体"/>
          <w:sz w:val="24"/>
        </w:rPr>
        <w:t>通知书规定的期限内，根据磋商文件、我方的响应文件及有关澄清承诺书的要求，与采购人订立书面合同，并按照合同约定承担完成合同的责任和义务。</w:t>
      </w:r>
    </w:p>
    <w:p w14:paraId="41466E19">
      <w:pPr>
        <w:spacing w:line="360" w:lineRule="auto"/>
        <w:ind w:firstLine="480" w:firstLineChars="200"/>
        <w:rPr>
          <w:rFonts w:ascii="宋体"/>
          <w:kern w:val="0"/>
          <w:sz w:val="24"/>
        </w:rPr>
      </w:pPr>
      <w:r>
        <w:rPr>
          <w:rFonts w:hint="eastAsia" w:ascii="宋体" w:hAnsi="宋体" w:cs="宋体"/>
          <w:sz w:val="24"/>
        </w:rPr>
        <w:t>4、</w:t>
      </w:r>
      <w:r>
        <w:rPr>
          <w:rFonts w:hint="eastAsia" w:ascii="宋体" w:hAnsi="宋体" w:cs="宋体"/>
          <w:kern w:val="0"/>
          <w:sz w:val="24"/>
        </w:rPr>
        <w:t>我方同意自本项目</w:t>
      </w:r>
      <w:r>
        <w:rPr>
          <w:rFonts w:hint="eastAsia" w:ascii="宋体" w:hAnsi="宋体" w:cs="宋体"/>
          <w:sz w:val="24"/>
        </w:rPr>
        <w:t>磋商</w:t>
      </w:r>
      <w:r>
        <w:rPr>
          <w:rFonts w:hint="eastAsia" w:ascii="宋体" w:hAnsi="宋体" w:cs="宋体"/>
          <w:kern w:val="0"/>
          <w:sz w:val="24"/>
        </w:rPr>
        <w:t>文件中规定的</w:t>
      </w:r>
      <w:r>
        <w:rPr>
          <w:rFonts w:hint="eastAsia" w:ascii="宋体" w:hAnsi="宋体" w:cs="宋体"/>
          <w:kern w:val="0"/>
          <w:sz w:val="24"/>
          <w:lang w:val="en-US" w:eastAsia="zh-CN"/>
        </w:rPr>
        <w:t>磋商</w:t>
      </w:r>
      <w:r>
        <w:rPr>
          <w:rFonts w:hint="eastAsia" w:ascii="宋体" w:hAnsi="宋体" w:cs="宋体"/>
          <w:kern w:val="0"/>
          <w:sz w:val="24"/>
        </w:rPr>
        <w:t>有效期内有效，并承诺在投标有效期内不修改、撤销响应文件。</w:t>
      </w:r>
    </w:p>
    <w:p w14:paraId="72814256">
      <w:pPr>
        <w:spacing w:line="360" w:lineRule="auto"/>
        <w:ind w:firstLine="480" w:firstLineChars="200"/>
        <w:rPr>
          <w:rFonts w:ascii="宋体"/>
          <w:kern w:val="0"/>
          <w:sz w:val="24"/>
        </w:rPr>
      </w:pPr>
      <w:r>
        <w:rPr>
          <w:rFonts w:hint="eastAsia" w:ascii="宋体" w:hAnsi="宋体" w:cs="宋体"/>
          <w:sz w:val="24"/>
        </w:rPr>
        <w:t>5、</w:t>
      </w:r>
      <w:r>
        <w:rPr>
          <w:rFonts w:hint="eastAsia" w:ascii="宋体" w:hAnsi="宋体" w:cs="宋体"/>
          <w:kern w:val="0"/>
          <w:sz w:val="24"/>
        </w:rPr>
        <w:t>我方完全理解贵方不一定接受投标报价最低的投标供应商为</w:t>
      </w:r>
      <w:r>
        <w:rPr>
          <w:rFonts w:hint="eastAsia" w:ascii="宋体" w:hAnsi="宋体" w:cs="宋体"/>
          <w:kern w:val="0"/>
          <w:sz w:val="24"/>
          <w:lang w:val="en-US" w:eastAsia="zh-CN"/>
        </w:rPr>
        <w:t>成交</w:t>
      </w:r>
      <w:r>
        <w:rPr>
          <w:rFonts w:hint="eastAsia" w:ascii="宋体" w:hAnsi="宋体" w:cs="宋体"/>
          <w:kern w:val="0"/>
          <w:sz w:val="24"/>
        </w:rPr>
        <w:t>供应商的行为。</w:t>
      </w:r>
    </w:p>
    <w:p w14:paraId="1030A405">
      <w:pPr>
        <w:spacing w:line="360" w:lineRule="auto"/>
        <w:ind w:firstLine="480" w:firstLineChars="200"/>
        <w:rPr>
          <w:rFonts w:ascii="宋体"/>
          <w:kern w:val="0"/>
          <w:sz w:val="24"/>
        </w:rPr>
      </w:pPr>
      <w:r>
        <w:rPr>
          <w:rFonts w:hint="eastAsia" w:ascii="宋体" w:hAnsi="宋体" w:eastAsia="宋体" w:cs="宋体"/>
          <w:kern w:val="0"/>
          <w:sz w:val="24"/>
        </w:rPr>
        <w:t>6、我</w:t>
      </w:r>
      <w:r>
        <w:rPr>
          <w:rFonts w:hint="eastAsia" w:ascii="宋体" w:hAnsi="宋体" w:cs="宋体"/>
          <w:kern w:val="0"/>
          <w:sz w:val="24"/>
        </w:rPr>
        <w:t>方在此声明，所递交的</w:t>
      </w:r>
      <w:r>
        <w:rPr>
          <w:rFonts w:hint="eastAsia" w:ascii="宋体" w:hAnsi="宋体" w:cs="宋体"/>
          <w:kern w:val="0"/>
          <w:sz w:val="24"/>
          <w:lang w:val="en-US" w:eastAsia="zh-CN"/>
        </w:rPr>
        <w:t>响应</w:t>
      </w:r>
      <w:r>
        <w:rPr>
          <w:rFonts w:hint="eastAsia" w:ascii="宋体" w:hAnsi="宋体" w:cs="宋体"/>
          <w:kern w:val="0"/>
          <w:sz w:val="24"/>
        </w:rPr>
        <w:t>文件及有关资料内容完整、真实和准确。</w:t>
      </w:r>
    </w:p>
    <w:p w14:paraId="5F46C53D">
      <w:pPr>
        <w:spacing w:line="360" w:lineRule="auto"/>
        <w:rPr>
          <w:rFonts w:hint="eastAsia" w:ascii="宋体" w:hAnsi="宋体" w:cs="宋体"/>
          <w:spacing w:val="24"/>
        </w:rPr>
      </w:pPr>
      <w:r>
        <w:rPr>
          <w:rFonts w:hint="eastAsia" w:ascii="宋体" w:hAnsi="宋体" w:cs="宋体"/>
          <w:spacing w:val="24"/>
        </w:rPr>
        <w:t xml:space="preserve">                          </w:t>
      </w:r>
    </w:p>
    <w:p w14:paraId="5339C1C5">
      <w:pPr>
        <w:spacing w:line="480" w:lineRule="auto"/>
        <w:ind w:firstLine="3600" w:firstLineChars="1500"/>
        <w:rPr>
          <w:rFonts w:ascii="宋体" w:hAnsi="宋体" w:cs="宋体"/>
          <w:kern w:val="0"/>
          <w:sz w:val="24"/>
        </w:rPr>
      </w:pPr>
      <w:r>
        <w:rPr>
          <w:rFonts w:hint="eastAsia" w:ascii="宋体" w:hAnsi="宋体" w:cs="宋体"/>
          <w:kern w:val="0"/>
          <w:sz w:val="24"/>
        </w:rPr>
        <w:t>响应供应商(盖章)：</w:t>
      </w:r>
      <w:r>
        <w:rPr>
          <w:rFonts w:hint="eastAsia" w:ascii="宋体" w:hAnsi="宋体" w:cs="宋体"/>
          <w:kern w:val="0"/>
          <w:sz w:val="24"/>
          <w:u w:val="single"/>
        </w:rPr>
        <w:t xml:space="preserve">              </w:t>
      </w:r>
      <w:r>
        <w:rPr>
          <w:rFonts w:hint="eastAsia" w:ascii="宋体" w:hAnsi="宋体" w:cs="宋体"/>
          <w:kern w:val="0"/>
          <w:sz w:val="24"/>
        </w:rPr>
        <w:t xml:space="preserve"> </w:t>
      </w:r>
    </w:p>
    <w:p w14:paraId="3908074D">
      <w:pPr>
        <w:spacing w:line="480" w:lineRule="auto"/>
        <w:ind w:firstLine="3600" w:firstLineChars="1500"/>
        <w:rPr>
          <w:rFonts w:ascii="宋体" w:hAnsi="宋体" w:cs="宋体"/>
          <w:kern w:val="0"/>
          <w:sz w:val="24"/>
          <w:u w:val="single"/>
        </w:rPr>
      </w:pPr>
      <w:r>
        <w:rPr>
          <w:rFonts w:hint="eastAsia" w:ascii="宋体" w:hAnsi="宋体" w:cs="宋体"/>
          <w:kern w:val="0"/>
          <w:sz w:val="24"/>
        </w:rPr>
        <w:t>法定代表人或其委托代理人(签字或盖章)：</w:t>
      </w:r>
      <w:r>
        <w:rPr>
          <w:rFonts w:hint="eastAsia" w:ascii="宋体" w:hAnsi="宋体" w:cs="宋体"/>
          <w:kern w:val="0"/>
          <w:sz w:val="24"/>
          <w:u w:val="single"/>
        </w:rPr>
        <w:t xml:space="preserve">     </w:t>
      </w:r>
    </w:p>
    <w:p w14:paraId="22C68667">
      <w:pPr>
        <w:spacing w:line="480" w:lineRule="auto"/>
        <w:ind w:firstLine="3600" w:firstLineChars="1500"/>
        <w:rPr>
          <w:rFonts w:hint="eastAsia" w:ascii="宋体" w:hAnsi="宋体" w:cs="宋体"/>
          <w:kern w:val="0"/>
          <w:sz w:val="24"/>
        </w:rPr>
      </w:pPr>
      <w:r>
        <w:rPr>
          <w:rFonts w:hint="eastAsia" w:ascii="宋体" w:hAnsi="宋体" w:cs="宋体"/>
          <w:kern w:val="0"/>
          <w:sz w:val="24"/>
        </w:rPr>
        <w:t>日    期：    年   月   日</w:t>
      </w:r>
    </w:p>
    <w:p w14:paraId="31F8974B">
      <w:pPr>
        <w:spacing w:line="360" w:lineRule="auto"/>
        <w:rPr>
          <w:rFonts w:hint="eastAsia" w:ascii="宋体" w:hAnsi="宋体" w:cs="宋体"/>
          <w:kern w:val="0"/>
          <w:sz w:val="24"/>
        </w:rPr>
      </w:pPr>
    </w:p>
    <w:p w14:paraId="6E0C18C6">
      <w:pPr>
        <w:jc w:val="both"/>
        <w:rPr>
          <w:rFonts w:hint="eastAsia" w:ascii="宋体" w:hAnsi="宋体" w:cs="宋体"/>
          <w:b/>
          <w:bCs/>
          <w:sz w:val="32"/>
          <w:szCs w:val="32"/>
        </w:rPr>
      </w:pPr>
      <w:bookmarkStart w:id="2" w:name="_Toc375233604"/>
      <w:bookmarkStart w:id="3" w:name="_Toc492537568"/>
      <w:bookmarkStart w:id="4" w:name="_Toc383433763"/>
      <w:bookmarkStart w:id="5" w:name="_Toc381941237"/>
      <w:bookmarkStart w:id="6" w:name="_Toc397244497"/>
      <w:bookmarkStart w:id="7" w:name="_Toc432431877"/>
      <w:bookmarkStart w:id="8" w:name="_Toc383433665"/>
      <w:bookmarkStart w:id="9" w:name="_Toc397244569"/>
    </w:p>
    <w:p w14:paraId="09137D67">
      <w:pPr>
        <w:jc w:val="center"/>
        <w:rPr>
          <w:rFonts w:hint="eastAsia" w:ascii="宋体" w:hAnsi="宋体" w:cs="宋体"/>
          <w:b/>
          <w:bCs/>
          <w:sz w:val="32"/>
          <w:szCs w:val="32"/>
        </w:rPr>
      </w:pPr>
    </w:p>
    <w:p w14:paraId="6DAAB992">
      <w:pPr>
        <w:jc w:val="center"/>
        <w:rPr>
          <w:rFonts w:hint="eastAsia" w:ascii="宋体" w:hAnsi="宋体" w:cs="宋体"/>
          <w:b/>
          <w:bCs/>
          <w:sz w:val="32"/>
          <w:szCs w:val="32"/>
        </w:rPr>
      </w:pPr>
      <w:r>
        <w:rPr>
          <w:rFonts w:hint="eastAsia" w:ascii="宋体" w:hAnsi="宋体" w:cs="宋体"/>
          <w:b/>
          <w:bCs/>
          <w:sz w:val="32"/>
          <w:szCs w:val="32"/>
        </w:rPr>
        <w:t>磋商函附录</w:t>
      </w:r>
    </w:p>
    <w:p w14:paraId="5A2138B5">
      <w:pPr>
        <w:jc w:val="center"/>
        <w:rPr>
          <w:rFonts w:hint="eastAsia" w:ascii="宋体" w:hAnsi="宋体" w:cs="宋体"/>
          <w:b/>
          <w:bCs/>
          <w:sz w:val="32"/>
          <w:szCs w:val="32"/>
        </w:rPr>
      </w:pPr>
    </w:p>
    <w:tbl>
      <w:tblPr>
        <w:tblStyle w:val="11"/>
        <w:tblW w:w="9135"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7"/>
        <w:gridCol w:w="6478"/>
      </w:tblGrid>
      <w:tr w14:paraId="3020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exact"/>
        </w:trPr>
        <w:tc>
          <w:tcPr>
            <w:tcW w:w="2657" w:type="dxa"/>
            <w:noWrap w:val="0"/>
            <w:vAlign w:val="center"/>
          </w:tcPr>
          <w:p w14:paraId="0679AD64">
            <w:pPr>
              <w:spacing w:line="400" w:lineRule="exact"/>
              <w:jc w:val="center"/>
              <w:rPr>
                <w:rFonts w:ascii="宋体"/>
                <w:sz w:val="24"/>
              </w:rPr>
            </w:pPr>
            <w:r>
              <w:rPr>
                <w:rFonts w:hint="eastAsia" w:ascii="宋体" w:hAnsi="宋体" w:cs="宋体"/>
                <w:sz w:val="24"/>
                <w:szCs w:val="24"/>
              </w:rPr>
              <w:t>项目名称</w:t>
            </w:r>
          </w:p>
        </w:tc>
        <w:tc>
          <w:tcPr>
            <w:tcW w:w="6478" w:type="dxa"/>
            <w:noWrap w:val="0"/>
            <w:vAlign w:val="center"/>
          </w:tcPr>
          <w:p w14:paraId="5892CCC0">
            <w:pPr>
              <w:spacing w:line="400" w:lineRule="exact"/>
              <w:rPr>
                <w:rFonts w:ascii="宋体"/>
                <w:sz w:val="24"/>
              </w:rPr>
            </w:pPr>
          </w:p>
        </w:tc>
      </w:tr>
      <w:tr w14:paraId="7D34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exact"/>
        </w:trPr>
        <w:tc>
          <w:tcPr>
            <w:tcW w:w="2657" w:type="dxa"/>
            <w:noWrap w:val="0"/>
            <w:vAlign w:val="center"/>
          </w:tcPr>
          <w:p w14:paraId="64B47B0C">
            <w:pPr>
              <w:spacing w:line="400" w:lineRule="exact"/>
              <w:jc w:val="center"/>
              <w:rPr>
                <w:rFonts w:ascii="宋体"/>
                <w:sz w:val="24"/>
              </w:rPr>
            </w:pPr>
            <w:r>
              <w:rPr>
                <w:rFonts w:hint="eastAsia" w:ascii="宋体" w:hAnsi="宋体" w:cs="宋体"/>
                <w:sz w:val="24"/>
                <w:szCs w:val="24"/>
              </w:rPr>
              <w:t>项目编号</w:t>
            </w:r>
          </w:p>
        </w:tc>
        <w:tc>
          <w:tcPr>
            <w:tcW w:w="6478" w:type="dxa"/>
            <w:noWrap w:val="0"/>
            <w:vAlign w:val="center"/>
          </w:tcPr>
          <w:p w14:paraId="010A9095">
            <w:pPr>
              <w:spacing w:line="400" w:lineRule="exact"/>
              <w:rPr>
                <w:rFonts w:ascii="宋体"/>
                <w:sz w:val="24"/>
              </w:rPr>
            </w:pPr>
          </w:p>
        </w:tc>
      </w:tr>
      <w:tr w14:paraId="6200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exact"/>
        </w:trPr>
        <w:tc>
          <w:tcPr>
            <w:tcW w:w="2657" w:type="dxa"/>
            <w:noWrap w:val="0"/>
            <w:vAlign w:val="center"/>
          </w:tcPr>
          <w:p w14:paraId="28C61295">
            <w:pPr>
              <w:spacing w:line="400" w:lineRule="exact"/>
              <w:jc w:val="center"/>
              <w:rPr>
                <w:rFonts w:hint="eastAsia" w:ascii="宋体" w:hAnsi="宋体" w:cs="宋体"/>
                <w:sz w:val="24"/>
              </w:rPr>
            </w:pPr>
            <w:r>
              <w:rPr>
                <w:rFonts w:hint="eastAsia" w:ascii="宋体" w:hAnsi="宋体" w:cs="宋体"/>
                <w:sz w:val="24"/>
                <w:szCs w:val="24"/>
              </w:rPr>
              <w:t>供应商名称</w:t>
            </w:r>
          </w:p>
        </w:tc>
        <w:tc>
          <w:tcPr>
            <w:tcW w:w="6478" w:type="dxa"/>
            <w:noWrap w:val="0"/>
            <w:vAlign w:val="center"/>
          </w:tcPr>
          <w:p w14:paraId="22386DCA">
            <w:pPr>
              <w:spacing w:line="400" w:lineRule="exact"/>
              <w:rPr>
                <w:rFonts w:ascii="宋体"/>
                <w:sz w:val="24"/>
              </w:rPr>
            </w:pPr>
          </w:p>
        </w:tc>
      </w:tr>
      <w:tr w14:paraId="3E895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0" w:hRule="exact"/>
        </w:trPr>
        <w:tc>
          <w:tcPr>
            <w:tcW w:w="2657" w:type="dxa"/>
            <w:noWrap w:val="0"/>
            <w:vAlign w:val="center"/>
          </w:tcPr>
          <w:p w14:paraId="70DF13A7">
            <w:pPr>
              <w:spacing w:line="400" w:lineRule="exact"/>
              <w:jc w:val="center"/>
              <w:rPr>
                <w:rFonts w:hint="eastAsia" w:ascii="宋体" w:hAnsi="宋体" w:cs="宋体"/>
                <w:sz w:val="24"/>
              </w:rPr>
            </w:pPr>
            <w:r>
              <w:rPr>
                <w:rFonts w:hint="eastAsia" w:ascii="宋体" w:hAnsi="宋体" w:cs="宋体"/>
                <w:sz w:val="24"/>
                <w:szCs w:val="24"/>
                <w:lang w:val="en-US" w:eastAsia="zh-CN"/>
              </w:rPr>
              <w:t>磋商</w:t>
            </w:r>
            <w:r>
              <w:rPr>
                <w:rFonts w:hint="eastAsia" w:ascii="宋体" w:hAnsi="宋体" w:cs="宋体"/>
                <w:sz w:val="24"/>
                <w:szCs w:val="24"/>
              </w:rPr>
              <w:t>报价</w:t>
            </w:r>
          </w:p>
        </w:tc>
        <w:tc>
          <w:tcPr>
            <w:tcW w:w="6478" w:type="dxa"/>
            <w:noWrap w:val="0"/>
            <w:vAlign w:val="center"/>
          </w:tcPr>
          <w:p w14:paraId="1EB2F82B">
            <w:pPr>
              <w:spacing w:line="400" w:lineRule="exact"/>
              <w:rPr>
                <w:rFonts w:hint="eastAsia" w:ascii="宋体" w:hAnsi="宋体" w:cs="宋体"/>
                <w:sz w:val="24"/>
                <w:szCs w:val="24"/>
              </w:rPr>
            </w:pPr>
            <w:r>
              <w:rPr>
                <w:rFonts w:hint="eastAsia" w:ascii="宋体" w:hAnsi="宋体" w:cs="宋体"/>
                <w:sz w:val="24"/>
                <w:szCs w:val="24"/>
              </w:rPr>
              <w:t xml:space="preserve">大写：     </w:t>
            </w:r>
            <w:r>
              <w:rPr>
                <w:rFonts w:ascii="宋体" w:hAnsi="宋体" w:cs="宋体"/>
                <w:sz w:val="24"/>
                <w:szCs w:val="24"/>
              </w:rPr>
              <w:t xml:space="preserve"> </w:t>
            </w:r>
          </w:p>
          <w:p w14:paraId="316BBEB0">
            <w:pPr>
              <w:spacing w:line="400" w:lineRule="exact"/>
              <w:rPr>
                <w:rFonts w:ascii="宋体"/>
                <w:sz w:val="24"/>
              </w:rPr>
            </w:pPr>
            <w:r>
              <w:rPr>
                <w:rFonts w:hint="eastAsia" w:ascii="宋体" w:hAnsi="宋体" w:cs="宋体"/>
                <w:sz w:val="24"/>
                <w:szCs w:val="24"/>
              </w:rPr>
              <w:t>小写：</w:t>
            </w:r>
            <w:r>
              <w:rPr>
                <w:rFonts w:ascii="宋体" w:hAnsi="宋体" w:cs="宋体"/>
                <w:sz w:val="24"/>
                <w:szCs w:val="24"/>
              </w:rPr>
              <w:t xml:space="preserve"> </w:t>
            </w:r>
            <w:r>
              <w:rPr>
                <w:rFonts w:hint="eastAsia" w:ascii="宋体" w:hAnsi="宋体" w:cs="宋体"/>
                <w:sz w:val="24"/>
                <w:szCs w:val="24"/>
              </w:rPr>
              <w:t xml:space="preserve">    元</w:t>
            </w:r>
          </w:p>
        </w:tc>
      </w:tr>
      <w:tr w14:paraId="6896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4FB397E9">
            <w:pPr>
              <w:spacing w:line="400" w:lineRule="exact"/>
              <w:jc w:val="center"/>
              <w:rPr>
                <w:rFonts w:hint="default" w:ascii="宋体"/>
                <w:sz w:val="24"/>
                <w:lang w:val="en-US"/>
              </w:rPr>
            </w:pPr>
            <w:r>
              <w:rPr>
                <w:rFonts w:hint="eastAsia" w:ascii="宋体" w:hAnsi="宋体" w:cs="宋体"/>
                <w:sz w:val="24"/>
                <w:szCs w:val="24"/>
                <w:lang w:val="en-US" w:eastAsia="zh-CN"/>
              </w:rPr>
              <w:t>实施周期</w:t>
            </w:r>
          </w:p>
        </w:tc>
        <w:tc>
          <w:tcPr>
            <w:tcW w:w="6478" w:type="dxa"/>
            <w:noWrap w:val="0"/>
            <w:vAlign w:val="center"/>
          </w:tcPr>
          <w:p w14:paraId="2CF58B38">
            <w:pPr>
              <w:spacing w:line="400" w:lineRule="exact"/>
              <w:ind w:firstLine="840" w:firstLineChars="350"/>
              <w:rPr>
                <w:rFonts w:hint="eastAsia" w:ascii="宋体" w:eastAsia="宋体"/>
                <w:sz w:val="24"/>
                <w:lang w:val="en-US" w:eastAsia="zh-CN"/>
              </w:rPr>
            </w:pPr>
          </w:p>
        </w:tc>
      </w:tr>
      <w:tr w14:paraId="7A3B6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44FA7834">
            <w:pPr>
              <w:spacing w:line="400" w:lineRule="exact"/>
              <w:jc w:val="center"/>
              <w:rPr>
                <w:rFonts w:hint="eastAsia" w:ascii="宋体" w:hAnsi="宋体" w:cs="宋体"/>
                <w:sz w:val="24"/>
                <w:szCs w:val="24"/>
                <w:lang w:val="en-US" w:eastAsia="zh-CN"/>
              </w:rPr>
            </w:pPr>
            <w:r>
              <w:rPr>
                <w:rFonts w:hint="eastAsia" w:ascii="宋体" w:hAnsi="宋体" w:cs="宋体"/>
                <w:sz w:val="24"/>
                <w:szCs w:val="24"/>
                <w:lang w:val="en-US" w:eastAsia="zh-CN"/>
              </w:rPr>
              <w:t>服务周期</w:t>
            </w:r>
          </w:p>
        </w:tc>
        <w:tc>
          <w:tcPr>
            <w:tcW w:w="6478" w:type="dxa"/>
            <w:noWrap w:val="0"/>
            <w:vAlign w:val="center"/>
          </w:tcPr>
          <w:p w14:paraId="2A4C28F3">
            <w:pPr>
              <w:spacing w:line="400" w:lineRule="exact"/>
              <w:ind w:firstLine="840" w:firstLineChars="350"/>
              <w:rPr>
                <w:rFonts w:hint="eastAsia" w:ascii="宋体" w:eastAsia="宋体"/>
                <w:sz w:val="24"/>
                <w:lang w:val="en-US" w:eastAsia="zh-CN"/>
              </w:rPr>
            </w:pPr>
          </w:p>
        </w:tc>
      </w:tr>
      <w:tr w14:paraId="231E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0A6123FD">
            <w:pPr>
              <w:spacing w:line="400" w:lineRule="exact"/>
              <w:jc w:val="center"/>
              <w:rPr>
                <w:rFonts w:hint="eastAsia" w:ascii="宋体" w:hAnsi="宋体" w:cs="宋体"/>
                <w:sz w:val="24"/>
              </w:rPr>
            </w:pPr>
            <w:r>
              <w:rPr>
                <w:rFonts w:hint="eastAsia" w:ascii="宋体" w:hAnsi="宋体" w:cs="宋体"/>
                <w:sz w:val="24"/>
                <w:szCs w:val="24"/>
              </w:rPr>
              <w:t>质量要求</w:t>
            </w:r>
          </w:p>
        </w:tc>
        <w:tc>
          <w:tcPr>
            <w:tcW w:w="6478" w:type="dxa"/>
            <w:noWrap w:val="0"/>
            <w:vAlign w:val="center"/>
          </w:tcPr>
          <w:p w14:paraId="4E30A85A">
            <w:pPr>
              <w:spacing w:line="400" w:lineRule="exact"/>
              <w:jc w:val="center"/>
              <w:rPr>
                <w:rFonts w:ascii="宋体"/>
                <w:sz w:val="24"/>
              </w:rPr>
            </w:pPr>
          </w:p>
        </w:tc>
      </w:tr>
      <w:tr w14:paraId="06A37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472F5AC2">
            <w:pPr>
              <w:spacing w:line="400" w:lineRule="exact"/>
              <w:jc w:val="center"/>
              <w:rPr>
                <w:rFonts w:hint="eastAsia" w:ascii="宋体" w:hAnsi="宋体" w:cs="宋体"/>
                <w:sz w:val="24"/>
              </w:rPr>
            </w:pPr>
            <w:r>
              <w:rPr>
                <w:rFonts w:hint="eastAsia" w:ascii="宋体" w:hAnsi="宋体" w:cs="宋体"/>
                <w:sz w:val="24"/>
                <w:szCs w:val="24"/>
                <w:lang w:val="en-US" w:eastAsia="zh-CN"/>
              </w:rPr>
              <w:t>磋商</w:t>
            </w:r>
            <w:r>
              <w:rPr>
                <w:rFonts w:hint="eastAsia" w:ascii="宋体" w:hAnsi="宋体" w:cs="宋体"/>
                <w:sz w:val="24"/>
                <w:szCs w:val="24"/>
              </w:rPr>
              <w:t>有效期</w:t>
            </w:r>
          </w:p>
        </w:tc>
        <w:tc>
          <w:tcPr>
            <w:tcW w:w="6478" w:type="dxa"/>
            <w:noWrap w:val="0"/>
            <w:vAlign w:val="center"/>
          </w:tcPr>
          <w:p w14:paraId="49189133">
            <w:pPr>
              <w:spacing w:line="400" w:lineRule="exact"/>
              <w:jc w:val="center"/>
              <w:rPr>
                <w:rFonts w:ascii="宋体"/>
                <w:sz w:val="24"/>
              </w:rPr>
            </w:pPr>
          </w:p>
        </w:tc>
      </w:tr>
      <w:tr w14:paraId="06EB1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2EF2E634">
            <w:pPr>
              <w:spacing w:line="400" w:lineRule="exact"/>
              <w:jc w:val="center"/>
              <w:rPr>
                <w:rFonts w:hint="default" w:ascii="宋体" w:hAnsi="宋体" w:cs="宋体"/>
                <w:sz w:val="24"/>
                <w:szCs w:val="24"/>
                <w:lang w:val="en-US" w:eastAsia="zh-CN"/>
              </w:rPr>
            </w:pPr>
            <w:r>
              <w:rPr>
                <w:rFonts w:hint="eastAsia" w:ascii="宋体" w:hAnsi="宋体" w:cs="宋体"/>
                <w:sz w:val="24"/>
                <w:szCs w:val="24"/>
                <w:lang w:val="en-US" w:eastAsia="zh-CN"/>
              </w:rPr>
              <w:t>项目联系人及联系方式</w:t>
            </w:r>
          </w:p>
        </w:tc>
        <w:tc>
          <w:tcPr>
            <w:tcW w:w="6478" w:type="dxa"/>
            <w:noWrap w:val="0"/>
            <w:vAlign w:val="center"/>
          </w:tcPr>
          <w:p w14:paraId="0DD20FBE">
            <w:pPr>
              <w:spacing w:line="400" w:lineRule="exact"/>
              <w:jc w:val="center"/>
              <w:rPr>
                <w:rFonts w:ascii="宋体"/>
                <w:sz w:val="24"/>
              </w:rPr>
            </w:pPr>
          </w:p>
        </w:tc>
      </w:tr>
      <w:tr w14:paraId="3DE5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3" w:hRule="exact"/>
        </w:trPr>
        <w:tc>
          <w:tcPr>
            <w:tcW w:w="2657" w:type="dxa"/>
            <w:noWrap w:val="0"/>
            <w:vAlign w:val="center"/>
          </w:tcPr>
          <w:p w14:paraId="152E62B7">
            <w:pPr>
              <w:spacing w:line="400" w:lineRule="exact"/>
              <w:jc w:val="center"/>
              <w:rPr>
                <w:rFonts w:hint="eastAsia" w:ascii="宋体" w:hAnsi="宋体" w:cs="宋体"/>
                <w:sz w:val="24"/>
                <w:szCs w:val="24"/>
              </w:rPr>
            </w:pPr>
            <w:r>
              <w:rPr>
                <w:rFonts w:hint="eastAsia" w:ascii="宋体" w:hAnsi="宋体" w:cs="宋体"/>
                <w:sz w:val="24"/>
                <w:szCs w:val="24"/>
              </w:rPr>
              <w:t>备注</w:t>
            </w:r>
          </w:p>
        </w:tc>
        <w:tc>
          <w:tcPr>
            <w:tcW w:w="6478" w:type="dxa"/>
            <w:noWrap w:val="0"/>
            <w:vAlign w:val="center"/>
          </w:tcPr>
          <w:p w14:paraId="295FB4C2">
            <w:pPr>
              <w:spacing w:line="400" w:lineRule="exact"/>
              <w:jc w:val="center"/>
              <w:rPr>
                <w:rFonts w:ascii="宋体"/>
                <w:sz w:val="24"/>
              </w:rPr>
            </w:pPr>
          </w:p>
        </w:tc>
      </w:tr>
    </w:tbl>
    <w:p w14:paraId="1C04B036">
      <w:pPr>
        <w:snapToGrid w:val="0"/>
        <w:spacing w:line="580" w:lineRule="exact"/>
        <w:ind w:left="-18" w:leftChars="-22" w:right="-817" w:rightChars="-389" w:hanging="28" w:hangingChars="12"/>
        <w:rPr>
          <w:rFonts w:hint="eastAsia" w:ascii="宋体" w:hAnsi="宋体" w:cs="宋体"/>
          <w:sz w:val="24"/>
        </w:rPr>
      </w:pPr>
    </w:p>
    <w:p w14:paraId="188B0B0C">
      <w:pPr>
        <w:spacing w:line="360" w:lineRule="auto"/>
        <w:ind w:firstLine="3360" w:firstLineChars="1400"/>
        <w:rPr>
          <w:rFonts w:hint="eastAsia" w:ascii="宋体" w:hAnsi="宋体" w:cs="宋体"/>
          <w:sz w:val="24"/>
        </w:rPr>
      </w:pPr>
    </w:p>
    <w:p w14:paraId="39B61A00">
      <w:pPr>
        <w:spacing w:line="360" w:lineRule="auto"/>
        <w:ind w:firstLine="3360" w:firstLineChars="1400"/>
        <w:rPr>
          <w:rFonts w:hint="eastAsia" w:ascii="宋体" w:hAnsi="宋体" w:cs="宋体"/>
          <w:sz w:val="24"/>
        </w:rPr>
      </w:pPr>
    </w:p>
    <w:p w14:paraId="2AE28AE3">
      <w:pPr>
        <w:spacing w:line="480" w:lineRule="auto"/>
        <w:ind w:firstLine="3120" w:firstLineChars="1300"/>
        <w:rPr>
          <w:rFonts w:ascii="宋体" w:hAnsi="宋体" w:cs="宋体"/>
          <w:kern w:val="0"/>
          <w:sz w:val="24"/>
        </w:rPr>
      </w:pPr>
      <w:r>
        <w:rPr>
          <w:rFonts w:hint="eastAsia" w:ascii="宋体" w:hAnsi="宋体" w:cs="宋体"/>
          <w:kern w:val="0"/>
          <w:sz w:val="24"/>
        </w:rPr>
        <w:t>响应供应商(盖章)：</w:t>
      </w:r>
      <w:r>
        <w:rPr>
          <w:rFonts w:hint="eastAsia" w:ascii="宋体" w:hAnsi="宋体" w:cs="宋体"/>
          <w:kern w:val="0"/>
          <w:sz w:val="24"/>
          <w:u w:val="single"/>
        </w:rPr>
        <w:t xml:space="preserve">              </w:t>
      </w:r>
      <w:r>
        <w:rPr>
          <w:rFonts w:hint="eastAsia" w:ascii="宋体" w:hAnsi="宋体" w:cs="宋体"/>
          <w:kern w:val="0"/>
          <w:sz w:val="24"/>
        </w:rPr>
        <w:t xml:space="preserve"> </w:t>
      </w:r>
    </w:p>
    <w:p w14:paraId="66E36050">
      <w:pPr>
        <w:spacing w:line="480" w:lineRule="auto"/>
        <w:ind w:firstLine="3120" w:firstLineChars="1300"/>
        <w:rPr>
          <w:rFonts w:ascii="宋体" w:hAnsi="宋体" w:cs="宋体"/>
          <w:kern w:val="0"/>
          <w:sz w:val="24"/>
          <w:u w:val="single"/>
        </w:rPr>
      </w:pPr>
      <w:r>
        <w:rPr>
          <w:rFonts w:hint="eastAsia" w:ascii="宋体" w:hAnsi="宋体" w:cs="宋体"/>
          <w:kern w:val="0"/>
          <w:sz w:val="24"/>
        </w:rPr>
        <w:t>法定代表人或其委托代理人(签字或盖章)：</w:t>
      </w:r>
      <w:r>
        <w:rPr>
          <w:rFonts w:hint="eastAsia" w:ascii="宋体" w:hAnsi="宋体" w:cs="宋体"/>
          <w:kern w:val="0"/>
          <w:sz w:val="24"/>
          <w:u w:val="single"/>
        </w:rPr>
        <w:t xml:space="preserve">       </w:t>
      </w:r>
    </w:p>
    <w:p w14:paraId="1E8F8849">
      <w:pPr>
        <w:spacing w:line="480" w:lineRule="auto"/>
        <w:ind w:right="480" w:firstLine="3120" w:firstLineChars="1300"/>
        <w:rPr>
          <w:sz w:val="24"/>
        </w:rPr>
      </w:pPr>
      <w:r>
        <w:rPr>
          <w:rFonts w:hint="eastAsia" w:ascii="宋体" w:hAnsi="宋体" w:cs="宋体"/>
          <w:kern w:val="0"/>
          <w:sz w:val="24"/>
        </w:rPr>
        <w:t>日    期：      年   月   日</w:t>
      </w:r>
    </w:p>
    <w:p w14:paraId="2B35D276">
      <w:pPr>
        <w:rPr>
          <w:rFonts w:hint="eastAsia"/>
        </w:rPr>
      </w:pPr>
    </w:p>
    <w:p w14:paraId="2E76BF4B">
      <w:pPr>
        <w:rPr>
          <w:rFonts w:hint="eastAsia" w:ascii="宋体" w:hAnsi="宋体" w:cs="宋体"/>
          <w:b/>
          <w:bCs/>
          <w:sz w:val="32"/>
          <w:szCs w:val="32"/>
        </w:rPr>
      </w:pPr>
      <w:r>
        <w:rPr>
          <w:rFonts w:hint="eastAsia" w:ascii="宋体" w:hAnsi="宋体" w:cs="宋体"/>
          <w:b/>
          <w:bCs/>
          <w:sz w:val="32"/>
          <w:szCs w:val="32"/>
        </w:rPr>
        <w:br w:type="page"/>
      </w:r>
    </w:p>
    <w:p w14:paraId="6CE7E243">
      <w:pPr>
        <w:wordWrap w:val="0"/>
        <w:spacing w:line="520" w:lineRule="exact"/>
        <w:jc w:val="center"/>
        <w:rPr>
          <w:rFonts w:hint="default" w:ascii="宋体" w:hAnsi="宋体" w:eastAsia="宋体" w:cs="宋体"/>
          <w:b/>
          <w:bCs/>
          <w:sz w:val="32"/>
          <w:szCs w:val="32"/>
          <w:lang w:val="en-US" w:eastAsia="zh-CN"/>
        </w:rPr>
      </w:pPr>
      <w:r>
        <w:rPr>
          <w:rFonts w:hint="eastAsia" w:ascii="宋体" w:hAnsi="宋体" w:cs="宋体"/>
          <w:b/>
          <w:bCs/>
          <w:sz w:val="32"/>
          <w:szCs w:val="32"/>
        </w:rPr>
        <w:t>四、</w:t>
      </w:r>
      <w:r>
        <w:rPr>
          <w:rFonts w:hint="eastAsia" w:ascii="宋体" w:hAnsi="宋体" w:cs="宋体"/>
          <w:b/>
          <w:bCs/>
          <w:sz w:val="32"/>
          <w:szCs w:val="32"/>
          <w:lang w:val="en-US" w:eastAsia="zh-CN"/>
        </w:rPr>
        <w:t>服务方案</w:t>
      </w:r>
    </w:p>
    <w:p w14:paraId="1B215F61">
      <w:pPr>
        <w:spacing w:line="360" w:lineRule="auto"/>
        <w:jc w:val="center"/>
        <w:rPr>
          <w:rFonts w:hint="eastAsia" w:ascii="宋体" w:hAnsi="宋体"/>
          <w:b/>
          <w:sz w:val="30"/>
          <w:szCs w:val="30"/>
        </w:rPr>
      </w:pPr>
    </w:p>
    <w:p w14:paraId="283CA155">
      <w:pPr>
        <w:spacing w:line="360" w:lineRule="auto"/>
        <w:jc w:val="center"/>
        <w:rPr>
          <w:rFonts w:hint="eastAsia" w:ascii="宋体" w:hAnsi="宋体"/>
          <w:sz w:val="24"/>
        </w:rPr>
      </w:pPr>
      <w:r>
        <w:rPr>
          <w:rFonts w:hint="eastAsia" w:ascii="宋体" w:hAnsi="宋体"/>
          <w:b/>
          <w:sz w:val="30"/>
          <w:szCs w:val="30"/>
        </w:rPr>
        <w:t>格式自拟</w:t>
      </w:r>
    </w:p>
    <w:p w14:paraId="2C6A92EE">
      <w:pPr>
        <w:spacing w:line="360" w:lineRule="auto"/>
        <w:ind w:firstLine="3120" w:firstLineChars="1300"/>
        <w:rPr>
          <w:rFonts w:hint="eastAsia" w:ascii="宋体" w:hAnsi="宋体"/>
          <w:sz w:val="24"/>
        </w:rPr>
      </w:pPr>
    </w:p>
    <w:p w14:paraId="43C6663A">
      <w:pPr>
        <w:spacing w:line="360" w:lineRule="auto"/>
        <w:ind w:firstLine="3120" w:firstLineChars="1300"/>
        <w:rPr>
          <w:rFonts w:hint="eastAsia" w:ascii="宋体" w:hAnsi="宋体"/>
          <w:sz w:val="24"/>
        </w:rPr>
      </w:pPr>
    </w:p>
    <w:p w14:paraId="76AB72AA">
      <w:pPr>
        <w:spacing w:line="360" w:lineRule="auto"/>
        <w:ind w:firstLine="3120" w:firstLineChars="1300"/>
        <w:rPr>
          <w:rFonts w:hint="eastAsia" w:ascii="宋体" w:hAnsi="宋体"/>
          <w:sz w:val="24"/>
        </w:rPr>
      </w:pPr>
    </w:p>
    <w:p w14:paraId="1DBC1085">
      <w:pPr>
        <w:spacing w:line="360" w:lineRule="auto"/>
        <w:ind w:firstLine="3120" w:firstLineChars="1300"/>
        <w:rPr>
          <w:rFonts w:hint="eastAsia" w:ascii="宋体" w:hAnsi="宋体"/>
          <w:sz w:val="24"/>
        </w:rPr>
      </w:pPr>
    </w:p>
    <w:p w14:paraId="3AF8AA16">
      <w:pPr>
        <w:spacing w:line="360" w:lineRule="auto"/>
        <w:ind w:firstLine="3120" w:firstLineChars="1300"/>
        <w:rPr>
          <w:rFonts w:hint="eastAsia" w:ascii="宋体" w:hAnsi="宋体"/>
          <w:sz w:val="24"/>
        </w:rPr>
      </w:pPr>
    </w:p>
    <w:p w14:paraId="00BC37C4">
      <w:pPr>
        <w:spacing w:line="360" w:lineRule="auto"/>
        <w:ind w:firstLine="3120" w:firstLineChars="1300"/>
        <w:rPr>
          <w:rFonts w:hint="eastAsia" w:ascii="宋体" w:hAnsi="宋体"/>
          <w:sz w:val="24"/>
        </w:rPr>
      </w:pPr>
    </w:p>
    <w:p w14:paraId="5A5A9652">
      <w:pPr>
        <w:spacing w:line="360" w:lineRule="auto"/>
        <w:ind w:firstLine="3120" w:firstLineChars="1300"/>
        <w:rPr>
          <w:rFonts w:hint="eastAsia" w:ascii="宋体" w:hAnsi="宋体"/>
          <w:sz w:val="24"/>
        </w:rPr>
      </w:pPr>
    </w:p>
    <w:p w14:paraId="3D54889E">
      <w:pPr>
        <w:spacing w:line="360" w:lineRule="auto"/>
        <w:ind w:firstLine="3120" w:firstLineChars="1300"/>
        <w:rPr>
          <w:rFonts w:hint="eastAsia" w:ascii="宋体" w:hAnsi="宋体"/>
          <w:sz w:val="24"/>
        </w:rPr>
      </w:pPr>
    </w:p>
    <w:p w14:paraId="57F8263C">
      <w:pPr>
        <w:spacing w:line="360" w:lineRule="auto"/>
        <w:ind w:firstLine="3120" w:firstLineChars="1300"/>
        <w:rPr>
          <w:rFonts w:hint="eastAsia" w:ascii="宋体" w:hAnsi="宋体"/>
          <w:sz w:val="24"/>
        </w:rPr>
      </w:pPr>
    </w:p>
    <w:p w14:paraId="42A8AC0C">
      <w:pPr>
        <w:spacing w:line="480" w:lineRule="auto"/>
        <w:ind w:firstLine="3360" w:firstLineChars="1400"/>
        <w:rPr>
          <w:rFonts w:ascii="宋体" w:hAnsi="宋体" w:cs="宋体"/>
          <w:kern w:val="0"/>
          <w:sz w:val="24"/>
        </w:rPr>
      </w:pPr>
      <w:r>
        <w:rPr>
          <w:rFonts w:hint="eastAsia" w:ascii="宋体" w:hAnsi="宋体" w:cs="宋体"/>
          <w:kern w:val="0"/>
          <w:sz w:val="24"/>
        </w:rPr>
        <w:t>响应供应商(盖章)：</w:t>
      </w:r>
      <w:r>
        <w:rPr>
          <w:rFonts w:hint="eastAsia" w:ascii="宋体" w:hAnsi="宋体" w:cs="宋体"/>
          <w:kern w:val="0"/>
          <w:sz w:val="24"/>
          <w:u w:val="single"/>
        </w:rPr>
        <w:t xml:space="preserve">              </w:t>
      </w:r>
      <w:r>
        <w:rPr>
          <w:rFonts w:hint="eastAsia" w:ascii="宋体" w:hAnsi="宋体" w:cs="宋体"/>
          <w:kern w:val="0"/>
          <w:sz w:val="24"/>
        </w:rPr>
        <w:t xml:space="preserve"> </w:t>
      </w:r>
    </w:p>
    <w:p w14:paraId="14C47390">
      <w:pPr>
        <w:spacing w:line="480" w:lineRule="auto"/>
        <w:ind w:firstLine="3360" w:firstLineChars="1400"/>
        <w:rPr>
          <w:rFonts w:ascii="宋体" w:hAnsi="宋体" w:cs="宋体"/>
          <w:kern w:val="0"/>
          <w:sz w:val="24"/>
          <w:u w:val="single"/>
        </w:rPr>
      </w:pPr>
      <w:r>
        <w:rPr>
          <w:rFonts w:hint="eastAsia" w:ascii="宋体" w:hAnsi="宋体" w:cs="宋体"/>
          <w:kern w:val="0"/>
          <w:sz w:val="24"/>
        </w:rPr>
        <w:t>法定代表人或其委托代理人(签字或盖章)：</w:t>
      </w:r>
      <w:r>
        <w:rPr>
          <w:rFonts w:hint="eastAsia" w:ascii="宋体" w:hAnsi="宋体" w:cs="宋体"/>
          <w:kern w:val="0"/>
          <w:sz w:val="24"/>
          <w:u w:val="single"/>
        </w:rPr>
        <w:t xml:space="preserve">       </w:t>
      </w:r>
    </w:p>
    <w:p w14:paraId="3D8D5842">
      <w:pPr>
        <w:spacing w:line="360" w:lineRule="auto"/>
        <w:ind w:firstLine="3360" w:firstLineChars="1400"/>
        <w:rPr>
          <w:rFonts w:hint="eastAsia" w:ascii="宋体" w:hAnsi="宋体" w:cs="宋体"/>
          <w:b/>
          <w:bCs/>
          <w:sz w:val="30"/>
          <w:szCs w:val="30"/>
        </w:rPr>
      </w:pPr>
      <w:r>
        <w:rPr>
          <w:rFonts w:hint="eastAsia" w:ascii="宋体" w:hAnsi="宋体" w:cs="宋体"/>
          <w:kern w:val="0"/>
          <w:sz w:val="24"/>
        </w:rPr>
        <w:t>日    期：      年   月   日</w:t>
      </w:r>
    </w:p>
    <w:p w14:paraId="65F9D580">
      <w:pPr>
        <w:wordWrap w:val="0"/>
        <w:spacing w:line="520" w:lineRule="exact"/>
        <w:jc w:val="center"/>
        <w:rPr>
          <w:rFonts w:hint="eastAsia" w:ascii="宋体" w:hAnsi="宋体" w:cs="宋体"/>
          <w:b/>
          <w:bCs/>
          <w:sz w:val="30"/>
          <w:szCs w:val="30"/>
        </w:rPr>
      </w:pPr>
    </w:p>
    <w:p w14:paraId="6ABD7AC3">
      <w:pPr>
        <w:wordWrap w:val="0"/>
        <w:spacing w:line="520" w:lineRule="exact"/>
        <w:jc w:val="center"/>
        <w:rPr>
          <w:rFonts w:hint="eastAsia" w:ascii="宋体" w:hAnsi="宋体" w:cs="宋体"/>
          <w:b/>
          <w:bCs/>
          <w:sz w:val="30"/>
          <w:szCs w:val="30"/>
        </w:rPr>
      </w:pPr>
    </w:p>
    <w:p w14:paraId="34B7DEA3">
      <w:pPr>
        <w:wordWrap w:val="0"/>
        <w:spacing w:line="520" w:lineRule="exact"/>
        <w:jc w:val="center"/>
        <w:rPr>
          <w:rFonts w:hint="eastAsia" w:ascii="宋体" w:hAnsi="宋体" w:cs="宋体"/>
          <w:b/>
          <w:bCs/>
          <w:sz w:val="30"/>
          <w:szCs w:val="30"/>
          <w:lang w:val="en-US" w:eastAsia="zh-CN"/>
        </w:rPr>
      </w:pPr>
    </w:p>
    <w:p w14:paraId="386073E1">
      <w:pPr>
        <w:wordWrap w:val="0"/>
        <w:spacing w:line="520" w:lineRule="exact"/>
        <w:jc w:val="center"/>
        <w:rPr>
          <w:rFonts w:hint="eastAsia" w:ascii="宋体" w:hAnsi="宋体" w:cs="宋体"/>
          <w:b/>
          <w:bCs/>
          <w:sz w:val="30"/>
          <w:szCs w:val="30"/>
          <w:lang w:val="en-US" w:eastAsia="zh-CN"/>
        </w:rPr>
      </w:pPr>
    </w:p>
    <w:p w14:paraId="5468816D">
      <w:pPr>
        <w:wordWrap w:val="0"/>
        <w:spacing w:line="520" w:lineRule="exact"/>
        <w:jc w:val="center"/>
        <w:rPr>
          <w:rFonts w:hint="eastAsia" w:ascii="宋体" w:hAnsi="宋体" w:cs="宋体"/>
          <w:b/>
          <w:bCs/>
          <w:sz w:val="30"/>
          <w:szCs w:val="30"/>
          <w:lang w:val="en-US" w:eastAsia="zh-CN"/>
        </w:rPr>
      </w:pPr>
    </w:p>
    <w:p w14:paraId="2D0586A5">
      <w:pPr>
        <w:wordWrap w:val="0"/>
        <w:spacing w:line="520" w:lineRule="exact"/>
        <w:jc w:val="center"/>
        <w:rPr>
          <w:rFonts w:hint="eastAsia" w:ascii="宋体" w:hAnsi="宋体" w:cs="宋体"/>
          <w:b/>
          <w:bCs/>
          <w:sz w:val="30"/>
          <w:szCs w:val="30"/>
          <w:lang w:val="en-US" w:eastAsia="zh-CN"/>
        </w:rPr>
      </w:pPr>
    </w:p>
    <w:p w14:paraId="24EAD338">
      <w:pPr>
        <w:wordWrap w:val="0"/>
        <w:spacing w:line="520" w:lineRule="exact"/>
        <w:jc w:val="center"/>
        <w:rPr>
          <w:rFonts w:hint="eastAsia" w:ascii="宋体" w:hAnsi="宋体" w:cs="宋体"/>
          <w:b/>
          <w:bCs/>
          <w:sz w:val="30"/>
          <w:szCs w:val="30"/>
          <w:lang w:val="en-US" w:eastAsia="zh-CN"/>
        </w:rPr>
      </w:pPr>
    </w:p>
    <w:p w14:paraId="3A83129A">
      <w:pPr>
        <w:wordWrap w:val="0"/>
        <w:spacing w:line="520" w:lineRule="exact"/>
        <w:jc w:val="center"/>
        <w:rPr>
          <w:rFonts w:hint="eastAsia" w:ascii="宋体" w:hAnsi="宋体" w:cs="宋体"/>
          <w:b/>
          <w:bCs/>
          <w:sz w:val="30"/>
          <w:szCs w:val="30"/>
          <w:lang w:val="en-US" w:eastAsia="zh-CN"/>
        </w:rPr>
      </w:pPr>
    </w:p>
    <w:p w14:paraId="22BD34C0">
      <w:pPr>
        <w:wordWrap w:val="0"/>
        <w:spacing w:line="520" w:lineRule="exact"/>
        <w:jc w:val="center"/>
        <w:rPr>
          <w:rFonts w:hint="eastAsia" w:ascii="宋体" w:hAnsi="宋体" w:cs="宋体"/>
          <w:b/>
          <w:bCs/>
          <w:sz w:val="30"/>
          <w:szCs w:val="30"/>
          <w:lang w:val="en-US" w:eastAsia="zh-CN"/>
        </w:rPr>
      </w:pPr>
    </w:p>
    <w:p w14:paraId="3DAA3FAE">
      <w:pPr>
        <w:wordWrap w:val="0"/>
        <w:spacing w:line="520" w:lineRule="exact"/>
        <w:jc w:val="center"/>
        <w:rPr>
          <w:rFonts w:hint="eastAsia" w:ascii="宋体" w:hAnsi="宋体" w:cs="宋体"/>
          <w:b/>
          <w:bCs/>
          <w:sz w:val="30"/>
          <w:szCs w:val="30"/>
          <w:lang w:val="en-US" w:eastAsia="zh-CN"/>
        </w:rPr>
      </w:pPr>
    </w:p>
    <w:p w14:paraId="078B394C">
      <w:pPr>
        <w:wordWrap w:val="0"/>
        <w:spacing w:line="520" w:lineRule="exact"/>
        <w:jc w:val="center"/>
        <w:rPr>
          <w:rFonts w:hint="eastAsia" w:ascii="宋体" w:hAnsi="宋体" w:cs="宋体"/>
          <w:b/>
          <w:bCs/>
          <w:sz w:val="30"/>
          <w:szCs w:val="30"/>
          <w:lang w:val="en-US" w:eastAsia="zh-CN"/>
        </w:rPr>
      </w:pPr>
    </w:p>
    <w:p w14:paraId="6DF29698">
      <w:pPr>
        <w:wordWrap w:val="0"/>
        <w:spacing w:line="520" w:lineRule="exact"/>
        <w:jc w:val="both"/>
        <w:rPr>
          <w:rFonts w:hint="eastAsia" w:ascii="宋体" w:hAnsi="宋体" w:cs="宋体"/>
          <w:b/>
          <w:bCs/>
          <w:sz w:val="30"/>
          <w:szCs w:val="30"/>
          <w:lang w:val="en-US" w:eastAsia="zh-CN"/>
        </w:rPr>
      </w:pPr>
    </w:p>
    <w:bookmarkEnd w:id="2"/>
    <w:bookmarkEnd w:id="3"/>
    <w:bookmarkEnd w:id="4"/>
    <w:bookmarkEnd w:id="5"/>
    <w:bookmarkEnd w:id="6"/>
    <w:bookmarkEnd w:id="7"/>
    <w:bookmarkEnd w:id="8"/>
    <w:bookmarkEnd w:id="9"/>
    <w:p w14:paraId="61C588EF">
      <w:pPr>
        <w:pStyle w:val="4"/>
        <w:widowControl/>
        <w:spacing w:line="360" w:lineRule="auto"/>
        <w:jc w:val="center"/>
        <w:rPr>
          <w:rFonts w:hint="eastAsia" w:ascii="宋体" w:hAnsi="宋体" w:cs="宋体"/>
          <w:color w:val="000000"/>
          <w:sz w:val="32"/>
          <w:szCs w:val="32"/>
          <w:lang w:eastAsia="zh-CN"/>
        </w:rPr>
      </w:pPr>
      <w:r>
        <w:rPr>
          <w:rFonts w:hint="eastAsia" w:ascii="宋体" w:hAnsi="宋体" w:cs="宋体"/>
          <w:color w:val="000000"/>
          <w:sz w:val="32"/>
          <w:szCs w:val="32"/>
          <w:lang w:val="en-US" w:eastAsia="zh-CN"/>
        </w:rPr>
        <w:t>五、</w:t>
      </w:r>
      <w:r>
        <w:rPr>
          <w:rFonts w:hint="eastAsia" w:ascii="宋体" w:hAnsi="宋体" w:cs="宋体"/>
          <w:color w:val="000000"/>
          <w:sz w:val="32"/>
          <w:szCs w:val="32"/>
          <w:lang w:eastAsia="zh-CN"/>
        </w:rPr>
        <w:t>资格审查资料</w:t>
      </w:r>
    </w:p>
    <w:p w14:paraId="1A7F241F">
      <w:pPr>
        <w:spacing w:line="360" w:lineRule="auto"/>
        <w:jc w:val="center"/>
        <w:rPr>
          <w:color w:val="auto"/>
          <w:sz w:val="24"/>
          <w:szCs w:val="18"/>
          <w:highlight w:val="none"/>
        </w:rPr>
      </w:pPr>
      <w:bookmarkStart w:id="10" w:name="_Toc10295_WPSOffice_Level2"/>
      <w:bookmarkStart w:id="11" w:name="_Toc383433764"/>
      <w:bookmarkStart w:id="12" w:name="_Toc381941238"/>
      <w:bookmarkStart w:id="13" w:name="_Toc397244498"/>
      <w:bookmarkStart w:id="14" w:name="_Toc492537570"/>
      <w:bookmarkStart w:id="15" w:name="_Toc397244570"/>
      <w:bookmarkStart w:id="16" w:name="_Toc383433666"/>
      <w:bookmarkStart w:id="17" w:name="_Toc375233607"/>
      <w:bookmarkStart w:id="18" w:name="_Toc432431878"/>
      <w:r>
        <w:rPr>
          <w:rFonts w:hint="eastAsia"/>
          <w:color w:val="auto"/>
          <w:sz w:val="24"/>
          <w:szCs w:val="18"/>
          <w:highlight w:val="none"/>
        </w:rPr>
        <w:t>（一）供应商基本情况表</w:t>
      </w:r>
      <w:bookmarkEnd w:id="10"/>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970"/>
        <w:gridCol w:w="1548"/>
        <w:gridCol w:w="1116"/>
        <w:gridCol w:w="1129"/>
        <w:gridCol w:w="234"/>
        <w:gridCol w:w="1676"/>
      </w:tblGrid>
      <w:tr w14:paraId="0FAC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1726" w:type="dxa"/>
            <w:tcBorders>
              <w:top w:val="single" w:color="auto" w:sz="4" w:space="0"/>
              <w:left w:val="single" w:color="auto" w:sz="4" w:space="0"/>
              <w:bottom w:val="single" w:color="auto" w:sz="4" w:space="0"/>
              <w:right w:val="single" w:color="auto" w:sz="4" w:space="0"/>
            </w:tcBorders>
            <w:noWrap/>
            <w:vAlign w:val="center"/>
          </w:tcPr>
          <w:p w14:paraId="21E20D79">
            <w:pPr>
              <w:spacing w:line="360" w:lineRule="auto"/>
              <w:rPr>
                <w:color w:val="auto"/>
                <w:sz w:val="24"/>
                <w:highlight w:val="none"/>
              </w:rPr>
            </w:pPr>
            <w:r>
              <w:rPr>
                <w:rFonts w:hint="eastAsia"/>
                <w:color w:val="auto"/>
                <w:sz w:val="24"/>
                <w:highlight w:val="none"/>
              </w:rPr>
              <w:t>供应商名称</w:t>
            </w:r>
          </w:p>
        </w:tc>
        <w:tc>
          <w:tcPr>
            <w:tcW w:w="6673" w:type="dxa"/>
            <w:gridSpan w:val="6"/>
            <w:tcBorders>
              <w:top w:val="single" w:color="auto" w:sz="4" w:space="0"/>
              <w:left w:val="single" w:color="auto" w:sz="4" w:space="0"/>
              <w:bottom w:val="single" w:color="auto" w:sz="4" w:space="0"/>
              <w:right w:val="single" w:color="auto" w:sz="4" w:space="0"/>
            </w:tcBorders>
            <w:noWrap/>
            <w:vAlign w:val="center"/>
          </w:tcPr>
          <w:p w14:paraId="76B65913">
            <w:pPr>
              <w:spacing w:line="360" w:lineRule="auto"/>
              <w:rPr>
                <w:color w:val="auto"/>
                <w:sz w:val="24"/>
                <w:highlight w:val="none"/>
              </w:rPr>
            </w:pPr>
          </w:p>
        </w:tc>
      </w:tr>
      <w:tr w14:paraId="78A14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726" w:type="dxa"/>
            <w:tcBorders>
              <w:top w:val="single" w:color="auto" w:sz="4" w:space="0"/>
              <w:left w:val="single" w:color="auto" w:sz="4" w:space="0"/>
              <w:bottom w:val="single" w:color="auto" w:sz="4" w:space="0"/>
              <w:right w:val="single" w:color="auto" w:sz="4" w:space="0"/>
            </w:tcBorders>
            <w:noWrap/>
            <w:vAlign w:val="center"/>
          </w:tcPr>
          <w:p w14:paraId="0FE86861">
            <w:pPr>
              <w:spacing w:line="360" w:lineRule="auto"/>
              <w:rPr>
                <w:color w:val="auto"/>
                <w:sz w:val="24"/>
                <w:highlight w:val="none"/>
              </w:rPr>
            </w:pPr>
            <w:r>
              <w:rPr>
                <w:rFonts w:hint="eastAsia"/>
                <w:color w:val="auto"/>
                <w:sz w:val="24"/>
                <w:highlight w:val="none"/>
              </w:rPr>
              <w:t>注册地址</w:t>
            </w:r>
          </w:p>
        </w:tc>
        <w:tc>
          <w:tcPr>
            <w:tcW w:w="3634" w:type="dxa"/>
            <w:gridSpan w:val="3"/>
            <w:tcBorders>
              <w:top w:val="single" w:color="auto" w:sz="4" w:space="0"/>
              <w:left w:val="single" w:color="auto" w:sz="4" w:space="0"/>
              <w:bottom w:val="single" w:color="auto" w:sz="4" w:space="0"/>
              <w:right w:val="single" w:color="auto" w:sz="4" w:space="0"/>
            </w:tcBorders>
            <w:noWrap/>
            <w:vAlign w:val="center"/>
          </w:tcPr>
          <w:p w14:paraId="254D13F2">
            <w:pPr>
              <w:spacing w:line="360" w:lineRule="auto"/>
              <w:rPr>
                <w:color w:val="auto"/>
                <w:sz w:val="24"/>
                <w:highlight w:val="none"/>
              </w:rPr>
            </w:pPr>
          </w:p>
        </w:tc>
        <w:tc>
          <w:tcPr>
            <w:tcW w:w="1363" w:type="dxa"/>
            <w:gridSpan w:val="2"/>
            <w:tcBorders>
              <w:top w:val="single" w:color="auto" w:sz="4" w:space="0"/>
              <w:left w:val="single" w:color="auto" w:sz="4" w:space="0"/>
              <w:bottom w:val="single" w:color="auto" w:sz="4" w:space="0"/>
              <w:right w:val="single" w:color="auto" w:sz="4" w:space="0"/>
            </w:tcBorders>
            <w:noWrap/>
            <w:vAlign w:val="center"/>
          </w:tcPr>
          <w:p w14:paraId="2EE0F4CA">
            <w:pPr>
              <w:spacing w:line="360" w:lineRule="auto"/>
              <w:rPr>
                <w:color w:val="auto"/>
                <w:sz w:val="24"/>
                <w:highlight w:val="none"/>
              </w:rPr>
            </w:pPr>
            <w:r>
              <w:rPr>
                <w:rFonts w:hint="eastAsia"/>
                <w:color w:val="auto"/>
                <w:sz w:val="24"/>
                <w:highlight w:val="none"/>
              </w:rPr>
              <w:t>邮政编码</w:t>
            </w:r>
          </w:p>
        </w:tc>
        <w:tc>
          <w:tcPr>
            <w:tcW w:w="1676" w:type="dxa"/>
            <w:tcBorders>
              <w:top w:val="single" w:color="auto" w:sz="4" w:space="0"/>
              <w:left w:val="single" w:color="auto" w:sz="4" w:space="0"/>
              <w:bottom w:val="single" w:color="auto" w:sz="4" w:space="0"/>
              <w:right w:val="single" w:color="auto" w:sz="4" w:space="0"/>
            </w:tcBorders>
            <w:noWrap/>
            <w:vAlign w:val="center"/>
          </w:tcPr>
          <w:p w14:paraId="61295267">
            <w:pPr>
              <w:spacing w:line="360" w:lineRule="auto"/>
              <w:rPr>
                <w:color w:val="auto"/>
                <w:sz w:val="24"/>
                <w:highlight w:val="none"/>
              </w:rPr>
            </w:pPr>
          </w:p>
        </w:tc>
      </w:tr>
      <w:tr w14:paraId="38A2B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1726" w:type="dxa"/>
            <w:vMerge w:val="restart"/>
            <w:tcBorders>
              <w:top w:val="single" w:color="auto" w:sz="4" w:space="0"/>
              <w:left w:val="single" w:color="auto" w:sz="4" w:space="0"/>
              <w:bottom w:val="single" w:color="auto" w:sz="4" w:space="0"/>
              <w:right w:val="single" w:color="auto" w:sz="4" w:space="0"/>
            </w:tcBorders>
            <w:noWrap/>
            <w:vAlign w:val="center"/>
          </w:tcPr>
          <w:p w14:paraId="7CD42C43">
            <w:pPr>
              <w:spacing w:line="360" w:lineRule="auto"/>
              <w:rPr>
                <w:color w:val="auto"/>
                <w:sz w:val="24"/>
                <w:highlight w:val="none"/>
              </w:rPr>
            </w:pPr>
            <w:r>
              <w:rPr>
                <w:rFonts w:hint="eastAsia"/>
                <w:color w:val="auto"/>
                <w:sz w:val="24"/>
                <w:highlight w:val="none"/>
              </w:rPr>
              <w:t>联系方式</w:t>
            </w:r>
          </w:p>
        </w:tc>
        <w:tc>
          <w:tcPr>
            <w:tcW w:w="970" w:type="dxa"/>
            <w:tcBorders>
              <w:top w:val="single" w:color="auto" w:sz="4" w:space="0"/>
              <w:left w:val="single" w:color="auto" w:sz="4" w:space="0"/>
              <w:bottom w:val="single" w:color="auto" w:sz="4" w:space="0"/>
              <w:right w:val="single" w:color="auto" w:sz="4" w:space="0"/>
            </w:tcBorders>
            <w:noWrap/>
            <w:vAlign w:val="center"/>
          </w:tcPr>
          <w:p w14:paraId="6806286B">
            <w:pPr>
              <w:spacing w:line="360" w:lineRule="auto"/>
              <w:rPr>
                <w:color w:val="auto"/>
                <w:sz w:val="24"/>
                <w:highlight w:val="none"/>
              </w:rPr>
            </w:pPr>
            <w:r>
              <w:rPr>
                <w:rFonts w:hint="eastAsia"/>
                <w:color w:val="auto"/>
                <w:sz w:val="24"/>
                <w:highlight w:val="none"/>
              </w:rPr>
              <w:t>联系人</w:t>
            </w:r>
          </w:p>
        </w:tc>
        <w:tc>
          <w:tcPr>
            <w:tcW w:w="2664" w:type="dxa"/>
            <w:gridSpan w:val="2"/>
            <w:tcBorders>
              <w:top w:val="single" w:color="auto" w:sz="4" w:space="0"/>
              <w:left w:val="single" w:color="auto" w:sz="4" w:space="0"/>
              <w:bottom w:val="single" w:color="auto" w:sz="4" w:space="0"/>
              <w:right w:val="single" w:color="auto" w:sz="4" w:space="0"/>
            </w:tcBorders>
            <w:noWrap/>
            <w:vAlign w:val="center"/>
          </w:tcPr>
          <w:p w14:paraId="10E73AE7">
            <w:pPr>
              <w:spacing w:line="360" w:lineRule="auto"/>
              <w:rPr>
                <w:color w:val="auto"/>
                <w:sz w:val="24"/>
                <w:highlight w:val="none"/>
              </w:rPr>
            </w:pPr>
          </w:p>
        </w:tc>
        <w:tc>
          <w:tcPr>
            <w:tcW w:w="1363" w:type="dxa"/>
            <w:gridSpan w:val="2"/>
            <w:tcBorders>
              <w:top w:val="single" w:color="auto" w:sz="4" w:space="0"/>
              <w:left w:val="single" w:color="auto" w:sz="4" w:space="0"/>
              <w:bottom w:val="single" w:color="auto" w:sz="4" w:space="0"/>
              <w:right w:val="single" w:color="auto" w:sz="4" w:space="0"/>
            </w:tcBorders>
            <w:noWrap/>
            <w:vAlign w:val="center"/>
          </w:tcPr>
          <w:p w14:paraId="1EE52A01">
            <w:pPr>
              <w:spacing w:line="360" w:lineRule="auto"/>
              <w:rPr>
                <w:color w:val="auto"/>
                <w:sz w:val="24"/>
                <w:highlight w:val="none"/>
              </w:rPr>
            </w:pPr>
            <w:r>
              <w:rPr>
                <w:rFonts w:hint="eastAsia"/>
                <w:color w:val="auto"/>
                <w:sz w:val="24"/>
                <w:highlight w:val="none"/>
              </w:rPr>
              <w:t>电话</w:t>
            </w:r>
          </w:p>
        </w:tc>
        <w:tc>
          <w:tcPr>
            <w:tcW w:w="1676" w:type="dxa"/>
            <w:tcBorders>
              <w:top w:val="single" w:color="auto" w:sz="4" w:space="0"/>
              <w:left w:val="single" w:color="auto" w:sz="4" w:space="0"/>
              <w:bottom w:val="single" w:color="auto" w:sz="4" w:space="0"/>
              <w:right w:val="single" w:color="auto" w:sz="4" w:space="0"/>
            </w:tcBorders>
            <w:noWrap/>
            <w:vAlign w:val="center"/>
          </w:tcPr>
          <w:p w14:paraId="51314AA1">
            <w:pPr>
              <w:spacing w:line="360" w:lineRule="auto"/>
              <w:rPr>
                <w:color w:val="auto"/>
                <w:sz w:val="24"/>
                <w:highlight w:val="none"/>
              </w:rPr>
            </w:pPr>
          </w:p>
        </w:tc>
      </w:tr>
      <w:tr w14:paraId="1A333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726" w:type="dxa"/>
            <w:vMerge w:val="continue"/>
            <w:tcBorders>
              <w:top w:val="single" w:color="auto" w:sz="4" w:space="0"/>
              <w:left w:val="single" w:color="auto" w:sz="4" w:space="0"/>
              <w:bottom w:val="single" w:color="auto" w:sz="4" w:space="0"/>
              <w:right w:val="single" w:color="auto" w:sz="4" w:space="0"/>
            </w:tcBorders>
            <w:noWrap/>
            <w:vAlign w:val="center"/>
          </w:tcPr>
          <w:p w14:paraId="69379214">
            <w:pPr>
              <w:rPr>
                <w:color w:val="auto"/>
                <w:sz w:val="20"/>
                <w:szCs w:val="20"/>
                <w:highlight w:val="none"/>
              </w:rPr>
            </w:pPr>
          </w:p>
        </w:tc>
        <w:tc>
          <w:tcPr>
            <w:tcW w:w="970" w:type="dxa"/>
            <w:tcBorders>
              <w:top w:val="single" w:color="auto" w:sz="4" w:space="0"/>
              <w:left w:val="single" w:color="auto" w:sz="4" w:space="0"/>
              <w:bottom w:val="single" w:color="auto" w:sz="4" w:space="0"/>
              <w:right w:val="single" w:color="auto" w:sz="4" w:space="0"/>
            </w:tcBorders>
            <w:noWrap/>
            <w:vAlign w:val="center"/>
          </w:tcPr>
          <w:p w14:paraId="529D58C9">
            <w:pPr>
              <w:spacing w:line="360" w:lineRule="auto"/>
              <w:rPr>
                <w:color w:val="auto"/>
                <w:sz w:val="24"/>
                <w:highlight w:val="none"/>
              </w:rPr>
            </w:pPr>
            <w:r>
              <w:rPr>
                <w:rFonts w:hint="eastAsia"/>
                <w:color w:val="auto"/>
                <w:sz w:val="24"/>
                <w:highlight w:val="none"/>
              </w:rPr>
              <w:t>传真</w:t>
            </w:r>
          </w:p>
        </w:tc>
        <w:tc>
          <w:tcPr>
            <w:tcW w:w="2664" w:type="dxa"/>
            <w:gridSpan w:val="2"/>
            <w:tcBorders>
              <w:top w:val="single" w:color="auto" w:sz="4" w:space="0"/>
              <w:left w:val="single" w:color="auto" w:sz="4" w:space="0"/>
              <w:bottom w:val="single" w:color="auto" w:sz="4" w:space="0"/>
              <w:right w:val="single" w:color="auto" w:sz="4" w:space="0"/>
            </w:tcBorders>
            <w:noWrap/>
            <w:vAlign w:val="center"/>
          </w:tcPr>
          <w:p w14:paraId="0E71DB5B">
            <w:pPr>
              <w:spacing w:line="360" w:lineRule="auto"/>
              <w:rPr>
                <w:color w:val="auto"/>
                <w:sz w:val="24"/>
                <w:highlight w:val="none"/>
              </w:rPr>
            </w:pPr>
          </w:p>
        </w:tc>
        <w:tc>
          <w:tcPr>
            <w:tcW w:w="1363" w:type="dxa"/>
            <w:gridSpan w:val="2"/>
            <w:tcBorders>
              <w:top w:val="single" w:color="auto" w:sz="4" w:space="0"/>
              <w:left w:val="single" w:color="auto" w:sz="4" w:space="0"/>
              <w:bottom w:val="single" w:color="auto" w:sz="4" w:space="0"/>
              <w:right w:val="single" w:color="auto" w:sz="4" w:space="0"/>
            </w:tcBorders>
            <w:noWrap/>
            <w:vAlign w:val="center"/>
          </w:tcPr>
          <w:p w14:paraId="5240F376">
            <w:pPr>
              <w:spacing w:line="360" w:lineRule="auto"/>
              <w:rPr>
                <w:color w:val="auto"/>
                <w:sz w:val="24"/>
                <w:highlight w:val="none"/>
              </w:rPr>
            </w:pPr>
            <w:r>
              <w:rPr>
                <w:rFonts w:hint="eastAsia"/>
                <w:color w:val="auto"/>
                <w:sz w:val="24"/>
                <w:highlight w:val="none"/>
              </w:rPr>
              <w:t>网址</w:t>
            </w:r>
          </w:p>
        </w:tc>
        <w:tc>
          <w:tcPr>
            <w:tcW w:w="1676" w:type="dxa"/>
            <w:tcBorders>
              <w:top w:val="single" w:color="auto" w:sz="4" w:space="0"/>
              <w:left w:val="single" w:color="auto" w:sz="4" w:space="0"/>
              <w:bottom w:val="single" w:color="auto" w:sz="4" w:space="0"/>
              <w:right w:val="single" w:color="auto" w:sz="4" w:space="0"/>
            </w:tcBorders>
            <w:noWrap/>
            <w:vAlign w:val="center"/>
          </w:tcPr>
          <w:p w14:paraId="3EC87EF6">
            <w:pPr>
              <w:spacing w:line="360" w:lineRule="auto"/>
              <w:rPr>
                <w:color w:val="auto"/>
                <w:sz w:val="24"/>
                <w:highlight w:val="none"/>
              </w:rPr>
            </w:pPr>
          </w:p>
        </w:tc>
      </w:tr>
      <w:tr w14:paraId="0AFA7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726" w:type="dxa"/>
            <w:tcBorders>
              <w:top w:val="single" w:color="auto" w:sz="4" w:space="0"/>
              <w:left w:val="single" w:color="auto" w:sz="4" w:space="0"/>
              <w:bottom w:val="single" w:color="auto" w:sz="4" w:space="0"/>
              <w:right w:val="single" w:color="auto" w:sz="4" w:space="0"/>
            </w:tcBorders>
            <w:noWrap/>
            <w:vAlign w:val="center"/>
          </w:tcPr>
          <w:p w14:paraId="43666A8D">
            <w:pPr>
              <w:spacing w:line="360" w:lineRule="auto"/>
              <w:rPr>
                <w:color w:val="auto"/>
                <w:sz w:val="24"/>
                <w:highlight w:val="none"/>
              </w:rPr>
            </w:pPr>
            <w:r>
              <w:rPr>
                <w:rFonts w:hint="eastAsia"/>
                <w:color w:val="auto"/>
                <w:sz w:val="24"/>
                <w:highlight w:val="none"/>
              </w:rPr>
              <w:t>组织结构</w:t>
            </w:r>
          </w:p>
        </w:tc>
        <w:tc>
          <w:tcPr>
            <w:tcW w:w="6673" w:type="dxa"/>
            <w:gridSpan w:val="6"/>
            <w:tcBorders>
              <w:top w:val="single" w:color="auto" w:sz="4" w:space="0"/>
              <w:left w:val="single" w:color="auto" w:sz="4" w:space="0"/>
              <w:bottom w:val="single" w:color="auto" w:sz="4" w:space="0"/>
              <w:right w:val="single" w:color="auto" w:sz="4" w:space="0"/>
            </w:tcBorders>
            <w:noWrap/>
            <w:vAlign w:val="center"/>
          </w:tcPr>
          <w:p w14:paraId="01287406">
            <w:pPr>
              <w:tabs>
                <w:tab w:val="left" w:pos="4776"/>
              </w:tabs>
              <w:spacing w:line="360" w:lineRule="auto"/>
              <w:rPr>
                <w:color w:val="auto"/>
                <w:sz w:val="24"/>
                <w:highlight w:val="none"/>
              </w:rPr>
            </w:pPr>
          </w:p>
        </w:tc>
      </w:tr>
      <w:tr w14:paraId="4EF70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1726" w:type="dxa"/>
            <w:tcBorders>
              <w:top w:val="single" w:color="auto" w:sz="4" w:space="0"/>
              <w:left w:val="single" w:color="auto" w:sz="4" w:space="0"/>
              <w:bottom w:val="single" w:color="auto" w:sz="4" w:space="0"/>
              <w:right w:val="single" w:color="auto" w:sz="4" w:space="0"/>
            </w:tcBorders>
            <w:noWrap/>
            <w:vAlign w:val="center"/>
          </w:tcPr>
          <w:p w14:paraId="6447B27C">
            <w:pPr>
              <w:spacing w:line="360" w:lineRule="auto"/>
              <w:rPr>
                <w:color w:val="auto"/>
                <w:sz w:val="24"/>
                <w:highlight w:val="none"/>
              </w:rPr>
            </w:pPr>
            <w:r>
              <w:rPr>
                <w:rFonts w:hint="eastAsia"/>
                <w:color w:val="auto"/>
                <w:sz w:val="24"/>
                <w:highlight w:val="none"/>
              </w:rPr>
              <w:t>法定代表人</w:t>
            </w:r>
          </w:p>
        </w:tc>
        <w:tc>
          <w:tcPr>
            <w:tcW w:w="970" w:type="dxa"/>
            <w:tcBorders>
              <w:top w:val="single" w:color="auto" w:sz="4" w:space="0"/>
              <w:left w:val="single" w:color="auto" w:sz="4" w:space="0"/>
              <w:bottom w:val="single" w:color="auto" w:sz="4" w:space="0"/>
              <w:right w:val="single" w:color="auto" w:sz="4" w:space="0"/>
            </w:tcBorders>
            <w:noWrap/>
            <w:vAlign w:val="center"/>
          </w:tcPr>
          <w:p w14:paraId="0479C770">
            <w:pPr>
              <w:spacing w:line="360" w:lineRule="auto"/>
              <w:rPr>
                <w:color w:val="auto"/>
                <w:sz w:val="24"/>
                <w:highlight w:val="none"/>
              </w:rPr>
            </w:pPr>
            <w:r>
              <w:rPr>
                <w:rFonts w:hint="eastAsia"/>
                <w:color w:val="auto"/>
                <w:sz w:val="24"/>
                <w:highlight w:val="none"/>
              </w:rPr>
              <w:t>姓名</w:t>
            </w:r>
          </w:p>
        </w:tc>
        <w:tc>
          <w:tcPr>
            <w:tcW w:w="2664" w:type="dxa"/>
            <w:gridSpan w:val="2"/>
            <w:tcBorders>
              <w:top w:val="single" w:color="auto" w:sz="4" w:space="0"/>
              <w:left w:val="single" w:color="auto" w:sz="4" w:space="0"/>
              <w:bottom w:val="single" w:color="auto" w:sz="4" w:space="0"/>
              <w:right w:val="single" w:color="auto" w:sz="4" w:space="0"/>
            </w:tcBorders>
            <w:noWrap/>
            <w:vAlign w:val="center"/>
          </w:tcPr>
          <w:p w14:paraId="28956D30">
            <w:pPr>
              <w:spacing w:line="360" w:lineRule="auto"/>
              <w:rPr>
                <w:color w:val="auto"/>
                <w:sz w:val="24"/>
                <w:highlight w:val="none"/>
              </w:rPr>
            </w:pPr>
          </w:p>
        </w:tc>
        <w:tc>
          <w:tcPr>
            <w:tcW w:w="1129" w:type="dxa"/>
            <w:tcBorders>
              <w:top w:val="single" w:color="auto" w:sz="4" w:space="0"/>
              <w:left w:val="single" w:color="auto" w:sz="4" w:space="0"/>
              <w:bottom w:val="single" w:color="auto" w:sz="4" w:space="0"/>
              <w:right w:val="single" w:color="auto" w:sz="4" w:space="0"/>
            </w:tcBorders>
            <w:noWrap/>
            <w:vAlign w:val="center"/>
          </w:tcPr>
          <w:p w14:paraId="26A276BE">
            <w:pPr>
              <w:spacing w:line="360" w:lineRule="auto"/>
              <w:rPr>
                <w:color w:val="auto"/>
                <w:sz w:val="24"/>
                <w:highlight w:val="none"/>
              </w:rPr>
            </w:pPr>
            <w:r>
              <w:rPr>
                <w:rFonts w:hint="eastAsia"/>
                <w:color w:val="auto"/>
                <w:sz w:val="24"/>
                <w:highlight w:val="none"/>
              </w:rPr>
              <w:t>电话</w:t>
            </w:r>
          </w:p>
        </w:tc>
        <w:tc>
          <w:tcPr>
            <w:tcW w:w="1910" w:type="dxa"/>
            <w:gridSpan w:val="2"/>
            <w:tcBorders>
              <w:top w:val="single" w:color="auto" w:sz="4" w:space="0"/>
              <w:left w:val="single" w:color="auto" w:sz="4" w:space="0"/>
              <w:bottom w:val="single" w:color="auto" w:sz="4" w:space="0"/>
              <w:right w:val="single" w:color="auto" w:sz="4" w:space="0"/>
            </w:tcBorders>
            <w:noWrap/>
            <w:vAlign w:val="center"/>
          </w:tcPr>
          <w:p w14:paraId="1F3EF7A9">
            <w:pPr>
              <w:spacing w:line="360" w:lineRule="auto"/>
              <w:rPr>
                <w:color w:val="auto"/>
                <w:sz w:val="24"/>
                <w:highlight w:val="none"/>
              </w:rPr>
            </w:pPr>
          </w:p>
        </w:tc>
      </w:tr>
      <w:tr w14:paraId="69BA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jc w:val="center"/>
        </w:trPr>
        <w:tc>
          <w:tcPr>
            <w:tcW w:w="1726" w:type="dxa"/>
            <w:tcBorders>
              <w:top w:val="single" w:color="auto" w:sz="4" w:space="0"/>
              <w:left w:val="single" w:color="auto" w:sz="4" w:space="0"/>
              <w:bottom w:val="single" w:color="auto" w:sz="4" w:space="0"/>
              <w:right w:val="single" w:color="auto" w:sz="4" w:space="0"/>
            </w:tcBorders>
            <w:noWrap/>
            <w:vAlign w:val="center"/>
          </w:tcPr>
          <w:p w14:paraId="5B3BC14E">
            <w:pPr>
              <w:spacing w:line="360" w:lineRule="auto"/>
              <w:rPr>
                <w:color w:val="auto"/>
                <w:sz w:val="24"/>
                <w:highlight w:val="none"/>
              </w:rPr>
            </w:pPr>
            <w:r>
              <w:rPr>
                <w:rFonts w:hint="eastAsia"/>
                <w:color w:val="auto"/>
                <w:sz w:val="24"/>
                <w:highlight w:val="none"/>
              </w:rPr>
              <w:t>成立时间</w:t>
            </w:r>
          </w:p>
        </w:tc>
        <w:tc>
          <w:tcPr>
            <w:tcW w:w="2518" w:type="dxa"/>
            <w:gridSpan w:val="2"/>
            <w:tcBorders>
              <w:top w:val="single" w:color="auto" w:sz="4" w:space="0"/>
              <w:left w:val="single" w:color="auto" w:sz="4" w:space="0"/>
              <w:bottom w:val="single" w:color="auto" w:sz="4" w:space="0"/>
              <w:right w:val="single" w:color="auto" w:sz="4" w:space="0"/>
            </w:tcBorders>
            <w:noWrap/>
            <w:vAlign w:val="center"/>
          </w:tcPr>
          <w:p w14:paraId="09C0EB1C">
            <w:pPr>
              <w:spacing w:line="360" w:lineRule="auto"/>
              <w:rPr>
                <w:color w:val="auto"/>
                <w:sz w:val="24"/>
                <w:highlight w:val="none"/>
              </w:rPr>
            </w:pPr>
          </w:p>
        </w:tc>
        <w:tc>
          <w:tcPr>
            <w:tcW w:w="4155" w:type="dxa"/>
            <w:gridSpan w:val="4"/>
            <w:tcBorders>
              <w:top w:val="single" w:color="auto" w:sz="4" w:space="0"/>
              <w:left w:val="single" w:color="auto" w:sz="4" w:space="0"/>
              <w:bottom w:val="single" w:color="auto" w:sz="4" w:space="0"/>
              <w:right w:val="single" w:color="auto" w:sz="4" w:space="0"/>
            </w:tcBorders>
            <w:noWrap/>
            <w:vAlign w:val="center"/>
          </w:tcPr>
          <w:p w14:paraId="1D3DE4A3">
            <w:pPr>
              <w:spacing w:line="360" w:lineRule="auto"/>
              <w:rPr>
                <w:color w:val="auto"/>
                <w:sz w:val="24"/>
                <w:highlight w:val="none"/>
              </w:rPr>
            </w:pPr>
            <w:r>
              <w:rPr>
                <w:rFonts w:hint="eastAsia"/>
                <w:color w:val="auto"/>
                <w:sz w:val="24"/>
                <w:highlight w:val="none"/>
              </w:rPr>
              <w:t>员工总人数：</w:t>
            </w:r>
          </w:p>
        </w:tc>
      </w:tr>
      <w:tr w14:paraId="2D0C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726" w:type="dxa"/>
            <w:tcBorders>
              <w:top w:val="single" w:color="auto" w:sz="4" w:space="0"/>
              <w:left w:val="single" w:color="auto" w:sz="4" w:space="0"/>
              <w:bottom w:val="single" w:color="auto" w:sz="4" w:space="0"/>
              <w:right w:val="single" w:color="auto" w:sz="4" w:space="0"/>
            </w:tcBorders>
            <w:noWrap/>
            <w:vAlign w:val="center"/>
          </w:tcPr>
          <w:p w14:paraId="312DB40A">
            <w:pPr>
              <w:spacing w:line="360" w:lineRule="auto"/>
              <w:rPr>
                <w:color w:val="auto"/>
                <w:sz w:val="24"/>
                <w:highlight w:val="none"/>
              </w:rPr>
            </w:pPr>
            <w:r>
              <w:rPr>
                <w:rFonts w:hint="eastAsia"/>
                <w:color w:val="auto"/>
                <w:sz w:val="24"/>
                <w:highlight w:val="none"/>
              </w:rPr>
              <w:t>营业执照号</w:t>
            </w:r>
          </w:p>
        </w:tc>
        <w:tc>
          <w:tcPr>
            <w:tcW w:w="6673" w:type="dxa"/>
            <w:gridSpan w:val="6"/>
            <w:tcBorders>
              <w:top w:val="single" w:color="auto" w:sz="4" w:space="0"/>
              <w:left w:val="single" w:color="auto" w:sz="4" w:space="0"/>
              <w:bottom w:val="single" w:color="auto" w:sz="4" w:space="0"/>
              <w:right w:val="single" w:color="auto" w:sz="4" w:space="0"/>
            </w:tcBorders>
            <w:noWrap/>
            <w:vAlign w:val="center"/>
          </w:tcPr>
          <w:p w14:paraId="1CFC73D6">
            <w:pPr>
              <w:spacing w:line="360" w:lineRule="auto"/>
              <w:rPr>
                <w:color w:val="auto"/>
                <w:sz w:val="24"/>
                <w:highlight w:val="none"/>
              </w:rPr>
            </w:pPr>
          </w:p>
        </w:tc>
      </w:tr>
      <w:tr w14:paraId="4A4D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726" w:type="dxa"/>
            <w:tcBorders>
              <w:top w:val="single" w:color="auto" w:sz="4" w:space="0"/>
              <w:left w:val="single" w:color="auto" w:sz="4" w:space="0"/>
              <w:bottom w:val="single" w:color="auto" w:sz="4" w:space="0"/>
              <w:right w:val="single" w:color="auto" w:sz="4" w:space="0"/>
            </w:tcBorders>
            <w:noWrap/>
            <w:vAlign w:val="center"/>
          </w:tcPr>
          <w:p w14:paraId="12127703">
            <w:pPr>
              <w:spacing w:line="360" w:lineRule="auto"/>
              <w:rPr>
                <w:color w:val="auto"/>
                <w:sz w:val="24"/>
                <w:highlight w:val="none"/>
              </w:rPr>
            </w:pPr>
            <w:r>
              <w:rPr>
                <w:rFonts w:hint="eastAsia"/>
                <w:color w:val="auto"/>
                <w:sz w:val="24"/>
                <w:highlight w:val="none"/>
              </w:rPr>
              <w:t>注册资金</w:t>
            </w:r>
          </w:p>
        </w:tc>
        <w:tc>
          <w:tcPr>
            <w:tcW w:w="6673" w:type="dxa"/>
            <w:gridSpan w:val="6"/>
            <w:tcBorders>
              <w:top w:val="single" w:color="auto" w:sz="4" w:space="0"/>
              <w:left w:val="single" w:color="auto" w:sz="4" w:space="0"/>
              <w:bottom w:val="single" w:color="auto" w:sz="4" w:space="0"/>
              <w:right w:val="single" w:color="auto" w:sz="4" w:space="0"/>
            </w:tcBorders>
            <w:noWrap/>
            <w:vAlign w:val="center"/>
          </w:tcPr>
          <w:p w14:paraId="1D18710D">
            <w:pPr>
              <w:spacing w:line="360" w:lineRule="auto"/>
              <w:rPr>
                <w:color w:val="auto"/>
                <w:sz w:val="24"/>
                <w:highlight w:val="none"/>
              </w:rPr>
            </w:pPr>
          </w:p>
        </w:tc>
      </w:tr>
      <w:tr w14:paraId="1476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1726" w:type="dxa"/>
            <w:tcBorders>
              <w:top w:val="single" w:color="auto" w:sz="4" w:space="0"/>
              <w:left w:val="single" w:color="auto" w:sz="4" w:space="0"/>
              <w:bottom w:val="single" w:color="auto" w:sz="4" w:space="0"/>
              <w:right w:val="single" w:color="auto" w:sz="4" w:space="0"/>
            </w:tcBorders>
            <w:noWrap/>
            <w:vAlign w:val="center"/>
          </w:tcPr>
          <w:p w14:paraId="689E9FCD">
            <w:pPr>
              <w:spacing w:line="360" w:lineRule="auto"/>
              <w:rPr>
                <w:color w:val="auto"/>
                <w:sz w:val="24"/>
                <w:highlight w:val="none"/>
              </w:rPr>
            </w:pPr>
            <w:r>
              <w:rPr>
                <w:rFonts w:hint="eastAsia"/>
                <w:color w:val="auto"/>
                <w:sz w:val="24"/>
                <w:highlight w:val="none"/>
              </w:rPr>
              <w:t>经营范围备注</w:t>
            </w:r>
          </w:p>
        </w:tc>
        <w:tc>
          <w:tcPr>
            <w:tcW w:w="6673" w:type="dxa"/>
            <w:gridSpan w:val="6"/>
            <w:tcBorders>
              <w:top w:val="single" w:color="auto" w:sz="4" w:space="0"/>
              <w:left w:val="single" w:color="auto" w:sz="4" w:space="0"/>
              <w:bottom w:val="single" w:color="auto" w:sz="4" w:space="0"/>
              <w:right w:val="single" w:color="auto" w:sz="4" w:space="0"/>
            </w:tcBorders>
            <w:noWrap/>
            <w:vAlign w:val="center"/>
          </w:tcPr>
          <w:p w14:paraId="0BADD1CE">
            <w:pPr>
              <w:spacing w:line="360" w:lineRule="auto"/>
              <w:rPr>
                <w:color w:val="auto"/>
                <w:sz w:val="24"/>
                <w:highlight w:val="none"/>
              </w:rPr>
            </w:pPr>
          </w:p>
        </w:tc>
      </w:tr>
    </w:tbl>
    <w:p w14:paraId="47B4348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5800D2AF">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25F267C4">
      <w:pPr>
        <w:spacing w:line="480" w:lineRule="auto"/>
        <w:jc w:val="center"/>
        <w:rPr>
          <w:rFonts w:hint="eastAsia"/>
          <w:b/>
          <w:sz w:val="28"/>
          <w:szCs w:val="28"/>
        </w:rPr>
      </w:pPr>
    </w:p>
    <w:p w14:paraId="30C8ACB5">
      <w:pPr>
        <w:spacing w:line="480" w:lineRule="auto"/>
        <w:jc w:val="center"/>
        <w:rPr>
          <w:rFonts w:hint="eastAsia"/>
          <w:b/>
          <w:sz w:val="28"/>
          <w:szCs w:val="28"/>
        </w:rPr>
      </w:pPr>
    </w:p>
    <w:p w14:paraId="1B7D53D4">
      <w:pPr>
        <w:jc w:val="center"/>
        <w:rPr>
          <w:rFonts w:hint="eastAsia"/>
          <w:b/>
          <w:sz w:val="28"/>
          <w:szCs w:val="28"/>
        </w:rPr>
      </w:pPr>
    </w:p>
    <w:p w14:paraId="79E63707">
      <w:pPr>
        <w:wordWrap w:val="0"/>
        <w:spacing w:line="360" w:lineRule="auto"/>
        <w:jc w:val="both"/>
        <w:rPr>
          <w:rFonts w:hint="eastAsia" w:ascii="宋体" w:hAnsi="宋体" w:cs="宋体"/>
          <w:b/>
          <w:bCs/>
          <w:sz w:val="30"/>
          <w:szCs w:val="30"/>
          <w:lang w:val="en-US" w:eastAsia="zh-CN"/>
        </w:rPr>
      </w:pPr>
    </w:p>
    <w:p w14:paraId="186D115A">
      <w:pPr>
        <w:wordWrap w:val="0"/>
        <w:spacing w:line="360" w:lineRule="auto"/>
        <w:jc w:val="center"/>
        <w:rPr>
          <w:rFonts w:hint="eastAsia" w:ascii="宋体" w:hAnsi="宋体" w:cs="宋体"/>
          <w:b/>
          <w:bCs/>
          <w:sz w:val="30"/>
          <w:szCs w:val="30"/>
          <w:lang w:val="en-US" w:eastAsia="zh-CN"/>
        </w:rPr>
      </w:pPr>
      <w:bookmarkStart w:id="19" w:name="_Toc13068_WPSOffice_Level2"/>
      <w:r>
        <w:rPr>
          <w:rFonts w:hint="eastAsia"/>
          <w:color w:val="auto"/>
          <w:sz w:val="28"/>
          <w:szCs w:val="20"/>
          <w:highlight w:val="none"/>
        </w:rPr>
        <w:t>（二）竞争性磋商文件规定的资格审查资料</w:t>
      </w:r>
      <w:bookmarkEnd w:id="19"/>
    </w:p>
    <w:p w14:paraId="30B713E5">
      <w:pPr>
        <w:wordWrap w:val="0"/>
        <w:spacing w:line="360" w:lineRule="auto"/>
        <w:jc w:val="center"/>
        <w:rPr>
          <w:rFonts w:hint="eastAsia" w:ascii="宋体" w:hAnsi="宋体" w:cs="宋体"/>
          <w:b/>
          <w:bCs/>
          <w:sz w:val="30"/>
          <w:szCs w:val="30"/>
          <w:lang w:val="en-US" w:eastAsia="zh-CN"/>
        </w:rPr>
      </w:pPr>
    </w:p>
    <w:p w14:paraId="7FB0D569">
      <w:pPr>
        <w:wordWrap w:val="0"/>
        <w:spacing w:line="360" w:lineRule="auto"/>
        <w:jc w:val="center"/>
        <w:rPr>
          <w:rFonts w:hint="eastAsia" w:ascii="宋体" w:hAnsi="宋体" w:cs="宋体"/>
          <w:b/>
          <w:bCs/>
          <w:sz w:val="30"/>
          <w:szCs w:val="30"/>
          <w:lang w:val="en-US" w:eastAsia="zh-CN"/>
        </w:rPr>
      </w:pPr>
    </w:p>
    <w:p w14:paraId="5A4093BF">
      <w:pPr>
        <w:wordWrap w:val="0"/>
        <w:spacing w:line="360" w:lineRule="auto"/>
        <w:jc w:val="both"/>
        <w:rPr>
          <w:rFonts w:hint="eastAsia" w:ascii="宋体" w:hAnsi="宋体" w:cs="宋体"/>
          <w:b/>
          <w:bCs/>
          <w:sz w:val="30"/>
          <w:szCs w:val="30"/>
          <w:lang w:val="en-US" w:eastAsia="zh-CN"/>
        </w:rPr>
      </w:pPr>
    </w:p>
    <w:p w14:paraId="52758A11">
      <w:pPr>
        <w:wordWrap w:val="0"/>
        <w:spacing w:line="360" w:lineRule="auto"/>
        <w:jc w:val="center"/>
        <w:rPr>
          <w:rFonts w:hint="eastAsia" w:ascii="宋体" w:hAnsi="宋体" w:cs="宋体"/>
          <w:b/>
          <w:bCs/>
          <w:sz w:val="32"/>
          <w:szCs w:val="32"/>
          <w:highlight w:val="yellow"/>
          <w:lang w:val="en-US" w:eastAsia="zh-CN"/>
        </w:rPr>
      </w:pPr>
    </w:p>
    <w:p w14:paraId="2688D1E9">
      <w:pPr>
        <w:wordWrap w:val="0"/>
        <w:spacing w:line="360" w:lineRule="auto"/>
        <w:jc w:val="center"/>
        <w:rPr>
          <w:rFonts w:hint="eastAsia" w:ascii="宋体" w:hAnsi="宋体" w:cs="宋体"/>
          <w:b/>
          <w:bCs/>
          <w:sz w:val="32"/>
          <w:szCs w:val="32"/>
          <w:highlight w:val="yellow"/>
          <w:lang w:val="en-US" w:eastAsia="zh-CN"/>
        </w:rPr>
      </w:pPr>
    </w:p>
    <w:p w14:paraId="09A1D8EC">
      <w:pPr>
        <w:wordWrap w:val="0"/>
        <w:spacing w:line="360" w:lineRule="auto"/>
        <w:jc w:val="center"/>
        <w:rPr>
          <w:rFonts w:hint="eastAsia" w:ascii="宋体" w:hAnsi="宋体" w:cs="宋体"/>
          <w:b/>
          <w:bCs/>
          <w:sz w:val="32"/>
          <w:szCs w:val="32"/>
          <w:highlight w:val="yellow"/>
          <w:lang w:val="en-US" w:eastAsia="zh-CN"/>
        </w:rPr>
      </w:pPr>
    </w:p>
    <w:p w14:paraId="2FE109C8">
      <w:pPr>
        <w:wordWrap w:val="0"/>
        <w:spacing w:line="360" w:lineRule="auto"/>
        <w:jc w:val="center"/>
        <w:rPr>
          <w:rFonts w:hint="eastAsia" w:ascii="宋体" w:hAnsi="宋体" w:cs="宋体"/>
          <w:b/>
          <w:bCs/>
          <w:sz w:val="32"/>
          <w:szCs w:val="32"/>
          <w:highlight w:val="yellow"/>
          <w:lang w:val="en-US" w:eastAsia="zh-CN"/>
        </w:rPr>
      </w:pPr>
    </w:p>
    <w:p w14:paraId="759FD989">
      <w:pPr>
        <w:wordWrap w:val="0"/>
        <w:spacing w:line="360" w:lineRule="auto"/>
        <w:jc w:val="center"/>
        <w:rPr>
          <w:rFonts w:hint="eastAsia" w:ascii="宋体" w:hAnsi="宋体" w:cs="宋体"/>
          <w:b/>
          <w:bCs/>
          <w:sz w:val="32"/>
          <w:szCs w:val="32"/>
          <w:highlight w:val="yellow"/>
          <w:lang w:val="en-US" w:eastAsia="zh-CN"/>
        </w:rPr>
      </w:pPr>
    </w:p>
    <w:p w14:paraId="5A943A69">
      <w:pPr>
        <w:wordWrap w:val="0"/>
        <w:spacing w:line="360" w:lineRule="auto"/>
        <w:jc w:val="center"/>
        <w:rPr>
          <w:rFonts w:hint="eastAsia" w:ascii="宋体" w:hAnsi="宋体" w:cs="宋体"/>
          <w:b/>
          <w:bCs/>
          <w:sz w:val="32"/>
          <w:szCs w:val="32"/>
          <w:highlight w:val="yellow"/>
          <w:lang w:val="en-US" w:eastAsia="zh-CN"/>
        </w:rPr>
      </w:pPr>
    </w:p>
    <w:p w14:paraId="158E26C8">
      <w:pPr>
        <w:wordWrap w:val="0"/>
        <w:spacing w:line="360" w:lineRule="auto"/>
        <w:jc w:val="center"/>
        <w:rPr>
          <w:rFonts w:hint="eastAsia" w:ascii="宋体" w:hAnsi="宋体" w:cs="宋体"/>
          <w:b/>
          <w:bCs/>
          <w:sz w:val="32"/>
          <w:szCs w:val="32"/>
          <w:highlight w:val="yellow"/>
          <w:lang w:val="en-US" w:eastAsia="zh-CN"/>
        </w:rPr>
      </w:pPr>
    </w:p>
    <w:p w14:paraId="0AF310DB">
      <w:pPr>
        <w:wordWrap w:val="0"/>
        <w:spacing w:line="360" w:lineRule="auto"/>
        <w:jc w:val="center"/>
        <w:rPr>
          <w:rFonts w:hint="eastAsia" w:ascii="宋体" w:hAnsi="宋体" w:cs="宋体"/>
          <w:b/>
          <w:bCs/>
          <w:sz w:val="32"/>
          <w:szCs w:val="32"/>
          <w:highlight w:val="yellow"/>
          <w:lang w:val="en-US" w:eastAsia="zh-CN"/>
        </w:rPr>
      </w:pPr>
    </w:p>
    <w:p w14:paraId="2AB15074">
      <w:pPr>
        <w:wordWrap w:val="0"/>
        <w:spacing w:line="360" w:lineRule="auto"/>
        <w:jc w:val="center"/>
        <w:rPr>
          <w:rFonts w:hint="eastAsia" w:ascii="宋体" w:hAnsi="宋体" w:cs="宋体"/>
          <w:b/>
          <w:bCs/>
          <w:sz w:val="32"/>
          <w:szCs w:val="32"/>
          <w:highlight w:val="yellow"/>
          <w:lang w:val="en-US" w:eastAsia="zh-CN"/>
        </w:rPr>
      </w:pPr>
    </w:p>
    <w:p w14:paraId="22C14B93">
      <w:pPr>
        <w:wordWrap w:val="0"/>
        <w:spacing w:line="360" w:lineRule="auto"/>
        <w:jc w:val="center"/>
        <w:rPr>
          <w:rFonts w:hint="eastAsia" w:ascii="宋体" w:hAnsi="宋体" w:cs="宋体"/>
          <w:b/>
          <w:bCs/>
          <w:sz w:val="32"/>
          <w:szCs w:val="32"/>
          <w:highlight w:val="yellow"/>
          <w:lang w:val="en-US" w:eastAsia="zh-CN"/>
        </w:rPr>
      </w:pPr>
    </w:p>
    <w:p w14:paraId="68A8578A">
      <w:pPr>
        <w:wordWrap w:val="0"/>
        <w:spacing w:line="360" w:lineRule="auto"/>
        <w:jc w:val="center"/>
        <w:rPr>
          <w:rFonts w:hint="eastAsia" w:ascii="宋体" w:hAnsi="宋体" w:cs="宋体"/>
          <w:b/>
          <w:bCs/>
          <w:sz w:val="32"/>
          <w:szCs w:val="32"/>
          <w:highlight w:val="yellow"/>
          <w:lang w:val="en-US" w:eastAsia="zh-CN"/>
        </w:rPr>
      </w:pPr>
    </w:p>
    <w:p w14:paraId="354548D3">
      <w:pPr>
        <w:wordWrap w:val="0"/>
        <w:spacing w:line="360" w:lineRule="auto"/>
        <w:jc w:val="center"/>
        <w:rPr>
          <w:rFonts w:hint="eastAsia" w:ascii="宋体" w:hAnsi="宋体" w:cs="宋体"/>
          <w:b/>
          <w:bCs/>
          <w:sz w:val="32"/>
          <w:szCs w:val="32"/>
          <w:highlight w:val="yellow"/>
          <w:lang w:val="en-US" w:eastAsia="zh-CN"/>
        </w:rPr>
      </w:pPr>
    </w:p>
    <w:p w14:paraId="5FB79BDE">
      <w:pPr>
        <w:wordWrap w:val="0"/>
        <w:spacing w:line="360" w:lineRule="auto"/>
        <w:jc w:val="center"/>
        <w:rPr>
          <w:rFonts w:hint="eastAsia" w:ascii="宋体" w:hAnsi="宋体" w:cs="宋体"/>
          <w:b/>
          <w:bCs/>
          <w:sz w:val="32"/>
          <w:szCs w:val="32"/>
          <w:highlight w:val="yellow"/>
          <w:lang w:val="en-US" w:eastAsia="zh-CN"/>
        </w:rPr>
      </w:pPr>
    </w:p>
    <w:p w14:paraId="2EBE7A20">
      <w:pPr>
        <w:wordWrap w:val="0"/>
        <w:spacing w:line="360" w:lineRule="auto"/>
        <w:jc w:val="center"/>
        <w:rPr>
          <w:rFonts w:hint="eastAsia" w:ascii="宋体" w:hAnsi="宋体" w:cs="宋体"/>
          <w:b/>
          <w:bCs/>
          <w:sz w:val="32"/>
          <w:szCs w:val="32"/>
          <w:highlight w:val="yellow"/>
          <w:lang w:val="en-US" w:eastAsia="zh-CN"/>
        </w:rPr>
      </w:pPr>
    </w:p>
    <w:p w14:paraId="303D369B">
      <w:pPr>
        <w:wordWrap w:val="0"/>
        <w:spacing w:line="360" w:lineRule="auto"/>
        <w:jc w:val="center"/>
        <w:rPr>
          <w:rFonts w:hint="eastAsia" w:ascii="宋体" w:hAnsi="宋体" w:cs="宋体"/>
          <w:b/>
          <w:bCs/>
          <w:sz w:val="32"/>
          <w:szCs w:val="32"/>
          <w:highlight w:val="yellow"/>
          <w:lang w:val="en-US" w:eastAsia="zh-CN"/>
        </w:rPr>
      </w:pPr>
    </w:p>
    <w:p w14:paraId="7605A4E6">
      <w:pPr>
        <w:wordWrap w:val="0"/>
        <w:spacing w:line="360" w:lineRule="auto"/>
        <w:jc w:val="center"/>
        <w:rPr>
          <w:rFonts w:hint="eastAsia" w:ascii="宋体" w:hAnsi="宋体" w:cs="宋体"/>
          <w:b/>
          <w:bCs/>
          <w:sz w:val="32"/>
          <w:szCs w:val="32"/>
          <w:highlight w:val="yellow"/>
          <w:lang w:val="en-US" w:eastAsia="zh-CN"/>
        </w:rPr>
      </w:pPr>
    </w:p>
    <w:p w14:paraId="4F318F33">
      <w:pPr>
        <w:wordWrap w:val="0"/>
        <w:spacing w:line="360" w:lineRule="auto"/>
        <w:jc w:val="center"/>
        <w:rPr>
          <w:rFonts w:hint="eastAsia" w:ascii="宋体" w:hAnsi="宋体" w:cs="宋体"/>
          <w:b/>
          <w:bCs/>
          <w:sz w:val="32"/>
          <w:szCs w:val="32"/>
          <w:highlight w:val="yellow"/>
          <w:lang w:val="en-US" w:eastAsia="zh-CN"/>
        </w:rPr>
      </w:pPr>
    </w:p>
    <w:p w14:paraId="1DA25417">
      <w:pPr>
        <w:wordWrap w:val="0"/>
        <w:spacing w:line="360" w:lineRule="auto"/>
        <w:jc w:val="center"/>
        <w:rPr>
          <w:rFonts w:hint="eastAsia" w:ascii="宋体" w:hAnsi="宋体" w:cs="宋体"/>
          <w:b/>
          <w:bCs/>
          <w:sz w:val="32"/>
          <w:szCs w:val="32"/>
          <w:highlight w:val="yellow"/>
          <w:lang w:val="en-US" w:eastAsia="zh-CN"/>
        </w:rPr>
      </w:pPr>
    </w:p>
    <w:p w14:paraId="1A384600">
      <w:pPr>
        <w:wordWrap w:val="0"/>
        <w:spacing w:line="360" w:lineRule="auto"/>
        <w:jc w:val="center"/>
        <w:rPr>
          <w:rFonts w:hint="eastAsia" w:ascii="宋体" w:hAnsi="宋体"/>
          <w:b/>
          <w:sz w:val="32"/>
          <w:szCs w:val="32"/>
        </w:rPr>
      </w:pPr>
      <w:r>
        <w:rPr>
          <w:rFonts w:hint="eastAsia" w:ascii="宋体" w:hAnsi="宋体" w:cs="宋体"/>
          <w:b/>
          <w:bCs/>
          <w:sz w:val="32"/>
          <w:szCs w:val="32"/>
          <w:highlight w:val="none"/>
          <w:lang w:val="en-US" w:eastAsia="zh-CN"/>
        </w:rPr>
        <w:t>六</w:t>
      </w:r>
      <w:r>
        <w:rPr>
          <w:rFonts w:hint="eastAsia" w:ascii="宋体" w:hAnsi="宋体" w:cs="宋体"/>
          <w:b/>
          <w:bCs/>
          <w:sz w:val="32"/>
          <w:szCs w:val="32"/>
          <w:highlight w:val="none"/>
        </w:rPr>
        <w:t>、</w:t>
      </w:r>
      <w:r>
        <w:rPr>
          <w:rFonts w:hint="eastAsia" w:ascii="宋体" w:hAnsi="宋体"/>
          <w:b/>
          <w:sz w:val="32"/>
          <w:szCs w:val="32"/>
          <w:highlight w:val="none"/>
        </w:rPr>
        <w:t>中小微企业声明函</w:t>
      </w:r>
    </w:p>
    <w:p w14:paraId="2C11EEBF">
      <w:pPr>
        <w:pStyle w:val="36"/>
        <w:jc w:val="center"/>
        <w:rPr>
          <w:rFonts w:hint="eastAsia" w:ascii="宋体" w:hAnsi="宋体" w:eastAsia="宋体" w:cs="宋体"/>
          <w:color w:val="000000"/>
          <w:spacing w:val="14"/>
          <w:sz w:val="28"/>
          <w:szCs w:val="28"/>
        </w:rPr>
      </w:pPr>
      <w:r>
        <w:rPr>
          <w:rFonts w:hint="eastAsia" w:ascii="宋体" w:hAnsi="宋体" w:eastAsia="宋体" w:cs="宋体"/>
          <w:b/>
          <w:bCs/>
          <w:color w:val="000000"/>
          <w:spacing w:val="14"/>
          <w:sz w:val="28"/>
          <w:szCs w:val="28"/>
          <w:highlight w:val="none"/>
          <w:lang w:eastAsia="zh-CN"/>
        </w:rPr>
        <w:t>（</w:t>
      </w:r>
      <w:r>
        <w:rPr>
          <w:rFonts w:hint="eastAsia" w:ascii="宋体" w:hAnsi="宋体" w:eastAsia="宋体" w:cs="宋体"/>
          <w:b/>
          <w:bCs/>
          <w:color w:val="000000"/>
          <w:spacing w:val="14"/>
          <w:sz w:val="28"/>
          <w:szCs w:val="28"/>
          <w:highlight w:val="none"/>
          <w:lang w:val="en-US" w:eastAsia="zh-CN"/>
        </w:rPr>
        <w:t>1</w:t>
      </w:r>
      <w:r>
        <w:rPr>
          <w:rFonts w:hint="eastAsia" w:ascii="宋体" w:hAnsi="宋体" w:eastAsia="宋体" w:cs="宋体"/>
          <w:b/>
          <w:bCs/>
          <w:color w:val="000000"/>
          <w:spacing w:val="14"/>
          <w:sz w:val="28"/>
          <w:szCs w:val="28"/>
          <w:highlight w:val="none"/>
          <w:lang w:eastAsia="zh-CN"/>
        </w:rPr>
        <w:t>）</w:t>
      </w:r>
      <w:r>
        <w:rPr>
          <w:rFonts w:hint="eastAsia" w:ascii="宋体" w:hAnsi="宋体" w:eastAsia="宋体" w:cs="宋体"/>
          <w:b/>
          <w:bCs/>
          <w:color w:val="000000"/>
          <w:spacing w:val="14"/>
          <w:sz w:val="28"/>
          <w:szCs w:val="28"/>
          <w:highlight w:val="none"/>
        </w:rPr>
        <w:t>中小企业声明函（</w:t>
      </w:r>
      <w:r>
        <w:rPr>
          <w:rFonts w:hint="eastAsia" w:ascii="宋体" w:hAnsi="宋体" w:eastAsia="宋体" w:cs="宋体"/>
          <w:b/>
          <w:bCs/>
          <w:color w:val="000000"/>
          <w:spacing w:val="14"/>
          <w:sz w:val="28"/>
          <w:szCs w:val="28"/>
          <w:highlight w:val="none"/>
          <w:lang w:eastAsia="zh-CN"/>
        </w:rPr>
        <w:t>工程、服务</w:t>
      </w:r>
      <w:r>
        <w:rPr>
          <w:rFonts w:hint="eastAsia" w:ascii="宋体" w:hAnsi="宋体" w:eastAsia="宋体" w:cs="宋体"/>
          <w:b/>
          <w:bCs/>
          <w:color w:val="000000"/>
          <w:spacing w:val="14"/>
          <w:sz w:val="28"/>
          <w:szCs w:val="28"/>
          <w:highlight w:val="none"/>
        </w:rPr>
        <w:t>）</w:t>
      </w:r>
    </w:p>
    <w:p w14:paraId="07663733">
      <w:pPr>
        <w:spacing w:line="360" w:lineRule="auto"/>
        <w:ind w:firstLine="638" w:firstLineChars="266"/>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本公司（联合体）郑重声明，根据《政府采购促进中小企业发展管理办法》（财库﹝2020﹞46 号）的规定，本公司（联合体）参加</w:t>
      </w:r>
      <w:r>
        <w:rPr>
          <w:rFonts w:hint="eastAsia" w:ascii="宋体" w:hAnsi="宋体" w:eastAsia="宋体" w:cs="宋体"/>
          <w:bCs/>
          <w:color w:val="auto"/>
          <w:kern w:val="0"/>
          <w:sz w:val="24"/>
          <w:szCs w:val="24"/>
          <w:highlight w:val="none"/>
          <w:u w:val="single"/>
        </w:rPr>
        <w:t>（单位名称）</w:t>
      </w:r>
      <w:r>
        <w:rPr>
          <w:rFonts w:hint="eastAsia" w:ascii="宋体" w:hAnsi="宋体" w:eastAsia="宋体" w:cs="宋体"/>
          <w:bCs/>
          <w:color w:val="auto"/>
          <w:kern w:val="0"/>
          <w:sz w:val="24"/>
          <w:szCs w:val="24"/>
          <w:highlight w:val="none"/>
        </w:rPr>
        <w:t>的</w:t>
      </w:r>
      <w:r>
        <w:rPr>
          <w:rFonts w:hint="eastAsia" w:ascii="宋体" w:hAnsi="宋体" w:eastAsia="宋体" w:cs="宋体"/>
          <w:bCs/>
          <w:color w:val="auto"/>
          <w:kern w:val="0"/>
          <w:sz w:val="24"/>
          <w:szCs w:val="24"/>
          <w:highlight w:val="none"/>
          <w:u w:val="single"/>
        </w:rPr>
        <w:t>（项目名称）</w:t>
      </w:r>
      <w:r>
        <w:rPr>
          <w:rFonts w:hint="eastAsia" w:ascii="宋体" w:hAnsi="宋体" w:eastAsia="宋体" w:cs="宋体"/>
          <w:bCs/>
          <w:color w:val="auto"/>
          <w:kern w:val="0"/>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34BFA4B">
      <w:pPr>
        <w:spacing w:line="360" w:lineRule="auto"/>
        <w:ind w:firstLine="638" w:firstLineChars="266"/>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 xml:space="preserve">1. </w:t>
      </w:r>
      <w:r>
        <w:rPr>
          <w:rFonts w:hint="eastAsia" w:ascii="宋体" w:hAnsi="宋体" w:eastAsia="宋体" w:cs="宋体"/>
          <w:bCs/>
          <w:color w:val="auto"/>
          <w:kern w:val="0"/>
          <w:sz w:val="24"/>
          <w:szCs w:val="24"/>
          <w:highlight w:val="none"/>
          <w:u w:val="single"/>
        </w:rPr>
        <w:t>（标的名称）</w:t>
      </w:r>
      <w:r>
        <w:rPr>
          <w:rFonts w:hint="eastAsia" w:ascii="宋体" w:hAnsi="宋体" w:eastAsia="宋体" w:cs="宋体"/>
          <w:bCs/>
          <w:color w:val="auto"/>
          <w:kern w:val="0"/>
          <w:sz w:val="24"/>
          <w:szCs w:val="24"/>
          <w:highlight w:val="none"/>
        </w:rPr>
        <w:t xml:space="preserve"> ，属于</w:t>
      </w:r>
      <w:r>
        <w:rPr>
          <w:rFonts w:hint="eastAsia" w:ascii="宋体" w:hAnsi="宋体" w:eastAsia="宋体" w:cs="宋体"/>
          <w:bCs/>
          <w:color w:val="auto"/>
          <w:kern w:val="0"/>
          <w:sz w:val="24"/>
          <w:szCs w:val="24"/>
          <w:highlight w:val="none"/>
          <w:u w:val="single"/>
        </w:rPr>
        <w:t>（采购文件中明确的所属行业）</w:t>
      </w:r>
      <w:r>
        <w:rPr>
          <w:rFonts w:hint="eastAsia" w:ascii="宋体" w:hAnsi="宋体" w:eastAsia="宋体" w:cs="宋体"/>
          <w:bCs/>
          <w:color w:val="auto"/>
          <w:kern w:val="0"/>
          <w:sz w:val="24"/>
          <w:szCs w:val="24"/>
          <w:highlight w:val="none"/>
        </w:rPr>
        <w:t>行业；承建（承接）企业为</w:t>
      </w:r>
      <w:r>
        <w:rPr>
          <w:rFonts w:hint="eastAsia" w:ascii="宋体" w:hAnsi="宋体" w:eastAsia="宋体" w:cs="宋体"/>
          <w:bCs/>
          <w:color w:val="auto"/>
          <w:kern w:val="0"/>
          <w:sz w:val="24"/>
          <w:szCs w:val="24"/>
          <w:highlight w:val="none"/>
          <w:u w:val="single"/>
        </w:rPr>
        <w:t>（企业名称）</w:t>
      </w:r>
      <w:r>
        <w:rPr>
          <w:rFonts w:hint="eastAsia" w:ascii="宋体" w:hAnsi="宋体" w:eastAsia="宋体" w:cs="宋体"/>
          <w:bCs/>
          <w:color w:val="auto"/>
          <w:kern w:val="0"/>
          <w:sz w:val="24"/>
          <w:szCs w:val="24"/>
          <w:highlight w:val="none"/>
        </w:rPr>
        <w:t>，从业人员人，营业收入为万元，资产总额为万元，属于（中型企业、小型企业、微型企业）；</w:t>
      </w:r>
    </w:p>
    <w:p w14:paraId="61C5C8D3">
      <w:pPr>
        <w:spacing w:line="360" w:lineRule="auto"/>
        <w:ind w:firstLine="638" w:firstLineChars="266"/>
        <w:outlineLvl w:val="9"/>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 xml:space="preserve">2. </w:t>
      </w:r>
      <w:r>
        <w:rPr>
          <w:rFonts w:hint="eastAsia" w:ascii="宋体" w:hAnsi="宋体" w:eastAsia="宋体" w:cs="宋体"/>
          <w:bCs/>
          <w:color w:val="auto"/>
          <w:kern w:val="0"/>
          <w:sz w:val="24"/>
          <w:szCs w:val="24"/>
          <w:highlight w:val="none"/>
          <w:u w:val="single"/>
        </w:rPr>
        <w:t>（标的名称）</w:t>
      </w:r>
      <w:r>
        <w:rPr>
          <w:rFonts w:hint="eastAsia" w:ascii="宋体" w:hAnsi="宋体" w:eastAsia="宋体" w:cs="宋体"/>
          <w:bCs/>
          <w:color w:val="auto"/>
          <w:kern w:val="0"/>
          <w:sz w:val="24"/>
          <w:szCs w:val="24"/>
          <w:highlight w:val="none"/>
        </w:rPr>
        <w:t xml:space="preserve"> ，属于</w:t>
      </w:r>
      <w:r>
        <w:rPr>
          <w:rFonts w:hint="eastAsia" w:ascii="宋体" w:hAnsi="宋体" w:eastAsia="宋体" w:cs="宋体"/>
          <w:bCs/>
          <w:color w:val="auto"/>
          <w:kern w:val="0"/>
          <w:sz w:val="24"/>
          <w:szCs w:val="24"/>
          <w:highlight w:val="none"/>
          <w:u w:val="single"/>
        </w:rPr>
        <w:t>（采购文件中明确的所属行业）</w:t>
      </w:r>
      <w:r>
        <w:rPr>
          <w:rFonts w:hint="eastAsia" w:ascii="宋体" w:hAnsi="宋体" w:eastAsia="宋体" w:cs="宋体"/>
          <w:bCs/>
          <w:color w:val="auto"/>
          <w:kern w:val="0"/>
          <w:sz w:val="24"/>
          <w:szCs w:val="24"/>
          <w:highlight w:val="none"/>
        </w:rPr>
        <w:t>行业；承建（承接）企业为</w:t>
      </w:r>
      <w:r>
        <w:rPr>
          <w:rFonts w:hint="eastAsia" w:ascii="宋体" w:hAnsi="宋体" w:eastAsia="宋体" w:cs="宋体"/>
          <w:bCs/>
          <w:color w:val="auto"/>
          <w:kern w:val="0"/>
          <w:sz w:val="24"/>
          <w:szCs w:val="24"/>
          <w:highlight w:val="none"/>
          <w:u w:val="single"/>
        </w:rPr>
        <w:t>（企业名称）</w:t>
      </w:r>
      <w:r>
        <w:rPr>
          <w:rFonts w:hint="eastAsia" w:ascii="宋体" w:hAnsi="宋体" w:eastAsia="宋体" w:cs="宋体"/>
          <w:bCs/>
          <w:color w:val="auto"/>
          <w:kern w:val="0"/>
          <w:sz w:val="24"/>
          <w:szCs w:val="24"/>
          <w:highlight w:val="none"/>
        </w:rPr>
        <w:t>，从业人员人，营业收入为万元，资产总额为万元，属于（中型企业、小型企业、微型企业）；</w:t>
      </w:r>
    </w:p>
    <w:p w14:paraId="623A7371">
      <w:pPr>
        <w:snapToGrid w:val="0"/>
        <w:spacing w:line="360" w:lineRule="auto"/>
        <w:ind w:right="482" w:firstLine="480" w:firstLineChars="200"/>
        <w:jc w:val="left"/>
        <w:rPr>
          <w:rFonts w:hint="eastAsia" w:ascii="宋体" w:hAnsi="宋体" w:eastAsia="宋体" w:cs="宋体"/>
          <w:sz w:val="24"/>
          <w:szCs w:val="24"/>
        </w:rPr>
      </w:pPr>
      <w:r>
        <w:rPr>
          <w:rFonts w:hint="eastAsia" w:ascii="宋体" w:hAnsi="宋体" w:eastAsia="宋体" w:cs="宋体"/>
          <w:sz w:val="24"/>
          <w:szCs w:val="24"/>
        </w:rPr>
        <w:t>……</w:t>
      </w:r>
    </w:p>
    <w:p w14:paraId="0D2CD683">
      <w:pPr>
        <w:snapToGrid w:val="0"/>
        <w:spacing w:line="360" w:lineRule="auto"/>
        <w:ind w:right="482" w:firstLine="480" w:firstLineChars="200"/>
        <w:jc w:val="left"/>
        <w:rPr>
          <w:rFonts w:hint="eastAsia" w:ascii="宋体" w:hAnsi="宋体"/>
          <w:sz w:val="24"/>
          <w:szCs w:val="20"/>
        </w:rPr>
      </w:pPr>
      <w:r>
        <w:rPr>
          <w:rFonts w:hint="eastAsia" w:ascii="宋体" w:hAnsi="宋体"/>
          <w:sz w:val="24"/>
          <w:szCs w:val="20"/>
        </w:rPr>
        <w:t>以上企业，不属于大企业的分支机构，不存在控股股东为大企业的情形，也不存在与大企业的负责人为同一人的情形。</w:t>
      </w:r>
    </w:p>
    <w:p w14:paraId="5BEC0D09">
      <w:pPr>
        <w:snapToGrid w:val="0"/>
        <w:spacing w:line="360" w:lineRule="auto"/>
        <w:ind w:right="482" w:firstLine="480" w:firstLineChars="200"/>
        <w:jc w:val="left"/>
        <w:rPr>
          <w:rFonts w:hint="eastAsia" w:ascii="宋体" w:hAnsi="宋体"/>
          <w:sz w:val="24"/>
          <w:szCs w:val="20"/>
        </w:rPr>
      </w:pPr>
      <w:r>
        <w:rPr>
          <w:rFonts w:hint="eastAsia" w:ascii="宋体" w:hAnsi="宋体"/>
          <w:sz w:val="24"/>
          <w:szCs w:val="20"/>
        </w:rPr>
        <w:t>本企业对上述声明内容的真实性负责。如有虚假，将依法承担相应责任。</w:t>
      </w:r>
    </w:p>
    <w:p w14:paraId="299CB99B">
      <w:pPr>
        <w:snapToGrid w:val="0"/>
        <w:spacing w:line="360" w:lineRule="auto"/>
        <w:ind w:right="482" w:firstLine="480" w:firstLineChars="200"/>
        <w:jc w:val="left"/>
        <w:rPr>
          <w:rFonts w:hint="eastAsia" w:ascii="宋体" w:hAnsi="宋体"/>
          <w:sz w:val="24"/>
          <w:szCs w:val="20"/>
        </w:rPr>
      </w:pPr>
    </w:p>
    <w:p w14:paraId="619A449A">
      <w:pPr>
        <w:snapToGrid w:val="0"/>
        <w:spacing w:line="360" w:lineRule="auto"/>
        <w:ind w:right="482" w:firstLine="480" w:firstLineChars="200"/>
        <w:jc w:val="left"/>
        <w:rPr>
          <w:rFonts w:hint="eastAsia" w:ascii="宋体" w:hAnsi="宋体"/>
          <w:sz w:val="24"/>
          <w:szCs w:val="20"/>
        </w:rPr>
      </w:pPr>
    </w:p>
    <w:p w14:paraId="4B1DC8C4">
      <w:pPr>
        <w:snapToGrid w:val="0"/>
        <w:spacing w:line="360" w:lineRule="auto"/>
        <w:ind w:right="482" w:firstLine="480" w:firstLineChars="200"/>
        <w:jc w:val="left"/>
        <w:rPr>
          <w:rFonts w:hint="eastAsia" w:ascii="宋体" w:hAnsi="宋体"/>
          <w:sz w:val="24"/>
          <w:szCs w:val="20"/>
        </w:rPr>
      </w:pPr>
    </w:p>
    <w:p w14:paraId="34859FC5">
      <w:pPr>
        <w:snapToGrid w:val="0"/>
        <w:spacing w:line="360" w:lineRule="auto"/>
        <w:ind w:right="482" w:firstLine="5527" w:firstLineChars="2303"/>
        <w:jc w:val="both"/>
        <w:rPr>
          <w:rFonts w:hint="eastAsia" w:ascii="宋体" w:hAnsi="宋体"/>
          <w:sz w:val="24"/>
          <w:szCs w:val="20"/>
        </w:rPr>
      </w:pPr>
      <w:r>
        <w:rPr>
          <w:rFonts w:hint="eastAsia" w:ascii="宋体" w:hAnsi="宋体"/>
          <w:sz w:val="24"/>
          <w:szCs w:val="20"/>
        </w:rPr>
        <w:t>企业名称（盖章）：</w:t>
      </w:r>
    </w:p>
    <w:p w14:paraId="0579424A">
      <w:pPr>
        <w:snapToGrid w:val="0"/>
        <w:spacing w:line="360" w:lineRule="auto"/>
        <w:ind w:right="482" w:firstLine="5527" w:firstLineChars="2303"/>
        <w:jc w:val="both"/>
        <w:rPr>
          <w:rFonts w:hint="eastAsia" w:ascii="宋体" w:hAnsi="宋体"/>
          <w:sz w:val="24"/>
          <w:szCs w:val="20"/>
        </w:rPr>
      </w:pPr>
      <w:r>
        <w:rPr>
          <w:rFonts w:hint="eastAsia" w:ascii="宋体" w:hAnsi="宋体"/>
          <w:sz w:val="24"/>
          <w:szCs w:val="20"/>
        </w:rPr>
        <w:t>日期：</w:t>
      </w:r>
    </w:p>
    <w:p w14:paraId="56DCF4AC">
      <w:pPr>
        <w:spacing w:line="480" w:lineRule="auto"/>
        <w:jc w:val="center"/>
        <w:rPr>
          <w:rFonts w:ascii="宋体" w:hAnsi="宋体"/>
          <w:sz w:val="24"/>
          <w:szCs w:val="20"/>
        </w:rPr>
      </w:pPr>
    </w:p>
    <w:p w14:paraId="77AB00E1">
      <w:pPr>
        <w:spacing w:line="360" w:lineRule="auto"/>
        <w:jc w:val="left"/>
        <w:rPr>
          <w:rFonts w:hint="eastAsia" w:ascii="宋体" w:hAnsi="宋体" w:cs="宋体"/>
          <w:b/>
          <w:bCs/>
          <w:sz w:val="24"/>
          <w:szCs w:val="20"/>
        </w:rPr>
      </w:pPr>
      <w:r>
        <w:rPr>
          <w:rFonts w:hint="eastAsia" w:ascii="宋体" w:hAnsi="宋体" w:cs="宋体"/>
          <w:b/>
          <w:bCs/>
          <w:sz w:val="24"/>
          <w:szCs w:val="20"/>
        </w:rPr>
        <w:t>注：1、从业人员、营业收入、资产总额填报上一年度数据，无上一年度数据的新成立企业可不填报。</w:t>
      </w:r>
    </w:p>
    <w:p w14:paraId="17E0A3E5">
      <w:pPr>
        <w:numPr>
          <w:ilvl w:val="0"/>
          <w:numId w:val="4"/>
        </w:numPr>
        <w:spacing w:line="360" w:lineRule="auto"/>
        <w:ind w:left="0" w:leftChars="0" w:firstLine="0" w:firstLineChars="0"/>
        <w:jc w:val="left"/>
        <w:rPr>
          <w:rFonts w:hint="eastAsia" w:ascii="宋体" w:hAnsi="宋体" w:cs="宋体"/>
          <w:b/>
          <w:bCs/>
          <w:sz w:val="24"/>
          <w:szCs w:val="20"/>
        </w:rPr>
      </w:pPr>
      <w:r>
        <w:rPr>
          <w:rFonts w:hint="eastAsia" w:ascii="宋体" w:hAnsi="宋体" w:cs="宋体"/>
          <w:b/>
          <w:bCs/>
          <w:sz w:val="24"/>
          <w:szCs w:val="20"/>
        </w:rPr>
        <w:t>中小企业划分标准见工业和信息化部国家统计局国家发展和改革委员财政部《关于印发中小企业划型标准规定的通知》（工信部联企业【2011】300号）。</w:t>
      </w:r>
    </w:p>
    <w:p w14:paraId="6E3D5BBD">
      <w:pPr>
        <w:numPr>
          <w:ilvl w:val="0"/>
          <w:numId w:val="4"/>
        </w:numPr>
        <w:spacing w:line="360" w:lineRule="auto"/>
        <w:ind w:left="0" w:leftChars="0" w:firstLine="0" w:firstLineChars="0"/>
        <w:jc w:val="left"/>
        <w:rPr>
          <w:rFonts w:hint="eastAsia" w:ascii="宋体" w:hAnsi="宋体" w:cs="宋体"/>
          <w:b/>
          <w:bCs/>
          <w:sz w:val="24"/>
          <w:szCs w:val="20"/>
        </w:rPr>
      </w:pPr>
      <w:r>
        <w:rPr>
          <w:rFonts w:hint="eastAsia" w:ascii="宋体" w:hAnsi="宋体" w:eastAsia="宋体" w:cs="宋体"/>
          <w:b/>
          <w:bCs/>
          <w:color w:val="auto"/>
          <w:sz w:val="24"/>
          <w:szCs w:val="24"/>
          <w:lang w:val="en-US" w:eastAsia="zh-CN"/>
        </w:rPr>
        <w:t>本次采购标的对应的中小企业划分标准所属行业：</w:t>
      </w:r>
      <w:r>
        <w:rPr>
          <w:rFonts w:hint="eastAsia" w:ascii="宋体" w:hAnsi="宋体" w:cs="宋体"/>
          <w:b/>
          <w:bCs/>
          <w:color w:val="auto"/>
          <w:sz w:val="24"/>
          <w:szCs w:val="24"/>
          <w:lang w:val="en-US" w:eastAsia="zh-CN"/>
        </w:rPr>
        <w:t>其他未列明行业</w:t>
      </w:r>
    </w:p>
    <w:p w14:paraId="4260E10A">
      <w:pPr>
        <w:numPr>
          <w:ilvl w:val="0"/>
          <w:numId w:val="0"/>
        </w:numPr>
        <w:spacing w:line="360" w:lineRule="auto"/>
        <w:jc w:val="center"/>
        <w:rPr>
          <w:rFonts w:hint="eastAsia"/>
          <w:b/>
          <w:sz w:val="28"/>
          <w:szCs w:val="28"/>
          <w:lang w:val="en-US" w:eastAsia="zh-CN"/>
        </w:rPr>
      </w:pPr>
      <w:r>
        <w:rPr>
          <w:rFonts w:hint="eastAsia" w:ascii="宋体" w:hAnsi="宋体" w:eastAsia="宋体" w:cs="宋体"/>
          <w:b/>
          <w:sz w:val="28"/>
          <w:szCs w:val="28"/>
          <w:lang w:val="en-US" w:eastAsia="zh-CN" w:bidi="ar-SA"/>
        </w:rPr>
        <w:t>（2）</w:t>
      </w:r>
      <w:r>
        <w:rPr>
          <w:rFonts w:hint="eastAsia"/>
          <w:b/>
          <w:sz w:val="28"/>
          <w:szCs w:val="28"/>
          <w:lang w:val="en-US" w:eastAsia="zh-CN"/>
        </w:rPr>
        <w:t>残疾人福利性单位声明函</w:t>
      </w:r>
    </w:p>
    <w:p w14:paraId="609B4CB2">
      <w:pPr>
        <w:spacing w:line="360" w:lineRule="auto"/>
        <w:jc w:val="center"/>
        <w:rPr>
          <w:rFonts w:hint="eastAsia" w:ascii="宋体" w:hAnsi="宋体" w:eastAsia="宋体" w:cs="宋体"/>
          <w:sz w:val="24"/>
          <w:szCs w:val="24"/>
        </w:rPr>
      </w:pPr>
      <w:r>
        <w:rPr>
          <w:rFonts w:hint="default" w:ascii="宋体" w:hAnsi="宋体" w:eastAsia="宋体" w:cs="宋体"/>
          <w:sz w:val="24"/>
          <w:szCs w:val="24"/>
          <w:lang w:val="en-US" w:eastAsia="zh-CN"/>
        </w:rPr>
        <w:t>（属于残疾人福利性单位的填写，不属于的无需填写此项内容）</w:t>
      </w:r>
    </w:p>
    <w:p w14:paraId="6824614B">
      <w:pPr>
        <w:spacing w:line="360" w:lineRule="auto"/>
        <w:ind w:firstLine="480" w:firstLineChars="200"/>
        <w:rPr>
          <w:rFonts w:hint="default" w:ascii="宋体" w:hAnsi="宋体" w:eastAsia="宋体" w:cs="宋体"/>
          <w:sz w:val="24"/>
          <w:szCs w:val="24"/>
          <w:lang w:val="en-US" w:eastAsia="zh-CN"/>
        </w:rPr>
      </w:pPr>
    </w:p>
    <w:p w14:paraId="03671659">
      <w:pPr>
        <w:spacing w:line="360" w:lineRule="auto"/>
        <w:ind w:firstLine="480" w:firstLineChars="200"/>
        <w:rPr>
          <w:rFonts w:hint="default" w:ascii="宋体" w:hAnsi="宋体" w:eastAsia="宋体" w:cs="宋体"/>
          <w:sz w:val="24"/>
          <w:szCs w:val="24"/>
        </w:rPr>
      </w:pPr>
      <w:r>
        <w:rPr>
          <w:rFonts w:hint="default" w:ascii="宋体" w:hAnsi="宋体" w:eastAsia="宋体" w:cs="宋体"/>
          <w:sz w:val="24"/>
          <w:szCs w:val="24"/>
          <w:lang w:val="en-US" w:eastAsia="zh-CN"/>
        </w:rPr>
        <w:t>本单位郑重声明，根据《财政部</w:t>
      </w:r>
      <w:r>
        <w:rPr>
          <w:rFonts w:hint="eastAsia" w:ascii="宋体" w:hAnsi="宋体" w:eastAsia="宋体" w:cs="宋体"/>
          <w:sz w:val="24"/>
          <w:szCs w:val="24"/>
          <w:lang w:val="en-US" w:eastAsia="zh-CN"/>
        </w:rPr>
        <w:t xml:space="preserve"> </w:t>
      </w:r>
      <w:r>
        <w:rPr>
          <w:rFonts w:hint="default" w:ascii="宋体" w:hAnsi="宋体" w:eastAsia="宋体" w:cs="宋体"/>
          <w:sz w:val="24"/>
          <w:szCs w:val="24"/>
          <w:lang w:val="en-US" w:eastAsia="zh-CN"/>
        </w:rPr>
        <w:t>民政部</w:t>
      </w:r>
      <w:r>
        <w:rPr>
          <w:rFonts w:hint="eastAsia" w:ascii="宋体" w:hAnsi="宋体" w:eastAsia="宋体" w:cs="宋体"/>
          <w:sz w:val="24"/>
          <w:szCs w:val="24"/>
          <w:lang w:val="en-US" w:eastAsia="zh-CN"/>
        </w:rPr>
        <w:t xml:space="preserve"> </w:t>
      </w:r>
      <w:r>
        <w:rPr>
          <w:rFonts w:hint="default" w:ascii="宋体" w:hAnsi="宋体" w:eastAsia="宋体" w:cs="宋体"/>
          <w:sz w:val="24"/>
          <w:szCs w:val="24"/>
          <w:lang w:val="en-US" w:eastAsia="zh-CN"/>
        </w:rPr>
        <w:t>中国残疾人联合会关于促进残疾人就业政府采购政策的通知》（财库〔2017〕141号）的规定，本单位为符合条件的残疾人福利性单位，且本单位参加</w:t>
      </w:r>
      <w:r>
        <w:rPr>
          <w:rFonts w:hint="eastAsia" w:ascii="宋体" w:hAnsi="宋体" w:eastAsia="宋体" w:cs="宋体"/>
          <w:sz w:val="24"/>
          <w:szCs w:val="24"/>
          <w:u w:val="single"/>
          <w:lang w:val="en-US" w:eastAsia="zh-CN"/>
        </w:rPr>
        <w:t xml:space="preserve">          </w:t>
      </w:r>
      <w:r>
        <w:rPr>
          <w:rFonts w:hint="default" w:ascii="宋体" w:hAnsi="宋体" w:eastAsia="宋体" w:cs="宋体"/>
          <w:sz w:val="24"/>
          <w:szCs w:val="24"/>
          <w:lang w:val="en-US" w:eastAsia="zh-CN"/>
        </w:rPr>
        <w:t>单位的</w:t>
      </w:r>
      <w:r>
        <w:rPr>
          <w:rFonts w:hint="eastAsia" w:ascii="宋体" w:hAnsi="宋体" w:eastAsia="宋体" w:cs="宋体"/>
          <w:sz w:val="24"/>
          <w:szCs w:val="24"/>
          <w:u w:val="single"/>
          <w:lang w:val="en-US" w:eastAsia="zh-CN"/>
        </w:rPr>
        <w:t xml:space="preserve">          </w:t>
      </w:r>
      <w:r>
        <w:rPr>
          <w:rFonts w:hint="default" w:ascii="宋体" w:hAnsi="宋体" w:eastAsia="宋体" w:cs="宋体"/>
          <w:sz w:val="24"/>
          <w:szCs w:val="24"/>
          <w:lang w:val="en-US" w:eastAsia="zh-CN"/>
        </w:rPr>
        <w:t>项目采购活动提供本单位制造的货物（由本单位承担工程/提供服务），或者提供其他残疾人福利性单位制造的货物（不包括使用非残疾人福利性单位注册商标的货物）。</w:t>
      </w:r>
    </w:p>
    <w:p w14:paraId="0DFBF7CE">
      <w:pPr>
        <w:spacing w:line="360" w:lineRule="auto"/>
        <w:ind w:firstLine="480" w:firstLineChars="200"/>
        <w:rPr>
          <w:rFonts w:hint="default" w:ascii="宋体" w:hAnsi="宋体" w:eastAsia="宋体" w:cs="宋体"/>
          <w:sz w:val="24"/>
          <w:szCs w:val="24"/>
        </w:rPr>
      </w:pPr>
      <w:r>
        <w:rPr>
          <w:rFonts w:hint="default" w:ascii="宋体" w:hAnsi="宋体" w:eastAsia="宋体" w:cs="宋体"/>
          <w:sz w:val="24"/>
          <w:szCs w:val="24"/>
          <w:lang w:val="en-US" w:eastAsia="zh-CN"/>
        </w:rPr>
        <w:t>本单位对上述声明的真实性负责。如有虚假，将依法承担相应责任。</w:t>
      </w:r>
    </w:p>
    <w:p w14:paraId="37C5F98B">
      <w:pPr>
        <w:spacing w:line="360" w:lineRule="auto"/>
        <w:ind w:firstLine="480" w:firstLineChars="200"/>
        <w:rPr>
          <w:rFonts w:hint="default" w:ascii="宋体" w:hAnsi="宋体" w:eastAsia="宋体" w:cs="宋体"/>
          <w:sz w:val="24"/>
          <w:szCs w:val="24"/>
          <w:lang w:val="en-US" w:eastAsia="zh-CN"/>
        </w:rPr>
      </w:pPr>
    </w:p>
    <w:p w14:paraId="7699E9A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企业名称（盖章）：</w:t>
      </w:r>
    </w:p>
    <w:p w14:paraId="0E17E89F">
      <w:pPr>
        <w:spacing w:line="360" w:lineRule="auto"/>
        <w:ind w:firstLine="480" w:firstLineChars="200"/>
        <w:rPr>
          <w:rFonts w:hint="default" w:ascii="宋体" w:hAnsi="宋体" w:eastAsia="宋体" w:cs="宋体"/>
          <w:sz w:val="24"/>
          <w:szCs w:val="24"/>
        </w:rPr>
      </w:pPr>
      <w:r>
        <w:rPr>
          <w:rFonts w:hint="eastAsia" w:ascii="宋体" w:hAnsi="宋体" w:eastAsia="宋体" w:cs="宋体"/>
          <w:sz w:val="24"/>
          <w:szCs w:val="24"/>
        </w:rPr>
        <w:t>日 期：</w:t>
      </w:r>
    </w:p>
    <w:p w14:paraId="2A37B050">
      <w:pPr>
        <w:rPr>
          <w:rFonts w:hint="default" w:ascii="宋体" w:hAnsi="宋体" w:eastAsia="宋体" w:cs="宋体"/>
          <w:b/>
          <w:sz w:val="28"/>
          <w:szCs w:val="28"/>
          <w:lang w:val="en-US" w:eastAsia="zh-CN"/>
        </w:rPr>
      </w:pPr>
      <w:r>
        <w:rPr>
          <w:rFonts w:hint="default" w:ascii="宋体" w:hAnsi="宋体" w:eastAsia="宋体" w:cs="宋体"/>
          <w:b/>
          <w:sz w:val="28"/>
          <w:szCs w:val="28"/>
          <w:lang w:val="en-US" w:eastAsia="zh-CN"/>
        </w:rPr>
        <w:br w:type="page"/>
      </w:r>
    </w:p>
    <w:p w14:paraId="32D9AD15">
      <w:pPr>
        <w:numPr>
          <w:ilvl w:val="0"/>
          <w:numId w:val="0"/>
        </w:numPr>
        <w:spacing w:line="360" w:lineRule="auto"/>
        <w:jc w:val="center"/>
        <w:rPr>
          <w:rFonts w:hint="eastAsia" w:ascii="宋体" w:hAnsi="宋体" w:cs="宋体"/>
          <w:b/>
          <w:sz w:val="28"/>
          <w:szCs w:val="28"/>
          <w:lang w:val="en-US" w:eastAsia="zh-CN"/>
        </w:rPr>
      </w:pPr>
      <w:r>
        <w:rPr>
          <w:rFonts w:hint="default" w:ascii="宋体" w:hAnsi="宋体" w:eastAsia="宋体" w:cs="宋体"/>
          <w:b/>
          <w:sz w:val="28"/>
          <w:szCs w:val="28"/>
          <w:lang w:val="en-US" w:eastAsia="zh-CN"/>
        </w:rPr>
        <w:t>（3）监狱企业</w:t>
      </w:r>
      <w:r>
        <w:rPr>
          <w:rFonts w:hint="eastAsia" w:ascii="宋体" w:hAnsi="宋体" w:cs="宋体"/>
          <w:b/>
          <w:sz w:val="28"/>
          <w:szCs w:val="28"/>
          <w:lang w:val="en-US" w:eastAsia="zh-CN"/>
        </w:rPr>
        <w:t>证明文件</w:t>
      </w:r>
    </w:p>
    <w:p w14:paraId="1984982E">
      <w:pPr>
        <w:spacing w:line="360" w:lineRule="auto"/>
        <w:jc w:val="center"/>
        <w:rPr>
          <w:rFonts w:hint="eastAsia" w:ascii="宋体" w:hAnsi="宋体" w:eastAsia="宋体" w:cs="宋体"/>
          <w:sz w:val="24"/>
          <w:szCs w:val="24"/>
        </w:rPr>
      </w:pPr>
      <w:r>
        <w:rPr>
          <w:rFonts w:hint="default" w:ascii="宋体" w:hAnsi="宋体" w:eastAsia="宋体" w:cs="宋体"/>
          <w:sz w:val="24"/>
          <w:szCs w:val="24"/>
          <w:lang w:val="en-US" w:eastAsia="zh-CN"/>
        </w:rPr>
        <w:t>（属于</w:t>
      </w:r>
      <w:r>
        <w:rPr>
          <w:rFonts w:hint="eastAsia" w:ascii="宋体" w:hAnsi="宋体" w:eastAsia="宋体" w:cs="宋体"/>
          <w:sz w:val="24"/>
          <w:szCs w:val="24"/>
          <w:lang w:val="en-US" w:eastAsia="zh-CN"/>
        </w:rPr>
        <w:t>监狱企业</w:t>
      </w:r>
      <w:r>
        <w:rPr>
          <w:rFonts w:hint="default" w:ascii="宋体" w:hAnsi="宋体" w:eastAsia="宋体" w:cs="宋体"/>
          <w:sz w:val="24"/>
          <w:szCs w:val="24"/>
          <w:lang w:val="en-US" w:eastAsia="zh-CN"/>
        </w:rPr>
        <w:t>的填写，不属于的无需填写此项内容）</w:t>
      </w:r>
    </w:p>
    <w:p w14:paraId="61A015A3">
      <w:pPr>
        <w:spacing w:line="360" w:lineRule="auto"/>
        <w:jc w:val="center"/>
        <w:rPr>
          <w:rFonts w:hint="default"/>
          <w:lang w:val="en-US" w:eastAsia="zh-CN"/>
        </w:rPr>
      </w:pPr>
      <w:r>
        <w:rPr>
          <w:rFonts w:hint="default"/>
          <w:sz w:val="24"/>
          <w:szCs w:val="32"/>
          <w:lang w:val="en-US" w:eastAsia="zh-CN"/>
        </w:rPr>
        <w:t>监狱企业证明文件（参考格式）</w:t>
      </w:r>
    </w:p>
    <w:p w14:paraId="3C713F0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省级以上监狱管理局、戒毒管理局（含新疆生产建设兵团）出具的属于监狱企业的证明文件。</w:t>
      </w:r>
    </w:p>
    <w:p w14:paraId="6E533360">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注：在响应文件中附扫描件。</w:t>
      </w:r>
    </w:p>
    <w:p w14:paraId="0FDC784D">
      <w:pPr>
        <w:spacing w:line="360" w:lineRule="auto"/>
        <w:ind w:firstLine="480" w:firstLineChars="200"/>
        <w:rPr>
          <w:rFonts w:hint="eastAsia" w:ascii="宋体" w:hAnsi="宋体" w:eastAsia="宋体" w:cs="宋体"/>
          <w:sz w:val="24"/>
          <w:szCs w:val="24"/>
        </w:rPr>
      </w:pPr>
    </w:p>
    <w:p w14:paraId="1BC12F8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企业名称（盖章）：</w:t>
      </w:r>
    </w:p>
    <w:p w14:paraId="74EEC302">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日 期：</w:t>
      </w:r>
    </w:p>
    <w:p w14:paraId="16517832">
      <w:pPr>
        <w:spacing w:line="360" w:lineRule="auto"/>
        <w:ind w:firstLine="480" w:firstLineChars="200"/>
        <w:rPr>
          <w:rFonts w:hint="default" w:ascii="宋体" w:hAnsi="宋体" w:eastAsia="宋体" w:cs="宋体"/>
          <w:sz w:val="24"/>
          <w:szCs w:val="24"/>
          <w:lang w:val="en-US" w:eastAsia="zh-CN"/>
        </w:rPr>
      </w:pPr>
    </w:p>
    <w:p w14:paraId="16F5ABA2">
      <w:pPr>
        <w:jc w:val="center"/>
        <w:rPr>
          <w:rFonts w:hint="eastAsia"/>
          <w:b/>
          <w:sz w:val="28"/>
          <w:szCs w:val="28"/>
          <w:lang w:val="en-US" w:eastAsia="zh-CN"/>
        </w:rPr>
      </w:pPr>
      <w:r>
        <w:rPr>
          <w:rFonts w:hint="default" w:ascii="宋体" w:hAnsi="宋体" w:eastAsia="宋体" w:cs="宋体"/>
          <w:b/>
          <w:bCs/>
          <w:sz w:val="24"/>
          <w:szCs w:val="24"/>
          <w:lang w:val="en-US" w:eastAsia="zh-CN"/>
        </w:rPr>
        <w:t>说明：符合要求的单位，按照上述格式进行填写；不属于监狱企业的无需填写此表。</w:t>
      </w:r>
    </w:p>
    <w:p w14:paraId="5DFBA900">
      <w:pPr>
        <w:jc w:val="center"/>
        <w:rPr>
          <w:rFonts w:hint="eastAsia"/>
          <w:b/>
          <w:sz w:val="28"/>
          <w:szCs w:val="28"/>
          <w:lang w:val="en-US" w:eastAsia="zh-CN"/>
        </w:rPr>
      </w:pPr>
    </w:p>
    <w:p w14:paraId="20395863">
      <w:pPr>
        <w:jc w:val="center"/>
        <w:rPr>
          <w:rFonts w:hint="eastAsia"/>
          <w:b/>
          <w:sz w:val="28"/>
          <w:szCs w:val="28"/>
          <w:lang w:val="en-US" w:eastAsia="zh-CN"/>
        </w:rPr>
      </w:pPr>
    </w:p>
    <w:p w14:paraId="588861A2">
      <w:pPr>
        <w:jc w:val="center"/>
        <w:rPr>
          <w:rFonts w:hint="eastAsia"/>
          <w:b/>
          <w:sz w:val="28"/>
          <w:szCs w:val="28"/>
          <w:lang w:val="en-US" w:eastAsia="zh-CN"/>
        </w:rPr>
      </w:pPr>
    </w:p>
    <w:p w14:paraId="3CAF4194">
      <w:pPr>
        <w:jc w:val="center"/>
        <w:rPr>
          <w:rFonts w:hint="eastAsia"/>
          <w:b/>
          <w:sz w:val="28"/>
          <w:szCs w:val="28"/>
          <w:lang w:val="en-US" w:eastAsia="zh-CN"/>
        </w:rPr>
      </w:pPr>
    </w:p>
    <w:p w14:paraId="2DA18FDB">
      <w:pPr>
        <w:jc w:val="center"/>
        <w:rPr>
          <w:rFonts w:hint="eastAsia"/>
          <w:b/>
          <w:sz w:val="28"/>
          <w:szCs w:val="28"/>
          <w:lang w:val="en-US" w:eastAsia="zh-CN"/>
        </w:rPr>
      </w:pPr>
    </w:p>
    <w:p w14:paraId="10A0D840">
      <w:pPr>
        <w:jc w:val="center"/>
        <w:rPr>
          <w:rFonts w:hint="eastAsia"/>
          <w:b/>
          <w:sz w:val="28"/>
          <w:szCs w:val="28"/>
          <w:lang w:val="en-US" w:eastAsia="zh-CN"/>
        </w:rPr>
      </w:pPr>
    </w:p>
    <w:p w14:paraId="13131851">
      <w:pPr>
        <w:jc w:val="center"/>
        <w:rPr>
          <w:rFonts w:hint="eastAsia"/>
          <w:b/>
          <w:sz w:val="28"/>
          <w:szCs w:val="28"/>
          <w:lang w:val="en-US" w:eastAsia="zh-CN"/>
        </w:rPr>
      </w:pPr>
    </w:p>
    <w:p w14:paraId="1355F715">
      <w:pPr>
        <w:jc w:val="center"/>
        <w:rPr>
          <w:rFonts w:hint="eastAsia"/>
          <w:b/>
          <w:sz w:val="28"/>
          <w:szCs w:val="28"/>
          <w:lang w:val="en-US" w:eastAsia="zh-CN"/>
        </w:rPr>
      </w:pPr>
    </w:p>
    <w:p w14:paraId="49F4D21A">
      <w:pPr>
        <w:jc w:val="center"/>
        <w:rPr>
          <w:rFonts w:hint="eastAsia"/>
          <w:b/>
          <w:sz w:val="28"/>
          <w:szCs w:val="28"/>
          <w:lang w:val="en-US" w:eastAsia="zh-CN"/>
        </w:rPr>
      </w:pPr>
    </w:p>
    <w:p w14:paraId="6A93EE68">
      <w:pPr>
        <w:jc w:val="center"/>
        <w:rPr>
          <w:rFonts w:hint="eastAsia"/>
          <w:b/>
          <w:sz w:val="28"/>
          <w:szCs w:val="28"/>
          <w:lang w:val="en-US" w:eastAsia="zh-CN"/>
        </w:rPr>
      </w:pPr>
    </w:p>
    <w:p w14:paraId="453B1CA6">
      <w:pPr>
        <w:jc w:val="center"/>
        <w:rPr>
          <w:rFonts w:hint="eastAsia"/>
          <w:b/>
          <w:sz w:val="28"/>
          <w:szCs w:val="28"/>
          <w:lang w:val="en-US" w:eastAsia="zh-CN"/>
        </w:rPr>
      </w:pPr>
    </w:p>
    <w:p w14:paraId="17F4FBBC">
      <w:pPr>
        <w:jc w:val="center"/>
        <w:rPr>
          <w:rFonts w:hint="eastAsia"/>
          <w:b/>
          <w:sz w:val="28"/>
          <w:szCs w:val="28"/>
          <w:lang w:val="en-US" w:eastAsia="zh-CN"/>
        </w:rPr>
      </w:pPr>
    </w:p>
    <w:p w14:paraId="09015201">
      <w:pPr>
        <w:jc w:val="center"/>
        <w:rPr>
          <w:rFonts w:hint="eastAsia"/>
          <w:b/>
          <w:sz w:val="28"/>
          <w:szCs w:val="28"/>
          <w:lang w:val="en-US" w:eastAsia="zh-CN"/>
        </w:rPr>
      </w:pPr>
    </w:p>
    <w:p w14:paraId="0ABECE97">
      <w:pPr>
        <w:jc w:val="center"/>
        <w:rPr>
          <w:rFonts w:hint="eastAsia"/>
          <w:b/>
          <w:sz w:val="28"/>
          <w:szCs w:val="28"/>
          <w:lang w:val="en-US" w:eastAsia="zh-CN"/>
        </w:rPr>
      </w:pPr>
    </w:p>
    <w:p w14:paraId="70AEF0BE">
      <w:pPr>
        <w:jc w:val="center"/>
        <w:rPr>
          <w:rFonts w:hint="eastAsia"/>
          <w:b/>
          <w:sz w:val="32"/>
          <w:szCs w:val="32"/>
        </w:rPr>
      </w:pPr>
      <w:r>
        <w:rPr>
          <w:rFonts w:hint="eastAsia"/>
          <w:b/>
          <w:sz w:val="32"/>
          <w:szCs w:val="32"/>
          <w:lang w:val="en-US" w:eastAsia="zh-CN"/>
        </w:rPr>
        <w:t>七</w:t>
      </w:r>
      <w:r>
        <w:rPr>
          <w:rFonts w:hint="eastAsia"/>
          <w:b/>
          <w:sz w:val="32"/>
          <w:szCs w:val="32"/>
        </w:rPr>
        <w:t>、</w:t>
      </w:r>
      <w:bookmarkEnd w:id="11"/>
      <w:bookmarkEnd w:id="12"/>
      <w:bookmarkEnd w:id="13"/>
      <w:bookmarkEnd w:id="14"/>
      <w:bookmarkEnd w:id="15"/>
      <w:bookmarkEnd w:id="16"/>
      <w:bookmarkEnd w:id="17"/>
      <w:bookmarkEnd w:id="18"/>
      <w:r>
        <w:rPr>
          <w:rFonts w:hint="eastAsia"/>
          <w:b/>
          <w:sz w:val="32"/>
          <w:szCs w:val="32"/>
        </w:rPr>
        <w:t>磋商承诺函</w:t>
      </w:r>
    </w:p>
    <w:p w14:paraId="51107E7A">
      <w:pPr>
        <w:spacing w:line="360" w:lineRule="auto"/>
        <w:rPr>
          <w:rFonts w:ascii="宋体" w:hAnsi="宋体"/>
          <w:sz w:val="24"/>
          <w:u w:val="single"/>
        </w:rPr>
      </w:pPr>
      <w:r>
        <w:rPr>
          <w:rFonts w:hint="eastAsia" w:ascii="宋体" w:hAnsi="宋体"/>
          <w:sz w:val="24"/>
        </w:rPr>
        <w:t>致：</w:t>
      </w:r>
      <w:r>
        <w:rPr>
          <w:rFonts w:hint="eastAsia" w:ascii="宋体" w:hAnsi="宋体"/>
          <w:sz w:val="24"/>
          <w:u w:val="single"/>
        </w:rPr>
        <w:t>(采购人名称)</w:t>
      </w:r>
    </w:p>
    <w:p w14:paraId="33662C28">
      <w:pPr>
        <w:spacing w:line="360" w:lineRule="auto"/>
        <w:ind w:firstLine="480" w:firstLineChars="200"/>
        <w:rPr>
          <w:rFonts w:ascii="宋体" w:hAnsi="宋体"/>
          <w:sz w:val="24"/>
        </w:rPr>
      </w:pPr>
      <w:r>
        <w:rPr>
          <w:rFonts w:hint="eastAsia" w:ascii="宋体" w:hAnsi="宋体"/>
          <w:sz w:val="24"/>
        </w:rPr>
        <w:t>我方根据本项目磋商文件</w:t>
      </w:r>
      <w:r>
        <w:rPr>
          <w:rFonts w:hint="eastAsia" w:ascii="宋体" w:hAnsi="宋体"/>
          <w:sz w:val="24"/>
          <w:lang w:eastAsia="zh-CN"/>
        </w:rPr>
        <w:t>，</w:t>
      </w:r>
      <w:r>
        <w:rPr>
          <w:rFonts w:hint="eastAsia" w:ascii="宋体" w:hAnsi="宋体"/>
          <w:sz w:val="24"/>
        </w:rPr>
        <w:t>自愿参加</w:t>
      </w:r>
      <w:r>
        <w:rPr>
          <w:rFonts w:hint="eastAsia" w:ascii="宋体" w:hAnsi="宋体"/>
          <w:sz w:val="24"/>
          <w:u w:val="single"/>
        </w:rPr>
        <w:t xml:space="preserve">                     </w:t>
      </w:r>
      <w:r>
        <w:rPr>
          <w:rFonts w:hint="eastAsia" w:ascii="宋体" w:hAnsi="宋体"/>
          <w:sz w:val="24"/>
        </w:rPr>
        <w:t>项目竞争性磋商，并作如下承诺：</w:t>
      </w:r>
    </w:p>
    <w:p w14:paraId="733636FC">
      <w:pPr>
        <w:spacing w:line="360" w:lineRule="auto"/>
        <w:ind w:firstLine="480" w:firstLineChars="200"/>
        <w:rPr>
          <w:rFonts w:ascii="宋体" w:hAnsi="宋体"/>
          <w:sz w:val="24"/>
        </w:rPr>
      </w:pPr>
      <w:r>
        <w:rPr>
          <w:rFonts w:hint="eastAsia" w:ascii="宋体" w:hAnsi="宋体"/>
          <w:sz w:val="24"/>
        </w:rPr>
        <w:t>1、我方本着公平竞争的原则,参加本次投标活动。我方严格遵守国家相关法律法规,不出借、挂靠资质投标,不围标、串标,不使用违法或其它不正当行为谋取成交。</w:t>
      </w:r>
    </w:p>
    <w:p w14:paraId="09564058">
      <w:pPr>
        <w:spacing w:line="360" w:lineRule="auto"/>
        <w:ind w:firstLine="480" w:firstLineChars="200"/>
        <w:rPr>
          <w:rFonts w:ascii="宋体" w:hAnsi="宋体"/>
          <w:sz w:val="24"/>
        </w:rPr>
      </w:pPr>
      <w:r>
        <w:rPr>
          <w:rFonts w:hint="eastAsia" w:ascii="宋体" w:hAnsi="宋体"/>
          <w:sz w:val="24"/>
        </w:rPr>
        <w:t>2、保证不向代理机构、行政监督部门等工作人员、评标专家及其亲属赠送礼品、扎金、有价证券、支付凭证；不为其旅游及其它消费行为报销费用。</w:t>
      </w:r>
    </w:p>
    <w:p w14:paraId="4A5E7D78">
      <w:pPr>
        <w:spacing w:line="360" w:lineRule="auto"/>
        <w:ind w:firstLine="480" w:firstLineChars="200"/>
        <w:rPr>
          <w:rFonts w:ascii="宋体" w:hAnsi="宋体"/>
          <w:sz w:val="24"/>
        </w:rPr>
      </w:pPr>
      <w:r>
        <w:rPr>
          <w:rFonts w:hint="eastAsia" w:ascii="宋体" w:hAnsi="宋体"/>
          <w:sz w:val="24"/>
        </w:rPr>
        <w:t>3、我方严格按照本项目</w:t>
      </w:r>
      <w:r>
        <w:rPr>
          <w:rFonts w:hint="eastAsia" w:ascii="宋体" w:hAnsi="宋体"/>
          <w:sz w:val="24"/>
          <w:lang w:val="en-US" w:eastAsia="zh-CN"/>
        </w:rPr>
        <w:t>竞争性磋商</w:t>
      </w:r>
      <w:r>
        <w:rPr>
          <w:rFonts w:hint="eastAsia" w:ascii="宋体" w:hAnsi="宋体"/>
          <w:sz w:val="24"/>
        </w:rPr>
        <w:t>文件规定递交全部</w:t>
      </w:r>
      <w:r>
        <w:rPr>
          <w:rFonts w:hint="eastAsia" w:ascii="宋体" w:hAnsi="宋体"/>
          <w:sz w:val="24"/>
          <w:lang w:val="en-US" w:eastAsia="zh-CN"/>
        </w:rPr>
        <w:t>响应</w:t>
      </w:r>
      <w:r>
        <w:rPr>
          <w:rFonts w:hint="eastAsia" w:ascii="宋体" w:hAnsi="宋体"/>
          <w:sz w:val="24"/>
        </w:rPr>
        <w:t>文件,保证在</w:t>
      </w:r>
      <w:r>
        <w:rPr>
          <w:rFonts w:hint="eastAsia" w:ascii="宋体" w:hAnsi="宋体"/>
          <w:sz w:val="24"/>
          <w:lang w:val="en-US" w:eastAsia="zh-CN"/>
        </w:rPr>
        <w:t>竞争性磋商</w:t>
      </w:r>
      <w:r>
        <w:rPr>
          <w:rFonts w:hint="eastAsia" w:ascii="宋体" w:hAnsi="宋体"/>
          <w:sz w:val="24"/>
        </w:rPr>
        <w:t>文件规定的投标有效期内不修改、撤回已递交的</w:t>
      </w:r>
      <w:r>
        <w:rPr>
          <w:rFonts w:hint="eastAsia" w:ascii="宋体" w:hAnsi="宋体"/>
          <w:sz w:val="24"/>
          <w:lang w:val="en-US" w:eastAsia="zh-CN"/>
        </w:rPr>
        <w:t>响应</w:t>
      </w:r>
      <w:r>
        <w:rPr>
          <w:rFonts w:hint="eastAsia" w:ascii="宋体" w:hAnsi="宋体"/>
          <w:sz w:val="24"/>
        </w:rPr>
        <w:t>文件。</w:t>
      </w:r>
    </w:p>
    <w:p w14:paraId="7AE1CBC1">
      <w:pPr>
        <w:spacing w:line="360" w:lineRule="auto"/>
        <w:ind w:firstLine="480" w:firstLineChars="200"/>
        <w:rPr>
          <w:rFonts w:ascii="宋体" w:hAnsi="宋体"/>
          <w:sz w:val="24"/>
        </w:rPr>
      </w:pPr>
      <w:r>
        <w:rPr>
          <w:rFonts w:hint="eastAsia" w:ascii="宋体" w:hAnsi="宋体"/>
          <w:sz w:val="24"/>
        </w:rPr>
        <w:t>4、如我方</w:t>
      </w:r>
      <w:r>
        <w:rPr>
          <w:rFonts w:hint="eastAsia" w:ascii="宋体" w:hAnsi="宋体"/>
          <w:sz w:val="24"/>
          <w:lang w:val="en-US" w:eastAsia="zh-CN"/>
        </w:rPr>
        <w:t>成交</w:t>
      </w:r>
      <w:r>
        <w:rPr>
          <w:rFonts w:hint="eastAsia" w:ascii="宋体" w:hAnsi="宋体"/>
          <w:sz w:val="24"/>
        </w:rPr>
        <w:t>,我方将按规定及时履行合同义务,及时与建设单位签订合同,并严格按照合同、</w:t>
      </w:r>
      <w:r>
        <w:rPr>
          <w:rFonts w:hint="eastAsia" w:ascii="宋体" w:hAnsi="宋体"/>
          <w:sz w:val="24"/>
          <w:lang w:val="en-US" w:eastAsia="zh-CN"/>
        </w:rPr>
        <w:t>响应</w:t>
      </w:r>
      <w:r>
        <w:rPr>
          <w:rFonts w:hint="eastAsia" w:ascii="宋体" w:hAnsi="宋体"/>
          <w:sz w:val="24"/>
        </w:rPr>
        <w:t>文件及投标过程中所做出的承诺资料等组织项目实施。</w:t>
      </w:r>
    </w:p>
    <w:p w14:paraId="26ED6E66">
      <w:pPr>
        <w:spacing w:line="360" w:lineRule="auto"/>
        <w:ind w:firstLine="480" w:firstLineChars="200"/>
        <w:rPr>
          <w:rFonts w:ascii="宋体" w:hAnsi="宋体"/>
          <w:sz w:val="24"/>
        </w:rPr>
      </w:pPr>
      <w:r>
        <w:rPr>
          <w:rFonts w:hint="eastAsia" w:ascii="宋体" w:hAnsi="宋体"/>
          <w:sz w:val="24"/>
        </w:rPr>
        <w:t>5、我方严格履行以上承诺,否则,我公司及参与投标的工作人员将自愿接受国家法律、法规、规章规定给予的经济、党纪、政纪乃至刑事的处罚；自觉接受行政监管部门给予公司和个人的不良行为记录。</w:t>
      </w:r>
    </w:p>
    <w:p w14:paraId="5163D69A">
      <w:pPr>
        <w:spacing w:line="360" w:lineRule="auto"/>
        <w:ind w:firstLine="480" w:firstLineChars="200"/>
        <w:rPr>
          <w:rFonts w:ascii="宋体" w:hAnsi="宋体"/>
          <w:sz w:val="24"/>
          <w:u w:val="single"/>
        </w:rPr>
      </w:pPr>
      <w:r>
        <w:rPr>
          <w:rFonts w:hint="eastAsia" w:ascii="宋体" w:hAnsi="宋体"/>
          <w:sz w:val="24"/>
        </w:rPr>
        <w:t>6、供应商认为应做的其他承诺：</w:t>
      </w:r>
      <w:r>
        <w:rPr>
          <w:rFonts w:hint="eastAsia" w:ascii="宋体" w:hAnsi="宋体"/>
          <w:sz w:val="24"/>
          <w:u w:val="single"/>
        </w:rPr>
        <w:t xml:space="preserve">                      </w:t>
      </w:r>
    </w:p>
    <w:p w14:paraId="594780DE">
      <w:pPr>
        <w:spacing w:line="360" w:lineRule="auto"/>
        <w:ind w:firstLine="480" w:firstLineChars="200"/>
        <w:rPr>
          <w:rFonts w:ascii="宋体" w:hAnsi="宋体"/>
          <w:sz w:val="24"/>
        </w:rPr>
      </w:pPr>
      <w:r>
        <w:rPr>
          <w:rFonts w:hint="eastAsia" w:ascii="宋体" w:hAnsi="宋体"/>
          <w:sz w:val="24"/>
        </w:rPr>
        <w:t>特此承诺。</w:t>
      </w:r>
    </w:p>
    <w:p w14:paraId="13D9E9A7">
      <w:pPr>
        <w:spacing w:line="360" w:lineRule="auto"/>
        <w:ind w:firstLine="3360" w:firstLineChars="1400"/>
        <w:rPr>
          <w:rFonts w:hint="eastAsia" w:ascii="宋体" w:hAnsi="宋体"/>
          <w:sz w:val="24"/>
        </w:rPr>
      </w:pPr>
    </w:p>
    <w:p w14:paraId="07977A64">
      <w:pPr>
        <w:spacing w:line="360" w:lineRule="auto"/>
        <w:ind w:firstLine="3360" w:firstLineChars="1400"/>
        <w:rPr>
          <w:rFonts w:hint="eastAsia" w:ascii="宋体" w:hAnsi="宋体"/>
          <w:sz w:val="24"/>
        </w:rPr>
      </w:pPr>
    </w:p>
    <w:p w14:paraId="307CE538">
      <w:pPr>
        <w:spacing w:line="360" w:lineRule="auto"/>
        <w:ind w:firstLine="3360" w:firstLineChars="1400"/>
        <w:rPr>
          <w:rFonts w:hint="eastAsia" w:ascii="宋体" w:hAnsi="宋体"/>
          <w:sz w:val="24"/>
        </w:rPr>
      </w:pPr>
    </w:p>
    <w:p w14:paraId="4C62AFDD">
      <w:pPr>
        <w:spacing w:line="360" w:lineRule="auto"/>
        <w:ind w:firstLine="3360" w:firstLineChars="1400"/>
        <w:rPr>
          <w:rFonts w:hint="eastAsia" w:ascii="宋体" w:hAnsi="宋体"/>
          <w:sz w:val="24"/>
        </w:rPr>
      </w:pPr>
    </w:p>
    <w:p w14:paraId="5C044693">
      <w:pPr>
        <w:spacing w:line="360" w:lineRule="auto"/>
        <w:ind w:firstLine="2640" w:firstLineChars="1100"/>
        <w:rPr>
          <w:rFonts w:hint="eastAsia" w:ascii="宋体" w:hAnsi="宋体" w:cs="宋体"/>
          <w:kern w:val="0"/>
          <w:sz w:val="24"/>
        </w:rPr>
      </w:pPr>
      <w:r>
        <w:rPr>
          <w:rFonts w:hint="eastAsia" w:ascii="宋体" w:hAnsi="宋体" w:cs="宋体"/>
          <w:kern w:val="0"/>
          <w:sz w:val="24"/>
        </w:rPr>
        <w:t>响应供应商(盖章)：</w:t>
      </w:r>
      <w:r>
        <w:rPr>
          <w:rFonts w:hint="eastAsia" w:ascii="宋体" w:hAnsi="宋体" w:cs="宋体"/>
          <w:kern w:val="0"/>
          <w:sz w:val="24"/>
          <w:u w:val="single"/>
        </w:rPr>
        <w:t xml:space="preserve">              </w:t>
      </w:r>
      <w:r>
        <w:rPr>
          <w:rFonts w:hint="eastAsia" w:ascii="宋体" w:hAnsi="宋体" w:cs="宋体"/>
          <w:kern w:val="0"/>
          <w:sz w:val="24"/>
        </w:rPr>
        <w:t xml:space="preserve"> </w:t>
      </w:r>
    </w:p>
    <w:p w14:paraId="2066D8A6">
      <w:pPr>
        <w:spacing w:line="360" w:lineRule="auto"/>
        <w:ind w:firstLine="2640" w:firstLineChars="1100"/>
        <w:rPr>
          <w:rFonts w:ascii="宋体" w:hAnsi="宋体" w:cs="宋体"/>
          <w:kern w:val="0"/>
          <w:sz w:val="24"/>
        </w:rPr>
      </w:pPr>
      <w:r>
        <w:rPr>
          <w:rFonts w:hint="eastAsia" w:ascii="宋体" w:hAnsi="宋体" w:cs="宋体"/>
          <w:kern w:val="0"/>
          <w:sz w:val="24"/>
        </w:rPr>
        <w:t>法定代表人或其委托代理人(签字或盖章)：</w:t>
      </w:r>
      <w:r>
        <w:rPr>
          <w:rFonts w:hint="eastAsia" w:ascii="宋体" w:hAnsi="宋体" w:cs="宋体"/>
          <w:kern w:val="0"/>
          <w:sz w:val="24"/>
          <w:u w:val="single"/>
        </w:rPr>
        <w:t xml:space="preserve">          </w:t>
      </w:r>
    </w:p>
    <w:p w14:paraId="5C085CD3">
      <w:pPr>
        <w:ind w:firstLine="2640" w:firstLineChars="1100"/>
        <w:rPr>
          <w:rFonts w:hint="eastAsia" w:ascii="宋体" w:hAnsi="宋体"/>
          <w:b/>
          <w:sz w:val="24"/>
        </w:rPr>
      </w:pPr>
      <w:r>
        <w:rPr>
          <w:rFonts w:hint="eastAsia" w:ascii="宋体" w:hAnsi="宋体" w:cs="宋体"/>
          <w:kern w:val="0"/>
          <w:sz w:val="24"/>
        </w:rPr>
        <w:t>日    期：      年   月   日</w:t>
      </w:r>
    </w:p>
    <w:p w14:paraId="16AE4B0E">
      <w:pPr>
        <w:jc w:val="center"/>
        <w:rPr>
          <w:rFonts w:hint="eastAsia"/>
          <w:b/>
          <w:sz w:val="36"/>
          <w:szCs w:val="36"/>
        </w:rPr>
      </w:pPr>
    </w:p>
    <w:p w14:paraId="6A5E7B4A">
      <w:pPr>
        <w:jc w:val="center"/>
        <w:rPr>
          <w:rFonts w:hint="eastAsia"/>
          <w:b/>
          <w:sz w:val="36"/>
          <w:szCs w:val="36"/>
        </w:rPr>
      </w:pPr>
    </w:p>
    <w:p w14:paraId="6F6D1C93">
      <w:pPr>
        <w:jc w:val="center"/>
        <w:rPr>
          <w:rFonts w:hint="eastAsia"/>
          <w:b/>
          <w:sz w:val="36"/>
          <w:szCs w:val="36"/>
        </w:rPr>
      </w:pPr>
    </w:p>
    <w:p w14:paraId="293EC503">
      <w:pPr>
        <w:rPr>
          <w:rFonts w:hint="eastAsia"/>
          <w:b/>
          <w:bCs/>
          <w:color w:val="000000"/>
          <w:sz w:val="32"/>
          <w:szCs w:val="32"/>
          <w:lang w:val="en-US" w:eastAsia="zh-CN"/>
        </w:rPr>
      </w:pPr>
    </w:p>
    <w:p w14:paraId="176FAB7D">
      <w:pPr>
        <w:numPr>
          <w:ilvl w:val="0"/>
          <w:numId w:val="5"/>
        </w:numPr>
        <w:adjustRightInd w:val="0"/>
        <w:snapToGrid w:val="0"/>
        <w:spacing w:line="360" w:lineRule="auto"/>
        <w:jc w:val="center"/>
        <w:outlineLvl w:val="9"/>
        <w:rPr>
          <w:rFonts w:hint="eastAsia" w:ascii="Times New Roman" w:hAnsi="Times New Roman" w:eastAsia="宋体" w:cs="Times New Roman"/>
          <w:b/>
          <w:sz w:val="32"/>
          <w:szCs w:val="32"/>
          <w:lang w:val="en-US" w:eastAsia="zh-CN"/>
        </w:rPr>
      </w:pPr>
      <w:r>
        <w:rPr>
          <w:rFonts w:hint="eastAsia" w:ascii="Times New Roman" w:hAnsi="Times New Roman" w:eastAsia="宋体" w:cs="Times New Roman"/>
          <w:b/>
          <w:sz w:val="32"/>
          <w:szCs w:val="32"/>
          <w:lang w:val="en-US" w:eastAsia="zh-CN"/>
        </w:rPr>
        <w:t>拟投入本项目的人员情况</w:t>
      </w:r>
    </w:p>
    <w:p w14:paraId="43C270FC">
      <w:pPr>
        <w:numPr>
          <w:ilvl w:val="0"/>
          <w:numId w:val="0"/>
        </w:numPr>
        <w:adjustRightInd w:val="0"/>
        <w:snapToGrid w:val="0"/>
        <w:spacing w:line="360" w:lineRule="auto"/>
        <w:jc w:val="center"/>
        <w:outlineLvl w:val="9"/>
        <w:rPr>
          <w:rFonts w:ascii="宋体" w:hAnsi="宋体" w:cs="宋体"/>
          <w:b w:val="0"/>
          <w:bCs/>
          <w:color w:val="auto"/>
          <w:kern w:val="0"/>
          <w:sz w:val="28"/>
          <w:szCs w:val="28"/>
          <w:highlight w:val="none"/>
          <w:lang w:val="zh-CN"/>
        </w:rPr>
      </w:pPr>
      <w:r>
        <w:rPr>
          <w:rFonts w:hint="eastAsia" w:ascii="宋体" w:hAnsi="宋体" w:cs="宋体"/>
          <w:b/>
          <w:bCs w:val="0"/>
          <w:color w:val="auto"/>
          <w:kern w:val="0"/>
          <w:sz w:val="28"/>
          <w:szCs w:val="28"/>
          <w:highlight w:val="none"/>
          <w:lang w:val="zh-CN"/>
        </w:rPr>
        <w:t>（一）拟投入本项目的主要人员汇总表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1661"/>
        <w:gridCol w:w="1189"/>
        <w:gridCol w:w="1381"/>
        <w:gridCol w:w="1600"/>
        <w:gridCol w:w="1331"/>
      </w:tblGrid>
      <w:tr w14:paraId="0C85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noWrap w:val="0"/>
            <w:vAlign w:val="center"/>
          </w:tcPr>
          <w:p w14:paraId="6D6F0D7E">
            <w:pPr>
              <w:adjustRightInd w:val="0"/>
              <w:snapToGrid w:val="0"/>
              <w:spacing w:line="360" w:lineRule="auto"/>
              <w:jc w:val="center"/>
              <w:outlineLvl w:val="9"/>
              <w:rPr>
                <w:rFonts w:ascii="宋体"/>
                <w:b w:val="0"/>
                <w:bCs/>
                <w:color w:val="auto"/>
                <w:sz w:val="24"/>
                <w:szCs w:val="24"/>
                <w:highlight w:val="none"/>
              </w:rPr>
            </w:pPr>
            <w:r>
              <w:rPr>
                <w:rFonts w:hint="eastAsia" w:ascii="宋体" w:hAnsi="宋体"/>
                <w:b w:val="0"/>
                <w:bCs/>
                <w:color w:val="auto"/>
                <w:sz w:val="24"/>
                <w:szCs w:val="24"/>
                <w:highlight w:val="none"/>
              </w:rPr>
              <w:t>姓名</w:t>
            </w:r>
          </w:p>
        </w:tc>
        <w:tc>
          <w:tcPr>
            <w:tcW w:w="1661" w:type="dxa"/>
            <w:tcBorders>
              <w:top w:val="single" w:color="auto" w:sz="4" w:space="0"/>
              <w:left w:val="single" w:color="auto" w:sz="4" w:space="0"/>
              <w:bottom w:val="single" w:color="auto" w:sz="4" w:space="0"/>
              <w:right w:val="single" w:color="auto" w:sz="4" w:space="0"/>
            </w:tcBorders>
            <w:noWrap w:val="0"/>
            <w:vAlign w:val="center"/>
          </w:tcPr>
          <w:p w14:paraId="45EB20EA">
            <w:pPr>
              <w:adjustRightInd w:val="0"/>
              <w:snapToGrid w:val="0"/>
              <w:spacing w:line="360" w:lineRule="auto"/>
              <w:jc w:val="center"/>
              <w:outlineLvl w:val="9"/>
              <w:rPr>
                <w:rFonts w:ascii="宋体"/>
                <w:b w:val="0"/>
                <w:bCs/>
                <w:color w:val="auto"/>
                <w:sz w:val="24"/>
                <w:szCs w:val="24"/>
                <w:highlight w:val="none"/>
              </w:rPr>
            </w:pPr>
            <w:r>
              <w:rPr>
                <w:rFonts w:hint="eastAsia" w:ascii="宋体" w:hAnsi="宋体"/>
                <w:b w:val="0"/>
                <w:bCs/>
                <w:color w:val="auto"/>
                <w:sz w:val="24"/>
                <w:szCs w:val="24"/>
                <w:highlight w:val="none"/>
              </w:rPr>
              <w:t>本项目中职务</w:t>
            </w:r>
          </w:p>
        </w:tc>
        <w:tc>
          <w:tcPr>
            <w:tcW w:w="1189" w:type="dxa"/>
            <w:tcBorders>
              <w:top w:val="single" w:color="auto" w:sz="4" w:space="0"/>
              <w:left w:val="single" w:color="auto" w:sz="4" w:space="0"/>
              <w:bottom w:val="single" w:color="auto" w:sz="4" w:space="0"/>
              <w:right w:val="single" w:color="auto" w:sz="4" w:space="0"/>
            </w:tcBorders>
            <w:noWrap w:val="0"/>
            <w:vAlign w:val="center"/>
          </w:tcPr>
          <w:p w14:paraId="5BEBA2C3">
            <w:pPr>
              <w:adjustRightInd w:val="0"/>
              <w:snapToGrid w:val="0"/>
              <w:spacing w:line="360" w:lineRule="auto"/>
              <w:jc w:val="center"/>
              <w:outlineLvl w:val="9"/>
              <w:rPr>
                <w:rFonts w:hint="eastAsia" w:ascii="宋体" w:eastAsia="宋体"/>
                <w:b w:val="0"/>
                <w:bCs/>
                <w:color w:val="auto"/>
                <w:sz w:val="24"/>
                <w:szCs w:val="24"/>
                <w:highlight w:val="none"/>
                <w:lang w:val="en-US" w:eastAsia="zh-CN"/>
              </w:rPr>
            </w:pPr>
            <w:r>
              <w:rPr>
                <w:rFonts w:hint="eastAsia" w:ascii="宋体"/>
                <w:b w:val="0"/>
                <w:bCs/>
                <w:color w:val="auto"/>
                <w:sz w:val="24"/>
                <w:szCs w:val="24"/>
                <w:highlight w:val="none"/>
                <w:lang w:val="en-US" w:eastAsia="zh-CN"/>
              </w:rPr>
              <w:t>职称</w:t>
            </w:r>
          </w:p>
        </w:tc>
        <w:tc>
          <w:tcPr>
            <w:tcW w:w="1381" w:type="dxa"/>
            <w:tcBorders>
              <w:top w:val="single" w:color="auto" w:sz="4" w:space="0"/>
              <w:left w:val="single" w:color="auto" w:sz="4" w:space="0"/>
              <w:bottom w:val="single" w:color="auto" w:sz="4" w:space="0"/>
              <w:right w:val="single" w:color="auto" w:sz="4" w:space="0"/>
            </w:tcBorders>
            <w:noWrap w:val="0"/>
            <w:vAlign w:val="center"/>
          </w:tcPr>
          <w:p w14:paraId="73CDD7EE">
            <w:pPr>
              <w:adjustRightInd w:val="0"/>
              <w:snapToGrid w:val="0"/>
              <w:spacing w:line="360" w:lineRule="auto"/>
              <w:jc w:val="center"/>
              <w:outlineLvl w:val="9"/>
              <w:rPr>
                <w:rFonts w:ascii="宋体"/>
                <w:b w:val="0"/>
                <w:bCs/>
                <w:color w:val="auto"/>
                <w:sz w:val="24"/>
                <w:szCs w:val="24"/>
                <w:highlight w:val="none"/>
              </w:rPr>
            </w:pPr>
            <w:r>
              <w:rPr>
                <w:rFonts w:hint="eastAsia" w:ascii="宋体" w:hAnsi="宋体"/>
                <w:b w:val="0"/>
                <w:bCs/>
                <w:color w:val="auto"/>
                <w:sz w:val="24"/>
                <w:szCs w:val="24"/>
                <w:highlight w:val="none"/>
              </w:rPr>
              <w:t>证件名称</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22A4D479">
            <w:pPr>
              <w:adjustRightInd w:val="0"/>
              <w:snapToGrid w:val="0"/>
              <w:spacing w:line="360" w:lineRule="auto"/>
              <w:jc w:val="center"/>
              <w:outlineLvl w:val="9"/>
              <w:rPr>
                <w:rFonts w:ascii="宋体"/>
                <w:b w:val="0"/>
                <w:bCs/>
                <w:color w:val="auto"/>
                <w:sz w:val="24"/>
                <w:szCs w:val="24"/>
                <w:highlight w:val="none"/>
              </w:rPr>
            </w:pPr>
            <w:r>
              <w:rPr>
                <w:rFonts w:hint="eastAsia" w:ascii="宋体"/>
                <w:b w:val="0"/>
                <w:bCs/>
                <w:color w:val="auto"/>
                <w:sz w:val="24"/>
                <w:szCs w:val="24"/>
                <w:highlight w:val="none"/>
              </w:rPr>
              <w:t>证件编号</w:t>
            </w:r>
          </w:p>
        </w:tc>
        <w:tc>
          <w:tcPr>
            <w:tcW w:w="1331" w:type="dxa"/>
            <w:tcBorders>
              <w:top w:val="single" w:color="auto" w:sz="4" w:space="0"/>
              <w:left w:val="single" w:color="auto" w:sz="4" w:space="0"/>
              <w:bottom w:val="single" w:color="auto" w:sz="4" w:space="0"/>
              <w:right w:val="single" w:color="auto" w:sz="4" w:space="0"/>
            </w:tcBorders>
            <w:noWrap w:val="0"/>
            <w:vAlign w:val="center"/>
          </w:tcPr>
          <w:p w14:paraId="79F85FF0">
            <w:pPr>
              <w:adjustRightInd w:val="0"/>
              <w:snapToGrid w:val="0"/>
              <w:spacing w:line="360" w:lineRule="auto"/>
              <w:jc w:val="center"/>
              <w:outlineLvl w:val="9"/>
              <w:rPr>
                <w:rFonts w:ascii="宋体"/>
                <w:b w:val="0"/>
                <w:bCs/>
                <w:color w:val="auto"/>
                <w:sz w:val="24"/>
                <w:szCs w:val="24"/>
                <w:highlight w:val="none"/>
              </w:rPr>
            </w:pPr>
            <w:r>
              <w:rPr>
                <w:rFonts w:hint="eastAsia" w:ascii="宋体" w:hAnsi="宋体"/>
                <w:b w:val="0"/>
                <w:bCs/>
                <w:color w:val="auto"/>
                <w:sz w:val="24"/>
                <w:szCs w:val="24"/>
                <w:highlight w:val="none"/>
              </w:rPr>
              <w:t>备注</w:t>
            </w:r>
          </w:p>
        </w:tc>
      </w:tr>
      <w:tr w14:paraId="3306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noWrap w:val="0"/>
            <w:vAlign w:val="center"/>
          </w:tcPr>
          <w:p w14:paraId="110510F4">
            <w:pPr>
              <w:adjustRightInd w:val="0"/>
              <w:snapToGrid w:val="0"/>
              <w:spacing w:line="360" w:lineRule="auto"/>
              <w:jc w:val="center"/>
              <w:outlineLvl w:val="9"/>
              <w:rPr>
                <w:rFonts w:ascii="宋体"/>
                <w:color w:val="auto"/>
                <w:sz w:val="24"/>
                <w:szCs w:val="24"/>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3C5FC308">
            <w:pPr>
              <w:adjustRightInd w:val="0"/>
              <w:snapToGrid w:val="0"/>
              <w:spacing w:line="360" w:lineRule="auto"/>
              <w:jc w:val="center"/>
              <w:outlineLvl w:val="9"/>
              <w:rPr>
                <w:rFonts w:ascii="宋体"/>
                <w:color w:val="auto"/>
                <w:sz w:val="24"/>
                <w:szCs w:val="24"/>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14:paraId="7D84BDBD">
            <w:pPr>
              <w:adjustRightInd w:val="0"/>
              <w:snapToGrid w:val="0"/>
              <w:spacing w:line="360" w:lineRule="auto"/>
              <w:jc w:val="center"/>
              <w:outlineLvl w:val="9"/>
              <w:rPr>
                <w:rFonts w:ascii="宋体"/>
                <w:color w:val="auto"/>
                <w:sz w:val="24"/>
                <w:szCs w:val="24"/>
                <w:highlight w:val="none"/>
              </w:rPr>
            </w:pPr>
          </w:p>
        </w:tc>
        <w:tc>
          <w:tcPr>
            <w:tcW w:w="1381" w:type="dxa"/>
            <w:tcBorders>
              <w:top w:val="single" w:color="auto" w:sz="4" w:space="0"/>
              <w:left w:val="single" w:color="auto" w:sz="4" w:space="0"/>
              <w:bottom w:val="single" w:color="auto" w:sz="4" w:space="0"/>
              <w:right w:val="single" w:color="auto" w:sz="4" w:space="0"/>
            </w:tcBorders>
            <w:noWrap w:val="0"/>
            <w:vAlign w:val="center"/>
          </w:tcPr>
          <w:p w14:paraId="6AE6C55C">
            <w:pPr>
              <w:adjustRightInd w:val="0"/>
              <w:snapToGrid w:val="0"/>
              <w:spacing w:line="360" w:lineRule="auto"/>
              <w:jc w:val="center"/>
              <w:outlineLvl w:val="9"/>
              <w:rPr>
                <w:rFonts w:ascii="宋体"/>
                <w:color w:val="auto"/>
                <w:sz w:val="24"/>
                <w:szCs w:val="24"/>
                <w:highlight w:val="none"/>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569926A8">
            <w:pPr>
              <w:adjustRightInd w:val="0"/>
              <w:snapToGrid w:val="0"/>
              <w:spacing w:line="360" w:lineRule="auto"/>
              <w:jc w:val="center"/>
              <w:outlineLvl w:val="9"/>
              <w:rPr>
                <w:rFonts w:ascii="宋体"/>
                <w:color w:val="auto"/>
                <w:sz w:val="24"/>
                <w:szCs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5C7E940">
            <w:pPr>
              <w:adjustRightInd w:val="0"/>
              <w:snapToGrid w:val="0"/>
              <w:spacing w:line="360" w:lineRule="auto"/>
              <w:jc w:val="center"/>
              <w:outlineLvl w:val="9"/>
              <w:rPr>
                <w:rFonts w:ascii="宋体"/>
                <w:color w:val="auto"/>
                <w:sz w:val="24"/>
                <w:szCs w:val="24"/>
                <w:highlight w:val="none"/>
              </w:rPr>
            </w:pPr>
          </w:p>
        </w:tc>
      </w:tr>
      <w:tr w14:paraId="293B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noWrap w:val="0"/>
            <w:vAlign w:val="center"/>
          </w:tcPr>
          <w:p w14:paraId="56CD8BD6">
            <w:pPr>
              <w:adjustRightInd w:val="0"/>
              <w:snapToGrid w:val="0"/>
              <w:spacing w:line="360" w:lineRule="auto"/>
              <w:jc w:val="center"/>
              <w:outlineLvl w:val="9"/>
              <w:rPr>
                <w:rFonts w:ascii="宋体"/>
                <w:color w:val="auto"/>
                <w:sz w:val="24"/>
                <w:szCs w:val="24"/>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012325C">
            <w:pPr>
              <w:adjustRightInd w:val="0"/>
              <w:snapToGrid w:val="0"/>
              <w:spacing w:line="360" w:lineRule="auto"/>
              <w:jc w:val="center"/>
              <w:outlineLvl w:val="9"/>
              <w:rPr>
                <w:rFonts w:ascii="宋体"/>
                <w:color w:val="auto"/>
                <w:sz w:val="24"/>
                <w:szCs w:val="24"/>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14:paraId="0F2C84CA">
            <w:pPr>
              <w:adjustRightInd w:val="0"/>
              <w:snapToGrid w:val="0"/>
              <w:spacing w:line="360" w:lineRule="auto"/>
              <w:jc w:val="center"/>
              <w:outlineLvl w:val="9"/>
              <w:rPr>
                <w:rFonts w:ascii="宋体"/>
                <w:color w:val="auto"/>
                <w:sz w:val="24"/>
                <w:szCs w:val="24"/>
                <w:highlight w:val="none"/>
              </w:rPr>
            </w:pPr>
          </w:p>
        </w:tc>
        <w:tc>
          <w:tcPr>
            <w:tcW w:w="1381" w:type="dxa"/>
            <w:tcBorders>
              <w:top w:val="single" w:color="auto" w:sz="4" w:space="0"/>
              <w:left w:val="single" w:color="auto" w:sz="4" w:space="0"/>
              <w:bottom w:val="single" w:color="auto" w:sz="4" w:space="0"/>
              <w:right w:val="single" w:color="auto" w:sz="4" w:space="0"/>
            </w:tcBorders>
            <w:noWrap w:val="0"/>
            <w:vAlign w:val="center"/>
          </w:tcPr>
          <w:p w14:paraId="19883BB1">
            <w:pPr>
              <w:adjustRightInd w:val="0"/>
              <w:snapToGrid w:val="0"/>
              <w:spacing w:line="360" w:lineRule="auto"/>
              <w:jc w:val="center"/>
              <w:outlineLvl w:val="9"/>
              <w:rPr>
                <w:rFonts w:ascii="宋体"/>
                <w:color w:val="auto"/>
                <w:sz w:val="24"/>
                <w:szCs w:val="24"/>
                <w:highlight w:val="none"/>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1C54F281">
            <w:pPr>
              <w:adjustRightInd w:val="0"/>
              <w:snapToGrid w:val="0"/>
              <w:spacing w:line="360" w:lineRule="auto"/>
              <w:jc w:val="center"/>
              <w:outlineLvl w:val="9"/>
              <w:rPr>
                <w:rFonts w:ascii="宋体"/>
                <w:color w:val="auto"/>
                <w:sz w:val="24"/>
                <w:szCs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B1DF597">
            <w:pPr>
              <w:adjustRightInd w:val="0"/>
              <w:snapToGrid w:val="0"/>
              <w:spacing w:line="360" w:lineRule="auto"/>
              <w:jc w:val="center"/>
              <w:outlineLvl w:val="9"/>
              <w:rPr>
                <w:rFonts w:ascii="宋体"/>
                <w:color w:val="auto"/>
                <w:sz w:val="24"/>
                <w:szCs w:val="24"/>
                <w:highlight w:val="none"/>
              </w:rPr>
            </w:pPr>
          </w:p>
        </w:tc>
      </w:tr>
      <w:tr w14:paraId="638D7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noWrap w:val="0"/>
            <w:vAlign w:val="center"/>
          </w:tcPr>
          <w:p w14:paraId="73A784ED">
            <w:pPr>
              <w:adjustRightInd w:val="0"/>
              <w:snapToGrid w:val="0"/>
              <w:spacing w:line="360" w:lineRule="auto"/>
              <w:jc w:val="center"/>
              <w:outlineLvl w:val="9"/>
              <w:rPr>
                <w:rFonts w:ascii="宋体"/>
                <w:color w:val="auto"/>
                <w:sz w:val="24"/>
                <w:szCs w:val="24"/>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438778B9">
            <w:pPr>
              <w:adjustRightInd w:val="0"/>
              <w:snapToGrid w:val="0"/>
              <w:spacing w:line="360" w:lineRule="auto"/>
              <w:jc w:val="center"/>
              <w:outlineLvl w:val="9"/>
              <w:rPr>
                <w:rFonts w:ascii="宋体"/>
                <w:color w:val="auto"/>
                <w:sz w:val="24"/>
                <w:szCs w:val="24"/>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14:paraId="65FC72FA">
            <w:pPr>
              <w:adjustRightInd w:val="0"/>
              <w:snapToGrid w:val="0"/>
              <w:spacing w:line="360" w:lineRule="auto"/>
              <w:jc w:val="center"/>
              <w:outlineLvl w:val="9"/>
              <w:rPr>
                <w:rFonts w:ascii="宋体"/>
                <w:color w:val="auto"/>
                <w:sz w:val="24"/>
                <w:szCs w:val="24"/>
                <w:highlight w:val="none"/>
              </w:rPr>
            </w:pPr>
          </w:p>
        </w:tc>
        <w:tc>
          <w:tcPr>
            <w:tcW w:w="1381" w:type="dxa"/>
            <w:tcBorders>
              <w:top w:val="single" w:color="auto" w:sz="4" w:space="0"/>
              <w:left w:val="single" w:color="auto" w:sz="4" w:space="0"/>
              <w:bottom w:val="single" w:color="auto" w:sz="4" w:space="0"/>
              <w:right w:val="single" w:color="auto" w:sz="4" w:space="0"/>
            </w:tcBorders>
            <w:noWrap w:val="0"/>
            <w:vAlign w:val="center"/>
          </w:tcPr>
          <w:p w14:paraId="567DE04B">
            <w:pPr>
              <w:adjustRightInd w:val="0"/>
              <w:snapToGrid w:val="0"/>
              <w:spacing w:line="360" w:lineRule="auto"/>
              <w:jc w:val="center"/>
              <w:outlineLvl w:val="9"/>
              <w:rPr>
                <w:rFonts w:ascii="宋体"/>
                <w:color w:val="auto"/>
                <w:sz w:val="24"/>
                <w:szCs w:val="24"/>
                <w:highlight w:val="none"/>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2217A9EE">
            <w:pPr>
              <w:adjustRightInd w:val="0"/>
              <w:snapToGrid w:val="0"/>
              <w:spacing w:line="360" w:lineRule="auto"/>
              <w:jc w:val="center"/>
              <w:outlineLvl w:val="9"/>
              <w:rPr>
                <w:rFonts w:ascii="宋体"/>
                <w:color w:val="auto"/>
                <w:sz w:val="24"/>
                <w:szCs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2C6CF981">
            <w:pPr>
              <w:adjustRightInd w:val="0"/>
              <w:snapToGrid w:val="0"/>
              <w:spacing w:line="360" w:lineRule="auto"/>
              <w:jc w:val="center"/>
              <w:outlineLvl w:val="9"/>
              <w:rPr>
                <w:rFonts w:ascii="宋体"/>
                <w:color w:val="auto"/>
                <w:sz w:val="24"/>
                <w:szCs w:val="24"/>
                <w:highlight w:val="none"/>
              </w:rPr>
            </w:pPr>
          </w:p>
        </w:tc>
      </w:tr>
      <w:tr w14:paraId="561F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noWrap w:val="0"/>
            <w:vAlign w:val="center"/>
          </w:tcPr>
          <w:p w14:paraId="66EED828">
            <w:pPr>
              <w:adjustRightInd w:val="0"/>
              <w:snapToGrid w:val="0"/>
              <w:spacing w:line="360" w:lineRule="auto"/>
              <w:jc w:val="center"/>
              <w:outlineLvl w:val="9"/>
              <w:rPr>
                <w:rFonts w:ascii="宋体"/>
                <w:color w:val="auto"/>
                <w:sz w:val="24"/>
                <w:szCs w:val="24"/>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1DE398CD">
            <w:pPr>
              <w:adjustRightInd w:val="0"/>
              <w:snapToGrid w:val="0"/>
              <w:spacing w:line="360" w:lineRule="auto"/>
              <w:jc w:val="center"/>
              <w:outlineLvl w:val="9"/>
              <w:rPr>
                <w:rFonts w:ascii="宋体"/>
                <w:color w:val="auto"/>
                <w:sz w:val="24"/>
                <w:szCs w:val="24"/>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14:paraId="45AA53EF">
            <w:pPr>
              <w:adjustRightInd w:val="0"/>
              <w:snapToGrid w:val="0"/>
              <w:spacing w:line="360" w:lineRule="auto"/>
              <w:jc w:val="center"/>
              <w:outlineLvl w:val="9"/>
              <w:rPr>
                <w:rFonts w:ascii="宋体"/>
                <w:color w:val="auto"/>
                <w:sz w:val="24"/>
                <w:szCs w:val="24"/>
                <w:highlight w:val="none"/>
              </w:rPr>
            </w:pPr>
          </w:p>
        </w:tc>
        <w:tc>
          <w:tcPr>
            <w:tcW w:w="1381" w:type="dxa"/>
            <w:tcBorders>
              <w:top w:val="single" w:color="auto" w:sz="4" w:space="0"/>
              <w:left w:val="single" w:color="auto" w:sz="4" w:space="0"/>
              <w:bottom w:val="single" w:color="auto" w:sz="4" w:space="0"/>
              <w:right w:val="single" w:color="auto" w:sz="4" w:space="0"/>
            </w:tcBorders>
            <w:noWrap w:val="0"/>
            <w:vAlign w:val="center"/>
          </w:tcPr>
          <w:p w14:paraId="370770FB">
            <w:pPr>
              <w:adjustRightInd w:val="0"/>
              <w:snapToGrid w:val="0"/>
              <w:spacing w:line="360" w:lineRule="auto"/>
              <w:jc w:val="center"/>
              <w:outlineLvl w:val="9"/>
              <w:rPr>
                <w:rFonts w:ascii="宋体"/>
                <w:color w:val="auto"/>
                <w:sz w:val="24"/>
                <w:szCs w:val="24"/>
                <w:highlight w:val="none"/>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6C4B142E">
            <w:pPr>
              <w:adjustRightInd w:val="0"/>
              <w:snapToGrid w:val="0"/>
              <w:spacing w:line="360" w:lineRule="auto"/>
              <w:jc w:val="center"/>
              <w:outlineLvl w:val="9"/>
              <w:rPr>
                <w:rFonts w:ascii="宋体"/>
                <w:color w:val="auto"/>
                <w:sz w:val="24"/>
                <w:szCs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55B6E36">
            <w:pPr>
              <w:adjustRightInd w:val="0"/>
              <w:snapToGrid w:val="0"/>
              <w:spacing w:line="360" w:lineRule="auto"/>
              <w:jc w:val="center"/>
              <w:outlineLvl w:val="9"/>
              <w:rPr>
                <w:rFonts w:ascii="宋体"/>
                <w:color w:val="auto"/>
                <w:sz w:val="24"/>
                <w:szCs w:val="24"/>
                <w:highlight w:val="none"/>
              </w:rPr>
            </w:pPr>
          </w:p>
        </w:tc>
      </w:tr>
      <w:tr w14:paraId="2EBFD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noWrap w:val="0"/>
            <w:vAlign w:val="center"/>
          </w:tcPr>
          <w:p w14:paraId="2A3DDFEF">
            <w:pPr>
              <w:adjustRightInd w:val="0"/>
              <w:snapToGrid w:val="0"/>
              <w:spacing w:line="360" w:lineRule="auto"/>
              <w:jc w:val="center"/>
              <w:outlineLvl w:val="9"/>
              <w:rPr>
                <w:rFonts w:ascii="宋体"/>
                <w:color w:val="auto"/>
                <w:sz w:val="24"/>
                <w:szCs w:val="24"/>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0593A8A0">
            <w:pPr>
              <w:adjustRightInd w:val="0"/>
              <w:snapToGrid w:val="0"/>
              <w:spacing w:line="360" w:lineRule="auto"/>
              <w:jc w:val="center"/>
              <w:outlineLvl w:val="9"/>
              <w:rPr>
                <w:rFonts w:ascii="宋体"/>
                <w:color w:val="auto"/>
                <w:sz w:val="24"/>
                <w:szCs w:val="24"/>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14:paraId="0BFCAEBD">
            <w:pPr>
              <w:adjustRightInd w:val="0"/>
              <w:snapToGrid w:val="0"/>
              <w:spacing w:line="360" w:lineRule="auto"/>
              <w:jc w:val="center"/>
              <w:outlineLvl w:val="9"/>
              <w:rPr>
                <w:rFonts w:ascii="宋体"/>
                <w:color w:val="auto"/>
                <w:sz w:val="24"/>
                <w:szCs w:val="24"/>
                <w:highlight w:val="none"/>
              </w:rPr>
            </w:pPr>
          </w:p>
        </w:tc>
        <w:tc>
          <w:tcPr>
            <w:tcW w:w="1381" w:type="dxa"/>
            <w:tcBorders>
              <w:top w:val="single" w:color="auto" w:sz="4" w:space="0"/>
              <w:left w:val="single" w:color="auto" w:sz="4" w:space="0"/>
              <w:bottom w:val="single" w:color="auto" w:sz="4" w:space="0"/>
              <w:right w:val="single" w:color="auto" w:sz="4" w:space="0"/>
            </w:tcBorders>
            <w:noWrap w:val="0"/>
            <w:vAlign w:val="center"/>
          </w:tcPr>
          <w:p w14:paraId="3BB1B8B6">
            <w:pPr>
              <w:adjustRightInd w:val="0"/>
              <w:snapToGrid w:val="0"/>
              <w:spacing w:line="360" w:lineRule="auto"/>
              <w:jc w:val="center"/>
              <w:outlineLvl w:val="9"/>
              <w:rPr>
                <w:rFonts w:ascii="宋体"/>
                <w:color w:val="auto"/>
                <w:sz w:val="24"/>
                <w:szCs w:val="24"/>
                <w:highlight w:val="none"/>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59177092">
            <w:pPr>
              <w:adjustRightInd w:val="0"/>
              <w:snapToGrid w:val="0"/>
              <w:spacing w:line="360" w:lineRule="auto"/>
              <w:jc w:val="center"/>
              <w:outlineLvl w:val="9"/>
              <w:rPr>
                <w:rFonts w:ascii="宋体"/>
                <w:color w:val="auto"/>
                <w:sz w:val="24"/>
                <w:szCs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72BA7A1">
            <w:pPr>
              <w:adjustRightInd w:val="0"/>
              <w:snapToGrid w:val="0"/>
              <w:spacing w:line="360" w:lineRule="auto"/>
              <w:jc w:val="center"/>
              <w:outlineLvl w:val="9"/>
              <w:rPr>
                <w:rFonts w:ascii="宋体"/>
                <w:color w:val="auto"/>
                <w:sz w:val="24"/>
                <w:szCs w:val="24"/>
                <w:highlight w:val="none"/>
              </w:rPr>
            </w:pPr>
          </w:p>
        </w:tc>
      </w:tr>
      <w:tr w14:paraId="6520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noWrap w:val="0"/>
            <w:vAlign w:val="center"/>
          </w:tcPr>
          <w:p w14:paraId="0A1976D6">
            <w:pPr>
              <w:adjustRightInd w:val="0"/>
              <w:snapToGrid w:val="0"/>
              <w:spacing w:line="360" w:lineRule="auto"/>
              <w:jc w:val="center"/>
              <w:outlineLvl w:val="9"/>
              <w:rPr>
                <w:rFonts w:ascii="宋体"/>
                <w:color w:val="auto"/>
                <w:sz w:val="24"/>
                <w:szCs w:val="24"/>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561F78D3">
            <w:pPr>
              <w:adjustRightInd w:val="0"/>
              <w:snapToGrid w:val="0"/>
              <w:spacing w:line="360" w:lineRule="auto"/>
              <w:jc w:val="center"/>
              <w:outlineLvl w:val="9"/>
              <w:rPr>
                <w:rFonts w:ascii="宋体"/>
                <w:color w:val="auto"/>
                <w:sz w:val="24"/>
                <w:szCs w:val="24"/>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14:paraId="56FAC9BC">
            <w:pPr>
              <w:adjustRightInd w:val="0"/>
              <w:snapToGrid w:val="0"/>
              <w:spacing w:line="360" w:lineRule="auto"/>
              <w:jc w:val="center"/>
              <w:outlineLvl w:val="9"/>
              <w:rPr>
                <w:rFonts w:ascii="宋体"/>
                <w:color w:val="auto"/>
                <w:sz w:val="24"/>
                <w:szCs w:val="24"/>
                <w:highlight w:val="none"/>
              </w:rPr>
            </w:pPr>
          </w:p>
        </w:tc>
        <w:tc>
          <w:tcPr>
            <w:tcW w:w="1381" w:type="dxa"/>
            <w:tcBorders>
              <w:top w:val="single" w:color="auto" w:sz="4" w:space="0"/>
              <w:left w:val="single" w:color="auto" w:sz="4" w:space="0"/>
              <w:bottom w:val="single" w:color="auto" w:sz="4" w:space="0"/>
              <w:right w:val="single" w:color="auto" w:sz="4" w:space="0"/>
            </w:tcBorders>
            <w:noWrap w:val="0"/>
            <w:vAlign w:val="center"/>
          </w:tcPr>
          <w:p w14:paraId="527FD827">
            <w:pPr>
              <w:adjustRightInd w:val="0"/>
              <w:snapToGrid w:val="0"/>
              <w:spacing w:line="360" w:lineRule="auto"/>
              <w:jc w:val="center"/>
              <w:outlineLvl w:val="9"/>
              <w:rPr>
                <w:rFonts w:ascii="宋体"/>
                <w:color w:val="auto"/>
                <w:sz w:val="24"/>
                <w:szCs w:val="24"/>
                <w:highlight w:val="none"/>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7838AD16">
            <w:pPr>
              <w:adjustRightInd w:val="0"/>
              <w:snapToGrid w:val="0"/>
              <w:spacing w:line="360" w:lineRule="auto"/>
              <w:jc w:val="center"/>
              <w:outlineLvl w:val="9"/>
              <w:rPr>
                <w:rFonts w:ascii="宋体"/>
                <w:color w:val="auto"/>
                <w:sz w:val="24"/>
                <w:szCs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460164BC">
            <w:pPr>
              <w:adjustRightInd w:val="0"/>
              <w:snapToGrid w:val="0"/>
              <w:spacing w:line="360" w:lineRule="auto"/>
              <w:jc w:val="center"/>
              <w:outlineLvl w:val="9"/>
              <w:rPr>
                <w:rFonts w:ascii="宋体"/>
                <w:color w:val="auto"/>
                <w:sz w:val="24"/>
                <w:szCs w:val="24"/>
                <w:highlight w:val="none"/>
              </w:rPr>
            </w:pPr>
          </w:p>
        </w:tc>
      </w:tr>
      <w:tr w14:paraId="5C6D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0" w:hRule="atLeast"/>
          <w:jc w:val="center"/>
        </w:trPr>
        <w:tc>
          <w:tcPr>
            <w:tcW w:w="1328" w:type="dxa"/>
            <w:tcBorders>
              <w:top w:val="single" w:color="auto" w:sz="4" w:space="0"/>
              <w:left w:val="single" w:color="auto" w:sz="4" w:space="0"/>
              <w:bottom w:val="single" w:color="auto" w:sz="4" w:space="0"/>
              <w:right w:val="single" w:color="auto" w:sz="4" w:space="0"/>
            </w:tcBorders>
            <w:noWrap w:val="0"/>
            <w:vAlign w:val="center"/>
          </w:tcPr>
          <w:p w14:paraId="7A4D5227">
            <w:pPr>
              <w:adjustRightInd w:val="0"/>
              <w:snapToGrid w:val="0"/>
              <w:spacing w:line="360" w:lineRule="auto"/>
              <w:jc w:val="center"/>
              <w:outlineLvl w:val="9"/>
              <w:rPr>
                <w:rFonts w:ascii="宋体"/>
                <w:color w:val="auto"/>
                <w:sz w:val="24"/>
                <w:szCs w:val="24"/>
                <w:highlight w:val="none"/>
              </w:rPr>
            </w:pPr>
          </w:p>
        </w:tc>
        <w:tc>
          <w:tcPr>
            <w:tcW w:w="1661" w:type="dxa"/>
            <w:tcBorders>
              <w:top w:val="single" w:color="auto" w:sz="4" w:space="0"/>
              <w:left w:val="single" w:color="auto" w:sz="4" w:space="0"/>
              <w:bottom w:val="single" w:color="auto" w:sz="4" w:space="0"/>
              <w:right w:val="single" w:color="auto" w:sz="4" w:space="0"/>
            </w:tcBorders>
            <w:noWrap w:val="0"/>
            <w:vAlign w:val="center"/>
          </w:tcPr>
          <w:p w14:paraId="4ECFFBC9">
            <w:pPr>
              <w:adjustRightInd w:val="0"/>
              <w:snapToGrid w:val="0"/>
              <w:spacing w:line="360" w:lineRule="auto"/>
              <w:jc w:val="center"/>
              <w:outlineLvl w:val="9"/>
              <w:rPr>
                <w:rFonts w:ascii="宋体"/>
                <w:color w:val="auto"/>
                <w:sz w:val="24"/>
                <w:szCs w:val="24"/>
                <w:highlight w:val="none"/>
              </w:rPr>
            </w:pPr>
          </w:p>
        </w:tc>
        <w:tc>
          <w:tcPr>
            <w:tcW w:w="1189" w:type="dxa"/>
            <w:tcBorders>
              <w:top w:val="single" w:color="auto" w:sz="4" w:space="0"/>
              <w:left w:val="single" w:color="auto" w:sz="4" w:space="0"/>
              <w:bottom w:val="single" w:color="auto" w:sz="4" w:space="0"/>
              <w:right w:val="single" w:color="auto" w:sz="4" w:space="0"/>
            </w:tcBorders>
            <w:noWrap w:val="0"/>
            <w:vAlign w:val="center"/>
          </w:tcPr>
          <w:p w14:paraId="43197C3E">
            <w:pPr>
              <w:adjustRightInd w:val="0"/>
              <w:snapToGrid w:val="0"/>
              <w:spacing w:line="360" w:lineRule="auto"/>
              <w:jc w:val="center"/>
              <w:outlineLvl w:val="9"/>
              <w:rPr>
                <w:rFonts w:ascii="宋体"/>
                <w:color w:val="auto"/>
                <w:sz w:val="24"/>
                <w:szCs w:val="24"/>
                <w:highlight w:val="none"/>
              </w:rPr>
            </w:pPr>
          </w:p>
        </w:tc>
        <w:tc>
          <w:tcPr>
            <w:tcW w:w="1381" w:type="dxa"/>
            <w:tcBorders>
              <w:top w:val="single" w:color="auto" w:sz="4" w:space="0"/>
              <w:left w:val="single" w:color="auto" w:sz="4" w:space="0"/>
              <w:bottom w:val="single" w:color="auto" w:sz="4" w:space="0"/>
              <w:right w:val="single" w:color="auto" w:sz="4" w:space="0"/>
            </w:tcBorders>
            <w:noWrap w:val="0"/>
            <w:vAlign w:val="center"/>
          </w:tcPr>
          <w:p w14:paraId="4C415C70">
            <w:pPr>
              <w:adjustRightInd w:val="0"/>
              <w:snapToGrid w:val="0"/>
              <w:spacing w:line="360" w:lineRule="auto"/>
              <w:jc w:val="center"/>
              <w:outlineLvl w:val="9"/>
              <w:rPr>
                <w:rFonts w:ascii="宋体"/>
                <w:color w:val="auto"/>
                <w:sz w:val="24"/>
                <w:szCs w:val="24"/>
                <w:highlight w:val="none"/>
              </w:rPr>
            </w:pPr>
          </w:p>
        </w:tc>
        <w:tc>
          <w:tcPr>
            <w:tcW w:w="1600" w:type="dxa"/>
            <w:tcBorders>
              <w:top w:val="single" w:color="auto" w:sz="4" w:space="0"/>
              <w:left w:val="single" w:color="auto" w:sz="4" w:space="0"/>
              <w:bottom w:val="single" w:color="auto" w:sz="4" w:space="0"/>
              <w:right w:val="single" w:color="auto" w:sz="4" w:space="0"/>
            </w:tcBorders>
            <w:noWrap w:val="0"/>
            <w:vAlign w:val="center"/>
          </w:tcPr>
          <w:p w14:paraId="109C8F63">
            <w:pPr>
              <w:adjustRightInd w:val="0"/>
              <w:snapToGrid w:val="0"/>
              <w:spacing w:line="360" w:lineRule="auto"/>
              <w:jc w:val="center"/>
              <w:outlineLvl w:val="9"/>
              <w:rPr>
                <w:rFonts w:ascii="宋体"/>
                <w:color w:val="auto"/>
                <w:sz w:val="24"/>
                <w:szCs w:val="24"/>
                <w:highlight w:val="none"/>
              </w:rPr>
            </w:pPr>
          </w:p>
        </w:tc>
        <w:tc>
          <w:tcPr>
            <w:tcW w:w="1331" w:type="dxa"/>
            <w:tcBorders>
              <w:top w:val="single" w:color="auto" w:sz="4" w:space="0"/>
              <w:left w:val="single" w:color="auto" w:sz="4" w:space="0"/>
              <w:bottom w:val="single" w:color="auto" w:sz="4" w:space="0"/>
              <w:right w:val="single" w:color="auto" w:sz="4" w:space="0"/>
            </w:tcBorders>
            <w:noWrap w:val="0"/>
            <w:vAlign w:val="center"/>
          </w:tcPr>
          <w:p w14:paraId="36A73033">
            <w:pPr>
              <w:adjustRightInd w:val="0"/>
              <w:snapToGrid w:val="0"/>
              <w:spacing w:line="360" w:lineRule="auto"/>
              <w:jc w:val="center"/>
              <w:outlineLvl w:val="9"/>
              <w:rPr>
                <w:rFonts w:ascii="宋体"/>
                <w:color w:val="auto"/>
                <w:sz w:val="24"/>
                <w:szCs w:val="24"/>
                <w:highlight w:val="none"/>
              </w:rPr>
            </w:pPr>
          </w:p>
        </w:tc>
      </w:tr>
    </w:tbl>
    <w:p w14:paraId="79AD310D">
      <w:pPr>
        <w:widowControl/>
        <w:adjustRightInd w:val="0"/>
        <w:snapToGrid w:val="0"/>
        <w:spacing w:line="360" w:lineRule="auto"/>
        <w:ind w:firstLine="723" w:firstLineChars="300"/>
        <w:jc w:val="left"/>
        <w:outlineLvl w:val="9"/>
        <w:rPr>
          <w:rFonts w:ascii="宋体" w:hAnsi="宋体" w:cs="宋体"/>
          <w:b/>
          <w:bCs/>
          <w:color w:val="auto"/>
          <w:sz w:val="24"/>
          <w:szCs w:val="24"/>
          <w:highlight w:val="none"/>
        </w:rPr>
      </w:pPr>
      <w:r>
        <w:rPr>
          <w:rFonts w:hint="eastAsia" w:ascii="宋体" w:hAnsi="宋体" w:cs="宋体"/>
          <w:b/>
          <w:bCs/>
          <w:color w:val="auto"/>
          <w:sz w:val="24"/>
          <w:szCs w:val="24"/>
          <w:highlight w:val="none"/>
        </w:rPr>
        <w:t>注：后附身份证、</w:t>
      </w:r>
      <w:r>
        <w:rPr>
          <w:rFonts w:hint="eastAsia" w:ascii="宋体" w:hAnsi="宋体" w:cs="宋体"/>
          <w:b/>
          <w:bCs/>
          <w:color w:val="auto"/>
          <w:sz w:val="24"/>
          <w:szCs w:val="24"/>
          <w:highlight w:val="none"/>
          <w:lang w:eastAsia="zh-CN"/>
        </w:rPr>
        <w:t>职称证</w:t>
      </w:r>
      <w:r>
        <w:rPr>
          <w:rFonts w:hint="eastAsia" w:ascii="宋体" w:hAnsi="宋体" w:cs="宋体"/>
          <w:b/>
          <w:bCs/>
          <w:color w:val="auto"/>
          <w:sz w:val="24"/>
          <w:szCs w:val="24"/>
          <w:highlight w:val="none"/>
        </w:rPr>
        <w:t>等相关证件资料。</w:t>
      </w:r>
    </w:p>
    <w:p w14:paraId="3A75B3B0">
      <w:pPr>
        <w:rPr>
          <w:rFonts w:hint="eastAsia"/>
          <w:b/>
          <w:bCs/>
          <w:color w:val="000000"/>
          <w:sz w:val="32"/>
          <w:szCs w:val="32"/>
          <w:lang w:val="en-US" w:eastAsia="zh-CN"/>
        </w:rPr>
      </w:pPr>
      <w:bookmarkStart w:id="20" w:name="_GoBack"/>
      <w:bookmarkEnd w:id="20"/>
      <w:r>
        <w:rPr>
          <w:rFonts w:hint="eastAsia"/>
          <w:b/>
          <w:bCs/>
          <w:color w:val="000000"/>
          <w:sz w:val="32"/>
          <w:szCs w:val="32"/>
          <w:lang w:val="en-US" w:eastAsia="zh-CN"/>
        </w:rPr>
        <w:br w:type="page"/>
      </w:r>
    </w:p>
    <w:p w14:paraId="5A39A7B7">
      <w:pPr>
        <w:pStyle w:val="10"/>
        <w:spacing w:line="360" w:lineRule="auto"/>
        <w:jc w:val="center"/>
        <w:rPr>
          <w:rFonts w:hint="eastAsia"/>
          <w:b/>
          <w:bCs/>
          <w:color w:val="000000"/>
          <w:sz w:val="32"/>
          <w:szCs w:val="32"/>
        </w:rPr>
      </w:pPr>
      <w:r>
        <w:rPr>
          <w:rFonts w:hint="eastAsia"/>
          <w:b/>
          <w:bCs/>
          <w:color w:val="000000"/>
          <w:sz w:val="32"/>
          <w:szCs w:val="32"/>
          <w:lang w:val="en-US" w:eastAsia="zh-CN"/>
        </w:rPr>
        <w:t>九</w:t>
      </w:r>
      <w:r>
        <w:rPr>
          <w:rFonts w:hint="eastAsia"/>
          <w:b/>
          <w:bCs/>
          <w:color w:val="000000"/>
          <w:sz w:val="32"/>
          <w:szCs w:val="32"/>
        </w:rPr>
        <w:t>、</w:t>
      </w:r>
      <w:r>
        <w:rPr>
          <w:rFonts w:hint="eastAsia"/>
          <w:b/>
          <w:sz w:val="32"/>
          <w:szCs w:val="32"/>
        </w:rPr>
        <w:t>其他资料</w:t>
      </w:r>
    </w:p>
    <w:p w14:paraId="3FF5AB53">
      <w:pPr>
        <w:pStyle w:val="10"/>
        <w:spacing w:line="360" w:lineRule="auto"/>
        <w:jc w:val="center"/>
        <w:rPr>
          <w:rFonts w:hint="eastAsia"/>
          <w:b/>
          <w:bCs/>
          <w:color w:val="000000"/>
          <w:sz w:val="32"/>
          <w:szCs w:val="32"/>
        </w:rPr>
      </w:pPr>
    </w:p>
    <w:p w14:paraId="5466ADAF">
      <w:pPr>
        <w:pStyle w:val="10"/>
        <w:spacing w:line="360" w:lineRule="auto"/>
        <w:jc w:val="center"/>
        <w:rPr>
          <w:rFonts w:hint="eastAsia"/>
          <w:b/>
          <w:bCs/>
          <w:color w:val="000000"/>
          <w:sz w:val="32"/>
          <w:szCs w:val="32"/>
        </w:rPr>
      </w:pPr>
    </w:p>
    <w:p w14:paraId="374F6313">
      <w:pPr>
        <w:pStyle w:val="10"/>
        <w:spacing w:line="360" w:lineRule="auto"/>
        <w:jc w:val="center"/>
        <w:rPr>
          <w:rFonts w:hint="eastAsia"/>
          <w:b/>
          <w:bCs/>
          <w:color w:val="000000"/>
          <w:sz w:val="32"/>
          <w:szCs w:val="32"/>
        </w:rPr>
      </w:pPr>
    </w:p>
    <w:p w14:paraId="364EC2AB">
      <w:pPr>
        <w:pStyle w:val="10"/>
        <w:spacing w:line="360" w:lineRule="auto"/>
        <w:jc w:val="center"/>
        <w:rPr>
          <w:rFonts w:hint="eastAsia"/>
          <w:b/>
          <w:bCs/>
          <w:color w:val="000000"/>
          <w:sz w:val="32"/>
          <w:szCs w:val="32"/>
        </w:rPr>
      </w:pPr>
    </w:p>
    <w:p w14:paraId="1DB6B1AD">
      <w:pPr>
        <w:pStyle w:val="10"/>
        <w:spacing w:line="360" w:lineRule="auto"/>
        <w:jc w:val="center"/>
        <w:rPr>
          <w:rFonts w:hint="eastAsia"/>
          <w:b/>
          <w:bCs/>
          <w:color w:val="000000"/>
          <w:sz w:val="32"/>
          <w:szCs w:val="32"/>
        </w:rPr>
      </w:pPr>
    </w:p>
    <w:p w14:paraId="74C67C53">
      <w:pPr>
        <w:pStyle w:val="10"/>
        <w:spacing w:line="360" w:lineRule="auto"/>
        <w:jc w:val="center"/>
        <w:rPr>
          <w:rFonts w:hint="eastAsia"/>
          <w:b/>
          <w:bCs/>
          <w:color w:val="000000"/>
          <w:sz w:val="32"/>
          <w:szCs w:val="32"/>
        </w:rPr>
      </w:pPr>
    </w:p>
    <w:p w14:paraId="4FC161E2">
      <w:pPr>
        <w:pStyle w:val="10"/>
        <w:spacing w:line="360" w:lineRule="auto"/>
        <w:jc w:val="center"/>
        <w:rPr>
          <w:rFonts w:hint="eastAsia"/>
          <w:b/>
          <w:bCs/>
          <w:color w:val="000000"/>
          <w:sz w:val="32"/>
          <w:szCs w:val="32"/>
        </w:rPr>
      </w:pPr>
    </w:p>
    <w:p w14:paraId="5C003CF2">
      <w:pPr>
        <w:pStyle w:val="10"/>
        <w:spacing w:line="360" w:lineRule="auto"/>
        <w:jc w:val="center"/>
        <w:rPr>
          <w:rFonts w:hint="eastAsia"/>
          <w:b/>
          <w:bCs/>
          <w:color w:val="000000"/>
          <w:sz w:val="32"/>
          <w:szCs w:val="32"/>
        </w:rPr>
      </w:pPr>
    </w:p>
    <w:p w14:paraId="0620C3C3">
      <w:pPr>
        <w:pStyle w:val="10"/>
        <w:spacing w:line="360" w:lineRule="auto"/>
        <w:jc w:val="center"/>
        <w:rPr>
          <w:rFonts w:hint="eastAsia"/>
          <w:b/>
          <w:bCs/>
          <w:color w:val="000000"/>
          <w:sz w:val="32"/>
          <w:szCs w:val="32"/>
        </w:rPr>
      </w:pPr>
    </w:p>
    <w:p w14:paraId="48FC501C">
      <w:pPr>
        <w:pStyle w:val="10"/>
        <w:spacing w:line="360" w:lineRule="auto"/>
        <w:jc w:val="center"/>
        <w:rPr>
          <w:rFonts w:hint="eastAsia"/>
          <w:b/>
          <w:bCs/>
          <w:color w:val="000000"/>
          <w:sz w:val="32"/>
          <w:szCs w:val="32"/>
        </w:rPr>
      </w:pPr>
    </w:p>
    <w:p w14:paraId="10C1A4F5">
      <w:pPr>
        <w:pStyle w:val="10"/>
        <w:spacing w:line="360" w:lineRule="auto"/>
        <w:jc w:val="center"/>
        <w:rPr>
          <w:rFonts w:hint="eastAsia"/>
          <w:b/>
          <w:bCs/>
          <w:color w:val="000000"/>
          <w:sz w:val="32"/>
          <w:szCs w:val="32"/>
        </w:rPr>
      </w:pPr>
    </w:p>
    <w:p w14:paraId="42F6F620">
      <w:pPr>
        <w:spacing w:line="360" w:lineRule="auto"/>
      </w:pPr>
    </w:p>
    <w:p w14:paraId="0B11D9D8"/>
    <w:sectPr>
      <w:footerReference r:id="rId5" w:type="default"/>
      <w:pgSz w:w="11906" w:h="16838"/>
      <w:pgMar w:top="1383" w:right="1514" w:bottom="1383" w:left="151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BBBDAF">
    <w:pPr>
      <w:pStyle w:val="7"/>
      <w:jc w:val="center"/>
    </w:pPr>
    <w:r>
      <w:fldChar w:fldCharType="begin"/>
    </w:r>
    <w:r>
      <w:instrText xml:space="preserve"> PAGE   \* MERGEFORMAT </w:instrText>
    </w:r>
    <w:r>
      <w:fldChar w:fldCharType="separate"/>
    </w:r>
    <w:r>
      <w:rPr>
        <w:lang w:val="zh-CN"/>
      </w:rPr>
      <w:t>8</w:t>
    </w:r>
    <w:r>
      <w:rPr>
        <w:lang w:val="zh-CN"/>
      </w:rPr>
      <w:fldChar w:fldCharType="end"/>
    </w:r>
  </w:p>
  <w:p w14:paraId="51FEEE39">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E29F9">
    <w:pPr>
      <w:pStyle w:val="7"/>
      <w:jc w:val="center"/>
      <w:rPr>
        <w:rFonts w:hint="eastAsia"/>
      </w:rPr>
    </w:pPr>
    <w:r>
      <w:fldChar w:fldCharType="begin"/>
    </w:r>
    <w:r>
      <w:instrText xml:space="preserve">PAGE   \* MERGEFORMAT</w:instrText>
    </w:r>
    <w:r>
      <w:fldChar w:fldCharType="separate"/>
    </w:r>
    <w:r>
      <w:rPr>
        <w:lang w:val="zh-CN"/>
      </w:rPr>
      <w:t>34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2D63EA">
    <w:pPr>
      <w:pStyle w:val="7"/>
      <w:jc w:val="center"/>
    </w:pPr>
    <w:r>
      <w:fldChar w:fldCharType="begin"/>
    </w:r>
    <w:r>
      <w:instrText xml:space="preserve">PAGE   \* MERGEFORMAT</w:instrText>
    </w:r>
    <w:r>
      <w:fldChar w:fldCharType="separate"/>
    </w:r>
    <w:r>
      <w:rPr>
        <w:lang w:val="zh-CN"/>
      </w:rPr>
      <w:t>46</w:t>
    </w:r>
    <w:r>
      <w:fldChar w:fldCharType="end"/>
    </w:r>
  </w:p>
  <w:p w14:paraId="7A35110E">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944586"/>
    <w:multiLevelType w:val="singleLevel"/>
    <w:tmpl w:val="AF944586"/>
    <w:lvl w:ilvl="0" w:tentative="0">
      <w:start w:val="1"/>
      <w:numFmt w:val="decimal"/>
      <w:suff w:val="nothing"/>
      <w:lvlText w:val="%1、"/>
      <w:lvlJc w:val="left"/>
    </w:lvl>
  </w:abstractNum>
  <w:abstractNum w:abstractNumId="1">
    <w:nsid w:val="C78AC14A"/>
    <w:multiLevelType w:val="singleLevel"/>
    <w:tmpl w:val="C78AC14A"/>
    <w:lvl w:ilvl="0" w:tentative="0">
      <w:start w:val="8"/>
      <w:numFmt w:val="chineseCounting"/>
      <w:suff w:val="nothing"/>
      <w:lvlText w:val="%1、"/>
      <w:lvlJc w:val="left"/>
      <w:rPr>
        <w:rFonts w:hint="eastAsia"/>
      </w:rPr>
    </w:lvl>
  </w:abstractNum>
  <w:abstractNum w:abstractNumId="2">
    <w:nsid w:val="F2DD90A2"/>
    <w:multiLevelType w:val="singleLevel"/>
    <w:tmpl w:val="F2DD90A2"/>
    <w:lvl w:ilvl="0" w:tentative="0">
      <w:start w:val="1"/>
      <w:numFmt w:val="decimal"/>
      <w:lvlText w:val="%1."/>
      <w:lvlJc w:val="left"/>
      <w:pPr>
        <w:tabs>
          <w:tab w:val="left" w:pos="312"/>
        </w:tabs>
      </w:pPr>
    </w:lvl>
  </w:abstractNum>
  <w:abstractNum w:abstractNumId="3">
    <w:nsid w:val="1067659F"/>
    <w:multiLevelType w:val="multilevel"/>
    <w:tmpl w:val="1067659F"/>
    <w:lvl w:ilvl="0" w:tentative="0">
      <w:start w:val="5"/>
      <w:numFmt w:val="decimal"/>
      <w:lvlText w:val="%1"/>
      <w:lvlJc w:val="left"/>
      <w:pPr>
        <w:ind w:left="1000" w:hanging="420"/>
      </w:pPr>
      <w:rPr>
        <w:rFonts w:hint="default"/>
      </w:rPr>
    </w:lvl>
    <w:lvl w:ilvl="1" w:tentative="0">
      <w:start w:val="1"/>
      <w:numFmt w:val="decimal"/>
      <w:lvlText w:val="%1.%2"/>
      <w:lvlJc w:val="left"/>
      <w:pPr>
        <w:ind w:left="1000" w:hanging="420"/>
      </w:pPr>
      <w:rPr>
        <w:rFonts w:hint="default" w:ascii="仿宋" w:hAnsi="仿宋" w:eastAsia="仿宋" w:cs="仿宋"/>
        <w:w w:val="100"/>
        <w:sz w:val="24"/>
        <w:szCs w:val="24"/>
      </w:rPr>
    </w:lvl>
    <w:lvl w:ilvl="2" w:tentative="0">
      <w:start w:val="0"/>
      <w:numFmt w:val="bullet"/>
      <w:lvlText w:val="•"/>
      <w:lvlJc w:val="left"/>
      <w:pPr>
        <w:ind w:left="2796" w:hanging="420"/>
      </w:pPr>
      <w:rPr>
        <w:rFonts w:hint="default"/>
      </w:rPr>
    </w:lvl>
    <w:lvl w:ilvl="3" w:tentative="0">
      <w:start w:val="0"/>
      <w:numFmt w:val="bullet"/>
      <w:lvlText w:val="•"/>
      <w:lvlJc w:val="left"/>
      <w:pPr>
        <w:ind w:left="3694" w:hanging="420"/>
      </w:pPr>
      <w:rPr>
        <w:rFonts w:hint="default"/>
      </w:rPr>
    </w:lvl>
    <w:lvl w:ilvl="4" w:tentative="0">
      <w:start w:val="0"/>
      <w:numFmt w:val="bullet"/>
      <w:lvlText w:val="•"/>
      <w:lvlJc w:val="left"/>
      <w:pPr>
        <w:ind w:left="4592" w:hanging="420"/>
      </w:pPr>
      <w:rPr>
        <w:rFonts w:hint="default"/>
      </w:rPr>
    </w:lvl>
    <w:lvl w:ilvl="5" w:tentative="0">
      <w:start w:val="0"/>
      <w:numFmt w:val="bullet"/>
      <w:lvlText w:val="•"/>
      <w:lvlJc w:val="left"/>
      <w:pPr>
        <w:ind w:left="5490" w:hanging="420"/>
      </w:pPr>
      <w:rPr>
        <w:rFonts w:hint="default"/>
      </w:rPr>
    </w:lvl>
    <w:lvl w:ilvl="6" w:tentative="0">
      <w:start w:val="0"/>
      <w:numFmt w:val="bullet"/>
      <w:lvlText w:val="•"/>
      <w:lvlJc w:val="left"/>
      <w:pPr>
        <w:ind w:left="6388" w:hanging="420"/>
      </w:pPr>
      <w:rPr>
        <w:rFonts w:hint="default"/>
      </w:rPr>
    </w:lvl>
    <w:lvl w:ilvl="7" w:tentative="0">
      <w:start w:val="0"/>
      <w:numFmt w:val="bullet"/>
      <w:lvlText w:val="•"/>
      <w:lvlJc w:val="left"/>
      <w:pPr>
        <w:ind w:left="7286" w:hanging="420"/>
      </w:pPr>
      <w:rPr>
        <w:rFonts w:hint="default"/>
      </w:rPr>
    </w:lvl>
    <w:lvl w:ilvl="8" w:tentative="0">
      <w:start w:val="0"/>
      <w:numFmt w:val="bullet"/>
      <w:lvlText w:val="•"/>
      <w:lvlJc w:val="left"/>
      <w:pPr>
        <w:ind w:left="8184" w:hanging="420"/>
      </w:pPr>
      <w:rPr>
        <w:rFonts w:hint="default"/>
      </w:rPr>
    </w:lvl>
  </w:abstractNum>
  <w:abstractNum w:abstractNumId="4">
    <w:nsid w:val="6D11B65A"/>
    <w:multiLevelType w:val="singleLevel"/>
    <w:tmpl w:val="6D11B65A"/>
    <w:lvl w:ilvl="0" w:tentative="0">
      <w:start w:val="2"/>
      <w:numFmt w:val="decimal"/>
      <w:suff w:val="nothing"/>
      <w:lvlText w:val="%1、"/>
      <w:lvlJc w:val="left"/>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A1BA6"/>
    <w:rsid w:val="001500FC"/>
    <w:rsid w:val="02104022"/>
    <w:rsid w:val="04F94480"/>
    <w:rsid w:val="055C757F"/>
    <w:rsid w:val="07644A20"/>
    <w:rsid w:val="084F54BD"/>
    <w:rsid w:val="08C91835"/>
    <w:rsid w:val="08E04023"/>
    <w:rsid w:val="09E23381"/>
    <w:rsid w:val="0D7850D4"/>
    <w:rsid w:val="0E620D70"/>
    <w:rsid w:val="0FF7412C"/>
    <w:rsid w:val="10501A8E"/>
    <w:rsid w:val="10AB392F"/>
    <w:rsid w:val="10C304B2"/>
    <w:rsid w:val="11A5378B"/>
    <w:rsid w:val="126161D4"/>
    <w:rsid w:val="1387397E"/>
    <w:rsid w:val="139C7F7D"/>
    <w:rsid w:val="14435ECB"/>
    <w:rsid w:val="145F3F5E"/>
    <w:rsid w:val="1588094F"/>
    <w:rsid w:val="158D340A"/>
    <w:rsid w:val="16A31AC8"/>
    <w:rsid w:val="193559DC"/>
    <w:rsid w:val="1AEB0B44"/>
    <w:rsid w:val="1B361A3B"/>
    <w:rsid w:val="1B4D485A"/>
    <w:rsid w:val="1B8D003A"/>
    <w:rsid w:val="1EC94963"/>
    <w:rsid w:val="214A4C5A"/>
    <w:rsid w:val="23015062"/>
    <w:rsid w:val="2304158E"/>
    <w:rsid w:val="24996528"/>
    <w:rsid w:val="24C859F7"/>
    <w:rsid w:val="24FC5F6A"/>
    <w:rsid w:val="278B7E3F"/>
    <w:rsid w:val="2A13795C"/>
    <w:rsid w:val="2A1C3D55"/>
    <w:rsid w:val="2CAF0202"/>
    <w:rsid w:val="2CB64BC9"/>
    <w:rsid w:val="2CBE0107"/>
    <w:rsid w:val="2D48401F"/>
    <w:rsid w:val="2D9B0342"/>
    <w:rsid w:val="2E0A551A"/>
    <w:rsid w:val="2E816C8A"/>
    <w:rsid w:val="2F324D29"/>
    <w:rsid w:val="30021E75"/>
    <w:rsid w:val="314D1797"/>
    <w:rsid w:val="31CF2AA7"/>
    <w:rsid w:val="33633504"/>
    <w:rsid w:val="33C21A72"/>
    <w:rsid w:val="34943D90"/>
    <w:rsid w:val="34E95E89"/>
    <w:rsid w:val="36E860CD"/>
    <w:rsid w:val="377075C9"/>
    <w:rsid w:val="38262F65"/>
    <w:rsid w:val="382D2531"/>
    <w:rsid w:val="387E0FB5"/>
    <w:rsid w:val="393F42CA"/>
    <w:rsid w:val="39506AF0"/>
    <w:rsid w:val="3A042647"/>
    <w:rsid w:val="3AF9494C"/>
    <w:rsid w:val="3C08369A"/>
    <w:rsid w:val="3D40300B"/>
    <w:rsid w:val="3ECA67F2"/>
    <w:rsid w:val="3FDB29B2"/>
    <w:rsid w:val="40580367"/>
    <w:rsid w:val="40962C5C"/>
    <w:rsid w:val="439A60F8"/>
    <w:rsid w:val="465F393C"/>
    <w:rsid w:val="467248DA"/>
    <w:rsid w:val="46DF3975"/>
    <w:rsid w:val="47CC3E7D"/>
    <w:rsid w:val="48317876"/>
    <w:rsid w:val="49A36295"/>
    <w:rsid w:val="4A190B67"/>
    <w:rsid w:val="4A3B0ADD"/>
    <w:rsid w:val="4A6E1F94"/>
    <w:rsid w:val="4B4B0544"/>
    <w:rsid w:val="4BAB275C"/>
    <w:rsid w:val="4C48137E"/>
    <w:rsid w:val="4CF149F0"/>
    <w:rsid w:val="4E2E5C98"/>
    <w:rsid w:val="505F0812"/>
    <w:rsid w:val="50C54E74"/>
    <w:rsid w:val="53BD6AEA"/>
    <w:rsid w:val="549B0DEB"/>
    <w:rsid w:val="553857AD"/>
    <w:rsid w:val="56A75637"/>
    <w:rsid w:val="57CC6F5B"/>
    <w:rsid w:val="597F2FE0"/>
    <w:rsid w:val="5C517A30"/>
    <w:rsid w:val="5CC97269"/>
    <w:rsid w:val="5D0E502C"/>
    <w:rsid w:val="5D121B72"/>
    <w:rsid w:val="5DAE4E3A"/>
    <w:rsid w:val="5DD75DE5"/>
    <w:rsid w:val="5DDF5EEB"/>
    <w:rsid w:val="5E127950"/>
    <w:rsid w:val="5F2B491D"/>
    <w:rsid w:val="60A46F91"/>
    <w:rsid w:val="610D760B"/>
    <w:rsid w:val="62856942"/>
    <w:rsid w:val="631B00C2"/>
    <w:rsid w:val="66264581"/>
    <w:rsid w:val="67252CD4"/>
    <w:rsid w:val="68060412"/>
    <w:rsid w:val="681C0B40"/>
    <w:rsid w:val="6A9875AD"/>
    <w:rsid w:val="6B724E0D"/>
    <w:rsid w:val="6BE97F42"/>
    <w:rsid w:val="6C0A7EB8"/>
    <w:rsid w:val="6E001573"/>
    <w:rsid w:val="6F23376B"/>
    <w:rsid w:val="6FFD4EBE"/>
    <w:rsid w:val="738D6D41"/>
    <w:rsid w:val="73D430B2"/>
    <w:rsid w:val="74181D1F"/>
    <w:rsid w:val="747C5C96"/>
    <w:rsid w:val="766B4DB6"/>
    <w:rsid w:val="77CA0A7C"/>
    <w:rsid w:val="77F666E9"/>
    <w:rsid w:val="77FA1BA6"/>
    <w:rsid w:val="78DE5133"/>
    <w:rsid w:val="790033A8"/>
    <w:rsid w:val="7B2A60FD"/>
    <w:rsid w:val="7BAA5BC0"/>
    <w:rsid w:val="7C041E26"/>
    <w:rsid w:val="7CF0430B"/>
    <w:rsid w:val="7D826093"/>
    <w:rsid w:val="7EF30F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3"/>
    <w:basedOn w:val="1"/>
    <w:next w:val="1"/>
    <w:qFormat/>
    <w:uiPriority w:val="0"/>
    <w:pPr>
      <w:keepNext/>
      <w:keepLines/>
      <w:spacing w:before="260" w:after="260" w:line="415" w:lineRule="auto"/>
      <w:outlineLvl w:val="2"/>
    </w:pPr>
    <w:rPr>
      <w:b/>
      <w:kern w:val="0"/>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First Indent"/>
    <w:basedOn w:val="1"/>
    <w:next w:val="3"/>
    <w:unhideWhenUsed/>
    <w:qFormat/>
    <w:uiPriority w:val="99"/>
    <w:pPr>
      <w:spacing w:after="120" w:line="240" w:lineRule="auto"/>
      <w:ind w:firstLine="420" w:firstLineChars="100"/>
      <w:jc w:val="both"/>
    </w:pPr>
    <w:rPr>
      <w:kern w:val="2"/>
      <w:sz w:val="21"/>
      <w:szCs w:val="24"/>
    </w:rPr>
  </w:style>
  <w:style w:type="paragraph" w:styleId="3">
    <w:name w:val="Body Text First Indent 2"/>
    <w:basedOn w:val="1"/>
    <w:qFormat/>
    <w:uiPriority w:val="0"/>
    <w:pPr>
      <w:widowControl/>
      <w:spacing w:after="120" w:line="360" w:lineRule="auto"/>
      <w:ind w:left="420" w:leftChars="200" w:firstLine="420" w:firstLineChars="200"/>
    </w:pPr>
    <w:rPr>
      <w:kern w:val="2"/>
      <w:sz w:val="21"/>
      <w:szCs w:val="21"/>
    </w:rPr>
  </w:style>
  <w:style w:type="paragraph" w:styleId="5">
    <w:name w:val="Body Text"/>
    <w:basedOn w:val="1"/>
    <w:qFormat/>
    <w:uiPriority w:val="0"/>
    <w:pPr>
      <w:spacing w:line="480" w:lineRule="auto"/>
      <w:jc w:val="center"/>
    </w:pPr>
    <w:rPr>
      <w:rFonts w:ascii="宋体"/>
      <w:b/>
      <w:kern w:val="0"/>
      <w:sz w:val="72"/>
      <w:szCs w:val="20"/>
    </w:rPr>
  </w:style>
  <w:style w:type="paragraph" w:styleId="6">
    <w:name w:val="Body Text Indent"/>
    <w:basedOn w:val="1"/>
    <w:next w:val="3"/>
    <w:qFormat/>
    <w:uiPriority w:val="0"/>
    <w:pPr>
      <w:spacing w:line="360" w:lineRule="auto"/>
      <w:ind w:firstLine="482" w:firstLineChars="100"/>
      <w:jc w:val="center"/>
    </w:pPr>
    <w:rPr>
      <w:rFonts w:ascii="黑体" w:eastAsia="黑体"/>
      <w:b/>
      <w:sz w:val="48"/>
      <w:szCs w:val="28"/>
    </w:rPr>
  </w:style>
  <w:style w:type="paragraph" w:styleId="7">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8">
    <w:name w:val="envelope return"/>
    <w:basedOn w:val="1"/>
    <w:unhideWhenUsed/>
    <w:qFormat/>
    <w:uiPriority w:val="99"/>
    <w:pPr>
      <w:snapToGrid w:val="0"/>
    </w:pPr>
    <w:rPr>
      <w:rFonts w:ascii="等线 Light" w:hAnsi="等线 Light" w:eastAsia="等线 Light" w:cs="Times New Roman"/>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Normal (Web)"/>
    <w:basedOn w:val="1"/>
    <w:qFormat/>
    <w:uiPriority w:val="99"/>
    <w:pPr>
      <w:widowControl/>
      <w:spacing w:before="100" w:beforeAutospacing="1" w:after="100" w:afterAutospacing="1"/>
      <w:jc w:val="left"/>
    </w:pPr>
    <w:rPr>
      <w:rFonts w:ascii="宋体" w:hAnsi="宋体" w:cs="宋体"/>
      <w:kern w:val="0"/>
      <w:sz w:val="24"/>
    </w:rPr>
  </w:style>
  <w:style w:type="table" w:styleId="12">
    <w:name w:val="Table Grid"/>
    <w:basedOn w:val="11"/>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bCs/>
    </w:rPr>
  </w:style>
  <w:style w:type="character" w:styleId="15">
    <w:name w:val="FollowedHyperlink"/>
    <w:basedOn w:val="13"/>
    <w:qFormat/>
    <w:uiPriority w:val="0"/>
    <w:rPr>
      <w:color w:val="800080"/>
      <w:u w:val="none"/>
    </w:rPr>
  </w:style>
  <w:style w:type="character" w:styleId="16">
    <w:name w:val="Emphasis"/>
    <w:basedOn w:val="13"/>
    <w:qFormat/>
    <w:uiPriority w:val="0"/>
    <w:rPr>
      <w:b/>
      <w:bCs/>
    </w:rPr>
  </w:style>
  <w:style w:type="character" w:styleId="17">
    <w:name w:val="HTML Definition"/>
    <w:basedOn w:val="13"/>
    <w:qFormat/>
    <w:uiPriority w:val="0"/>
  </w:style>
  <w:style w:type="character" w:styleId="18">
    <w:name w:val="HTML Typewriter"/>
    <w:basedOn w:val="13"/>
    <w:qFormat/>
    <w:uiPriority w:val="0"/>
    <w:rPr>
      <w:rFonts w:hint="default" w:ascii="monospace" w:hAnsi="monospace" w:eastAsia="monospace" w:cs="monospace"/>
      <w:sz w:val="20"/>
    </w:rPr>
  </w:style>
  <w:style w:type="character" w:styleId="19">
    <w:name w:val="HTML Acronym"/>
    <w:basedOn w:val="13"/>
    <w:qFormat/>
    <w:uiPriority w:val="0"/>
    <w:rPr>
      <w:bdr w:val="single" w:color="D2D2D2" w:sz="2" w:space="0"/>
      <w:shd w:val="clear" w:fill="FFFFFF"/>
    </w:rPr>
  </w:style>
  <w:style w:type="character" w:styleId="20">
    <w:name w:val="HTML Variable"/>
    <w:basedOn w:val="13"/>
    <w:qFormat/>
    <w:uiPriority w:val="0"/>
  </w:style>
  <w:style w:type="character" w:styleId="21">
    <w:name w:val="Hyperlink"/>
    <w:basedOn w:val="13"/>
    <w:qFormat/>
    <w:uiPriority w:val="0"/>
    <w:rPr>
      <w:color w:val="0000FF"/>
      <w:u w:val="none"/>
    </w:rPr>
  </w:style>
  <w:style w:type="character" w:styleId="22">
    <w:name w:val="HTML Code"/>
    <w:basedOn w:val="13"/>
    <w:qFormat/>
    <w:uiPriority w:val="0"/>
    <w:rPr>
      <w:rFonts w:hint="default" w:ascii="monospace" w:hAnsi="monospace" w:eastAsia="monospace" w:cs="monospace"/>
      <w:sz w:val="20"/>
    </w:rPr>
  </w:style>
  <w:style w:type="character" w:styleId="23">
    <w:name w:val="HTML Cite"/>
    <w:basedOn w:val="13"/>
    <w:qFormat/>
    <w:uiPriority w:val="0"/>
  </w:style>
  <w:style w:type="character" w:styleId="24">
    <w:name w:val="HTML Keyboard"/>
    <w:basedOn w:val="13"/>
    <w:qFormat/>
    <w:uiPriority w:val="0"/>
    <w:rPr>
      <w:rFonts w:hint="default" w:ascii="monospace" w:hAnsi="monospace" w:eastAsia="monospace" w:cs="monospace"/>
      <w:sz w:val="20"/>
    </w:rPr>
  </w:style>
  <w:style w:type="character" w:styleId="25">
    <w:name w:val="HTML Sample"/>
    <w:basedOn w:val="13"/>
    <w:qFormat/>
    <w:uiPriority w:val="0"/>
    <w:rPr>
      <w:rFonts w:ascii="monospace" w:hAnsi="monospace" w:eastAsia="monospace" w:cs="monospace"/>
    </w:rPr>
  </w:style>
  <w:style w:type="paragraph" w:customStyle="1" w:styleId="26">
    <w:name w:val="样式 正文首行缩进 2 + Arial"/>
    <w:basedOn w:val="1"/>
    <w:next w:val="1"/>
    <w:qFormat/>
    <w:uiPriority w:val="0"/>
    <w:pPr>
      <w:spacing w:after="120" w:line="320" w:lineRule="atLeast"/>
      <w:ind w:firstLine="200" w:firstLineChars="200"/>
    </w:pPr>
    <w:rPr>
      <w:rFonts w:ascii="Arial" w:hAnsi="Arial"/>
    </w:rPr>
  </w:style>
  <w:style w:type="paragraph" w:customStyle="1" w:styleId="27">
    <w:name w:val="Default"/>
    <w:next w:val="9"/>
    <w:qFormat/>
    <w:uiPriority w:val="0"/>
    <w:pPr>
      <w:spacing w:line="360" w:lineRule="auto"/>
    </w:pPr>
    <w:rPr>
      <w:rFonts w:ascii="宋体" w:hAnsi="宋体" w:eastAsia="宋体" w:cs="宋体"/>
      <w:kern w:val="2"/>
      <w:sz w:val="24"/>
      <w:szCs w:val="24"/>
      <w:lang w:val="en-US" w:eastAsia="zh-CN" w:bidi="ar-SA"/>
    </w:rPr>
  </w:style>
  <w:style w:type="character" w:customStyle="1" w:styleId="28">
    <w:name w:val="NormalCharacter"/>
    <w:qFormat/>
    <w:uiPriority w:val="0"/>
  </w:style>
  <w:style w:type="character" w:customStyle="1" w:styleId="29">
    <w:name w:val="font21"/>
    <w:basedOn w:val="13"/>
    <w:qFormat/>
    <w:uiPriority w:val="0"/>
    <w:rPr>
      <w:rFonts w:hint="eastAsia" w:ascii="宋体" w:hAnsi="宋体" w:eastAsia="宋体" w:cs="宋体"/>
      <w:color w:val="000000"/>
      <w:sz w:val="20"/>
      <w:szCs w:val="20"/>
      <w:u w:val="none"/>
    </w:rPr>
  </w:style>
  <w:style w:type="character" w:customStyle="1" w:styleId="30">
    <w:name w:val="font71"/>
    <w:basedOn w:val="13"/>
    <w:qFormat/>
    <w:uiPriority w:val="0"/>
    <w:rPr>
      <w:rFonts w:hint="eastAsia" w:ascii="宋体" w:hAnsi="宋体" w:eastAsia="宋体" w:cs="宋体"/>
      <w:color w:val="000000"/>
      <w:sz w:val="20"/>
      <w:szCs w:val="20"/>
      <w:u w:val="none"/>
    </w:rPr>
  </w:style>
  <w:style w:type="paragraph" w:customStyle="1" w:styleId="31">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32">
    <w:name w:val="大标题"/>
    <w:basedOn w:val="1"/>
    <w:next w:val="3"/>
    <w:qFormat/>
    <w:uiPriority w:val="0"/>
    <w:pPr>
      <w:pageBreakBefore/>
      <w:spacing w:after="200" w:line="720" w:lineRule="auto"/>
      <w:jc w:val="center"/>
      <w:outlineLvl w:val="0"/>
    </w:pPr>
    <w:rPr>
      <w:rFonts w:ascii="黑体" w:hAnsi="Calibri" w:eastAsia="黑体"/>
      <w:sz w:val="32"/>
      <w:szCs w:val="30"/>
      <w:lang w:eastAsia="en-US" w:bidi="en-US"/>
    </w:rPr>
  </w:style>
  <w:style w:type="paragraph" w:customStyle="1" w:styleId="33">
    <w:name w:val="Body Text 21"/>
    <w:basedOn w:val="1"/>
    <w:next w:val="5"/>
    <w:qFormat/>
    <w:uiPriority w:val="0"/>
    <w:pPr>
      <w:spacing w:after="120" w:line="480" w:lineRule="auto"/>
    </w:pPr>
  </w:style>
  <w:style w:type="paragraph" w:customStyle="1" w:styleId="34">
    <w:name w:val="Table Text"/>
    <w:basedOn w:val="1"/>
    <w:semiHidden/>
    <w:qFormat/>
    <w:uiPriority w:val="0"/>
    <w:rPr>
      <w:rFonts w:ascii="宋体" w:hAnsi="宋体" w:eastAsia="宋体" w:cs="宋体"/>
      <w:sz w:val="21"/>
      <w:szCs w:val="21"/>
      <w:lang w:val="en-US" w:eastAsia="en-US" w:bidi="ar-SA"/>
    </w:rPr>
  </w:style>
  <w:style w:type="table" w:customStyle="1" w:styleId="35">
    <w:name w:val="Table Normal"/>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36">
    <w:name w:val="正文_6_0"/>
    <w:next w:val="37"/>
    <w:qFormat/>
    <w:uiPriority w:val="0"/>
    <w:pPr>
      <w:widowControl w:val="0"/>
      <w:jc w:val="both"/>
    </w:pPr>
    <w:rPr>
      <w:rFonts w:ascii="Times New Roman" w:hAnsi="Times New Roman" w:eastAsia="宋体" w:cs="Times New Roman"/>
      <w:lang w:val="en-US" w:eastAsia="zh-CN" w:bidi="ar-SA"/>
    </w:rPr>
  </w:style>
  <w:style w:type="paragraph" w:customStyle="1" w:styleId="37">
    <w:name w:val="无间隔1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8">
    <w:name w:val="正文_6_1"/>
    <w:next w:val="37"/>
    <w:qFormat/>
    <w:uiPriority w:val="0"/>
    <w:pPr>
      <w:widowControl w:val="0"/>
      <w:jc w:val="both"/>
    </w:pPr>
    <w:rPr>
      <w:rFonts w:ascii="Calibri" w:hAnsi="Calibri" w:eastAsia="宋体" w:cs="Times New Roman"/>
      <w:kern w:val="2"/>
      <w:sz w:val="21"/>
      <w:szCs w:val="22"/>
      <w:lang w:val="en-US" w:eastAsia="zh-CN" w:bidi="ar-SA"/>
    </w:rPr>
  </w:style>
  <w:style w:type="character" w:customStyle="1" w:styleId="39">
    <w:name w:val="hover"/>
    <w:basedOn w:val="13"/>
    <w:qFormat/>
    <w:uiPriority w:val="0"/>
  </w:style>
  <w:style w:type="character" w:customStyle="1" w:styleId="40">
    <w:name w:val="hover1"/>
    <w:basedOn w:val="13"/>
    <w:qFormat/>
    <w:uiPriority w:val="0"/>
    <w:rPr>
      <w:color w:val="2590EB"/>
    </w:rPr>
  </w:style>
  <w:style w:type="character" w:customStyle="1" w:styleId="41">
    <w:name w:val="hover2"/>
    <w:basedOn w:val="13"/>
    <w:qFormat/>
    <w:uiPriority w:val="0"/>
    <w:rPr>
      <w:color w:val="2590EB"/>
    </w:rPr>
  </w:style>
  <w:style w:type="character" w:customStyle="1" w:styleId="42">
    <w:name w:val="mini-outputtext1"/>
    <w:basedOn w:val="13"/>
    <w:qFormat/>
    <w:uiPriority w:val="0"/>
  </w:style>
  <w:style w:type="character" w:customStyle="1" w:styleId="43">
    <w:name w:val="hover3"/>
    <w:basedOn w:val="13"/>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163</Words>
  <Characters>384</Characters>
  <Lines>0</Lines>
  <Paragraphs>0</Paragraphs>
  <TotalTime>1</TotalTime>
  <ScaleCrop>false</ScaleCrop>
  <LinksUpToDate>false</LinksUpToDate>
  <CharactersWithSpaces>424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2025-12-15T09:34:00Z</dcterms:created>
  <dc:creator>一朝一夕</dc:creator>
  <cp:lastModifiedBy>雷雨涵</cp:lastModifiedBy>
  <dcterms:modified xsi:type="dcterms:W3CDTF">2026-10-20T14:54:48Z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6EEEC1F0D6CF4299A4E433E764CE6C41_11</vt:lpwstr>
  </property>
  <property fmtid="{D5CDD505-2E9C-101B-9397-08002B2CF9AE}" pid="4" name="KSOTemplateDocerSaveRecord">
    <vt:lpwstr>eyJoZGlkIjoiZTM5ODk0ZDdjNjZjYmE1MzlmNzI2YjZjNzdjYWM0MTYiLCJ1c2VySWQiOiIzNjgzNTc2NjEifQ==</vt:lpwstr>
  </property>
</Properties>
</file>