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7DBEB">
      <w:pPr>
        <w:pageBreakBefore w:val="0"/>
        <w:wordWrap/>
        <w:overflowPunct/>
        <w:bidi w:val="0"/>
        <w:spacing w:line="360" w:lineRule="auto"/>
        <w:jc w:val="center"/>
        <w:outlineLvl w:val="9"/>
        <w:rPr>
          <w:rFonts w:hint="eastAsia" w:eastAsia="宋体"/>
          <w:b/>
          <w:bCs/>
          <w:sz w:val="20"/>
          <w:szCs w:val="18"/>
          <w:lang w:eastAsia="zh-CN"/>
        </w:rPr>
      </w:pPr>
      <w:r>
        <w:rPr>
          <w:rFonts w:hint="eastAsia" w:ascii="宋体" w:hAnsi="宋体"/>
          <w:b/>
          <w:bCs/>
          <w:color w:val="auto"/>
          <w:sz w:val="48"/>
          <w:szCs w:val="48"/>
          <w:lang w:eastAsia="zh-CN"/>
        </w:rPr>
        <w:t>三门峡市城市建设发展服务中心2025年度城市道路维护抢险作业沥青混凝土材料采购项目</w:t>
      </w:r>
    </w:p>
    <w:p w14:paraId="62BDF313">
      <w:pPr>
        <w:pageBreakBefore w:val="0"/>
        <w:wordWrap/>
        <w:overflowPunct/>
        <w:bidi w:val="0"/>
        <w:spacing w:line="360" w:lineRule="auto"/>
        <w:jc w:val="center"/>
        <w:outlineLvl w:val="9"/>
        <w:rPr>
          <w:rFonts w:hint="eastAsia" w:ascii="宋体" w:hAnsi="宋体"/>
          <w:b/>
          <w:color w:val="auto"/>
          <w:sz w:val="36"/>
          <w:szCs w:val="36"/>
          <w:highlight w:val="yellow"/>
        </w:rPr>
      </w:pPr>
    </w:p>
    <w:p w14:paraId="3BECA96D">
      <w:pPr>
        <w:pageBreakBefore w:val="0"/>
        <w:wordWrap/>
        <w:overflowPunct/>
        <w:bidi w:val="0"/>
        <w:spacing w:line="360" w:lineRule="auto"/>
        <w:jc w:val="center"/>
        <w:outlineLvl w:val="9"/>
        <w:rPr>
          <w:rFonts w:hint="eastAsia" w:ascii="宋体" w:hAnsi="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val="en-US" w:eastAsia="zh-CN"/>
        </w:rPr>
        <w:t>三财公开采购-2025-16</w:t>
      </w:r>
    </w:p>
    <w:p w14:paraId="5D42C92A">
      <w:pPr>
        <w:pStyle w:val="2"/>
        <w:ind w:firstLine="3975" w:firstLineChars="1100"/>
        <w:rPr>
          <w:rFonts w:hint="eastAsia" w:ascii="宋体" w:hAnsi="宋体" w:eastAsia="宋体" w:cs="Times New Roman"/>
          <w:b/>
          <w:bCs w:val="0"/>
          <w:color w:val="auto"/>
          <w:sz w:val="36"/>
          <w:szCs w:val="36"/>
          <w:highlight w:val="none"/>
          <w:u w:color="000000"/>
          <w:lang w:val="en-US" w:eastAsia="zh-CN" w:bidi="ar-SA"/>
        </w:rPr>
      </w:pPr>
      <w:r>
        <w:rPr>
          <w:rFonts w:hint="eastAsia" w:ascii="宋体" w:hAnsi="宋体" w:eastAsia="宋体" w:cs="Times New Roman"/>
          <w:b/>
          <w:bCs w:val="0"/>
          <w:color w:val="auto"/>
          <w:sz w:val="36"/>
          <w:szCs w:val="36"/>
          <w:highlight w:val="none"/>
          <w:u w:color="000000"/>
          <w:lang w:val="en-US" w:eastAsia="zh-CN" w:bidi="ar-SA"/>
        </w:rPr>
        <w:t>SGZ[2025]122-ZC083</w:t>
      </w:r>
    </w:p>
    <w:p w14:paraId="0923159A">
      <w:pPr>
        <w:pageBreakBefore w:val="0"/>
        <w:widowControl w:val="0"/>
        <w:tabs>
          <w:tab w:val="left" w:pos="6510"/>
        </w:tabs>
        <w:wordWrap/>
        <w:overflowPunct/>
        <w:bidi w:val="0"/>
        <w:snapToGrid w:val="0"/>
        <w:spacing w:line="360" w:lineRule="auto"/>
        <w:jc w:val="center"/>
        <w:outlineLvl w:val="9"/>
        <w:rPr>
          <w:rFonts w:ascii="宋体" w:hAnsi="宋体"/>
          <w:b/>
          <w:color w:val="auto"/>
          <w:sz w:val="28"/>
          <w:szCs w:val="28"/>
        </w:rPr>
      </w:pPr>
      <w:r>
        <w:rPr>
          <w:rFonts w:ascii="宋体" w:hAnsi="宋体"/>
          <w:b/>
          <w:color w:val="auto"/>
          <w:spacing w:val="175"/>
          <w:sz w:val="82"/>
        </w:rPr>
        <w:t>招标文件</w:t>
      </w:r>
      <w:r>
        <w:rPr>
          <w:rFonts w:hint="eastAsia" w:ascii="宋体" w:hAnsi="宋体"/>
          <w:b/>
          <w:color w:val="auto"/>
          <w:sz w:val="28"/>
          <w:szCs w:val="28"/>
        </w:rPr>
        <w:t xml:space="preserve">   </w:t>
      </w:r>
    </w:p>
    <w:p w14:paraId="22005AAD">
      <w:pPr>
        <w:pageBreakBefore w:val="0"/>
        <w:wordWrap/>
        <w:overflowPunct/>
        <w:bidi w:val="0"/>
        <w:spacing w:line="360" w:lineRule="auto"/>
        <w:jc w:val="center"/>
        <w:outlineLvl w:val="9"/>
        <w:rPr>
          <w:rFonts w:ascii="宋体" w:hAnsi="宋体"/>
        </w:rPr>
      </w:pPr>
    </w:p>
    <w:p w14:paraId="02A350A4">
      <w:pPr>
        <w:pageBreakBefore w:val="0"/>
        <w:widowControl w:val="0"/>
        <w:tabs>
          <w:tab w:val="left" w:pos="6510"/>
        </w:tabs>
        <w:wordWrap/>
        <w:overflowPunct/>
        <w:bidi w:val="0"/>
        <w:snapToGrid w:val="0"/>
        <w:spacing w:line="360" w:lineRule="auto"/>
        <w:jc w:val="center"/>
        <w:outlineLvl w:val="9"/>
        <w:rPr>
          <w:rFonts w:ascii="宋体" w:hAnsi="宋体"/>
          <w:b/>
          <w:color w:val="auto"/>
          <w:sz w:val="31"/>
        </w:rPr>
      </w:pPr>
      <w:r>
        <w:rPr>
          <w:color w:val="000000" w:themeColor="text1"/>
          <w:highlight w:val="none"/>
          <w14:textFill>
            <w14:solidFill>
              <w14:schemeClr w14:val="tx1"/>
            </w14:solidFill>
          </w14:textFill>
        </w:rPr>
        <w:drawing>
          <wp:inline distT="0" distB="0" distL="114300" distR="114300">
            <wp:extent cx="3023235" cy="2606675"/>
            <wp:effectExtent l="0" t="0" r="5715" b="3175"/>
            <wp:docPr id="4" name="图片 4" descr="D:\公司资料\厚德（河南省）企业管理有限责任公司\公司简介\公司logo及标牌\厚德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公司资料\厚德（河南省）企业管理有限责任公司\公司简介\公司logo及标牌\厚德LOGO 1.jpg"/>
                    <pic:cNvPicPr>
                      <a:picLocks noChangeAspect="1"/>
                    </pic:cNvPicPr>
                  </pic:nvPicPr>
                  <pic:blipFill>
                    <a:blip r:embed="rId15"/>
                    <a:stretch>
                      <a:fillRect/>
                    </a:stretch>
                  </pic:blipFill>
                  <pic:spPr>
                    <a:xfrm>
                      <a:off x="0" y="0"/>
                      <a:ext cx="3023235" cy="2606675"/>
                    </a:xfrm>
                    <a:prstGeom prst="rect">
                      <a:avLst/>
                    </a:prstGeom>
                    <a:noFill/>
                    <a:ln>
                      <a:noFill/>
                    </a:ln>
                  </pic:spPr>
                </pic:pic>
              </a:graphicData>
            </a:graphic>
          </wp:inline>
        </w:drawing>
      </w:r>
    </w:p>
    <w:p w14:paraId="4E595EBC">
      <w:pPr>
        <w:pageBreakBefore w:val="0"/>
        <w:wordWrap/>
        <w:overflowPunct/>
        <w:bidi w:val="0"/>
        <w:spacing w:line="360" w:lineRule="auto"/>
        <w:outlineLvl w:val="9"/>
      </w:pPr>
    </w:p>
    <w:p w14:paraId="55942881">
      <w:pPr>
        <w:pageBreakBefore w:val="0"/>
        <w:widowControl w:val="0"/>
        <w:tabs>
          <w:tab w:val="left" w:pos="6510"/>
        </w:tabs>
        <w:wordWrap/>
        <w:overflowPunct/>
        <w:bidi w:val="0"/>
        <w:snapToGrid w:val="0"/>
        <w:spacing w:line="360" w:lineRule="auto"/>
        <w:jc w:val="center"/>
        <w:outlineLvl w:val="9"/>
        <w:rPr>
          <w:rFonts w:ascii="宋体" w:hAnsi="宋体"/>
          <w:color w:val="auto"/>
        </w:rPr>
      </w:pPr>
      <w:r>
        <w:rPr>
          <w:rFonts w:hint="eastAsia" w:ascii="宋体" w:hAnsi="宋体"/>
          <w:b/>
          <w:color w:val="auto"/>
          <w:sz w:val="31"/>
        </w:rPr>
        <w:t xml:space="preserve">采 购 </w:t>
      </w:r>
      <w:r>
        <w:rPr>
          <w:rFonts w:ascii="宋体" w:hAnsi="宋体"/>
          <w:b/>
          <w:color w:val="auto"/>
          <w:sz w:val="31"/>
        </w:rPr>
        <w:t>人：</w:t>
      </w:r>
      <w:r>
        <w:rPr>
          <w:rFonts w:hint="eastAsia" w:ascii="宋体" w:hAnsi="宋体"/>
          <w:b/>
          <w:color w:val="auto"/>
          <w:sz w:val="31"/>
        </w:rPr>
        <w:t>三门峡市城市建设发展服务中心</w:t>
      </w:r>
    </w:p>
    <w:p w14:paraId="2FE2B9A0">
      <w:pPr>
        <w:pageBreakBefore w:val="0"/>
        <w:widowControl w:val="0"/>
        <w:tabs>
          <w:tab w:val="left" w:pos="6510"/>
        </w:tabs>
        <w:wordWrap/>
        <w:overflowPunct/>
        <w:bidi w:val="0"/>
        <w:snapToGrid w:val="0"/>
        <w:spacing w:line="360" w:lineRule="auto"/>
        <w:jc w:val="center"/>
        <w:outlineLvl w:val="9"/>
        <w:rPr>
          <w:rFonts w:hint="eastAsia" w:ascii="宋体" w:hAnsi="宋体" w:eastAsia="宋体"/>
          <w:color w:val="auto"/>
          <w:lang w:eastAsia="zh-CN"/>
        </w:rPr>
      </w:pPr>
      <w:r>
        <w:rPr>
          <w:rFonts w:ascii="宋体" w:hAnsi="宋体"/>
          <w:b/>
          <w:color w:val="auto"/>
          <w:sz w:val="31"/>
        </w:rPr>
        <w:t>代理</w:t>
      </w:r>
      <w:r>
        <w:rPr>
          <w:rFonts w:hint="eastAsia" w:ascii="宋体" w:hAnsi="宋体"/>
          <w:b/>
          <w:color w:val="auto"/>
          <w:sz w:val="31"/>
        </w:rPr>
        <w:t>机构</w:t>
      </w:r>
      <w:r>
        <w:rPr>
          <w:rFonts w:ascii="宋体" w:hAnsi="宋体"/>
          <w:b/>
          <w:color w:val="auto"/>
          <w:sz w:val="31"/>
        </w:rPr>
        <w:t>：</w:t>
      </w:r>
      <w:r>
        <w:rPr>
          <w:rFonts w:hint="eastAsia" w:ascii="宋体" w:hAnsi="宋体"/>
          <w:b/>
          <w:color w:val="auto"/>
          <w:sz w:val="32"/>
          <w:szCs w:val="32"/>
          <w:lang w:eastAsia="zh-CN"/>
        </w:rPr>
        <w:t>厚德(河南省)企业管理有限责任公司</w:t>
      </w:r>
    </w:p>
    <w:p w14:paraId="27F80405">
      <w:pPr>
        <w:pageBreakBefore w:val="0"/>
        <w:widowControl w:val="0"/>
        <w:tabs>
          <w:tab w:val="left" w:pos="6510"/>
        </w:tabs>
        <w:wordWrap/>
        <w:overflowPunct/>
        <w:bidi w:val="0"/>
        <w:snapToGrid w:val="0"/>
        <w:spacing w:line="360" w:lineRule="auto"/>
        <w:jc w:val="center"/>
        <w:outlineLvl w:val="9"/>
        <w:rPr>
          <w:rFonts w:ascii="宋体" w:hAnsi="宋体"/>
          <w:color w:val="auto"/>
        </w:rPr>
      </w:pPr>
      <w:r>
        <w:rPr>
          <w:rFonts w:ascii="宋体" w:hAnsi="宋体"/>
          <w:b/>
          <w:color w:val="auto"/>
          <w:sz w:val="31"/>
        </w:rPr>
        <w:t>日　　期：二</w:t>
      </w:r>
      <w:r>
        <w:rPr>
          <w:rFonts w:hint="eastAsia" w:ascii="宋体" w:hAnsi="宋体"/>
          <w:b/>
          <w:color w:val="auto"/>
          <w:sz w:val="31"/>
        </w:rPr>
        <w:t>〇</w:t>
      </w:r>
      <w:r>
        <w:rPr>
          <w:rFonts w:ascii="宋体" w:hAnsi="宋体"/>
          <w:b/>
          <w:color w:val="auto"/>
          <w:sz w:val="31"/>
        </w:rPr>
        <w:t>二</w:t>
      </w:r>
      <w:r>
        <w:rPr>
          <w:rFonts w:hint="eastAsia" w:ascii="宋体" w:hAnsi="宋体"/>
          <w:b/>
          <w:color w:val="auto"/>
          <w:sz w:val="31"/>
          <w:lang w:val="en-US" w:eastAsia="zh-CN"/>
        </w:rPr>
        <w:t>五</w:t>
      </w:r>
      <w:r>
        <w:rPr>
          <w:rFonts w:ascii="宋体" w:hAnsi="宋体"/>
          <w:b/>
          <w:color w:val="auto"/>
          <w:sz w:val="31"/>
        </w:rPr>
        <w:t>年</w:t>
      </w:r>
      <w:r>
        <w:rPr>
          <w:rFonts w:hint="eastAsia" w:ascii="宋体" w:hAnsi="宋体"/>
          <w:b/>
          <w:color w:val="auto"/>
          <w:sz w:val="31"/>
          <w:lang w:val="en-US" w:eastAsia="zh-CN"/>
        </w:rPr>
        <w:t>三</w:t>
      </w:r>
      <w:r>
        <w:rPr>
          <w:rFonts w:ascii="宋体" w:hAnsi="宋体"/>
          <w:b/>
          <w:color w:val="auto"/>
          <w:sz w:val="31"/>
        </w:rPr>
        <w:t>月</w:t>
      </w:r>
    </w:p>
    <w:p w14:paraId="38767906">
      <w:pPr>
        <w:pageBreakBefore w:val="0"/>
        <w:wordWrap/>
        <w:overflowPunct/>
        <w:bidi w:val="0"/>
        <w:spacing w:line="360" w:lineRule="auto"/>
        <w:rPr>
          <w:rFonts w:ascii="宋体" w:hAnsi="宋体"/>
          <w:i/>
          <w:iCs/>
          <w:color w:val="auto"/>
          <w:u w:val="single"/>
        </w:rPr>
        <w:sectPr>
          <w:headerReference r:id="rId7" w:type="first"/>
          <w:footerReference r:id="rId9" w:type="first"/>
          <w:headerReference r:id="rId5" w:type="default"/>
          <w:footerReference r:id="rId8" w:type="default"/>
          <w:headerReference r:id="rId6" w:type="even"/>
          <w:endnotePr>
            <w:numFmt w:val="decimal"/>
          </w:endnotePr>
          <w:pgSz w:w="12247" w:h="15819"/>
          <w:pgMar w:top="1440" w:right="1080" w:bottom="1440" w:left="1080" w:header="719" w:footer="1133" w:gutter="0"/>
          <w:pgNumType w:start="1"/>
          <w:cols w:space="720" w:num="1"/>
          <w:docGrid w:linePitch="286" w:charSpace="0"/>
        </w:sectPr>
      </w:pPr>
    </w:p>
    <w:sdt>
      <w:sdtPr>
        <w:rPr>
          <w:rFonts w:ascii="宋体" w:hAnsi="宋体" w:eastAsia="宋体" w:cs="Times New Roman"/>
          <w:color w:val="000000"/>
          <w:sz w:val="21"/>
          <w:u w:color="000000"/>
          <w:lang w:val="en-US" w:eastAsia="zh-CN" w:bidi="ar-SA"/>
        </w:rPr>
        <w:id w:val="147465602"/>
        <w15:color w:val="DBDBDB"/>
        <w:docPartObj>
          <w:docPartGallery w:val="Table of Contents"/>
          <w:docPartUnique/>
        </w:docPartObj>
      </w:sdtPr>
      <w:sdtEndPr>
        <w:rPr>
          <w:rFonts w:ascii="宋体" w:hAnsi="宋体" w:eastAsia="宋体" w:cs="Times New Roman"/>
          <w:b/>
          <w:color w:val="auto"/>
          <w:sz w:val="21"/>
          <w:szCs w:val="24"/>
          <w:u w:val="single" w:color="000000"/>
          <w:lang w:val="en-US" w:eastAsia="zh-CN" w:bidi="ar-SA"/>
        </w:rPr>
      </w:sdtEndPr>
      <w:sdtContent>
        <w:p w14:paraId="2049A248">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baseline"/>
            <w:rPr>
              <w:rFonts w:hint="eastAsia" w:ascii="宋体" w:hAnsi="宋体" w:eastAsia="宋体" w:cs="宋体"/>
              <w:sz w:val="24"/>
              <w:szCs w:val="24"/>
            </w:rPr>
          </w:pPr>
          <w:bookmarkStart w:id="0" w:name="_Toc452908011"/>
          <w:bookmarkStart w:id="1" w:name="_Toc28428"/>
          <w:bookmarkStart w:id="2" w:name="_Toc454525911"/>
          <w:bookmarkStart w:id="3" w:name="_Toc452907927"/>
          <w:r>
            <w:rPr>
              <w:rFonts w:hint="eastAsia" w:ascii="宋体" w:hAnsi="宋体" w:eastAsia="宋体" w:cs="宋体"/>
              <w:sz w:val="24"/>
              <w:szCs w:val="24"/>
            </w:rPr>
            <w:t>目录</w:t>
          </w:r>
        </w:p>
        <w:p w14:paraId="35C41054">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TOC \o "1-2" \h \u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_Toc31598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_Toc31598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7893C01C">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_Toc17014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_Toc17014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1BBF383C">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_Toc19284 </w:instrText>
          </w:r>
          <w:r>
            <w:rPr>
              <w:rFonts w:hint="eastAsia" w:ascii="宋体" w:hAnsi="宋体" w:eastAsia="宋体" w:cs="宋体"/>
              <w:sz w:val="24"/>
              <w:szCs w:val="24"/>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_Toc19284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327154AF">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_Toc31048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_Toc31048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27D1B0A5">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_Toc11889 </w:instrText>
          </w:r>
          <w:r>
            <w:rPr>
              <w:rFonts w:hint="eastAsia" w:ascii="宋体" w:hAnsi="宋体" w:eastAsia="宋体" w:cs="宋体"/>
              <w:sz w:val="24"/>
              <w:szCs w:val="24"/>
            </w:rP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_Toc11889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2C2948A5">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_Toc18393 </w:instrText>
          </w:r>
          <w:r>
            <w:rPr>
              <w:rFonts w:hint="eastAsia" w:ascii="宋体" w:hAnsi="宋体" w:eastAsia="宋体" w:cs="宋体"/>
              <w:sz w:val="24"/>
              <w:szCs w:val="24"/>
            </w:rP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_Toc18393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05282F14">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_Toc12074 </w:instrText>
          </w:r>
          <w:r>
            <w:rPr>
              <w:rFonts w:hint="eastAsia" w:ascii="宋体" w:hAnsi="宋体" w:eastAsia="宋体" w:cs="宋体"/>
              <w:sz w:val="24"/>
              <w:szCs w:val="24"/>
            </w:rP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_Toc12074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37451193">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_Toc1033 </w:instrText>
          </w:r>
          <w:r>
            <w:rPr>
              <w:rFonts w:hint="eastAsia" w:ascii="宋体" w:hAnsi="宋体" w:eastAsia="宋体" w:cs="宋体"/>
              <w:sz w:val="24"/>
              <w:szCs w:val="24"/>
            </w:rP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4A6B9A0C">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_Toc13482 </w:instrText>
          </w:r>
          <w:r>
            <w:rPr>
              <w:rFonts w:hint="eastAsia" w:ascii="宋体" w:hAnsi="宋体" w:eastAsia="宋体" w:cs="宋体"/>
              <w:sz w:val="24"/>
              <w:szCs w:val="24"/>
            </w:rP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_Toc13482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400A9F56">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_Toc26104 </w:instrText>
          </w:r>
          <w:r>
            <w:rPr>
              <w:rFonts w:hint="eastAsia" w:ascii="宋体" w:hAnsi="宋体" w:eastAsia="宋体" w:cs="宋体"/>
              <w:sz w:val="24"/>
              <w:szCs w:val="24"/>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_Toc26104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18637B96">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_Toc21929 </w:instrText>
          </w:r>
          <w:r>
            <w:rPr>
              <w:rFonts w:hint="eastAsia" w:ascii="宋体" w:hAnsi="宋体" w:eastAsia="宋体" w:cs="宋体"/>
              <w:sz w:val="24"/>
              <w:szCs w:val="24"/>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_Toc21929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75C25E9B">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_Toc21556 </w:instrText>
          </w:r>
          <w:r>
            <w:rPr>
              <w:rFonts w:hint="eastAsia" w:ascii="宋体" w:hAnsi="宋体" w:eastAsia="宋体" w:cs="宋体"/>
              <w:sz w:val="24"/>
              <w:szCs w:val="24"/>
            </w:rPr>
            <w:fldChar w:fldCharType="separate"/>
          </w:r>
          <w:r>
            <w:rPr>
              <w:rFonts w:hint="eastAsia" w:ascii="宋体" w:hAnsi="宋体" w:eastAsia="宋体" w:cs="宋体"/>
              <w:sz w:val="24"/>
              <w:szCs w:val="24"/>
            </w:rPr>
            <w:t>10.支付办法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_Toc21556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58B88D87">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_Toc9834 </w:instrText>
          </w:r>
          <w:r>
            <w:rPr>
              <w:rFonts w:hint="eastAsia" w:ascii="宋体" w:hAnsi="宋体" w:eastAsia="宋体" w:cs="宋体"/>
              <w:sz w:val="24"/>
              <w:szCs w:val="24"/>
            </w:rPr>
            <w:fldChar w:fldCharType="separate"/>
          </w:r>
          <w:r>
            <w:rPr>
              <w:rFonts w:hint="eastAsia" w:ascii="宋体" w:hAnsi="宋体" w:eastAsia="宋体" w:cs="宋体"/>
              <w:sz w:val="24"/>
              <w:szCs w:val="24"/>
            </w:rPr>
            <w:t>11、需要补充的其他内容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_Toc9834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19CD9DB9">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_Toc25141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lang w:val="en-US" w:eastAsia="zh-CN" w:bidi="ar-SA"/>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4DD3A4C4">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_Toc957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644D7429">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_Toc7131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评分标准分项明细表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_Toc7131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0822B9F3">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_Toc11018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2. 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_Toc11018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2310D6F3">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_Toc19922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3.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_Toc19922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53AD6BDF">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_Toc12204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第四章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_Toc12204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6D55A976">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_Toc14844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第五章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_Toc14844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7BFAB899">
          <w:pPr>
            <w:pStyle w:val="13"/>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_Toc8226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 xml:space="preserve">第六章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_Toc8226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5E3E9C5A">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_Toc24665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一、投 标 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_Toc24665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37C7B0A2">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_Toc491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二、开标一览表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471C5B0B">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_Toc2052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三、法定代表人身份证明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0AA249E6">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_Toc16636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四、授权委托书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_Toc16636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39738AC7">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_Toc20795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五、</w:t>
          </w:r>
          <w:r>
            <w:rPr>
              <w:rFonts w:hint="eastAsia" w:ascii="宋体" w:hAnsi="宋体" w:eastAsia="宋体" w:cs="宋体"/>
              <w:bCs/>
              <w:kern w:val="2"/>
              <w:sz w:val="24"/>
              <w:szCs w:val="24"/>
              <w:highlight w:val="none"/>
              <w:lang w:eastAsia="zh-CN"/>
            </w:rPr>
            <w:t>货物质量保障方案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_Toc20795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1EDF864A">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_Toc22582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六、投标承诺函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_Toc22582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2AEC7C56">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_Toc8337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七、资格证明文件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_Toc8337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358EBB02">
          <w:pPr>
            <w:pStyle w:val="14"/>
            <w:keepNext w:val="0"/>
            <w:keepLines w:val="0"/>
            <w:pageBreakBefore w:val="0"/>
            <w:widowControl/>
            <w:tabs>
              <w:tab w:val="right" w:leader="dot" w:pos="10087"/>
            </w:tabs>
            <w:kinsoku/>
            <w:wordWrap/>
            <w:overflowPunct/>
            <w:topLinePunct w:val="0"/>
            <w:autoSpaceDE/>
            <w:autoSpaceDN/>
            <w:bidi w:val="0"/>
            <w:adjustRightInd/>
            <w:snapToGrid/>
            <w:spacing w:line="400" w:lineRule="exact"/>
            <w:textAlignment w:val="baseline"/>
            <w:rPr>
              <w:rFonts w:hint="eastAsia" w:ascii="宋体" w:hAnsi="宋体" w:eastAsia="宋体" w:cs="宋体"/>
              <w:sz w:val="24"/>
              <w:szCs w:val="24"/>
            </w:rPr>
          </w:pPr>
          <w:r>
            <w:rPr>
              <w:rFonts w:hint="eastAsia" w:ascii="宋体" w:hAnsi="宋体" w:eastAsia="宋体" w:cs="宋体"/>
              <w:color w:val="auto"/>
              <w:sz w:val="24"/>
              <w:szCs w:val="24"/>
              <w:u w:val="single"/>
            </w:rPr>
            <w:fldChar w:fldCharType="begin"/>
          </w:r>
          <w:r>
            <w:rPr>
              <w:rFonts w:hint="eastAsia" w:ascii="宋体" w:hAnsi="宋体" w:eastAsia="宋体" w:cs="宋体"/>
              <w:sz w:val="24"/>
              <w:szCs w:val="24"/>
            </w:rPr>
            <w:instrText xml:space="preserve"> HYPERLINK \l _Toc25161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highlight w:val="none"/>
            </w:rPr>
            <w:t>八、其他资料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_Toc25161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u w:val="single"/>
            </w:rPr>
            <w:fldChar w:fldCharType="end"/>
          </w:r>
        </w:p>
        <w:p w14:paraId="784A53B7">
          <w:pPr>
            <w:keepNext w:val="0"/>
            <w:keepLines w:val="0"/>
            <w:pageBreakBefore w:val="0"/>
            <w:widowControl/>
            <w:kinsoku/>
            <w:wordWrap/>
            <w:overflowPunct/>
            <w:topLinePunct w:val="0"/>
            <w:autoSpaceDE/>
            <w:autoSpaceDN/>
            <w:bidi w:val="0"/>
            <w:adjustRightInd/>
            <w:snapToGrid/>
            <w:spacing w:line="400" w:lineRule="exact"/>
            <w:textAlignment w:val="baseline"/>
            <w:rPr>
              <w:rFonts w:ascii="宋体" w:hAnsi="宋体" w:eastAsia="宋体" w:cs="Times New Roman"/>
              <w:b/>
              <w:color w:val="auto"/>
              <w:sz w:val="21"/>
              <w:szCs w:val="24"/>
              <w:u w:val="single" w:color="000000"/>
              <w:lang w:val="en-US" w:eastAsia="zh-CN" w:bidi="ar-SA"/>
            </w:rPr>
            <w:sectPr>
              <w:footerReference r:id="rId10" w:type="default"/>
              <w:endnotePr>
                <w:numFmt w:val="decimal"/>
              </w:endnotePr>
              <w:pgSz w:w="12247" w:h="15819"/>
              <w:pgMar w:top="1440" w:right="1080" w:bottom="1440" w:left="1080" w:header="719" w:footer="1133" w:gutter="0"/>
              <w:pgNumType w:start="1"/>
              <w:cols w:space="720" w:num="1"/>
              <w:docGrid w:type="lines" w:linePitch="312" w:charSpace="0"/>
            </w:sectPr>
          </w:pPr>
          <w:r>
            <w:rPr>
              <w:rFonts w:hint="eastAsia" w:ascii="宋体" w:hAnsi="宋体" w:eastAsia="宋体" w:cs="宋体"/>
              <w:color w:val="auto"/>
              <w:sz w:val="24"/>
              <w:szCs w:val="24"/>
              <w:u w:val="single"/>
            </w:rPr>
            <w:fldChar w:fldCharType="end"/>
          </w:r>
        </w:p>
      </w:sdtContent>
    </w:sdt>
    <w:p w14:paraId="70066EA4">
      <w:pPr>
        <w:pageBreakBefore w:val="0"/>
        <w:wordWrap/>
        <w:overflowPunct/>
        <w:bidi w:val="0"/>
        <w:spacing w:line="360" w:lineRule="auto"/>
        <w:jc w:val="center"/>
        <w:outlineLvl w:val="0"/>
        <w:rPr>
          <w:b/>
          <w:bCs/>
          <w:sz w:val="44"/>
          <w:szCs w:val="40"/>
        </w:rPr>
      </w:pPr>
      <w:bookmarkStart w:id="4" w:name="_Toc31598"/>
      <w:r>
        <w:rPr>
          <w:rFonts w:hint="eastAsia"/>
          <w:b/>
          <w:bCs/>
          <w:sz w:val="44"/>
          <w:szCs w:val="40"/>
        </w:rPr>
        <w:t xml:space="preserve">第一章  </w:t>
      </w:r>
      <w:r>
        <w:rPr>
          <w:b/>
          <w:bCs/>
          <w:sz w:val="44"/>
          <w:szCs w:val="40"/>
        </w:rPr>
        <w:t>招标公告</w:t>
      </w:r>
      <w:bookmarkEnd w:id="0"/>
      <w:bookmarkEnd w:id="1"/>
      <w:bookmarkEnd w:id="2"/>
      <w:bookmarkEnd w:id="3"/>
      <w:bookmarkEnd w:id="4"/>
    </w:p>
    <w:p w14:paraId="41CF8CED">
      <w:pPr>
        <w:pageBreakBefore w:val="0"/>
        <w:wordWrap/>
        <w:overflowPunct/>
        <w:bidi w:val="0"/>
        <w:spacing w:line="360" w:lineRule="auto"/>
        <w:ind w:firstLine="480" w:firstLineChars="200"/>
        <w:rPr>
          <w:rFonts w:ascii="宋体" w:hAnsi="宋体"/>
          <w:color w:val="auto"/>
          <w:sz w:val="24"/>
          <w:szCs w:val="24"/>
        </w:rPr>
      </w:pPr>
      <w:bookmarkStart w:id="5" w:name="OLE_LINK1"/>
      <w:r>
        <w:rPr>
          <w:rFonts w:hint="eastAsia" w:ascii="宋体" w:hAnsi="宋体"/>
          <w:color w:val="auto"/>
          <w:sz w:val="24"/>
          <w:szCs w:val="24"/>
        </w:rPr>
        <w:t>项目概况</w:t>
      </w:r>
    </w:p>
    <w:p w14:paraId="525E49F8">
      <w:pPr>
        <w:pageBreakBefore w:val="0"/>
        <w:wordWrap/>
        <w:overflowPunct/>
        <w:bidi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三门峡市城市建设发展服务中心2025年度城市道路维护抢险作业沥青混凝土材料采购项目</w:t>
      </w:r>
      <w:r>
        <w:rPr>
          <w:rFonts w:hint="eastAsia" w:ascii="宋体" w:hAnsi="宋体"/>
          <w:color w:val="auto"/>
          <w:sz w:val="24"/>
          <w:szCs w:val="24"/>
        </w:rPr>
        <w:t>的潜在</w:t>
      </w:r>
      <w:r>
        <w:rPr>
          <w:rFonts w:hint="eastAsia" w:ascii="宋体" w:hAnsi="宋体"/>
          <w:color w:val="auto"/>
          <w:sz w:val="24"/>
          <w:szCs w:val="24"/>
          <w:lang w:eastAsia="zh-CN"/>
        </w:rPr>
        <w:t>供应商</w:t>
      </w:r>
      <w:r>
        <w:rPr>
          <w:rFonts w:hint="eastAsia" w:ascii="宋体" w:hAnsi="宋体"/>
          <w:color w:val="auto"/>
          <w:sz w:val="24"/>
          <w:szCs w:val="24"/>
        </w:rPr>
        <w:t>应在三门峡市公共资源交易中心（gzjy.smx.gov.cn）获取招标文件，并于</w:t>
      </w:r>
      <w:r>
        <w:rPr>
          <w:rFonts w:hint="eastAsia" w:ascii="宋体" w:hAnsi="宋体"/>
          <w:color w:val="auto"/>
          <w:sz w:val="24"/>
          <w:szCs w:val="24"/>
          <w:highlight w:val="none"/>
          <w:lang w:eastAsia="zh-CN"/>
        </w:rPr>
        <w:t>2025年04月17日08时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r>
        <w:rPr>
          <w:rFonts w:hint="eastAsia" w:ascii="宋体" w:hAnsi="宋体"/>
          <w:color w:val="auto"/>
          <w:sz w:val="24"/>
          <w:szCs w:val="24"/>
        </w:rPr>
        <w:t>（北京时间）前递交响应文件</w:t>
      </w:r>
      <w:r>
        <w:rPr>
          <w:rFonts w:hint="eastAsia" w:ascii="宋体" w:hAnsi="宋体"/>
          <w:color w:val="auto"/>
          <w:sz w:val="24"/>
          <w:szCs w:val="24"/>
          <w:lang w:eastAsia="zh-CN"/>
        </w:rPr>
        <w:t>。</w:t>
      </w:r>
    </w:p>
    <w:p w14:paraId="0648A230">
      <w:pPr>
        <w:pageBreakBefore w:val="0"/>
        <w:wordWrap/>
        <w:overflowPunct/>
        <w:bidi w:val="0"/>
        <w:spacing w:line="360" w:lineRule="auto"/>
        <w:ind w:firstLine="480" w:firstLineChars="200"/>
        <w:outlineLvl w:val="9"/>
        <w:rPr>
          <w:rFonts w:ascii="宋体" w:hAnsi="宋体"/>
          <w:bCs/>
          <w:color w:val="auto"/>
          <w:sz w:val="24"/>
          <w:szCs w:val="24"/>
        </w:rPr>
      </w:pPr>
      <w:r>
        <w:rPr>
          <w:rFonts w:hint="eastAsia" w:ascii="宋体" w:hAnsi="宋体"/>
          <w:bCs/>
          <w:color w:val="auto"/>
          <w:sz w:val="24"/>
          <w:szCs w:val="24"/>
        </w:rPr>
        <w:t>一、项目基本情况</w:t>
      </w:r>
    </w:p>
    <w:p w14:paraId="15E253E1">
      <w:pPr>
        <w:pageBreakBefore w:val="0"/>
        <w:wordWrap/>
        <w:overflowPunct/>
        <w:bidi w:val="0"/>
        <w:spacing w:line="360" w:lineRule="auto"/>
        <w:ind w:firstLine="480" w:firstLineChars="200"/>
        <w:outlineLvl w:val="9"/>
        <w:rPr>
          <w:rFonts w:hint="eastAsia" w:ascii="宋体" w:hAnsi="宋体"/>
          <w:color w:val="auto"/>
          <w:sz w:val="24"/>
          <w:szCs w:val="24"/>
          <w:lang w:eastAsia="zh-CN"/>
        </w:rPr>
      </w:pPr>
      <w:r>
        <w:rPr>
          <w:rFonts w:hint="eastAsia" w:ascii="宋体" w:hAnsi="宋体"/>
          <w:color w:val="auto"/>
          <w:sz w:val="24"/>
          <w:szCs w:val="24"/>
        </w:rPr>
        <w:t>1、项目名称：</w:t>
      </w:r>
      <w:bookmarkStart w:id="6" w:name="OLE_LINK4"/>
      <w:r>
        <w:rPr>
          <w:rFonts w:hint="eastAsia" w:ascii="宋体" w:hAnsi="宋体"/>
          <w:color w:val="auto"/>
          <w:sz w:val="24"/>
          <w:szCs w:val="24"/>
          <w:lang w:eastAsia="zh-CN"/>
        </w:rPr>
        <w:t>三门峡市城市建设发展服务中心2025年度城市道路维护抢险作业沥青混凝土材料采购项目</w:t>
      </w:r>
      <w:bookmarkEnd w:id="6"/>
    </w:p>
    <w:p w14:paraId="51E2E8AE">
      <w:pPr>
        <w:pageBreakBefore w:val="0"/>
        <w:wordWrap/>
        <w:overflowPunct/>
        <w:bidi w:val="0"/>
        <w:spacing w:line="360" w:lineRule="auto"/>
        <w:ind w:firstLine="480" w:firstLineChars="200"/>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 xml:space="preserve">2、项目编号： </w:t>
      </w:r>
      <w:bookmarkStart w:id="7" w:name="OLE_LINK12"/>
      <w:r>
        <w:rPr>
          <w:rFonts w:hint="eastAsia" w:ascii="宋体" w:hAnsi="宋体"/>
          <w:color w:val="auto"/>
          <w:sz w:val="24"/>
          <w:szCs w:val="24"/>
          <w:highlight w:val="none"/>
          <w:lang w:val="en-US" w:eastAsia="zh-CN"/>
        </w:rPr>
        <w:t>三财公开采购-2025-16</w:t>
      </w:r>
      <w:bookmarkEnd w:id="7"/>
      <w:r>
        <w:rPr>
          <w:rFonts w:hint="eastAsia" w:ascii="宋体" w:hAnsi="宋体"/>
          <w:color w:val="auto"/>
          <w:sz w:val="24"/>
          <w:szCs w:val="24"/>
          <w:highlight w:val="none"/>
          <w:lang w:val="en-US" w:eastAsia="zh-CN"/>
        </w:rPr>
        <w:t>、SGZ[2025]122-ZC083</w:t>
      </w:r>
    </w:p>
    <w:p w14:paraId="0905349B">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3、采购方式：公开招标</w:t>
      </w:r>
    </w:p>
    <w:p w14:paraId="27BFC62C">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4、预算金额：约</w:t>
      </w:r>
      <w:r>
        <w:rPr>
          <w:rFonts w:ascii="宋体" w:hAnsi="宋体"/>
          <w:color w:val="auto"/>
          <w:sz w:val="24"/>
          <w:szCs w:val="24"/>
        </w:rPr>
        <w:t>3</w:t>
      </w:r>
      <w:r>
        <w:rPr>
          <w:rFonts w:hint="eastAsia" w:ascii="宋体" w:hAnsi="宋体"/>
          <w:color w:val="auto"/>
          <w:sz w:val="24"/>
          <w:szCs w:val="24"/>
          <w:lang w:val="en-US" w:eastAsia="zh-CN"/>
        </w:rPr>
        <w:t>0</w:t>
      </w:r>
      <w:r>
        <w:rPr>
          <w:rFonts w:ascii="宋体" w:hAnsi="宋体"/>
          <w:color w:val="auto"/>
          <w:sz w:val="24"/>
          <w:szCs w:val="24"/>
        </w:rPr>
        <w:t>00000.00元</w:t>
      </w:r>
      <w:r>
        <w:rPr>
          <w:rFonts w:hint="eastAsia" w:ascii="宋体" w:hAnsi="宋体"/>
          <w:color w:val="auto"/>
          <w:sz w:val="24"/>
          <w:szCs w:val="24"/>
        </w:rPr>
        <w:t>（最终以实际发生为准）</w:t>
      </w:r>
    </w:p>
    <w:p w14:paraId="032251BE">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最高限价：约</w:t>
      </w:r>
      <w:r>
        <w:rPr>
          <w:rFonts w:ascii="宋体" w:hAnsi="宋体"/>
          <w:color w:val="auto"/>
          <w:sz w:val="24"/>
          <w:szCs w:val="24"/>
        </w:rPr>
        <w:t>3</w:t>
      </w:r>
      <w:r>
        <w:rPr>
          <w:rFonts w:hint="eastAsia" w:ascii="宋体" w:hAnsi="宋体"/>
          <w:color w:val="auto"/>
          <w:sz w:val="24"/>
          <w:szCs w:val="24"/>
          <w:lang w:val="en-US" w:eastAsia="zh-CN"/>
        </w:rPr>
        <w:t>0</w:t>
      </w:r>
      <w:r>
        <w:rPr>
          <w:rFonts w:ascii="宋体" w:hAnsi="宋体"/>
          <w:color w:val="auto"/>
          <w:sz w:val="24"/>
          <w:szCs w:val="24"/>
        </w:rPr>
        <w:t>00000.00元</w:t>
      </w:r>
      <w:r>
        <w:rPr>
          <w:rFonts w:hint="eastAsia" w:ascii="宋体" w:hAnsi="宋体"/>
          <w:color w:val="auto"/>
          <w:sz w:val="24"/>
          <w:szCs w:val="24"/>
        </w:rPr>
        <w:t>（最终以实际发生为准）</w:t>
      </w:r>
    </w:p>
    <w:tbl>
      <w:tblPr>
        <w:tblStyle w:val="1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336"/>
        <w:gridCol w:w="1894"/>
        <w:gridCol w:w="2092"/>
      </w:tblGrid>
      <w:tr w14:paraId="65E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56A68BA3">
            <w:pPr>
              <w:pageBreakBefore w:val="0"/>
              <w:wordWrap/>
              <w:overflowPunct/>
              <w:bidi w:val="0"/>
              <w:spacing w:line="360" w:lineRule="auto"/>
              <w:jc w:val="center"/>
              <w:outlineLvl w:val="9"/>
              <w:rPr>
                <w:rFonts w:ascii="宋体" w:hAnsi="宋体"/>
                <w:color w:val="auto"/>
                <w:sz w:val="24"/>
                <w:szCs w:val="24"/>
              </w:rPr>
            </w:pPr>
            <w:r>
              <w:rPr>
                <w:rFonts w:hint="eastAsia" w:ascii="宋体" w:hAnsi="宋体"/>
                <w:color w:val="auto"/>
                <w:sz w:val="24"/>
                <w:szCs w:val="24"/>
              </w:rPr>
              <w:t>序号</w:t>
            </w:r>
          </w:p>
        </w:tc>
        <w:tc>
          <w:tcPr>
            <w:tcW w:w="5336" w:type="dxa"/>
            <w:vAlign w:val="center"/>
          </w:tcPr>
          <w:p w14:paraId="3394239B">
            <w:pPr>
              <w:pageBreakBefore w:val="0"/>
              <w:wordWrap/>
              <w:overflowPunct/>
              <w:bidi w:val="0"/>
              <w:spacing w:line="360" w:lineRule="auto"/>
              <w:jc w:val="center"/>
              <w:outlineLvl w:val="9"/>
              <w:rPr>
                <w:rFonts w:ascii="宋体" w:hAnsi="宋体"/>
                <w:color w:val="auto"/>
                <w:sz w:val="24"/>
                <w:szCs w:val="24"/>
              </w:rPr>
            </w:pPr>
            <w:r>
              <w:rPr>
                <w:rFonts w:hint="eastAsia" w:ascii="宋体" w:hAnsi="宋体"/>
                <w:color w:val="auto"/>
                <w:sz w:val="24"/>
                <w:szCs w:val="24"/>
              </w:rPr>
              <w:t>包名称</w:t>
            </w:r>
          </w:p>
        </w:tc>
        <w:tc>
          <w:tcPr>
            <w:tcW w:w="1894" w:type="dxa"/>
            <w:vAlign w:val="center"/>
          </w:tcPr>
          <w:p w14:paraId="5526BDE2">
            <w:pPr>
              <w:pageBreakBefore w:val="0"/>
              <w:wordWrap/>
              <w:overflowPunct/>
              <w:bidi w:val="0"/>
              <w:spacing w:line="360" w:lineRule="auto"/>
              <w:jc w:val="center"/>
              <w:outlineLvl w:val="9"/>
              <w:rPr>
                <w:rFonts w:ascii="宋体" w:hAnsi="宋体"/>
                <w:color w:val="auto"/>
                <w:sz w:val="24"/>
                <w:szCs w:val="24"/>
              </w:rPr>
            </w:pPr>
            <w:r>
              <w:rPr>
                <w:rFonts w:hint="eastAsia" w:ascii="宋体" w:hAnsi="宋体"/>
                <w:color w:val="auto"/>
                <w:sz w:val="24"/>
                <w:szCs w:val="24"/>
              </w:rPr>
              <w:t>包预算（元）</w:t>
            </w:r>
          </w:p>
        </w:tc>
        <w:tc>
          <w:tcPr>
            <w:tcW w:w="2092" w:type="dxa"/>
            <w:vAlign w:val="center"/>
          </w:tcPr>
          <w:p w14:paraId="4A4F795E">
            <w:pPr>
              <w:pageBreakBefore w:val="0"/>
              <w:wordWrap/>
              <w:overflowPunct/>
              <w:bidi w:val="0"/>
              <w:spacing w:line="360" w:lineRule="auto"/>
              <w:jc w:val="center"/>
              <w:outlineLvl w:val="9"/>
              <w:rPr>
                <w:rFonts w:ascii="宋体" w:hAnsi="宋体"/>
                <w:color w:val="auto"/>
                <w:sz w:val="24"/>
                <w:szCs w:val="24"/>
              </w:rPr>
            </w:pPr>
            <w:r>
              <w:rPr>
                <w:rFonts w:hint="eastAsia" w:ascii="宋体" w:hAnsi="宋体"/>
                <w:color w:val="auto"/>
                <w:sz w:val="24"/>
                <w:szCs w:val="24"/>
              </w:rPr>
              <w:t>包最高限价（元）</w:t>
            </w:r>
          </w:p>
        </w:tc>
      </w:tr>
      <w:tr w14:paraId="18D3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3F336F74">
            <w:pPr>
              <w:pageBreakBefore w:val="0"/>
              <w:wordWrap/>
              <w:overflowPunct/>
              <w:bidi w:val="0"/>
              <w:spacing w:line="360" w:lineRule="auto"/>
              <w:jc w:val="center"/>
              <w:outlineLvl w:val="9"/>
              <w:rPr>
                <w:rFonts w:ascii="宋体" w:hAnsi="宋体"/>
                <w:color w:val="auto"/>
                <w:sz w:val="24"/>
                <w:szCs w:val="24"/>
              </w:rPr>
            </w:pPr>
            <w:r>
              <w:rPr>
                <w:rFonts w:hint="eastAsia" w:ascii="宋体" w:hAnsi="宋体"/>
                <w:color w:val="auto"/>
                <w:sz w:val="24"/>
                <w:szCs w:val="24"/>
              </w:rPr>
              <w:t>1</w:t>
            </w:r>
          </w:p>
        </w:tc>
        <w:tc>
          <w:tcPr>
            <w:tcW w:w="5336" w:type="dxa"/>
            <w:vAlign w:val="center"/>
          </w:tcPr>
          <w:p w14:paraId="5A95ACBE">
            <w:pPr>
              <w:pageBreakBefore w:val="0"/>
              <w:wordWrap/>
              <w:overflowPunct/>
              <w:bidi w:val="0"/>
              <w:spacing w:line="360" w:lineRule="auto"/>
              <w:jc w:val="center"/>
              <w:outlineLvl w:val="9"/>
              <w:rPr>
                <w:rFonts w:hint="eastAsia" w:ascii="宋体" w:hAnsi="宋体" w:eastAsia="宋体"/>
                <w:color w:val="auto"/>
                <w:sz w:val="24"/>
                <w:szCs w:val="24"/>
                <w:lang w:eastAsia="zh-CN"/>
              </w:rPr>
            </w:pPr>
            <w:bookmarkStart w:id="8" w:name="OLE_LINK11"/>
            <w:r>
              <w:rPr>
                <w:rFonts w:hint="eastAsia" w:ascii="宋体" w:hAnsi="宋体"/>
                <w:color w:val="auto"/>
                <w:sz w:val="24"/>
                <w:szCs w:val="24"/>
                <w:lang w:eastAsia="zh-CN"/>
              </w:rPr>
              <w:t>三门峡市城市建设发展服务中心2025年度城市道路维护抢险作业沥青混凝土材料采购项目</w:t>
            </w:r>
            <w:bookmarkEnd w:id="8"/>
          </w:p>
        </w:tc>
        <w:tc>
          <w:tcPr>
            <w:tcW w:w="1894" w:type="dxa"/>
            <w:vAlign w:val="center"/>
          </w:tcPr>
          <w:p w14:paraId="3B10E39E">
            <w:pPr>
              <w:pageBreakBefore w:val="0"/>
              <w:wordWrap/>
              <w:overflowPunct/>
              <w:bidi w:val="0"/>
              <w:spacing w:line="360" w:lineRule="auto"/>
              <w:jc w:val="center"/>
              <w:outlineLvl w:val="9"/>
              <w:rPr>
                <w:rFonts w:hint="eastAsia" w:ascii="宋体" w:hAnsi="宋体" w:eastAsia="宋体"/>
                <w:color w:val="auto"/>
                <w:sz w:val="24"/>
                <w:szCs w:val="24"/>
                <w:lang w:eastAsia="zh-CN"/>
              </w:rPr>
            </w:pPr>
            <w:bookmarkStart w:id="9" w:name="OLE_LINK9"/>
            <w:r>
              <w:rPr>
                <w:rFonts w:hint="eastAsia" w:ascii="宋体" w:hAnsi="宋体"/>
                <w:color w:val="auto"/>
                <w:sz w:val="24"/>
                <w:szCs w:val="24"/>
                <w:lang w:eastAsia="zh-CN"/>
              </w:rPr>
              <w:t>3000000.00</w:t>
            </w:r>
            <w:bookmarkEnd w:id="9"/>
          </w:p>
        </w:tc>
        <w:tc>
          <w:tcPr>
            <w:tcW w:w="2092" w:type="dxa"/>
            <w:vAlign w:val="center"/>
          </w:tcPr>
          <w:p w14:paraId="11F90223">
            <w:pPr>
              <w:pageBreakBefore w:val="0"/>
              <w:wordWrap/>
              <w:overflowPunct/>
              <w:bidi w:val="0"/>
              <w:spacing w:line="360" w:lineRule="auto"/>
              <w:jc w:val="center"/>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3000000.00</w:t>
            </w:r>
          </w:p>
        </w:tc>
      </w:tr>
    </w:tbl>
    <w:p w14:paraId="0CD7B616">
      <w:pPr>
        <w:pageBreakBefore w:val="0"/>
        <w:wordWrap/>
        <w:overflowPunct/>
        <w:bidi w:val="0"/>
        <w:spacing w:line="360" w:lineRule="auto"/>
        <w:ind w:firstLine="480" w:firstLineChars="200"/>
        <w:outlineLvl w:val="9"/>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、采购需求（包括但不限于标的的名称、数量、简要技术需求或服务要求等）</w:t>
      </w:r>
    </w:p>
    <w:p w14:paraId="4A712556">
      <w:pPr>
        <w:pageBreakBefore w:val="0"/>
        <w:wordWrap/>
        <w:overflowPunct/>
        <w:bidi w:val="0"/>
        <w:spacing w:line="360" w:lineRule="auto"/>
        <w:ind w:firstLine="480" w:firstLineChars="200"/>
        <w:outlineLvl w:val="9"/>
        <w:rPr>
          <w:rFonts w:ascii="宋体" w:hAnsi="宋体"/>
          <w:color w:val="auto"/>
          <w:sz w:val="24"/>
          <w:szCs w:val="24"/>
        </w:rPr>
      </w:pPr>
      <w:r>
        <w:rPr>
          <w:rFonts w:ascii="宋体" w:hAnsi="宋体"/>
          <w:color w:val="auto"/>
          <w:sz w:val="24"/>
          <w:szCs w:val="24"/>
        </w:rPr>
        <w:t>5.1</w:t>
      </w:r>
      <w:r>
        <w:rPr>
          <w:rFonts w:hint="eastAsia" w:ascii="宋体" w:hAnsi="宋体"/>
          <w:color w:val="auto"/>
          <w:sz w:val="24"/>
          <w:szCs w:val="24"/>
        </w:rPr>
        <w:t>、采购内容：本项目为</w:t>
      </w:r>
      <w:bookmarkStart w:id="10" w:name="OLE_LINK10"/>
      <w:r>
        <w:rPr>
          <w:rFonts w:hint="eastAsia" w:ascii="宋体" w:hAnsi="宋体"/>
          <w:color w:val="auto"/>
          <w:sz w:val="24"/>
          <w:szCs w:val="24"/>
        </w:rPr>
        <w:t>三门峡市市区城市道路</w:t>
      </w:r>
      <w:bookmarkEnd w:id="10"/>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年度实施日常养护、专项维护、应急抢险等养护维修任务时采购沥青混凝土</w:t>
      </w:r>
      <w:r>
        <w:rPr>
          <w:rFonts w:hint="eastAsia" w:ascii="宋体" w:hAnsi="宋体"/>
          <w:color w:val="auto"/>
          <w:sz w:val="24"/>
          <w:szCs w:val="24"/>
          <w:lang w:val="en-US" w:eastAsia="zh-CN"/>
        </w:rPr>
        <w:t>维修材料</w:t>
      </w:r>
      <w:r>
        <w:rPr>
          <w:rFonts w:hint="eastAsia" w:ascii="宋体" w:hAnsi="宋体"/>
          <w:color w:val="auto"/>
          <w:sz w:val="24"/>
          <w:szCs w:val="24"/>
        </w:rPr>
        <w:t>进行</w:t>
      </w:r>
      <w:r>
        <w:rPr>
          <w:rFonts w:hint="eastAsia" w:ascii="宋体" w:hAnsi="宋体"/>
          <w:color w:val="auto"/>
          <w:sz w:val="24"/>
          <w:szCs w:val="24"/>
          <w:lang w:val="en-US" w:eastAsia="zh-CN"/>
        </w:rPr>
        <w:t>的公开</w:t>
      </w:r>
      <w:r>
        <w:rPr>
          <w:rFonts w:hint="eastAsia" w:ascii="宋体" w:hAnsi="宋体"/>
          <w:color w:val="auto"/>
          <w:sz w:val="24"/>
          <w:szCs w:val="24"/>
        </w:rPr>
        <w:t>招标，拟采用单价招标。本采购项目拟以三门峡市定额站发布的202</w:t>
      </w:r>
      <w:r>
        <w:rPr>
          <w:rFonts w:hint="eastAsia" w:ascii="宋体" w:hAnsi="宋体"/>
          <w:color w:val="auto"/>
          <w:sz w:val="24"/>
          <w:szCs w:val="24"/>
          <w:lang w:val="en-US" w:eastAsia="zh-CN"/>
        </w:rPr>
        <w:t>5</w:t>
      </w:r>
      <w:r>
        <w:rPr>
          <w:rFonts w:hint="eastAsia" w:ascii="宋体" w:hAnsi="宋体"/>
          <w:color w:val="auto"/>
          <w:sz w:val="24"/>
          <w:szCs w:val="24"/>
        </w:rPr>
        <w:t>年当期《三门峡工程标准造价信息》中</w:t>
      </w:r>
      <w:r>
        <w:rPr>
          <w:rFonts w:hint="eastAsia" w:ascii="宋体" w:hAnsi="宋体" w:eastAsia="宋体" w:cs="宋体"/>
          <w:sz w:val="24"/>
          <w:szCs w:val="24"/>
          <w:highlight w:val="none"/>
          <w:lang w:val="en-US" w:eastAsia="zh-CN"/>
        </w:rPr>
        <w:t>沥青混凝土</w:t>
      </w:r>
      <w:r>
        <w:rPr>
          <w:rFonts w:hint="eastAsia" w:ascii="宋体" w:hAnsi="宋体"/>
          <w:color w:val="auto"/>
          <w:sz w:val="24"/>
          <w:szCs w:val="24"/>
        </w:rPr>
        <w:t>的价格为基准价，各</w:t>
      </w:r>
      <w:r>
        <w:rPr>
          <w:rFonts w:hint="eastAsia" w:ascii="宋体" w:hAnsi="宋体"/>
          <w:color w:val="auto"/>
          <w:sz w:val="24"/>
          <w:szCs w:val="24"/>
          <w:lang w:val="en-US" w:eastAsia="zh-CN"/>
        </w:rPr>
        <w:t>供应商</w:t>
      </w:r>
      <w:r>
        <w:rPr>
          <w:rFonts w:hint="eastAsia" w:ascii="宋体" w:hAnsi="宋体"/>
          <w:color w:val="auto"/>
          <w:sz w:val="24"/>
          <w:szCs w:val="24"/>
        </w:rPr>
        <w:t>以下浮百分比</w:t>
      </w:r>
      <w:r>
        <w:rPr>
          <w:rFonts w:hint="eastAsia" w:ascii="宋体" w:hAnsi="宋体"/>
          <w:color w:val="auto"/>
          <w:sz w:val="24"/>
          <w:szCs w:val="24"/>
          <w:lang w:val="en-US" w:eastAsia="zh-CN"/>
        </w:rPr>
        <w:t>后的数值</w:t>
      </w:r>
      <w:r>
        <w:rPr>
          <w:rFonts w:hint="eastAsia" w:ascii="宋体" w:hAnsi="宋体"/>
          <w:color w:val="auto"/>
          <w:sz w:val="24"/>
          <w:szCs w:val="24"/>
        </w:rPr>
        <w:t>进行报价。采购完成后，结算时按照供料时间当期信息价，下浮百分比</w:t>
      </w:r>
      <w:r>
        <w:rPr>
          <w:rFonts w:hint="eastAsia" w:ascii="宋体" w:hAnsi="宋体"/>
          <w:color w:val="auto"/>
          <w:sz w:val="24"/>
          <w:szCs w:val="24"/>
          <w:lang w:val="en-US" w:eastAsia="zh-CN"/>
        </w:rPr>
        <w:t>后的数值</w:t>
      </w:r>
      <w:r>
        <w:rPr>
          <w:rFonts w:hint="eastAsia" w:ascii="宋体" w:hAnsi="宋体"/>
          <w:color w:val="auto"/>
          <w:sz w:val="24"/>
          <w:szCs w:val="24"/>
        </w:rPr>
        <w:t>进行结算。</w:t>
      </w:r>
    </w:p>
    <w:p w14:paraId="02708B23">
      <w:pPr>
        <w:pageBreakBefore w:val="0"/>
        <w:wordWrap/>
        <w:overflowPunct/>
        <w:bidi w:val="0"/>
        <w:spacing w:line="360" w:lineRule="auto"/>
        <w:ind w:firstLine="480" w:firstLineChars="200"/>
        <w:outlineLvl w:val="9"/>
        <w:rPr>
          <w:rFonts w:hint="default" w:ascii="宋体" w:hAnsi="宋体" w:eastAsia="宋体"/>
          <w:color w:val="auto"/>
          <w:sz w:val="24"/>
          <w:szCs w:val="24"/>
          <w:lang w:val="en-US" w:eastAsia="zh-CN"/>
        </w:rPr>
      </w:pP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szCs w:val="24"/>
          <w:lang w:val="en-US" w:eastAsia="zh-CN"/>
        </w:rPr>
        <w:t>资金来源：财政资金。</w:t>
      </w:r>
    </w:p>
    <w:p w14:paraId="71B228AF">
      <w:pPr>
        <w:pageBreakBefore w:val="0"/>
        <w:wordWrap/>
        <w:overflowPunct/>
        <w:bidi w:val="0"/>
        <w:spacing w:line="360" w:lineRule="auto"/>
        <w:ind w:firstLine="480" w:firstLineChars="200"/>
        <w:outlineLvl w:val="9"/>
        <w:rPr>
          <w:rFonts w:hint="eastAsia" w:ascii="宋体" w:hAnsi="宋体" w:eastAsia="宋体"/>
          <w:color w:val="auto"/>
          <w:sz w:val="24"/>
          <w:szCs w:val="24"/>
          <w:lang w:eastAsia="zh-CN"/>
        </w:rPr>
      </w:pPr>
      <w:r>
        <w:rPr>
          <w:rFonts w:ascii="宋体" w:hAnsi="宋体"/>
          <w:color w:val="auto"/>
          <w:sz w:val="24"/>
          <w:szCs w:val="24"/>
        </w:rPr>
        <w:t>5.</w:t>
      </w:r>
      <w:r>
        <w:rPr>
          <w:rFonts w:hint="eastAsia" w:ascii="宋体" w:hAnsi="宋体"/>
          <w:color w:val="auto"/>
          <w:sz w:val="24"/>
          <w:szCs w:val="24"/>
          <w:lang w:val="en-US" w:eastAsia="zh-CN"/>
        </w:rPr>
        <w:t>3</w:t>
      </w:r>
      <w:r>
        <w:rPr>
          <w:rFonts w:hint="eastAsia" w:ascii="宋体" w:hAnsi="宋体"/>
          <w:color w:val="auto"/>
          <w:sz w:val="24"/>
          <w:szCs w:val="24"/>
        </w:rPr>
        <w:t>、供货期：合同签订起一年内</w:t>
      </w:r>
      <w:r>
        <w:rPr>
          <w:rFonts w:hint="eastAsia" w:ascii="宋体" w:hAnsi="宋体"/>
          <w:color w:val="auto"/>
          <w:sz w:val="24"/>
          <w:szCs w:val="24"/>
          <w:lang w:eastAsia="zh-CN"/>
        </w:rPr>
        <w:t>。</w:t>
      </w:r>
    </w:p>
    <w:p w14:paraId="6D9D7462">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、质量要求：符合国家相关质量标准规定，满足使用要求。</w:t>
      </w:r>
    </w:p>
    <w:p w14:paraId="4C86BB27">
      <w:pPr>
        <w:pageBreakBefore w:val="0"/>
        <w:wordWrap/>
        <w:overflowPunct/>
        <w:bidi w:val="0"/>
        <w:spacing w:line="360" w:lineRule="auto"/>
        <w:ind w:firstLine="480" w:firstLineChars="200"/>
        <w:outlineLvl w:val="9"/>
        <w:rPr>
          <w:rFonts w:hint="eastAsia" w:ascii="宋体" w:hAnsi="宋体" w:eastAsia="宋体"/>
          <w:color w:val="auto"/>
          <w:sz w:val="24"/>
          <w:szCs w:val="24"/>
          <w:lang w:eastAsia="zh-CN"/>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、交货地点：采购人指定地点</w:t>
      </w:r>
      <w:r>
        <w:rPr>
          <w:rFonts w:hint="eastAsia" w:ascii="宋体" w:hAnsi="宋体"/>
          <w:color w:val="auto"/>
          <w:sz w:val="24"/>
          <w:szCs w:val="24"/>
          <w:lang w:eastAsia="zh-CN"/>
        </w:rPr>
        <w:t>。</w:t>
      </w:r>
    </w:p>
    <w:p w14:paraId="4A499954">
      <w:pPr>
        <w:pageBreakBefore w:val="0"/>
        <w:wordWrap/>
        <w:overflowPunct/>
        <w:bidi w:val="0"/>
        <w:spacing w:line="360" w:lineRule="auto"/>
        <w:ind w:firstLine="480" w:firstLineChars="200"/>
        <w:outlineLvl w:val="9"/>
        <w:rPr>
          <w:rFonts w:hint="eastAsia" w:ascii="宋体" w:hAnsi="宋体" w:eastAsia="宋体"/>
          <w:color w:val="auto"/>
          <w:sz w:val="24"/>
          <w:szCs w:val="24"/>
          <w:lang w:eastAsia="zh-CN"/>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、本项目是否接受联合体投标：否</w:t>
      </w:r>
      <w:r>
        <w:rPr>
          <w:rFonts w:hint="eastAsia" w:ascii="宋体" w:hAnsi="宋体"/>
          <w:color w:val="auto"/>
          <w:sz w:val="24"/>
          <w:szCs w:val="24"/>
          <w:lang w:eastAsia="zh-CN"/>
        </w:rPr>
        <w:t>。</w:t>
      </w:r>
    </w:p>
    <w:p w14:paraId="048C0FB3">
      <w:pPr>
        <w:pageBreakBefore w:val="0"/>
        <w:wordWrap/>
        <w:overflowPunct/>
        <w:bidi w:val="0"/>
        <w:spacing w:line="360" w:lineRule="auto"/>
        <w:ind w:firstLine="480" w:firstLineChars="200"/>
        <w:outlineLvl w:val="9"/>
        <w:rPr>
          <w:rFonts w:hint="eastAsia" w:ascii="宋体" w:hAnsi="宋体" w:eastAsia="宋体"/>
          <w:color w:val="auto"/>
          <w:sz w:val="24"/>
          <w:szCs w:val="24"/>
          <w:lang w:eastAsia="zh-CN"/>
        </w:rPr>
      </w:pPr>
      <w:r>
        <w:rPr>
          <w:rFonts w:hint="eastAsia" w:ascii="宋体" w:hAnsi="宋体"/>
          <w:color w:val="auto"/>
          <w:sz w:val="24"/>
          <w:szCs w:val="24"/>
          <w:lang w:val="en-US" w:eastAsia="zh-CN"/>
        </w:rPr>
        <w:t>5.7、</w:t>
      </w:r>
      <w:r>
        <w:rPr>
          <w:rFonts w:hint="eastAsia" w:ascii="宋体" w:hAnsi="宋体"/>
          <w:color w:val="auto"/>
          <w:sz w:val="24"/>
          <w:szCs w:val="24"/>
        </w:rPr>
        <w:t>是否接受进口产品：否</w:t>
      </w:r>
      <w:r>
        <w:rPr>
          <w:rFonts w:hint="eastAsia" w:ascii="宋体" w:hAnsi="宋体"/>
          <w:color w:val="auto"/>
          <w:sz w:val="24"/>
          <w:szCs w:val="24"/>
          <w:lang w:eastAsia="zh-CN"/>
        </w:rPr>
        <w:t>。</w:t>
      </w:r>
    </w:p>
    <w:p w14:paraId="0C42F3E3">
      <w:pPr>
        <w:pageBreakBefore w:val="0"/>
        <w:wordWrap/>
        <w:overflowPunct/>
        <w:bidi w:val="0"/>
        <w:spacing w:line="360" w:lineRule="auto"/>
        <w:ind w:firstLine="480" w:firstLineChars="200"/>
        <w:outlineLvl w:val="9"/>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、需要落实的政府采购政策: 促进中小微企业、监狱企业及残疾人福利性单位发展扶持政策、政府强制采购节能产品强制采购、节能产品及环境标志产品优先采购。</w:t>
      </w:r>
    </w:p>
    <w:p w14:paraId="7F93053B">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二、申请人</w:t>
      </w:r>
      <w:r>
        <w:rPr>
          <w:rFonts w:ascii="宋体" w:hAnsi="宋体"/>
          <w:color w:val="auto"/>
          <w:sz w:val="24"/>
          <w:szCs w:val="24"/>
        </w:rPr>
        <w:t>资格要求</w:t>
      </w:r>
    </w:p>
    <w:p w14:paraId="559F0C9A">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供应商参加本次采购活动必须符合《中华人民共和国政府采购法》第二十二条的规定，并符合以下资格条件：</w:t>
      </w:r>
    </w:p>
    <w:p w14:paraId="5C2CFDF2">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1、供应商须提供合法有效的营业执照；</w:t>
      </w:r>
    </w:p>
    <w:p w14:paraId="59B0C086">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2、供应商须提供本企业无商业贿赂和不正当竞争行为承诺书；</w:t>
      </w:r>
    </w:p>
    <w:p w14:paraId="3A74B1CB">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3、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66112217">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4、本项目不接受联合体投标；</w:t>
      </w:r>
    </w:p>
    <w:p w14:paraId="50CEB5F0">
      <w:pPr>
        <w:pageBreakBefore w:val="0"/>
        <w:wordWrap/>
        <w:overflowPunct/>
        <w:bidi w:val="0"/>
        <w:spacing w:line="360" w:lineRule="auto"/>
        <w:ind w:firstLine="482" w:firstLineChars="200"/>
        <w:outlineLvl w:val="9"/>
        <w:rPr>
          <w:rFonts w:hint="eastAsia" w:ascii="宋体" w:hAnsi="宋体"/>
          <w:b/>
          <w:bCs/>
          <w:color w:val="auto"/>
          <w:sz w:val="24"/>
          <w:szCs w:val="24"/>
        </w:rPr>
      </w:pPr>
      <w:r>
        <w:rPr>
          <w:rFonts w:hint="eastAsia" w:ascii="宋体" w:hAnsi="宋体"/>
          <w:b/>
          <w:bCs/>
          <w:color w:val="auto"/>
          <w:sz w:val="24"/>
          <w:szCs w:val="24"/>
        </w:rPr>
        <w:t>5、本次采购实行资格后审，资格审查的具体要求见招标文件；</w:t>
      </w:r>
    </w:p>
    <w:p w14:paraId="1C1169EC">
      <w:pPr>
        <w:pageBreakBefore w:val="0"/>
        <w:wordWrap/>
        <w:overflowPunct/>
        <w:bidi w:val="0"/>
        <w:spacing w:line="360" w:lineRule="auto"/>
        <w:ind w:firstLine="480" w:firstLineChars="200"/>
        <w:outlineLvl w:val="9"/>
        <w:rPr>
          <w:rFonts w:ascii="宋体" w:hAnsi="宋体"/>
          <w:bCs/>
          <w:color w:val="auto"/>
          <w:sz w:val="24"/>
          <w:szCs w:val="24"/>
        </w:rPr>
      </w:pPr>
      <w:r>
        <w:rPr>
          <w:rFonts w:hint="eastAsia" w:ascii="宋体" w:hAnsi="宋体"/>
          <w:bCs/>
          <w:color w:val="auto"/>
          <w:sz w:val="24"/>
          <w:szCs w:val="24"/>
        </w:rPr>
        <w:t>三</w:t>
      </w:r>
      <w:r>
        <w:rPr>
          <w:rFonts w:ascii="宋体" w:hAnsi="宋体"/>
          <w:bCs/>
          <w:color w:val="auto"/>
          <w:sz w:val="24"/>
          <w:szCs w:val="24"/>
        </w:rPr>
        <w:t>、</w:t>
      </w:r>
      <w:r>
        <w:rPr>
          <w:rFonts w:hint="eastAsia" w:ascii="宋体" w:hAnsi="宋体"/>
          <w:bCs/>
          <w:color w:val="auto"/>
          <w:sz w:val="24"/>
          <w:szCs w:val="24"/>
        </w:rPr>
        <w:t>获取招标文件</w:t>
      </w:r>
    </w:p>
    <w:p w14:paraId="63195561">
      <w:pPr>
        <w:pStyle w:val="8"/>
        <w:pageBreakBefore w:val="0"/>
        <w:wordWrap/>
        <w:overflowPunct/>
        <w:bidi w:val="0"/>
        <w:spacing w:line="360" w:lineRule="auto"/>
        <w:ind w:firstLine="480" w:firstLineChars="200"/>
        <w:jc w:val="left"/>
        <w:outlineLvl w:val="9"/>
        <w:rPr>
          <w:rFonts w:hAnsi="宋体" w:eastAsia="宋体"/>
          <w:color w:val="auto"/>
          <w:kern w:val="0"/>
          <w:sz w:val="24"/>
          <w:szCs w:val="24"/>
          <w:lang w:eastAsia="zh-TW"/>
        </w:rPr>
      </w:pPr>
      <w:r>
        <w:rPr>
          <w:rFonts w:hint="eastAsia" w:hAnsi="宋体" w:eastAsia="宋体"/>
          <w:color w:val="auto"/>
          <w:kern w:val="0"/>
          <w:sz w:val="24"/>
          <w:szCs w:val="24"/>
          <w:lang w:eastAsia="zh-TW"/>
        </w:rPr>
        <w:t>1、时间：</w:t>
      </w:r>
      <w:r>
        <w:rPr>
          <w:rFonts w:hint="eastAsia" w:hAnsi="宋体" w:eastAsia="宋体"/>
          <w:color w:val="auto"/>
          <w:kern w:val="0"/>
          <w:sz w:val="24"/>
          <w:szCs w:val="24"/>
          <w:highlight w:val="none"/>
          <w:lang w:eastAsia="zh-TW"/>
        </w:rPr>
        <w:t>202</w:t>
      </w:r>
      <w:r>
        <w:rPr>
          <w:rFonts w:hint="eastAsia" w:hAnsi="宋体" w:eastAsia="宋体"/>
          <w:color w:val="auto"/>
          <w:kern w:val="0"/>
          <w:sz w:val="24"/>
          <w:szCs w:val="24"/>
          <w:highlight w:val="none"/>
          <w:lang w:val="en-US" w:eastAsia="zh-CN"/>
        </w:rPr>
        <w:t>5</w:t>
      </w:r>
      <w:r>
        <w:rPr>
          <w:rFonts w:hint="eastAsia" w:hAnsi="宋体" w:eastAsia="宋体"/>
          <w:color w:val="auto"/>
          <w:kern w:val="0"/>
          <w:sz w:val="24"/>
          <w:szCs w:val="24"/>
          <w:highlight w:val="none"/>
          <w:lang w:eastAsia="zh-TW"/>
        </w:rPr>
        <w:t>年03月</w:t>
      </w:r>
      <w:r>
        <w:rPr>
          <w:rFonts w:hint="eastAsia" w:hAnsi="宋体" w:eastAsia="宋体"/>
          <w:color w:val="auto"/>
          <w:kern w:val="0"/>
          <w:sz w:val="24"/>
          <w:szCs w:val="24"/>
          <w:highlight w:val="none"/>
          <w:lang w:val="en-US" w:eastAsia="zh-CN"/>
        </w:rPr>
        <w:t>28</w:t>
      </w:r>
      <w:r>
        <w:rPr>
          <w:rFonts w:hint="eastAsia" w:hAnsi="宋体" w:eastAsia="宋体"/>
          <w:color w:val="auto"/>
          <w:kern w:val="0"/>
          <w:sz w:val="24"/>
          <w:szCs w:val="24"/>
          <w:highlight w:val="none"/>
          <w:lang w:eastAsia="zh-TW"/>
        </w:rPr>
        <w:t>日 至 202</w:t>
      </w:r>
      <w:r>
        <w:rPr>
          <w:rFonts w:hint="eastAsia" w:hAnsi="宋体" w:eastAsia="宋体"/>
          <w:color w:val="auto"/>
          <w:kern w:val="0"/>
          <w:sz w:val="24"/>
          <w:szCs w:val="24"/>
          <w:highlight w:val="none"/>
          <w:lang w:val="en-US" w:eastAsia="zh-CN"/>
        </w:rPr>
        <w:t>5</w:t>
      </w:r>
      <w:r>
        <w:rPr>
          <w:rFonts w:hint="eastAsia" w:hAnsi="宋体" w:eastAsia="宋体"/>
          <w:color w:val="auto"/>
          <w:kern w:val="0"/>
          <w:sz w:val="24"/>
          <w:szCs w:val="24"/>
          <w:highlight w:val="none"/>
          <w:lang w:eastAsia="zh-TW"/>
        </w:rPr>
        <w:t>年</w:t>
      </w:r>
      <w:r>
        <w:rPr>
          <w:rFonts w:hint="eastAsia" w:hAnsi="宋体" w:eastAsia="宋体"/>
          <w:color w:val="auto"/>
          <w:kern w:val="0"/>
          <w:sz w:val="24"/>
          <w:szCs w:val="24"/>
          <w:highlight w:val="none"/>
          <w:lang w:val="en-US" w:eastAsia="zh-CN"/>
        </w:rPr>
        <w:t>04</w:t>
      </w:r>
      <w:r>
        <w:rPr>
          <w:rFonts w:hint="eastAsia" w:hAnsi="宋体" w:eastAsia="宋体"/>
          <w:color w:val="auto"/>
          <w:kern w:val="0"/>
          <w:sz w:val="24"/>
          <w:szCs w:val="24"/>
          <w:highlight w:val="none"/>
          <w:lang w:eastAsia="zh-TW"/>
        </w:rPr>
        <w:t>月</w:t>
      </w:r>
      <w:r>
        <w:rPr>
          <w:rFonts w:hint="eastAsia" w:hAnsi="宋体" w:eastAsia="宋体"/>
          <w:color w:val="auto"/>
          <w:kern w:val="0"/>
          <w:sz w:val="24"/>
          <w:szCs w:val="24"/>
          <w:highlight w:val="none"/>
          <w:lang w:val="en-US" w:eastAsia="zh-CN"/>
        </w:rPr>
        <w:t>17</w:t>
      </w:r>
      <w:r>
        <w:rPr>
          <w:rFonts w:hint="eastAsia" w:hAnsi="宋体" w:eastAsia="宋体"/>
          <w:color w:val="auto"/>
          <w:kern w:val="0"/>
          <w:sz w:val="24"/>
          <w:szCs w:val="24"/>
          <w:highlight w:val="none"/>
          <w:lang w:eastAsia="zh-TW"/>
        </w:rPr>
        <w:t>日</w:t>
      </w:r>
      <w:r>
        <w:rPr>
          <w:rFonts w:hint="eastAsia" w:hAnsi="宋体" w:eastAsia="宋体"/>
          <w:color w:val="auto"/>
          <w:kern w:val="0"/>
          <w:sz w:val="24"/>
          <w:szCs w:val="24"/>
          <w:lang w:eastAsia="zh-TW"/>
        </w:rPr>
        <w:t>，每天上午00:00至12:00，下午12:0</w:t>
      </w:r>
      <w:r>
        <w:rPr>
          <w:rFonts w:hint="eastAsia" w:hAnsi="宋体" w:eastAsia="宋体"/>
          <w:color w:val="auto"/>
          <w:kern w:val="0"/>
          <w:sz w:val="24"/>
          <w:szCs w:val="24"/>
          <w:lang w:val="en-US" w:eastAsia="zh-CN"/>
        </w:rPr>
        <w:t>1</w:t>
      </w:r>
      <w:r>
        <w:rPr>
          <w:rFonts w:hint="eastAsia" w:hAnsi="宋体" w:eastAsia="宋体"/>
          <w:color w:val="auto"/>
          <w:kern w:val="0"/>
          <w:sz w:val="24"/>
          <w:szCs w:val="24"/>
          <w:lang w:eastAsia="zh-TW"/>
        </w:rPr>
        <w:t xml:space="preserve">至23:59（北京时间，法定节假日除外。） </w:t>
      </w:r>
    </w:p>
    <w:p w14:paraId="5DED517D">
      <w:pPr>
        <w:pStyle w:val="8"/>
        <w:pageBreakBefore w:val="0"/>
        <w:wordWrap/>
        <w:overflowPunct/>
        <w:bidi w:val="0"/>
        <w:spacing w:line="360" w:lineRule="auto"/>
        <w:ind w:firstLine="480" w:firstLineChars="200"/>
        <w:jc w:val="left"/>
        <w:outlineLvl w:val="9"/>
        <w:rPr>
          <w:rFonts w:hAnsi="宋体" w:eastAsia="宋体"/>
          <w:color w:val="auto"/>
          <w:kern w:val="0"/>
          <w:sz w:val="24"/>
          <w:szCs w:val="24"/>
          <w:lang w:eastAsia="zh-TW"/>
        </w:rPr>
      </w:pPr>
      <w:r>
        <w:rPr>
          <w:rFonts w:hint="eastAsia" w:hAnsi="宋体" w:eastAsia="宋体"/>
          <w:color w:val="auto"/>
          <w:kern w:val="0"/>
          <w:sz w:val="24"/>
          <w:szCs w:val="24"/>
          <w:lang w:eastAsia="zh-TW"/>
        </w:rPr>
        <w:t xml:space="preserve">2、地点：三门峡市公共资源交易中心网上获取 </w:t>
      </w:r>
    </w:p>
    <w:p w14:paraId="745C0DC9">
      <w:pPr>
        <w:pStyle w:val="8"/>
        <w:pageBreakBefore w:val="0"/>
        <w:wordWrap/>
        <w:overflowPunct/>
        <w:bidi w:val="0"/>
        <w:spacing w:line="360" w:lineRule="auto"/>
        <w:ind w:firstLine="480" w:firstLineChars="200"/>
        <w:jc w:val="left"/>
        <w:outlineLvl w:val="9"/>
        <w:rPr>
          <w:rFonts w:hAnsi="宋体" w:eastAsia="宋体"/>
          <w:color w:val="auto"/>
          <w:kern w:val="0"/>
          <w:sz w:val="24"/>
          <w:szCs w:val="24"/>
          <w:lang w:eastAsia="zh-TW"/>
        </w:rPr>
      </w:pPr>
      <w:r>
        <w:rPr>
          <w:rFonts w:hint="eastAsia" w:hAnsi="宋体" w:eastAsia="宋体"/>
          <w:color w:val="auto"/>
          <w:kern w:val="0"/>
          <w:sz w:val="24"/>
          <w:szCs w:val="24"/>
          <w:lang w:eastAsia="zh-TW"/>
        </w:rPr>
        <w:t>3、方式：供应商凭CA 数字证书通过三门峡市公共资源交易中心网（网址：http://gzjy.smx.gov.cn），点击交易平台选择“市场主体登录”，在所参与项目右侧点击参与投标，即可直接下载本项目招标文件。本项目为全电子招标，不再收取招标文件费（招标文件中包含图纸、清单等投标所需一切内容）。</w:t>
      </w:r>
    </w:p>
    <w:p w14:paraId="0A89CF02">
      <w:pPr>
        <w:pStyle w:val="8"/>
        <w:pageBreakBefore w:val="0"/>
        <w:wordWrap/>
        <w:overflowPunct/>
        <w:bidi w:val="0"/>
        <w:spacing w:line="360" w:lineRule="auto"/>
        <w:ind w:firstLine="480" w:firstLineChars="200"/>
        <w:jc w:val="left"/>
        <w:outlineLvl w:val="9"/>
        <w:rPr>
          <w:rFonts w:hAnsi="宋体" w:eastAsia="宋体"/>
          <w:color w:val="auto"/>
          <w:kern w:val="0"/>
          <w:sz w:val="24"/>
          <w:szCs w:val="24"/>
          <w:lang w:eastAsia="zh-TW"/>
        </w:rPr>
      </w:pPr>
      <w:r>
        <w:rPr>
          <w:rFonts w:hint="eastAsia" w:hAnsi="宋体" w:eastAsia="宋体"/>
          <w:color w:val="auto"/>
          <w:kern w:val="0"/>
          <w:sz w:val="24"/>
          <w:szCs w:val="24"/>
          <w:lang w:eastAsia="zh-TW"/>
        </w:rPr>
        <w:t>办理CA证书：</w:t>
      </w:r>
      <w:r>
        <w:rPr>
          <w:rFonts w:hint="eastAsia" w:ascii="宋体" w:hAnsi="宋体" w:eastAsia="宋体" w:cs="宋体"/>
          <w:i w:val="0"/>
          <w:iCs w:val="0"/>
          <w:caps w:val="0"/>
          <w:color w:val="333333"/>
          <w:spacing w:val="0"/>
          <w:sz w:val="24"/>
          <w:szCs w:val="24"/>
        </w:rPr>
        <w:t>http://gzjy.smx.gov.cn/bzzx/008001/20211105/57b16af9-ab87-4395-a723-7758c628a3f8.html</w:t>
      </w:r>
      <w:r>
        <w:rPr>
          <w:rFonts w:hint="eastAsia" w:hAnsi="宋体" w:eastAsia="宋体"/>
          <w:color w:val="auto"/>
          <w:kern w:val="0"/>
          <w:sz w:val="24"/>
          <w:szCs w:val="24"/>
          <w:lang w:eastAsia="zh-TW"/>
        </w:rPr>
        <w:t xml:space="preserve"> </w:t>
      </w:r>
    </w:p>
    <w:p w14:paraId="63D74449">
      <w:pPr>
        <w:pStyle w:val="8"/>
        <w:pageBreakBefore w:val="0"/>
        <w:wordWrap/>
        <w:overflowPunct/>
        <w:bidi w:val="0"/>
        <w:spacing w:line="360" w:lineRule="auto"/>
        <w:ind w:firstLine="480" w:firstLineChars="200"/>
        <w:jc w:val="left"/>
        <w:outlineLvl w:val="9"/>
        <w:rPr>
          <w:rFonts w:hAnsi="宋体" w:eastAsia="宋体"/>
          <w:color w:val="auto"/>
          <w:kern w:val="0"/>
          <w:sz w:val="24"/>
          <w:szCs w:val="24"/>
        </w:rPr>
      </w:pPr>
      <w:r>
        <w:rPr>
          <w:rFonts w:hint="eastAsia" w:hAnsi="宋体" w:eastAsia="宋体"/>
          <w:color w:val="auto"/>
          <w:kern w:val="0"/>
          <w:sz w:val="24"/>
          <w:szCs w:val="24"/>
          <w:lang w:eastAsia="zh-TW"/>
        </w:rPr>
        <w:t>4、售价：0元</w:t>
      </w:r>
      <w:r>
        <w:rPr>
          <w:rFonts w:hint="eastAsia" w:hAnsi="宋体" w:eastAsia="宋体"/>
          <w:color w:val="auto"/>
          <w:kern w:val="0"/>
          <w:sz w:val="24"/>
          <w:szCs w:val="24"/>
        </w:rPr>
        <w:t>。</w:t>
      </w:r>
    </w:p>
    <w:p w14:paraId="54638613">
      <w:pPr>
        <w:pStyle w:val="8"/>
        <w:pageBreakBefore w:val="0"/>
        <w:wordWrap/>
        <w:overflowPunct/>
        <w:bidi w:val="0"/>
        <w:spacing w:line="360" w:lineRule="auto"/>
        <w:ind w:firstLine="480" w:firstLineChars="200"/>
        <w:jc w:val="left"/>
        <w:outlineLvl w:val="9"/>
        <w:rPr>
          <w:rFonts w:hAnsi="宋体" w:eastAsia="宋体"/>
          <w:color w:val="auto"/>
          <w:kern w:val="0"/>
          <w:sz w:val="24"/>
          <w:szCs w:val="24"/>
        </w:rPr>
      </w:pPr>
      <w:r>
        <w:rPr>
          <w:rFonts w:hint="eastAsia" w:hAnsi="宋体" w:eastAsia="宋体"/>
          <w:color w:val="auto"/>
          <w:kern w:val="0"/>
          <w:sz w:val="24"/>
          <w:szCs w:val="24"/>
        </w:rPr>
        <w:t>四、投标保证金</w:t>
      </w:r>
    </w:p>
    <w:p w14:paraId="091B73C7">
      <w:pPr>
        <w:pStyle w:val="8"/>
        <w:pageBreakBefore w:val="0"/>
        <w:wordWrap/>
        <w:overflowPunct/>
        <w:bidi w:val="0"/>
        <w:spacing w:line="360" w:lineRule="auto"/>
        <w:ind w:firstLine="480" w:firstLineChars="200"/>
        <w:jc w:val="left"/>
        <w:outlineLvl w:val="9"/>
        <w:rPr>
          <w:rFonts w:hAnsi="宋体" w:eastAsia="宋体"/>
          <w:color w:val="auto"/>
          <w:kern w:val="0"/>
          <w:sz w:val="24"/>
          <w:szCs w:val="24"/>
        </w:rPr>
      </w:pPr>
      <w:r>
        <w:rPr>
          <w:rFonts w:hint="eastAsia" w:hAnsi="宋体" w:eastAsia="宋体"/>
          <w:color w:val="auto"/>
          <w:kern w:val="0"/>
          <w:sz w:val="24"/>
          <w:szCs w:val="24"/>
        </w:rPr>
        <w:t>根据《河南省财政厅关于优化政府采购营商环境有关问题的通知》（豫财购【2019】4号）第6条的规定，投标保证金不再收取。</w:t>
      </w:r>
    </w:p>
    <w:p w14:paraId="7D3549D8">
      <w:pPr>
        <w:pStyle w:val="8"/>
        <w:pageBreakBefore w:val="0"/>
        <w:wordWrap/>
        <w:overflowPunct/>
        <w:bidi w:val="0"/>
        <w:spacing w:line="360" w:lineRule="auto"/>
        <w:ind w:firstLine="480" w:firstLineChars="200"/>
        <w:jc w:val="left"/>
        <w:outlineLvl w:val="9"/>
        <w:rPr>
          <w:rFonts w:hAnsi="宋体" w:eastAsia="宋体"/>
          <w:color w:val="auto"/>
          <w:sz w:val="24"/>
          <w:szCs w:val="24"/>
        </w:rPr>
      </w:pPr>
      <w:r>
        <w:rPr>
          <w:rFonts w:hint="eastAsia" w:hAnsi="宋体" w:eastAsia="宋体"/>
          <w:color w:val="auto"/>
          <w:sz w:val="24"/>
          <w:szCs w:val="24"/>
        </w:rPr>
        <w:t xml:space="preserve">五、投标截止时间及地点 </w:t>
      </w:r>
    </w:p>
    <w:p w14:paraId="005ED849">
      <w:pPr>
        <w:pStyle w:val="8"/>
        <w:pageBreakBefore w:val="0"/>
        <w:wordWrap/>
        <w:overflowPunct/>
        <w:bidi w:val="0"/>
        <w:spacing w:line="360" w:lineRule="auto"/>
        <w:ind w:firstLine="480" w:firstLineChars="200"/>
        <w:jc w:val="left"/>
        <w:outlineLvl w:val="9"/>
        <w:rPr>
          <w:rFonts w:hAnsi="宋体" w:eastAsia="宋体"/>
          <w:color w:val="auto"/>
          <w:sz w:val="24"/>
          <w:szCs w:val="24"/>
          <w:highlight w:val="none"/>
        </w:rPr>
      </w:pPr>
      <w:r>
        <w:rPr>
          <w:rFonts w:hint="eastAsia" w:hAnsi="宋体" w:eastAsia="宋体"/>
          <w:color w:val="auto"/>
          <w:sz w:val="24"/>
          <w:szCs w:val="24"/>
        </w:rPr>
        <w:t>1、时间：</w:t>
      </w:r>
      <w:r>
        <w:rPr>
          <w:rFonts w:hint="eastAsia" w:hAnsi="宋体" w:eastAsia="宋体"/>
          <w:color w:val="auto"/>
          <w:sz w:val="24"/>
          <w:szCs w:val="24"/>
          <w:highlight w:val="none"/>
          <w:lang w:eastAsia="zh-CN"/>
        </w:rPr>
        <w:t>2025年04月17日08时30分</w:t>
      </w:r>
      <w:r>
        <w:rPr>
          <w:rFonts w:hint="eastAsia" w:hAnsi="宋体" w:eastAsia="宋体"/>
          <w:color w:val="auto"/>
          <w:sz w:val="24"/>
          <w:szCs w:val="24"/>
          <w:highlight w:val="none"/>
        </w:rPr>
        <w:t xml:space="preserve">（北京时间） </w:t>
      </w:r>
    </w:p>
    <w:p w14:paraId="519C22E3">
      <w:pPr>
        <w:pStyle w:val="8"/>
        <w:pageBreakBefore w:val="0"/>
        <w:wordWrap/>
        <w:overflowPunct/>
        <w:bidi w:val="0"/>
        <w:spacing w:line="360" w:lineRule="auto"/>
        <w:ind w:firstLine="480" w:firstLineChars="200"/>
        <w:jc w:val="left"/>
        <w:outlineLvl w:val="9"/>
        <w:rPr>
          <w:rFonts w:hAnsi="宋体" w:eastAsia="宋体"/>
          <w:color w:val="auto"/>
          <w:sz w:val="24"/>
          <w:szCs w:val="24"/>
          <w:highlight w:val="none"/>
        </w:rPr>
      </w:pPr>
      <w:r>
        <w:rPr>
          <w:rFonts w:hint="eastAsia" w:hAnsi="宋体" w:eastAsia="宋体"/>
          <w:color w:val="auto"/>
          <w:sz w:val="24"/>
          <w:szCs w:val="24"/>
          <w:highlight w:val="none"/>
        </w:rPr>
        <w:t xml:space="preserve">2、地点：加密电子投标文件须在投标截止时间前通过三门峡市公共资源交易中心电子交易平台加密上传。逾期上传的或者未上传指定地点的投标文件，采购人不予受理。 </w:t>
      </w:r>
    </w:p>
    <w:p w14:paraId="6DF34B69">
      <w:pPr>
        <w:pStyle w:val="8"/>
        <w:pageBreakBefore w:val="0"/>
        <w:wordWrap/>
        <w:overflowPunct/>
        <w:bidi w:val="0"/>
        <w:spacing w:line="360" w:lineRule="auto"/>
        <w:ind w:firstLine="480" w:firstLineChars="200"/>
        <w:jc w:val="left"/>
        <w:outlineLvl w:val="9"/>
        <w:rPr>
          <w:rFonts w:hAnsi="宋体" w:eastAsia="宋体"/>
          <w:color w:val="auto"/>
          <w:sz w:val="24"/>
          <w:szCs w:val="24"/>
          <w:highlight w:val="none"/>
        </w:rPr>
      </w:pPr>
      <w:r>
        <w:rPr>
          <w:rFonts w:hint="eastAsia" w:hAnsi="宋体" w:eastAsia="宋体"/>
          <w:color w:val="auto"/>
          <w:sz w:val="24"/>
          <w:szCs w:val="24"/>
          <w:highlight w:val="none"/>
        </w:rPr>
        <w:t xml:space="preserve">六、开标时间及地点 </w:t>
      </w:r>
    </w:p>
    <w:p w14:paraId="29A0E76B">
      <w:pPr>
        <w:pStyle w:val="8"/>
        <w:pageBreakBefore w:val="0"/>
        <w:wordWrap/>
        <w:overflowPunct/>
        <w:bidi w:val="0"/>
        <w:spacing w:line="360" w:lineRule="auto"/>
        <w:ind w:firstLine="480" w:firstLineChars="200"/>
        <w:jc w:val="left"/>
        <w:outlineLvl w:val="9"/>
        <w:rPr>
          <w:rFonts w:hAnsi="宋体" w:eastAsia="宋体"/>
          <w:color w:val="auto"/>
          <w:sz w:val="24"/>
          <w:szCs w:val="24"/>
          <w:highlight w:val="none"/>
        </w:rPr>
      </w:pPr>
      <w:r>
        <w:rPr>
          <w:rFonts w:hint="eastAsia" w:hAnsi="宋体" w:eastAsia="宋体"/>
          <w:color w:val="auto"/>
          <w:sz w:val="24"/>
          <w:szCs w:val="24"/>
          <w:highlight w:val="none"/>
        </w:rPr>
        <w:t>1、时间：</w:t>
      </w:r>
      <w:r>
        <w:rPr>
          <w:rFonts w:hint="eastAsia" w:hAnsi="宋体" w:eastAsia="宋体"/>
          <w:color w:val="auto"/>
          <w:sz w:val="24"/>
          <w:szCs w:val="24"/>
          <w:highlight w:val="none"/>
          <w:lang w:eastAsia="zh-CN"/>
        </w:rPr>
        <w:t>2025年04月17日08时30分</w:t>
      </w:r>
      <w:r>
        <w:rPr>
          <w:rFonts w:hint="eastAsia" w:hAnsi="宋体" w:eastAsia="宋体"/>
          <w:color w:val="auto"/>
          <w:sz w:val="24"/>
          <w:szCs w:val="24"/>
          <w:highlight w:val="none"/>
        </w:rPr>
        <w:t xml:space="preserve">（北京时间） </w:t>
      </w:r>
    </w:p>
    <w:p w14:paraId="1CDAB97B">
      <w:pPr>
        <w:pStyle w:val="8"/>
        <w:pageBreakBefore w:val="0"/>
        <w:wordWrap/>
        <w:overflowPunct/>
        <w:bidi w:val="0"/>
        <w:spacing w:line="360" w:lineRule="auto"/>
        <w:ind w:firstLine="480" w:firstLineChars="200"/>
        <w:jc w:val="left"/>
        <w:outlineLvl w:val="9"/>
        <w:rPr>
          <w:rFonts w:hAnsi="宋体" w:eastAsia="宋体"/>
          <w:color w:val="auto"/>
          <w:sz w:val="24"/>
          <w:szCs w:val="24"/>
        </w:rPr>
      </w:pPr>
      <w:r>
        <w:rPr>
          <w:rFonts w:hint="eastAsia" w:hAnsi="宋体" w:eastAsia="宋体"/>
          <w:color w:val="auto"/>
          <w:sz w:val="24"/>
          <w:szCs w:val="24"/>
        </w:rPr>
        <w:t>2、地点：三门峡市公共资源交易中心五楼开标区</w:t>
      </w:r>
    </w:p>
    <w:p w14:paraId="0E0A73B6">
      <w:pPr>
        <w:pStyle w:val="8"/>
        <w:pageBreakBefore w:val="0"/>
        <w:wordWrap/>
        <w:overflowPunct/>
        <w:bidi w:val="0"/>
        <w:spacing w:line="360" w:lineRule="auto"/>
        <w:ind w:firstLine="480" w:firstLineChars="200"/>
        <w:jc w:val="left"/>
        <w:outlineLvl w:val="9"/>
        <w:rPr>
          <w:rFonts w:hAnsi="宋体" w:eastAsia="宋体"/>
          <w:color w:val="auto"/>
          <w:sz w:val="24"/>
          <w:szCs w:val="24"/>
        </w:rPr>
      </w:pPr>
      <w:r>
        <w:rPr>
          <w:rFonts w:hint="eastAsia" w:hAnsi="宋体" w:eastAsia="宋体"/>
          <w:color w:val="auto"/>
          <w:sz w:val="24"/>
          <w:szCs w:val="24"/>
        </w:rPr>
        <w:t xml:space="preserve">七、发布公告的媒介及招标公告期限 </w:t>
      </w:r>
    </w:p>
    <w:p w14:paraId="4205C04B">
      <w:pPr>
        <w:pStyle w:val="8"/>
        <w:pageBreakBefore w:val="0"/>
        <w:wordWrap/>
        <w:overflowPunct/>
        <w:bidi w:val="0"/>
        <w:spacing w:line="360" w:lineRule="auto"/>
        <w:ind w:firstLine="480" w:firstLineChars="200"/>
        <w:jc w:val="left"/>
        <w:outlineLvl w:val="9"/>
        <w:rPr>
          <w:rFonts w:hAnsi="宋体" w:eastAsia="宋体"/>
          <w:color w:val="auto"/>
          <w:sz w:val="24"/>
          <w:szCs w:val="24"/>
        </w:rPr>
      </w:pPr>
      <w:r>
        <w:rPr>
          <w:rFonts w:hint="eastAsia" w:hAnsi="宋体" w:eastAsia="宋体"/>
          <w:color w:val="auto"/>
          <w:sz w:val="24"/>
          <w:szCs w:val="24"/>
        </w:rPr>
        <w:t>本次</w:t>
      </w:r>
      <w:r>
        <w:rPr>
          <w:rFonts w:hint="eastAsia" w:hAnsi="宋体" w:eastAsia="宋体"/>
          <w:color w:val="auto"/>
          <w:sz w:val="24"/>
          <w:szCs w:val="24"/>
          <w:lang w:val="en-US" w:eastAsia="zh-CN"/>
        </w:rPr>
        <w:t>招标</w:t>
      </w:r>
      <w:r>
        <w:rPr>
          <w:rFonts w:hint="eastAsia" w:hAnsi="宋体" w:eastAsia="宋体"/>
          <w:color w:val="auto"/>
          <w:sz w:val="24"/>
          <w:szCs w:val="24"/>
        </w:rPr>
        <w:t xml:space="preserve">公告同时在《中国采购与招标网》、《中国招标投标公共服务平台》、《河南省政府采购网》和《三门峡市公共资源交易中心网》发布。  </w:t>
      </w:r>
    </w:p>
    <w:p w14:paraId="71AED968">
      <w:pPr>
        <w:pStyle w:val="8"/>
        <w:pageBreakBefore w:val="0"/>
        <w:wordWrap/>
        <w:overflowPunct/>
        <w:bidi w:val="0"/>
        <w:spacing w:line="360" w:lineRule="auto"/>
        <w:ind w:firstLine="480" w:firstLineChars="200"/>
        <w:jc w:val="left"/>
        <w:outlineLvl w:val="9"/>
        <w:rPr>
          <w:rFonts w:hAnsi="宋体" w:eastAsia="宋体"/>
          <w:color w:val="auto"/>
          <w:sz w:val="24"/>
          <w:szCs w:val="24"/>
        </w:rPr>
      </w:pPr>
      <w:r>
        <w:rPr>
          <w:rFonts w:hint="eastAsia" w:hAnsi="宋体" w:eastAsia="宋体"/>
          <w:color w:val="auto"/>
          <w:sz w:val="24"/>
          <w:szCs w:val="24"/>
        </w:rPr>
        <w:t>八、其他补充事宜</w:t>
      </w:r>
    </w:p>
    <w:p w14:paraId="3DC61EB4">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0724EEAC">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.本项目实行资格后审，评审中资格审查、评审打分以投标文件为准，其上传资料真实性由供应商自行承担，同时，供应商要完善主体库。</w:t>
      </w:r>
    </w:p>
    <w:p w14:paraId="6697EC55">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.本项目为电子化、无纸化交易项目，开标时不再接受任何纸质资料，为保证您能投标成功，请需仔细阅读招标文件和三门峡市公共资源交易中心官网业务办理指南。</w:t>
      </w:r>
    </w:p>
    <w:p w14:paraId="2BC1A33D">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.根据优化营商环境的要求，评标时以投标文件为准：</w:t>
      </w:r>
    </w:p>
    <w:p w14:paraId="527D9A3F">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（1）资格评（预）审部分：资格评（预）以投标文件为准，其上传资料真实性由供应商自行承担，同时，供应商要完善主体库。</w:t>
      </w:r>
    </w:p>
    <w:p w14:paraId="1A9BBF40">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（2）评标打分部分：评标打分部分仍按照100分制原则进行，涉及到资格审查、企业荣誉、人员业绩、企业业绩等计分部分时，以投标单位自行上传到投标文件中的相应内容为准。</w:t>
      </w:r>
    </w:p>
    <w:p w14:paraId="395E76D2">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3）投标文件编制部分：在投标文件中要求供应商按照投标文件格式进行投标文件编制，在投标文件编制时，应明确将投标单位企业基本情况、资质情况、人员情况、财务情况、业绩情况编入投标文件，便于进行资格审查及评标打分。</w:t>
      </w:r>
    </w:p>
    <w:p w14:paraId="2656AED1">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.投标所发生的一切费用由各供应商自行承担，并承担相应的风险和责任。</w:t>
      </w:r>
    </w:p>
    <w:p w14:paraId="46203F71">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.我单位（采购人）严格按三财购（2021）9 号文要求的时限发布结果公告，发出中标通知书，签订采购合同，上传采购合同。</w:t>
      </w:r>
    </w:p>
    <w:p w14:paraId="12D42FF3">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温馨提示：本项目为电子化、无纸化交易项目，开标时不再接受任何纸质资料，为保证您能投标成功，请需仔细阅读招标文件和三门峡市公共资源交易中心官网业务办理指南。</w:t>
      </w:r>
    </w:p>
    <w:p w14:paraId="2EAC4019">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九</w:t>
      </w:r>
      <w:r>
        <w:rPr>
          <w:rFonts w:ascii="宋体" w:hAnsi="宋体"/>
          <w:color w:val="auto"/>
          <w:sz w:val="24"/>
          <w:szCs w:val="24"/>
        </w:rPr>
        <w:t>、</w:t>
      </w:r>
      <w:bookmarkStart w:id="11" w:name="OLE_LINK3"/>
      <w:r>
        <w:rPr>
          <w:rFonts w:hint="eastAsia" w:ascii="宋体" w:hAnsi="宋体"/>
          <w:color w:val="auto"/>
          <w:sz w:val="24"/>
          <w:szCs w:val="24"/>
        </w:rPr>
        <w:t>凡对本次招标提出询问，请按照以下方式联系：</w:t>
      </w:r>
    </w:p>
    <w:bookmarkEnd w:id="5"/>
    <w:bookmarkEnd w:id="11"/>
    <w:p w14:paraId="2123D720">
      <w:pPr>
        <w:pageBreakBefore w:val="0"/>
        <w:wordWrap/>
        <w:overflowPunct/>
        <w:bidi w:val="0"/>
        <w:spacing w:line="360" w:lineRule="auto"/>
        <w:ind w:firstLine="480" w:firstLineChars="200"/>
        <w:outlineLvl w:val="9"/>
        <w:rPr>
          <w:rFonts w:ascii="宋体" w:hAnsi="宋体"/>
          <w:color w:val="auto"/>
          <w:sz w:val="24"/>
          <w:szCs w:val="24"/>
        </w:rPr>
      </w:pPr>
      <w:bookmarkStart w:id="12" w:name="_Toc32746"/>
      <w:bookmarkStart w:id="13" w:name="_Toc454525912"/>
      <w:r>
        <w:rPr>
          <w:rFonts w:hint="eastAsia" w:ascii="宋体" w:hAnsi="宋体"/>
          <w:color w:val="auto"/>
          <w:sz w:val="24"/>
          <w:szCs w:val="24"/>
        </w:rPr>
        <w:t>1、采购人信息：</w:t>
      </w:r>
    </w:p>
    <w:p w14:paraId="3F09186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 购 人：三门峡市城市建设发展服务中心</w:t>
      </w:r>
    </w:p>
    <w:p w14:paraId="05B5514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 三门峡市文明路西段</w:t>
      </w:r>
    </w:p>
    <w:p w14:paraId="1E581E3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w:t>
      </w:r>
      <w:r>
        <w:rPr>
          <w:rFonts w:hint="eastAsia" w:ascii="宋体" w:hAnsi="宋体" w:cs="宋体"/>
          <w:sz w:val="24"/>
          <w:szCs w:val="24"/>
          <w:highlight w:val="none"/>
          <w:lang w:val="en-US" w:eastAsia="zh-CN"/>
        </w:rPr>
        <w:t>陈</w:t>
      </w:r>
      <w:r>
        <w:rPr>
          <w:rFonts w:hint="eastAsia" w:ascii="宋体" w:hAnsi="宋体" w:eastAsia="宋体" w:cs="宋体"/>
          <w:sz w:val="24"/>
          <w:szCs w:val="24"/>
          <w:highlight w:val="none"/>
          <w:lang w:val="en-US" w:eastAsia="zh-CN"/>
        </w:rPr>
        <w:t>先生</w:t>
      </w:r>
    </w:p>
    <w:p w14:paraId="7D1100B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w:t>
      </w:r>
      <w:bookmarkStart w:id="14" w:name="OLE_LINK6"/>
      <w:r>
        <w:rPr>
          <w:rFonts w:hint="eastAsia" w:ascii="宋体" w:hAnsi="宋体" w:cs="宋体"/>
          <w:sz w:val="24"/>
          <w:szCs w:val="24"/>
          <w:highlight w:val="none"/>
          <w:lang w:val="en-US" w:eastAsia="zh-CN"/>
        </w:rPr>
        <w:t>0398-2820222</w:t>
      </w:r>
      <w:bookmarkEnd w:id="14"/>
    </w:p>
    <w:p w14:paraId="5FF41B7F">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2、采购代理机构信息：</w:t>
      </w:r>
    </w:p>
    <w:p w14:paraId="73A5360E">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采购代理机构：厚德(河南省)企业管理有限责任公司</w:t>
      </w:r>
    </w:p>
    <w:p w14:paraId="45F8B5BE">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地    址：三门峡市商务中心区召公西路市民中心2号楼708室</w:t>
      </w:r>
    </w:p>
    <w:p w14:paraId="0AD91205">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联系人：朱女士</w:t>
      </w:r>
    </w:p>
    <w:p w14:paraId="1BB503D6">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电  话：0398-3163892</w:t>
      </w:r>
    </w:p>
    <w:p w14:paraId="1B6F3790">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 xml:space="preserve">邮  箱：HD3163892@163.com </w:t>
      </w:r>
    </w:p>
    <w:p w14:paraId="14B35C91">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3、项目联系方式：</w:t>
      </w:r>
    </w:p>
    <w:p w14:paraId="3FF2E491">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项目联系人：朱女士</w:t>
      </w:r>
    </w:p>
    <w:p w14:paraId="643769DD">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联系方式：0398-3163892</w:t>
      </w:r>
    </w:p>
    <w:p w14:paraId="3CE51F4C">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4、监督单位：三门峡市财政局政府采购监督管理科</w:t>
      </w:r>
    </w:p>
    <w:p w14:paraId="3CEE828C">
      <w:pPr>
        <w:pageBreakBefore w:val="0"/>
        <w:wordWrap/>
        <w:overflowPunct/>
        <w:bidi w:val="0"/>
        <w:spacing w:line="360" w:lineRule="auto"/>
        <w:ind w:firstLine="480" w:firstLineChars="200"/>
        <w:outlineLvl w:val="9"/>
        <w:rPr>
          <w:rFonts w:ascii="宋体" w:hAnsi="宋体"/>
          <w:color w:val="auto"/>
          <w:sz w:val="24"/>
          <w:szCs w:val="24"/>
        </w:rPr>
      </w:pPr>
      <w:r>
        <w:rPr>
          <w:rFonts w:hint="eastAsia" w:ascii="宋体" w:hAnsi="宋体"/>
          <w:color w:val="auto"/>
          <w:sz w:val="24"/>
          <w:szCs w:val="24"/>
        </w:rPr>
        <w:t>联系方式：0398-2608915</w:t>
      </w:r>
    </w:p>
    <w:p w14:paraId="251309D4">
      <w:pPr>
        <w:pageBreakBefore w:val="0"/>
        <w:wordWrap/>
        <w:overflowPunct/>
        <w:bidi w:val="0"/>
        <w:spacing w:line="360" w:lineRule="auto"/>
        <w:outlineLvl w:val="9"/>
        <w:rPr>
          <w:rFonts w:ascii="宋体" w:hAnsi="宋体"/>
          <w:sz w:val="30"/>
          <w:szCs w:val="30"/>
        </w:rPr>
      </w:pPr>
      <w:r>
        <w:rPr>
          <w:rFonts w:hint="eastAsia" w:ascii="宋体" w:hAnsi="宋体"/>
          <w:sz w:val="30"/>
          <w:szCs w:val="30"/>
        </w:rPr>
        <w:br w:type="page"/>
      </w:r>
    </w:p>
    <w:p w14:paraId="7D2501A5">
      <w:pPr>
        <w:pageBreakBefore w:val="0"/>
        <w:wordWrap/>
        <w:overflowPunct/>
        <w:bidi w:val="0"/>
        <w:spacing w:line="360" w:lineRule="auto"/>
        <w:jc w:val="center"/>
        <w:outlineLvl w:val="9"/>
        <w:rPr>
          <w:rFonts w:ascii="宋体" w:hAnsi="宋体"/>
          <w:sz w:val="30"/>
          <w:szCs w:val="30"/>
        </w:rPr>
        <w:sectPr>
          <w:footerReference r:id="rId11" w:type="default"/>
          <w:endnotePr>
            <w:numFmt w:val="decimal"/>
          </w:endnotePr>
          <w:pgSz w:w="12247" w:h="15819"/>
          <w:pgMar w:top="1440" w:right="1080" w:bottom="1440" w:left="1080" w:header="719" w:footer="1133" w:gutter="0"/>
          <w:pgNumType w:fmt="decimal" w:start="1"/>
          <w:cols w:space="720" w:num="1"/>
          <w:docGrid w:type="lines" w:linePitch="312" w:charSpace="0"/>
        </w:sectPr>
      </w:pPr>
    </w:p>
    <w:p w14:paraId="7A515B85">
      <w:pPr>
        <w:pageBreakBefore w:val="0"/>
        <w:wordWrap/>
        <w:overflowPunct/>
        <w:bidi w:val="0"/>
        <w:spacing w:line="360" w:lineRule="auto"/>
        <w:jc w:val="center"/>
        <w:outlineLvl w:val="0"/>
        <w:rPr>
          <w:rFonts w:hint="eastAsia"/>
          <w:b/>
          <w:bCs/>
          <w:sz w:val="44"/>
          <w:szCs w:val="40"/>
        </w:rPr>
      </w:pPr>
      <w:bookmarkStart w:id="15" w:name="_Toc17014"/>
      <w:r>
        <w:rPr>
          <w:rFonts w:hint="eastAsia"/>
          <w:b/>
          <w:bCs/>
          <w:sz w:val="44"/>
          <w:szCs w:val="40"/>
        </w:rPr>
        <w:t>第二章  供应商须知</w:t>
      </w:r>
      <w:bookmarkEnd w:id="12"/>
      <w:bookmarkEnd w:id="13"/>
      <w:bookmarkEnd w:id="15"/>
    </w:p>
    <w:p w14:paraId="1E30FFE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供应商须知前附表</w:t>
      </w:r>
    </w:p>
    <w:tbl>
      <w:tblPr>
        <w:tblStyle w:val="16"/>
        <w:tblW w:w="973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86"/>
        <w:gridCol w:w="6"/>
        <w:gridCol w:w="7196"/>
      </w:tblGrid>
      <w:tr w14:paraId="3EDB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5" w:type="dxa"/>
            <w:vAlign w:val="center"/>
          </w:tcPr>
          <w:p w14:paraId="58D6A4E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条款号</w:t>
            </w:r>
          </w:p>
        </w:tc>
        <w:tc>
          <w:tcPr>
            <w:tcW w:w="1586" w:type="dxa"/>
            <w:vAlign w:val="center"/>
          </w:tcPr>
          <w:p w14:paraId="3D81E7A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条 款 名 称</w:t>
            </w:r>
          </w:p>
        </w:tc>
        <w:tc>
          <w:tcPr>
            <w:tcW w:w="7202" w:type="dxa"/>
            <w:gridSpan w:val="2"/>
            <w:vAlign w:val="center"/>
          </w:tcPr>
          <w:p w14:paraId="3BA18794">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编  列  内  容</w:t>
            </w:r>
          </w:p>
        </w:tc>
      </w:tr>
      <w:tr w14:paraId="0429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 w:type="dxa"/>
            <w:vAlign w:val="center"/>
          </w:tcPr>
          <w:p w14:paraId="73B38981">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1.1.2</w:t>
            </w:r>
          </w:p>
        </w:tc>
        <w:tc>
          <w:tcPr>
            <w:tcW w:w="1586" w:type="dxa"/>
            <w:vAlign w:val="center"/>
          </w:tcPr>
          <w:p w14:paraId="49AF2215">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02" w:type="dxa"/>
            <w:gridSpan w:val="2"/>
            <w:vAlign w:val="center"/>
          </w:tcPr>
          <w:p w14:paraId="7854E7E3">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采 购 人：三门峡市城市建设发展服务中心</w:t>
            </w:r>
          </w:p>
          <w:p w14:paraId="636DE474">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地    址： 三门峡市文明路西段</w:t>
            </w:r>
          </w:p>
          <w:p w14:paraId="6BBDB3F5">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联 系 人：陈先生</w:t>
            </w:r>
          </w:p>
          <w:p w14:paraId="5DF83F01">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电    话：</w:t>
            </w:r>
            <w:bookmarkStart w:id="16" w:name="OLE_LINK5"/>
            <w:r>
              <w:rPr>
                <w:rFonts w:hint="eastAsia" w:ascii="宋体" w:hAnsi="宋体"/>
                <w:color w:val="auto"/>
                <w:sz w:val="24"/>
                <w:szCs w:val="24"/>
              </w:rPr>
              <w:t>0398-2820222</w:t>
            </w:r>
            <w:bookmarkEnd w:id="16"/>
          </w:p>
        </w:tc>
      </w:tr>
      <w:tr w14:paraId="7C71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945" w:type="dxa"/>
            <w:vAlign w:val="center"/>
          </w:tcPr>
          <w:p w14:paraId="3C683A3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1.1.3</w:t>
            </w:r>
          </w:p>
        </w:tc>
        <w:tc>
          <w:tcPr>
            <w:tcW w:w="1586" w:type="dxa"/>
            <w:vAlign w:val="center"/>
          </w:tcPr>
          <w:p w14:paraId="058F56E3">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招标代理机构</w:t>
            </w:r>
          </w:p>
        </w:tc>
        <w:tc>
          <w:tcPr>
            <w:tcW w:w="7202" w:type="dxa"/>
            <w:gridSpan w:val="2"/>
            <w:vAlign w:val="center"/>
          </w:tcPr>
          <w:p w14:paraId="3DC21670">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采购代理机构：</w:t>
            </w:r>
            <w:bookmarkStart w:id="17" w:name="OLE_LINK7"/>
            <w:r>
              <w:rPr>
                <w:rFonts w:hint="eastAsia" w:ascii="宋体" w:hAnsi="宋体"/>
                <w:color w:val="auto"/>
                <w:sz w:val="24"/>
                <w:szCs w:val="24"/>
              </w:rPr>
              <w:t>厚德(河南省)企业管理有限责任公司</w:t>
            </w:r>
            <w:bookmarkEnd w:id="17"/>
          </w:p>
          <w:p w14:paraId="6F183DB7">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地    址：三门峡市商务中心区召公西路市民中心2号楼708室</w:t>
            </w:r>
          </w:p>
          <w:p w14:paraId="093A845D">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联系人：朱女士</w:t>
            </w:r>
          </w:p>
          <w:p w14:paraId="0587591A">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电  话：0398-3163892</w:t>
            </w:r>
          </w:p>
          <w:p w14:paraId="36B67C0C">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邮  箱：HD3163892@163.com</w:t>
            </w:r>
          </w:p>
        </w:tc>
      </w:tr>
      <w:tr w14:paraId="76F9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945" w:type="dxa"/>
            <w:vAlign w:val="center"/>
          </w:tcPr>
          <w:p w14:paraId="1679AA5D">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1.1.4</w:t>
            </w:r>
          </w:p>
        </w:tc>
        <w:tc>
          <w:tcPr>
            <w:tcW w:w="1586" w:type="dxa"/>
            <w:vAlign w:val="center"/>
          </w:tcPr>
          <w:p w14:paraId="54897EB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项目名称</w:t>
            </w:r>
          </w:p>
        </w:tc>
        <w:tc>
          <w:tcPr>
            <w:tcW w:w="7202" w:type="dxa"/>
            <w:gridSpan w:val="2"/>
            <w:vAlign w:val="center"/>
          </w:tcPr>
          <w:p w14:paraId="39CFE10B">
            <w:pPr>
              <w:pageBreakBefore w:val="0"/>
              <w:wordWrap/>
              <w:overflowPunct/>
              <w:bidi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三门峡市城市建设发展服务中心2025年度城市道路维护抢险作业沥青混凝土材料采购项目</w:t>
            </w:r>
          </w:p>
        </w:tc>
      </w:tr>
      <w:tr w14:paraId="06E2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945" w:type="dxa"/>
            <w:vAlign w:val="center"/>
          </w:tcPr>
          <w:p w14:paraId="4F8C12D9">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1.2.1</w:t>
            </w:r>
          </w:p>
        </w:tc>
        <w:tc>
          <w:tcPr>
            <w:tcW w:w="1586" w:type="dxa"/>
            <w:vAlign w:val="center"/>
          </w:tcPr>
          <w:p w14:paraId="4BBBF8D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资金来源</w:t>
            </w:r>
          </w:p>
        </w:tc>
        <w:tc>
          <w:tcPr>
            <w:tcW w:w="7202" w:type="dxa"/>
            <w:gridSpan w:val="2"/>
            <w:vAlign w:val="center"/>
          </w:tcPr>
          <w:p w14:paraId="0546C43A">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财政资金</w:t>
            </w:r>
          </w:p>
        </w:tc>
      </w:tr>
      <w:tr w14:paraId="0916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45" w:type="dxa"/>
            <w:vAlign w:val="center"/>
          </w:tcPr>
          <w:p w14:paraId="3CC6D2C2">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1.2.2</w:t>
            </w:r>
          </w:p>
        </w:tc>
        <w:tc>
          <w:tcPr>
            <w:tcW w:w="1586" w:type="dxa"/>
            <w:vAlign w:val="center"/>
          </w:tcPr>
          <w:p w14:paraId="32902ED3">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出资比例</w:t>
            </w:r>
          </w:p>
        </w:tc>
        <w:tc>
          <w:tcPr>
            <w:tcW w:w="7202" w:type="dxa"/>
            <w:gridSpan w:val="2"/>
            <w:vAlign w:val="center"/>
          </w:tcPr>
          <w:p w14:paraId="60612007">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100%</w:t>
            </w:r>
          </w:p>
        </w:tc>
      </w:tr>
      <w:tr w14:paraId="7804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45" w:type="dxa"/>
            <w:vAlign w:val="center"/>
          </w:tcPr>
          <w:p w14:paraId="44613EE8">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1.2.3</w:t>
            </w:r>
          </w:p>
        </w:tc>
        <w:tc>
          <w:tcPr>
            <w:tcW w:w="1586" w:type="dxa"/>
            <w:vAlign w:val="center"/>
          </w:tcPr>
          <w:p w14:paraId="61B71CED">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资金落实情况</w:t>
            </w:r>
          </w:p>
        </w:tc>
        <w:tc>
          <w:tcPr>
            <w:tcW w:w="7202" w:type="dxa"/>
            <w:gridSpan w:val="2"/>
            <w:vAlign w:val="center"/>
          </w:tcPr>
          <w:p w14:paraId="48DD9759">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已落实</w:t>
            </w:r>
          </w:p>
        </w:tc>
      </w:tr>
      <w:tr w14:paraId="5461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5" w:type="dxa"/>
            <w:vAlign w:val="center"/>
          </w:tcPr>
          <w:p w14:paraId="4FE814BD">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1.3.1</w:t>
            </w:r>
          </w:p>
        </w:tc>
        <w:tc>
          <w:tcPr>
            <w:tcW w:w="1586" w:type="dxa"/>
            <w:vAlign w:val="center"/>
          </w:tcPr>
          <w:p w14:paraId="15708196">
            <w:pPr>
              <w:pageBreakBefore w:val="0"/>
              <w:wordWrap/>
              <w:overflowPunct/>
              <w:bidi w:val="0"/>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采购内容</w:t>
            </w:r>
          </w:p>
        </w:tc>
        <w:tc>
          <w:tcPr>
            <w:tcW w:w="7202" w:type="dxa"/>
            <w:gridSpan w:val="2"/>
            <w:vAlign w:val="center"/>
          </w:tcPr>
          <w:p w14:paraId="26298C94">
            <w:pPr>
              <w:pageBreakBefore w:val="0"/>
              <w:wordWrap/>
              <w:overflowPunct/>
              <w:bidi w:val="0"/>
              <w:spacing w:line="360" w:lineRule="auto"/>
              <w:jc w:val="left"/>
              <w:rPr>
                <w:rFonts w:ascii="宋体" w:hAnsi="宋体" w:cs="宋体"/>
                <w:color w:val="auto"/>
                <w:sz w:val="24"/>
                <w:szCs w:val="24"/>
              </w:rPr>
            </w:pPr>
            <w:r>
              <w:rPr>
                <w:rFonts w:hint="eastAsia" w:ascii="宋体" w:hAnsi="宋体" w:cs="宋体"/>
                <w:color w:val="auto"/>
                <w:sz w:val="24"/>
                <w:szCs w:val="24"/>
              </w:rPr>
              <w:t>本项目为三门峡市市区城市道路2025年度实施日常养护、专项维护、应急抢险等养护维修任务时采购沥青混凝土维修材料进行的公开招标，拟采用单价招标。本采购项目拟以三门峡市定额站发布的2025年当期《三门峡工程标准造价信息》中沥青混凝土的价格为基准价，各供应商以下浮百分比</w:t>
            </w:r>
            <w:r>
              <w:rPr>
                <w:rFonts w:hint="eastAsia" w:ascii="宋体" w:hAnsi="宋体"/>
                <w:color w:val="auto"/>
                <w:sz w:val="24"/>
                <w:szCs w:val="24"/>
                <w:lang w:val="en-US" w:eastAsia="zh-CN"/>
              </w:rPr>
              <w:t>后的数值</w:t>
            </w:r>
            <w:r>
              <w:rPr>
                <w:rFonts w:hint="eastAsia" w:ascii="宋体" w:hAnsi="宋体" w:cs="宋体"/>
                <w:color w:val="auto"/>
                <w:sz w:val="24"/>
                <w:szCs w:val="24"/>
              </w:rPr>
              <w:t>进行报价。采购完成后，结算时按照供料时间当期信息价，下浮百分比</w:t>
            </w:r>
            <w:r>
              <w:rPr>
                <w:rFonts w:hint="eastAsia" w:ascii="宋体" w:hAnsi="宋体"/>
                <w:color w:val="auto"/>
                <w:sz w:val="24"/>
                <w:szCs w:val="24"/>
                <w:lang w:val="en-US" w:eastAsia="zh-CN"/>
              </w:rPr>
              <w:t>后的数值</w:t>
            </w:r>
            <w:r>
              <w:rPr>
                <w:rFonts w:hint="eastAsia" w:ascii="宋体" w:hAnsi="宋体" w:cs="宋体"/>
                <w:color w:val="auto"/>
                <w:sz w:val="24"/>
                <w:szCs w:val="24"/>
              </w:rPr>
              <w:t>进行结算。</w:t>
            </w:r>
          </w:p>
        </w:tc>
      </w:tr>
      <w:tr w14:paraId="303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5" w:type="dxa"/>
            <w:vAlign w:val="center"/>
          </w:tcPr>
          <w:p w14:paraId="42BADC55">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1.3.2</w:t>
            </w:r>
          </w:p>
        </w:tc>
        <w:tc>
          <w:tcPr>
            <w:tcW w:w="1586" w:type="dxa"/>
            <w:vAlign w:val="center"/>
          </w:tcPr>
          <w:p w14:paraId="15A37755">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供货期</w:t>
            </w:r>
          </w:p>
        </w:tc>
        <w:tc>
          <w:tcPr>
            <w:tcW w:w="7202" w:type="dxa"/>
            <w:gridSpan w:val="2"/>
            <w:vAlign w:val="center"/>
          </w:tcPr>
          <w:p w14:paraId="3B25B22C">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合同签订起一年内</w:t>
            </w:r>
          </w:p>
        </w:tc>
      </w:tr>
      <w:tr w14:paraId="508B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5" w:type="dxa"/>
            <w:shd w:val="clear" w:color="auto" w:fill="auto"/>
            <w:vAlign w:val="center"/>
          </w:tcPr>
          <w:p w14:paraId="58620230">
            <w:pPr>
              <w:pageBreakBefore w:val="0"/>
              <w:wordWrap/>
              <w:overflowPunct/>
              <w:bidi w:val="0"/>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rPr>
              <w:t>1.3.</w:t>
            </w:r>
            <w:r>
              <w:rPr>
                <w:rFonts w:hint="eastAsia" w:ascii="宋体" w:hAnsi="宋体"/>
                <w:color w:val="auto"/>
                <w:sz w:val="24"/>
                <w:szCs w:val="24"/>
                <w:lang w:val="en-US" w:eastAsia="zh-CN"/>
              </w:rPr>
              <w:t>3</w:t>
            </w:r>
          </w:p>
        </w:tc>
        <w:tc>
          <w:tcPr>
            <w:tcW w:w="1586" w:type="dxa"/>
            <w:shd w:val="clear" w:color="auto" w:fill="auto"/>
            <w:vAlign w:val="center"/>
          </w:tcPr>
          <w:p w14:paraId="42FAC8E0">
            <w:pPr>
              <w:pageBreakBefore w:val="0"/>
              <w:wordWrap/>
              <w:overflowPunct/>
              <w:bidi w:val="0"/>
              <w:spacing w:line="360" w:lineRule="auto"/>
              <w:ind w:firstLine="240" w:firstLineChars="100"/>
              <w:jc w:val="center"/>
              <w:rPr>
                <w:rFonts w:ascii="宋体" w:hAnsi="宋体"/>
                <w:color w:val="auto"/>
                <w:sz w:val="24"/>
                <w:szCs w:val="24"/>
              </w:rPr>
            </w:pPr>
            <w:r>
              <w:rPr>
                <w:rFonts w:hint="eastAsia" w:ascii="宋体" w:hAnsi="宋体"/>
                <w:color w:val="auto"/>
                <w:sz w:val="24"/>
                <w:szCs w:val="24"/>
              </w:rPr>
              <w:t>质量要求</w:t>
            </w:r>
          </w:p>
        </w:tc>
        <w:tc>
          <w:tcPr>
            <w:tcW w:w="7202" w:type="dxa"/>
            <w:gridSpan w:val="2"/>
            <w:shd w:val="clear" w:color="auto" w:fill="auto"/>
            <w:vAlign w:val="center"/>
          </w:tcPr>
          <w:p w14:paraId="29F90042">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符合国家相关质量标准规定，满足使用要求。</w:t>
            </w:r>
          </w:p>
        </w:tc>
      </w:tr>
      <w:tr w14:paraId="7CF2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Align w:val="center"/>
          </w:tcPr>
          <w:p w14:paraId="1B0697B9">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1.4.1</w:t>
            </w:r>
          </w:p>
        </w:tc>
        <w:tc>
          <w:tcPr>
            <w:tcW w:w="1586" w:type="dxa"/>
            <w:vAlign w:val="center"/>
          </w:tcPr>
          <w:p w14:paraId="66F7505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供应商资格条件</w:t>
            </w:r>
          </w:p>
        </w:tc>
        <w:tc>
          <w:tcPr>
            <w:tcW w:w="7202" w:type="dxa"/>
            <w:gridSpan w:val="2"/>
            <w:vAlign w:val="center"/>
          </w:tcPr>
          <w:p w14:paraId="14EDC891">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供应商参加本次采购活动必须符合《中华人民共和国政府采购法》第二十二条的规定，并符合以下资格条件：</w:t>
            </w:r>
          </w:p>
          <w:p w14:paraId="3B376867">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1、供应商须提供合法有效的营业执照；</w:t>
            </w:r>
          </w:p>
          <w:p w14:paraId="51C2DDD5">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2、供应商须提供本企业无商业贿赂和不正当竞争行为承诺书；</w:t>
            </w:r>
          </w:p>
          <w:p w14:paraId="461582BE">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3、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46AC6E1C">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4、本项目不接受联合体投标；</w:t>
            </w:r>
          </w:p>
          <w:p w14:paraId="4E81721C">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5、本次采购实行资格后审，资格审查的具体要求见招标文件；</w:t>
            </w:r>
          </w:p>
        </w:tc>
      </w:tr>
      <w:tr w14:paraId="5B6C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45" w:type="dxa"/>
            <w:vAlign w:val="center"/>
          </w:tcPr>
          <w:p w14:paraId="7AF9A20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1.4.2</w:t>
            </w:r>
          </w:p>
        </w:tc>
        <w:tc>
          <w:tcPr>
            <w:tcW w:w="1586" w:type="dxa"/>
            <w:vAlign w:val="center"/>
          </w:tcPr>
          <w:p w14:paraId="55C9E459">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是否接受联合体投标</w:t>
            </w:r>
          </w:p>
        </w:tc>
        <w:tc>
          <w:tcPr>
            <w:tcW w:w="7202" w:type="dxa"/>
            <w:gridSpan w:val="2"/>
            <w:vAlign w:val="center"/>
          </w:tcPr>
          <w:p w14:paraId="3D4A0346">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■不接受</w:t>
            </w:r>
          </w:p>
        </w:tc>
      </w:tr>
      <w:tr w14:paraId="130E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5" w:type="dxa"/>
            <w:vAlign w:val="center"/>
          </w:tcPr>
          <w:p w14:paraId="678D58B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1.9.1</w:t>
            </w:r>
          </w:p>
        </w:tc>
        <w:tc>
          <w:tcPr>
            <w:tcW w:w="1586" w:type="dxa"/>
            <w:vAlign w:val="center"/>
          </w:tcPr>
          <w:p w14:paraId="3491EE0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踏勘现场</w:t>
            </w:r>
          </w:p>
        </w:tc>
        <w:tc>
          <w:tcPr>
            <w:tcW w:w="7202" w:type="dxa"/>
            <w:gridSpan w:val="2"/>
            <w:vAlign w:val="center"/>
          </w:tcPr>
          <w:p w14:paraId="5D655231">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■不组织</w:t>
            </w:r>
          </w:p>
        </w:tc>
      </w:tr>
      <w:tr w14:paraId="7A52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5" w:type="dxa"/>
            <w:vAlign w:val="center"/>
          </w:tcPr>
          <w:p w14:paraId="41542EB0">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1.10.1</w:t>
            </w:r>
          </w:p>
        </w:tc>
        <w:tc>
          <w:tcPr>
            <w:tcW w:w="1586" w:type="dxa"/>
            <w:vAlign w:val="center"/>
          </w:tcPr>
          <w:p w14:paraId="558FFDF0">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投标预备会</w:t>
            </w:r>
          </w:p>
        </w:tc>
        <w:tc>
          <w:tcPr>
            <w:tcW w:w="7202" w:type="dxa"/>
            <w:gridSpan w:val="2"/>
            <w:vAlign w:val="center"/>
          </w:tcPr>
          <w:p w14:paraId="100DBE87">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■不召开</w:t>
            </w:r>
          </w:p>
        </w:tc>
      </w:tr>
      <w:tr w14:paraId="6CAE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5" w:type="dxa"/>
            <w:vAlign w:val="center"/>
          </w:tcPr>
          <w:p w14:paraId="59AC98C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1.11</w:t>
            </w:r>
          </w:p>
        </w:tc>
        <w:tc>
          <w:tcPr>
            <w:tcW w:w="1586" w:type="dxa"/>
            <w:vAlign w:val="center"/>
          </w:tcPr>
          <w:p w14:paraId="4D6F21FA">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分  包</w:t>
            </w:r>
          </w:p>
        </w:tc>
        <w:tc>
          <w:tcPr>
            <w:tcW w:w="7202" w:type="dxa"/>
            <w:gridSpan w:val="2"/>
            <w:vAlign w:val="center"/>
          </w:tcPr>
          <w:p w14:paraId="3B77596C">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■不允许</w:t>
            </w:r>
          </w:p>
        </w:tc>
      </w:tr>
      <w:tr w14:paraId="7CFB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5" w:type="dxa"/>
            <w:vAlign w:val="center"/>
          </w:tcPr>
          <w:p w14:paraId="7A1C3C65">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1.12</w:t>
            </w:r>
          </w:p>
        </w:tc>
        <w:tc>
          <w:tcPr>
            <w:tcW w:w="1586" w:type="dxa"/>
            <w:vAlign w:val="center"/>
          </w:tcPr>
          <w:p w14:paraId="2845F7E3">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偏  离</w:t>
            </w:r>
          </w:p>
        </w:tc>
        <w:tc>
          <w:tcPr>
            <w:tcW w:w="7202" w:type="dxa"/>
            <w:gridSpan w:val="2"/>
            <w:vAlign w:val="center"/>
          </w:tcPr>
          <w:p w14:paraId="1F43896C">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■允许</w:t>
            </w:r>
          </w:p>
        </w:tc>
      </w:tr>
      <w:tr w14:paraId="6E2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45" w:type="dxa"/>
            <w:vAlign w:val="center"/>
          </w:tcPr>
          <w:p w14:paraId="5EF8D04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2.1</w:t>
            </w:r>
          </w:p>
        </w:tc>
        <w:tc>
          <w:tcPr>
            <w:tcW w:w="1586" w:type="dxa"/>
            <w:vAlign w:val="center"/>
          </w:tcPr>
          <w:p w14:paraId="0A5BBF3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构成招标文件的其他材料</w:t>
            </w:r>
          </w:p>
        </w:tc>
        <w:tc>
          <w:tcPr>
            <w:tcW w:w="7202" w:type="dxa"/>
            <w:gridSpan w:val="2"/>
            <w:vAlign w:val="center"/>
          </w:tcPr>
          <w:p w14:paraId="7CC35F05">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对招标文件所作的澄清（含答疑）、修改，补充构成招标文件的组成部分。</w:t>
            </w:r>
          </w:p>
        </w:tc>
      </w:tr>
      <w:tr w14:paraId="3EA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45" w:type="dxa"/>
            <w:vAlign w:val="center"/>
          </w:tcPr>
          <w:p w14:paraId="099F9066">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2.2.1</w:t>
            </w:r>
          </w:p>
        </w:tc>
        <w:tc>
          <w:tcPr>
            <w:tcW w:w="1586" w:type="dxa"/>
            <w:vAlign w:val="center"/>
          </w:tcPr>
          <w:p w14:paraId="4973566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供应商要求澄清招标文件的截止时间</w:t>
            </w:r>
          </w:p>
        </w:tc>
        <w:tc>
          <w:tcPr>
            <w:tcW w:w="7202" w:type="dxa"/>
            <w:gridSpan w:val="2"/>
            <w:vAlign w:val="center"/>
          </w:tcPr>
          <w:p w14:paraId="68C73E01">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投标截止时间15日前</w:t>
            </w:r>
          </w:p>
        </w:tc>
      </w:tr>
      <w:tr w14:paraId="1F9F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45" w:type="dxa"/>
            <w:vAlign w:val="center"/>
          </w:tcPr>
          <w:p w14:paraId="00A9550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2.2.2</w:t>
            </w:r>
          </w:p>
        </w:tc>
        <w:tc>
          <w:tcPr>
            <w:tcW w:w="1586" w:type="dxa"/>
            <w:vAlign w:val="center"/>
          </w:tcPr>
          <w:p w14:paraId="7B2F8E6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投标截止时间</w:t>
            </w:r>
          </w:p>
        </w:tc>
        <w:tc>
          <w:tcPr>
            <w:tcW w:w="7202" w:type="dxa"/>
            <w:gridSpan w:val="2"/>
            <w:vAlign w:val="center"/>
          </w:tcPr>
          <w:p w14:paraId="6A782E8F">
            <w:pPr>
              <w:pageBreakBefore w:val="0"/>
              <w:wordWrap/>
              <w:overflowPunct/>
              <w:bidi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highlight w:val="none"/>
                <w:lang w:eastAsia="zh-CN"/>
              </w:rPr>
              <w:t>2025年04月17日08时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p>
        </w:tc>
      </w:tr>
      <w:tr w14:paraId="4A8E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14:paraId="36D3427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2.2.3</w:t>
            </w:r>
          </w:p>
        </w:tc>
        <w:tc>
          <w:tcPr>
            <w:tcW w:w="1586" w:type="dxa"/>
            <w:vAlign w:val="center"/>
          </w:tcPr>
          <w:p w14:paraId="61AAD66E">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供应商确认收到招标文件澄清的时间</w:t>
            </w:r>
          </w:p>
        </w:tc>
        <w:tc>
          <w:tcPr>
            <w:tcW w:w="7202" w:type="dxa"/>
            <w:gridSpan w:val="2"/>
            <w:vAlign w:val="center"/>
          </w:tcPr>
          <w:p w14:paraId="71F1210F">
            <w:pPr>
              <w:pageBreakBefore w:val="0"/>
              <w:wordWrap/>
              <w:overflowPunct/>
              <w:bidi w:val="0"/>
              <w:spacing w:line="360" w:lineRule="auto"/>
              <w:jc w:val="left"/>
              <w:rPr>
                <w:rFonts w:ascii="宋体" w:hAnsi="宋体"/>
                <w:color w:val="auto"/>
                <w:sz w:val="24"/>
                <w:szCs w:val="24"/>
                <w:u w:val="single"/>
              </w:rPr>
            </w:pPr>
            <w:r>
              <w:rPr>
                <w:rFonts w:hint="eastAsia" w:ascii="宋体" w:hAnsi="宋体"/>
                <w:color w:val="auto"/>
                <w:sz w:val="24"/>
                <w:szCs w:val="24"/>
              </w:rPr>
              <w:t>在收到相应澄清文件后</w:t>
            </w:r>
            <w:r>
              <w:rPr>
                <w:rFonts w:hint="eastAsia" w:ascii="宋体" w:hAnsi="宋体"/>
                <w:color w:val="auto"/>
                <w:sz w:val="24"/>
                <w:szCs w:val="24"/>
                <w:u w:val="single"/>
              </w:rPr>
              <w:t xml:space="preserve"> 24 </w:t>
            </w:r>
            <w:r>
              <w:rPr>
                <w:rFonts w:hint="eastAsia" w:ascii="宋体" w:hAnsi="宋体"/>
                <w:color w:val="auto"/>
                <w:sz w:val="24"/>
                <w:szCs w:val="24"/>
              </w:rPr>
              <w:t>小时内</w:t>
            </w:r>
          </w:p>
        </w:tc>
      </w:tr>
      <w:tr w14:paraId="786C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5" w:type="dxa"/>
            <w:vAlign w:val="center"/>
          </w:tcPr>
          <w:p w14:paraId="4D5DA88D">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2.3.2</w:t>
            </w:r>
          </w:p>
        </w:tc>
        <w:tc>
          <w:tcPr>
            <w:tcW w:w="1586" w:type="dxa"/>
            <w:vAlign w:val="center"/>
          </w:tcPr>
          <w:p w14:paraId="1D181A5E">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供应商确认收到招标文件修改的时间</w:t>
            </w:r>
          </w:p>
        </w:tc>
        <w:tc>
          <w:tcPr>
            <w:tcW w:w="7202" w:type="dxa"/>
            <w:gridSpan w:val="2"/>
            <w:vAlign w:val="center"/>
          </w:tcPr>
          <w:p w14:paraId="40B84644">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在收到相应修改文件后</w:t>
            </w:r>
            <w:r>
              <w:rPr>
                <w:rFonts w:hint="eastAsia" w:ascii="宋体" w:hAnsi="宋体"/>
                <w:color w:val="auto"/>
                <w:sz w:val="24"/>
                <w:szCs w:val="24"/>
                <w:u w:val="single"/>
              </w:rPr>
              <w:t xml:space="preserve"> 24</w:t>
            </w:r>
            <w:r>
              <w:rPr>
                <w:rFonts w:hint="eastAsia" w:ascii="宋体" w:hAnsi="宋体"/>
                <w:color w:val="auto"/>
                <w:sz w:val="24"/>
                <w:szCs w:val="24"/>
              </w:rPr>
              <w:t>小时内</w:t>
            </w:r>
          </w:p>
        </w:tc>
      </w:tr>
      <w:tr w14:paraId="5177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Align w:val="center"/>
          </w:tcPr>
          <w:p w14:paraId="71EF39F8">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3.1.1</w:t>
            </w:r>
          </w:p>
        </w:tc>
        <w:tc>
          <w:tcPr>
            <w:tcW w:w="1586" w:type="dxa"/>
            <w:vAlign w:val="center"/>
          </w:tcPr>
          <w:p w14:paraId="018FE299">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构成投标文件的其他材料</w:t>
            </w:r>
          </w:p>
        </w:tc>
        <w:tc>
          <w:tcPr>
            <w:tcW w:w="7202" w:type="dxa"/>
            <w:gridSpan w:val="2"/>
            <w:vAlign w:val="center"/>
          </w:tcPr>
          <w:p w14:paraId="07F4B2AB">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w:t>
            </w:r>
          </w:p>
        </w:tc>
      </w:tr>
      <w:tr w14:paraId="2C2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14:paraId="5F783666">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3.3.1</w:t>
            </w:r>
          </w:p>
        </w:tc>
        <w:tc>
          <w:tcPr>
            <w:tcW w:w="1586" w:type="dxa"/>
            <w:vAlign w:val="center"/>
          </w:tcPr>
          <w:p w14:paraId="21CBC05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投标有效期</w:t>
            </w:r>
          </w:p>
        </w:tc>
        <w:tc>
          <w:tcPr>
            <w:tcW w:w="7202" w:type="dxa"/>
            <w:gridSpan w:val="2"/>
            <w:vAlign w:val="center"/>
          </w:tcPr>
          <w:p w14:paraId="209FC3C5">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投标截止之日起90日历天</w:t>
            </w:r>
          </w:p>
        </w:tc>
      </w:tr>
      <w:tr w14:paraId="5ADA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5" w:type="dxa"/>
            <w:vAlign w:val="center"/>
          </w:tcPr>
          <w:p w14:paraId="4F83B6A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3.4.1</w:t>
            </w:r>
          </w:p>
        </w:tc>
        <w:tc>
          <w:tcPr>
            <w:tcW w:w="1586" w:type="dxa"/>
            <w:vAlign w:val="center"/>
          </w:tcPr>
          <w:p w14:paraId="0B030913">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投标保证金</w:t>
            </w:r>
          </w:p>
        </w:tc>
        <w:tc>
          <w:tcPr>
            <w:tcW w:w="7202" w:type="dxa"/>
            <w:gridSpan w:val="2"/>
            <w:vAlign w:val="center"/>
          </w:tcPr>
          <w:p w14:paraId="0E7FE0AB">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按照《河南省财政厅关于优化政府采购营商环境有关问题的通知》（豫财购[2019]4号文）的要求本项目不再收取投标保证金。</w:t>
            </w:r>
          </w:p>
        </w:tc>
      </w:tr>
      <w:tr w14:paraId="49DF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45" w:type="dxa"/>
            <w:vAlign w:val="center"/>
          </w:tcPr>
          <w:p w14:paraId="123FF0BB">
            <w:pPr>
              <w:pageBreakBefore w:val="0"/>
              <w:wordWrap/>
              <w:overflowPunct/>
              <w:bidi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3.5.3</w:t>
            </w:r>
          </w:p>
        </w:tc>
        <w:tc>
          <w:tcPr>
            <w:tcW w:w="1586" w:type="dxa"/>
            <w:vAlign w:val="center"/>
          </w:tcPr>
          <w:p w14:paraId="3A0303DC">
            <w:pPr>
              <w:pageBreakBefore w:val="0"/>
              <w:wordWrap/>
              <w:overflowPunct/>
              <w:bidi w:val="0"/>
              <w:spacing w:line="36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类似项目业绩</w:t>
            </w:r>
          </w:p>
        </w:tc>
        <w:tc>
          <w:tcPr>
            <w:tcW w:w="7202" w:type="dxa"/>
            <w:gridSpan w:val="2"/>
            <w:vAlign w:val="center"/>
          </w:tcPr>
          <w:p w14:paraId="20B7E52B">
            <w:pPr>
              <w:pageBreakBefore w:val="0"/>
              <w:wordWrap/>
              <w:overflowPunct/>
              <w:bidi w:val="0"/>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指</w:t>
            </w:r>
            <w:r>
              <w:rPr>
                <w:rFonts w:hint="eastAsia" w:ascii="宋体" w:hAnsi="宋体"/>
                <w:color w:val="000000" w:themeColor="text1"/>
                <w:sz w:val="24"/>
                <w:szCs w:val="24"/>
                <w:highlight w:val="none"/>
                <w:u w:val="single"/>
                <w14:textFill>
                  <w14:solidFill>
                    <w14:schemeClr w14:val="tx1"/>
                  </w14:solidFill>
                </w14:textFill>
              </w:rPr>
              <w:t>202</w:t>
            </w:r>
            <w:r>
              <w:rPr>
                <w:rFonts w:hint="eastAsia" w:ascii="宋体" w:hAnsi="宋体"/>
                <w:color w:val="000000" w:themeColor="text1"/>
                <w:sz w:val="24"/>
                <w:szCs w:val="24"/>
                <w:highlight w:val="none"/>
                <w:u w:val="singl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日以来</w:t>
            </w:r>
          </w:p>
        </w:tc>
      </w:tr>
      <w:tr w14:paraId="1E8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45" w:type="dxa"/>
            <w:vAlign w:val="center"/>
          </w:tcPr>
          <w:p w14:paraId="08522BE1">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3.6</w:t>
            </w:r>
          </w:p>
        </w:tc>
        <w:tc>
          <w:tcPr>
            <w:tcW w:w="1586" w:type="dxa"/>
            <w:vAlign w:val="center"/>
          </w:tcPr>
          <w:p w14:paraId="536A0618">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是否允许递交备选投标方案</w:t>
            </w:r>
          </w:p>
        </w:tc>
        <w:tc>
          <w:tcPr>
            <w:tcW w:w="7202" w:type="dxa"/>
            <w:gridSpan w:val="2"/>
            <w:vAlign w:val="center"/>
          </w:tcPr>
          <w:p w14:paraId="257898C4">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■不允许</w:t>
            </w:r>
          </w:p>
        </w:tc>
      </w:tr>
      <w:tr w14:paraId="24F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14:paraId="192A2B86">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3.7.3</w:t>
            </w:r>
          </w:p>
        </w:tc>
        <w:tc>
          <w:tcPr>
            <w:tcW w:w="1586" w:type="dxa"/>
            <w:vAlign w:val="center"/>
          </w:tcPr>
          <w:p w14:paraId="01D4814F">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投标文件签章</w:t>
            </w:r>
          </w:p>
        </w:tc>
        <w:tc>
          <w:tcPr>
            <w:tcW w:w="7202" w:type="dxa"/>
            <w:gridSpan w:val="2"/>
            <w:vAlign w:val="center"/>
          </w:tcPr>
          <w:p w14:paraId="50716E11">
            <w:pPr>
              <w:pStyle w:val="21"/>
              <w:pageBreakBefore w:val="0"/>
              <w:widowControl/>
              <w:wordWrap/>
              <w:overflowPunct/>
              <w:bidi w:val="0"/>
              <w:spacing w:line="360" w:lineRule="auto"/>
              <w:jc w:val="left"/>
              <w:rPr>
                <w:rFonts w:hAnsi="宋体" w:cs="宋体"/>
                <w:color w:val="auto"/>
                <w:kern w:val="2"/>
                <w:sz w:val="24"/>
                <w:szCs w:val="24"/>
              </w:rPr>
            </w:pPr>
            <w:r>
              <w:rPr>
                <w:rFonts w:hAnsi="宋体" w:cs="宋体"/>
                <w:color w:val="auto"/>
                <w:kern w:val="2"/>
                <w:sz w:val="24"/>
                <w:szCs w:val="24"/>
              </w:rPr>
              <w:t>电子化投标文件的签章：</w:t>
            </w:r>
          </w:p>
          <w:p w14:paraId="2A986F20">
            <w:pPr>
              <w:pStyle w:val="21"/>
              <w:pageBreakBefore w:val="0"/>
              <w:widowControl/>
              <w:wordWrap/>
              <w:overflowPunct/>
              <w:bidi w:val="0"/>
              <w:spacing w:line="360" w:lineRule="auto"/>
              <w:jc w:val="left"/>
              <w:rPr>
                <w:rFonts w:hAnsi="宋体" w:cs="宋体"/>
                <w:color w:val="auto"/>
                <w:kern w:val="2"/>
                <w:sz w:val="24"/>
                <w:szCs w:val="24"/>
              </w:rPr>
            </w:pPr>
            <w:r>
              <w:rPr>
                <w:rFonts w:hAnsi="宋体" w:cs="宋体"/>
                <w:color w:val="auto"/>
                <w:kern w:val="2"/>
                <w:sz w:val="24"/>
                <w:szCs w:val="24"/>
              </w:rPr>
              <w:t>1、供应商在生成电子化投标文件后，应对电子化投标文件进行签章，未进行签章的视为无效投标。</w:t>
            </w:r>
          </w:p>
          <w:p w14:paraId="34EBED27">
            <w:pPr>
              <w:pStyle w:val="21"/>
              <w:pageBreakBefore w:val="0"/>
              <w:widowControl/>
              <w:wordWrap/>
              <w:overflowPunct/>
              <w:bidi w:val="0"/>
              <w:spacing w:line="360" w:lineRule="auto"/>
              <w:jc w:val="left"/>
              <w:rPr>
                <w:rFonts w:hAnsi="宋体" w:cs="宋体"/>
                <w:color w:val="auto"/>
                <w:kern w:val="2"/>
                <w:sz w:val="24"/>
                <w:szCs w:val="24"/>
              </w:rPr>
            </w:pPr>
            <w:r>
              <w:rPr>
                <w:rFonts w:hAnsi="宋体" w:cs="宋体"/>
                <w:color w:val="auto"/>
                <w:kern w:val="2"/>
                <w:sz w:val="24"/>
                <w:szCs w:val="24"/>
              </w:rPr>
              <w:t>2、招标文件中要求法定代表人或授权委托人签字或盖章的，供应商在进行电子化投标文件签章时，以签盖法定代表人签章为准。</w:t>
            </w:r>
          </w:p>
          <w:p w14:paraId="59F5B26E">
            <w:pPr>
              <w:pStyle w:val="21"/>
              <w:pageBreakBefore w:val="0"/>
              <w:widowControl/>
              <w:wordWrap/>
              <w:overflowPunct/>
              <w:bidi w:val="0"/>
              <w:spacing w:line="360" w:lineRule="auto"/>
              <w:jc w:val="left"/>
              <w:rPr>
                <w:rFonts w:hAnsi="宋体" w:cs="宋体"/>
                <w:color w:val="auto"/>
                <w:kern w:val="2"/>
                <w:sz w:val="24"/>
                <w:szCs w:val="24"/>
              </w:rPr>
            </w:pPr>
            <w:r>
              <w:rPr>
                <w:rFonts w:hAnsi="宋体" w:cs="宋体"/>
                <w:color w:val="auto"/>
                <w:kern w:val="2"/>
                <w:sz w:val="24"/>
                <w:szCs w:val="24"/>
              </w:rPr>
              <w:t>3、电子化投标文件工具请点击</w:t>
            </w:r>
            <w:r>
              <w:rPr>
                <w:rFonts w:hint="eastAsia" w:hAnsi="宋体" w:cs="宋体"/>
                <w:color w:val="auto"/>
                <w:kern w:val="2"/>
                <w:sz w:val="24"/>
                <w:szCs w:val="24"/>
              </w:rPr>
              <w:t>：</w:t>
            </w:r>
          </w:p>
          <w:p w14:paraId="41CB07D1">
            <w:pPr>
              <w:pStyle w:val="21"/>
              <w:pageBreakBefore w:val="0"/>
              <w:widowControl/>
              <w:wordWrap/>
              <w:overflowPunct/>
              <w:bidi w:val="0"/>
              <w:spacing w:line="360" w:lineRule="auto"/>
              <w:jc w:val="left"/>
              <w:rPr>
                <w:rFonts w:hAnsi="宋体" w:cs="宋体"/>
                <w:color w:val="auto"/>
                <w:kern w:val="2"/>
                <w:sz w:val="24"/>
                <w:szCs w:val="24"/>
              </w:rPr>
            </w:pPr>
            <w:r>
              <w:rPr>
                <w:rFonts w:hint="eastAsia" w:hAnsi="宋体" w:cs="宋体"/>
                <w:color w:val="auto"/>
                <w:kern w:val="2"/>
                <w:sz w:val="24"/>
                <w:szCs w:val="24"/>
              </w:rPr>
              <w:t>https://download.bqpoint.com/download/downloaddetail.html?SourceFrom=Ztb&amp;ZtbSoftXiaQuCode=1506&amp;ZtbSoftType=tballinclusive</w:t>
            </w:r>
            <w:r>
              <w:rPr>
                <w:rFonts w:hAnsi="宋体" w:cs="宋体"/>
                <w:color w:val="auto"/>
                <w:kern w:val="2"/>
                <w:sz w:val="24"/>
                <w:szCs w:val="24"/>
              </w:rPr>
              <w:t>进行下载。</w:t>
            </w:r>
          </w:p>
        </w:tc>
      </w:tr>
      <w:tr w14:paraId="0739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14:paraId="4F730022">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3.7.4</w:t>
            </w:r>
          </w:p>
        </w:tc>
        <w:tc>
          <w:tcPr>
            <w:tcW w:w="1586" w:type="dxa"/>
            <w:vAlign w:val="center"/>
          </w:tcPr>
          <w:p w14:paraId="09D8E84E">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投标文件</w:t>
            </w:r>
          </w:p>
        </w:tc>
        <w:tc>
          <w:tcPr>
            <w:tcW w:w="7202" w:type="dxa"/>
            <w:gridSpan w:val="2"/>
            <w:vAlign w:val="center"/>
          </w:tcPr>
          <w:p w14:paraId="6154A48B">
            <w:pPr>
              <w:pageBreakBefore w:val="0"/>
              <w:wordWrap/>
              <w:overflowPunct/>
              <w:bidi w:val="0"/>
              <w:spacing w:line="360" w:lineRule="auto"/>
              <w:jc w:val="left"/>
              <w:rPr>
                <w:rFonts w:ascii="宋体" w:hAnsi="宋体" w:cs="宋体"/>
                <w:color w:val="auto"/>
                <w:sz w:val="24"/>
                <w:szCs w:val="24"/>
              </w:rPr>
            </w:pPr>
            <w:r>
              <w:rPr>
                <w:rFonts w:hint="eastAsia" w:ascii="宋体" w:hAnsi="宋体"/>
                <w:color w:val="auto"/>
                <w:sz w:val="24"/>
                <w:szCs w:val="24"/>
              </w:rPr>
              <w:t>用CA在电子平台上传电子投标文件；</w:t>
            </w:r>
          </w:p>
        </w:tc>
      </w:tr>
      <w:tr w14:paraId="4F8C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5" w:type="dxa"/>
            <w:vAlign w:val="center"/>
          </w:tcPr>
          <w:p w14:paraId="3BA9E3C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4.2.2</w:t>
            </w:r>
          </w:p>
        </w:tc>
        <w:tc>
          <w:tcPr>
            <w:tcW w:w="1586" w:type="dxa"/>
            <w:vAlign w:val="center"/>
          </w:tcPr>
          <w:p w14:paraId="7F94B2FE">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递交投标文件地点</w:t>
            </w:r>
          </w:p>
        </w:tc>
        <w:tc>
          <w:tcPr>
            <w:tcW w:w="7202" w:type="dxa"/>
            <w:gridSpan w:val="2"/>
            <w:vAlign w:val="center"/>
          </w:tcPr>
          <w:p w14:paraId="06A3A8B9">
            <w:pPr>
              <w:pageBreakBefore w:val="0"/>
              <w:wordWrap/>
              <w:overflowPunct/>
              <w:bidi w:val="0"/>
              <w:spacing w:before="120" w:beforeLines="50" w:line="360" w:lineRule="auto"/>
              <w:jc w:val="left"/>
              <w:rPr>
                <w:rFonts w:ascii="宋体" w:hAnsi="宋体"/>
                <w:color w:val="auto"/>
                <w:sz w:val="24"/>
                <w:szCs w:val="24"/>
              </w:rPr>
            </w:pPr>
            <w:r>
              <w:rPr>
                <w:rFonts w:hint="eastAsia" w:ascii="宋体" w:hAnsi="宋体"/>
                <w:color w:val="auto"/>
                <w:sz w:val="24"/>
                <w:szCs w:val="24"/>
              </w:rPr>
              <w:t>于三门峡市公共资源交易平台网上上传递交、并由供应商在规定时间远程解密。</w:t>
            </w:r>
          </w:p>
        </w:tc>
      </w:tr>
      <w:tr w14:paraId="7F6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5" w:type="dxa"/>
            <w:vAlign w:val="center"/>
          </w:tcPr>
          <w:p w14:paraId="58E9C051">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4.2.3</w:t>
            </w:r>
          </w:p>
        </w:tc>
        <w:tc>
          <w:tcPr>
            <w:tcW w:w="1586" w:type="dxa"/>
            <w:vAlign w:val="center"/>
          </w:tcPr>
          <w:p w14:paraId="1A83C3B6">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是否退还投标文件</w:t>
            </w:r>
          </w:p>
        </w:tc>
        <w:tc>
          <w:tcPr>
            <w:tcW w:w="7202" w:type="dxa"/>
            <w:gridSpan w:val="2"/>
            <w:vAlign w:val="center"/>
          </w:tcPr>
          <w:p w14:paraId="4BF7E041">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否</w:t>
            </w:r>
          </w:p>
        </w:tc>
      </w:tr>
      <w:tr w14:paraId="07B1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45" w:type="dxa"/>
            <w:vAlign w:val="center"/>
          </w:tcPr>
          <w:p w14:paraId="114BFF5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5.1</w:t>
            </w:r>
          </w:p>
        </w:tc>
        <w:tc>
          <w:tcPr>
            <w:tcW w:w="1586" w:type="dxa"/>
            <w:vAlign w:val="center"/>
          </w:tcPr>
          <w:p w14:paraId="2B908919">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开标时间和</w:t>
            </w:r>
          </w:p>
          <w:p w14:paraId="62E856A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地点</w:t>
            </w:r>
          </w:p>
        </w:tc>
        <w:tc>
          <w:tcPr>
            <w:tcW w:w="7202" w:type="dxa"/>
            <w:gridSpan w:val="2"/>
            <w:vAlign w:val="center"/>
          </w:tcPr>
          <w:p w14:paraId="065124F4">
            <w:pPr>
              <w:pageBreakBefore w:val="0"/>
              <w:wordWrap/>
              <w:overflowPunct/>
              <w:bidi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rPr>
              <w:t>开标时间：</w:t>
            </w:r>
            <w:bookmarkStart w:id="219" w:name="_GoBack"/>
            <w:r>
              <w:rPr>
                <w:rFonts w:hint="eastAsia" w:ascii="宋体" w:hAnsi="宋体"/>
                <w:color w:val="auto"/>
                <w:sz w:val="24"/>
                <w:szCs w:val="24"/>
                <w:highlight w:val="none"/>
                <w:lang w:eastAsia="zh-CN"/>
              </w:rPr>
              <w:t>2025年04月17日08时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0分</w:t>
            </w:r>
            <w:bookmarkEnd w:id="219"/>
          </w:p>
          <w:p w14:paraId="720367C6">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开标地点：三门峡市公共资源交易中心五楼开标区</w:t>
            </w:r>
          </w:p>
        </w:tc>
      </w:tr>
      <w:tr w14:paraId="37E6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45" w:type="dxa"/>
            <w:vAlign w:val="center"/>
          </w:tcPr>
          <w:p w14:paraId="2E6155A7">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6.1.1</w:t>
            </w:r>
          </w:p>
        </w:tc>
        <w:tc>
          <w:tcPr>
            <w:tcW w:w="1586" w:type="dxa"/>
            <w:vAlign w:val="center"/>
          </w:tcPr>
          <w:p w14:paraId="671FBE6F">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评标委员会的组建</w:t>
            </w:r>
          </w:p>
        </w:tc>
        <w:tc>
          <w:tcPr>
            <w:tcW w:w="7202" w:type="dxa"/>
            <w:gridSpan w:val="2"/>
            <w:vAlign w:val="center"/>
          </w:tcPr>
          <w:p w14:paraId="65E0AE36">
            <w:pPr>
              <w:pageBreakBefore w:val="0"/>
              <w:wordWrap/>
              <w:overflowPunct/>
              <w:bidi w:val="0"/>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评标委员会成员为5人，其中采购人代表1人，其余技术、经济等方面的专家4人从河南省电子化政府采购系统评标专家库中随机抽取。</w:t>
            </w:r>
          </w:p>
          <w:p w14:paraId="41DE4068">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highlight w:val="none"/>
              </w:rPr>
              <w:t>根据省政府关于评标专家的有关管理规定，业主评委不能获取评标劳务费。</w:t>
            </w:r>
          </w:p>
        </w:tc>
      </w:tr>
      <w:tr w14:paraId="5E8E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5" w:type="dxa"/>
            <w:vAlign w:val="center"/>
          </w:tcPr>
          <w:p w14:paraId="299A19B4">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7.1</w:t>
            </w:r>
          </w:p>
        </w:tc>
        <w:tc>
          <w:tcPr>
            <w:tcW w:w="1586" w:type="dxa"/>
            <w:vAlign w:val="center"/>
          </w:tcPr>
          <w:p w14:paraId="17D8E995">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是否授权评标委员会确定中标人</w:t>
            </w:r>
          </w:p>
        </w:tc>
        <w:tc>
          <w:tcPr>
            <w:tcW w:w="7202" w:type="dxa"/>
            <w:gridSpan w:val="2"/>
            <w:vAlign w:val="center"/>
          </w:tcPr>
          <w:p w14:paraId="7785AEC6">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否，按顺序推荐的中标候选人数：3名</w:t>
            </w:r>
          </w:p>
        </w:tc>
      </w:tr>
      <w:tr w14:paraId="66A4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vAlign w:val="center"/>
          </w:tcPr>
          <w:p w14:paraId="2AD6807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w:t>
            </w:r>
          </w:p>
        </w:tc>
        <w:tc>
          <w:tcPr>
            <w:tcW w:w="8788" w:type="dxa"/>
            <w:gridSpan w:val="3"/>
            <w:vAlign w:val="center"/>
          </w:tcPr>
          <w:p w14:paraId="0349ED63">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需要补充的其他内容</w:t>
            </w:r>
          </w:p>
        </w:tc>
      </w:tr>
      <w:tr w14:paraId="6868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45" w:type="dxa"/>
            <w:vAlign w:val="center"/>
          </w:tcPr>
          <w:p w14:paraId="144765D6">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10.1</w:t>
            </w:r>
          </w:p>
        </w:tc>
        <w:tc>
          <w:tcPr>
            <w:tcW w:w="8788" w:type="dxa"/>
            <w:gridSpan w:val="3"/>
            <w:vAlign w:val="center"/>
          </w:tcPr>
          <w:p w14:paraId="6022E27E">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词语定义</w:t>
            </w:r>
          </w:p>
        </w:tc>
      </w:tr>
      <w:tr w14:paraId="1A42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5" w:type="dxa"/>
            <w:vAlign w:val="center"/>
          </w:tcPr>
          <w:p w14:paraId="1CA0863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10.2</w:t>
            </w:r>
          </w:p>
        </w:tc>
        <w:tc>
          <w:tcPr>
            <w:tcW w:w="1592" w:type="dxa"/>
            <w:gridSpan w:val="2"/>
            <w:vAlign w:val="center"/>
          </w:tcPr>
          <w:p w14:paraId="554A7D18">
            <w:pPr>
              <w:pageBreakBefore w:val="0"/>
              <w:wordWrap/>
              <w:overflowPunct/>
              <w:bidi w:val="0"/>
              <w:spacing w:line="360" w:lineRule="auto"/>
              <w:jc w:val="center"/>
              <w:rPr>
                <w:rFonts w:ascii="宋体" w:hAnsi="宋体"/>
                <w:b/>
                <w:bCs/>
                <w:color w:val="auto"/>
                <w:sz w:val="24"/>
                <w:szCs w:val="24"/>
              </w:rPr>
            </w:pPr>
            <w:r>
              <w:rPr>
                <w:rFonts w:hint="eastAsia" w:ascii="宋体" w:hAnsi="宋体"/>
                <w:b/>
                <w:bCs/>
                <w:color w:val="auto"/>
                <w:sz w:val="24"/>
                <w:szCs w:val="24"/>
              </w:rPr>
              <w:t>投标报价</w:t>
            </w:r>
          </w:p>
        </w:tc>
        <w:tc>
          <w:tcPr>
            <w:tcW w:w="7196" w:type="dxa"/>
            <w:vAlign w:val="center"/>
          </w:tcPr>
          <w:p w14:paraId="25ADDEA2">
            <w:pPr>
              <w:pageBreakBefore w:val="0"/>
              <w:wordWrap/>
              <w:overflowPunct/>
              <w:bidi w:val="0"/>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采购项目拟以三门峡市定额站发布的2025年当期《三门峡工程标准造价信息》中沥青混凝土的价格为基准价，各供应商以下浮百分比后的数值进行报价。采购完成后，结算时按照供料时间当期信息价，下浮百分比后的数值进行结算。</w:t>
            </w:r>
          </w:p>
          <w:p w14:paraId="7A753DCB">
            <w:pPr>
              <w:pageBreakBefore w:val="0"/>
              <w:wordWrap/>
              <w:overflowPunct/>
              <w:bidi w:val="0"/>
              <w:spacing w:line="360" w:lineRule="auto"/>
              <w:jc w:val="left"/>
              <w:rPr>
                <w:rFonts w:hint="eastAsia" w:eastAsiaTheme="majorEastAsia"/>
                <w:lang w:eastAsia="zh-CN"/>
              </w:rPr>
            </w:pPr>
            <w:r>
              <w:rPr>
                <w:rFonts w:hint="eastAsia" w:ascii="宋体" w:hAnsi="宋体" w:eastAsia="宋体" w:cs="宋体"/>
                <w:b/>
                <w:bCs/>
                <w:sz w:val="24"/>
                <w:szCs w:val="24"/>
                <w:highlight w:val="none"/>
                <w:lang w:val="en-US" w:eastAsia="zh-CN"/>
              </w:rPr>
              <w:t>本项目采用费率报价方式。</w:t>
            </w:r>
          </w:p>
        </w:tc>
      </w:tr>
      <w:tr w14:paraId="4BF7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5" w:type="dxa"/>
            <w:vAlign w:val="center"/>
          </w:tcPr>
          <w:p w14:paraId="0A6678A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10.3</w:t>
            </w:r>
          </w:p>
        </w:tc>
        <w:tc>
          <w:tcPr>
            <w:tcW w:w="1592" w:type="dxa"/>
            <w:gridSpan w:val="2"/>
            <w:vAlign w:val="center"/>
          </w:tcPr>
          <w:p w14:paraId="183015B6">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招标文件的解释</w:t>
            </w:r>
          </w:p>
        </w:tc>
        <w:tc>
          <w:tcPr>
            <w:tcW w:w="7196" w:type="dxa"/>
            <w:vAlign w:val="center"/>
          </w:tcPr>
          <w:p w14:paraId="57CF6F8B">
            <w:pPr>
              <w:pageBreakBefore w:val="0"/>
              <w:wordWrap/>
              <w:overflowPunct/>
              <w:bidi w:val="0"/>
              <w:spacing w:line="360" w:lineRule="auto"/>
              <w:ind w:right="-153" w:rightChars="-73"/>
              <w:jc w:val="left"/>
              <w:rPr>
                <w:rFonts w:ascii="宋体" w:hAnsi="宋体" w:cs="宋体"/>
                <w:color w:val="auto"/>
                <w:sz w:val="24"/>
                <w:szCs w:val="24"/>
              </w:rPr>
            </w:pPr>
            <w:r>
              <w:rPr>
                <w:rFonts w:hint="eastAsia" w:ascii="宋体" w:hAnsi="宋体" w:cs="宋体"/>
                <w:color w:val="auto"/>
                <w:sz w:val="24"/>
                <w:szCs w:val="24"/>
              </w:rPr>
              <w:t>在符合相关法律法规的前题下，招标文件的解释权归采购人所有。</w:t>
            </w:r>
            <w:r>
              <w:rPr>
                <w:rFonts w:hint="eastAsia" w:ascii="宋体" w:hAnsi="宋体"/>
                <w:color w:val="auto"/>
                <w:sz w:val="24"/>
                <w:szCs w:val="24"/>
              </w:rPr>
              <w:t>本招标文件中其他部分内容与供应商须知前附表不一致的，以供应商须知前附表为准。</w:t>
            </w:r>
          </w:p>
        </w:tc>
      </w:tr>
      <w:tr w14:paraId="0D46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5" w:type="dxa"/>
            <w:vAlign w:val="center"/>
          </w:tcPr>
          <w:p w14:paraId="5E3A4F11">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10.4</w:t>
            </w:r>
          </w:p>
        </w:tc>
        <w:tc>
          <w:tcPr>
            <w:tcW w:w="1592" w:type="dxa"/>
            <w:gridSpan w:val="2"/>
            <w:vAlign w:val="center"/>
          </w:tcPr>
          <w:p w14:paraId="357C56BE">
            <w:pPr>
              <w:pageBreakBefore w:val="0"/>
              <w:wordWrap/>
              <w:overflowPunct/>
              <w:bidi w:val="0"/>
              <w:spacing w:line="360" w:lineRule="auto"/>
              <w:jc w:val="center"/>
              <w:rPr>
                <w:rFonts w:ascii="宋体" w:hAnsi="宋体"/>
                <w:sz w:val="24"/>
                <w:szCs w:val="24"/>
              </w:rPr>
            </w:pPr>
            <w:r>
              <w:rPr>
                <w:rFonts w:hint="eastAsia" w:ascii="宋体" w:hAnsi="宋体" w:cs="宋体"/>
                <w:color w:val="auto"/>
                <w:sz w:val="24"/>
                <w:szCs w:val="24"/>
              </w:rPr>
              <w:t>合同签订特别说明</w:t>
            </w:r>
          </w:p>
        </w:tc>
        <w:tc>
          <w:tcPr>
            <w:tcW w:w="7196" w:type="dxa"/>
            <w:vAlign w:val="center"/>
          </w:tcPr>
          <w:p w14:paraId="7E18822C">
            <w:pPr>
              <w:pageBreakBefore w:val="0"/>
              <w:wordWrap/>
              <w:overflowPunct/>
              <w:bidi w:val="0"/>
              <w:spacing w:line="360" w:lineRule="auto"/>
              <w:jc w:val="left"/>
              <w:rPr>
                <w:rFonts w:ascii="宋体" w:hAnsi="宋体"/>
                <w:sz w:val="24"/>
                <w:szCs w:val="24"/>
              </w:rPr>
            </w:pPr>
            <w:bookmarkStart w:id="18" w:name="OLE_LINK8"/>
            <w:r>
              <w:rPr>
                <w:rFonts w:hint="eastAsia" w:ascii="宋体" w:hAnsi="宋体"/>
                <w:color w:val="auto"/>
                <w:sz w:val="24"/>
                <w:szCs w:val="24"/>
              </w:rPr>
              <w:t>按《三门峡市财政局关于市本级政府采购合同备案管理工作的通知》（三财购[2021]9号）文要求，集中采购目录以外政府采购项目，原则上自成交通知书发出之日起2个工作日内与中标（成交）供应商按照采购文件确定的事项与供应商签订政府采购合同。</w:t>
            </w:r>
            <w:bookmarkEnd w:id="18"/>
          </w:p>
        </w:tc>
      </w:tr>
      <w:tr w14:paraId="7EA9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5" w:type="dxa"/>
            <w:vAlign w:val="center"/>
          </w:tcPr>
          <w:p w14:paraId="720B60F8">
            <w:pPr>
              <w:pageBreakBefore w:val="0"/>
              <w:wordWrap/>
              <w:overflowPunct/>
              <w:bidi w:val="0"/>
              <w:spacing w:line="360" w:lineRule="auto"/>
              <w:jc w:val="center"/>
              <w:rPr>
                <w:rFonts w:ascii="宋体" w:hAnsi="宋体" w:cs="宋体"/>
                <w:b/>
                <w:color w:val="auto"/>
                <w:sz w:val="24"/>
                <w:szCs w:val="24"/>
              </w:rPr>
            </w:pPr>
            <w:r>
              <w:rPr>
                <w:rFonts w:hint="eastAsia" w:ascii="宋体" w:hAnsi="宋体" w:cs="宋体"/>
                <w:bCs/>
                <w:color w:val="auto"/>
                <w:sz w:val="24"/>
                <w:szCs w:val="24"/>
              </w:rPr>
              <w:t>10.5</w:t>
            </w:r>
          </w:p>
        </w:tc>
        <w:tc>
          <w:tcPr>
            <w:tcW w:w="1592" w:type="dxa"/>
            <w:gridSpan w:val="2"/>
            <w:vAlign w:val="center"/>
          </w:tcPr>
          <w:p w14:paraId="39940FEB">
            <w:pPr>
              <w:pageBreakBefore w:val="0"/>
              <w:wordWrap/>
              <w:overflowPunct/>
              <w:bidi w:val="0"/>
              <w:spacing w:line="360" w:lineRule="auto"/>
              <w:jc w:val="center"/>
              <w:rPr>
                <w:rFonts w:ascii="宋体" w:hAnsi="宋体" w:cs="宋体"/>
                <w:color w:val="auto"/>
                <w:sz w:val="24"/>
                <w:szCs w:val="24"/>
              </w:rPr>
            </w:pPr>
            <w:r>
              <w:rPr>
                <w:rFonts w:hint="eastAsia" w:ascii="宋体" w:hAnsi="宋体" w:cs="宋体"/>
                <w:color w:val="auto"/>
                <w:sz w:val="24"/>
                <w:szCs w:val="24"/>
              </w:rPr>
              <w:t>答疑</w:t>
            </w:r>
          </w:p>
        </w:tc>
        <w:tc>
          <w:tcPr>
            <w:tcW w:w="7196" w:type="dxa"/>
            <w:vAlign w:val="center"/>
          </w:tcPr>
          <w:p w14:paraId="50058416">
            <w:pPr>
              <w:pageBreakBefore w:val="0"/>
              <w:wordWrap/>
              <w:overflowPunct/>
              <w:bidi w:val="0"/>
              <w:spacing w:line="360" w:lineRule="auto"/>
              <w:ind w:right="-153" w:rightChars="-73"/>
              <w:jc w:val="left"/>
              <w:rPr>
                <w:rFonts w:ascii="宋体" w:hAnsi="宋体" w:cs="仿宋_GB2312"/>
                <w:b/>
                <w:color w:val="auto"/>
                <w:sz w:val="24"/>
                <w:szCs w:val="24"/>
              </w:rPr>
            </w:pPr>
            <w:r>
              <w:rPr>
                <w:rFonts w:hint="eastAsia" w:ascii="宋体" w:hAnsi="宋体"/>
                <w:color w:val="auto"/>
                <w:sz w:val="24"/>
                <w:szCs w:val="24"/>
              </w:rPr>
              <w:t>需要解答的疑问以书面形式加盖单位公章递交至采购人或代理机构，逾期提交的问题概不做回复。采购人将需要解答的内容以公告形式发至所有潜在供应商。</w:t>
            </w:r>
          </w:p>
        </w:tc>
      </w:tr>
      <w:tr w14:paraId="073F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5" w:type="dxa"/>
            <w:vAlign w:val="center"/>
          </w:tcPr>
          <w:p w14:paraId="51D20612">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10.6</w:t>
            </w:r>
          </w:p>
        </w:tc>
        <w:tc>
          <w:tcPr>
            <w:tcW w:w="1592" w:type="dxa"/>
            <w:gridSpan w:val="2"/>
            <w:vAlign w:val="center"/>
          </w:tcPr>
          <w:p w14:paraId="36D10414">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中标公告媒介及期限</w:t>
            </w:r>
          </w:p>
        </w:tc>
        <w:tc>
          <w:tcPr>
            <w:tcW w:w="7196" w:type="dxa"/>
            <w:vAlign w:val="center"/>
          </w:tcPr>
          <w:p w14:paraId="1111E8D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公告媒介：</w:t>
            </w:r>
            <w:r>
              <w:rPr>
                <w:rFonts w:hint="eastAsia" w:hAnsi="宋体" w:eastAsia="宋体"/>
                <w:color w:val="auto"/>
                <w:sz w:val="24"/>
                <w:szCs w:val="24"/>
              </w:rPr>
              <w:t>《中国采购与招标网》、《中国招标投标公共服务平台》、《河南省政府采购网》和《三门峡市公共资源交易中心网》</w:t>
            </w:r>
          </w:p>
          <w:p w14:paraId="024616E5">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公告期限：1个工作日</w:t>
            </w:r>
          </w:p>
        </w:tc>
      </w:tr>
      <w:tr w14:paraId="5A51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45" w:type="dxa"/>
            <w:vAlign w:val="center"/>
          </w:tcPr>
          <w:p w14:paraId="5CE41543">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10.7</w:t>
            </w:r>
          </w:p>
        </w:tc>
        <w:tc>
          <w:tcPr>
            <w:tcW w:w="1592" w:type="dxa"/>
            <w:gridSpan w:val="2"/>
            <w:vAlign w:val="center"/>
          </w:tcPr>
          <w:p w14:paraId="0817349C">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知识产权</w:t>
            </w:r>
          </w:p>
        </w:tc>
        <w:tc>
          <w:tcPr>
            <w:tcW w:w="7196" w:type="dxa"/>
            <w:vAlign w:val="center"/>
          </w:tcPr>
          <w:p w14:paraId="3510A330">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构成本招标文件各个组成部分的文件，未经采购人书面同意，供应商不得擅自复印和用于非本招标项目所需的其他目的。</w:t>
            </w:r>
          </w:p>
        </w:tc>
      </w:tr>
      <w:tr w14:paraId="5377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5" w:type="dxa"/>
            <w:vAlign w:val="center"/>
          </w:tcPr>
          <w:p w14:paraId="1DB82374">
            <w:pPr>
              <w:pageBreakBefore w:val="0"/>
              <w:wordWrap/>
              <w:overflowPunct/>
              <w:bidi w:val="0"/>
              <w:snapToGrid w:val="0"/>
              <w:spacing w:line="360" w:lineRule="auto"/>
              <w:ind w:left="630" w:hanging="630"/>
              <w:jc w:val="center"/>
              <w:rPr>
                <w:rFonts w:hint="eastAsia" w:ascii="宋体" w:hAnsi="宋体" w:eastAsia="宋体"/>
                <w:color w:val="auto"/>
                <w:sz w:val="24"/>
                <w:szCs w:val="24"/>
                <w:lang w:val="en-US" w:eastAsia="zh-CN"/>
              </w:rPr>
            </w:pPr>
            <w:r>
              <w:rPr>
                <w:rFonts w:hint="eastAsia" w:ascii="宋体" w:hAnsi="宋体"/>
                <w:color w:val="auto"/>
                <w:sz w:val="24"/>
                <w:szCs w:val="24"/>
              </w:rPr>
              <w:t>10.</w:t>
            </w:r>
            <w:r>
              <w:rPr>
                <w:rFonts w:hint="eastAsia" w:ascii="宋体" w:hAnsi="宋体"/>
                <w:color w:val="auto"/>
                <w:sz w:val="24"/>
                <w:szCs w:val="24"/>
                <w:lang w:val="en-US" w:eastAsia="zh-CN"/>
              </w:rPr>
              <w:t>8</w:t>
            </w:r>
          </w:p>
        </w:tc>
        <w:tc>
          <w:tcPr>
            <w:tcW w:w="1592" w:type="dxa"/>
            <w:gridSpan w:val="2"/>
            <w:vAlign w:val="center"/>
          </w:tcPr>
          <w:p w14:paraId="24307CAB">
            <w:pPr>
              <w:pageBreakBefore w:val="0"/>
              <w:wordWrap/>
              <w:overflowPunct/>
              <w:bidi w:val="0"/>
              <w:snapToGrid w:val="0"/>
              <w:spacing w:line="360" w:lineRule="auto"/>
              <w:ind w:left="630" w:hanging="630"/>
              <w:jc w:val="center"/>
              <w:rPr>
                <w:rFonts w:hint="eastAsia" w:ascii="宋体" w:hAnsi="宋体" w:cs="宋体"/>
                <w:color w:val="auto"/>
                <w:kern w:val="2"/>
                <w:sz w:val="24"/>
                <w:szCs w:val="24"/>
              </w:rPr>
            </w:pPr>
            <w:r>
              <w:rPr>
                <w:rFonts w:hint="eastAsia" w:ascii="宋体" w:hAnsi="宋体"/>
                <w:color w:val="auto"/>
                <w:sz w:val="24"/>
                <w:szCs w:val="24"/>
              </w:rPr>
              <w:t>付款</w:t>
            </w:r>
          </w:p>
        </w:tc>
        <w:tc>
          <w:tcPr>
            <w:tcW w:w="7196" w:type="dxa"/>
            <w:vAlign w:val="center"/>
          </w:tcPr>
          <w:p w14:paraId="6A37479F">
            <w:pPr>
              <w:pageBreakBefore w:val="0"/>
              <w:widowControl w:val="0"/>
              <w:wordWrap/>
              <w:overflowPunct/>
              <w:bidi w:val="0"/>
              <w:spacing w:line="360" w:lineRule="auto"/>
              <w:jc w:val="left"/>
              <w:textAlignment w:val="auto"/>
              <w:rPr>
                <w:rFonts w:ascii="宋体" w:hAnsi="宋体"/>
                <w:color w:val="auto"/>
                <w:sz w:val="24"/>
                <w:szCs w:val="24"/>
              </w:rPr>
            </w:pPr>
            <w:r>
              <w:rPr>
                <w:rFonts w:hint="eastAsia" w:ascii="宋体" w:hAnsi="宋体"/>
                <w:color w:val="auto"/>
                <w:sz w:val="24"/>
                <w:szCs w:val="24"/>
              </w:rPr>
              <w:t>供货期：合同签订起一年内</w:t>
            </w:r>
            <w:r>
              <w:rPr>
                <w:rFonts w:hint="eastAsia" w:ascii="宋体" w:hAnsi="宋体"/>
                <w:color w:val="000000" w:themeColor="text1"/>
                <w:sz w:val="24"/>
                <w:szCs w:val="24"/>
                <w14:textFill>
                  <w14:solidFill>
                    <w14:schemeClr w14:val="tx1"/>
                  </w14:solidFill>
                </w14:textFill>
              </w:rPr>
              <w:t>；</w:t>
            </w:r>
          </w:p>
          <w:p w14:paraId="422B2C1F">
            <w:pPr>
              <w:pageBreakBefore w:val="0"/>
              <w:widowControl w:val="0"/>
              <w:wordWrap/>
              <w:overflowPunct/>
              <w:bidi w:val="0"/>
              <w:spacing w:line="360" w:lineRule="auto"/>
              <w:jc w:val="left"/>
              <w:textAlignment w:val="auto"/>
              <w:rPr>
                <w:rFonts w:ascii="宋体" w:hAnsi="宋体"/>
                <w:color w:val="auto"/>
                <w:sz w:val="24"/>
                <w:szCs w:val="24"/>
              </w:rPr>
            </w:pPr>
            <w:r>
              <w:rPr>
                <w:rFonts w:hint="eastAsia" w:ascii="宋体" w:hAnsi="宋体"/>
                <w:color w:val="auto"/>
                <w:sz w:val="24"/>
                <w:szCs w:val="24"/>
              </w:rPr>
              <w:t>验收方式：最终用户按国家验收规范及合同、本招标文件的规定验收；</w:t>
            </w:r>
          </w:p>
          <w:p w14:paraId="0833C35E">
            <w:pPr>
              <w:pageBreakBefore w:val="0"/>
              <w:wordWrap/>
              <w:overflowPunct/>
              <w:bidi w:val="0"/>
              <w:spacing w:line="360" w:lineRule="auto"/>
              <w:jc w:val="left"/>
              <w:rPr>
                <w:rFonts w:ascii="宋体" w:hAnsi="宋体" w:cs="仿宋"/>
                <w:b/>
                <w:bCs/>
                <w:color w:val="auto"/>
                <w:kern w:val="2"/>
                <w:sz w:val="24"/>
                <w:szCs w:val="24"/>
              </w:rPr>
            </w:pPr>
            <w:r>
              <w:rPr>
                <w:rFonts w:hint="eastAsia" w:ascii="宋体" w:hAnsi="宋体" w:cs="仿宋"/>
                <w:b/>
                <w:bCs/>
                <w:color w:val="auto"/>
                <w:kern w:val="2"/>
                <w:sz w:val="24"/>
                <w:szCs w:val="24"/>
              </w:rPr>
              <w:t>付款方式：</w:t>
            </w:r>
          </w:p>
          <w:p w14:paraId="50D9FAB4">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每次供货完成后，10个工作日内向中标人支付本次供货合同总额的40%。项目验收后10个工作日内再向中标人支付合同总额的50%。服务期满后10个工作日内向中标人支付合同总额的10%。</w:t>
            </w:r>
          </w:p>
          <w:p w14:paraId="5A54B34A">
            <w:pPr>
              <w:pageBreakBefore w:val="0"/>
              <w:wordWrap/>
              <w:overflowPunct/>
              <w:bidi w:val="0"/>
              <w:spacing w:line="360" w:lineRule="auto"/>
              <w:jc w:val="left"/>
              <w:rPr>
                <w:rFonts w:hint="eastAsia" w:ascii="宋体" w:hAnsi="宋体"/>
                <w:b w:val="0"/>
                <w:bCs w:val="0"/>
                <w:color w:val="auto"/>
                <w:sz w:val="24"/>
                <w:szCs w:val="24"/>
              </w:rPr>
            </w:pPr>
            <w:r>
              <w:rPr>
                <w:rFonts w:hint="eastAsia" w:ascii="宋体" w:hAnsi="宋体"/>
                <w:b w:val="0"/>
                <w:bCs w:val="0"/>
                <w:color w:val="auto"/>
                <w:sz w:val="24"/>
                <w:szCs w:val="24"/>
              </w:rPr>
              <w:t>待财政拨付资金后，根据资金情况，按比例拨付。</w:t>
            </w:r>
          </w:p>
          <w:p w14:paraId="39760AD9">
            <w:pPr>
              <w:pageBreakBefore w:val="0"/>
              <w:wordWrap/>
              <w:overflowPunct/>
              <w:bidi w:val="0"/>
              <w:spacing w:line="360" w:lineRule="auto"/>
              <w:jc w:val="left"/>
              <w:rPr>
                <w:rFonts w:hint="eastAsia" w:ascii="宋体" w:hAnsi="宋体" w:cs="宋体"/>
                <w:color w:val="auto"/>
                <w:kern w:val="2"/>
                <w:sz w:val="24"/>
                <w:szCs w:val="24"/>
              </w:rPr>
            </w:pPr>
            <w:r>
              <w:rPr>
                <w:rFonts w:hint="eastAsia" w:ascii="宋体" w:hAnsi="宋体" w:cs="宋体"/>
                <w:color w:val="auto"/>
                <w:kern w:val="2"/>
                <w:sz w:val="24"/>
                <w:szCs w:val="24"/>
              </w:rPr>
              <w:t>备注：本支付方式以财政拨付资金为准，若财政资金不能及时拨付，甲乙双方另行协商。</w:t>
            </w:r>
          </w:p>
        </w:tc>
      </w:tr>
      <w:tr w14:paraId="25C9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5" w:type="dxa"/>
            <w:vAlign w:val="center"/>
          </w:tcPr>
          <w:p w14:paraId="030D2450">
            <w:pPr>
              <w:pageBreakBefore w:val="0"/>
              <w:widowControl w:val="0"/>
              <w:wordWrap/>
              <w:overflowPunct/>
              <w:bidi w:val="0"/>
              <w:spacing w:line="360" w:lineRule="auto"/>
              <w:jc w:val="center"/>
              <w:textAlignment w:val="auto"/>
              <w:rPr>
                <w:rFonts w:hint="eastAsia" w:ascii="宋体" w:hAnsi="宋体" w:eastAsia="宋体" w:cs="仿宋"/>
                <w:color w:val="auto"/>
                <w:kern w:val="2"/>
                <w:sz w:val="24"/>
                <w:szCs w:val="24"/>
                <w:lang w:eastAsia="zh-CN"/>
              </w:rPr>
            </w:pPr>
            <w:r>
              <w:rPr>
                <w:rFonts w:hint="eastAsia" w:ascii="宋体" w:hAnsi="宋体"/>
                <w:color w:val="auto"/>
                <w:sz w:val="24"/>
                <w:szCs w:val="24"/>
              </w:rPr>
              <w:t>10.</w:t>
            </w:r>
            <w:r>
              <w:rPr>
                <w:rFonts w:hint="eastAsia" w:ascii="宋体" w:hAnsi="宋体"/>
                <w:color w:val="auto"/>
                <w:sz w:val="24"/>
                <w:szCs w:val="24"/>
                <w:lang w:val="en-US" w:eastAsia="zh-CN"/>
              </w:rPr>
              <w:t>9</w:t>
            </w:r>
          </w:p>
        </w:tc>
        <w:tc>
          <w:tcPr>
            <w:tcW w:w="1592" w:type="dxa"/>
            <w:gridSpan w:val="2"/>
            <w:vAlign w:val="center"/>
          </w:tcPr>
          <w:p w14:paraId="070DEAAC">
            <w:pPr>
              <w:pageBreakBefore w:val="0"/>
              <w:widowControl w:val="0"/>
              <w:wordWrap/>
              <w:overflowPunct/>
              <w:bidi w:val="0"/>
              <w:spacing w:line="360" w:lineRule="auto"/>
              <w:jc w:val="center"/>
              <w:textAlignment w:val="auto"/>
              <w:rPr>
                <w:rFonts w:hint="eastAsia" w:ascii="宋体" w:hAnsi="宋体" w:cs="仿宋"/>
                <w:color w:val="auto"/>
                <w:kern w:val="2"/>
                <w:sz w:val="24"/>
                <w:szCs w:val="24"/>
              </w:rPr>
            </w:pPr>
            <w:r>
              <w:rPr>
                <w:rFonts w:hint="eastAsia" w:ascii="宋体" w:hAnsi="宋体"/>
                <w:color w:val="auto"/>
                <w:sz w:val="24"/>
                <w:szCs w:val="24"/>
              </w:rPr>
              <w:t>验收</w:t>
            </w:r>
          </w:p>
        </w:tc>
        <w:tc>
          <w:tcPr>
            <w:tcW w:w="7196" w:type="dxa"/>
            <w:vAlign w:val="center"/>
          </w:tcPr>
          <w:p w14:paraId="139590BE">
            <w:pPr>
              <w:pageBreakBefore w:val="0"/>
              <w:widowControl w:val="0"/>
              <w:wordWrap/>
              <w:overflowPunct/>
              <w:bidi w:val="0"/>
              <w:spacing w:line="360" w:lineRule="auto"/>
              <w:jc w:val="left"/>
              <w:textAlignment w:val="auto"/>
              <w:rPr>
                <w:rFonts w:hint="eastAsia" w:ascii="宋体" w:hAnsi="宋体" w:cs="仿宋"/>
                <w:color w:val="auto"/>
                <w:kern w:val="2"/>
                <w:sz w:val="24"/>
                <w:szCs w:val="24"/>
              </w:rPr>
            </w:pPr>
            <w:r>
              <w:rPr>
                <w:rFonts w:hint="eastAsia" w:ascii="宋体" w:hAnsi="宋体" w:cs="仿宋"/>
                <w:color w:val="auto"/>
                <w:kern w:val="2"/>
                <w:sz w:val="24"/>
                <w:szCs w:val="24"/>
              </w:rPr>
              <w:t>中标人对本项目的销售及售后服务应委派专人负责，在合同履行中未经业主同意不得擅自更换他人。在项目实施过程中，若发现中标人有转包或未经最终用户（业主）同意擅自分包的，最终用户（业主）有权终止合同并</w:t>
            </w:r>
            <w:r>
              <w:rPr>
                <w:rFonts w:hint="eastAsia" w:ascii="宋体" w:hAnsi="宋体" w:cs="仿宋"/>
                <w:color w:val="auto"/>
                <w:kern w:val="2"/>
                <w:sz w:val="24"/>
                <w:szCs w:val="24"/>
                <w:lang w:val="en-US" w:eastAsia="zh-CN"/>
              </w:rPr>
              <w:t>保留其索赔的权利</w:t>
            </w:r>
            <w:r>
              <w:rPr>
                <w:rFonts w:hint="eastAsia" w:ascii="宋体" w:hAnsi="宋体" w:cs="仿宋"/>
                <w:color w:val="auto"/>
                <w:kern w:val="2"/>
                <w:sz w:val="24"/>
                <w:szCs w:val="24"/>
              </w:rPr>
              <w:t>，由此造成的一切损失</w:t>
            </w:r>
            <w:r>
              <w:rPr>
                <w:rFonts w:hint="eastAsia" w:ascii="宋体" w:hAnsi="宋体" w:cs="仿宋"/>
                <w:color w:val="auto"/>
                <w:kern w:val="2"/>
                <w:sz w:val="24"/>
                <w:szCs w:val="24"/>
                <w:lang w:val="en-US" w:eastAsia="zh-CN"/>
              </w:rPr>
              <w:t>均</w:t>
            </w:r>
            <w:r>
              <w:rPr>
                <w:rFonts w:hint="eastAsia" w:ascii="宋体" w:hAnsi="宋体" w:cs="仿宋"/>
                <w:color w:val="auto"/>
                <w:kern w:val="2"/>
                <w:sz w:val="24"/>
                <w:szCs w:val="24"/>
              </w:rPr>
              <w:t>由中标人负责；采购人在授予中标人合同时，保留对货物数量予以增减的权利。投标供应商不得在此情况下对投标文件作出修改，如单价、供货期、售后服务等。</w:t>
            </w:r>
          </w:p>
        </w:tc>
      </w:tr>
      <w:tr w14:paraId="3AB1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5" w:type="dxa"/>
            <w:vAlign w:val="center"/>
          </w:tcPr>
          <w:p w14:paraId="4EECC0AD">
            <w:pPr>
              <w:pageBreakBefore w:val="0"/>
              <w:wordWrap/>
              <w:overflowPunct/>
              <w:bidi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rPr>
              <w:t>10.</w:t>
            </w:r>
            <w:r>
              <w:rPr>
                <w:rFonts w:hint="eastAsia" w:ascii="宋体" w:hAnsi="宋体"/>
                <w:color w:val="auto"/>
                <w:sz w:val="24"/>
                <w:szCs w:val="24"/>
                <w:lang w:val="en-US" w:eastAsia="zh-CN"/>
              </w:rPr>
              <w:t>10</w:t>
            </w:r>
          </w:p>
        </w:tc>
        <w:tc>
          <w:tcPr>
            <w:tcW w:w="1592" w:type="dxa"/>
            <w:gridSpan w:val="2"/>
            <w:vAlign w:val="center"/>
          </w:tcPr>
          <w:p w14:paraId="2809F18B">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重新招标的其他情形</w:t>
            </w:r>
          </w:p>
        </w:tc>
        <w:tc>
          <w:tcPr>
            <w:tcW w:w="7196" w:type="dxa"/>
            <w:vAlign w:val="center"/>
          </w:tcPr>
          <w:p w14:paraId="6BA882DD">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除供应商须知正文规定的情形外，除非已经产生中标候选人，在投标有效期内同意延长投标有效期的供应商少于三个的，采购人应当依法重新招标。</w:t>
            </w:r>
          </w:p>
        </w:tc>
      </w:tr>
      <w:tr w14:paraId="57A5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vAlign w:val="center"/>
          </w:tcPr>
          <w:p w14:paraId="1D569676">
            <w:pPr>
              <w:pageBreakBefore w:val="0"/>
              <w:wordWrap/>
              <w:overflowPunct/>
              <w:bidi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10.1</w:t>
            </w:r>
            <w:r>
              <w:rPr>
                <w:rFonts w:hint="eastAsia" w:ascii="宋体" w:hAnsi="宋体"/>
                <w:color w:val="auto"/>
                <w:sz w:val="24"/>
                <w:szCs w:val="24"/>
                <w:lang w:val="en-US" w:eastAsia="zh-CN"/>
              </w:rPr>
              <w:t>1</w:t>
            </w:r>
          </w:p>
        </w:tc>
        <w:tc>
          <w:tcPr>
            <w:tcW w:w="1592" w:type="dxa"/>
            <w:gridSpan w:val="2"/>
            <w:vAlign w:val="center"/>
          </w:tcPr>
          <w:p w14:paraId="459B203A">
            <w:pPr>
              <w:pageBreakBefore w:val="0"/>
              <w:wordWrap/>
              <w:overflowPunct/>
              <w:bidi w:val="0"/>
              <w:spacing w:line="360" w:lineRule="auto"/>
              <w:jc w:val="center"/>
              <w:rPr>
                <w:rFonts w:ascii="宋体" w:hAnsi="宋体"/>
                <w:color w:val="auto"/>
                <w:sz w:val="24"/>
                <w:szCs w:val="24"/>
              </w:rPr>
            </w:pPr>
            <w:r>
              <w:rPr>
                <w:rFonts w:hint="eastAsia" w:ascii="宋体" w:hAnsi="宋体"/>
                <w:color w:val="auto"/>
                <w:sz w:val="24"/>
                <w:szCs w:val="24"/>
              </w:rPr>
              <w:t>同义词语</w:t>
            </w:r>
          </w:p>
        </w:tc>
        <w:tc>
          <w:tcPr>
            <w:tcW w:w="7196" w:type="dxa"/>
            <w:vAlign w:val="center"/>
          </w:tcPr>
          <w:p w14:paraId="1DD6E1EB">
            <w:pPr>
              <w:pageBreakBefore w:val="0"/>
              <w:wordWrap/>
              <w:overflowPunct/>
              <w:bidi w:val="0"/>
              <w:spacing w:line="360" w:lineRule="auto"/>
              <w:jc w:val="left"/>
              <w:rPr>
                <w:rFonts w:ascii="宋体" w:hAnsi="宋体"/>
                <w:color w:val="auto"/>
                <w:sz w:val="24"/>
                <w:szCs w:val="24"/>
              </w:rPr>
            </w:pPr>
            <w:r>
              <w:rPr>
                <w:rFonts w:hint="eastAsia" w:ascii="宋体" w:hAnsi="宋体"/>
                <w:color w:val="auto"/>
                <w:sz w:val="24"/>
                <w:szCs w:val="24"/>
              </w:rPr>
              <w:t>构成招标文件组成部分的“通用合同条款”、“专用合同条款”、“技术标准和要求”等章节中出现的措辞“发包人”和“承包人”，在招标投标阶段应当分别按“采购人”和“供应商”进行理解。</w:t>
            </w:r>
          </w:p>
        </w:tc>
      </w:tr>
      <w:tr w14:paraId="2668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vAlign w:val="center"/>
          </w:tcPr>
          <w:p w14:paraId="094CEDDF">
            <w:pPr>
              <w:pageBreakBefore w:val="0"/>
              <w:wordWrap/>
              <w:overflowPunct/>
              <w:bidi w:val="0"/>
              <w:spacing w:line="360" w:lineRule="auto"/>
              <w:jc w:val="center"/>
              <w:rPr>
                <w:rFonts w:hint="eastAsia" w:ascii="宋体" w:hAnsi="宋体"/>
                <w:b/>
                <w:color w:val="auto"/>
                <w:sz w:val="24"/>
                <w:szCs w:val="24"/>
              </w:rPr>
            </w:pPr>
            <w:r>
              <w:rPr>
                <w:rFonts w:hint="eastAsia" w:ascii="宋体" w:hAnsi="宋体"/>
                <w:b w:val="0"/>
                <w:bCs/>
                <w:color w:val="auto"/>
                <w:sz w:val="24"/>
                <w:szCs w:val="24"/>
                <w:lang w:val="en-US" w:eastAsia="zh-CN"/>
              </w:rPr>
              <w:t>10.12</w:t>
            </w:r>
          </w:p>
        </w:tc>
        <w:tc>
          <w:tcPr>
            <w:tcW w:w="1592" w:type="dxa"/>
            <w:gridSpan w:val="2"/>
            <w:vAlign w:val="center"/>
          </w:tcPr>
          <w:p w14:paraId="1821BADB">
            <w:pPr>
              <w:pageBreakBefore w:val="0"/>
              <w:wordWrap/>
              <w:overflowPunct/>
              <w:bidi w:val="0"/>
              <w:spacing w:line="360" w:lineRule="auto"/>
              <w:jc w:val="center"/>
              <w:rPr>
                <w:rFonts w:hint="eastAsia" w:ascii="宋体" w:hAnsi="宋体"/>
                <w:b/>
                <w:color w:val="auto"/>
                <w:sz w:val="24"/>
                <w:szCs w:val="24"/>
              </w:rPr>
            </w:pPr>
            <w:r>
              <w:rPr>
                <w:rFonts w:hint="eastAsia" w:ascii="宋体" w:hAnsi="宋体"/>
                <w:b w:val="0"/>
                <w:bCs/>
                <w:color w:val="auto"/>
                <w:sz w:val="24"/>
                <w:szCs w:val="24"/>
              </w:rPr>
              <w:t>招标代理服务费</w:t>
            </w:r>
          </w:p>
        </w:tc>
        <w:tc>
          <w:tcPr>
            <w:tcW w:w="7196" w:type="dxa"/>
            <w:vAlign w:val="center"/>
          </w:tcPr>
          <w:p w14:paraId="32221003">
            <w:pPr>
              <w:pageBreakBefore w:val="0"/>
              <w:wordWrap/>
              <w:overflowPunct/>
              <w:bidi w:val="0"/>
              <w:spacing w:line="360" w:lineRule="auto"/>
              <w:jc w:val="left"/>
              <w:rPr>
                <w:rFonts w:hint="eastAsia" w:ascii="宋体" w:hAnsi="宋体"/>
                <w:b/>
                <w:color w:val="auto"/>
                <w:sz w:val="24"/>
                <w:szCs w:val="24"/>
              </w:rPr>
            </w:pPr>
            <w:r>
              <w:rPr>
                <w:rFonts w:hint="eastAsia" w:ascii="宋体" w:hAnsi="宋体"/>
                <w:b w:val="0"/>
                <w:bCs/>
                <w:color w:val="auto"/>
                <w:sz w:val="24"/>
                <w:szCs w:val="24"/>
              </w:rPr>
              <w:t>招标代理服务费参照《河南省招标代理服务收费指导意见》（豫招协【2023】002号）计取，由中标人支付。</w:t>
            </w:r>
          </w:p>
        </w:tc>
      </w:tr>
      <w:tr w14:paraId="3EA6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45" w:type="dxa"/>
            <w:vAlign w:val="center"/>
          </w:tcPr>
          <w:p w14:paraId="124FDC75">
            <w:pPr>
              <w:pageBreakBefore w:val="0"/>
              <w:wordWrap/>
              <w:overflowPunct/>
              <w:bidi w:val="0"/>
              <w:spacing w:line="360" w:lineRule="auto"/>
              <w:jc w:val="center"/>
              <w:rPr>
                <w:rFonts w:hint="default" w:ascii="宋体" w:hAnsi="宋体" w:eastAsia="宋体"/>
                <w:b/>
                <w:color w:val="auto"/>
                <w:sz w:val="24"/>
                <w:szCs w:val="24"/>
                <w:lang w:val="en-US" w:eastAsia="zh-CN"/>
              </w:rPr>
            </w:pPr>
            <w:r>
              <w:rPr>
                <w:rFonts w:hint="eastAsia" w:ascii="宋体" w:hAnsi="宋体"/>
                <w:b w:val="0"/>
                <w:bCs/>
                <w:color w:val="auto"/>
                <w:sz w:val="24"/>
                <w:szCs w:val="24"/>
                <w:lang w:val="en-US" w:eastAsia="zh-CN"/>
              </w:rPr>
              <w:t>10.13</w:t>
            </w:r>
          </w:p>
        </w:tc>
        <w:tc>
          <w:tcPr>
            <w:tcW w:w="1592" w:type="dxa"/>
            <w:gridSpan w:val="2"/>
            <w:vAlign w:val="center"/>
          </w:tcPr>
          <w:p w14:paraId="19CC811A">
            <w:pPr>
              <w:pageBreakBefore w:val="0"/>
              <w:wordWrap/>
              <w:overflowPunct/>
              <w:bidi w:val="0"/>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本项目对应的中小企业划分标准所属行业</w:t>
            </w:r>
          </w:p>
        </w:tc>
        <w:tc>
          <w:tcPr>
            <w:tcW w:w="7196" w:type="dxa"/>
            <w:vAlign w:val="center"/>
          </w:tcPr>
          <w:p w14:paraId="64C2DA05">
            <w:pPr>
              <w:pageBreakBefore w:val="0"/>
              <w:wordWrap/>
              <w:overflowPunct/>
              <w:bidi w:val="0"/>
              <w:spacing w:line="360" w:lineRule="auto"/>
              <w:jc w:val="left"/>
              <w:rPr>
                <w:rFonts w:hint="eastAsia" w:ascii="宋体" w:hAnsi="宋体" w:eastAsia="宋体"/>
                <w:b/>
                <w:color w:val="auto"/>
                <w:sz w:val="24"/>
                <w:szCs w:val="24"/>
                <w:lang w:val="en-US" w:eastAsia="zh-CN"/>
              </w:rPr>
            </w:pPr>
            <w:r>
              <w:rPr>
                <w:rFonts w:hint="eastAsia" w:ascii="宋体" w:hAnsi="宋体"/>
                <w:b w:val="0"/>
                <w:bCs/>
                <w:color w:val="auto"/>
                <w:sz w:val="24"/>
                <w:szCs w:val="24"/>
                <w:lang w:val="en-US" w:eastAsia="zh-CN"/>
              </w:rPr>
              <w:t>工业</w:t>
            </w:r>
          </w:p>
        </w:tc>
      </w:tr>
      <w:tr w14:paraId="256F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vAlign w:val="center"/>
          </w:tcPr>
          <w:p w14:paraId="7336894A">
            <w:pPr>
              <w:pageBreakBefore w:val="0"/>
              <w:wordWrap/>
              <w:overflowPunct/>
              <w:bidi w:val="0"/>
              <w:spacing w:line="360" w:lineRule="auto"/>
              <w:jc w:val="center"/>
              <w:rPr>
                <w:rFonts w:ascii="宋体" w:hAnsi="宋体"/>
                <w:b w:val="0"/>
                <w:bCs/>
                <w:color w:val="auto"/>
                <w:sz w:val="24"/>
                <w:szCs w:val="24"/>
              </w:rPr>
            </w:pPr>
            <w:r>
              <w:rPr>
                <w:rFonts w:hint="eastAsia" w:ascii="宋体" w:hAnsi="宋体"/>
                <w:b w:val="0"/>
                <w:bCs/>
                <w:color w:val="auto"/>
                <w:sz w:val="24"/>
                <w:szCs w:val="24"/>
              </w:rPr>
              <w:t>11</w:t>
            </w:r>
          </w:p>
        </w:tc>
        <w:tc>
          <w:tcPr>
            <w:tcW w:w="1592" w:type="dxa"/>
            <w:gridSpan w:val="2"/>
            <w:vAlign w:val="center"/>
          </w:tcPr>
          <w:p w14:paraId="7AAD0FF3">
            <w:pPr>
              <w:pageBreakBefore w:val="0"/>
              <w:wordWrap/>
              <w:overflowPunct/>
              <w:bidi w:val="0"/>
              <w:spacing w:line="360" w:lineRule="auto"/>
              <w:jc w:val="center"/>
              <w:rPr>
                <w:rFonts w:ascii="宋体" w:hAnsi="宋体"/>
                <w:b w:val="0"/>
                <w:bCs/>
                <w:color w:val="auto"/>
                <w:sz w:val="24"/>
                <w:szCs w:val="24"/>
              </w:rPr>
            </w:pPr>
            <w:r>
              <w:rPr>
                <w:rFonts w:hint="eastAsia" w:ascii="宋体" w:hAnsi="宋体"/>
                <w:b w:val="0"/>
                <w:bCs/>
                <w:color w:val="auto"/>
                <w:sz w:val="24"/>
                <w:szCs w:val="24"/>
              </w:rPr>
              <w:t>电子化交易注意事项</w:t>
            </w:r>
          </w:p>
        </w:tc>
        <w:tc>
          <w:tcPr>
            <w:tcW w:w="7196" w:type="dxa"/>
            <w:vAlign w:val="center"/>
          </w:tcPr>
          <w:p w14:paraId="0E3DC383">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电子化交易注意事项</w:t>
            </w:r>
          </w:p>
          <w:p w14:paraId="72823428">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具体要求：本项目为电子化、无纸化交易项目，投标文件是</w:t>
            </w:r>
            <w:r>
              <w:rPr>
                <w:rFonts w:hint="eastAsia" w:ascii="宋体" w:hAnsi="宋体"/>
                <w:color w:val="auto"/>
                <w:sz w:val="24"/>
                <w:szCs w:val="24"/>
                <w:lang w:eastAsia="zh-CN"/>
              </w:rPr>
              <w:t>供应商</w:t>
            </w:r>
            <w:r>
              <w:rPr>
                <w:rFonts w:hint="eastAsia" w:ascii="宋体" w:hAnsi="宋体"/>
                <w:color w:val="auto"/>
                <w:sz w:val="24"/>
                <w:szCs w:val="24"/>
              </w:rPr>
              <w:t>（以下简称“</w:t>
            </w:r>
            <w:r>
              <w:rPr>
                <w:rFonts w:hint="eastAsia" w:ascii="宋体" w:hAnsi="宋体"/>
                <w:color w:val="auto"/>
                <w:sz w:val="24"/>
                <w:szCs w:val="24"/>
                <w:lang w:eastAsia="zh-CN"/>
              </w:rPr>
              <w:t>供应商</w:t>
            </w:r>
            <w:r>
              <w:rPr>
                <w:rFonts w:hint="eastAsia" w:ascii="宋体" w:hAnsi="宋体"/>
                <w:color w:val="auto"/>
                <w:sz w:val="24"/>
                <w:szCs w:val="24"/>
              </w:rPr>
              <w:t>”）通过中心投标文件制作系统制作，并经过签章和加密后生成的电子版投标文件。</w:t>
            </w:r>
          </w:p>
          <w:p w14:paraId="0817CBE2">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电子化投标文件具体制作文件请点击 https://download.bqpoint.com/download/downloaddetail.html?SourceFrom=Ztb&amp;ZtbSoftXiaQuCode=1506&amp;ZtbSoftType=tballinclusive进行下载。</w:t>
            </w:r>
          </w:p>
          <w:p w14:paraId="13F55F91">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温馨提示：本项目为电子化、无纸化交易项目，为保证您能投标成功，请需仔细阅读以下条款。</w:t>
            </w:r>
          </w:p>
          <w:p w14:paraId="475FF592">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电子化投标</w:t>
            </w:r>
          </w:p>
          <w:p w14:paraId="475CCF3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（一）电子化投标文件的签章</w:t>
            </w:r>
          </w:p>
          <w:p w14:paraId="4E86170B">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在生成电子化投标文件后，应对电子化投标文件进行签章，未进行签章的视为无效投标。</w:t>
            </w:r>
          </w:p>
          <w:p w14:paraId="092EE554">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2、招标文件中要求法定代表人或授权委托人签字或盖章的，</w:t>
            </w:r>
            <w:r>
              <w:rPr>
                <w:rFonts w:hint="eastAsia" w:ascii="宋体" w:hAnsi="宋体"/>
                <w:color w:val="auto"/>
                <w:sz w:val="24"/>
                <w:szCs w:val="24"/>
                <w:lang w:eastAsia="zh-CN"/>
              </w:rPr>
              <w:t>供应商</w:t>
            </w:r>
            <w:r>
              <w:rPr>
                <w:rFonts w:hint="eastAsia" w:ascii="宋体" w:hAnsi="宋体"/>
                <w:color w:val="auto"/>
                <w:sz w:val="24"/>
                <w:szCs w:val="24"/>
              </w:rPr>
              <w:t>在进行电子化投标文件签章时，以签盖法定代表人签章为准。</w:t>
            </w:r>
          </w:p>
          <w:p w14:paraId="6720834E">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（二）电子化投标文件的格式及上传投标</w:t>
            </w:r>
          </w:p>
          <w:p w14:paraId="655A4597">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ascii="宋体" w:hAnsi="宋体"/>
                <w:color w:val="auto"/>
                <w:sz w:val="24"/>
                <w:szCs w:val="24"/>
                <w:lang w:eastAsia="zh-CN"/>
              </w:rPr>
              <w:t>供应商</w:t>
            </w:r>
            <w:r>
              <w:rPr>
                <w:rFonts w:hint="eastAsia" w:ascii="宋体" w:hAnsi="宋体"/>
                <w:color w:val="auto"/>
                <w:sz w:val="24"/>
                <w:szCs w:val="24"/>
              </w:rPr>
              <w:t>随身携带。</w:t>
            </w:r>
          </w:p>
          <w:p w14:paraId="532C8E2B">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供应商</w:t>
            </w:r>
            <w:r>
              <w:rPr>
                <w:rFonts w:hint="eastAsia" w:ascii="宋体" w:hAnsi="宋体"/>
                <w:color w:val="auto"/>
                <w:sz w:val="24"/>
                <w:szCs w:val="24"/>
              </w:rPr>
              <w:t>投报多个标段的，需要每个标段单独制作电子投标文件。</w:t>
            </w:r>
          </w:p>
          <w:p w14:paraId="6F56D911">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2、电子化投标文件应在投标截止时间前成功上传至三门峡市公共资源电子化交易系统。至投标截止时间止，仍未上传成功的电子化投标文件将不予接收。</w:t>
            </w:r>
          </w:p>
          <w:p w14:paraId="71D24C05">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注：如按照电子化投标操作教材制作完成的电子化投标文件无法上传的，</w:t>
            </w:r>
            <w:r>
              <w:rPr>
                <w:rFonts w:hint="eastAsia" w:ascii="宋体" w:hAnsi="宋体"/>
                <w:color w:val="auto"/>
                <w:sz w:val="24"/>
                <w:szCs w:val="24"/>
                <w:lang w:eastAsia="zh-CN"/>
              </w:rPr>
              <w:t>供应商</w:t>
            </w:r>
            <w:r>
              <w:rPr>
                <w:rFonts w:hint="eastAsia" w:ascii="宋体" w:hAnsi="宋体"/>
                <w:color w:val="auto"/>
                <w:sz w:val="24"/>
                <w:szCs w:val="24"/>
              </w:rPr>
              <w:t>应在投标截止时间前尽早的联系中心技术人员，以便有充分的时间进行处理。</w:t>
            </w:r>
            <w:r>
              <w:rPr>
                <w:rFonts w:hint="eastAsia" w:ascii="宋体" w:hAnsi="宋体"/>
                <w:color w:val="auto"/>
                <w:sz w:val="24"/>
                <w:szCs w:val="24"/>
                <w:lang w:eastAsia="zh-CN"/>
              </w:rPr>
              <w:t>供应商</w:t>
            </w:r>
            <w:r>
              <w:rPr>
                <w:rFonts w:hint="eastAsia" w:ascii="宋体" w:hAnsi="宋体"/>
                <w:color w:val="auto"/>
                <w:sz w:val="24"/>
                <w:szCs w:val="24"/>
              </w:rPr>
              <w:t>应充分考虑到处理技术问题和上传数据等工作所需的时间问题，投标文件未在投标截止时间前成功上传的，其投标文件不予接收。</w:t>
            </w:r>
          </w:p>
          <w:p w14:paraId="2BBB5CEB">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标书制作技术联系电话：0398-3117095、3117871、4009980000</w:t>
            </w:r>
          </w:p>
          <w:p w14:paraId="4DE87C03">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主体库上传技术联系电话：0398-3117815</w:t>
            </w:r>
          </w:p>
          <w:p w14:paraId="6AEA545B">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（三）电子化项目开标、解密、唱标、评标</w:t>
            </w:r>
          </w:p>
          <w:p w14:paraId="3AB31C0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1、本项目采用电子化、无纸化进行招标，开标当日，</w:t>
            </w:r>
            <w:r>
              <w:rPr>
                <w:rFonts w:hint="eastAsia" w:ascii="宋体" w:hAnsi="宋体"/>
                <w:color w:val="auto"/>
                <w:sz w:val="24"/>
                <w:szCs w:val="24"/>
                <w:lang w:eastAsia="zh-CN"/>
              </w:rPr>
              <w:t>供应商</w:t>
            </w:r>
            <w:r>
              <w:rPr>
                <w:rFonts w:hint="eastAsia" w:ascii="宋体" w:hAnsi="宋体"/>
                <w:color w:val="auto"/>
                <w:sz w:val="24"/>
                <w:szCs w:val="24"/>
              </w:rPr>
              <w:t>无需到开标现场参加开标会议，</w:t>
            </w:r>
            <w:r>
              <w:rPr>
                <w:rFonts w:hint="eastAsia" w:ascii="宋体" w:hAnsi="宋体"/>
                <w:color w:val="auto"/>
                <w:sz w:val="24"/>
                <w:szCs w:val="24"/>
                <w:lang w:eastAsia="zh-CN"/>
              </w:rPr>
              <w:t>供应商</w:t>
            </w:r>
            <w:r>
              <w:rPr>
                <w:rFonts w:hint="eastAsia" w:ascii="宋体" w:hAnsi="宋体"/>
                <w:color w:val="auto"/>
                <w:sz w:val="24"/>
                <w:szCs w:val="24"/>
              </w:rPr>
              <w:t>应当在投标截止时间前，登陆不见面开标大厅选择登陆三门峡市公共资源电子招投标系统进行登陆（网址为 http://120.194.249.36:10094/BidOpening/bidopeninghallaction/hall/login）,在线准时参加开标活动并进行投标文件解密等</w:t>
            </w:r>
          </w:p>
          <w:p w14:paraId="0446DA7D">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2、电子化投标文件采用一次加密方式。开标时，由</w:t>
            </w:r>
            <w:r>
              <w:rPr>
                <w:rFonts w:hint="eastAsia" w:ascii="宋体" w:hAnsi="宋体"/>
                <w:color w:val="auto"/>
                <w:sz w:val="24"/>
                <w:szCs w:val="24"/>
                <w:lang w:eastAsia="zh-CN"/>
              </w:rPr>
              <w:t>供应商</w:t>
            </w:r>
            <w:r>
              <w:rPr>
                <w:rFonts w:hint="eastAsia" w:ascii="宋体" w:hAnsi="宋体"/>
                <w:color w:val="auto"/>
                <w:sz w:val="24"/>
                <w:szCs w:val="24"/>
              </w:rPr>
              <w:t>使用 CA 证书，在规定时间内对其电子化投标文件进行解密。每位</w:t>
            </w:r>
            <w:r>
              <w:rPr>
                <w:rFonts w:hint="eastAsia" w:ascii="宋体" w:hAnsi="宋体"/>
                <w:color w:val="auto"/>
                <w:sz w:val="24"/>
                <w:szCs w:val="24"/>
                <w:lang w:eastAsia="zh-CN"/>
              </w:rPr>
              <w:t>供应商</w:t>
            </w:r>
            <w:r>
              <w:rPr>
                <w:rFonts w:hint="eastAsia" w:ascii="宋体" w:hAnsi="宋体"/>
                <w:color w:val="auto"/>
                <w:sz w:val="24"/>
                <w:szCs w:val="24"/>
              </w:rPr>
              <w:t>的解密时间为开标时间起 30 分钟内，如在规定时间内未完成解密的，其投标文件不予开标、唱标。</w:t>
            </w:r>
          </w:p>
          <w:p w14:paraId="2D38ABC1">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3、电子化投标文件解密异常的处理</w:t>
            </w:r>
          </w:p>
          <w:p w14:paraId="7221C362">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如出现</w:t>
            </w:r>
            <w:r>
              <w:rPr>
                <w:rFonts w:hint="eastAsia" w:ascii="宋体" w:hAnsi="宋体"/>
                <w:color w:val="auto"/>
                <w:sz w:val="24"/>
                <w:szCs w:val="24"/>
                <w:lang w:eastAsia="zh-CN"/>
              </w:rPr>
              <w:t>供应商</w:t>
            </w:r>
            <w:r>
              <w:rPr>
                <w:rFonts w:hint="eastAsia" w:ascii="宋体" w:hAnsi="宋体"/>
                <w:color w:val="auto"/>
                <w:sz w:val="24"/>
                <w:szCs w:val="24"/>
              </w:rPr>
              <w:t>的电子投标文件无法解密等异常情况，</w:t>
            </w:r>
            <w:r>
              <w:rPr>
                <w:rFonts w:hint="eastAsia" w:ascii="宋体" w:hAnsi="宋体"/>
                <w:color w:val="auto"/>
                <w:sz w:val="24"/>
                <w:szCs w:val="24"/>
                <w:lang w:eastAsia="zh-CN"/>
              </w:rPr>
              <w:t>供应商</w:t>
            </w:r>
            <w:r>
              <w:rPr>
                <w:rFonts w:hint="eastAsia" w:ascii="宋体" w:hAnsi="宋体"/>
                <w:color w:val="auto"/>
                <w:sz w:val="24"/>
                <w:szCs w:val="24"/>
              </w:rPr>
              <w:t>应及时致电中介服务机构说明。投标文件异常，按以下步骤进行处理：</w:t>
            </w:r>
          </w:p>
          <w:p w14:paraId="14517041">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首先由技术人员进行问题排查。</w:t>
            </w:r>
          </w:p>
          <w:p w14:paraId="134C259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经技术人员排查后，是</w:t>
            </w:r>
            <w:r>
              <w:rPr>
                <w:rFonts w:hint="eastAsia" w:ascii="宋体" w:hAnsi="宋体"/>
                <w:color w:val="auto"/>
                <w:sz w:val="24"/>
                <w:szCs w:val="24"/>
                <w:lang w:eastAsia="zh-CN"/>
              </w:rPr>
              <w:t>供应商</w:t>
            </w:r>
            <w:r>
              <w:rPr>
                <w:rFonts w:hint="eastAsia" w:ascii="宋体" w:hAnsi="宋体"/>
                <w:color w:val="auto"/>
                <w:sz w:val="24"/>
                <w:szCs w:val="24"/>
              </w:rPr>
              <w:t>文件自身问题导致投标文件无法解密的，该投标文件将不予接收、解密和唱标。开标会议继续进行。</w:t>
            </w:r>
          </w:p>
          <w:p w14:paraId="6B4AB944">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CB25460">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4、待所有</w:t>
            </w:r>
            <w:r>
              <w:rPr>
                <w:rFonts w:hint="eastAsia" w:ascii="宋体" w:hAnsi="宋体"/>
                <w:color w:val="auto"/>
                <w:sz w:val="24"/>
                <w:szCs w:val="24"/>
                <w:lang w:eastAsia="zh-CN"/>
              </w:rPr>
              <w:t>供应商</w:t>
            </w:r>
            <w:r>
              <w:rPr>
                <w:rFonts w:hint="eastAsia" w:ascii="宋体" w:hAnsi="宋体"/>
                <w:color w:val="auto"/>
                <w:sz w:val="24"/>
                <w:szCs w:val="24"/>
              </w:rPr>
              <w:t>投标文件解密完成后，由中介服务机构操作，对所有已解密投标文件进行唱标。</w:t>
            </w:r>
          </w:p>
          <w:p w14:paraId="505BA54A">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应保证在开标期间电话、电脑、网络能够正常工作，</w:t>
            </w:r>
            <w:r>
              <w:rPr>
                <w:rFonts w:hint="eastAsia" w:ascii="宋体" w:hAnsi="宋体"/>
                <w:color w:val="auto"/>
                <w:sz w:val="24"/>
                <w:szCs w:val="24"/>
                <w:lang w:eastAsia="zh-CN"/>
              </w:rPr>
              <w:t>供应商</w:t>
            </w:r>
            <w:r>
              <w:rPr>
                <w:rFonts w:hint="eastAsia" w:ascii="宋体" w:hAnsi="宋体"/>
                <w:color w:val="auto"/>
                <w:sz w:val="24"/>
                <w:szCs w:val="24"/>
              </w:rPr>
              <w:t>因停电、电脑病毒网络堵塞等原因，未在规定的解密时间内对投标文件进行解密的，其投标文件不予接收、唱标。</w:t>
            </w:r>
          </w:p>
          <w:p w14:paraId="66E0ED7C">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5、开标时</w:t>
            </w:r>
            <w:r>
              <w:rPr>
                <w:rFonts w:hint="eastAsia" w:ascii="宋体" w:hAnsi="宋体"/>
                <w:color w:val="auto"/>
                <w:sz w:val="24"/>
                <w:szCs w:val="24"/>
                <w:lang w:eastAsia="zh-CN"/>
              </w:rPr>
              <w:t>供应商</w:t>
            </w:r>
            <w:r>
              <w:rPr>
                <w:rFonts w:hint="eastAsia" w:ascii="宋体" w:hAnsi="宋体"/>
                <w:color w:val="auto"/>
                <w:sz w:val="24"/>
                <w:szCs w:val="24"/>
              </w:rPr>
              <w:t>可登录到交易系统中在开标解密栏中点击报价一览表查看自己的投标报价。如对自己的唱标内容有异议的，应在</w:t>
            </w:r>
            <w:r>
              <w:rPr>
                <w:rFonts w:hint="eastAsia" w:ascii="宋体" w:hAnsi="宋体"/>
                <w:color w:val="auto"/>
                <w:sz w:val="24"/>
                <w:szCs w:val="24"/>
                <w:lang w:eastAsia="zh-CN"/>
              </w:rPr>
              <w:t>供应商</w:t>
            </w:r>
            <w:r>
              <w:rPr>
                <w:rFonts w:hint="eastAsia" w:ascii="宋体" w:hAnsi="宋体"/>
                <w:color w:val="auto"/>
                <w:sz w:val="24"/>
                <w:szCs w:val="24"/>
              </w:rPr>
              <w:t>解密成功后 10 分钟内向中介服务机构电话质疑。中介服务机构应在监督人员的监督下进行免提通话接受</w:t>
            </w:r>
            <w:r>
              <w:rPr>
                <w:rFonts w:hint="eastAsia" w:ascii="宋体" w:hAnsi="宋体"/>
                <w:color w:val="auto"/>
                <w:sz w:val="24"/>
                <w:szCs w:val="24"/>
                <w:lang w:eastAsia="zh-CN"/>
              </w:rPr>
              <w:t>供应商</w:t>
            </w:r>
            <w:r>
              <w:rPr>
                <w:rFonts w:hint="eastAsia" w:ascii="宋体" w:hAnsi="宋体"/>
                <w:color w:val="auto"/>
                <w:sz w:val="24"/>
                <w:szCs w:val="24"/>
              </w:rPr>
              <w:t>的质疑并做好书面记录。</w:t>
            </w:r>
            <w:r>
              <w:rPr>
                <w:rFonts w:hint="eastAsia" w:ascii="宋体" w:hAnsi="宋体"/>
                <w:color w:val="auto"/>
                <w:sz w:val="24"/>
                <w:szCs w:val="24"/>
                <w:lang w:eastAsia="zh-CN"/>
              </w:rPr>
              <w:t>供应商</w:t>
            </w:r>
            <w:r>
              <w:rPr>
                <w:rFonts w:hint="eastAsia" w:ascii="宋体" w:hAnsi="宋体"/>
                <w:color w:val="auto"/>
                <w:sz w:val="24"/>
                <w:szCs w:val="24"/>
              </w:rPr>
              <w:t>未在规定时间内提出质疑的，视为认可唱标内容。</w:t>
            </w:r>
          </w:p>
          <w:p w14:paraId="5E039393">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6、评标时，评标委员会对电子化投标文件有质疑的，将通过电子化交易系统对</w:t>
            </w:r>
            <w:r>
              <w:rPr>
                <w:rFonts w:hint="eastAsia" w:ascii="宋体" w:hAnsi="宋体"/>
                <w:color w:val="auto"/>
                <w:sz w:val="24"/>
                <w:szCs w:val="24"/>
                <w:lang w:eastAsia="zh-CN"/>
              </w:rPr>
              <w:t>供应商</w:t>
            </w:r>
            <w:r>
              <w:rPr>
                <w:rFonts w:hint="eastAsia" w:ascii="宋体" w:hAnsi="宋体"/>
                <w:color w:val="auto"/>
                <w:sz w:val="24"/>
                <w:szCs w:val="24"/>
              </w:rPr>
              <w:t>发起质疑，并在监督人员的监督下，用免提模式致电需要答复的。</w:t>
            </w:r>
            <w:r>
              <w:rPr>
                <w:rFonts w:hint="eastAsia" w:ascii="宋体" w:hAnsi="宋体"/>
                <w:color w:val="auto"/>
                <w:sz w:val="24"/>
                <w:szCs w:val="24"/>
                <w:lang w:eastAsia="zh-CN"/>
              </w:rPr>
              <w:t>供应商</w:t>
            </w:r>
            <w:r>
              <w:rPr>
                <w:rFonts w:hint="eastAsia" w:ascii="宋体" w:hAnsi="宋体"/>
                <w:color w:val="auto"/>
                <w:sz w:val="24"/>
                <w:szCs w:val="24"/>
              </w:rPr>
              <w:t>对质疑进行回复。</w:t>
            </w:r>
            <w:r>
              <w:rPr>
                <w:rFonts w:hint="eastAsia" w:ascii="宋体" w:hAnsi="宋体"/>
                <w:color w:val="auto"/>
                <w:sz w:val="24"/>
                <w:szCs w:val="24"/>
                <w:lang w:eastAsia="zh-CN"/>
              </w:rPr>
              <w:t>供应商</w:t>
            </w:r>
            <w:r>
              <w:rPr>
                <w:rFonts w:hint="eastAsia" w:ascii="宋体" w:hAnsi="宋体"/>
                <w:color w:val="auto"/>
                <w:sz w:val="24"/>
                <w:szCs w:val="24"/>
              </w:rPr>
              <w:t>的回复文件必须以经过</w:t>
            </w:r>
            <w:r>
              <w:rPr>
                <w:rFonts w:hint="eastAsia" w:ascii="宋体" w:hAnsi="宋体"/>
                <w:color w:val="auto"/>
                <w:sz w:val="24"/>
                <w:szCs w:val="24"/>
                <w:lang w:eastAsia="zh-CN"/>
              </w:rPr>
              <w:t>供应商</w:t>
            </w:r>
            <w:r>
              <w:rPr>
                <w:rFonts w:hint="eastAsia" w:ascii="宋体" w:hAnsi="宋体"/>
                <w:color w:val="auto"/>
                <w:sz w:val="24"/>
                <w:szCs w:val="24"/>
              </w:rPr>
              <w:t>和其法定代表人签章的 PDF 格式文件为准，并通过电子化交易系统提交至评标委员会。</w:t>
            </w:r>
          </w:p>
          <w:p w14:paraId="4A414CF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7、如评标委员会对需要回复的</w:t>
            </w:r>
            <w:r>
              <w:rPr>
                <w:rFonts w:hint="eastAsia" w:ascii="宋体" w:hAnsi="宋体"/>
                <w:color w:val="auto"/>
                <w:sz w:val="24"/>
                <w:szCs w:val="24"/>
                <w:lang w:eastAsia="zh-CN"/>
              </w:rPr>
              <w:t>供应商</w:t>
            </w:r>
            <w:r>
              <w:rPr>
                <w:rFonts w:hint="eastAsia" w:ascii="宋体" w:hAnsi="宋体"/>
                <w:color w:val="auto"/>
                <w:sz w:val="24"/>
                <w:szCs w:val="24"/>
              </w:rPr>
              <w:t>连续三次致电未接通的，视为</w:t>
            </w:r>
            <w:r>
              <w:rPr>
                <w:rFonts w:hint="eastAsia" w:ascii="宋体" w:hAnsi="宋体"/>
                <w:color w:val="auto"/>
                <w:sz w:val="24"/>
                <w:szCs w:val="24"/>
                <w:lang w:eastAsia="zh-CN"/>
              </w:rPr>
              <w:t>供应商</w:t>
            </w:r>
            <w:r>
              <w:rPr>
                <w:rFonts w:hint="eastAsia" w:ascii="宋体" w:hAnsi="宋体"/>
                <w:color w:val="auto"/>
                <w:sz w:val="24"/>
                <w:szCs w:val="24"/>
              </w:rPr>
              <w:t>放弃回复，评标委员会将自行对需要回复的内容进行认定。</w:t>
            </w:r>
          </w:p>
          <w:p w14:paraId="46325C0C">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二、相关证书原件的提交</w:t>
            </w:r>
          </w:p>
          <w:p w14:paraId="15021AAB">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本项目实行资格后审，招标文件中要求</w:t>
            </w:r>
            <w:r>
              <w:rPr>
                <w:rFonts w:hint="eastAsia" w:ascii="宋体" w:hAnsi="宋体"/>
                <w:color w:val="auto"/>
                <w:sz w:val="24"/>
                <w:szCs w:val="24"/>
                <w:lang w:eastAsia="zh-CN"/>
              </w:rPr>
              <w:t>供应商</w:t>
            </w:r>
            <w:r>
              <w:rPr>
                <w:rFonts w:hint="eastAsia" w:ascii="宋体" w:hAnsi="宋体"/>
                <w:color w:val="auto"/>
                <w:sz w:val="24"/>
                <w:szCs w:val="24"/>
              </w:rPr>
              <w:t>提交相关资料原件的，根据优化营商环境的要求，评标时以投标文件为准：</w:t>
            </w:r>
          </w:p>
          <w:p w14:paraId="0CC5D197">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1、资格评（预）审部分：资格评（预）以投标文件为准，其上传资料真实性由</w:t>
            </w:r>
            <w:r>
              <w:rPr>
                <w:rFonts w:hint="eastAsia" w:ascii="宋体" w:hAnsi="宋体"/>
                <w:color w:val="auto"/>
                <w:sz w:val="24"/>
                <w:szCs w:val="24"/>
                <w:lang w:eastAsia="zh-CN"/>
              </w:rPr>
              <w:t>供应商</w:t>
            </w:r>
            <w:r>
              <w:rPr>
                <w:rFonts w:hint="eastAsia" w:ascii="宋体" w:hAnsi="宋体"/>
                <w:color w:val="auto"/>
                <w:sz w:val="24"/>
                <w:szCs w:val="24"/>
              </w:rPr>
              <w:t>自行承担，同时，</w:t>
            </w:r>
            <w:r>
              <w:rPr>
                <w:rFonts w:hint="eastAsia" w:ascii="宋体" w:hAnsi="宋体"/>
                <w:color w:val="auto"/>
                <w:sz w:val="24"/>
                <w:szCs w:val="24"/>
                <w:lang w:eastAsia="zh-CN"/>
              </w:rPr>
              <w:t>供应商</w:t>
            </w:r>
            <w:r>
              <w:rPr>
                <w:rFonts w:hint="eastAsia" w:ascii="宋体" w:hAnsi="宋体"/>
                <w:color w:val="auto"/>
                <w:sz w:val="24"/>
                <w:szCs w:val="24"/>
              </w:rPr>
              <w:t>要完善主体库。</w:t>
            </w:r>
          </w:p>
          <w:p w14:paraId="1C063B90">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2、评标打分部分：评标打分部分仍按照100分制原则进行，涉及到资格审查、企业荣誉、人员业绩、企业业绩等计分部分时，以投标单位自行上传到投标文件中的相应内容为准。</w:t>
            </w:r>
          </w:p>
          <w:p w14:paraId="3627D582">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3、投标文件编制部分：在招标文件中要求</w:t>
            </w:r>
            <w:r>
              <w:rPr>
                <w:rFonts w:hint="eastAsia" w:ascii="宋体" w:hAnsi="宋体"/>
                <w:color w:val="auto"/>
                <w:sz w:val="24"/>
                <w:szCs w:val="24"/>
                <w:lang w:eastAsia="zh-CN"/>
              </w:rPr>
              <w:t>供应商</w:t>
            </w:r>
            <w:r>
              <w:rPr>
                <w:rFonts w:hint="eastAsia" w:ascii="宋体" w:hAnsi="宋体"/>
                <w:color w:val="auto"/>
                <w:sz w:val="24"/>
                <w:szCs w:val="24"/>
              </w:rPr>
              <w:t>按照投标文件格式进行投标文件编制，在投标文件编制时，应明确将投标单位企业基本情况、资质情况、人员情况、财务情况、业绩情况编入投标文件，便于进行资格审查及评标打分。</w:t>
            </w:r>
          </w:p>
          <w:p w14:paraId="3136C008">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4、我单位（采购人）严格按三财购【2021】9号文要求的时限发布中标结果公告，发出中标通知书，签订采购合同，上传采购合同。</w:t>
            </w:r>
          </w:p>
          <w:p w14:paraId="1C71CAA6">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（二）项目评标结果公示时，将同时公示中标候选人主体库信息，接受社会监督。</w:t>
            </w:r>
          </w:p>
          <w:p w14:paraId="547810AE">
            <w:pPr>
              <w:pageBreakBefore w:val="0"/>
              <w:wordWrap/>
              <w:overflowPunct/>
              <w:bidi w:val="0"/>
              <w:spacing w:line="360" w:lineRule="auto"/>
              <w:jc w:val="left"/>
              <w:rPr>
                <w:rFonts w:hint="eastAsia" w:ascii="宋体" w:hAnsi="宋体"/>
                <w:color w:val="auto"/>
                <w:sz w:val="24"/>
                <w:szCs w:val="24"/>
              </w:rPr>
            </w:pPr>
            <w:r>
              <w:rPr>
                <w:rFonts w:hint="eastAsia" w:ascii="宋体" w:hAnsi="宋体"/>
                <w:color w:val="auto"/>
                <w:sz w:val="24"/>
                <w:szCs w:val="24"/>
              </w:rPr>
              <w:t>（三）</w:t>
            </w:r>
            <w:r>
              <w:rPr>
                <w:rFonts w:hint="eastAsia" w:ascii="宋体" w:hAnsi="宋体"/>
                <w:color w:val="auto"/>
                <w:sz w:val="24"/>
                <w:szCs w:val="24"/>
                <w:lang w:eastAsia="zh-CN"/>
              </w:rPr>
              <w:t>供应商</w:t>
            </w:r>
            <w:r>
              <w:rPr>
                <w:rFonts w:hint="eastAsia" w:ascii="宋体" w:hAnsi="宋体"/>
                <w:color w:val="auto"/>
                <w:sz w:val="24"/>
                <w:szCs w:val="24"/>
              </w:rPr>
              <w:t>需应仔细阅读操作手册，保证上传内容齐全，真实有效，原件扫描件清晰可辨。因</w:t>
            </w:r>
            <w:r>
              <w:rPr>
                <w:rFonts w:hint="eastAsia" w:ascii="宋体" w:hAnsi="宋体"/>
                <w:color w:val="auto"/>
                <w:sz w:val="24"/>
                <w:szCs w:val="24"/>
                <w:lang w:eastAsia="zh-CN"/>
              </w:rPr>
              <w:t>供应商</w:t>
            </w:r>
            <w:r>
              <w:rPr>
                <w:rFonts w:hint="eastAsia" w:ascii="宋体" w:hAnsi="宋体"/>
                <w:color w:val="auto"/>
                <w:sz w:val="24"/>
                <w:szCs w:val="24"/>
              </w:rPr>
              <w:t>上传原因导致应得分项而未得分或资格审查不合格等情况的，由</w:t>
            </w:r>
            <w:r>
              <w:rPr>
                <w:rFonts w:hint="eastAsia" w:ascii="宋体" w:hAnsi="宋体"/>
                <w:color w:val="auto"/>
                <w:sz w:val="24"/>
                <w:szCs w:val="24"/>
                <w:lang w:eastAsia="zh-CN"/>
              </w:rPr>
              <w:t>供应商</w:t>
            </w:r>
            <w:r>
              <w:rPr>
                <w:rFonts w:hint="eastAsia" w:ascii="宋体" w:hAnsi="宋体"/>
                <w:color w:val="auto"/>
                <w:sz w:val="24"/>
                <w:szCs w:val="24"/>
              </w:rPr>
              <w:t>自行承担责任。</w:t>
            </w:r>
          </w:p>
          <w:p w14:paraId="1D24BCE7">
            <w:pPr>
              <w:pageBreakBefore w:val="0"/>
              <w:wordWrap/>
              <w:overflowPunct/>
              <w:bidi w:val="0"/>
              <w:spacing w:line="360" w:lineRule="auto"/>
              <w:jc w:val="left"/>
              <w:rPr>
                <w:rFonts w:ascii="宋体" w:hAnsi="宋体"/>
                <w:b/>
                <w:color w:val="auto"/>
                <w:sz w:val="24"/>
                <w:szCs w:val="24"/>
              </w:rPr>
            </w:pPr>
            <w:r>
              <w:rPr>
                <w:rFonts w:hint="eastAsia" w:ascii="宋体" w:hAnsi="宋体"/>
                <w:color w:val="auto"/>
                <w:sz w:val="24"/>
                <w:szCs w:val="24"/>
              </w:rPr>
              <w:t>提示：本项目为电子化、无纸化交易项目，为保证您能投标成功，请需仔细阅读以上条款。</w:t>
            </w:r>
          </w:p>
        </w:tc>
      </w:tr>
    </w:tbl>
    <w:p w14:paraId="02B57474">
      <w:pPr>
        <w:pageBreakBefore w:val="0"/>
        <w:wordWrap/>
        <w:overflowPunct/>
        <w:bidi w:val="0"/>
        <w:spacing w:line="360" w:lineRule="auto"/>
        <w:ind w:firstLine="482" w:firstLineChars="200"/>
        <w:outlineLvl w:val="1"/>
        <w:rPr>
          <w:rFonts w:ascii="宋体" w:hAnsi="宋体"/>
          <w:b/>
          <w:color w:val="auto"/>
          <w:sz w:val="24"/>
          <w:szCs w:val="24"/>
        </w:rPr>
      </w:pPr>
      <w:bookmarkStart w:id="19" w:name="_Toc19284"/>
      <w:bookmarkStart w:id="20" w:name="_Toc452907930"/>
      <w:r>
        <w:rPr>
          <w:rFonts w:hint="eastAsia" w:ascii="宋体" w:hAnsi="宋体"/>
          <w:b/>
          <w:color w:val="auto"/>
          <w:sz w:val="24"/>
          <w:szCs w:val="24"/>
        </w:rPr>
        <w:t>1.总则</w:t>
      </w:r>
      <w:bookmarkEnd w:id="19"/>
    </w:p>
    <w:p w14:paraId="06413294">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1.1 项目概况</w:t>
      </w:r>
    </w:p>
    <w:p w14:paraId="0E3E003C">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1.1.1 根据《中华人民共和国政府采购法》 等有关法律、法规和规章的规定，本招标项目已具备招标条件，现对本项目进行招标。</w:t>
      </w:r>
    </w:p>
    <w:p w14:paraId="7B9BA53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1.1.2 本招标项目采购人：见供应商须知前附表。</w:t>
      </w:r>
    </w:p>
    <w:p w14:paraId="1D1D74F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1.1.3 本招标项目招标代理机构：见供应商须知前附表。</w:t>
      </w:r>
    </w:p>
    <w:p w14:paraId="0E1C613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1.1.4 本招标项目名称：见供应商须知前附表。</w:t>
      </w:r>
    </w:p>
    <w:p w14:paraId="71CAA47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1.2 资金来源和落实情况</w:t>
      </w:r>
    </w:p>
    <w:p w14:paraId="0614647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1.2.1 本招标项目的资金来源：见供应商须知前附表。</w:t>
      </w:r>
    </w:p>
    <w:p w14:paraId="575FE19B">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1.2.2 本招标项目的出资比例：见供应商须知前附表。</w:t>
      </w:r>
    </w:p>
    <w:p w14:paraId="145EDB1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1.2.3 本招标项目的资金落实情况：见供应商须知前附表。</w:t>
      </w:r>
    </w:p>
    <w:p w14:paraId="1608BF4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 xml:space="preserve">1.3 </w:t>
      </w:r>
      <w:r>
        <w:rPr>
          <w:rFonts w:hint="eastAsia" w:ascii="宋体" w:hAnsi="宋体"/>
          <w:b/>
          <w:color w:val="auto"/>
          <w:sz w:val="24"/>
          <w:szCs w:val="24"/>
          <w:lang w:eastAsia="zh-CN"/>
        </w:rPr>
        <w:t>采购内容</w:t>
      </w:r>
      <w:r>
        <w:rPr>
          <w:rFonts w:hint="eastAsia" w:ascii="宋体" w:hAnsi="宋体"/>
          <w:b/>
          <w:color w:val="auto"/>
          <w:sz w:val="24"/>
          <w:szCs w:val="24"/>
        </w:rPr>
        <w:t>、</w:t>
      </w:r>
      <w:r>
        <w:rPr>
          <w:rFonts w:hint="eastAsia" w:ascii="宋体" w:hAnsi="宋体"/>
          <w:b/>
          <w:color w:val="auto"/>
          <w:sz w:val="24"/>
          <w:szCs w:val="24"/>
          <w:lang w:eastAsia="zh-CN"/>
        </w:rPr>
        <w:t>供货期</w:t>
      </w:r>
      <w:r>
        <w:rPr>
          <w:rFonts w:hint="eastAsia" w:ascii="宋体" w:hAnsi="宋体"/>
          <w:b/>
          <w:color w:val="auto"/>
          <w:sz w:val="24"/>
          <w:szCs w:val="24"/>
        </w:rPr>
        <w:t>和质量要求</w:t>
      </w:r>
    </w:p>
    <w:p w14:paraId="689ED52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1.3.1 本次</w:t>
      </w:r>
      <w:r>
        <w:rPr>
          <w:rFonts w:hint="eastAsia" w:ascii="宋体" w:hAnsi="宋体"/>
          <w:color w:val="auto"/>
          <w:sz w:val="24"/>
          <w:szCs w:val="24"/>
          <w:lang w:eastAsia="zh-CN"/>
        </w:rPr>
        <w:t>采购内容</w:t>
      </w:r>
      <w:r>
        <w:rPr>
          <w:rFonts w:hint="eastAsia" w:ascii="宋体" w:hAnsi="宋体"/>
          <w:color w:val="auto"/>
          <w:sz w:val="24"/>
          <w:szCs w:val="24"/>
        </w:rPr>
        <w:t>：见供应商须知前附表。</w:t>
      </w:r>
    </w:p>
    <w:p w14:paraId="3064AC50">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1.3.2 本项目的</w:t>
      </w:r>
      <w:r>
        <w:rPr>
          <w:rFonts w:hint="eastAsia" w:ascii="宋体" w:hAnsi="宋体"/>
          <w:sz w:val="24"/>
          <w:szCs w:val="24"/>
        </w:rPr>
        <w:t>供货期</w:t>
      </w:r>
      <w:r>
        <w:rPr>
          <w:rFonts w:hint="eastAsia" w:ascii="宋体" w:hAnsi="宋体"/>
          <w:color w:val="auto"/>
          <w:sz w:val="24"/>
          <w:szCs w:val="24"/>
        </w:rPr>
        <w:t>：见供应商须知前附表。</w:t>
      </w:r>
    </w:p>
    <w:p w14:paraId="21333CCD">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1.3.3 本项目的质量要求：见供应商须知前附表。</w:t>
      </w:r>
    </w:p>
    <w:p w14:paraId="45B03FBE">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1.4 供应商资格要求</w:t>
      </w:r>
    </w:p>
    <w:p w14:paraId="158A2981">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1.4.1 供应商应具备承担本项目的资质条件、能力和信誉见前附表。</w:t>
      </w:r>
    </w:p>
    <w:p w14:paraId="7066E64B">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1.5 费用承担</w:t>
      </w:r>
    </w:p>
    <w:p w14:paraId="369DC06F">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供应商准备和参加投标活动发生的费用自理。</w:t>
      </w:r>
    </w:p>
    <w:p w14:paraId="5CEC3F75">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1.6 保密</w:t>
      </w:r>
    </w:p>
    <w:p w14:paraId="6E4B633D">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参与招标投标活动的各方应对招标文件和投标文件中的商业和技术等秘密保密，违者应对由此造成的后果承担法律责任。</w:t>
      </w:r>
    </w:p>
    <w:p w14:paraId="5D2AFF0A">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1.7 语言文字</w:t>
      </w:r>
    </w:p>
    <w:p w14:paraId="5587016B">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除专用术语外，与招标投标有关的语言均使用中文。必要时专用术语应附有中文注释。</w:t>
      </w:r>
    </w:p>
    <w:p w14:paraId="374E3718">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1.8 计量单位</w:t>
      </w:r>
    </w:p>
    <w:p w14:paraId="4EA469A9">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所有计量均采用中华人民共和国法定计量单位。</w:t>
      </w:r>
    </w:p>
    <w:p w14:paraId="14765F59">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1.9 踏勘现场</w:t>
      </w:r>
    </w:p>
    <w:p w14:paraId="1C34A2D7">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不组织。</w:t>
      </w:r>
    </w:p>
    <w:p w14:paraId="2A57CCDA">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1.10 投标预备会</w:t>
      </w:r>
    </w:p>
    <w:p w14:paraId="055A8A4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不组织。</w:t>
      </w:r>
    </w:p>
    <w:p w14:paraId="7D76CF41">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1.11 分包</w:t>
      </w:r>
    </w:p>
    <w:p w14:paraId="51F9E32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不允许分包。</w:t>
      </w:r>
    </w:p>
    <w:p w14:paraId="7A8D2B35">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1.12 偏离</w:t>
      </w:r>
    </w:p>
    <w:p w14:paraId="14BF85BF">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允计偏离。</w:t>
      </w:r>
    </w:p>
    <w:bookmarkEnd w:id="20"/>
    <w:p w14:paraId="127A9CAC">
      <w:pPr>
        <w:pageBreakBefore w:val="0"/>
        <w:wordWrap/>
        <w:overflowPunct/>
        <w:bidi w:val="0"/>
        <w:spacing w:line="360" w:lineRule="auto"/>
        <w:ind w:firstLine="482" w:firstLineChars="200"/>
        <w:outlineLvl w:val="1"/>
        <w:rPr>
          <w:rFonts w:ascii="宋体" w:hAnsi="宋体"/>
          <w:b/>
          <w:color w:val="auto"/>
          <w:sz w:val="24"/>
          <w:szCs w:val="24"/>
        </w:rPr>
      </w:pPr>
      <w:bookmarkStart w:id="21" w:name="_Toc452907931"/>
      <w:bookmarkStart w:id="22" w:name="_Toc31048"/>
      <w:r>
        <w:rPr>
          <w:rFonts w:hint="eastAsia" w:ascii="宋体" w:hAnsi="宋体"/>
          <w:b/>
          <w:color w:val="auto"/>
          <w:sz w:val="24"/>
          <w:szCs w:val="24"/>
        </w:rPr>
        <w:t>2. 招标文件</w:t>
      </w:r>
      <w:bookmarkEnd w:id="21"/>
      <w:bookmarkEnd w:id="22"/>
    </w:p>
    <w:p w14:paraId="04D93360">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2.1  招标文件的组成</w:t>
      </w:r>
    </w:p>
    <w:p w14:paraId="1B94A8E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本招标文件包括：</w:t>
      </w:r>
    </w:p>
    <w:p w14:paraId="31200374">
      <w:pPr>
        <w:pageBreakBefore w:val="0"/>
        <w:wordWrap/>
        <w:overflowPunct/>
        <w:bidi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2.1.1 招标公告</w:t>
      </w:r>
      <w:r>
        <w:rPr>
          <w:rFonts w:hint="eastAsia" w:ascii="宋体" w:hAnsi="宋体"/>
          <w:color w:val="auto"/>
          <w:sz w:val="24"/>
          <w:szCs w:val="24"/>
          <w:lang w:eastAsia="zh-CN"/>
        </w:rPr>
        <w:t>；</w:t>
      </w:r>
    </w:p>
    <w:p w14:paraId="34313DB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2.1.2 供应商须知；</w:t>
      </w:r>
    </w:p>
    <w:p w14:paraId="6018DD95">
      <w:pPr>
        <w:pageBreakBefore w:val="0"/>
        <w:wordWrap/>
        <w:overflowPunct/>
        <w:bidi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2.1.3 评标办法</w:t>
      </w:r>
      <w:r>
        <w:rPr>
          <w:rFonts w:hint="eastAsia" w:ascii="宋体" w:hAnsi="宋体"/>
          <w:color w:val="auto"/>
          <w:sz w:val="24"/>
          <w:szCs w:val="24"/>
          <w:lang w:eastAsia="zh-CN"/>
        </w:rPr>
        <w:t>；</w:t>
      </w:r>
    </w:p>
    <w:p w14:paraId="34F98A00">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2.1.4采购内容及要求；</w:t>
      </w:r>
    </w:p>
    <w:p w14:paraId="642FF8E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2.1.5合同条款及格式；</w:t>
      </w:r>
    </w:p>
    <w:p w14:paraId="1F6D1DD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2.1.6投标文件格式；</w:t>
      </w:r>
    </w:p>
    <w:p w14:paraId="381DE1F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根据本章第 2.2 款和第 2.3 款对招标文件所作的澄清、修改，构成招标文件的组成部分。</w:t>
      </w:r>
    </w:p>
    <w:p w14:paraId="6D71E6E4">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2.2 招标文件的澄清</w:t>
      </w:r>
    </w:p>
    <w:p w14:paraId="45B39AD6">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w:t>
      </w:r>
    </w:p>
    <w:p w14:paraId="1647CDB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2.2.2 招标文件的澄清将在供应商须知前附表规定的投标截止时间15天前以书面形式发给所有</w:t>
      </w:r>
      <w:r>
        <w:rPr>
          <w:rFonts w:hint="eastAsia" w:ascii="宋体" w:hAnsi="宋体"/>
          <w:color w:val="auto"/>
          <w:sz w:val="24"/>
          <w:szCs w:val="24"/>
          <w:lang w:val="en-US" w:eastAsia="zh-CN"/>
        </w:rPr>
        <w:t>下载</w:t>
      </w:r>
      <w:r>
        <w:rPr>
          <w:rFonts w:hint="eastAsia" w:ascii="宋体" w:hAnsi="宋体"/>
          <w:color w:val="auto"/>
          <w:sz w:val="24"/>
          <w:szCs w:val="24"/>
        </w:rPr>
        <w:t>招标文件的</w:t>
      </w:r>
      <w:r>
        <w:rPr>
          <w:rFonts w:hint="eastAsia" w:ascii="宋体" w:hAnsi="宋体"/>
          <w:color w:val="auto"/>
          <w:sz w:val="24"/>
          <w:szCs w:val="24"/>
          <w:lang w:val="en-US" w:eastAsia="zh-CN"/>
        </w:rPr>
        <w:t>潜在</w:t>
      </w:r>
      <w:r>
        <w:rPr>
          <w:rFonts w:hint="eastAsia" w:ascii="宋体" w:hAnsi="宋体"/>
          <w:color w:val="auto"/>
          <w:sz w:val="24"/>
          <w:szCs w:val="24"/>
        </w:rPr>
        <w:t>供应商，但不指明澄清问题的来源。如果澄清发出的时间距投标截时间不足15天，相应延长投标截止时间。</w:t>
      </w:r>
    </w:p>
    <w:p w14:paraId="5BAB0A3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2.3 招标文件的修改</w:t>
      </w:r>
    </w:p>
    <w:p w14:paraId="4BB3D70B">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2.3.1 在投标截止时间15天前，采购人可以以书面形式修改招标文件，并告知所有已</w:t>
      </w:r>
      <w:r>
        <w:rPr>
          <w:rFonts w:hint="eastAsia" w:ascii="宋体" w:hAnsi="宋体"/>
          <w:color w:val="auto"/>
          <w:sz w:val="24"/>
          <w:szCs w:val="24"/>
          <w:lang w:val="en-US" w:eastAsia="zh-CN"/>
        </w:rPr>
        <w:t>下载</w:t>
      </w:r>
      <w:r>
        <w:rPr>
          <w:rFonts w:hint="eastAsia" w:ascii="宋体" w:hAnsi="宋体"/>
          <w:color w:val="auto"/>
          <w:sz w:val="24"/>
          <w:szCs w:val="24"/>
        </w:rPr>
        <w:t>招标文件的</w:t>
      </w:r>
      <w:r>
        <w:rPr>
          <w:rFonts w:hint="eastAsia" w:ascii="宋体" w:hAnsi="宋体"/>
          <w:color w:val="auto"/>
          <w:sz w:val="24"/>
          <w:szCs w:val="24"/>
          <w:lang w:val="en-US" w:eastAsia="zh-CN"/>
        </w:rPr>
        <w:t>潜在</w:t>
      </w:r>
      <w:r>
        <w:rPr>
          <w:rFonts w:hint="eastAsia" w:ascii="宋体" w:hAnsi="宋体"/>
          <w:color w:val="auto"/>
          <w:sz w:val="24"/>
          <w:szCs w:val="24"/>
        </w:rPr>
        <w:t>供应商。如果修改招标文件的时间距投标截止时间不足15天，相应延长投标截止时间。</w:t>
      </w:r>
    </w:p>
    <w:p w14:paraId="4D4D8C86">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2.4 当招标文件、澄清文件、修改文件内容相互矛盾时，以最后发出文件内容为准。</w:t>
      </w:r>
    </w:p>
    <w:p w14:paraId="3314CE1E">
      <w:pPr>
        <w:pageBreakBefore w:val="0"/>
        <w:wordWrap/>
        <w:overflowPunct/>
        <w:bidi w:val="0"/>
        <w:spacing w:line="360" w:lineRule="auto"/>
        <w:ind w:firstLine="482" w:firstLineChars="200"/>
        <w:outlineLvl w:val="1"/>
        <w:rPr>
          <w:rFonts w:ascii="宋体" w:hAnsi="宋体"/>
          <w:b/>
          <w:color w:val="auto"/>
          <w:sz w:val="24"/>
          <w:szCs w:val="24"/>
        </w:rPr>
      </w:pPr>
      <w:bookmarkStart w:id="23" w:name="_Toc11889"/>
      <w:bookmarkStart w:id="24" w:name="_Toc452907933"/>
      <w:r>
        <w:rPr>
          <w:rFonts w:hint="eastAsia" w:ascii="宋体" w:hAnsi="宋体"/>
          <w:b/>
          <w:color w:val="auto"/>
          <w:sz w:val="24"/>
          <w:szCs w:val="24"/>
        </w:rPr>
        <w:t>3.投标文件</w:t>
      </w:r>
      <w:bookmarkEnd w:id="23"/>
      <w:bookmarkEnd w:id="24"/>
    </w:p>
    <w:p w14:paraId="40341BC8">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本项目为电子化交易项目，投标文件是供应商（以下简称“供应商”）通过中心投标文件制作系统制作，并经过电子签章和加密后生成的电子版投标文件。</w:t>
      </w:r>
    </w:p>
    <w:p w14:paraId="2A1A9B0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电子化投标文件具体制作教材请供应商通过CA证书登录三门峡市公共资源电子化交易系统在 “帮助中心”中查看。</w:t>
      </w:r>
    </w:p>
    <w:p w14:paraId="59BB21EE">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 xml:space="preserve">3.1  投标文件的组成         </w:t>
      </w:r>
    </w:p>
    <w:p w14:paraId="7B1189FD">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投标函</w:t>
      </w:r>
    </w:p>
    <w:p w14:paraId="6AE7A9A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开标一览表</w:t>
      </w:r>
    </w:p>
    <w:p w14:paraId="0291DF4B">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法定代表人身份证明</w:t>
      </w:r>
    </w:p>
    <w:p w14:paraId="0672A136">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授权委托书</w:t>
      </w:r>
    </w:p>
    <w:p w14:paraId="5A1090BB">
      <w:pPr>
        <w:pageBreakBefore w:val="0"/>
        <w:wordWrap/>
        <w:overflowPunct/>
        <w:bidi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货物质量保障方案</w:t>
      </w:r>
    </w:p>
    <w:p w14:paraId="488D499F">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投标承诺函</w:t>
      </w:r>
    </w:p>
    <w:p w14:paraId="284BF093">
      <w:pPr>
        <w:pageBreakBefore w:val="0"/>
        <w:wordWrap/>
        <w:overflowPunct/>
        <w:bidi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资格证明文件</w:t>
      </w:r>
    </w:p>
    <w:p w14:paraId="714B1BC7">
      <w:pPr>
        <w:pageBreakBefore w:val="0"/>
        <w:wordWrap/>
        <w:overflowPunct/>
        <w:bidi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其他资料</w:t>
      </w:r>
    </w:p>
    <w:p w14:paraId="0458F765">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3.2  投标报价</w:t>
      </w:r>
    </w:p>
    <w:p w14:paraId="641795D0">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3.2.1最低报价不能作为中标的保证；</w:t>
      </w:r>
    </w:p>
    <w:p w14:paraId="77DB2846">
      <w:pPr>
        <w:pageBreakBefore w:val="0"/>
        <w:wordWrap/>
        <w:overflowPunct/>
        <w:bidi w:val="0"/>
        <w:spacing w:line="360" w:lineRule="auto"/>
        <w:ind w:firstLine="480" w:firstLineChars="200"/>
        <w:rPr>
          <w:rFonts w:ascii="宋体" w:hAnsi="宋体" w:cs="宋体"/>
          <w:b/>
          <w:bCs/>
          <w:color w:val="auto"/>
          <w:sz w:val="24"/>
          <w:szCs w:val="24"/>
        </w:rPr>
      </w:pPr>
      <w:r>
        <w:rPr>
          <w:rFonts w:hint="eastAsia" w:ascii="宋体" w:hAnsi="宋体"/>
          <w:color w:val="auto"/>
          <w:sz w:val="24"/>
          <w:szCs w:val="24"/>
        </w:rPr>
        <w:t>3.2.2各供应商应充分考虑该项目实施时的各种风险，</w:t>
      </w:r>
      <w:r>
        <w:rPr>
          <w:rFonts w:hint="eastAsia" w:ascii="宋体" w:hAnsi="宋体" w:cs="宋体"/>
          <w:b/>
          <w:bCs/>
          <w:color w:val="auto"/>
          <w:sz w:val="24"/>
          <w:szCs w:val="24"/>
        </w:rPr>
        <w:t>投标报价应是为完成本招标文件所确定的</w:t>
      </w:r>
      <w:r>
        <w:rPr>
          <w:rFonts w:hint="eastAsia" w:ascii="宋体" w:hAnsi="宋体" w:cs="宋体"/>
          <w:b/>
          <w:bCs/>
          <w:color w:val="auto"/>
          <w:sz w:val="24"/>
          <w:szCs w:val="24"/>
          <w:lang w:eastAsia="zh-CN"/>
        </w:rPr>
        <w:t>采购内容</w:t>
      </w:r>
      <w:r>
        <w:rPr>
          <w:rFonts w:hint="eastAsia" w:ascii="宋体" w:hAnsi="宋体" w:cs="宋体"/>
          <w:b/>
          <w:bCs/>
          <w:color w:val="auto"/>
          <w:sz w:val="24"/>
          <w:szCs w:val="24"/>
        </w:rPr>
        <w:t>并满足本招标文件各项要求的全部内容所需的生产设备、劳务、管理、材料、包装、利润、配合费、税金及政策性文件规定的各项应有全部费用，供应商在报价时应充分考虑各项因素并根据企业自身具体情况自主报价</w:t>
      </w:r>
      <w:r>
        <w:rPr>
          <w:rFonts w:hint="eastAsia" w:ascii="宋体" w:hAnsi="宋体"/>
          <w:color w:val="auto"/>
          <w:sz w:val="24"/>
          <w:szCs w:val="24"/>
        </w:rPr>
        <w:t>。</w:t>
      </w:r>
    </w:p>
    <w:p w14:paraId="2DA4EBDC">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3.2.3投标文件中报价采用</w:t>
      </w:r>
      <w:r>
        <w:rPr>
          <w:rFonts w:hint="eastAsia" w:ascii="宋体" w:hAnsi="宋体"/>
          <w:color w:val="auto"/>
          <w:sz w:val="24"/>
          <w:szCs w:val="24"/>
          <w:lang w:val="en-US" w:eastAsia="zh-CN"/>
        </w:rPr>
        <w:t>%</w:t>
      </w:r>
      <w:r>
        <w:rPr>
          <w:rFonts w:hint="eastAsia" w:ascii="宋体" w:hAnsi="宋体"/>
          <w:color w:val="auto"/>
          <w:sz w:val="24"/>
          <w:szCs w:val="24"/>
        </w:rPr>
        <w:t>表示</w:t>
      </w:r>
      <w:r>
        <w:rPr>
          <w:rFonts w:hint="eastAsia" w:ascii="宋体" w:hAnsi="宋体"/>
          <w:color w:val="auto"/>
          <w:sz w:val="24"/>
          <w:szCs w:val="24"/>
          <w:lang w:eastAsia="zh-CN"/>
        </w:rPr>
        <w:t>，</w:t>
      </w:r>
      <w:r>
        <w:rPr>
          <w:rFonts w:hint="eastAsia" w:ascii="宋体" w:hAnsi="宋体"/>
          <w:color w:val="auto"/>
          <w:sz w:val="24"/>
          <w:szCs w:val="24"/>
          <w:lang w:val="en-US" w:eastAsia="zh-CN"/>
        </w:rPr>
        <w:t>结算时以人民币进行结算</w:t>
      </w:r>
      <w:r>
        <w:rPr>
          <w:rFonts w:hint="eastAsia" w:ascii="宋体" w:hAnsi="宋体"/>
          <w:color w:val="auto"/>
          <w:sz w:val="24"/>
          <w:szCs w:val="24"/>
        </w:rPr>
        <w:t>。</w:t>
      </w:r>
    </w:p>
    <w:p w14:paraId="2AF9161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3.3  投标有效期</w:t>
      </w:r>
    </w:p>
    <w:p w14:paraId="30D1288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3.3.1 在供应商须知前附表规定的投标有效期内，供应商不得要求撤销或修改其投标文件。</w:t>
      </w:r>
    </w:p>
    <w:p w14:paraId="630D8BE7">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3.3.2 出现特殊情况需要延长投标有效期的，采购人以书面形式通知所有供应商延长投标有效期。供应商同意延长的，应相应延长其投标保证金的有效期，但不得要求或被允许修改或撤销其投标文件；供应商拒绝延长的，其投标失效。</w:t>
      </w:r>
    </w:p>
    <w:p w14:paraId="19BCFF3A">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3.4  投标保证金</w:t>
      </w:r>
    </w:p>
    <w:p w14:paraId="0298138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按照《河南省财政厅关于优化政府采购营商环境有关问题的通知》（豫财购[2019]4号文）的要求本项目不再收取投标保证金。</w:t>
      </w:r>
    </w:p>
    <w:p w14:paraId="1F3242D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3.5 备选投标方案</w:t>
      </w:r>
    </w:p>
    <w:p w14:paraId="663B044D">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除供应商须知前附表另有规定外，供应商不得递交备选投标方案。</w:t>
      </w:r>
    </w:p>
    <w:p w14:paraId="0120F8C9">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3.6 投标文件编制要求</w:t>
      </w:r>
    </w:p>
    <w:p w14:paraId="68F4DF5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3.5.1 投标文件应按“投标文件格式”进行编写，如有必要，可以增加附页，作为投标文件的组成部分。其中，投标函在满足招标文件实质性要求的基础上，可以提出比招标文件要求更有利于采购人的承诺。</w:t>
      </w:r>
    </w:p>
    <w:p w14:paraId="15288F15">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3.5.2 投标文件应当对招标文件有关</w:t>
      </w:r>
      <w:r>
        <w:rPr>
          <w:rFonts w:hint="eastAsia" w:ascii="宋体" w:hAnsi="宋体"/>
          <w:color w:val="auto"/>
          <w:sz w:val="24"/>
          <w:szCs w:val="24"/>
          <w:lang w:eastAsia="zh-CN"/>
        </w:rPr>
        <w:t>供货期</w:t>
      </w:r>
      <w:r>
        <w:rPr>
          <w:rFonts w:hint="eastAsia" w:ascii="宋体" w:hAnsi="宋体"/>
          <w:color w:val="auto"/>
          <w:sz w:val="24"/>
          <w:szCs w:val="24"/>
        </w:rPr>
        <w:t>、投标有效期、质量要求、</w:t>
      </w:r>
      <w:r>
        <w:rPr>
          <w:rFonts w:hint="eastAsia" w:ascii="宋体" w:hAnsi="宋体"/>
          <w:color w:val="auto"/>
          <w:sz w:val="24"/>
          <w:szCs w:val="24"/>
          <w:lang w:eastAsia="zh-CN"/>
        </w:rPr>
        <w:t>采购内容</w:t>
      </w:r>
      <w:r>
        <w:rPr>
          <w:rFonts w:hint="eastAsia" w:ascii="宋体" w:hAnsi="宋体"/>
          <w:color w:val="auto"/>
          <w:sz w:val="24"/>
          <w:szCs w:val="24"/>
        </w:rPr>
        <w:t>等实质性内容作出响应。</w:t>
      </w:r>
    </w:p>
    <w:p w14:paraId="5005D758">
      <w:pPr>
        <w:pageBreakBefore w:val="0"/>
        <w:wordWrap/>
        <w:overflowPunct/>
        <w:bidi w:val="0"/>
        <w:spacing w:line="360" w:lineRule="auto"/>
        <w:ind w:firstLine="482" w:firstLineChars="200"/>
        <w:rPr>
          <w:rFonts w:ascii="宋体" w:hAnsi="宋体"/>
          <w:b/>
          <w:color w:val="auto"/>
          <w:sz w:val="24"/>
          <w:szCs w:val="24"/>
        </w:rPr>
      </w:pPr>
      <w:bookmarkStart w:id="25" w:name="_Toc214173884"/>
      <w:bookmarkStart w:id="26" w:name="_Toc452907934"/>
      <w:r>
        <w:rPr>
          <w:rFonts w:hint="eastAsia" w:ascii="宋体" w:hAnsi="宋体"/>
          <w:b/>
          <w:color w:val="auto"/>
          <w:sz w:val="24"/>
          <w:szCs w:val="24"/>
        </w:rPr>
        <w:t>3.7 投标文件的签署</w:t>
      </w:r>
    </w:p>
    <w:bookmarkEnd w:id="25"/>
    <w:bookmarkEnd w:id="26"/>
    <w:p w14:paraId="0B232616">
      <w:pPr>
        <w:pageBreakBefore w:val="0"/>
        <w:wordWrap/>
        <w:overflowPunct/>
        <w:bidi w:val="0"/>
        <w:spacing w:line="360" w:lineRule="auto"/>
        <w:ind w:firstLine="360" w:firstLineChars="150"/>
        <w:rPr>
          <w:rFonts w:ascii="宋体" w:hAnsi="宋体"/>
          <w:color w:val="auto"/>
          <w:sz w:val="24"/>
          <w:szCs w:val="24"/>
        </w:rPr>
      </w:pPr>
      <w:bookmarkStart w:id="27" w:name="_Toc14807"/>
      <w:bookmarkStart w:id="28" w:name="_Toc184635074"/>
      <w:bookmarkStart w:id="29" w:name="_Toc29312"/>
      <w:bookmarkStart w:id="30" w:name="_Toc11024"/>
      <w:bookmarkStart w:id="31" w:name="_Toc452907939"/>
      <w:bookmarkStart w:id="32" w:name="_Toc452708898"/>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）电子投标文件必须上传电子评标系统</w:t>
      </w:r>
      <w:r>
        <w:rPr>
          <w:rFonts w:hint="eastAsia" w:ascii="宋体" w:hAnsi="宋体" w:cs="仿宋_GB2312"/>
          <w:b/>
          <w:color w:val="auto"/>
          <w:sz w:val="24"/>
          <w:szCs w:val="24"/>
        </w:rPr>
        <w:t>。</w:t>
      </w:r>
    </w:p>
    <w:p w14:paraId="5E78C8AC">
      <w:pPr>
        <w:pageBreakBefore w:val="0"/>
        <w:wordWrap/>
        <w:overflowPunct/>
        <w:bidi w:val="0"/>
        <w:spacing w:line="360" w:lineRule="auto"/>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）电子投标文件由供应商</w:t>
      </w:r>
      <w:r>
        <w:rPr>
          <w:rFonts w:hint="eastAsia" w:ascii="宋体" w:hAnsi="宋体"/>
          <w:color w:val="000000" w:themeColor="text1"/>
          <w:sz w:val="24"/>
          <w:szCs w:val="24"/>
          <w14:textFill>
            <w14:solidFill>
              <w14:schemeClr w14:val="tx1"/>
            </w14:solidFill>
          </w14:textFill>
        </w:rPr>
        <w:t>的法定代表人</w:t>
      </w:r>
      <w:r>
        <w:rPr>
          <w:rFonts w:hint="eastAsia" w:ascii="宋体" w:hAnsi="宋体"/>
          <w:color w:val="000000" w:themeColor="text1"/>
          <w:sz w:val="24"/>
          <w:szCs w:val="24"/>
          <w:highlight w:val="none"/>
          <w14:textFill>
            <w14:solidFill>
              <w14:schemeClr w14:val="tx1"/>
            </w14:solidFill>
          </w14:textFill>
        </w:rPr>
        <w:t>签字或盖章</w:t>
      </w:r>
      <w:r>
        <w:rPr>
          <w:rFonts w:hint="eastAsia" w:ascii="宋体" w:hAnsi="宋体"/>
          <w:color w:val="000000" w:themeColor="text1"/>
          <w:sz w:val="24"/>
          <w:szCs w:val="24"/>
          <w14:textFill>
            <w14:solidFill>
              <w14:schemeClr w14:val="tx1"/>
            </w14:solidFill>
          </w14:textFill>
        </w:rPr>
        <w:t>。</w:t>
      </w:r>
    </w:p>
    <w:p w14:paraId="5AB74E8B">
      <w:pPr>
        <w:pageBreakBefore w:val="0"/>
        <w:wordWrap/>
        <w:overflowPunct/>
        <w:bidi w:val="0"/>
        <w:spacing w:line="360" w:lineRule="auto"/>
        <w:ind w:firstLine="482" w:firstLineChars="200"/>
        <w:outlineLvl w:val="1"/>
        <w:rPr>
          <w:rFonts w:ascii="宋体" w:hAnsi="宋体"/>
          <w:b/>
          <w:color w:val="auto"/>
          <w:sz w:val="24"/>
          <w:szCs w:val="24"/>
        </w:rPr>
      </w:pPr>
      <w:bookmarkStart w:id="33" w:name="_Toc18393"/>
      <w:r>
        <w:rPr>
          <w:rFonts w:hint="eastAsia" w:ascii="宋体" w:hAnsi="宋体"/>
          <w:b/>
          <w:color w:val="auto"/>
          <w:sz w:val="24"/>
          <w:szCs w:val="24"/>
        </w:rPr>
        <w:t>4．投标</w:t>
      </w:r>
      <w:bookmarkEnd w:id="27"/>
      <w:bookmarkEnd w:id="28"/>
      <w:bookmarkEnd w:id="29"/>
      <w:bookmarkEnd w:id="30"/>
      <w:bookmarkEnd w:id="33"/>
    </w:p>
    <w:p w14:paraId="454CFF1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4.1电子投标文件的递交</w:t>
      </w:r>
    </w:p>
    <w:p w14:paraId="35E2F1F8">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4.1.1 供应商应在规定的投标截止时间前递交投标文件。</w:t>
      </w:r>
    </w:p>
    <w:p w14:paraId="5E697E0D">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4.1.2 供应商递交投标文件的地点：见供应商须知前附表。</w:t>
      </w:r>
    </w:p>
    <w:p w14:paraId="10159317">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4.1.3 逾期送达的或者未送达指定地点的投标文件，采购人不予受理。</w:t>
      </w:r>
    </w:p>
    <w:p w14:paraId="26B88F15">
      <w:pPr>
        <w:pageBreakBefore w:val="0"/>
        <w:wordWrap/>
        <w:overflowPunct/>
        <w:bidi w:val="0"/>
        <w:spacing w:line="360" w:lineRule="auto"/>
        <w:ind w:firstLine="482" w:firstLineChars="200"/>
        <w:outlineLvl w:val="1"/>
        <w:rPr>
          <w:rFonts w:ascii="宋体" w:hAnsi="宋体"/>
          <w:b/>
          <w:color w:val="auto"/>
          <w:sz w:val="24"/>
          <w:szCs w:val="24"/>
        </w:rPr>
      </w:pPr>
      <w:bookmarkStart w:id="34" w:name="_Toc184635075"/>
      <w:bookmarkStart w:id="35" w:name="_Toc12074"/>
      <w:bookmarkStart w:id="36" w:name="_Toc31268"/>
      <w:bookmarkStart w:id="37" w:name="_Toc12860"/>
      <w:bookmarkStart w:id="38" w:name="_Toc1848"/>
      <w:r>
        <w:rPr>
          <w:rFonts w:hint="eastAsia" w:ascii="宋体" w:hAnsi="宋体"/>
          <w:b/>
          <w:color w:val="auto"/>
          <w:sz w:val="24"/>
          <w:szCs w:val="24"/>
        </w:rPr>
        <w:t>5．开标</w:t>
      </w:r>
      <w:bookmarkEnd w:id="34"/>
      <w:bookmarkEnd w:id="35"/>
      <w:bookmarkEnd w:id="36"/>
      <w:bookmarkEnd w:id="37"/>
      <w:bookmarkEnd w:id="38"/>
    </w:p>
    <w:p w14:paraId="1155D52D">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5.1 开标时间和地点</w:t>
      </w:r>
    </w:p>
    <w:p w14:paraId="24DFC9D6">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采购代理机构在投标供应商须知前附表中规定的时间和地点组织公开开标。</w:t>
      </w:r>
    </w:p>
    <w:p w14:paraId="384EC9D8">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5.2 开标程序</w:t>
      </w:r>
    </w:p>
    <w:p w14:paraId="41A238A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主持人按下列程序进行开标：</w:t>
      </w:r>
    </w:p>
    <w:p w14:paraId="07649965">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（1）宣布开标纪律；</w:t>
      </w:r>
    </w:p>
    <w:p w14:paraId="395D5DA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（2）宣布参加开标会议的人员名单；</w:t>
      </w:r>
    </w:p>
    <w:p w14:paraId="4DDFB99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（3）供应商通过电子招标投标交易平台对已递交的电子投标文件进行解密；</w:t>
      </w:r>
    </w:p>
    <w:p w14:paraId="1ADEFC5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（4）唱标；</w:t>
      </w:r>
    </w:p>
    <w:p w14:paraId="778286F0">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（5）开标结束。</w:t>
      </w:r>
    </w:p>
    <w:p w14:paraId="657FAB6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注：开标过程予以记录，存档备查。</w:t>
      </w:r>
    </w:p>
    <w:p w14:paraId="6DDEB4BA">
      <w:pPr>
        <w:pageBreakBefore w:val="0"/>
        <w:wordWrap/>
        <w:overflowPunct/>
        <w:bidi w:val="0"/>
        <w:spacing w:line="360" w:lineRule="auto"/>
        <w:ind w:firstLine="482" w:firstLineChars="200"/>
        <w:rPr>
          <w:rFonts w:ascii="宋体" w:hAnsi="宋体"/>
          <w:b/>
          <w:color w:val="auto"/>
          <w:sz w:val="24"/>
          <w:szCs w:val="24"/>
        </w:rPr>
      </w:pPr>
      <w:bookmarkStart w:id="39" w:name="_Toc27649"/>
      <w:bookmarkStart w:id="40" w:name="_Toc24359"/>
      <w:bookmarkStart w:id="41" w:name="_Toc184635076"/>
      <w:bookmarkStart w:id="42" w:name="_Toc24220"/>
      <w:r>
        <w:rPr>
          <w:rFonts w:hint="eastAsia" w:ascii="宋体" w:hAnsi="宋体"/>
          <w:b/>
          <w:color w:val="auto"/>
          <w:sz w:val="24"/>
          <w:szCs w:val="24"/>
        </w:rPr>
        <w:t>5.3资格审查工作</w:t>
      </w:r>
    </w:p>
    <w:p w14:paraId="13C8338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5.3.1开标结束后，由采购人对各投标供应商资格进行审查。合格投标供应商不足3家的，不得评标。</w:t>
      </w:r>
    </w:p>
    <w:p w14:paraId="026D10D2">
      <w:pPr>
        <w:pageBreakBefore w:val="0"/>
        <w:wordWrap/>
        <w:overflowPunct/>
        <w:bidi w:val="0"/>
        <w:spacing w:line="360" w:lineRule="auto"/>
        <w:ind w:firstLine="482" w:firstLineChars="200"/>
        <w:outlineLvl w:val="1"/>
        <w:rPr>
          <w:rFonts w:ascii="宋体" w:hAnsi="宋体"/>
          <w:b/>
          <w:color w:val="auto"/>
          <w:sz w:val="24"/>
          <w:szCs w:val="24"/>
        </w:rPr>
      </w:pPr>
      <w:bookmarkStart w:id="43" w:name="_Toc1033"/>
      <w:r>
        <w:rPr>
          <w:rFonts w:hint="eastAsia" w:ascii="宋体" w:hAnsi="宋体"/>
          <w:b/>
          <w:color w:val="auto"/>
          <w:sz w:val="24"/>
          <w:szCs w:val="24"/>
        </w:rPr>
        <w:t>6．评标</w:t>
      </w:r>
      <w:bookmarkEnd w:id="39"/>
      <w:bookmarkEnd w:id="40"/>
      <w:bookmarkEnd w:id="41"/>
      <w:bookmarkEnd w:id="42"/>
      <w:bookmarkEnd w:id="43"/>
    </w:p>
    <w:p w14:paraId="2D2AEECE">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6.1 评标委员会</w:t>
      </w:r>
    </w:p>
    <w:p w14:paraId="63181640">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6.1.1评标由采购人依法组建的评标委员会负责。评标委员会由采购人或其委托的招标代理机构熟悉相关业务的代表，以及有关技术、经济等方面的专家组成。评标委员会成员人数以及技术、经济等方面专家的确定方式见供应商须知前附表。</w:t>
      </w:r>
    </w:p>
    <w:p w14:paraId="2E1A75AF">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6.1.2 评标委员会成员有下列情形之一的，应当回避：</w:t>
      </w:r>
    </w:p>
    <w:p w14:paraId="48218BA5">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（1）供应商或供应商的主要负责人的近亲属；</w:t>
      </w:r>
    </w:p>
    <w:p w14:paraId="49F7274F">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（2）项目主管部门或者行政监督部门的人员：</w:t>
      </w:r>
    </w:p>
    <w:p w14:paraId="29ABF0E5">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（3）与供应商有经济利益关系，可能影响对投标公正评审的；</w:t>
      </w:r>
    </w:p>
    <w:p w14:paraId="444549F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（4）曾因在招标、评标以及其他与招标投标有关活动中从事违法行为而受过行政处罚或刑事处罚；</w:t>
      </w:r>
    </w:p>
    <w:p w14:paraId="3132B111">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（5）与供应商有其他利害关系。</w:t>
      </w:r>
    </w:p>
    <w:p w14:paraId="00BF9F17">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6.2 评标原则</w:t>
      </w:r>
    </w:p>
    <w:p w14:paraId="5246D486">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评标活动遵循公平、公正、科学和择优的原则。</w:t>
      </w:r>
    </w:p>
    <w:p w14:paraId="0254081A">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6.3 评标</w:t>
      </w:r>
    </w:p>
    <w:p w14:paraId="6CC7903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1.评标委员会按照第三章“评标办法”规定的方法、评审因素、标准和程序对投标文件进行评审。第三章“评标办法”没有规定的方法、评审因素和标准，不作为评标依据。</w:t>
      </w:r>
    </w:p>
    <w:p w14:paraId="3EF41507">
      <w:pPr>
        <w:pageBreakBefore w:val="0"/>
        <w:wordWrap/>
        <w:overflowPunct/>
        <w:bidi w:val="0"/>
        <w:spacing w:line="360" w:lineRule="auto"/>
        <w:ind w:firstLine="482" w:firstLineChars="200"/>
        <w:outlineLvl w:val="1"/>
        <w:rPr>
          <w:rFonts w:ascii="宋体" w:hAnsi="宋体"/>
          <w:b/>
          <w:color w:val="auto"/>
          <w:sz w:val="24"/>
          <w:szCs w:val="24"/>
        </w:rPr>
      </w:pPr>
      <w:bookmarkStart w:id="44" w:name="_Toc184635077"/>
      <w:bookmarkStart w:id="45" w:name="_Toc5958"/>
      <w:bookmarkStart w:id="46" w:name="_Toc13482"/>
      <w:bookmarkStart w:id="47" w:name="_Toc30599"/>
      <w:bookmarkStart w:id="48" w:name="_Toc836"/>
      <w:r>
        <w:rPr>
          <w:rFonts w:hint="eastAsia" w:ascii="宋体" w:hAnsi="宋体"/>
          <w:b/>
          <w:color w:val="auto"/>
          <w:sz w:val="24"/>
          <w:szCs w:val="24"/>
        </w:rPr>
        <w:t>7．合同授予</w:t>
      </w:r>
      <w:bookmarkEnd w:id="44"/>
      <w:bookmarkEnd w:id="45"/>
      <w:bookmarkEnd w:id="46"/>
      <w:bookmarkEnd w:id="47"/>
      <w:bookmarkEnd w:id="48"/>
    </w:p>
    <w:p w14:paraId="34D77AF2">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7.1 定标方式</w:t>
      </w:r>
    </w:p>
    <w:p w14:paraId="499461BE">
      <w:pPr>
        <w:pageBreakBefore w:val="0"/>
        <w:wordWrap/>
        <w:overflowPunct/>
        <w:bidi w:val="0"/>
        <w:spacing w:line="360" w:lineRule="auto"/>
        <w:ind w:firstLine="480" w:firstLineChars="200"/>
        <w:rPr>
          <w:rFonts w:ascii="宋体" w:hAnsi="宋体"/>
          <w:color w:val="auto"/>
          <w:sz w:val="24"/>
          <w:szCs w:val="24"/>
        </w:rPr>
      </w:pPr>
      <w:r>
        <w:rPr>
          <w:rFonts w:ascii="宋体" w:hAnsi="宋体"/>
          <w:color w:val="auto"/>
          <w:sz w:val="24"/>
          <w:szCs w:val="24"/>
        </w:rPr>
        <w:t>本次招标的评标方法采用综合评分法，评标工作将严格按照招标文件的要求和条件，对投标文件进行评审，评审分为</w:t>
      </w:r>
      <w:r>
        <w:rPr>
          <w:rFonts w:hint="eastAsia" w:ascii="宋体" w:hAnsi="宋体"/>
          <w:color w:val="auto"/>
          <w:sz w:val="24"/>
          <w:szCs w:val="24"/>
        </w:rPr>
        <w:t>初步评审</w:t>
      </w:r>
      <w:r>
        <w:rPr>
          <w:rFonts w:ascii="宋体" w:hAnsi="宋体"/>
          <w:color w:val="auto"/>
          <w:sz w:val="24"/>
          <w:szCs w:val="24"/>
        </w:rPr>
        <w:t>、</w:t>
      </w:r>
      <w:r>
        <w:rPr>
          <w:rFonts w:hint="eastAsia" w:ascii="宋体" w:hAnsi="宋体"/>
          <w:color w:val="auto"/>
          <w:sz w:val="24"/>
          <w:szCs w:val="24"/>
        </w:rPr>
        <w:t>详细</w:t>
      </w:r>
      <w:r>
        <w:rPr>
          <w:rFonts w:ascii="宋体" w:hAnsi="宋体"/>
          <w:color w:val="auto"/>
          <w:sz w:val="24"/>
          <w:szCs w:val="24"/>
        </w:rPr>
        <w:t>评审两部分。通过评审，根据评审得分</w:t>
      </w:r>
      <w:r>
        <w:rPr>
          <w:rFonts w:hint="eastAsia" w:ascii="宋体" w:hAnsi="宋体"/>
          <w:color w:val="auto"/>
          <w:sz w:val="24"/>
          <w:szCs w:val="24"/>
        </w:rPr>
        <w:t>由</w:t>
      </w:r>
      <w:r>
        <w:rPr>
          <w:rFonts w:ascii="宋体" w:hAnsi="宋体"/>
          <w:color w:val="auto"/>
          <w:sz w:val="24"/>
          <w:szCs w:val="24"/>
        </w:rPr>
        <w:t>高</w:t>
      </w:r>
      <w:r>
        <w:rPr>
          <w:rFonts w:hint="eastAsia" w:ascii="宋体" w:hAnsi="宋体"/>
          <w:color w:val="auto"/>
          <w:sz w:val="24"/>
          <w:szCs w:val="24"/>
        </w:rPr>
        <w:t>到</w:t>
      </w:r>
      <w:r>
        <w:rPr>
          <w:rFonts w:ascii="宋体" w:hAnsi="宋体"/>
          <w:color w:val="auto"/>
          <w:sz w:val="24"/>
          <w:szCs w:val="24"/>
        </w:rPr>
        <w:t>低向采购人推荐</w:t>
      </w:r>
      <w:r>
        <w:rPr>
          <w:rFonts w:hint="eastAsia" w:ascii="宋体" w:hAnsi="宋体"/>
          <w:color w:val="auto"/>
          <w:sz w:val="24"/>
          <w:szCs w:val="24"/>
        </w:rPr>
        <w:t>3</w:t>
      </w:r>
      <w:r>
        <w:rPr>
          <w:rFonts w:ascii="宋体" w:hAnsi="宋体"/>
          <w:color w:val="auto"/>
          <w:sz w:val="24"/>
          <w:szCs w:val="24"/>
        </w:rPr>
        <w:t>名中标候选人</w:t>
      </w:r>
      <w:r>
        <w:rPr>
          <w:rFonts w:hint="eastAsia" w:ascii="宋体" w:hAnsi="宋体"/>
          <w:color w:val="auto"/>
          <w:sz w:val="24"/>
          <w:szCs w:val="24"/>
        </w:rPr>
        <w:t>。</w:t>
      </w:r>
    </w:p>
    <w:p w14:paraId="5C7688F8">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7.2 中标通知</w:t>
      </w:r>
    </w:p>
    <w:p w14:paraId="4A716EDB">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在供应商须知前附表第3.3.1款规定的投标有效期内，采购人以书面形式向中标人发出中标通知书，同时将中标结果通知未中标的供应商。</w:t>
      </w:r>
    </w:p>
    <w:p w14:paraId="7CB69C73">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7.3 签订合同</w:t>
      </w:r>
    </w:p>
    <w:p w14:paraId="049CE044">
      <w:pPr>
        <w:pageBreakBefore w:val="0"/>
        <w:wordWrap/>
        <w:overflowPunct/>
        <w:bidi w:val="0"/>
        <w:spacing w:line="360" w:lineRule="auto"/>
        <w:ind w:firstLine="480" w:firstLineChars="200"/>
        <w:rPr>
          <w:rFonts w:ascii="宋体" w:hAnsi="宋体"/>
          <w:color w:val="auto"/>
          <w:sz w:val="24"/>
          <w:szCs w:val="24"/>
        </w:rPr>
      </w:pPr>
      <w:bookmarkStart w:id="49" w:name="_Toc6261"/>
      <w:bookmarkStart w:id="50" w:name="_Toc26252"/>
      <w:bookmarkStart w:id="51" w:name="_Toc30855"/>
      <w:bookmarkStart w:id="52" w:name="_Toc184635078"/>
      <w:r>
        <w:rPr>
          <w:rFonts w:hint="eastAsia" w:ascii="宋体" w:hAnsi="宋体"/>
          <w:color w:val="auto"/>
          <w:sz w:val="24"/>
          <w:szCs w:val="24"/>
        </w:rPr>
        <w:t>7.3.1 采购人和中标人应当在投标有效期内并且在自中标通知书发出之日起</w:t>
      </w:r>
      <w:r>
        <w:rPr>
          <w:rFonts w:hint="eastAsia" w:ascii="宋体" w:hAnsi="宋体"/>
          <w:color w:val="auto"/>
          <w:sz w:val="24"/>
          <w:szCs w:val="24"/>
          <w:lang w:val="en-US" w:eastAsia="zh-CN"/>
        </w:rPr>
        <w:t>2个工作日</w:t>
      </w:r>
      <w:r>
        <w:rPr>
          <w:rFonts w:hint="eastAsia" w:ascii="宋体" w:hAnsi="宋体"/>
          <w:color w:val="auto"/>
          <w:sz w:val="24"/>
          <w:szCs w:val="24"/>
        </w:rPr>
        <w:t>内，根据招标文件和中标人的投标文件订立书面合同。采购人发出中标结果通知，中标人无正当理由不领取中标通知书及拒签合同的，采购人取消其中标资格；给采购人造成的损失，</w:t>
      </w:r>
      <w:r>
        <w:rPr>
          <w:rFonts w:hint="eastAsia" w:ascii="宋体" w:hAnsi="宋体"/>
          <w:color w:val="auto"/>
          <w:sz w:val="24"/>
          <w:szCs w:val="24"/>
          <w:lang w:val="en-US" w:eastAsia="zh-CN"/>
        </w:rPr>
        <w:t>由</w:t>
      </w:r>
      <w:r>
        <w:rPr>
          <w:rFonts w:hint="eastAsia" w:ascii="宋体" w:hAnsi="宋体"/>
          <w:color w:val="auto"/>
          <w:sz w:val="24"/>
          <w:szCs w:val="24"/>
        </w:rPr>
        <w:t>中标人予以赔偿。</w:t>
      </w:r>
    </w:p>
    <w:p w14:paraId="1154472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7.3.2 发出中标通知书后，采购人无正当理由拒签合同的给中标人造成损失，应当赔偿损失。</w:t>
      </w:r>
    </w:p>
    <w:p w14:paraId="693B6535">
      <w:pPr>
        <w:pageBreakBefore w:val="0"/>
        <w:wordWrap/>
        <w:overflowPunct/>
        <w:bidi w:val="0"/>
        <w:spacing w:line="360" w:lineRule="auto"/>
        <w:ind w:firstLine="482" w:firstLineChars="200"/>
        <w:outlineLvl w:val="1"/>
        <w:rPr>
          <w:rFonts w:ascii="宋体" w:hAnsi="宋体"/>
          <w:b/>
          <w:color w:val="auto"/>
          <w:sz w:val="24"/>
          <w:szCs w:val="24"/>
        </w:rPr>
      </w:pPr>
      <w:bookmarkStart w:id="53" w:name="_Toc26104"/>
      <w:r>
        <w:rPr>
          <w:rFonts w:hint="eastAsia" w:ascii="宋体" w:hAnsi="宋体"/>
          <w:b/>
          <w:color w:val="auto"/>
          <w:sz w:val="24"/>
          <w:szCs w:val="24"/>
        </w:rPr>
        <w:t>8．重新招标和不再招标</w:t>
      </w:r>
      <w:bookmarkEnd w:id="49"/>
      <w:bookmarkEnd w:id="50"/>
      <w:bookmarkEnd w:id="51"/>
      <w:bookmarkEnd w:id="52"/>
      <w:bookmarkEnd w:id="53"/>
    </w:p>
    <w:p w14:paraId="26A6969F">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8.1 重新招标</w:t>
      </w:r>
    </w:p>
    <w:p w14:paraId="5FED089C">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有下列情形之一的，采购人将重新招标：</w:t>
      </w:r>
    </w:p>
    <w:p w14:paraId="2370210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(l）投标截止时间止，供应商少于3个的；</w:t>
      </w:r>
    </w:p>
    <w:p w14:paraId="1FAF4FD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(2）评标委员会评审后否决所有投标的；</w:t>
      </w:r>
    </w:p>
    <w:p w14:paraId="239716EB">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8.2 不再招标</w:t>
      </w:r>
    </w:p>
    <w:p w14:paraId="7656FC1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重新招标后供应商仍少于3个或者所有投标被否决的，属于必须审批或核准的工程建设项目，经原审批或核准部门批准后不再进行招标。</w:t>
      </w:r>
    </w:p>
    <w:p w14:paraId="02125D45">
      <w:pPr>
        <w:pageBreakBefore w:val="0"/>
        <w:wordWrap/>
        <w:overflowPunct/>
        <w:bidi w:val="0"/>
        <w:spacing w:line="360" w:lineRule="auto"/>
        <w:ind w:firstLine="482" w:firstLineChars="200"/>
        <w:outlineLvl w:val="1"/>
        <w:rPr>
          <w:rFonts w:ascii="宋体" w:hAnsi="宋体"/>
          <w:b/>
          <w:color w:val="auto"/>
          <w:sz w:val="24"/>
          <w:szCs w:val="24"/>
        </w:rPr>
      </w:pPr>
      <w:bookmarkStart w:id="54" w:name="_Toc3560"/>
      <w:bookmarkStart w:id="55" w:name="_Toc184635079"/>
      <w:bookmarkStart w:id="56" w:name="_Toc15032"/>
      <w:bookmarkStart w:id="57" w:name="_Toc26367"/>
      <w:bookmarkStart w:id="58" w:name="_Toc21929"/>
      <w:r>
        <w:rPr>
          <w:rFonts w:hint="eastAsia" w:ascii="宋体" w:hAnsi="宋体"/>
          <w:b/>
          <w:color w:val="auto"/>
          <w:sz w:val="24"/>
          <w:szCs w:val="24"/>
        </w:rPr>
        <w:t>9．纪律和监督</w:t>
      </w:r>
      <w:bookmarkEnd w:id="54"/>
      <w:bookmarkEnd w:id="55"/>
      <w:bookmarkEnd w:id="56"/>
      <w:bookmarkEnd w:id="57"/>
      <w:bookmarkEnd w:id="58"/>
    </w:p>
    <w:p w14:paraId="1590E23B">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9.1 对采购人的纪律要求</w:t>
      </w:r>
    </w:p>
    <w:p w14:paraId="7243B3D2">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采购人不得泄露招标投标活动中应当保密的情况和资料，不得与供应商串通损害国家利益、社会公共利益或者他人合法权益。</w:t>
      </w:r>
    </w:p>
    <w:p w14:paraId="2A566D96">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9.2 对供应商的纪律要求</w:t>
      </w:r>
    </w:p>
    <w:p w14:paraId="50B6D55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1123D0F0">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9.3 对评标委员会成员的纪律要求</w:t>
      </w:r>
    </w:p>
    <w:p w14:paraId="2613489A">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CD50560">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9.4 对与评标活动有关的工作人员的纪律要求</w:t>
      </w:r>
    </w:p>
    <w:p w14:paraId="233C0E04">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1F276A2">
      <w:pPr>
        <w:pageBreakBefore w:val="0"/>
        <w:wordWrap/>
        <w:overflowPunct/>
        <w:bidi w:val="0"/>
        <w:spacing w:line="360" w:lineRule="auto"/>
        <w:ind w:firstLine="482" w:firstLineChars="200"/>
        <w:rPr>
          <w:rFonts w:ascii="宋体" w:hAnsi="宋体"/>
          <w:b/>
          <w:color w:val="auto"/>
          <w:sz w:val="24"/>
          <w:szCs w:val="24"/>
        </w:rPr>
      </w:pPr>
      <w:r>
        <w:rPr>
          <w:rFonts w:hint="eastAsia" w:ascii="宋体" w:hAnsi="宋体"/>
          <w:b/>
          <w:color w:val="auto"/>
          <w:sz w:val="24"/>
          <w:szCs w:val="24"/>
        </w:rPr>
        <w:t>9.5 投诉</w:t>
      </w:r>
    </w:p>
    <w:p w14:paraId="5DBE141E">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供应商和其他利害关系人认为本次招标活动违反法律、法规和规章规定的，有权向有关行政监督部门投诉。</w:t>
      </w:r>
    </w:p>
    <w:p w14:paraId="6016B8FC">
      <w:pPr>
        <w:pageBreakBefore w:val="0"/>
        <w:wordWrap/>
        <w:overflowPunct/>
        <w:bidi w:val="0"/>
        <w:spacing w:line="360" w:lineRule="auto"/>
        <w:ind w:firstLine="482" w:firstLineChars="200"/>
        <w:outlineLvl w:val="1"/>
        <w:rPr>
          <w:rFonts w:ascii="宋体" w:hAnsi="宋体"/>
          <w:b/>
          <w:color w:val="auto"/>
          <w:sz w:val="24"/>
          <w:szCs w:val="24"/>
        </w:rPr>
      </w:pPr>
      <w:bookmarkStart w:id="59" w:name="_Toc21556"/>
      <w:r>
        <w:rPr>
          <w:rFonts w:hint="eastAsia" w:ascii="宋体" w:hAnsi="宋体"/>
          <w:b/>
          <w:color w:val="auto"/>
          <w:sz w:val="24"/>
          <w:szCs w:val="24"/>
        </w:rPr>
        <w:t>10.支付办法</w:t>
      </w:r>
      <w:bookmarkEnd w:id="31"/>
      <w:bookmarkEnd w:id="32"/>
      <w:bookmarkEnd w:id="59"/>
    </w:p>
    <w:p w14:paraId="62C37F93">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以采购人和中标人签订合同为准。</w:t>
      </w:r>
    </w:p>
    <w:p w14:paraId="0102170D">
      <w:pPr>
        <w:pageBreakBefore w:val="0"/>
        <w:wordWrap/>
        <w:overflowPunct/>
        <w:bidi w:val="0"/>
        <w:spacing w:line="360" w:lineRule="auto"/>
        <w:ind w:firstLine="482" w:firstLineChars="200"/>
        <w:outlineLvl w:val="1"/>
        <w:rPr>
          <w:rFonts w:ascii="宋体" w:hAnsi="宋体"/>
          <w:b/>
          <w:color w:val="auto"/>
          <w:sz w:val="24"/>
          <w:szCs w:val="24"/>
        </w:rPr>
      </w:pPr>
      <w:bookmarkStart w:id="60" w:name="_Toc184635080"/>
      <w:bookmarkStart w:id="61" w:name="_Toc466566702"/>
      <w:bookmarkStart w:id="62" w:name="_Toc9834"/>
      <w:bookmarkStart w:id="63" w:name="_Toc466566791"/>
      <w:r>
        <w:rPr>
          <w:rFonts w:hint="eastAsia" w:ascii="宋体" w:hAnsi="宋体"/>
          <w:b/>
          <w:color w:val="auto"/>
          <w:sz w:val="24"/>
          <w:szCs w:val="24"/>
        </w:rPr>
        <w:t>11、需要补充的其他内容</w:t>
      </w:r>
      <w:bookmarkEnd w:id="60"/>
      <w:bookmarkEnd w:id="61"/>
      <w:bookmarkEnd w:id="62"/>
      <w:bookmarkEnd w:id="63"/>
    </w:p>
    <w:p w14:paraId="483B0FBC">
      <w:pPr>
        <w:pageBreakBefore w:val="0"/>
        <w:wordWrap/>
        <w:overflowPunct/>
        <w:bidi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需要补充的其他内容：见供应商须知前附表。  </w:t>
      </w:r>
      <w:bookmarkStart w:id="64" w:name="_Toc454525914"/>
      <w:bookmarkStart w:id="65" w:name="_Toc452908014"/>
      <w:bookmarkStart w:id="66" w:name="_Toc452907944"/>
    </w:p>
    <w:p w14:paraId="1CD77A1D">
      <w:pPr>
        <w:pStyle w:val="3"/>
        <w:pageBreakBefore w:val="0"/>
        <w:wordWrap/>
        <w:overflowPunct/>
        <w:bidi w:val="0"/>
        <w:spacing w:after="0" w:line="360" w:lineRule="auto"/>
        <w:jc w:val="center"/>
        <w:rPr>
          <w:rFonts w:ascii="宋体" w:hAnsi="宋体"/>
          <w:sz w:val="30"/>
          <w:szCs w:val="30"/>
          <w:highlight w:val="none"/>
        </w:rPr>
      </w:pPr>
      <w:r>
        <w:rPr>
          <w:rFonts w:hint="eastAsia" w:ascii="宋体" w:hAnsi="宋体"/>
          <w:sz w:val="30"/>
          <w:szCs w:val="30"/>
        </w:rPr>
        <w:br w:type="page"/>
      </w:r>
      <w:bookmarkEnd w:id="64"/>
      <w:bookmarkStart w:id="67" w:name="_Toc2500"/>
      <w:bookmarkStart w:id="68" w:name="_Toc25141"/>
      <w:bookmarkStart w:id="69" w:name="_Toc23174"/>
      <w:bookmarkStart w:id="70" w:name="_Toc20033"/>
      <w:bookmarkStart w:id="71" w:name="_Toc5473"/>
      <w:r>
        <w:rPr>
          <w:rFonts w:hint="eastAsia" w:ascii="Times New Roman" w:hAnsi="Times New Roman" w:eastAsia="宋体" w:cs="Times New Roman"/>
          <w:b/>
          <w:bCs/>
          <w:color w:val="000000"/>
          <w:kern w:val="0"/>
          <w:sz w:val="44"/>
          <w:szCs w:val="40"/>
          <w:highlight w:val="none"/>
          <w:u w:color="000000"/>
          <w:lang w:val="en-US" w:eastAsia="zh-CN" w:bidi="ar-SA"/>
        </w:rPr>
        <w:t>第三章  评标办法</w:t>
      </w:r>
      <w:bookmarkEnd w:id="67"/>
      <w:bookmarkEnd w:id="68"/>
    </w:p>
    <w:p w14:paraId="11746F2C">
      <w:pPr>
        <w:pStyle w:val="4"/>
        <w:pageBreakBefore w:val="0"/>
        <w:wordWrap/>
        <w:overflowPunct/>
        <w:bidi w:val="0"/>
        <w:spacing w:line="360" w:lineRule="auto"/>
        <w:jc w:val="center"/>
        <w:outlineLvl w:val="1"/>
        <w:rPr>
          <w:rFonts w:ascii="宋体" w:hAnsi="宋体" w:eastAsia="宋体" w:cs="宋体"/>
          <w:b w:val="0"/>
          <w:bCs/>
          <w:color w:val="auto"/>
          <w:sz w:val="24"/>
          <w:szCs w:val="24"/>
          <w:highlight w:val="none"/>
        </w:rPr>
      </w:pPr>
      <w:bookmarkStart w:id="72" w:name="_Toc957"/>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评标办法前附表</w:t>
      </w:r>
      <w:bookmarkEnd w:id="72"/>
    </w:p>
    <w:tbl>
      <w:tblPr>
        <w:tblStyle w:val="16"/>
        <w:tblW w:w="9885"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17"/>
        <w:gridCol w:w="2011"/>
        <w:gridCol w:w="6317"/>
      </w:tblGrid>
      <w:tr w14:paraId="29E8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dxa"/>
            <w:gridSpan w:val="2"/>
            <w:vAlign w:val="center"/>
          </w:tcPr>
          <w:p w14:paraId="3AD9AD26">
            <w:pPr>
              <w:pageBreakBefore w:val="0"/>
              <w:widowControl w:val="0"/>
              <w:wordWrap/>
              <w:overflowPunct/>
              <w:bidi w:val="0"/>
              <w:snapToGrid w:val="0"/>
              <w:spacing w:before="102" w:after="102" w:line="360" w:lineRule="auto"/>
              <w:jc w:val="center"/>
              <w:textAlignment w:val="auto"/>
              <w:rPr>
                <w:rFonts w:ascii="宋体" w:hAnsi="宋体"/>
                <w:b/>
                <w:bCs/>
                <w:color w:val="auto"/>
                <w:sz w:val="24"/>
                <w:szCs w:val="24"/>
                <w:highlight w:val="none"/>
              </w:rPr>
            </w:pPr>
            <w:r>
              <w:rPr>
                <w:rFonts w:hint="eastAsia" w:ascii="宋体" w:hAnsi="宋体"/>
                <w:b/>
                <w:bCs/>
                <w:color w:val="auto"/>
                <w:sz w:val="24"/>
                <w:szCs w:val="24"/>
                <w:highlight w:val="none"/>
              </w:rPr>
              <w:t>条款号</w:t>
            </w:r>
          </w:p>
        </w:tc>
        <w:tc>
          <w:tcPr>
            <w:tcW w:w="2011" w:type="dxa"/>
            <w:vAlign w:val="center"/>
          </w:tcPr>
          <w:p w14:paraId="4BD44D31">
            <w:pPr>
              <w:pageBreakBefore w:val="0"/>
              <w:widowControl w:val="0"/>
              <w:wordWrap/>
              <w:overflowPunct/>
              <w:bidi w:val="0"/>
              <w:snapToGrid w:val="0"/>
              <w:spacing w:before="102" w:after="102" w:line="360" w:lineRule="auto"/>
              <w:textAlignment w:val="auto"/>
              <w:rPr>
                <w:rFonts w:ascii="宋体" w:hAnsi="宋体"/>
                <w:b/>
                <w:bCs/>
                <w:color w:val="auto"/>
                <w:sz w:val="24"/>
                <w:szCs w:val="24"/>
                <w:highlight w:val="none"/>
              </w:rPr>
            </w:pPr>
            <w:r>
              <w:rPr>
                <w:rFonts w:hint="eastAsia" w:ascii="宋体" w:hAnsi="宋体"/>
                <w:b/>
                <w:bCs/>
                <w:color w:val="auto"/>
                <w:sz w:val="24"/>
                <w:szCs w:val="24"/>
                <w:highlight w:val="none"/>
              </w:rPr>
              <w:t xml:space="preserve"> 评审因素</w:t>
            </w:r>
          </w:p>
        </w:tc>
        <w:tc>
          <w:tcPr>
            <w:tcW w:w="6317" w:type="dxa"/>
            <w:vAlign w:val="center"/>
          </w:tcPr>
          <w:p w14:paraId="2AA22818">
            <w:pPr>
              <w:pageBreakBefore w:val="0"/>
              <w:widowControl w:val="0"/>
              <w:wordWrap/>
              <w:overflowPunct/>
              <w:bidi w:val="0"/>
              <w:snapToGrid w:val="0"/>
              <w:spacing w:before="102" w:after="102" w:line="360" w:lineRule="auto"/>
              <w:jc w:val="center"/>
              <w:textAlignment w:val="auto"/>
              <w:rPr>
                <w:rFonts w:ascii="宋体" w:hAnsi="宋体"/>
                <w:b/>
                <w:bCs/>
                <w:color w:val="auto"/>
                <w:sz w:val="24"/>
                <w:szCs w:val="24"/>
                <w:highlight w:val="none"/>
              </w:rPr>
            </w:pPr>
            <w:r>
              <w:rPr>
                <w:rFonts w:hint="eastAsia" w:ascii="宋体" w:hAnsi="宋体"/>
                <w:b/>
                <w:bCs/>
                <w:color w:val="auto"/>
                <w:sz w:val="24"/>
                <w:szCs w:val="24"/>
                <w:highlight w:val="none"/>
              </w:rPr>
              <w:t>评审标准</w:t>
            </w:r>
          </w:p>
        </w:tc>
      </w:tr>
      <w:tr w14:paraId="16C0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restart"/>
            <w:vAlign w:val="center"/>
          </w:tcPr>
          <w:p w14:paraId="67A50B5B">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2.1.1</w:t>
            </w:r>
          </w:p>
        </w:tc>
        <w:tc>
          <w:tcPr>
            <w:tcW w:w="717" w:type="dxa"/>
            <w:vMerge w:val="restart"/>
            <w:vAlign w:val="center"/>
          </w:tcPr>
          <w:p w14:paraId="41B189E9">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符合性评审标准</w:t>
            </w:r>
          </w:p>
        </w:tc>
        <w:tc>
          <w:tcPr>
            <w:tcW w:w="2011" w:type="dxa"/>
            <w:vAlign w:val="center"/>
          </w:tcPr>
          <w:p w14:paraId="5304800B">
            <w:pPr>
              <w:pageBreakBefore w:val="0"/>
              <w:widowControl w:val="0"/>
              <w:wordWrap/>
              <w:overflowPunct/>
              <w:bidi w:val="0"/>
              <w:spacing w:before="102" w:after="102"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317" w:type="dxa"/>
            <w:vAlign w:val="center"/>
          </w:tcPr>
          <w:p w14:paraId="6EB0FC03">
            <w:pPr>
              <w:pageBreakBefore w:val="0"/>
              <w:widowControl w:val="0"/>
              <w:wordWrap/>
              <w:overflowPunct/>
              <w:bidi w:val="0"/>
              <w:spacing w:before="102" w:after="102"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14:paraId="4218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continue"/>
            <w:vAlign w:val="center"/>
          </w:tcPr>
          <w:p w14:paraId="0251518D">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04B25050">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47BFC87C">
            <w:pPr>
              <w:pageBreakBefore w:val="0"/>
              <w:widowControl w:val="0"/>
              <w:wordWrap/>
              <w:overflowPunct/>
              <w:bidi w:val="0"/>
              <w:spacing w:before="102" w:after="102"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投标文件签署、盖章</w:t>
            </w:r>
          </w:p>
        </w:tc>
        <w:tc>
          <w:tcPr>
            <w:tcW w:w="6317" w:type="dxa"/>
            <w:vAlign w:val="center"/>
          </w:tcPr>
          <w:p w14:paraId="237B0917">
            <w:pPr>
              <w:pageBreakBefore w:val="0"/>
              <w:widowControl w:val="0"/>
              <w:wordWrap/>
              <w:overflowPunct/>
              <w:bidi w:val="0"/>
              <w:spacing w:before="102" w:after="102"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按招标文件要求签署、盖章</w:t>
            </w:r>
          </w:p>
        </w:tc>
      </w:tr>
      <w:tr w14:paraId="2BEC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0" w:type="dxa"/>
            <w:vMerge w:val="continue"/>
            <w:vAlign w:val="center"/>
          </w:tcPr>
          <w:p w14:paraId="43561F09">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59F16EFD">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1E3BCE22">
            <w:pPr>
              <w:pageBreakBefore w:val="0"/>
              <w:widowControl w:val="0"/>
              <w:wordWrap/>
              <w:overflowPunct/>
              <w:bidi w:val="0"/>
              <w:snapToGrid w:val="0"/>
              <w:spacing w:before="102" w:after="102"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报价唯一</w:t>
            </w:r>
          </w:p>
        </w:tc>
        <w:tc>
          <w:tcPr>
            <w:tcW w:w="6317" w:type="dxa"/>
            <w:vAlign w:val="center"/>
          </w:tcPr>
          <w:p w14:paraId="775FA93E">
            <w:pPr>
              <w:pageBreakBefore w:val="0"/>
              <w:widowControl w:val="0"/>
              <w:wordWrap/>
              <w:overflowPunct/>
              <w:bidi w:val="0"/>
              <w:snapToGrid w:val="0"/>
              <w:spacing w:before="102" w:after="102" w:line="360" w:lineRule="auto"/>
              <w:jc w:val="left"/>
              <w:rPr>
                <w:rFonts w:ascii="宋体" w:hAnsi="宋体"/>
                <w:color w:val="auto"/>
                <w:sz w:val="24"/>
                <w:szCs w:val="24"/>
                <w:highlight w:val="none"/>
              </w:rPr>
            </w:pPr>
            <w:r>
              <w:rPr>
                <w:rFonts w:hint="eastAsia" w:ascii="宋体" w:hAnsi="宋体" w:cs="Courier New"/>
                <w:color w:val="auto"/>
                <w:sz w:val="24"/>
                <w:szCs w:val="24"/>
                <w:highlight w:val="none"/>
              </w:rPr>
              <w:t>只能有一个有效报价</w:t>
            </w:r>
          </w:p>
        </w:tc>
      </w:tr>
      <w:tr w14:paraId="2A74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0" w:type="dxa"/>
            <w:vMerge w:val="restart"/>
            <w:vAlign w:val="center"/>
          </w:tcPr>
          <w:p w14:paraId="30CB1394">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2.1.2</w:t>
            </w:r>
          </w:p>
        </w:tc>
        <w:tc>
          <w:tcPr>
            <w:tcW w:w="717" w:type="dxa"/>
            <w:vMerge w:val="restart"/>
            <w:vAlign w:val="center"/>
          </w:tcPr>
          <w:p w14:paraId="79BAE8AF">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资格评审标准</w:t>
            </w:r>
          </w:p>
        </w:tc>
        <w:tc>
          <w:tcPr>
            <w:tcW w:w="2011" w:type="dxa"/>
            <w:vAlign w:val="center"/>
          </w:tcPr>
          <w:p w14:paraId="127D6C33">
            <w:pPr>
              <w:pStyle w:val="21"/>
              <w:pageBreakBefore w:val="0"/>
              <w:widowControl/>
              <w:wordWrap/>
              <w:overflowPunct/>
              <w:bidi w:val="0"/>
              <w:spacing w:line="360" w:lineRule="auto"/>
              <w:jc w:val="center"/>
              <w:rPr>
                <w:rFonts w:hAnsi="宋体"/>
                <w:color w:val="auto"/>
                <w:sz w:val="24"/>
                <w:szCs w:val="24"/>
                <w:highlight w:val="none"/>
                <w:u w:color="000000"/>
              </w:rPr>
            </w:pPr>
            <w:r>
              <w:rPr>
                <w:rFonts w:hint="eastAsia" w:hAnsi="宋体"/>
                <w:color w:val="auto"/>
                <w:sz w:val="24"/>
                <w:szCs w:val="24"/>
                <w:highlight w:val="none"/>
                <w:u w:color="000000"/>
              </w:rPr>
              <w:t>营业执照</w:t>
            </w:r>
          </w:p>
        </w:tc>
        <w:tc>
          <w:tcPr>
            <w:tcW w:w="6317" w:type="dxa"/>
            <w:vAlign w:val="center"/>
          </w:tcPr>
          <w:p w14:paraId="70ACA648">
            <w:pPr>
              <w:pStyle w:val="21"/>
              <w:pageBreakBefore w:val="0"/>
              <w:widowControl/>
              <w:wordWrap/>
              <w:overflowPunct/>
              <w:bidi w:val="0"/>
              <w:spacing w:line="360" w:lineRule="auto"/>
              <w:jc w:val="left"/>
              <w:rPr>
                <w:rFonts w:hAnsi="宋体"/>
                <w:color w:val="auto"/>
                <w:sz w:val="24"/>
                <w:szCs w:val="24"/>
                <w:highlight w:val="none"/>
                <w:u w:color="000000"/>
              </w:rPr>
            </w:pPr>
            <w:r>
              <w:rPr>
                <w:rFonts w:hint="eastAsia" w:hAnsi="宋体"/>
                <w:color w:val="auto"/>
                <w:sz w:val="24"/>
                <w:szCs w:val="24"/>
                <w:highlight w:val="none"/>
                <w:u w:color="000000"/>
              </w:rPr>
              <w:t>供应商须提供合法有效的营业执照；</w:t>
            </w:r>
          </w:p>
        </w:tc>
      </w:tr>
      <w:tr w14:paraId="727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continue"/>
            <w:vAlign w:val="center"/>
          </w:tcPr>
          <w:p w14:paraId="43756C21">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0AC218D7">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533FA454">
            <w:pPr>
              <w:pStyle w:val="8"/>
              <w:pageBreakBefore w:val="0"/>
              <w:wordWrap/>
              <w:overflowPunct/>
              <w:bidi w:val="0"/>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无商业贿赂及无不正当竞争行为的承诺书</w:t>
            </w:r>
          </w:p>
        </w:tc>
        <w:tc>
          <w:tcPr>
            <w:tcW w:w="6317" w:type="dxa"/>
            <w:vAlign w:val="center"/>
          </w:tcPr>
          <w:p w14:paraId="4B901B82">
            <w:pPr>
              <w:pStyle w:val="8"/>
              <w:pageBreakBefore w:val="0"/>
              <w:wordWrap/>
              <w:overflowPunct/>
              <w:bidi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供应商须提供本企业无商业贿赂和不正当竞争行为承诺书；</w:t>
            </w:r>
          </w:p>
        </w:tc>
      </w:tr>
      <w:tr w14:paraId="6E58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continue"/>
            <w:vAlign w:val="center"/>
          </w:tcPr>
          <w:p w14:paraId="1F01F78A">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2982382F">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03B22EC1">
            <w:pPr>
              <w:pStyle w:val="8"/>
              <w:pageBreakBefore w:val="0"/>
              <w:wordWrap/>
              <w:overflowPunct/>
              <w:bidi w:val="0"/>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信用查询</w:t>
            </w:r>
          </w:p>
        </w:tc>
        <w:tc>
          <w:tcPr>
            <w:tcW w:w="6317" w:type="dxa"/>
            <w:vAlign w:val="center"/>
          </w:tcPr>
          <w:p w14:paraId="65B8671F">
            <w:pPr>
              <w:pStyle w:val="8"/>
              <w:pageBreakBefore w:val="0"/>
              <w:wordWrap/>
              <w:overflowPunct/>
              <w:bidi w:val="0"/>
              <w:spacing w:line="360" w:lineRule="auto"/>
              <w:rPr>
                <w:rFonts w:hAnsi="宋体" w:eastAsia="宋体"/>
                <w:color w:val="auto"/>
                <w:kern w:val="0"/>
                <w:sz w:val="24"/>
                <w:szCs w:val="24"/>
                <w:highlight w:val="none"/>
              </w:rPr>
            </w:pPr>
            <w:r>
              <w:rPr>
                <w:rFonts w:hint="eastAsia" w:hAnsi="宋体" w:eastAsia="宋体"/>
                <w:color w:val="auto"/>
                <w:kern w:val="0"/>
                <w:sz w:val="24"/>
                <w:szCs w:val="24"/>
                <w:highlight w:val="none"/>
              </w:rPr>
              <w:t>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tc>
      </w:tr>
      <w:tr w14:paraId="301A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continue"/>
            <w:vAlign w:val="center"/>
          </w:tcPr>
          <w:p w14:paraId="65C605D8">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78DB2F12">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0BA9AC32">
            <w:pPr>
              <w:pStyle w:val="8"/>
              <w:pageBreakBefore w:val="0"/>
              <w:wordWrap/>
              <w:overflowPunct/>
              <w:bidi w:val="0"/>
              <w:spacing w:line="360" w:lineRule="auto"/>
              <w:jc w:val="center"/>
              <w:rPr>
                <w:rFonts w:hint="eastAsia" w:hAnsi="宋体" w:eastAsia="宋体"/>
                <w:color w:val="auto"/>
                <w:sz w:val="24"/>
                <w:szCs w:val="24"/>
                <w:highlight w:val="none"/>
                <w:lang w:eastAsia="zh-CN"/>
              </w:rPr>
            </w:pPr>
            <w:r>
              <w:rPr>
                <w:rFonts w:hint="eastAsia" w:hAnsi="宋体" w:eastAsia="宋体"/>
                <w:color w:val="auto"/>
                <w:sz w:val="24"/>
                <w:szCs w:val="24"/>
                <w:highlight w:val="none"/>
                <w:lang w:val="en-US" w:eastAsia="zh-CN"/>
              </w:rPr>
              <w:t>提供承诺书</w:t>
            </w:r>
          </w:p>
        </w:tc>
        <w:tc>
          <w:tcPr>
            <w:tcW w:w="6317" w:type="dxa"/>
            <w:vAlign w:val="center"/>
          </w:tcPr>
          <w:p w14:paraId="073FA7F3">
            <w:pPr>
              <w:pStyle w:val="8"/>
              <w:pageBreakBefore w:val="0"/>
              <w:wordWrap/>
              <w:overflowPunct/>
              <w:bidi w:val="0"/>
              <w:spacing w:line="360" w:lineRule="auto"/>
              <w:rPr>
                <w:rFonts w:hAnsi="宋体" w:eastAsia="宋体"/>
                <w:color w:val="auto"/>
                <w:kern w:val="0"/>
                <w:sz w:val="24"/>
                <w:szCs w:val="24"/>
                <w:highlight w:val="none"/>
              </w:rPr>
            </w:pPr>
            <w:r>
              <w:rPr>
                <w:rFonts w:hint="eastAsia" w:hAnsi="宋体" w:eastAsia="宋体"/>
                <w:color w:val="auto"/>
                <w:kern w:val="0"/>
                <w:sz w:val="24"/>
                <w:szCs w:val="24"/>
                <w:highlight w:val="none"/>
              </w:rPr>
              <w:t>本项目不接受联合体投标；</w:t>
            </w:r>
          </w:p>
        </w:tc>
      </w:tr>
      <w:tr w14:paraId="7A2B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Merge w:val="restart"/>
            <w:vAlign w:val="center"/>
          </w:tcPr>
          <w:p w14:paraId="0E7A86F4">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2.1.3</w:t>
            </w:r>
          </w:p>
        </w:tc>
        <w:tc>
          <w:tcPr>
            <w:tcW w:w="717" w:type="dxa"/>
            <w:vMerge w:val="restart"/>
            <w:vAlign w:val="center"/>
          </w:tcPr>
          <w:p w14:paraId="0D97F065">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响应性评审标准</w:t>
            </w:r>
          </w:p>
        </w:tc>
        <w:tc>
          <w:tcPr>
            <w:tcW w:w="2011" w:type="dxa"/>
            <w:vAlign w:val="center"/>
          </w:tcPr>
          <w:p w14:paraId="18EE1D8C">
            <w:pPr>
              <w:pStyle w:val="21"/>
              <w:pageBreakBefore w:val="0"/>
              <w:widowControl/>
              <w:wordWrap/>
              <w:overflowPunct/>
              <w:bidi w:val="0"/>
              <w:spacing w:before="120" w:beforeLines="50" w:after="120" w:afterLines="50" w:line="360" w:lineRule="auto"/>
              <w:jc w:val="center"/>
              <w:rPr>
                <w:rFonts w:hAnsi="宋体"/>
                <w:color w:val="auto"/>
                <w:kern w:val="2"/>
                <w:sz w:val="24"/>
                <w:szCs w:val="24"/>
                <w:highlight w:val="none"/>
              </w:rPr>
            </w:pPr>
            <w:r>
              <w:rPr>
                <w:rFonts w:hint="eastAsia" w:hAnsi="宋体"/>
                <w:color w:val="auto"/>
                <w:sz w:val="24"/>
                <w:szCs w:val="24"/>
                <w:highlight w:val="none"/>
              </w:rPr>
              <w:t>供货期</w:t>
            </w:r>
          </w:p>
        </w:tc>
        <w:tc>
          <w:tcPr>
            <w:tcW w:w="6317" w:type="dxa"/>
            <w:vAlign w:val="center"/>
          </w:tcPr>
          <w:p w14:paraId="01F048F3">
            <w:pPr>
              <w:pageBreakBefore w:val="0"/>
              <w:wordWrap/>
              <w:overflowPunct/>
              <w:bidi w:val="0"/>
              <w:snapToGrid w:val="0"/>
              <w:spacing w:before="120" w:beforeLines="50" w:after="120" w:afterLines="50" w:line="360" w:lineRule="auto"/>
              <w:jc w:val="left"/>
              <w:rPr>
                <w:rFonts w:ascii="宋体" w:hAnsi="宋体"/>
                <w:color w:val="auto"/>
                <w:kern w:val="2"/>
                <w:sz w:val="24"/>
                <w:szCs w:val="24"/>
                <w:highlight w:val="none"/>
              </w:rPr>
            </w:pPr>
            <w:r>
              <w:rPr>
                <w:rFonts w:hint="eastAsia" w:ascii="宋体" w:hAnsi="宋体"/>
                <w:color w:val="auto"/>
                <w:sz w:val="24"/>
                <w:szCs w:val="24"/>
                <w:highlight w:val="none"/>
              </w:rPr>
              <w:t>合同签订起一年内</w:t>
            </w:r>
          </w:p>
        </w:tc>
      </w:tr>
      <w:tr w14:paraId="44C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0" w:type="dxa"/>
            <w:vMerge w:val="continue"/>
            <w:vAlign w:val="center"/>
          </w:tcPr>
          <w:p w14:paraId="6617B1B4">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36093702">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1A9021CB">
            <w:pPr>
              <w:pStyle w:val="21"/>
              <w:pageBreakBefore w:val="0"/>
              <w:widowControl/>
              <w:wordWrap/>
              <w:overflowPunct/>
              <w:bidi w:val="0"/>
              <w:spacing w:before="120" w:beforeLines="50" w:after="120" w:afterLines="50" w:line="360" w:lineRule="auto"/>
              <w:jc w:val="center"/>
              <w:rPr>
                <w:rFonts w:hAnsi="宋体"/>
                <w:color w:val="auto"/>
                <w:sz w:val="24"/>
                <w:szCs w:val="24"/>
                <w:highlight w:val="none"/>
              </w:rPr>
            </w:pPr>
            <w:r>
              <w:rPr>
                <w:rFonts w:hint="eastAsia" w:ascii="宋体" w:hAnsi="宋体"/>
                <w:color w:val="auto"/>
                <w:sz w:val="24"/>
                <w:szCs w:val="24"/>
                <w:highlight w:val="none"/>
              </w:rPr>
              <w:t>交货地点</w:t>
            </w:r>
          </w:p>
        </w:tc>
        <w:tc>
          <w:tcPr>
            <w:tcW w:w="6317" w:type="dxa"/>
            <w:vAlign w:val="center"/>
          </w:tcPr>
          <w:p w14:paraId="6962C3EB">
            <w:pPr>
              <w:pageBreakBefore w:val="0"/>
              <w:wordWrap/>
              <w:overflowPunct/>
              <w:bidi w:val="0"/>
              <w:spacing w:line="360" w:lineRule="auto"/>
              <w:jc w:val="left"/>
              <w:outlineLvl w:val="9"/>
              <w:rPr>
                <w:rFonts w:hAnsi="宋体"/>
                <w:color w:val="auto"/>
                <w:sz w:val="24"/>
                <w:szCs w:val="24"/>
                <w:highlight w:val="none"/>
              </w:rPr>
            </w:pPr>
            <w:r>
              <w:rPr>
                <w:rFonts w:hint="eastAsia" w:ascii="宋体" w:hAnsi="宋体"/>
                <w:color w:val="auto"/>
                <w:sz w:val="24"/>
                <w:szCs w:val="24"/>
                <w:highlight w:val="none"/>
              </w:rPr>
              <w:t>采购人指定地点</w:t>
            </w:r>
          </w:p>
        </w:tc>
      </w:tr>
      <w:tr w14:paraId="415D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0" w:type="dxa"/>
            <w:vMerge w:val="continue"/>
            <w:vAlign w:val="center"/>
          </w:tcPr>
          <w:p w14:paraId="759F1C0A">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7403932E">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48324D1D">
            <w:pPr>
              <w:pStyle w:val="21"/>
              <w:pageBreakBefore w:val="0"/>
              <w:widowControl/>
              <w:wordWrap/>
              <w:overflowPunct/>
              <w:bidi w:val="0"/>
              <w:spacing w:before="120" w:beforeLines="50" w:after="120" w:afterLines="50" w:line="360" w:lineRule="auto"/>
              <w:jc w:val="center"/>
              <w:rPr>
                <w:rFonts w:hAnsi="宋体"/>
                <w:color w:val="auto"/>
                <w:sz w:val="24"/>
                <w:szCs w:val="24"/>
                <w:highlight w:val="none"/>
              </w:rPr>
            </w:pPr>
            <w:r>
              <w:rPr>
                <w:rFonts w:hAnsi="宋体"/>
                <w:color w:val="auto"/>
                <w:sz w:val="24"/>
                <w:szCs w:val="24"/>
                <w:highlight w:val="none"/>
              </w:rPr>
              <w:t>质量要求</w:t>
            </w:r>
          </w:p>
        </w:tc>
        <w:tc>
          <w:tcPr>
            <w:tcW w:w="6317" w:type="dxa"/>
            <w:vAlign w:val="center"/>
          </w:tcPr>
          <w:p w14:paraId="4CC51FAF">
            <w:pPr>
              <w:pageBreakBefore w:val="0"/>
              <w:wordWrap/>
              <w:overflowPunct/>
              <w:bidi w:val="0"/>
              <w:snapToGrid w:val="0"/>
              <w:spacing w:before="120" w:beforeLines="50" w:after="120" w:afterLines="50" w:line="360" w:lineRule="auto"/>
              <w:jc w:val="left"/>
              <w:rPr>
                <w:rFonts w:ascii="宋体" w:hAnsi="宋体"/>
                <w:color w:val="auto"/>
                <w:sz w:val="24"/>
                <w:szCs w:val="24"/>
                <w:highlight w:val="none"/>
              </w:rPr>
            </w:pPr>
            <w:r>
              <w:rPr>
                <w:rFonts w:hint="eastAsia" w:ascii="宋体" w:hAnsi="宋体"/>
                <w:color w:val="auto"/>
                <w:sz w:val="24"/>
                <w:szCs w:val="24"/>
                <w:highlight w:val="none"/>
              </w:rPr>
              <w:t>符合国家相关质量标准规定，满足使用要求</w:t>
            </w:r>
          </w:p>
        </w:tc>
      </w:tr>
      <w:tr w14:paraId="5EC4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0" w:type="dxa"/>
            <w:vMerge w:val="continue"/>
            <w:vAlign w:val="center"/>
          </w:tcPr>
          <w:p w14:paraId="15FDFE85">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bookmarkStart w:id="73" w:name="_Toc7131"/>
          </w:p>
        </w:tc>
        <w:tc>
          <w:tcPr>
            <w:tcW w:w="717" w:type="dxa"/>
            <w:vMerge w:val="continue"/>
            <w:vAlign w:val="center"/>
          </w:tcPr>
          <w:p w14:paraId="10E330AF">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2EEE04D5">
            <w:pPr>
              <w:pStyle w:val="21"/>
              <w:pageBreakBefore w:val="0"/>
              <w:widowControl/>
              <w:wordWrap/>
              <w:overflowPunct/>
              <w:bidi w:val="0"/>
              <w:spacing w:before="120" w:beforeLines="50" w:after="120" w:afterLines="50" w:line="360" w:lineRule="auto"/>
              <w:jc w:val="center"/>
              <w:rPr>
                <w:rFonts w:hAnsi="宋体"/>
                <w:color w:val="auto"/>
                <w:sz w:val="24"/>
                <w:szCs w:val="24"/>
                <w:highlight w:val="none"/>
              </w:rPr>
            </w:pPr>
            <w:r>
              <w:rPr>
                <w:rFonts w:hint="eastAsia" w:ascii="宋体" w:hAnsi="宋体"/>
                <w:color w:val="auto"/>
                <w:sz w:val="24"/>
                <w:szCs w:val="24"/>
              </w:rPr>
              <w:t>投标有效期</w:t>
            </w:r>
          </w:p>
        </w:tc>
        <w:tc>
          <w:tcPr>
            <w:tcW w:w="6317" w:type="dxa"/>
            <w:vAlign w:val="center"/>
          </w:tcPr>
          <w:p w14:paraId="5DD0F552">
            <w:pPr>
              <w:pageBreakBefore w:val="0"/>
              <w:wordWrap/>
              <w:overflowPunct/>
              <w:bidi w:val="0"/>
              <w:snapToGrid w:val="0"/>
              <w:spacing w:before="120" w:beforeLines="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投标截止之日起90日历天</w:t>
            </w:r>
          </w:p>
        </w:tc>
      </w:tr>
      <w:tr w14:paraId="4A30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840" w:type="dxa"/>
            <w:vMerge w:val="continue"/>
            <w:vAlign w:val="center"/>
          </w:tcPr>
          <w:p w14:paraId="49D2B7E5">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717" w:type="dxa"/>
            <w:vMerge w:val="continue"/>
            <w:vAlign w:val="center"/>
          </w:tcPr>
          <w:p w14:paraId="13850054">
            <w:pPr>
              <w:pageBreakBefore w:val="0"/>
              <w:widowControl w:val="0"/>
              <w:wordWrap/>
              <w:overflowPunct/>
              <w:bidi w:val="0"/>
              <w:snapToGrid w:val="0"/>
              <w:spacing w:before="102" w:after="102" w:line="360" w:lineRule="auto"/>
              <w:textAlignment w:val="auto"/>
              <w:rPr>
                <w:rFonts w:ascii="宋体" w:hAnsi="宋体"/>
                <w:color w:val="auto"/>
                <w:sz w:val="24"/>
                <w:szCs w:val="24"/>
                <w:highlight w:val="none"/>
              </w:rPr>
            </w:pPr>
          </w:p>
        </w:tc>
        <w:tc>
          <w:tcPr>
            <w:tcW w:w="2011" w:type="dxa"/>
            <w:vAlign w:val="center"/>
          </w:tcPr>
          <w:p w14:paraId="6ED2CD7E">
            <w:pPr>
              <w:pStyle w:val="21"/>
              <w:pageBreakBefore w:val="0"/>
              <w:widowControl/>
              <w:wordWrap/>
              <w:overflowPunct/>
              <w:bidi w:val="0"/>
              <w:spacing w:before="120" w:beforeLines="50" w:after="120" w:afterLines="50" w:line="360" w:lineRule="auto"/>
              <w:jc w:val="center"/>
              <w:rPr>
                <w:rFonts w:hAnsi="宋体"/>
                <w:color w:val="auto"/>
                <w:sz w:val="24"/>
                <w:szCs w:val="24"/>
                <w:highlight w:val="none"/>
              </w:rPr>
            </w:pPr>
            <w:r>
              <w:rPr>
                <w:rFonts w:hint="eastAsia" w:ascii="宋体" w:hAnsi="宋体"/>
                <w:color w:val="auto"/>
                <w:sz w:val="24"/>
                <w:szCs w:val="24"/>
                <w:lang w:eastAsia="zh-CN"/>
              </w:rPr>
              <w:t>采购内容</w:t>
            </w:r>
          </w:p>
        </w:tc>
        <w:tc>
          <w:tcPr>
            <w:tcW w:w="6317" w:type="dxa"/>
            <w:vAlign w:val="center"/>
          </w:tcPr>
          <w:p w14:paraId="5DBDE2E4">
            <w:pPr>
              <w:pageBreakBefore w:val="0"/>
              <w:wordWrap/>
              <w:overflowPunct/>
              <w:bidi w:val="0"/>
              <w:snapToGrid w:val="0"/>
              <w:spacing w:before="120" w:beforeLines="50" w:after="120" w:afterLines="50" w:line="36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本项目为三门峡市市区城市道路2025年度实施日常养护、专项维护、应急抢险等养护维修任务时采购沥青混凝土维修材料进行的公开招标，拟采用单价招标。本采购项目拟以三门峡市定额站发布的2025年当期《三门峡工程标准造价信息》中沥青混凝土的价格为基准价，各供应商以下浮百分比</w:t>
            </w:r>
            <w:r>
              <w:rPr>
                <w:rFonts w:hint="eastAsia" w:ascii="宋体" w:hAnsi="宋体"/>
                <w:color w:val="auto"/>
                <w:sz w:val="24"/>
                <w:szCs w:val="24"/>
                <w:lang w:val="en-US" w:eastAsia="zh-CN"/>
              </w:rPr>
              <w:t>后的数值</w:t>
            </w:r>
            <w:r>
              <w:rPr>
                <w:rFonts w:hint="eastAsia" w:ascii="宋体" w:hAnsi="宋体"/>
                <w:color w:val="auto"/>
                <w:sz w:val="24"/>
                <w:szCs w:val="24"/>
                <w:highlight w:val="none"/>
              </w:rPr>
              <w:t>进行报价。采购完成后，结算时按照供料时间当期信息价，下浮百分比</w:t>
            </w:r>
            <w:r>
              <w:rPr>
                <w:rFonts w:hint="eastAsia" w:ascii="宋体" w:hAnsi="宋体"/>
                <w:color w:val="auto"/>
                <w:sz w:val="24"/>
                <w:szCs w:val="24"/>
                <w:lang w:val="en-US" w:eastAsia="zh-CN"/>
              </w:rPr>
              <w:t>后的数值</w:t>
            </w:r>
            <w:r>
              <w:rPr>
                <w:rFonts w:hint="eastAsia" w:ascii="宋体" w:hAnsi="宋体"/>
                <w:color w:val="auto"/>
                <w:sz w:val="24"/>
                <w:szCs w:val="24"/>
                <w:highlight w:val="none"/>
              </w:rPr>
              <w:t>进行结算</w:t>
            </w:r>
            <w:r>
              <w:rPr>
                <w:rFonts w:hint="eastAsia" w:ascii="宋体" w:hAnsi="宋体"/>
                <w:color w:val="auto"/>
                <w:sz w:val="24"/>
                <w:szCs w:val="24"/>
                <w:highlight w:val="none"/>
                <w:lang w:eastAsia="zh-CN"/>
              </w:rPr>
              <w:t>。</w:t>
            </w:r>
          </w:p>
        </w:tc>
      </w:tr>
    </w:tbl>
    <w:p w14:paraId="3760F44E">
      <w:pPr>
        <w:pStyle w:val="4"/>
        <w:pageBreakBefore w:val="0"/>
        <w:numPr>
          <w:ilvl w:val="0"/>
          <w:numId w:val="0"/>
        </w:numPr>
        <w:wordWrap/>
        <w:overflowPunct/>
        <w:bidi w:val="0"/>
        <w:spacing w:line="360" w:lineRule="auto"/>
        <w:jc w:val="center"/>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rPr>
        <w:t>评分标准分项明细表</w:t>
      </w:r>
      <w:bookmarkEnd w:id="73"/>
    </w:p>
    <w:tbl>
      <w:tblPr>
        <w:tblStyle w:val="1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01"/>
        <w:gridCol w:w="7037"/>
        <w:gridCol w:w="1025"/>
      </w:tblGrid>
      <w:tr w14:paraId="50F1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1D8934D9">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901" w:type="dxa"/>
            <w:shd w:val="clear" w:color="auto" w:fill="auto"/>
            <w:vAlign w:val="center"/>
          </w:tcPr>
          <w:p w14:paraId="33BD1A83">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分类</w:t>
            </w:r>
          </w:p>
        </w:tc>
        <w:tc>
          <w:tcPr>
            <w:tcW w:w="7037" w:type="dxa"/>
            <w:shd w:val="clear" w:color="auto" w:fill="auto"/>
            <w:vAlign w:val="center"/>
          </w:tcPr>
          <w:p w14:paraId="78AED779">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评分标准</w:t>
            </w:r>
          </w:p>
        </w:tc>
        <w:tc>
          <w:tcPr>
            <w:tcW w:w="1025" w:type="dxa"/>
            <w:shd w:val="clear" w:color="auto" w:fill="auto"/>
            <w:vAlign w:val="center"/>
          </w:tcPr>
          <w:p w14:paraId="668D2C86">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分数</w:t>
            </w:r>
          </w:p>
        </w:tc>
      </w:tr>
      <w:tr w14:paraId="02B0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4"/>
            <w:shd w:val="clear" w:color="auto" w:fill="auto"/>
            <w:vAlign w:val="center"/>
          </w:tcPr>
          <w:p w14:paraId="159B5248">
            <w:pPr>
              <w:pageBreakBefore w:val="0"/>
              <w:wordWrap/>
              <w:overflowPunct/>
              <w:bidi w:val="0"/>
              <w:spacing w:line="360" w:lineRule="auto"/>
              <w:jc w:val="center"/>
              <w:rPr>
                <w:rFonts w:ascii="宋体" w:hAnsi="宋体"/>
                <w:sz w:val="24"/>
                <w:szCs w:val="24"/>
                <w:highlight w:val="none"/>
              </w:rPr>
            </w:pPr>
            <w:r>
              <w:rPr>
                <w:rFonts w:hint="eastAsia" w:ascii="宋体" w:hAnsi="宋体"/>
                <w:b/>
                <w:bCs/>
                <w:sz w:val="24"/>
                <w:szCs w:val="24"/>
                <w:highlight w:val="none"/>
              </w:rPr>
              <w:t>报价部分（3</w:t>
            </w:r>
            <w:r>
              <w:rPr>
                <w:rFonts w:ascii="宋体" w:hAnsi="宋体"/>
                <w:b/>
                <w:bCs/>
                <w:sz w:val="24"/>
                <w:szCs w:val="24"/>
                <w:highlight w:val="none"/>
              </w:rPr>
              <w:t>0</w:t>
            </w:r>
            <w:r>
              <w:rPr>
                <w:rFonts w:hint="eastAsia" w:ascii="宋体" w:hAnsi="宋体"/>
                <w:b/>
                <w:bCs/>
                <w:sz w:val="24"/>
                <w:szCs w:val="24"/>
                <w:highlight w:val="none"/>
              </w:rPr>
              <w:t>分）</w:t>
            </w:r>
          </w:p>
        </w:tc>
      </w:tr>
      <w:tr w14:paraId="603A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3FDB61F9">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1</w:t>
            </w:r>
          </w:p>
        </w:tc>
        <w:tc>
          <w:tcPr>
            <w:tcW w:w="901" w:type="dxa"/>
            <w:shd w:val="clear" w:color="auto" w:fill="auto"/>
            <w:vAlign w:val="center"/>
          </w:tcPr>
          <w:p w14:paraId="65AF0B33">
            <w:pPr>
              <w:pageBreakBefore w:val="0"/>
              <w:wordWrap/>
              <w:overflowPunct/>
              <w:bidi w:val="0"/>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报价部分</w:t>
            </w:r>
          </w:p>
        </w:tc>
        <w:tc>
          <w:tcPr>
            <w:tcW w:w="7037" w:type="dxa"/>
            <w:shd w:val="clear" w:color="auto" w:fill="auto"/>
            <w:vAlign w:val="center"/>
          </w:tcPr>
          <w:p w14:paraId="474C2386">
            <w:pPr>
              <w:keepNext w:val="0"/>
              <w:keepLines w:val="0"/>
              <w:pageBreakBefore w:val="0"/>
              <w:kinsoku/>
              <w:wordWrap/>
              <w:overflowPunct/>
              <w:topLinePunct w:val="0"/>
              <w:bidi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采用低价优先法计算，即满足招标文件要求且投标价格最低的投标报价为评标基准价，其价格分为满分。其他供应商的价格分按照下列公式计算（保留两位小数）。投标报价得分=（评标基准价／投标报价）*30%*100</w:t>
            </w:r>
          </w:p>
          <w:p w14:paraId="35A1F602">
            <w:pPr>
              <w:keepNext w:val="0"/>
              <w:keepLines w:val="0"/>
              <w:pageBreakBefore w:val="0"/>
              <w:kinsoku/>
              <w:wordWrap/>
              <w:overflowPunct/>
              <w:topLinePunct w:val="0"/>
              <w:bidi w:val="0"/>
              <w:spacing w:line="44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4D2B0A71">
            <w:pPr>
              <w:pStyle w:val="22"/>
              <w:keepNext w:val="0"/>
              <w:keepLines w:val="0"/>
              <w:pageBreakBefore w:val="0"/>
              <w:numPr>
                <w:ilvl w:val="0"/>
                <w:numId w:val="0"/>
              </w:numPr>
              <w:tabs>
                <w:tab w:val="left" w:pos="343"/>
              </w:tabs>
              <w:kinsoku/>
              <w:wordWrap/>
              <w:overflowPunct/>
              <w:topLinePunct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为了促进中小企业发展，根据《三门峡市财政局关于进一步加大政府采购支持中小企业发展有关事项的通知》（三财购﹝2022﹞9号）的规定，对小微企业产品的价格给予10%～20%的扣除，本项目小微企业按20%扣除，用扣除后的价格参加评审。中小企业划型标准见《关于印发中小企业划型标准规定的通知》（工信部联企业[2011]300号）。</w:t>
            </w:r>
          </w:p>
          <w:p w14:paraId="734668E8">
            <w:pPr>
              <w:pStyle w:val="22"/>
              <w:keepNext w:val="0"/>
              <w:keepLines w:val="0"/>
              <w:pageBreakBefore w:val="0"/>
              <w:numPr>
                <w:ilvl w:val="0"/>
                <w:numId w:val="0"/>
              </w:numPr>
              <w:tabs>
                <w:tab w:val="left" w:pos="343"/>
              </w:tabs>
              <w:kinsoku/>
              <w:wordWrap/>
              <w:overflowPunct/>
              <w:topLinePunct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为了发挥政府采购促进残疾人就业的作用，进一步保障残疾人权益，根据财库【2017】141号的规定，给予残疾人福利性单位（供应商为残疾人福利性单位且提供的所有投标产品均为残疾人福利性单位产品）价格20%的扣除，用扣除后的价格参与评审，残疾人福利性单位投标报价=残疾人福利性单位报价×（1-20%）。</w:t>
            </w:r>
          </w:p>
          <w:p w14:paraId="4BC6A8E0">
            <w:pPr>
              <w:pStyle w:val="22"/>
              <w:keepNext w:val="0"/>
              <w:keepLines w:val="0"/>
              <w:pageBreakBefore w:val="0"/>
              <w:numPr>
                <w:ilvl w:val="0"/>
                <w:numId w:val="0"/>
              </w:numPr>
              <w:tabs>
                <w:tab w:val="left" w:pos="343"/>
              </w:tabs>
              <w:kinsoku/>
              <w:wordWrap/>
              <w:overflowPunct/>
              <w:topLinePunct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（3）根据《关于政府采购支持监狱企业发展有关问题的通知》（财库[2014]68 号）文件规定，监狱企业视同小型、微型企业，评审中享受价格20%扣除，用扣除后的价格参与评审，监狱企业产品投标报价=监狱企业产品报价×（1-20%）。（须提供由省级以上监狱管理局、戒毒管理局（含新疆生产建设兵团）出具的属于监狱企业的证明文件）。</w:t>
            </w:r>
          </w:p>
          <w:p w14:paraId="1173EEA1">
            <w:pPr>
              <w:pStyle w:val="22"/>
              <w:keepNext w:val="0"/>
              <w:keepLines w:val="0"/>
              <w:pageBreakBefore w:val="0"/>
              <w:numPr>
                <w:ilvl w:val="0"/>
                <w:numId w:val="0"/>
              </w:numPr>
              <w:tabs>
                <w:tab w:val="left" w:pos="343"/>
              </w:tabs>
              <w:kinsoku/>
              <w:wordWrap/>
              <w:overflowPunct/>
              <w:topLinePunct w:val="0"/>
              <w:bidi w:val="0"/>
              <w:adjustRightInd w:val="0"/>
              <w:snapToGrid w:val="0"/>
              <w:spacing w:line="44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（4）监狱企业、残疾人福利性单位属于小型、微型企业的，不重复享受政策，仅给予一次价格20%的扣除。</w:t>
            </w:r>
          </w:p>
          <w:p w14:paraId="131B3F02">
            <w:pPr>
              <w:pageBreakBefore w:val="0"/>
              <w:wordWrap/>
              <w:overflowPunct/>
              <w:bidi w:val="0"/>
              <w:spacing w:line="360" w:lineRule="auto"/>
              <w:rPr>
                <w:rFonts w:ascii="宋体" w:hAnsi="宋体"/>
                <w:sz w:val="24"/>
                <w:szCs w:val="24"/>
                <w:highlight w:val="none"/>
              </w:rPr>
            </w:pPr>
            <w:r>
              <w:rPr>
                <w:rFonts w:hint="eastAsia" w:ascii="宋体" w:hAnsi="宋体" w:eastAsia="宋体" w:cs="宋体"/>
                <w:kern w:val="0"/>
                <w:sz w:val="24"/>
                <w:szCs w:val="24"/>
                <w:highlight w:val="none"/>
                <w:lang w:val="en-US" w:eastAsia="zh-CN"/>
              </w:rPr>
              <w:t>（5）评标委员会认为供应商的报价明显低于其他通过实质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tc>
        <w:tc>
          <w:tcPr>
            <w:tcW w:w="1025" w:type="dxa"/>
            <w:shd w:val="clear" w:color="auto" w:fill="auto"/>
            <w:vAlign w:val="center"/>
          </w:tcPr>
          <w:p w14:paraId="7B53FDBF">
            <w:pPr>
              <w:pageBreakBefore w:val="0"/>
              <w:wordWrap/>
              <w:overflowPunct/>
              <w:bidi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rPr>
              <w:t>30</w:t>
            </w:r>
            <w:r>
              <w:rPr>
                <w:rFonts w:hint="eastAsia" w:ascii="宋体" w:hAnsi="宋体"/>
                <w:sz w:val="24"/>
                <w:szCs w:val="24"/>
                <w:highlight w:val="none"/>
                <w:lang w:val="en-US" w:eastAsia="zh-CN"/>
              </w:rPr>
              <w:t>分</w:t>
            </w:r>
          </w:p>
        </w:tc>
      </w:tr>
      <w:tr w14:paraId="3F96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4"/>
            <w:shd w:val="clear" w:color="auto" w:fill="auto"/>
            <w:vAlign w:val="center"/>
          </w:tcPr>
          <w:p w14:paraId="3E077817">
            <w:pPr>
              <w:pageBreakBefore w:val="0"/>
              <w:wordWrap/>
              <w:overflowPunct/>
              <w:bidi w:val="0"/>
              <w:spacing w:line="360" w:lineRule="auto"/>
              <w:jc w:val="center"/>
              <w:rPr>
                <w:rFonts w:ascii="宋体" w:hAnsi="宋体"/>
                <w:b/>
                <w:bCs/>
                <w:sz w:val="24"/>
                <w:szCs w:val="24"/>
                <w:highlight w:val="none"/>
              </w:rPr>
            </w:pPr>
            <w:r>
              <w:rPr>
                <w:rFonts w:hint="eastAsia" w:ascii="宋体" w:hAnsi="宋体"/>
                <w:b/>
                <w:bCs/>
                <w:sz w:val="24"/>
                <w:szCs w:val="24"/>
                <w:highlight w:val="none"/>
              </w:rPr>
              <w:t>商务部分（</w:t>
            </w:r>
            <w:r>
              <w:rPr>
                <w:rFonts w:hint="eastAsia" w:ascii="宋体" w:hAnsi="宋体"/>
                <w:b/>
                <w:bCs/>
                <w:sz w:val="24"/>
                <w:szCs w:val="24"/>
                <w:highlight w:val="none"/>
                <w:lang w:val="en-US" w:eastAsia="zh-CN"/>
              </w:rPr>
              <w:t>20</w:t>
            </w:r>
            <w:r>
              <w:rPr>
                <w:rFonts w:hint="eastAsia" w:ascii="宋体" w:hAnsi="宋体"/>
                <w:b/>
                <w:bCs/>
                <w:sz w:val="24"/>
                <w:szCs w:val="24"/>
                <w:highlight w:val="none"/>
              </w:rPr>
              <w:t>分）</w:t>
            </w:r>
          </w:p>
        </w:tc>
      </w:tr>
      <w:tr w14:paraId="6A8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18CBDA36">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2</w:t>
            </w:r>
          </w:p>
        </w:tc>
        <w:tc>
          <w:tcPr>
            <w:tcW w:w="901" w:type="dxa"/>
            <w:shd w:val="clear" w:color="auto" w:fill="auto"/>
            <w:vAlign w:val="center"/>
          </w:tcPr>
          <w:p w14:paraId="5F7F130C">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类似项目业绩</w:t>
            </w:r>
          </w:p>
        </w:tc>
        <w:tc>
          <w:tcPr>
            <w:tcW w:w="7037" w:type="dxa"/>
            <w:shd w:val="clear" w:color="auto" w:fill="auto"/>
            <w:vAlign w:val="center"/>
          </w:tcPr>
          <w:p w14:paraId="725969D2">
            <w:pPr>
              <w:keepNext w:val="0"/>
              <w:keepLines w:val="0"/>
              <w:pageBreakBefore w:val="0"/>
              <w:numPr>
                <w:ilvl w:val="0"/>
                <w:numId w:val="0"/>
              </w:numPr>
              <w:shd w:val="clear" w:color="auto" w:fill="auto"/>
              <w:tabs>
                <w:tab w:val="left" w:pos="720"/>
              </w:tabs>
              <w:kinsoku/>
              <w:wordWrap/>
              <w:overflowPunct/>
              <w:topLinePunct w:val="0"/>
              <w:bidi w:val="0"/>
              <w:spacing w:line="440" w:lineRule="exact"/>
              <w:ind w:leftChars="0"/>
              <w:jc w:val="left"/>
              <w:textAlignment w:val="auto"/>
              <w:rPr>
                <w:rFonts w:hint="eastAsia" w:ascii="宋体" w:hAnsi="宋体" w:eastAsia="宋体" w:cs="宋体"/>
                <w:bCs/>
                <w:color w:val="000000"/>
                <w:sz w:val="24"/>
                <w:szCs w:val="24"/>
                <w:highlight w:val="none"/>
                <w:shd w:val="clear" w:color="auto" w:fill="auto"/>
              </w:rPr>
            </w:pPr>
            <w:r>
              <w:rPr>
                <w:rFonts w:hint="eastAsia" w:ascii="宋体" w:hAnsi="宋体" w:eastAsia="宋体" w:cs="宋体"/>
                <w:bCs/>
                <w:color w:val="000000"/>
                <w:sz w:val="24"/>
                <w:szCs w:val="24"/>
                <w:highlight w:val="none"/>
                <w:shd w:val="clear" w:color="auto" w:fill="auto"/>
                <w:lang w:val="en-US" w:eastAsia="zh-CN"/>
              </w:rPr>
              <w:t>供应商须提供</w:t>
            </w:r>
            <w:r>
              <w:rPr>
                <w:rFonts w:hint="eastAsia" w:ascii="宋体" w:hAnsi="宋体" w:eastAsia="宋体" w:cs="宋体"/>
                <w:bCs/>
                <w:color w:val="000000"/>
                <w:sz w:val="24"/>
                <w:szCs w:val="24"/>
                <w:highlight w:val="none"/>
                <w:shd w:val="clear" w:color="auto" w:fill="auto"/>
              </w:rPr>
              <w:t>202</w:t>
            </w:r>
            <w:r>
              <w:rPr>
                <w:rFonts w:hint="eastAsia" w:ascii="宋体" w:hAnsi="宋体" w:eastAsia="宋体" w:cs="宋体"/>
                <w:bCs/>
                <w:color w:val="000000"/>
                <w:sz w:val="24"/>
                <w:szCs w:val="24"/>
                <w:highlight w:val="none"/>
                <w:shd w:val="clear" w:color="auto" w:fill="auto"/>
                <w:lang w:val="en-US" w:eastAsia="zh-CN"/>
              </w:rPr>
              <w:t>2</w:t>
            </w:r>
            <w:r>
              <w:rPr>
                <w:rFonts w:hint="eastAsia" w:ascii="宋体" w:hAnsi="宋体" w:eastAsia="宋体" w:cs="宋体"/>
                <w:bCs/>
                <w:color w:val="000000"/>
                <w:sz w:val="24"/>
                <w:szCs w:val="24"/>
                <w:highlight w:val="none"/>
                <w:shd w:val="clear" w:color="auto" w:fill="auto"/>
              </w:rPr>
              <w:t>年1月1日（合同签订时间）以来</w:t>
            </w:r>
            <w:r>
              <w:rPr>
                <w:rFonts w:hint="eastAsia" w:ascii="宋体" w:hAnsi="宋体" w:eastAsia="宋体" w:cs="宋体"/>
                <w:bCs/>
                <w:color w:val="000000"/>
                <w:sz w:val="24"/>
                <w:szCs w:val="24"/>
                <w:highlight w:val="none"/>
                <w:shd w:val="clear" w:color="auto" w:fill="auto"/>
                <w:lang w:val="en-US" w:eastAsia="zh-CN"/>
              </w:rPr>
              <w:t>类似项目业绩，每提供1份</w:t>
            </w:r>
            <w:r>
              <w:rPr>
                <w:rFonts w:hint="eastAsia" w:ascii="宋体" w:hAnsi="宋体" w:eastAsia="宋体" w:cs="宋体"/>
                <w:bCs/>
                <w:color w:val="000000"/>
                <w:sz w:val="24"/>
                <w:szCs w:val="24"/>
                <w:highlight w:val="none"/>
                <w:shd w:val="clear" w:color="auto" w:fill="auto"/>
              </w:rPr>
              <w:t>得</w:t>
            </w:r>
            <w:r>
              <w:rPr>
                <w:rFonts w:hint="eastAsia" w:ascii="宋体" w:hAnsi="宋体" w:cs="宋体"/>
                <w:bCs/>
                <w:color w:val="000000"/>
                <w:sz w:val="24"/>
                <w:szCs w:val="24"/>
                <w:highlight w:val="none"/>
                <w:shd w:val="clear" w:color="auto" w:fill="auto"/>
                <w:lang w:val="en-US" w:eastAsia="zh-CN"/>
              </w:rPr>
              <w:t>1</w:t>
            </w:r>
            <w:r>
              <w:rPr>
                <w:rFonts w:hint="eastAsia" w:ascii="宋体" w:hAnsi="宋体" w:eastAsia="宋体" w:cs="宋体"/>
                <w:bCs/>
                <w:color w:val="000000"/>
                <w:sz w:val="24"/>
                <w:szCs w:val="24"/>
                <w:highlight w:val="none"/>
                <w:shd w:val="clear" w:color="auto" w:fill="auto"/>
              </w:rPr>
              <w:t>分，本项最高得</w:t>
            </w:r>
            <w:r>
              <w:rPr>
                <w:rFonts w:hint="eastAsia" w:ascii="宋体" w:hAnsi="宋体" w:cs="宋体"/>
                <w:bCs/>
                <w:color w:val="000000"/>
                <w:sz w:val="24"/>
                <w:szCs w:val="24"/>
                <w:highlight w:val="none"/>
                <w:shd w:val="clear" w:color="auto" w:fill="auto"/>
                <w:lang w:val="en-US" w:eastAsia="zh-CN"/>
              </w:rPr>
              <w:t>2</w:t>
            </w:r>
            <w:r>
              <w:rPr>
                <w:rFonts w:hint="eastAsia" w:ascii="宋体" w:hAnsi="宋体" w:eastAsia="宋体" w:cs="宋体"/>
                <w:bCs/>
                <w:color w:val="000000"/>
                <w:sz w:val="24"/>
                <w:szCs w:val="24"/>
                <w:highlight w:val="none"/>
                <w:shd w:val="clear" w:color="auto" w:fill="auto"/>
              </w:rPr>
              <w:t>分。</w:t>
            </w:r>
          </w:p>
          <w:p w14:paraId="7F85D615">
            <w:pPr>
              <w:pageBreakBefore w:val="0"/>
              <w:wordWrap/>
              <w:overflowPunct/>
              <w:bidi w:val="0"/>
              <w:spacing w:line="360" w:lineRule="auto"/>
              <w:rPr>
                <w:rFonts w:hint="eastAsia" w:ascii="宋体" w:hAnsi="宋体"/>
                <w:kern w:val="2"/>
                <w:sz w:val="24"/>
                <w:szCs w:val="24"/>
                <w:highlight w:val="none"/>
              </w:rPr>
            </w:pPr>
            <w:r>
              <w:rPr>
                <w:rFonts w:hint="eastAsia" w:ascii="宋体" w:hAnsi="宋体" w:eastAsia="宋体" w:cs="宋体"/>
                <w:bCs/>
                <w:color w:val="000000"/>
                <w:sz w:val="24"/>
                <w:szCs w:val="24"/>
                <w:highlight w:val="none"/>
                <w:shd w:val="clear" w:color="auto" w:fill="auto"/>
              </w:rPr>
              <w:t>注：合格的业绩须附合同</w:t>
            </w:r>
            <w:r>
              <w:rPr>
                <w:rFonts w:hint="eastAsia" w:ascii="宋体" w:hAnsi="宋体" w:eastAsia="宋体" w:cs="宋体"/>
                <w:bCs/>
                <w:color w:val="000000"/>
                <w:sz w:val="24"/>
                <w:szCs w:val="24"/>
                <w:highlight w:val="none"/>
                <w:shd w:val="clear" w:color="auto" w:fill="auto"/>
                <w:lang w:val="en-US" w:eastAsia="zh-CN"/>
              </w:rPr>
              <w:t>关键页或中标（成交）通知书</w:t>
            </w:r>
            <w:r>
              <w:rPr>
                <w:rFonts w:hint="eastAsia" w:ascii="宋体" w:hAnsi="宋体" w:eastAsia="宋体" w:cs="宋体"/>
                <w:bCs/>
                <w:color w:val="000000"/>
                <w:sz w:val="24"/>
                <w:szCs w:val="24"/>
                <w:highlight w:val="none"/>
                <w:shd w:val="clear" w:color="auto" w:fill="auto"/>
              </w:rPr>
              <w:t>原件扫描件，不符合要求的业绩不得分。</w:t>
            </w:r>
          </w:p>
        </w:tc>
        <w:tc>
          <w:tcPr>
            <w:tcW w:w="1025" w:type="dxa"/>
            <w:shd w:val="clear" w:color="auto" w:fill="auto"/>
            <w:vAlign w:val="center"/>
          </w:tcPr>
          <w:p w14:paraId="14E32EAF">
            <w:pPr>
              <w:pageBreakBefore w:val="0"/>
              <w:wordWrap/>
              <w:overflowPunct/>
              <w:bidi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2分</w:t>
            </w:r>
          </w:p>
        </w:tc>
      </w:tr>
      <w:tr w14:paraId="1C6C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33EC1669">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3</w:t>
            </w:r>
          </w:p>
        </w:tc>
        <w:tc>
          <w:tcPr>
            <w:tcW w:w="901" w:type="dxa"/>
            <w:shd w:val="clear" w:color="auto" w:fill="auto"/>
            <w:vAlign w:val="center"/>
          </w:tcPr>
          <w:p w14:paraId="032477D1">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售后服务方案</w:t>
            </w:r>
          </w:p>
        </w:tc>
        <w:tc>
          <w:tcPr>
            <w:tcW w:w="7037" w:type="dxa"/>
            <w:shd w:val="clear" w:color="auto" w:fill="auto"/>
            <w:vAlign w:val="center"/>
          </w:tcPr>
          <w:p w14:paraId="45DBCB2A">
            <w:pPr>
              <w:keepNext w:val="0"/>
              <w:keepLines w:val="0"/>
              <w:pageBreakBefore w:val="0"/>
              <w:numPr>
                <w:ilvl w:val="0"/>
                <w:numId w:val="0"/>
              </w:numPr>
              <w:kinsoku/>
              <w:wordWrap/>
              <w:overflowPunct/>
              <w:topLinePunct w:val="0"/>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响应人</w:t>
            </w:r>
            <w:r>
              <w:rPr>
                <w:rFonts w:hint="eastAsia" w:ascii="宋体" w:hAnsi="宋体" w:eastAsia="宋体" w:cs="宋体"/>
                <w:sz w:val="24"/>
                <w:szCs w:val="24"/>
                <w:highlight w:val="none"/>
              </w:rPr>
              <w:t>提供的售后服务方案进行综合评审，包含但不限于：售后服务计划、保证措施条款、服务响应时间、服务承诺等。</w:t>
            </w:r>
            <w:r>
              <w:rPr>
                <w:rFonts w:hint="eastAsia" w:ascii="宋体" w:hAnsi="宋体" w:eastAsia="宋体" w:cs="宋体"/>
                <w:sz w:val="24"/>
                <w:szCs w:val="24"/>
                <w:highlight w:val="none"/>
                <w:lang w:val="en-US" w:eastAsia="zh-CN"/>
              </w:rPr>
              <w:t>方案内容</w:t>
            </w:r>
            <w:r>
              <w:rPr>
                <w:rFonts w:hint="eastAsia" w:ascii="宋体" w:hAnsi="宋体" w:eastAsia="宋体" w:cs="宋体"/>
                <w:sz w:val="24"/>
                <w:szCs w:val="24"/>
                <w:highlight w:val="none"/>
              </w:rPr>
              <w:t>满足或优于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文件要求，内容详细，可操作性强得</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分；</w:t>
            </w:r>
          </w:p>
          <w:p w14:paraId="6C755956">
            <w:pPr>
              <w:keepNext w:val="0"/>
              <w:keepLines w:val="0"/>
              <w:pageBreakBefore w:val="0"/>
              <w:numPr>
                <w:ilvl w:val="0"/>
                <w:numId w:val="0"/>
              </w:numPr>
              <w:kinsoku/>
              <w:wordWrap/>
              <w:overflowPunct/>
              <w:topLinePunct w:val="0"/>
              <w:bidi w:val="0"/>
              <w:spacing w:line="360" w:lineRule="auto"/>
              <w:jc w:val="left"/>
              <w:rPr>
                <w:rFonts w:ascii="宋体" w:hAnsi="宋体"/>
                <w:sz w:val="24"/>
                <w:szCs w:val="24"/>
                <w:highlight w:val="none"/>
              </w:rPr>
            </w:pPr>
            <w:r>
              <w:rPr>
                <w:rFonts w:hint="eastAsia" w:ascii="宋体" w:hAnsi="宋体" w:eastAsia="宋体" w:cs="宋体"/>
                <w:sz w:val="24"/>
                <w:szCs w:val="24"/>
                <w:highlight w:val="none"/>
                <w:lang w:val="en-US" w:eastAsia="zh-CN"/>
              </w:rPr>
              <w:t>方案内容</w:t>
            </w:r>
            <w:r>
              <w:rPr>
                <w:rFonts w:hint="eastAsia" w:ascii="宋体" w:hAnsi="宋体" w:eastAsia="宋体" w:cs="宋体"/>
                <w:sz w:val="24"/>
                <w:szCs w:val="24"/>
                <w:highlight w:val="none"/>
              </w:rPr>
              <w:t>基本完整，可行性及针对性一般的得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方案内容</w:t>
            </w:r>
            <w:r>
              <w:rPr>
                <w:rFonts w:hint="eastAsia" w:ascii="宋体" w:hAnsi="宋体" w:eastAsia="宋体" w:cs="宋体"/>
                <w:sz w:val="24"/>
                <w:szCs w:val="24"/>
                <w:highlight w:val="none"/>
              </w:rPr>
              <w:t>不完整，可行性不强</w:t>
            </w:r>
            <w:r>
              <w:rPr>
                <w:rFonts w:hint="eastAsia" w:ascii="宋体" w:hAnsi="宋体" w:eastAsia="宋体" w:cs="宋体"/>
                <w:sz w:val="24"/>
                <w:szCs w:val="24"/>
                <w:highlight w:val="none"/>
                <w:lang w:val="en-US" w:eastAsia="zh-CN"/>
              </w:rPr>
              <w:t>得4分；</w:t>
            </w:r>
            <w:r>
              <w:rPr>
                <w:rFonts w:hint="eastAsia" w:ascii="宋体" w:hAnsi="宋体" w:eastAsia="宋体" w:cs="宋体"/>
                <w:sz w:val="24"/>
                <w:szCs w:val="24"/>
                <w:highlight w:val="none"/>
              </w:rPr>
              <w:t>未提供</w:t>
            </w:r>
            <w:r>
              <w:rPr>
                <w:rFonts w:hint="eastAsia" w:ascii="宋体" w:hAnsi="宋体" w:eastAsia="宋体" w:cs="宋体"/>
                <w:sz w:val="24"/>
                <w:szCs w:val="24"/>
                <w:highlight w:val="none"/>
                <w:lang w:val="en-US" w:eastAsia="zh-CN"/>
              </w:rPr>
              <w:t>不得分</w:t>
            </w:r>
            <w:r>
              <w:rPr>
                <w:rFonts w:hint="eastAsia" w:ascii="宋体" w:hAnsi="宋体" w:eastAsia="宋体" w:cs="宋体"/>
                <w:sz w:val="24"/>
                <w:szCs w:val="24"/>
                <w:highlight w:val="none"/>
              </w:rPr>
              <w:t>。</w:t>
            </w:r>
          </w:p>
        </w:tc>
        <w:tc>
          <w:tcPr>
            <w:tcW w:w="1025" w:type="dxa"/>
            <w:shd w:val="clear" w:color="auto" w:fill="auto"/>
            <w:vAlign w:val="center"/>
          </w:tcPr>
          <w:p w14:paraId="4D71A8FC">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lang w:val="en-US" w:eastAsia="zh-CN"/>
              </w:rPr>
              <w:t>12分</w:t>
            </w:r>
          </w:p>
        </w:tc>
      </w:tr>
      <w:tr w14:paraId="774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2A781269">
            <w:pPr>
              <w:pageBreakBefore w:val="0"/>
              <w:wordWrap/>
              <w:overflowPunct/>
              <w:bidi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w:t>
            </w:r>
          </w:p>
        </w:tc>
        <w:tc>
          <w:tcPr>
            <w:tcW w:w="901" w:type="dxa"/>
            <w:shd w:val="clear" w:color="auto" w:fill="auto"/>
            <w:vAlign w:val="center"/>
          </w:tcPr>
          <w:p w14:paraId="07C19352">
            <w:pPr>
              <w:pageBreakBefore w:val="0"/>
              <w:wordWrap/>
              <w:overflowPunct/>
              <w:bidi w:val="0"/>
              <w:spacing w:line="360" w:lineRule="auto"/>
              <w:jc w:val="center"/>
              <w:rPr>
                <w:rFonts w:hint="eastAsia" w:ascii="宋体" w:hAnsi="宋体"/>
                <w:sz w:val="24"/>
                <w:szCs w:val="24"/>
                <w:highlight w:val="none"/>
              </w:rPr>
            </w:pPr>
            <w:r>
              <w:rPr>
                <w:rFonts w:ascii="宋体" w:hAnsi="宋体" w:eastAsia="宋体" w:cs="宋体"/>
                <w:sz w:val="24"/>
                <w:szCs w:val="24"/>
                <w:highlight w:val="none"/>
              </w:rPr>
              <w:t>优惠 承诺</w:t>
            </w:r>
          </w:p>
        </w:tc>
        <w:tc>
          <w:tcPr>
            <w:tcW w:w="7037" w:type="dxa"/>
            <w:shd w:val="clear" w:color="auto" w:fill="auto"/>
            <w:vAlign w:val="center"/>
          </w:tcPr>
          <w:p w14:paraId="49CF132A">
            <w:pPr>
              <w:pageBreakBefore w:val="0"/>
              <w:wordWrap/>
              <w:overflowPunct/>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优惠承诺完全符合本项目实际情况，确保依法依规，优惠合理，详实可行得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分；优惠承诺基本符合本项目实际情况，依法依规，优惠合理得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分；优惠承诺基本符合本项目实际情况，依法依规得1分。</w:t>
            </w:r>
            <w:r>
              <w:rPr>
                <w:rFonts w:hint="eastAsia" w:ascii="宋体" w:hAnsi="宋体" w:eastAsia="宋体" w:cs="宋体"/>
                <w:sz w:val="24"/>
                <w:szCs w:val="24"/>
                <w:highlight w:val="none"/>
              </w:rPr>
              <w:t>未提供</w:t>
            </w:r>
            <w:r>
              <w:rPr>
                <w:rFonts w:hint="eastAsia" w:ascii="宋体" w:hAnsi="宋体" w:eastAsia="宋体" w:cs="宋体"/>
                <w:sz w:val="24"/>
                <w:szCs w:val="24"/>
                <w:highlight w:val="none"/>
                <w:lang w:val="en-US" w:eastAsia="zh-CN"/>
              </w:rPr>
              <w:t>不得分。</w:t>
            </w:r>
          </w:p>
        </w:tc>
        <w:tc>
          <w:tcPr>
            <w:tcW w:w="1025" w:type="dxa"/>
            <w:shd w:val="clear" w:color="auto" w:fill="auto"/>
            <w:vAlign w:val="center"/>
          </w:tcPr>
          <w:p w14:paraId="183BB6ED">
            <w:pPr>
              <w:pageBreakBefore w:val="0"/>
              <w:wordWrap/>
              <w:overflowPunct/>
              <w:bidi w:val="0"/>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6分</w:t>
            </w:r>
          </w:p>
        </w:tc>
      </w:tr>
      <w:tr w14:paraId="6588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4"/>
            <w:shd w:val="clear" w:color="auto" w:fill="auto"/>
            <w:vAlign w:val="center"/>
          </w:tcPr>
          <w:p w14:paraId="5A3605C9">
            <w:pPr>
              <w:pageBreakBefore w:val="0"/>
              <w:wordWrap/>
              <w:overflowPunct/>
              <w:bidi w:val="0"/>
              <w:spacing w:line="360" w:lineRule="auto"/>
              <w:jc w:val="center"/>
              <w:rPr>
                <w:rFonts w:ascii="宋体" w:hAnsi="宋体"/>
                <w:b/>
                <w:bCs/>
                <w:sz w:val="24"/>
                <w:szCs w:val="24"/>
                <w:highlight w:val="none"/>
              </w:rPr>
            </w:pPr>
            <w:r>
              <w:rPr>
                <w:rFonts w:hint="eastAsia" w:ascii="宋体" w:hAnsi="宋体"/>
                <w:b/>
                <w:bCs/>
                <w:sz w:val="24"/>
                <w:szCs w:val="24"/>
                <w:highlight w:val="none"/>
              </w:rPr>
              <w:t>技术部分（</w:t>
            </w:r>
            <w:r>
              <w:rPr>
                <w:rFonts w:hint="eastAsia" w:ascii="宋体" w:hAnsi="宋体"/>
                <w:b/>
                <w:bCs/>
                <w:sz w:val="24"/>
                <w:szCs w:val="24"/>
                <w:highlight w:val="none"/>
                <w:lang w:val="en-US" w:eastAsia="zh-CN"/>
              </w:rPr>
              <w:t>50</w:t>
            </w:r>
            <w:r>
              <w:rPr>
                <w:rFonts w:hint="eastAsia" w:ascii="宋体" w:hAnsi="宋体"/>
                <w:b/>
                <w:bCs/>
                <w:sz w:val="24"/>
                <w:szCs w:val="24"/>
                <w:highlight w:val="none"/>
              </w:rPr>
              <w:t>分）</w:t>
            </w:r>
          </w:p>
        </w:tc>
      </w:tr>
      <w:tr w14:paraId="09CA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0564AF58">
            <w:pPr>
              <w:pageBreakBefore w:val="0"/>
              <w:wordWrap/>
              <w:overflowPunct/>
              <w:bidi w:val="0"/>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901" w:type="dxa"/>
            <w:shd w:val="clear" w:color="auto" w:fill="auto"/>
            <w:vAlign w:val="center"/>
          </w:tcPr>
          <w:p w14:paraId="4DA0C214">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安全管理体系与措施</w:t>
            </w:r>
          </w:p>
        </w:tc>
        <w:tc>
          <w:tcPr>
            <w:tcW w:w="7037" w:type="dxa"/>
            <w:shd w:val="clear" w:color="auto" w:fill="auto"/>
            <w:vAlign w:val="center"/>
          </w:tcPr>
          <w:p w14:paraId="1466D064">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本项目现状和业务需求的理解与分析透彻，制定出的安全管理体系与措施能够满足需求，整体结构完整，切中关键问题得10分；基本能够满足需求，整体结构较完整，内容较充实得7分；基本满足需求，整体结构一般，内容一般得4分；内容中不能满足项目需求、不具体，描述模糊、不清晰得0分。</w:t>
            </w:r>
          </w:p>
        </w:tc>
        <w:tc>
          <w:tcPr>
            <w:tcW w:w="1025" w:type="dxa"/>
            <w:shd w:val="clear" w:color="auto" w:fill="auto"/>
            <w:vAlign w:val="center"/>
          </w:tcPr>
          <w:p w14:paraId="1516C709">
            <w:pPr>
              <w:pageBreakBefore w:val="0"/>
              <w:wordWrap/>
              <w:overflowPunct/>
              <w:bidi w:val="0"/>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10分</w:t>
            </w:r>
          </w:p>
        </w:tc>
      </w:tr>
      <w:tr w14:paraId="379C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4E44311B">
            <w:pPr>
              <w:pageBreakBefore w:val="0"/>
              <w:wordWrap/>
              <w:overflowPunct/>
              <w:bidi w:val="0"/>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6</w:t>
            </w:r>
          </w:p>
        </w:tc>
        <w:tc>
          <w:tcPr>
            <w:tcW w:w="901" w:type="dxa"/>
            <w:shd w:val="clear" w:color="auto" w:fill="auto"/>
            <w:vAlign w:val="center"/>
          </w:tcPr>
          <w:p w14:paraId="291CC5AE">
            <w:pPr>
              <w:spacing w:line="360" w:lineRule="auto"/>
              <w:jc w:val="center"/>
              <w:rPr>
                <w:rFonts w:ascii="宋体" w:hAnsi="宋体"/>
                <w:sz w:val="24"/>
                <w:szCs w:val="24"/>
                <w:highlight w:val="none"/>
              </w:rPr>
            </w:pPr>
            <w:r>
              <w:rPr>
                <w:rFonts w:ascii="宋体" w:hAnsi="宋体" w:eastAsia="宋体" w:cs="宋体"/>
                <w:sz w:val="24"/>
                <w:szCs w:val="24"/>
                <w:highlight w:val="none"/>
              </w:rPr>
              <w:t>货物质量 保障方案</w:t>
            </w:r>
          </w:p>
        </w:tc>
        <w:tc>
          <w:tcPr>
            <w:tcW w:w="7037" w:type="dxa"/>
            <w:shd w:val="clear" w:color="auto" w:fill="auto"/>
            <w:vAlign w:val="center"/>
          </w:tcPr>
          <w:p w14:paraId="07F8A1F3">
            <w:pPr>
              <w:spacing w:line="360" w:lineRule="auto"/>
              <w:jc w:val="both"/>
              <w:rPr>
                <w:rFonts w:ascii="宋体" w:hAnsi="宋体"/>
                <w:sz w:val="24"/>
                <w:szCs w:val="24"/>
                <w:highlight w:val="none"/>
              </w:rPr>
            </w:pPr>
            <w:r>
              <w:rPr>
                <w:rFonts w:ascii="宋体" w:hAnsi="宋体" w:eastAsia="宋体" w:cs="宋体"/>
                <w:sz w:val="24"/>
                <w:szCs w:val="24"/>
                <w:highlight w:val="none"/>
              </w:rPr>
              <w:t>供应商针对本项目情况从货物原材料、生产工艺、成品自检、货物运输四个方面就如何根据自身条件采取相应措施</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保质保量</w:t>
            </w:r>
            <w:r>
              <w:rPr>
                <w:rFonts w:hint="eastAsia" w:ascii="宋体" w:hAnsi="宋体" w:cs="宋体"/>
                <w:sz w:val="24"/>
                <w:szCs w:val="24"/>
                <w:highlight w:val="none"/>
                <w:lang w:val="en-US" w:eastAsia="zh-CN"/>
              </w:rPr>
              <w:t>的</w:t>
            </w:r>
            <w:r>
              <w:rPr>
                <w:rFonts w:ascii="宋体" w:hAnsi="宋体" w:eastAsia="宋体" w:cs="宋体"/>
                <w:sz w:val="24"/>
                <w:szCs w:val="24"/>
                <w:highlight w:val="none"/>
              </w:rPr>
              <w:t>送料到现场自拟货物质量保障方案，</w:t>
            </w:r>
            <w:r>
              <w:rPr>
                <w:rFonts w:hint="eastAsia" w:ascii="宋体" w:hAnsi="宋体" w:eastAsia="宋体" w:cs="宋体"/>
                <w:sz w:val="24"/>
                <w:szCs w:val="24"/>
                <w:highlight w:val="none"/>
                <w:lang w:val="en-US" w:eastAsia="zh-CN"/>
              </w:rPr>
              <w:t>评标委员会</w:t>
            </w:r>
            <w:r>
              <w:rPr>
                <w:rFonts w:ascii="宋体" w:hAnsi="宋体" w:eastAsia="宋体" w:cs="宋体"/>
                <w:sz w:val="24"/>
                <w:szCs w:val="24"/>
                <w:highlight w:val="none"/>
              </w:rPr>
              <w:t>进行综合评分。 货物原材料保障较为及时、生产工艺较为先进、成品自检能力较强、货物运输较及时的得</w:t>
            </w:r>
            <w:r>
              <w:rPr>
                <w:rFonts w:hint="eastAsia" w:ascii="宋体" w:hAnsi="宋体" w:eastAsia="宋体" w:cs="宋体"/>
                <w:sz w:val="24"/>
                <w:szCs w:val="24"/>
                <w:highlight w:val="none"/>
                <w:lang w:val="en-US" w:eastAsia="zh-CN"/>
              </w:rPr>
              <w:t>15</w:t>
            </w:r>
            <w:r>
              <w:rPr>
                <w:rFonts w:ascii="宋体" w:hAnsi="宋体" w:eastAsia="宋体" w:cs="宋体"/>
                <w:sz w:val="24"/>
                <w:szCs w:val="24"/>
                <w:highlight w:val="none"/>
              </w:rPr>
              <w:t>分；货物原材料保障及时、生产工艺先进、成品自检能力强、货物运输及时的得</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分；货物原材料保障基本及时、生产工艺一般、成品自检能力一般、货物运输基本满足的得</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未提供或提供不全</w:t>
            </w:r>
            <w:r>
              <w:rPr>
                <w:rFonts w:ascii="宋体" w:hAnsi="宋体" w:eastAsia="宋体" w:cs="宋体"/>
                <w:sz w:val="24"/>
                <w:szCs w:val="24"/>
                <w:highlight w:val="none"/>
              </w:rPr>
              <w:t>不得分。</w:t>
            </w:r>
          </w:p>
        </w:tc>
        <w:tc>
          <w:tcPr>
            <w:tcW w:w="1025" w:type="dxa"/>
            <w:shd w:val="clear" w:color="auto" w:fill="auto"/>
            <w:vAlign w:val="center"/>
          </w:tcPr>
          <w:p w14:paraId="6869A2EB">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分</w:t>
            </w:r>
          </w:p>
        </w:tc>
      </w:tr>
      <w:tr w14:paraId="1A9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76F9A17D">
            <w:pPr>
              <w:pageBreakBefore w:val="0"/>
              <w:wordWrap/>
              <w:overflowPunct/>
              <w:bidi w:val="0"/>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7</w:t>
            </w:r>
          </w:p>
        </w:tc>
        <w:tc>
          <w:tcPr>
            <w:tcW w:w="901" w:type="dxa"/>
            <w:shd w:val="clear" w:color="auto" w:fill="auto"/>
            <w:vAlign w:val="center"/>
          </w:tcPr>
          <w:p w14:paraId="61B52F78">
            <w:pPr>
              <w:spacing w:line="360" w:lineRule="auto"/>
              <w:jc w:val="center"/>
              <w:rPr>
                <w:rFonts w:ascii="宋体" w:hAnsi="宋体"/>
                <w:sz w:val="24"/>
                <w:szCs w:val="24"/>
                <w:highlight w:val="none"/>
              </w:rPr>
            </w:pPr>
            <w:r>
              <w:rPr>
                <w:rFonts w:ascii="宋体" w:hAnsi="宋体" w:eastAsia="宋体" w:cs="宋体"/>
                <w:sz w:val="24"/>
                <w:szCs w:val="24"/>
                <w:highlight w:val="none"/>
              </w:rPr>
              <w:t>环境保护 管理体系 与措施</w:t>
            </w:r>
          </w:p>
        </w:tc>
        <w:tc>
          <w:tcPr>
            <w:tcW w:w="7037" w:type="dxa"/>
            <w:shd w:val="clear" w:color="auto" w:fill="auto"/>
            <w:vAlign w:val="center"/>
          </w:tcPr>
          <w:p w14:paraId="43D45F0F">
            <w:pPr>
              <w:spacing w:line="360" w:lineRule="auto"/>
              <w:jc w:val="both"/>
              <w:rPr>
                <w:rFonts w:ascii="宋体" w:hAnsi="宋体"/>
                <w:sz w:val="24"/>
                <w:szCs w:val="24"/>
                <w:highlight w:val="none"/>
              </w:rPr>
            </w:pPr>
            <w:r>
              <w:rPr>
                <w:rFonts w:ascii="宋体" w:hAnsi="宋体" w:eastAsia="宋体" w:cs="宋体"/>
                <w:sz w:val="24"/>
                <w:szCs w:val="24"/>
                <w:highlight w:val="none"/>
              </w:rPr>
              <w:t>环境保护管理体系健全、污染物处理技术及管理措施结构完整，切中关键问题得10分；环境保护管理体系健全、污染物处理技术及管理措施到位比较完整，内容较充实得</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分；环境保护管理体系健全、污染物处理技术及管理措施一般，内容一般得</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未提供或提供不全</w:t>
            </w:r>
            <w:r>
              <w:rPr>
                <w:rFonts w:ascii="宋体" w:hAnsi="宋体" w:eastAsia="宋体" w:cs="宋体"/>
                <w:sz w:val="24"/>
                <w:szCs w:val="24"/>
                <w:highlight w:val="none"/>
              </w:rPr>
              <w:t>不得分。</w:t>
            </w:r>
          </w:p>
        </w:tc>
        <w:tc>
          <w:tcPr>
            <w:tcW w:w="1025" w:type="dxa"/>
            <w:shd w:val="clear" w:color="auto" w:fill="auto"/>
            <w:vAlign w:val="center"/>
          </w:tcPr>
          <w:p w14:paraId="454F9F23">
            <w:pPr>
              <w:pageBreakBefore w:val="0"/>
              <w:wordWrap/>
              <w:overflowPunct/>
              <w:bidi w:val="0"/>
              <w:spacing w:line="360" w:lineRule="auto"/>
              <w:jc w:val="center"/>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rPr>
              <w:t>分</w:t>
            </w:r>
          </w:p>
        </w:tc>
      </w:tr>
      <w:tr w14:paraId="555D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73629CD1">
            <w:pPr>
              <w:pageBreakBefore w:val="0"/>
              <w:wordWrap/>
              <w:overflowPunct/>
              <w:bidi w:val="0"/>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8</w:t>
            </w:r>
          </w:p>
        </w:tc>
        <w:tc>
          <w:tcPr>
            <w:tcW w:w="901" w:type="dxa"/>
            <w:shd w:val="clear" w:color="auto" w:fill="auto"/>
            <w:vAlign w:val="center"/>
          </w:tcPr>
          <w:p w14:paraId="292700C1">
            <w:pPr>
              <w:spacing w:line="360" w:lineRule="auto"/>
              <w:jc w:val="center"/>
              <w:rPr>
                <w:rFonts w:ascii="宋体" w:hAnsi="宋体" w:cs="宋体"/>
                <w:bCs/>
                <w:sz w:val="24"/>
                <w:szCs w:val="24"/>
                <w:highlight w:val="none"/>
              </w:rPr>
            </w:pPr>
            <w:r>
              <w:rPr>
                <w:rFonts w:ascii="宋体" w:hAnsi="宋体" w:eastAsia="宋体" w:cs="宋体"/>
                <w:sz w:val="24"/>
                <w:szCs w:val="24"/>
                <w:highlight w:val="none"/>
              </w:rPr>
              <w:t>实施难点 解决方案</w:t>
            </w:r>
          </w:p>
        </w:tc>
        <w:tc>
          <w:tcPr>
            <w:tcW w:w="7037" w:type="dxa"/>
            <w:shd w:val="clear" w:color="auto" w:fill="auto"/>
            <w:vAlign w:val="center"/>
          </w:tcPr>
          <w:p w14:paraId="27C04A05">
            <w:pPr>
              <w:spacing w:line="360" w:lineRule="auto"/>
              <w:jc w:val="both"/>
              <w:rPr>
                <w:rFonts w:ascii="宋体" w:hAnsi="宋体"/>
                <w:sz w:val="24"/>
                <w:szCs w:val="24"/>
                <w:highlight w:val="none"/>
              </w:rPr>
            </w:pPr>
            <w:r>
              <w:rPr>
                <w:rFonts w:ascii="宋体" w:hAnsi="宋体" w:eastAsia="宋体" w:cs="宋体"/>
                <w:sz w:val="24"/>
                <w:szCs w:val="24"/>
                <w:highlight w:val="none"/>
              </w:rPr>
              <w:t>供应商针对本项目特点从交通组织、节能环保、应急处置三个方面提出实施难点并针对难点提出切实可行的解决方案，</w:t>
            </w:r>
            <w:r>
              <w:rPr>
                <w:rFonts w:hint="eastAsia" w:ascii="宋体" w:hAnsi="宋体" w:eastAsia="宋体" w:cs="宋体"/>
                <w:sz w:val="24"/>
                <w:szCs w:val="24"/>
                <w:highlight w:val="none"/>
                <w:lang w:val="en-US" w:eastAsia="zh-CN"/>
              </w:rPr>
              <w:t>评标委员会</w:t>
            </w:r>
            <w:r>
              <w:rPr>
                <w:rFonts w:ascii="宋体" w:hAnsi="宋体" w:eastAsia="宋体" w:cs="宋体"/>
                <w:sz w:val="24"/>
                <w:szCs w:val="24"/>
                <w:highlight w:val="none"/>
              </w:rPr>
              <w:t>进行综合评分。实施难点阐述全面、解决方案可操作性强的得 15分；实施难点阐述较全面、解决方案可操作性一般的得</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分；实施难点阐述不全面、解决方案可操作性不强的得</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未提供或提供不全</w:t>
            </w:r>
            <w:r>
              <w:rPr>
                <w:rFonts w:ascii="宋体" w:hAnsi="宋体" w:eastAsia="宋体" w:cs="宋体"/>
                <w:sz w:val="24"/>
                <w:szCs w:val="24"/>
                <w:highlight w:val="none"/>
              </w:rPr>
              <w:t>不得分。</w:t>
            </w:r>
          </w:p>
        </w:tc>
        <w:tc>
          <w:tcPr>
            <w:tcW w:w="1025" w:type="dxa"/>
            <w:shd w:val="clear" w:color="auto" w:fill="auto"/>
            <w:vAlign w:val="center"/>
          </w:tcPr>
          <w:p w14:paraId="16E474B1">
            <w:pPr>
              <w:pageBreakBefore w:val="0"/>
              <w:wordWrap/>
              <w:overflowPunct/>
              <w:bidi w:val="0"/>
              <w:spacing w:line="360" w:lineRule="auto"/>
              <w:jc w:val="center"/>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分</w:t>
            </w:r>
          </w:p>
        </w:tc>
      </w:tr>
    </w:tbl>
    <w:p w14:paraId="75558D0C">
      <w:pPr>
        <w:pageBreakBefore w:val="0"/>
        <w:wordWrap/>
        <w:overflowPunct/>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本次评标采用综合评分法。评标委员会对满足招标文件实质性要求的投标文件，按照</w:t>
      </w:r>
      <w:r>
        <w:rPr>
          <w:rFonts w:hint="eastAsia" w:ascii="宋体" w:hAnsi="宋体" w:cs="宋体"/>
          <w:color w:val="auto"/>
          <w:sz w:val="24"/>
          <w:szCs w:val="24"/>
          <w:highlight w:val="none"/>
          <w:lang w:val="en-US" w:eastAsia="zh-CN"/>
        </w:rPr>
        <w:t>上述</w:t>
      </w:r>
      <w:r>
        <w:rPr>
          <w:rFonts w:hint="eastAsia" w:ascii="宋体" w:hAnsi="宋体" w:cs="宋体"/>
          <w:color w:val="auto"/>
          <w:sz w:val="24"/>
          <w:szCs w:val="24"/>
          <w:highlight w:val="none"/>
        </w:rPr>
        <w:t>规定的评分标准进行打分，并按得分由高到低顺序推荐3名中标候选人。综合评分相等时，以投标报价低的优先；投标报价也相等的，以</w:t>
      </w:r>
      <w:r>
        <w:rPr>
          <w:rFonts w:hint="eastAsia" w:ascii="宋体" w:hAnsi="宋体" w:cs="宋体"/>
          <w:color w:val="auto"/>
          <w:sz w:val="24"/>
          <w:szCs w:val="24"/>
          <w:highlight w:val="none"/>
          <w:lang w:val="en-US" w:eastAsia="zh-CN"/>
        </w:rPr>
        <w:t>技术部分得分较高</w:t>
      </w:r>
      <w:r>
        <w:rPr>
          <w:rFonts w:hint="eastAsia" w:ascii="宋体" w:hAnsi="宋体" w:cs="宋体"/>
          <w:color w:val="auto"/>
          <w:sz w:val="24"/>
          <w:szCs w:val="24"/>
          <w:highlight w:val="none"/>
        </w:rPr>
        <w:t>的优先</w:t>
      </w:r>
      <w:r>
        <w:rPr>
          <w:rFonts w:hint="eastAsia" w:ascii="宋体" w:hAnsi="宋体" w:cs="宋体"/>
          <w:color w:val="auto"/>
          <w:sz w:val="24"/>
          <w:szCs w:val="24"/>
          <w:highlight w:val="none"/>
          <w:lang w:eastAsia="zh-CN"/>
        </w:rPr>
        <w:t>。</w:t>
      </w:r>
    </w:p>
    <w:p w14:paraId="6E10F4C6">
      <w:pPr>
        <w:pStyle w:val="4"/>
        <w:pageBreakBefore w:val="0"/>
        <w:wordWrap/>
        <w:overflowPunct/>
        <w:bidi w:val="0"/>
        <w:spacing w:line="360" w:lineRule="auto"/>
        <w:outlineLvl w:val="1"/>
        <w:rPr>
          <w:rFonts w:ascii="宋体" w:hAnsi="宋体" w:eastAsia="宋体" w:cs="宋体"/>
          <w:color w:val="auto"/>
          <w:sz w:val="24"/>
          <w:szCs w:val="24"/>
          <w:highlight w:val="none"/>
        </w:rPr>
      </w:pPr>
      <w:bookmarkStart w:id="74" w:name="_Toc28030"/>
      <w:bookmarkStart w:id="75" w:name="_Toc19618"/>
      <w:bookmarkStart w:id="76" w:name="_Toc152042378"/>
      <w:bookmarkStart w:id="77" w:name="_Toc11018"/>
      <w:bookmarkStart w:id="78" w:name="_Toc152045601"/>
      <w:bookmarkStart w:id="79" w:name="_Toc29880"/>
      <w:bookmarkStart w:id="80" w:name="_Toc179632619"/>
      <w:bookmarkStart w:id="81" w:name="_Toc144974568"/>
      <w:r>
        <w:rPr>
          <w:rFonts w:hint="eastAsia" w:ascii="宋体" w:hAnsi="宋体" w:eastAsia="宋体" w:cs="宋体"/>
          <w:color w:val="auto"/>
          <w:sz w:val="24"/>
          <w:szCs w:val="24"/>
          <w:highlight w:val="none"/>
        </w:rPr>
        <w:t>2. 评审标准</w:t>
      </w:r>
      <w:bookmarkEnd w:id="74"/>
      <w:bookmarkEnd w:id="75"/>
      <w:bookmarkEnd w:id="76"/>
      <w:bookmarkEnd w:id="77"/>
      <w:bookmarkEnd w:id="78"/>
      <w:bookmarkEnd w:id="79"/>
      <w:bookmarkEnd w:id="80"/>
      <w:bookmarkEnd w:id="81"/>
    </w:p>
    <w:p w14:paraId="1B8B5408">
      <w:pPr>
        <w:pageBreakBefore w:val="0"/>
        <w:wordWrap/>
        <w:overflowPunct/>
        <w:bidi w:val="0"/>
        <w:spacing w:line="360" w:lineRule="auto"/>
        <w:ind w:firstLine="480" w:firstLineChars="200"/>
        <w:rPr>
          <w:rFonts w:ascii="宋体" w:hAnsi="宋体" w:cs="宋体"/>
          <w:color w:val="auto"/>
          <w:sz w:val="24"/>
          <w:szCs w:val="24"/>
          <w:highlight w:val="none"/>
        </w:rPr>
      </w:pPr>
      <w:bookmarkStart w:id="82" w:name="_Toc12931"/>
      <w:bookmarkStart w:id="83" w:name="_Toc23196"/>
      <w:bookmarkStart w:id="84" w:name="_Toc179632620"/>
      <w:bookmarkStart w:id="85" w:name="_Toc144974569"/>
      <w:bookmarkStart w:id="86" w:name="_Toc152042379"/>
      <w:bookmarkStart w:id="87" w:name="_Toc152045602"/>
      <w:bookmarkStart w:id="88" w:name="_Toc31847"/>
      <w:r>
        <w:rPr>
          <w:rFonts w:hint="eastAsia" w:ascii="宋体" w:hAnsi="宋体" w:cs="宋体"/>
          <w:color w:val="auto"/>
          <w:sz w:val="24"/>
          <w:szCs w:val="24"/>
          <w:highlight w:val="none"/>
        </w:rPr>
        <w:t>2.1 初步评审标准</w:t>
      </w:r>
      <w:bookmarkEnd w:id="82"/>
      <w:bookmarkEnd w:id="83"/>
      <w:bookmarkEnd w:id="84"/>
      <w:bookmarkEnd w:id="85"/>
      <w:bookmarkEnd w:id="86"/>
      <w:bookmarkEnd w:id="87"/>
      <w:bookmarkEnd w:id="88"/>
      <w:r>
        <w:rPr>
          <w:rFonts w:hint="eastAsia" w:ascii="宋体" w:hAnsi="宋体" w:cs="宋体"/>
          <w:color w:val="auto"/>
          <w:sz w:val="24"/>
          <w:szCs w:val="24"/>
          <w:highlight w:val="none"/>
        </w:rPr>
        <w:t>：评标办法前附表。</w:t>
      </w:r>
    </w:p>
    <w:p w14:paraId="4B23735F">
      <w:pPr>
        <w:pageBreakBefore w:val="0"/>
        <w:wordWrap/>
        <w:overflowPunct/>
        <w:bidi w:val="0"/>
        <w:spacing w:line="360" w:lineRule="auto"/>
        <w:ind w:firstLine="480" w:firstLineChars="200"/>
        <w:rPr>
          <w:rFonts w:hint="eastAsia" w:ascii="宋体" w:hAnsi="宋体" w:eastAsia="宋体" w:cs="宋体"/>
          <w:color w:val="auto"/>
          <w:sz w:val="24"/>
          <w:szCs w:val="24"/>
          <w:highlight w:val="none"/>
          <w:lang w:eastAsia="zh-CN"/>
        </w:rPr>
      </w:pPr>
      <w:bookmarkStart w:id="89" w:name="_Toc16603"/>
      <w:bookmarkStart w:id="90" w:name="_Toc607"/>
      <w:bookmarkStart w:id="91" w:name="_Toc179632621"/>
      <w:bookmarkStart w:id="92" w:name="_Toc11804"/>
      <w:bookmarkStart w:id="93" w:name="_Toc144974570"/>
      <w:bookmarkStart w:id="94" w:name="_Toc152042380"/>
      <w:bookmarkStart w:id="95" w:name="_Toc152045603"/>
      <w:r>
        <w:rPr>
          <w:rFonts w:hint="eastAsia" w:ascii="宋体" w:hAnsi="宋体" w:cs="宋体"/>
          <w:color w:val="auto"/>
          <w:sz w:val="24"/>
          <w:szCs w:val="24"/>
          <w:highlight w:val="none"/>
        </w:rPr>
        <w:t>2.2 分值构成与评分标准</w:t>
      </w:r>
      <w:bookmarkEnd w:id="89"/>
      <w:bookmarkEnd w:id="90"/>
      <w:bookmarkEnd w:id="91"/>
      <w:bookmarkEnd w:id="92"/>
      <w:bookmarkEnd w:id="93"/>
      <w:bookmarkEnd w:id="94"/>
      <w:bookmarkEnd w:id="95"/>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评分标准分项明细表</w:t>
      </w:r>
      <w:r>
        <w:rPr>
          <w:rFonts w:hint="eastAsia" w:ascii="宋体" w:hAnsi="宋体" w:eastAsia="宋体" w:cs="宋体"/>
          <w:color w:val="auto"/>
          <w:sz w:val="24"/>
          <w:szCs w:val="24"/>
          <w:highlight w:val="none"/>
          <w:lang w:eastAsia="zh-CN"/>
        </w:rPr>
        <w:t>。</w:t>
      </w:r>
    </w:p>
    <w:p w14:paraId="2A0DF3C2">
      <w:pPr>
        <w:pageBreakBefore w:val="0"/>
        <w:wordWrap/>
        <w:overflowPunct/>
        <w:bidi w:val="0"/>
        <w:spacing w:line="360" w:lineRule="auto"/>
        <w:ind w:firstLine="480" w:firstLineChars="200"/>
        <w:rPr>
          <w:rFonts w:ascii="宋体" w:hAnsi="宋体" w:cs="宋体"/>
          <w:color w:val="auto"/>
          <w:sz w:val="24"/>
          <w:szCs w:val="24"/>
          <w:highlight w:val="none"/>
        </w:rPr>
      </w:pPr>
      <w:bookmarkStart w:id="96" w:name="_Toc179632622"/>
      <w:bookmarkStart w:id="97" w:name="_Toc11715"/>
      <w:bookmarkStart w:id="98" w:name="_Toc152045604"/>
      <w:bookmarkStart w:id="99" w:name="_Toc25534"/>
      <w:bookmarkStart w:id="100" w:name="_Toc152042381"/>
      <w:bookmarkStart w:id="101" w:name="_Toc13158"/>
      <w:bookmarkStart w:id="102" w:name="_Toc144974571"/>
      <w:r>
        <w:rPr>
          <w:rFonts w:hint="eastAsia" w:ascii="宋体" w:hAnsi="宋体" w:cs="宋体"/>
          <w:color w:val="auto"/>
          <w:sz w:val="24"/>
          <w:szCs w:val="24"/>
          <w:highlight w:val="none"/>
        </w:rPr>
        <w:t>第一部分：</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得分；第二部分：商务部分；第三部分：技术部分。</w:t>
      </w:r>
    </w:p>
    <w:p w14:paraId="744D10B2">
      <w:pPr>
        <w:pStyle w:val="4"/>
        <w:pageBreakBefore w:val="0"/>
        <w:wordWrap/>
        <w:overflowPunct/>
        <w:bidi w:val="0"/>
        <w:spacing w:line="360" w:lineRule="auto"/>
        <w:outlineLvl w:val="1"/>
        <w:rPr>
          <w:rFonts w:ascii="宋体" w:hAnsi="宋体" w:eastAsia="宋体" w:cs="宋体"/>
          <w:color w:val="auto"/>
          <w:sz w:val="24"/>
          <w:szCs w:val="24"/>
          <w:highlight w:val="none"/>
        </w:rPr>
      </w:pPr>
      <w:bookmarkStart w:id="103" w:name="_Toc19922"/>
      <w:r>
        <w:rPr>
          <w:rFonts w:hint="eastAsia" w:ascii="宋体" w:hAnsi="宋体" w:eastAsia="宋体" w:cs="宋体"/>
          <w:color w:val="auto"/>
          <w:sz w:val="24"/>
          <w:szCs w:val="24"/>
          <w:highlight w:val="none"/>
        </w:rPr>
        <w:t>3. 评标程序</w:t>
      </w:r>
      <w:bookmarkEnd w:id="96"/>
      <w:bookmarkEnd w:id="97"/>
      <w:bookmarkEnd w:id="98"/>
      <w:bookmarkEnd w:id="99"/>
      <w:bookmarkEnd w:id="100"/>
      <w:bookmarkEnd w:id="101"/>
      <w:bookmarkEnd w:id="102"/>
      <w:bookmarkEnd w:id="103"/>
    </w:p>
    <w:p w14:paraId="4B8677D9">
      <w:pPr>
        <w:pStyle w:val="23"/>
        <w:keepNext w:val="0"/>
        <w:keepLines w:val="0"/>
        <w:pageBreakBefore w:val="0"/>
        <w:wordWrap/>
        <w:overflowPunct/>
        <w:bidi w:val="0"/>
        <w:spacing w:line="360" w:lineRule="auto"/>
        <w:ind w:firstLine="480" w:firstLineChars="200"/>
        <w:rPr>
          <w:rFonts w:ascii="宋体" w:hAnsi="宋体" w:eastAsia="宋体"/>
          <w:sz w:val="24"/>
          <w:szCs w:val="24"/>
          <w:highlight w:val="none"/>
        </w:rPr>
      </w:pPr>
      <w:bookmarkStart w:id="104" w:name="_Toc30372"/>
      <w:bookmarkStart w:id="105" w:name="_Toc31010"/>
      <w:bookmarkStart w:id="106" w:name="_Toc144974572"/>
      <w:bookmarkStart w:id="107" w:name="_Toc152045605"/>
      <w:bookmarkStart w:id="108" w:name="_Toc179632623"/>
      <w:bookmarkStart w:id="109" w:name="_Toc8644"/>
      <w:bookmarkStart w:id="110" w:name="_Toc152042382"/>
      <w:r>
        <w:rPr>
          <w:rFonts w:hint="eastAsia" w:ascii="宋体" w:hAnsi="宋体" w:eastAsia="宋体"/>
          <w:sz w:val="24"/>
          <w:szCs w:val="24"/>
          <w:highlight w:val="none"/>
        </w:rPr>
        <w:t>3.1 初步评审</w:t>
      </w:r>
      <w:bookmarkEnd w:id="104"/>
      <w:bookmarkEnd w:id="105"/>
      <w:bookmarkEnd w:id="106"/>
      <w:bookmarkEnd w:id="107"/>
      <w:bookmarkEnd w:id="108"/>
      <w:bookmarkEnd w:id="109"/>
      <w:bookmarkEnd w:id="110"/>
    </w:p>
    <w:p w14:paraId="00B08AFD">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 评标委员会应该以供应商投标文件中的有关证明和证件的原件扫描件为准，进行核验。评标委员会依据本章第2.1款规定的标准对投标文件进行初步评审。有一项不符合评审标准的，其投标将被否决。</w:t>
      </w:r>
    </w:p>
    <w:p w14:paraId="0FD0C682">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3.1.2评标委员会依据本章第2.1.1项、第2.1.3项规定的评审标准对符合资格的投标供应商的投标文件进行初步评审。有一项不符合评审标准的，其投标将被否决。</w:t>
      </w:r>
    </w:p>
    <w:p w14:paraId="575C1E5A">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 供应商有以下情形之一的，其投标将被否决：</w:t>
      </w:r>
    </w:p>
    <w:p w14:paraId="04053FB9">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（1）串通投标或弄虚作假或有其他违法行为的；</w:t>
      </w:r>
    </w:p>
    <w:p w14:paraId="586A4FE8">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（2）不按评标委员会要求澄清、说明或补正的。</w:t>
      </w:r>
    </w:p>
    <w:p w14:paraId="01885DDD">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3.1.4投标报价有算术错误的，评标委员会按以下原则对投标报价进行修正，修正的价格经供应商书面确认后具有约束力。供应商不接受修正价格的，其投标作废标处理。</w:t>
      </w:r>
    </w:p>
    <w:p w14:paraId="67858DF2">
      <w:pPr>
        <w:pageBreakBefore w:val="0"/>
        <w:wordWrap/>
        <w:overflowPunct/>
        <w:bidi w:val="0"/>
        <w:spacing w:line="360" w:lineRule="auto"/>
        <w:ind w:firstLine="480" w:firstLineChars="200"/>
        <w:rPr>
          <w:rFonts w:ascii="宋体" w:hAnsi="宋体" w:cs="宋体"/>
          <w:color w:val="auto"/>
          <w:sz w:val="24"/>
          <w:szCs w:val="24"/>
          <w:highlight w:val="none"/>
        </w:rPr>
      </w:pPr>
      <w:bookmarkStart w:id="111" w:name="_Toc152042383"/>
      <w:r>
        <w:rPr>
          <w:rFonts w:hint="eastAsia" w:ascii="宋体" w:hAnsi="宋体" w:cs="宋体"/>
          <w:color w:val="auto"/>
          <w:sz w:val="24"/>
          <w:szCs w:val="24"/>
          <w:highlight w:val="none"/>
        </w:rPr>
        <w:t>（1）投标文件中的大写金额与小写金额不一致的，以大写金额为准；</w:t>
      </w:r>
      <w:bookmarkEnd w:id="111"/>
    </w:p>
    <w:p w14:paraId="09A372A2">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（2）总价金额与依据单价计算出的结果不一致的，以单价金额为准修正总价，但单价金额小数点有明显错误的除外。</w:t>
      </w:r>
    </w:p>
    <w:p w14:paraId="5E715723">
      <w:pPr>
        <w:pStyle w:val="23"/>
        <w:keepNext w:val="0"/>
        <w:keepLines w:val="0"/>
        <w:pageBreakBefore w:val="0"/>
        <w:wordWrap/>
        <w:overflowPunct/>
        <w:bidi w:val="0"/>
        <w:spacing w:line="360" w:lineRule="auto"/>
        <w:rPr>
          <w:rFonts w:ascii="宋体" w:hAnsi="宋体" w:eastAsia="宋体"/>
          <w:sz w:val="24"/>
          <w:szCs w:val="24"/>
          <w:highlight w:val="none"/>
        </w:rPr>
      </w:pPr>
      <w:bookmarkStart w:id="112" w:name="_Toc152042384"/>
      <w:bookmarkStart w:id="113" w:name="_Toc152045606"/>
      <w:bookmarkStart w:id="114" w:name="_Toc144974573"/>
      <w:bookmarkStart w:id="115" w:name="_Toc179632624"/>
      <w:r>
        <w:rPr>
          <w:rFonts w:hint="eastAsia" w:ascii="宋体" w:hAnsi="宋体" w:eastAsia="宋体"/>
          <w:sz w:val="24"/>
          <w:szCs w:val="24"/>
          <w:highlight w:val="none"/>
        </w:rPr>
        <w:t>3.2 详细评审</w:t>
      </w:r>
      <w:bookmarkEnd w:id="112"/>
      <w:bookmarkEnd w:id="113"/>
      <w:bookmarkEnd w:id="114"/>
      <w:bookmarkEnd w:id="115"/>
    </w:p>
    <w:p w14:paraId="3D28D2F3">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14:paraId="62318A12">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将被否决。</w:t>
      </w:r>
    </w:p>
    <w:p w14:paraId="218AAD8E">
      <w:pPr>
        <w:pStyle w:val="23"/>
        <w:keepNext w:val="0"/>
        <w:keepLines w:val="0"/>
        <w:pageBreakBefore w:val="0"/>
        <w:wordWrap/>
        <w:overflowPunct/>
        <w:bidi w:val="0"/>
        <w:spacing w:line="360" w:lineRule="auto"/>
        <w:rPr>
          <w:rFonts w:ascii="宋体" w:hAnsi="宋体" w:eastAsia="宋体"/>
          <w:sz w:val="24"/>
          <w:szCs w:val="24"/>
          <w:highlight w:val="none"/>
        </w:rPr>
      </w:pPr>
      <w:bookmarkStart w:id="116" w:name="_Toc144974575"/>
      <w:bookmarkStart w:id="117" w:name="_Toc466566800"/>
      <w:bookmarkStart w:id="118" w:name="_Toc179632625"/>
      <w:bookmarkStart w:id="119" w:name="_Toc421698384"/>
      <w:bookmarkStart w:id="120" w:name="_Toc418608950"/>
      <w:bookmarkStart w:id="121" w:name="_Toc389384087"/>
      <w:bookmarkStart w:id="122" w:name="_Toc152045607"/>
      <w:bookmarkStart w:id="123" w:name="_Toc418605429"/>
      <w:bookmarkStart w:id="124" w:name="_Toc466566711"/>
      <w:bookmarkStart w:id="125" w:name="_Toc401512224"/>
      <w:bookmarkStart w:id="126" w:name="_Toc421805017"/>
      <w:bookmarkStart w:id="127" w:name="_Toc401926485"/>
      <w:bookmarkStart w:id="128" w:name="_Toc387498748"/>
      <w:bookmarkStart w:id="129" w:name="_Toc152042385"/>
      <w:bookmarkStart w:id="130" w:name="_Toc423358132"/>
      <w:r>
        <w:rPr>
          <w:rFonts w:hint="eastAsia" w:ascii="宋体" w:hAnsi="宋体" w:eastAsia="宋体"/>
          <w:sz w:val="24"/>
          <w:szCs w:val="24"/>
          <w:highlight w:val="none"/>
        </w:rPr>
        <w:t>3.3 投标文件的澄清</w:t>
      </w:r>
      <w:bookmarkEnd w:id="116"/>
      <w:r>
        <w:rPr>
          <w:rFonts w:hint="eastAsia" w:ascii="宋体" w:hAnsi="宋体" w:eastAsia="宋体"/>
          <w:sz w:val="24"/>
          <w:szCs w:val="24"/>
          <w:highlight w:val="none"/>
        </w:rPr>
        <w:t>和补正</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030F255">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3.3.1在评标过程中，评标委员会可以书面形式要求供应商对所提交投标文件中不明确的内容进行书面澄清或说明，或者对细微偏差进行补正。评标委员会不接受供应商主动提出的澄清、说明或补正。</w:t>
      </w:r>
    </w:p>
    <w:p w14:paraId="50CD873C">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澄清、说明和补正不得改变投标文件的实质性内容（算术性错误修正的除外）。供应商的书面澄清、说明和补正属于投标文件的组成部分。</w:t>
      </w:r>
    </w:p>
    <w:p w14:paraId="77C9F943">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 评标委员会对供应商提交的澄清、说明或补正有疑问的，可以要求供应商进一步澄清、说明或补正，直至满足评标委员会的要求。</w:t>
      </w:r>
    </w:p>
    <w:p w14:paraId="1A6C71D5">
      <w:pPr>
        <w:pStyle w:val="23"/>
        <w:keepNext w:val="0"/>
        <w:keepLines w:val="0"/>
        <w:pageBreakBefore w:val="0"/>
        <w:wordWrap/>
        <w:overflowPunct/>
        <w:bidi w:val="0"/>
        <w:spacing w:line="360" w:lineRule="auto"/>
        <w:rPr>
          <w:rFonts w:ascii="宋体" w:hAnsi="宋体" w:eastAsia="宋体"/>
          <w:sz w:val="24"/>
          <w:szCs w:val="24"/>
          <w:highlight w:val="none"/>
        </w:rPr>
      </w:pPr>
      <w:bookmarkStart w:id="131" w:name="_Toc144974576"/>
      <w:bookmarkStart w:id="132" w:name="_Toc401926486"/>
      <w:bookmarkStart w:id="133" w:name="_Toc418605430"/>
      <w:bookmarkStart w:id="134" w:name="_Toc152045608"/>
      <w:bookmarkStart w:id="135" w:name="_Toc152042386"/>
      <w:bookmarkStart w:id="136" w:name="_Toc421698385"/>
      <w:bookmarkStart w:id="137" w:name="_Toc401512225"/>
      <w:bookmarkStart w:id="138" w:name="_Toc387498749"/>
      <w:bookmarkStart w:id="139" w:name="_Toc466566712"/>
      <w:bookmarkStart w:id="140" w:name="_Toc421805018"/>
      <w:bookmarkStart w:id="141" w:name="_Toc418608951"/>
      <w:bookmarkStart w:id="142" w:name="_Toc466566801"/>
      <w:bookmarkStart w:id="143" w:name="_Toc179632626"/>
      <w:bookmarkStart w:id="144" w:name="_Toc423358133"/>
      <w:bookmarkStart w:id="145" w:name="_Toc389384088"/>
      <w:r>
        <w:rPr>
          <w:rFonts w:hint="eastAsia" w:ascii="宋体" w:hAnsi="宋体" w:eastAsia="宋体"/>
          <w:sz w:val="24"/>
          <w:szCs w:val="24"/>
          <w:highlight w:val="none"/>
        </w:rPr>
        <w:t>3.4供应商的最总得分</w:t>
      </w:r>
    </w:p>
    <w:p w14:paraId="4D57C0D6">
      <w:pPr>
        <w:pageBreakBefore w:val="0"/>
        <w:wordWrap/>
        <w:overflowPunct/>
        <w:bidi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（1）计算分值均保留两位小数。</w:t>
      </w:r>
    </w:p>
    <w:p w14:paraId="3A8D9E05">
      <w:pPr>
        <w:pStyle w:val="23"/>
        <w:keepNext w:val="0"/>
        <w:keepLines w:val="0"/>
        <w:pageBreakBefore w:val="0"/>
        <w:wordWrap/>
        <w:overflowPunct/>
        <w:bidi w:val="0"/>
        <w:spacing w:line="360" w:lineRule="auto"/>
        <w:rPr>
          <w:rFonts w:ascii="宋体" w:hAnsi="宋体" w:eastAsia="宋体"/>
          <w:sz w:val="24"/>
          <w:szCs w:val="24"/>
          <w:highlight w:val="none"/>
        </w:rPr>
      </w:pPr>
      <w:r>
        <w:rPr>
          <w:rFonts w:hint="eastAsia" w:ascii="宋体" w:hAnsi="宋体" w:eastAsia="宋体"/>
          <w:sz w:val="24"/>
          <w:szCs w:val="24"/>
          <w:highlight w:val="none"/>
        </w:rPr>
        <w:t>3.5评标结果</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5F3FC35">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3.5.1评标委员会按照得分由高到低的顺序推荐3名中标候选人。</w:t>
      </w:r>
    </w:p>
    <w:p w14:paraId="5C1F67A7">
      <w:pPr>
        <w:pageBreakBefore w:val="0"/>
        <w:wordWrap/>
        <w:overflowPunct/>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 评标委员会完成评标后，应当向采购人提交书面评标报告。</w:t>
      </w:r>
    </w:p>
    <w:p w14:paraId="3BD848CF">
      <w:pPr>
        <w:pageBreakBefore w:val="0"/>
        <w:wordWrap/>
        <w:overflowPunct/>
        <w:bidi w:val="0"/>
        <w:spacing w:line="360" w:lineRule="auto"/>
        <w:jc w:val="left"/>
        <w:textAlignment w:val="auto"/>
        <w:rPr>
          <w:rFonts w:ascii="宋体" w:hAnsi="宋体"/>
          <w:b/>
          <w:bCs/>
          <w:color w:val="auto"/>
          <w:kern w:val="44"/>
          <w:sz w:val="24"/>
          <w:szCs w:val="24"/>
          <w:highlight w:val="none"/>
        </w:rPr>
      </w:pPr>
      <w:r>
        <w:rPr>
          <w:rFonts w:ascii="宋体" w:hAnsi="宋体"/>
          <w:sz w:val="24"/>
          <w:szCs w:val="24"/>
          <w:highlight w:val="none"/>
        </w:rPr>
        <w:br w:type="page"/>
      </w:r>
    </w:p>
    <w:p w14:paraId="736E108D">
      <w:pPr>
        <w:pageBreakBefore w:val="0"/>
        <w:wordWrap/>
        <w:overflowPunct/>
        <w:bidi w:val="0"/>
        <w:spacing w:line="360" w:lineRule="auto"/>
        <w:jc w:val="center"/>
        <w:outlineLvl w:val="0"/>
        <w:rPr>
          <w:rFonts w:hint="eastAsia"/>
          <w:b/>
          <w:bCs/>
          <w:sz w:val="44"/>
          <w:szCs w:val="40"/>
        </w:rPr>
      </w:pPr>
      <w:bookmarkStart w:id="146" w:name="_Toc12204"/>
      <w:r>
        <w:rPr>
          <w:rFonts w:hint="eastAsia"/>
          <w:b/>
          <w:bCs/>
          <w:sz w:val="44"/>
          <w:szCs w:val="40"/>
        </w:rPr>
        <w:t xml:space="preserve">第四章  </w:t>
      </w:r>
      <w:bookmarkEnd w:id="69"/>
      <w:r>
        <w:rPr>
          <w:rFonts w:hint="eastAsia"/>
          <w:b/>
          <w:bCs/>
          <w:sz w:val="44"/>
          <w:szCs w:val="40"/>
        </w:rPr>
        <w:t>采购内容及要求</w:t>
      </w:r>
      <w:bookmarkEnd w:id="146"/>
    </w:p>
    <w:p w14:paraId="585BD993">
      <w:pPr>
        <w:pageBreakBefore w:val="0"/>
        <w:wordWrap/>
        <w:overflowPunct/>
        <w:bidi w:val="0"/>
        <w:spacing w:line="360" w:lineRule="auto"/>
        <w:ind w:firstLine="480" w:firstLineChars="200"/>
        <w:rPr>
          <w:rFonts w:hint="eastAsia" w:ascii="宋体" w:hAnsi="宋体"/>
          <w:sz w:val="24"/>
          <w:szCs w:val="24"/>
        </w:rPr>
      </w:pPr>
      <w:r>
        <w:rPr>
          <w:rFonts w:hint="eastAsia" w:ascii="宋体" w:hAnsi="宋体"/>
          <w:sz w:val="24"/>
          <w:szCs w:val="24"/>
        </w:rPr>
        <w:t>根据</w:t>
      </w:r>
      <w:r>
        <w:rPr>
          <w:rFonts w:hint="eastAsia" w:ascii="宋体" w:hAnsi="宋体"/>
          <w:color w:val="auto"/>
          <w:sz w:val="24"/>
          <w:szCs w:val="24"/>
          <w:lang w:eastAsia="zh-CN"/>
        </w:rPr>
        <w:t>三门峡市城市建设发展服务中心</w:t>
      </w:r>
      <w:r>
        <w:rPr>
          <w:rFonts w:hint="eastAsia" w:ascii="宋体" w:hAnsi="宋体"/>
          <w:sz w:val="24"/>
          <w:szCs w:val="24"/>
        </w:rPr>
        <w:t>《关于</w:t>
      </w:r>
      <w:r>
        <w:rPr>
          <w:rFonts w:hint="eastAsia" w:ascii="宋体" w:hAnsi="宋体"/>
          <w:sz w:val="24"/>
          <w:szCs w:val="24"/>
          <w:lang w:val="en-US" w:eastAsia="zh-CN"/>
        </w:rPr>
        <w:t>2025</w:t>
      </w:r>
      <w:r>
        <w:rPr>
          <w:rFonts w:hint="eastAsia" w:ascii="宋体" w:hAnsi="宋体"/>
          <w:sz w:val="24"/>
          <w:szCs w:val="24"/>
        </w:rPr>
        <w:t>年度城市道路维护抢险作业采购沥青混凝土</w:t>
      </w:r>
      <w:r>
        <w:rPr>
          <w:rFonts w:hint="eastAsia" w:ascii="宋体" w:hAnsi="宋体"/>
          <w:sz w:val="24"/>
          <w:szCs w:val="24"/>
          <w:lang w:val="en-US" w:eastAsia="zh-CN"/>
        </w:rPr>
        <w:t>材料</w:t>
      </w:r>
      <w:r>
        <w:rPr>
          <w:rFonts w:hint="eastAsia" w:ascii="宋体" w:hAnsi="宋体"/>
          <w:sz w:val="24"/>
          <w:szCs w:val="24"/>
        </w:rPr>
        <w:t>招标的请示》（</w:t>
      </w:r>
      <w:r>
        <w:rPr>
          <w:rFonts w:hint="eastAsia" w:ascii="宋体" w:hAnsi="宋体"/>
          <w:sz w:val="24"/>
          <w:szCs w:val="24"/>
          <w:lang w:val="en-US" w:eastAsia="zh-CN"/>
        </w:rPr>
        <w:t>三城建服务</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〕1号）</w:t>
      </w:r>
      <w:r>
        <w:rPr>
          <w:rFonts w:hint="eastAsia" w:ascii="宋体" w:hAnsi="宋体"/>
          <w:sz w:val="24"/>
          <w:szCs w:val="24"/>
          <w:highlight w:val="none"/>
        </w:rPr>
        <w:t>和市财政局（三财预〔202</w:t>
      </w:r>
      <w:r>
        <w:rPr>
          <w:rFonts w:hint="eastAsia" w:ascii="宋体" w:hAnsi="宋体"/>
          <w:sz w:val="24"/>
          <w:szCs w:val="24"/>
          <w:highlight w:val="none"/>
          <w:lang w:val="en-US" w:eastAsia="zh-CN"/>
        </w:rPr>
        <w:t>5</w:t>
      </w:r>
      <w:r>
        <w:rPr>
          <w:rFonts w:hint="eastAsia" w:ascii="宋体" w:hAnsi="宋体"/>
          <w:sz w:val="24"/>
          <w:szCs w:val="24"/>
          <w:highlight w:val="none"/>
        </w:rPr>
        <w:t>〕60号）文件安排的部门预算</w:t>
      </w:r>
      <w:r>
        <w:rPr>
          <w:rFonts w:hint="eastAsia" w:ascii="宋体" w:hAnsi="宋体"/>
          <w:sz w:val="24"/>
          <w:szCs w:val="24"/>
        </w:rPr>
        <w:t>。</w:t>
      </w:r>
      <w:r>
        <w:rPr>
          <w:rFonts w:hint="eastAsia" w:ascii="宋体" w:hAnsi="宋体"/>
          <w:color w:val="auto"/>
          <w:sz w:val="24"/>
          <w:szCs w:val="24"/>
        </w:rPr>
        <w:t>本项目为三门峡市市区城市道路202</w:t>
      </w:r>
      <w:r>
        <w:rPr>
          <w:rFonts w:hint="eastAsia" w:ascii="宋体" w:hAnsi="宋体"/>
          <w:color w:val="auto"/>
          <w:sz w:val="24"/>
          <w:szCs w:val="24"/>
          <w:lang w:val="en-US" w:eastAsia="zh-CN"/>
        </w:rPr>
        <w:t>5</w:t>
      </w:r>
      <w:r>
        <w:rPr>
          <w:rFonts w:hint="eastAsia" w:ascii="宋体" w:hAnsi="宋体"/>
          <w:color w:val="auto"/>
          <w:sz w:val="24"/>
          <w:szCs w:val="24"/>
        </w:rPr>
        <w:t>年度实施日常养护、专项维护、应急抢险等养护维修任务时采购的沥青混凝土</w:t>
      </w:r>
      <w:r>
        <w:rPr>
          <w:rFonts w:hint="eastAsia" w:ascii="宋体" w:hAnsi="宋体"/>
          <w:color w:val="auto"/>
          <w:sz w:val="24"/>
          <w:szCs w:val="24"/>
          <w:lang w:val="en-US" w:eastAsia="zh-CN"/>
        </w:rPr>
        <w:t>维修材料</w:t>
      </w:r>
      <w:r>
        <w:rPr>
          <w:rFonts w:hint="eastAsia" w:ascii="宋体" w:hAnsi="宋体"/>
          <w:color w:val="auto"/>
          <w:sz w:val="24"/>
          <w:szCs w:val="24"/>
        </w:rPr>
        <w:t>进行招标，拟采用单价招标</w:t>
      </w:r>
      <w:r>
        <w:rPr>
          <w:rFonts w:hint="eastAsia" w:ascii="宋体" w:hAnsi="宋体"/>
          <w:color w:val="auto"/>
          <w:sz w:val="24"/>
          <w:szCs w:val="24"/>
          <w:lang w:eastAsia="zh-CN"/>
        </w:rPr>
        <w:t>，</w:t>
      </w:r>
      <w:r>
        <w:rPr>
          <w:rFonts w:hint="eastAsia" w:ascii="宋体" w:hAnsi="宋体"/>
          <w:sz w:val="24"/>
          <w:szCs w:val="24"/>
        </w:rPr>
        <w:t>以公开招标的方式进行公开采购</w:t>
      </w:r>
      <w:r>
        <w:rPr>
          <w:rFonts w:hint="eastAsia" w:ascii="宋体" w:hAnsi="宋体"/>
          <w:color w:val="auto"/>
          <w:sz w:val="24"/>
          <w:szCs w:val="24"/>
        </w:rPr>
        <w:t>。本采购项目拟以三门峡市定额站发布的202</w:t>
      </w:r>
      <w:r>
        <w:rPr>
          <w:rFonts w:hint="eastAsia" w:ascii="宋体" w:hAnsi="宋体"/>
          <w:color w:val="auto"/>
          <w:sz w:val="24"/>
          <w:szCs w:val="24"/>
          <w:lang w:val="en-US" w:eastAsia="zh-CN"/>
        </w:rPr>
        <w:t>5</w:t>
      </w:r>
      <w:r>
        <w:rPr>
          <w:rFonts w:hint="eastAsia" w:ascii="宋体" w:hAnsi="宋体"/>
          <w:color w:val="auto"/>
          <w:sz w:val="24"/>
          <w:szCs w:val="24"/>
        </w:rPr>
        <w:t>年当期《三门峡工程标准造价信息》中</w:t>
      </w:r>
      <w:r>
        <w:rPr>
          <w:rFonts w:hint="eastAsia" w:ascii="宋体" w:hAnsi="宋体" w:eastAsia="宋体" w:cs="宋体"/>
          <w:sz w:val="24"/>
          <w:szCs w:val="24"/>
          <w:highlight w:val="none"/>
          <w:lang w:val="en-US" w:eastAsia="zh-CN"/>
        </w:rPr>
        <w:t>沥青混凝土</w:t>
      </w:r>
      <w:r>
        <w:rPr>
          <w:rFonts w:hint="eastAsia" w:ascii="宋体" w:hAnsi="宋体"/>
          <w:color w:val="auto"/>
          <w:sz w:val="24"/>
          <w:szCs w:val="24"/>
        </w:rPr>
        <w:t>的价格为基准价，各</w:t>
      </w:r>
      <w:r>
        <w:rPr>
          <w:rFonts w:hint="eastAsia" w:ascii="宋体" w:hAnsi="宋体"/>
          <w:color w:val="auto"/>
          <w:sz w:val="24"/>
          <w:szCs w:val="24"/>
          <w:lang w:val="en-US" w:eastAsia="zh-CN"/>
        </w:rPr>
        <w:t>供应商</w:t>
      </w:r>
      <w:r>
        <w:rPr>
          <w:rFonts w:hint="eastAsia" w:ascii="宋体" w:hAnsi="宋体"/>
          <w:color w:val="auto"/>
          <w:sz w:val="24"/>
          <w:szCs w:val="24"/>
        </w:rPr>
        <w:t>以下浮百分比</w:t>
      </w:r>
      <w:r>
        <w:rPr>
          <w:rFonts w:hint="eastAsia" w:ascii="宋体" w:hAnsi="宋体"/>
          <w:color w:val="auto"/>
          <w:sz w:val="24"/>
          <w:szCs w:val="24"/>
          <w:lang w:val="en-US" w:eastAsia="zh-CN"/>
        </w:rPr>
        <w:t>后的数值</w:t>
      </w:r>
      <w:r>
        <w:rPr>
          <w:rFonts w:hint="eastAsia" w:ascii="宋体" w:hAnsi="宋体"/>
          <w:color w:val="auto"/>
          <w:sz w:val="24"/>
          <w:szCs w:val="24"/>
        </w:rPr>
        <w:t>进行报价。采购完成后，结算时按照供料时间当期信息价，下浮百分比</w:t>
      </w:r>
      <w:r>
        <w:rPr>
          <w:rFonts w:hint="eastAsia" w:ascii="宋体" w:hAnsi="宋体"/>
          <w:color w:val="auto"/>
          <w:sz w:val="24"/>
          <w:szCs w:val="24"/>
          <w:lang w:val="en-US" w:eastAsia="zh-CN"/>
        </w:rPr>
        <w:t>后的数值</w:t>
      </w:r>
      <w:r>
        <w:rPr>
          <w:rFonts w:hint="eastAsia" w:ascii="宋体" w:hAnsi="宋体"/>
          <w:color w:val="auto"/>
          <w:sz w:val="24"/>
          <w:szCs w:val="24"/>
        </w:rPr>
        <w:t>进行结算。</w:t>
      </w:r>
    </w:p>
    <w:bookmarkEnd w:id="65"/>
    <w:bookmarkEnd w:id="66"/>
    <w:bookmarkEnd w:id="70"/>
    <w:bookmarkEnd w:id="71"/>
    <w:p w14:paraId="59CEFDEA">
      <w:pPr>
        <w:pageBreakBefore w:val="0"/>
        <w:wordWrap/>
        <w:overflowPunct/>
        <w:bidi w:val="0"/>
        <w:spacing w:line="360" w:lineRule="auto"/>
        <w:jc w:val="left"/>
        <w:textAlignment w:val="auto"/>
        <w:rPr>
          <w:rFonts w:hint="eastAsia" w:ascii="宋体" w:hAnsi="宋体" w:eastAsia="宋体"/>
          <w:b/>
          <w:bCs/>
          <w:color w:val="auto"/>
          <w:kern w:val="44"/>
          <w:sz w:val="30"/>
          <w:szCs w:val="30"/>
          <w:lang w:eastAsia="zh-CN"/>
        </w:rPr>
      </w:pPr>
      <w:bookmarkStart w:id="147" w:name="_Toc454525915"/>
      <w:bookmarkStart w:id="148" w:name="_Toc452908015"/>
      <w:bookmarkStart w:id="149" w:name="_Toc29246"/>
      <w:bookmarkStart w:id="150" w:name="_Toc452907945"/>
      <w:r>
        <w:rPr>
          <w:rFonts w:ascii="宋体" w:hAnsi="宋体"/>
          <w:sz w:val="30"/>
          <w:szCs w:val="30"/>
        </w:rPr>
        <w:br w:type="page"/>
      </w:r>
    </w:p>
    <w:p w14:paraId="74EFD86A">
      <w:pPr>
        <w:pageBreakBefore w:val="0"/>
        <w:wordWrap/>
        <w:overflowPunct/>
        <w:bidi w:val="0"/>
        <w:spacing w:line="360" w:lineRule="auto"/>
        <w:jc w:val="center"/>
        <w:outlineLvl w:val="0"/>
        <w:rPr>
          <w:rFonts w:hint="eastAsia"/>
          <w:b/>
          <w:bCs/>
          <w:sz w:val="44"/>
          <w:szCs w:val="40"/>
          <w:highlight w:val="none"/>
        </w:rPr>
      </w:pPr>
      <w:bookmarkStart w:id="151" w:name="_Toc14844"/>
      <w:r>
        <w:rPr>
          <w:rFonts w:hint="eastAsia"/>
          <w:b/>
          <w:bCs/>
          <w:sz w:val="44"/>
          <w:szCs w:val="40"/>
          <w:highlight w:val="none"/>
        </w:rPr>
        <w:t>第五章  合同条款及格式</w:t>
      </w:r>
      <w:bookmarkEnd w:id="147"/>
      <w:bookmarkEnd w:id="148"/>
      <w:bookmarkEnd w:id="149"/>
      <w:bookmarkEnd w:id="150"/>
      <w:bookmarkEnd w:id="151"/>
    </w:p>
    <w:p w14:paraId="304E559E">
      <w:pPr>
        <w:pageBreakBefore w:val="0"/>
        <w:wordWrap/>
        <w:overflowPunct/>
        <w:bidi w:val="0"/>
        <w:spacing w:line="360" w:lineRule="auto"/>
        <w:ind w:right="120" w:firstLine="559"/>
        <w:jc w:val="center"/>
        <w:outlineLvl w:val="9"/>
        <w:rPr>
          <w:rFonts w:ascii="宋体" w:hAnsi="宋体"/>
          <w:color w:val="auto"/>
          <w:sz w:val="24"/>
          <w:szCs w:val="24"/>
          <w:highlight w:val="none"/>
        </w:rPr>
      </w:pPr>
      <w:bookmarkStart w:id="152" w:name="_Toc422041002"/>
      <w:bookmarkStart w:id="153" w:name="_Toc421648791"/>
      <w:bookmarkStart w:id="154" w:name="_Toc454525916"/>
      <w:bookmarkStart w:id="155" w:name="_Toc452907949"/>
      <w:bookmarkStart w:id="156" w:name="_Toc452908016"/>
      <w:r>
        <w:rPr>
          <w:rFonts w:ascii="宋体" w:hAnsi="宋体"/>
          <w:sz w:val="24"/>
          <w:szCs w:val="24"/>
          <w:highlight w:val="none"/>
        </w:rPr>
        <w:t>（</w:t>
      </w:r>
      <w:r>
        <w:rPr>
          <w:rFonts w:hint="eastAsia" w:ascii="宋体" w:hAnsi="宋体"/>
          <w:sz w:val="24"/>
          <w:szCs w:val="24"/>
          <w:highlight w:val="none"/>
        </w:rPr>
        <w:t>以双方最终协商签订的</w:t>
      </w:r>
      <w:r>
        <w:rPr>
          <w:rFonts w:ascii="宋体" w:hAnsi="宋体"/>
          <w:sz w:val="24"/>
          <w:szCs w:val="24"/>
          <w:highlight w:val="none"/>
        </w:rPr>
        <w:t>合同为准</w:t>
      </w:r>
      <w:r>
        <w:rPr>
          <w:rFonts w:hint="eastAsia" w:ascii="宋体" w:hAnsi="宋体"/>
          <w:sz w:val="24"/>
          <w:szCs w:val="24"/>
          <w:highlight w:val="none"/>
        </w:rPr>
        <w:t>）</w:t>
      </w:r>
    </w:p>
    <w:p w14:paraId="483752A8">
      <w:pPr>
        <w:pageBreakBefore w:val="0"/>
        <w:wordWrap/>
        <w:overflowPunct/>
        <w:bidi w:val="0"/>
        <w:spacing w:line="360" w:lineRule="auto"/>
        <w:ind w:right="120" w:firstLine="559"/>
        <w:outlineLvl w:val="9"/>
        <w:rPr>
          <w:rFonts w:hint="eastAsia" w:ascii="宋体" w:hAnsi="宋体"/>
          <w:color w:val="auto"/>
          <w:sz w:val="24"/>
          <w:szCs w:val="24"/>
          <w:highlight w:val="none"/>
        </w:rPr>
      </w:pPr>
      <w:r>
        <w:rPr>
          <w:rFonts w:hint="eastAsia" w:ascii="宋体" w:hAnsi="宋体"/>
          <w:color w:val="auto"/>
          <w:sz w:val="24"/>
          <w:szCs w:val="24"/>
          <w:highlight w:val="none"/>
        </w:rPr>
        <w:t>根据《中华人民共和国民法典》等相关法律以及本项目招标文件的要求及供应商的承诺，甲、乙双方在签订合同时协商确定。</w:t>
      </w:r>
    </w:p>
    <w:p w14:paraId="7B0C6174">
      <w:pPr>
        <w:pStyle w:val="2"/>
        <w:spacing w:line="360" w:lineRule="auto"/>
        <w:ind w:firstLine="480" w:firstLineChars="200"/>
        <w:rPr>
          <w:rFonts w:hint="eastAsia" w:ascii="宋体" w:hAnsi="宋体" w:eastAsia="宋体" w:cs="Times New Roman"/>
          <w:b w:val="0"/>
          <w:bCs w:val="0"/>
          <w:color w:val="auto"/>
          <w:sz w:val="24"/>
          <w:szCs w:val="24"/>
          <w:highlight w:val="none"/>
          <w:u w:color="000000"/>
          <w:lang w:val="en-US" w:eastAsia="zh-CN" w:bidi="ar-SA"/>
        </w:rPr>
      </w:pPr>
      <w:r>
        <w:rPr>
          <w:rFonts w:hint="eastAsia" w:ascii="宋体" w:hAnsi="宋体" w:eastAsia="宋体" w:cs="Times New Roman"/>
          <w:b w:val="0"/>
          <w:bCs w:val="0"/>
          <w:color w:val="auto"/>
          <w:sz w:val="24"/>
          <w:szCs w:val="24"/>
          <w:highlight w:val="none"/>
          <w:u w:color="000000"/>
          <w:lang w:val="en-US" w:eastAsia="zh-CN" w:bidi="ar-SA"/>
        </w:rPr>
        <w:t>按《三门峡市财政局关于市本级政府采购合同备案管理工作的通知》（三财购[2021]9号）文要求，集中采购目录以外政府采购项目，原则上自成交通知书发出之日起2个工作日内与中标（成交）供应商按照采购文件确定的事项与供应商签订政府采购合同。</w:t>
      </w:r>
    </w:p>
    <w:p w14:paraId="0D6AE315">
      <w:pPr>
        <w:pageBreakBefore w:val="0"/>
        <w:wordWrap/>
        <w:overflowPunct/>
        <w:bidi w:val="0"/>
        <w:spacing w:line="360" w:lineRule="auto"/>
        <w:ind w:firstLine="480"/>
        <w:jc w:val="center"/>
        <w:outlineLvl w:val="9"/>
        <w:rPr>
          <w:rFonts w:ascii="宋体" w:hAnsi="宋体"/>
          <w:b/>
          <w:bCs/>
          <w:color w:val="auto"/>
          <w:sz w:val="24"/>
          <w:szCs w:val="24"/>
          <w:highlight w:val="none"/>
        </w:rPr>
      </w:pPr>
      <w:r>
        <w:rPr>
          <w:rFonts w:hint="eastAsia" w:ascii="宋体" w:hAnsi="宋体"/>
          <w:b/>
          <w:bCs/>
          <w:color w:val="auto"/>
          <w:sz w:val="24"/>
          <w:szCs w:val="24"/>
          <w:highlight w:val="none"/>
        </w:rPr>
        <w:t>项目政府采购合同</w:t>
      </w:r>
    </w:p>
    <w:p w14:paraId="58964D42">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合同编号：</w:t>
      </w:r>
    </w:p>
    <w:p w14:paraId="191EB266">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项目名称：</w:t>
      </w:r>
    </w:p>
    <w:p w14:paraId="49AEA93A">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合同名称：</w:t>
      </w:r>
    </w:p>
    <w:p w14:paraId="4C9EFC6C">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项目编号：</w:t>
      </w:r>
    </w:p>
    <w:p w14:paraId="0A4699B9">
      <w:pPr>
        <w:pageBreakBefore w:val="0"/>
        <w:wordWrap/>
        <w:overflowPunct/>
        <w:bidi w:val="0"/>
        <w:snapToGrid w:val="0"/>
        <w:spacing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甲方：</w:t>
      </w:r>
      <w:r>
        <w:rPr>
          <w:rFonts w:hint="eastAsia" w:ascii="宋体" w:hAnsi="宋体"/>
          <w:b/>
          <w:bCs/>
          <w:color w:val="auto"/>
          <w:sz w:val="24"/>
          <w:szCs w:val="24"/>
          <w:highlight w:val="none"/>
          <w:u w:val="single"/>
        </w:rPr>
        <w:t>（采购单位）</w:t>
      </w:r>
    </w:p>
    <w:p w14:paraId="5184038E">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color w:val="auto"/>
          <w:sz w:val="24"/>
          <w:szCs w:val="24"/>
          <w:highlight w:val="none"/>
        </w:rPr>
        <w:t>乙方：</w:t>
      </w:r>
      <w:r>
        <w:rPr>
          <w:rFonts w:hint="eastAsia" w:ascii="宋体" w:hAnsi="宋体"/>
          <w:b/>
          <w:bCs/>
          <w:color w:val="auto"/>
          <w:sz w:val="24"/>
          <w:szCs w:val="24"/>
          <w:highlight w:val="none"/>
          <w:u w:val="single"/>
        </w:rPr>
        <w:t>（中标供应商）</w:t>
      </w:r>
    </w:p>
    <w:p w14:paraId="50894503">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1．总则</w:t>
      </w:r>
    </w:p>
    <w:p w14:paraId="3D29698B">
      <w:pPr>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甲、乙双方根据年月日</w:t>
      </w:r>
      <w:r>
        <w:rPr>
          <w:rFonts w:hint="eastAsia" w:ascii="宋体" w:hAnsi="宋体"/>
          <w:color w:val="auto"/>
          <w:sz w:val="24"/>
          <w:szCs w:val="24"/>
          <w:highlight w:val="none"/>
          <w:u w:val="single"/>
        </w:rPr>
        <w:t xml:space="preserve">       (采购单位)     </w:t>
      </w:r>
      <w:r>
        <w:rPr>
          <w:rFonts w:hint="eastAsia" w:ascii="宋体" w:hAnsi="宋体"/>
          <w:color w:val="auto"/>
          <w:sz w:val="24"/>
          <w:szCs w:val="24"/>
          <w:highlight w:val="none"/>
        </w:rPr>
        <w:t>的项目(以下简称本项目)的采购(或成交)结果，甲方同意接受乙方为本项目采购所做的投标文件(或询价文件)，乙方必须完全按中标(或成交)通知书和本合同条款履行义务。甲、乙双方同意签署本合同。</w:t>
      </w:r>
    </w:p>
    <w:p w14:paraId="78C2D116">
      <w:pPr>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注:本项目合同由中标单位与需方签订。</w:t>
      </w:r>
    </w:p>
    <w:p w14:paraId="64DC1FCB">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2．合同文件</w:t>
      </w:r>
    </w:p>
    <w:p w14:paraId="6BBC90AD">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2.1   本合同条款。</w:t>
      </w:r>
    </w:p>
    <w:p w14:paraId="3C072633">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2.2   中标通知书(或成交通知书)。</w:t>
      </w:r>
    </w:p>
    <w:p w14:paraId="795134FC">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2.3   开标一览表。</w:t>
      </w:r>
    </w:p>
    <w:p w14:paraId="3B6AAC2C">
      <w:pPr>
        <w:pageBreakBefore w:val="0"/>
        <w:wordWrap/>
        <w:overflowPunct/>
        <w:bidi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2.4   变更补充文件。</w:t>
      </w:r>
    </w:p>
    <w:p w14:paraId="065BDAF2">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color w:val="auto"/>
          <w:sz w:val="24"/>
          <w:szCs w:val="24"/>
          <w:highlight w:val="none"/>
        </w:rPr>
        <w:t>2.5   技术规格及要求。</w:t>
      </w:r>
    </w:p>
    <w:p w14:paraId="0CEB29EB">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2.6   招标文件。</w:t>
      </w:r>
    </w:p>
    <w:p w14:paraId="34B3D218">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2.7   其它。</w:t>
      </w:r>
    </w:p>
    <w:p w14:paraId="718FC59F">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color w:val="auto"/>
          <w:sz w:val="24"/>
          <w:szCs w:val="24"/>
          <w:highlight w:val="none"/>
        </w:rPr>
        <w:t>上述所指合同文件应认为是互相补充和解释的，但是有模棱两可或互相矛盾之处，以其所列内容先后顺序为准。</w:t>
      </w:r>
    </w:p>
    <w:p w14:paraId="339D5BF9">
      <w:pPr>
        <w:pageBreakBefore w:val="0"/>
        <w:wordWrap/>
        <w:overflowPunct/>
        <w:bidi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3．货物名称、型号、规格、配置、技术参数、数量及合同价款</w:t>
      </w:r>
    </w:p>
    <w:tbl>
      <w:tblPr>
        <w:tblStyle w:val="16"/>
        <w:tblW w:w="0" w:type="auto"/>
        <w:tblInd w:w="108" w:type="dxa"/>
        <w:tblLayout w:type="fixed"/>
        <w:tblCellMar>
          <w:top w:w="0" w:type="dxa"/>
          <w:left w:w="108" w:type="dxa"/>
          <w:bottom w:w="0" w:type="dxa"/>
          <w:right w:w="108" w:type="dxa"/>
        </w:tblCellMar>
      </w:tblPr>
      <w:tblGrid>
        <w:gridCol w:w="689"/>
        <w:gridCol w:w="1516"/>
        <w:gridCol w:w="3324"/>
        <w:gridCol w:w="708"/>
        <w:gridCol w:w="727"/>
        <w:gridCol w:w="936"/>
        <w:gridCol w:w="889"/>
        <w:gridCol w:w="1276"/>
      </w:tblGrid>
      <w:tr w14:paraId="2E2035FA">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36DE38FF">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序号</w:t>
            </w:r>
          </w:p>
        </w:tc>
        <w:tc>
          <w:tcPr>
            <w:tcW w:w="1516" w:type="dxa"/>
            <w:tcBorders>
              <w:top w:val="single" w:color="auto" w:sz="4" w:space="0"/>
              <w:left w:val="nil"/>
              <w:bottom w:val="single" w:color="auto" w:sz="4" w:space="0"/>
              <w:right w:val="single" w:color="auto" w:sz="4" w:space="0"/>
            </w:tcBorders>
            <w:vAlign w:val="center"/>
          </w:tcPr>
          <w:p w14:paraId="063D6ACD">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名称</w:t>
            </w:r>
          </w:p>
        </w:tc>
        <w:tc>
          <w:tcPr>
            <w:tcW w:w="3324" w:type="dxa"/>
            <w:tcBorders>
              <w:top w:val="single" w:color="auto" w:sz="4" w:space="0"/>
              <w:left w:val="nil"/>
              <w:bottom w:val="single" w:color="auto" w:sz="4" w:space="0"/>
              <w:right w:val="single" w:color="auto" w:sz="4" w:space="0"/>
            </w:tcBorders>
            <w:vAlign w:val="center"/>
          </w:tcPr>
          <w:p w14:paraId="7D36FDFB">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产品参数</w:t>
            </w:r>
          </w:p>
        </w:tc>
        <w:tc>
          <w:tcPr>
            <w:tcW w:w="708" w:type="dxa"/>
            <w:tcBorders>
              <w:top w:val="single" w:color="auto" w:sz="4" w:space="0"/>
              <w:left w:val="nil"/>
              <w:bottom w:val="single" w:color="auto" w:sz="4" w:space="0"/>
              <w:right w:val="single" w:color="auto" w:sz="4" w:space="0"/>
            </w:tcBorders>
            <w:vAlign w:val="center"/>
          </w:tcPr>
          <w:p w14:paraId="41BA7946">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单位</w:t>
            </w:r>
          </w:p>
        </w:tc>
        <w:tc>
          <w:tcPr>
            <w:tcW w:w="727" w:type="dxa"/>
            <w:tcBorders>
              <w:top w:val="single" w:color="auto" w:sz="4" w:space="0"/>
              <w:left w:val="nil"/>
              <w:bottom w:val="single" w:color="auto" w:sz="4" w:space="0"/>
              <w:right w:val="single" w:color="auto" w:sz="4" w:space="0"/>
            </w:tcBorders>
            <w:vAlign w:val="center"/>
          </w:tcPr>
          <w:p w14:paraId="29CB4C45">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数量</w:t>
            </w:r>
          </w:p>
        </w:tc>
        <w:tc>
          <w:tcPr>
            <w:tcW w:w="936" w:type="dxa"/>
            <w:tcBorders>
              <w:top w:val="single" w:color="auto" w:sz="4" w:space="0"/>
              <w:left w:val="nil"/>
              <w:bottom w:val="single" w:color="auto" w:sz="4" w:space="0"/>
              <w:right w:val="single" w:color="auto" w:sz="4" w:space="0"/>
            </w:tcBorders>
            <w:vAlign w:val="center"/>
          </w:tcPr>
          <w:p w14:paraId="7739C4BC">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单价(元)</w:t>
            </w:r>
          </w:p>
        </w:tc>
        <w:tc>
          <w:tcPr>
            <w:tcW w:w="889" w:type="dxa"/>
            <w:tcBorders>
              <w:top w:val="single" w:color="auto" w:sz="4" w:space="0"/>
              <w:left w:val="nil"/>
              <w:bottom w:val="single" w:color="auto" w:sz="4" w:space="0"/>
              <w:right w:val="single" w:color="auto" w:sz="4" w:space="0"/>
            </w:tcBorders>
          </w:tcPr>
          <w:p w14:paraId="7E3D600C">
            <w:pPr>
              <w:pageBreakBefore w:val="0"/>
              <w:widowControl w:val="0"/>
              <w:wordWrap/>
              <w:overflowPunct/>
              <w:bidi w:val="0"/>
              <w:spacing w:line="360" w:lineRule="auto"/>
              <w:jc w:val="center"/>
              <w:outlineLvl w:val="9"/>
              <w:rPr>
                <w:rFonts w:ascii="宋体" w:hAnsi="宋体"/>
                <w:color w:val="auto"/>
                <w:sz w:val="24"/>
                <w:szCs w:val="24"/>
                <w:highlight w:val="none"/>
              </w:rPr>
            </w:pPr>
            <w:r>
              <w:rPr>
                <w:rFonts w:hint="eastAsia" w:ascii="宋体" w:hAnsi="宋体"/>
                <w:color w:val="auto"/>
                <w:sz w:val="24"/>
                <w:szCs w:val="24"/>
                <w:highlight w:val="none"/>
              </w:rPr>
              <w:t>合价(元)</w:t>
            </w:r>
          </w:p>
        </w:tc>
        <w:tc>
          <w:tcPr>
            <w:tcW w:w="1276" w:type="dxa"/>
            <w:tcBorders>
              <w:top w:val="single" w:color="auto" w:sz="4" w:space="0"/>
              <w:left w:val="single" w:color="auto" w:sz="4" w:space="0"/>
              <w:bottom w:val="single" w:color="auto" w:sz="4" w:space="0"/>
              <w:right w:val="single" w:color="auto" w:sz="4" w:space="0"/>
            </w:tcBorders>
            <w:vAlign w:val="center"/>
          </w:tcPr>
          <w:p w14:paraId="139AA107">
            <w:pPr>
              <w:pageBreakBefore w:val="0"/>
              <w:widowControl w:val="0"/>
              <w:wordWrap/>
              <w:overflowPunct/>
              <w:bidi w:val="0"/>
              <w:spacing w:line="360" w:lineRule="auto"/>
              <w:jc w:val="center"/>
              <w:outlineLvl w:val="9"/>
              <w:rPr>
                <w:rFonts w:ascii="宋体" w:hAnsi="宋体"/>
                <w:color w:val="auto"/>
                <w:kern w:val="2"/>
                <w:sz w:val="24"/>
                <w:szCs w:val="24"/>
                <w:highlight w:val="none"/>
              </w:rPr>
            </w:pPr>
            <w:r>
              <w:rPr>
                <w:rFonts w:hint="eastAsia" w:ascii="宋体" w:hAnsi="宋体"/>
                <w:color w:val="auto"/>
                <w:sz w:val="24"/>
                <w:szCs w:val="24"/>
                <w:highlight w:val="none"/>
              </w:rPr>
              <w:t>备注</w:t>
            </w:r>
          </w:p>
        </w:tc>
      </w:tr>
      <w:tr w14:paraId="44BE29A6">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4C386A6">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516" w:type="dxa"/>
            <w:tcBorders>
              <w:top w:val="single" w:color="auto" w:sz="4" w:space="0"/>
              <w:left w:val="nil"/>
              <w:bottom w:val="single" w:color="auto" w:sz="4" w:space="0"/>
              <w:right w:val="single" w:color="auto" w:sz="4" w:space="0"/>
            </w:tcBorders>
            <w:vAlign w:val="center"/>
          </w:tcPr>
          <w:p w14:paraId="7C114513">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3324" w:type="dxa"/>
            <w:tcBorders>
              <w:top w:val="single" w:color="auto" w:sz="4" w:space="0"/>
              <w:left w:val="nil"/>
              <w:bottom w:val="single" w:color="auto" w:sz="4" w:space="0"/>
              <w:right w:val="single" w:color="auto" w:sz="4" w:space="0"/>
            </w:tcBorders>
            <w:vAlign w:val="center"/>
          </w:tcPr>
          <w:p w14:paraId="3D93E1A3">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08" w:type="dxa"/>
            <w:tcBorders>
              <w:top w:val="single" w:color="auto" w:sz="4" w:space="0"/>
              <w:left w:val="nil"/>
              <w:bottom w:val="single" w:color="auto" w:sz="4" w:space="0"/>
              <w:right w:val="single" w:color="auto" w:sz="4" w:space="0"/>
            </w:tcBorders>
            <w:vAlign w:val="center"/>
          </w:tcPr>
          <w:p w14:paraId="6D440E3E">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27" w:type="dxa"/>
            <w:tcBorders>
              <w:top w:val="single" w:color="auto" w:sz="4" w:space="0"/>
              <w:left w:val="nil"/>
              <w:bottom w:val="single" w:color="auto" w:sz="4" w:space="0"/>
              <w:right w:val="single" w:color="auto" w:sz="4" w:space="0"/>
            </w:tcBorders>
            <w:vAlign w:val="center"/>
          </w:tcPr>
          <w:p w14:paraId="66E34D2B">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936" w:type="dxa"/>
            <w:tcBorders>
              <w:top w:val="single" w:color="auto" w:sz="4" w:space="0"/>
              <w:left w:val="nil"/>
              <w:bottom w:val="single" w:color="auto" w:sz="4" w:space="0"/>
              <w:right w:val="single" w:color="auto" w:sz="4" w:space="0"/>
            </w:tcBorders>
            <w:vAlign w:val="center"/>
          </w:tcPr>
          <w:p w14:paraId="39145326">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tcPr>
          <w:p w14:paraId="5BC69B31">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D3C7E17">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r>
      <w:tr w14:paraId="011DE7E6">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E50915B">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516" w:type="dxa"/>
            <w:tcBorders>
              <w:top w:val="single" w:color="auto" w:sz="4" w:space="0"/>
              <w:left w:val="nil"/>
              <w:bottom w:val="single" w:color="auto" w:sz="4" w:space="0"/>
              <w:right w:val="single" w:color="auto" w:sz="4" w:space="0"/>
            </w:tcBorders>
            <w:vAlign w:val="center"/>
          </w:tcPr>
          <w:p w14:paraId="03E537EA">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3324" w:type="dxa"/>
            <w:tcBorders>
              <w:top w:val="single" w:color="auto" w:sz="4" w:space="0"/>
              <w:left w:val="nil"/>
              <w:bottom w:val="single" w:color="auto" w:sz="4" w:space="0"/>
              <w:right w:val="single" w:color="auto" w:sz="4" w:space="0"/>
            </w:tcBorders>
            <w:vAlign w:val="center"/>
          </w:tcPr>
          <w:p w14:paraId="0B9EB60C">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08" w:type="dxa"/>
            <w:tcBorders>
              <w:top w:val="single" w:color="auto" w:sz="4" w:space="0"/>
              <w:left w:val="nil"/>
              <w:bottom w:val="single" w:color="auto" w:sz="4" w:space="0"/>
              <w:right w:val="single" w:color="auto" w:sz="4" w:space="0"/>
            </w:tcBorders>
            <w:vAlign w:val="center"/>
          </w:tcPr>
          <w:p w14:paraId="62BA9A03">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27" w:type="dxa"/>
            <w:tcBorders>
              <w:top w:val="single" w:color="auto" w:sz="4" w:space="0"/>
              <w:left w:val="nil"/>
              <w:bottom w:val="single" w:color="auto" w:sz="4" w:space="0"/>
              <w:right w:val="single" w:color="auto" w:sz="4" w:space="0"/>
            </w:tcBorders>
            <w:vAlign w:val="center"/>
          </w:tcPr>
          <w:p w14:paraId="2BB35303">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936" w:type="dxa"/>
            <w:tcBorders>
              <w:top w:val="single" w:color="auto" w:sz="4" w:space="0"/>
              <w:left w:val="nil"/>
              <w:bottom w:val="single" w:color="auto" w:sz="4" w:space="0"/>
              <w:right w:val="single" w:color="auto" w:sz="4" w:space="0"/>
            </w:tcBorders>
            <w:vAlign w:val="center"/>
          </w:tcPr>
          <w:p w14:paraId="19845F7A">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tcPr>
          <w:p w14:paraId="064F8671">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3E55C97">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r>
      <w:tr w14:paraId="4F27A902">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3560A44">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516" w:type="dxa"/>
            <w:tcBorders>
              <w:top w:val="single" w:color="auto" w:sz="4" w:space="0"/>
              <w:left w:val="nil"/>
              <w:bottom w:val="single" w:color="auto" w:sz="4" w:space="0"/>
              <w:right w:val="single" w:color="auto" w:sz="4" w:space="0"/>
            </w:tcBorders>
            <w:vAlign w:val="center"/>
          </w:tcPr>
          <w:p w14:paraId="46D4B6E2">
            <w:pPr>
              <w:pageBreakBefore w:val="0"/>
              <w:widowControl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sz w:val="24"/>
                <w:szCs w:val="24"/>
                <w:highlight w:val="none"/>
              </w:rPr>
              <w:t>备品备件</w:t>
            </w:r>
          </w:p>
        </w:tc>
        <w:tc>
          <w:tcPr>
            <w:tcW w:w="3324" w:type="dxa"/>
            <w:tcBorders>
              <w:top w:val="single" w:color="auto" w:sz="4" w:space="0"/>
              <w:left w:val="nil"/>
              <w:bottom w:val="single" w:color="auto" w:sz="4" w:space="0"/>
              <w:right w:val="single" w:color="auto" w:sz="4" w:space="0"/>
            </w:tcBorders>
            <w:vAlign w:val="center"/>
          </w:tcPr>
          <w:p w14:paraId="6978DBEF">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08" w:type="dxa"/>
            <w:tcBorders>
              <w:top w:val="single" w:color="auto" w:sz="4" w:space="0"/>
              <w:left w:val="nil"/>
              <w:bottom w:val="single" w:color="auto" w:sz="4" w:space="0"/>
              <w:right w:val="single" w:color="auto" w:sz="4" w:space="0"/>
            </w:tcBorders>
            <w:vAlign w:val="center"/>
          </w:tcPr>
          <w:p w14:paraId="5C9A45E0">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27" w:type="dxa"/>
            <w:tcBorders>
              <w:top w:val="single" w:color="auto" w:sz="4" w:space="0"/>
              <w:left w:val="nil"/>
              <w:bottom w:val="single" w:color="auto" w:sz="4" w:space="0"/>
              <w:right w:val="single" w:color="auto" w:sz="4" w:space="0"/>
            </w:tcBorders>
            <w:vAlign w:val="center"/>
          </w:tcPr>
          <w:p w14:paraId="25778B5A">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936" w:type="dxa"/>
            <w:tcBorders>
              <w:top w:val="single" w:color="auto" w:sz="4" w:space="0"/>
              <w:left w:val="nil"/>
              <w:bottom w:val="single" w:color="auto" w:sz="4" w:space="0"/>
              <w:right w:val="single" w:color="auto" w:sz="4" w:space="0"/>
            </w:tcBorders>
            <w:vAlign w:val="center"/>
          </w:tcPr>
          <w:p w14:paraId="7629C187">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tcPr>
          <w:p w14:paraId="3AF23CF9">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A19E9B4">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r>
      <w:tr w14:paraId="7AC7B5E4">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F8B8D11">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516" w:type="dxa"/>
            <w:tcBorders>
              <w:top w:val="single" w:color="auto" w:sz="4" w:space="0"/>
              <w:left w:val="nil"/>
              <w:bottom w:val="single" w:color="auto" w:sz="4" w:space="0"/>
              <w:right w:val="single" w:color="auto" w:sz="4" w:space="0"/>
            </w:tcBorders>
            <w:vAlign w:val="center"/>
          </w:tcPr>
          <w:p w14:paraId="67AF88C2">
            <w:pPr>
              <w:pageBreakBefore w:val="0"/>
              <w:widowControl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sz w:val="24"/>
                <w:szCs w:val="24"/>
                <w:highlight w:val="none"/>
              </w:rPr>
              <w:t>配套工具</w:t>
            </w:r>
          </w:p>
        </w:tc>
        <w:tc>
          <w:tcPr>
            <w:tcW w:w="3324" w:type="dxa"/>
            <w:tcBorders>
              <w:top w:val="single" w:color="auto" w:sz="4" w:space="0"/>
              <w:left w:val="nil"/>
              <w:bottom w:val="single" w:color="auto" w:sz="4" w:space="0"/>
              <w:right w:val="single" w:color="auto" w:sz="4" w:space="0"/>
            </w:tcBorders>
            <w:vAlign w:val="center"/>
          </w:tcPr>
          <w:p w14:paraId="541E7489">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08" w:type="dxa"/>
            <w:tcBorders>
              <w:top w:val="single" w:color="auto" w:sz="4" w:space="0"/>
              <w:left w:val="nil"/>
              <w:bottom w:val="single" w:color="auto" w:sz="4" w:space="0"/>
              <w:right w:val="single" w:color="auto" w:sz="4" w:space="0"/>
            </w:tcBorders>
            <w:vAlign w:val="center"/>
          </w:tcPr>
          <w:p w14:paraId="2F69817D">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727" w:type="dxa"/>
            <w:tcBorders>
              <w:top w:val="single" w:color="auto" w:sz="4" w:space="0"/>
              <w:left w:val="nil"/>
              <w:bottom w:val="single" w:color="auto" w:sz="4" w:space="0"/>
              <w:right w:val="single" w:color="auto" w:sz="4" w:space="0"/>
            </w:tcBorders>
            <w:vAlign w:val="center"/>
          </w:tcPr>
          <w:p w14:paraId="7D996A74">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936" w:type="dxa"/>
            <w:tcBorders>
              <w:top w:val="single" w:color="auto" w:sz="4" w:space="0"/>
              <w:left w:val="nil"/>
              <w:bottom w:val="single" w:color="auto" w:sz="4" w:space="0"/>
              <w:right w:val="single" w:color="auto" w:sz="4" w:space="0"/>
            </w:tcBorders>
            <w:vAlign w:val="center"/>
          </w:tcPr>
          <w:p w14:paraId="0195E060">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tcPr>
          <w:p w14:paraId="6DCD7CA4">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33A180">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r>
      <w:tr w14:paraId="3B663C1B">
        <w:tblPrEx>
          <w:tblCellMar>
            <w:top w:w="0" w:type="dxa"/>
            <w:left w:w="108" w:type="dxa"/>
            <w:bottom w:w="0" w:type="dxa"/>
            <w:right w:w="108" w:type="dxa"/>
          </w:tblCellMar>
        </w:tblPrEx>
        <w:tc>
          <w:tcPr>
            <w:tcW w:w="6237" w:type="dxa"/>
            <w:gridSpan w:val="4"/>
            <w:tcBorders>
              <w:top w:val="single" w:color="auto" w:sz="4" w:space="0"/>
              <w:left w:val="single" w:color="auto" w:sz="4" w:space="0"/>
              <w:bottom w:val="single" w:color="auto" w:sz="4" w:space="0"/>
              <w:right w:val="single" w:color="auto" w:sz="4" w:space="0"/>
            </w:tcBorders>
            <w:vAlign w:val="center"/>
          </w:tcPr>
          <w:p w14:paraId="5A99D88C">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r>
              <w:rPr>
                <w:rFonts w:hint="eastAsia" w:ascii="宋体" w:hAnsi="宋体"/>
                <w:color w:val="auto"/>
                <w:sz w:val="24"/>
                <w:szCs w:val="24"/>
                <w:highlight w:val="none"/>
              </w:rPr>
              <w:t>合计</w:t>
            </w:r>
          </w:p>
        </w:tc>
        <w:tc>
          <w:tcPr>
            <w:tcW w:w="727" w:type="dxa"/>
            <w:tcBorders>
              <w:top w:val="single" w:color="auto" w:sz="4" w:space="0"/>
              <w:left w:val="nil"/>
              <w:bottom w:val="single" w:color="auto" w:sz="4" w:space="0"/>
              <w:right w:val="single" w:color="auto" w:sz="4" w:space="0"/>
            </w:tcBorders>
            <w:vAlign w:val="center"/>
          </w:tcPr>
          <w:p w14:paraId="5B156247">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936" w:type="dxa"/>
            <w:tcBorders>
              <w:top w:val="single" w:color="auto" w:sz="4" w:space="0"/>
              <w:left w:val="nil"/>
              <w:bottom w:val="single" w:color="auto" w:sz="4" w:space="0"/>
              <w:right w:val="single" w:color="auto" w:sz="4" w:space="0"/>
            </w:tcBorders>
            <w:vAlign w:val="center"/>
          </w:tcPr>
          <w:p w14:paraId="5E681B74">
            <w:pPr>
              <w:pageBreakBefore w:val="0"/>
              <w:widowControl w:val="0"/>
              <w:wordWrap/>
              <w:overflowPunct/>
              <w:bidi w:val="0"/>
              <w:spacing w:line="360" w:lineRule="auto"/>
              <w:ind w:firstLine="600" w:firstLineChars="250"/>
              <w:jc w:val="center"/>
              <w:outlineLvl w:val="9"/>
              <w:rPr>
                <w:rFonts w:ascii="宋体" w:hAnsi="宋体"/>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tcPr>
          <w:p w14:paraId="5AF20CED">
            <w:pPr>
              <w:pageBreakBefore w:val="0"/>
              <w:widowControl w:val="0"/>
              <w:wordWrap/>
              <w:overflowPunct/>
              <w:bidi w:val="0"/>
              <w:spacing w:line="360" w:lineRule="auto"/>
              <w:outlineLvl w:val="9"/>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E6CD7F">
            <w:pPr>
              <w:pageBreakBefore w:val="0"/>
              <w:widowControl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sz w:val="24"/>
                <w:szCs w:val="24"/>
                <w:highlight w:val="none"/>
              </w:rPr>
              <w:t>----</w:t>
            </w:r>
          </w:p>
        </w:tc>
      </w:tr>
      <w:tr w14:paraId="5B7D3EF1">
        <w:tblPrEx>
          <w:tblCellMar>
            <w:top w:w="0" w:type="dxa"/>
            <w:left w:w="108" w:type="dxa"/>
            <w:bottom w:w="0" w:type="dxa"/>
            <w:right w:w="108" w:type="dxa"/>
          </w:tblCellMar>
        </w:tblPrEx>
        <w:tc>
          <w:tcPr>
            <w:tcW w:w="6237" w:type="dxa"/>
            <w:gridSpan w:val="4"/>
            <w:tcBorders>
              <w:top w:val="single" w:color="auto" w:sz="4" w:space="0"/>
              <w:left w:val="single" w:color="auto" w:sz="4" w:space="0"/>
              <w:bottom w:val="single" w:color="auto" w:sz="4" w:space="0"/>
              <w:right w:val="single" w:color="auto" w:sz="4" w:space="0"/>
            </w:tcBorders>
            <w:vAlign w:val="center"/>
          </w:tcPr>
          <w:p w14:paraId="5C1CAFC6">
            <w:pPr>
              <w:pageBreakBefore w:val="0"/>
              <w:widowControl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sz w:val="24"/>
                <w:szCs w:val="24"/>
                <w:highlight w:val="none"/>
              </w:rPr>
              <w:t>合同价款大写：</w:t>
            </w:r>
          </w:p>
        </w:tc>
        <w:tc>
          <w:tcPr>
            <w:tcW w:w="3828" w:type="dxa"/>
            <w:gridSpan w:val="4"/>
            <w:tcBorders>
              <w:top w:val="single" w:color="auto" w:sz="4" w:space="0"/>
              <w:left w:val="nil"/>
              <w:bottom w:val="single" w:color="auto" w:sz="4" w:space="0"/>
              <w:right w:val="single" w:color="auto" w:sz="4" w:space="0"/>
            </w:tcBorders>
          </w:tcPr>
          <w:p w14:paraId="53902235">
            <w:pPr>
              <w:pageBreakBefore w:val="0"/>
              <w:widowControl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kern w:val="2"/>
                <w:sz w:val="24"/>
                <w:szCs w:val="24"/>
                <w:highlight w:val="none"/>
              </w:rPr>
              <w:t>小写：</w:t>
            </w:r>
          </w:p>
        </w:tc>
      </w:tr>
    </w:tbl>
    <w:p w14:paraId="6EE48EC5">
      <w:pPr>
        <w:pageBreakBefore w:val="0"/>
        <w:wordWrap/>
        <w:overflowPunct/>
        <w:bidi w:val="0"/>
        <w:spacing w:line="360" w:lineRule="auto"/>
        <w:outlineLvl w:val="9"/>
        <w:rPr>
          <w:rFonts w:ascii="宋体" w:hAnsi="宋体"/>
          <w:color w:val="auto"/>
          <w:kern w:val="2"/>
          <w:sz w:val="24"/>
          <w:szCs w:val="24"/>
          <w:highlight w:val="none"/>
        </w:rPr>
      </w:pPr>
      <w:r>
        <w:rPr>
          <w:rFonts w:hint="eastAsia" w:ascii="宋体" w:hAnsi="宋体"/>
          <w:color w:val="auto"/>
          <w:sz w:val="24"/>
          <w:szCs w:val="24"/>
          <w:highlight w:val="none"/>
        </w:rPr>
        <w:t>（合同价款包括含货款、标准附件、备品备件、专用工具、包装、运输、装卸、保险、税金、货到就位以及安装、调试、培训、保修等一切税金和费用及其他因本项目而产生的一切费用）。</w:t>
      </w:r>
    </w:p>
    <w:p w14:paraId="514618FF">
      <w:pPr>
        <w:pageBreakBefore w:val="0"/>
        <w:wordWrap/>
        <w:overflowPunct/>
        <w:bidi w:val="0"/>
        <w:snapToGrid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4．合同的范围，交货时间、地点及方式。</w:t>
      </w:r>
    </w:p>
    <w:p w14:paraId="0939CB2D">
      <w:pPr>
        <w:pageBreakBefore w:val="0"/>
        <w:wordWrap/>
        <w:overflowPunct/>
        <w:bidi w:val="0"/>
        <w:snapToGrid w:val="0"/>
        <w:spacing w:line="360" w:lineRule="auto"/>
        <w:ind w:left="753" w:leftChars="-8" w:hanging="770" w:hangingChars="321"/>
        <w:outlineLvl w:val="9"/>
        <w:rPr>
          <w:rFonts w:ascii="宋体" w:hAnsi="宋体"/>
          <w:color w:val="auto"/>
          <w:sz w:val="24"/>
          <w:szCs w:val="24"/>
          <w:highlight w:val="none"/>
        </w:rPr>
      </w:pPr>
      <w:r>
        <w:rPr>
          <w:rFonts w:hint="eastAsia" w:ascii="宋体" w:hAnsi="宋体"/>
          <w:color w:val="auto"/>
          <w:sz w:val="24"/>
          <w:szCs w:val="24"/>
          <w:highlight w:val="none"/>
        </w:rPr>
        <w:t>4.1   合同的范围：仅指</w:t>
      </w:r>
      <w:r>
        <w:rPr>
          <w:rFonts w:hint="eastAsia" w:ascii="宋体" w:hAnsi="宋体"/>
          <w:color w:val="auto"/>
          <w:sz w:val="24"/>
          <w:szCs w:val="24"/>
          <w:highlight w:val="none"/>
          <w:u w:val="single"/>
        </w:rPr>
        <w:t>（采购单位）</w:t>
      </w:r>
      <w:r>
        <w:rPr>
          <w:rFonts w:hint="eastAsia" w:ascii="宋体" w:hAnsi="宋体"/>
          <w:color w:val="auto"/>
          <w:sz w:val="24"/>
          <w:szCs w:val="24"/>
          <w:highlight w:val="none"/>
        </w:rPr>
        <w:t>的项目采购。</w:t>
      </w:r>
    </w:p>
    <w:p w14:paraId="09343D57">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4.2   交货及安装时间：按需方要求。（乙方需保证甲方用料需求，保质、按需、按时供料，如乙方遇特殊情况不能满足甲方需求的，甲方可从其他单位临时进行采购）</w:t>
      </w:r>
    </w:p>
    <w:p w14:paraId="3421EABA">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4.3   交货地点：采购单位指定地点。</w:t>
      </w:r>
    </w:p>
    <w:p w14:paraId="1436BD49">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4.4   交货方式：乙方免费送至甲方指定地。</w:t>
      </w:r>
    </w:p>
    <w:p w14:paraId="13085996">
      <w:pPr>
        <w:pageBreakBefore w:val="0"/>
        <w:wordWrap/>
        <w:overflowPunct/>
        <w:bidi w:val="0"/>
        <w:snapToGrid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5．合同条款及特别条款</w:t>
      </w:r>
    </w:p>
    <w:p w14:paraId="42618E95">
      <w:pPr>
        <w:pageBreakBefore w:val="0"/>
        <w:wordWrap/>
        <w:overflowPunct/>
        <w:bidi w:val="0"/>
        <w:snapToGrid w:val="0"/>
        <w:spacing w:line="360" w:lineRule="auto"/>
        <w:ind w:left="718" w:hanging="720"/>
        <w:outlineLvl w:val="9"/>
        <w:rPr>
          <w:rFonts w:ascii="宋体" w:hAnsi="宋体"/>
          <w:color w:val="auto"/>
          <w:sz w:val="24"/>
          <w:szCs w:val="24"/>
          <w:highlight w:val="none"/>
        </w:rPr>
      </w:pPr>
      <w:r>
        <w:rPr>
          <w:rFonts w:hint="eastAsia" w:ascii="宋体" w:hAnsi="宋体"/>
          <w:color w:val="auto"/>
          <w:sz w:val="24"/>
          <w:szCs w:val="24"/>
          <w:highlight w:val="none"/>
        </w:rPr>
        <w:t>5.1   货物验收：</w:t>
      </w:r>
    </w:p>
    <w:p w14:paraId="33A7C1B9">
      <w:pPr>
        <w:pageBreakBefore w:val="0"/>
        <w:wordWrap/>
        <w:overflowPunct/>
        <w:bidi w:val="0"/>
        <w:snapToGrid w:val="0"/>
        <w:spacing w:line="360" w:lineRule="auto"/>
        <w:ind w:left="826" w:hanging="826"/>
        <w:outlineLvl w:val="9"/>
        <w:rPr>
          <w:rFonts w:ascii="宋体" w:hAnsi="宋体"/>
          <w:color w:val="auto"/>
          <w:sz w:val="24"/>
          <w:szCs w:val="24"/>
          <w:highlight w:val="none"/>
        </w:rPr>
      </w:pPr>
      <w:r>
        <w:rPr>
          <w:rFonts w:hint="eastAsia" w:ascii="宋体" w:hAnsi="宋体"/>
          <w:color w:val="auto"/>
          <w:sz w:val="24"/>
          <w:szCs w:val="24"/>
          <w:highlight w:val="none"/>
        </w:rPr>
        <w:t>5.1.1 乙方供料前应对材料作出全面检查，作为甲方验收和使用的技术条件的主要依据。</w:t>
      </w:r>
    </w:p>
    <w:p w14:paraId="45BF96A5">
      <w:pPr>
        <w:pageBreakBefore w:val="0"/>
        <w:wordWrap/>
        <w:overflowPunct/>
        <w:bidi w:val="0"/>
        <w:snapToGrid w:val="0"/>
        <w:spacing w:line="360" w:lineRule="auto"/>
        <w:ind w:left="826" w:hanging="826"/>
        <w:outlineLvl w:val="9"/>
        <w:rPr>
          <w:rFonts w:ascii="宋体" w:hAnsi="宋体"/>
          <w:color w:val="auto"/>
          <w:sz w:val="24"/>
          <w:szCs w:val="24"/>
          <w:highlight w:val="none"/>
          <w:u w:val="single"/>
        </w:rPr>
      </w:pPr>
      <w:r>
        <w:rPr>
          <w:rFonts w:hint="eastAsia" w:ascii="宋体" w:hAnsi="宋体"/>
          <w:color w:val="auto"/>
          <w:sz w:val="24"/>
          <w:szCs w:val="24"/>
          <w:highlight w:val="none"/>
        </w:rPr>
        <w:t>5.1.2 甲方组织专家按照投标文件清单及承诺内容对产品质量及服务验收，在验收时发现质量问题或是相关技术规格与招标文件和投标文件不符的，应及时向采购代理机构反映。</w:t>
      </w:r>
    </w:p>
    <w:p w14:paraId="620319DF">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5.1.3 验收:</w:t>
      </w:r>
    </w:p>
    <w:p w14:paraId="122AAA69">
      <w:pPr>
        <w:pageBreakBefore w:val="0"/>
        <w:wordWrap/>
        <w:overflowPunct/>
        <w:bidi w:val="0"/>
        <w:snapToGrid w:val="0"/>
        <w:spacing w:line="360" w:lineRule="auto"/>
        <w:ind w:left="630" w:leftChars="300"/>
        <w:outlineLvl w:val="9"/>
        <w:rPr>
          <w:rFonts w:ascii="宋体" w:hAnsi="宋体"/>
          <w:color w:val="auto"/>
          <w:sz w:val="24"/>
          <w:szCs w:val="24"/>
          <w:highlight w:val="none"/>
          <w:u w:val="single"/>
        </w:rPr>
      </w:pPr>
      <w:r>
        <w:rPr>
          <w:rFonts w:hint="eastAsia" w:ascii="宋体" w:hAnsi="宋体"/>
          <w:b/>
          <w:bCs/>
          <w:color w:val="auto"/>
          <w:sz w:val="24"/>
          <w:szCs w:val="24"/>
          <w:highlight w:val="none"/>
        </w:rPr>
        <w:t>到场验收:</w:t>
      </w:r>
      <w:r>
        <w:rPr>
          <w:rFonts w:hint="eastAsia" w:ascii="宋体" w:hAnsi="宋体"/>
          <w:color w:val="auto"/>
          <w:sz w:val="24"/>
          <w:szCs w:val="24"/>
          <w:highlight w:val="none"/>
        </w:rPr>
        <w:t>。</w:t>
      </w:r>
    </w:p>
    <w:p w14:paraId="09D826D6">
      <w:pPr>
        <w:pageBreakBefore w:val="0"/>
        <w:wordWrap/>
        <w:overflowPunct/>
        <w:bidi w:val="0"/>
        <w:snapToGrid w:val="0"/>
        <w:spacing w:line="360" w:lineRule="auto"/>
        <w:ind w:left="734" w:hanging="734" w:hangingChars="306"/>
        <w:outlineLvl w:val="9"/>
        <w:rPr>
          <w:rFonts w:ascii="宋体" w:hAnsi="宋体"/>
          <w:color w:val="auto"/>
          <w:sz w:val="24"/>
          <w:szCs w:val="24"/>
          <w:highlight w:val="none"/>
        </w:rPr>
      </w:pPr>
      <w:r>
        <w:rPr>
          <w:rFonts w:hint="eastAsia" w:ascii="宋体" w:hAnsi="宋体"/>
          <w:color w:val="auto"/>
          <w:sz w:val="24"/>
          <w:szCs w:val="24"/>
          <w:highlight w:val="none"/>
        </w:rPr>
        <w:t>5.1.4 铺设材料期间，乙方都要指定专门技术人员全程跟踪服务，及时解决出现的所有问题。</w:t>
      </w:r>
    </w:p>
    <w:p w14:paraId="4456850E">
      <w:pPr>
        <w:pageBreakBefore w:val="0"/>
        <w:wordWrap/>
        <w:overflowPunct/>
        <w:bidi w:val="0"/>
        <w:snapToGrid w:val="0"/>
        <w:spacing w:line="360" w:lineRule="auto"/>
        <w:ind w:left="882" w:hanging="882"/>
        <w:outlineLvl w:val="9"/>
        <w:rPr>
          <w:rFonts w:ascii="宋体" w:hAnsi="宋体"/>
          <w:color w:val="auto"/>
          <w:sz w:val="24"/>
          <w:szCs w:val="24"/>
          <w:highlight w:val="none"/>
        </w:rPr>
      </w:pPr>
      <w:r>
        <w:rPr>
          <w:rFonts w:hint="eastAsia" w:ascii="宋体" w:hAnsi="宋体"/>
          <w:color w:val="auto"/>
          <w:sz w:val="24"/>
          <w:szCs w:val="24"/>
          <w:highlight w:val="none"/>
        </w:rPr>
        <w:t>5.1.5 甲方根据上述第5.1.3条规定进行验收，并不能免除乙方根据本合同质量保证条款规定所应承担的质量保证责任。</w:t>
      </w:r>
    </w:p>
    <w:p w14:paraId="463B5575">
      <w:pPr>
        <w:pageBreakBefore w:val="0"/>
        <w:wordWrap/>
        <w:overflowPunct/>
        <w:bidi w:val="0"/>
        <w:snapToGrid w:val="0"/>
        <w:spacing w:line="360" w:lineRule="auto"/>
        <w:ind w:left="720" w:hanging="720"/>
        <w:outlineLvl w:val="9"/>
        <w:rPr>
          <w:rFonts w:ascii="宋体" w:hAnsi="宋体"/>
          <w:b/>
          <w:bCs/>
          <w:color w:val="auto"/>
          <w:sz w:val="24"/>
          <w:szCs w:val="24"/>
          <w:highlight w:val="none"/>
        </w:rPr>
      </w:pPr>
      <w:r>
        <w:rPr>
          <w:rFonts w:hint="eastAsia" w:ascii="宋体" w:hAnsi="宋体"/>
          <w:b/>
          <w:bCs/>
          <w:color w:val="auto"/>
          <w:sz w:val="24"/>
          <w:szCs w:val="24"/>
          <w:highlight w:val="none"/>
        </w:rPr>
        <w:t>5.2   质量保证、售后服务及故障处理</w:t>
      </w:r>
    </w:p>
    <w:p w14:paraId="6D4A4E81">
      <w:pPr>
        <w:pageBreakBefore w:val="0"/>
        <w:wordWrap/>
        <w:overflowPunct/>
        <w:bidi w:val="0"/>
        <w:snapToGrid w:val="0"/>
        <w:spacing w:line="360" w:lineRule="auto"/>
        <w:ind w:left="882" w:hanging="882"/>
        <w:outlineLvl w:val="9"/>
        <w:rPr>
          <w:rFonts w:ascii="宋体" w:hAnsi="宋体"/>
          <w:color w:val="auto"/>
          <w:sz w:val="24"/>
          <w:szCs w:val="24"/>
          <w:highlight w:val="none"/>
        </w:rPr>
      </w:pPr>
      <w:r>
        <w:rPr>
          <w:rFonts w:hint="eastAsia" w:ascii="宋体" w:hAnsi="宋体"/>
          <w:color w:val="auto"/>
          <w:sz w:val="24"/>
          <w:szCs w:val="24"/>
          <w:highlight w:val="none"/>
        </w:rPr>
        <w:t>5.2.1 乙方应按招标文件规定的材料性能、技术要求、质量标准向甲方按时供应材料，保证材料质量。</w:t>
      </w:r>
    </w:p>
    <w:p w14:paraId="56B2A55F">
      <w:pPr>
        <w:pageBreakBefore w:val="0"/>
        <w:wordWrap/>
        <w:overflowPunct/>
        <w:bidi w:val="0"/>
        <w:snapToGrid w:val="0"/>
        <w:spacing w:line="360" w:lineRule="auto"/>
        <w:ind w:left="854" w:hanging="854"/>
        <w:outlineLvl w:val="9"/>
        <w:rPr>
          <w:rFonts w:ascii="宋体" w:hAnsi="宋体"/>
          <w:color w:val="auto"/>
          <w:sz w:val="24"/>
          <w:szCs w:val="24"/>
          <w:highlight w:val="none"/>
        </w:rPr>
      </w:pPr>
      <w:r>
        <w:rPr>
          <w:rFonts w:hint="eastAsia" w:ascii="宋体" w:hAnsi="宋体"/>
          <w:color w:val="auto"/>
          <w:sz w:val="24"/>
          <w:szCs w:val="24"/>
          <w:highlight w:val="none"/>
        </w:rPr>
        <w:t>5.2.2 乙方提供材料的质量保证期为自经验收合格后之日起不少于1年。在服务期内发现因材料本身的质量问题，乙方应负责免费更换或免费维修。对达不到技术要求者，根据实际情况，经双方协商，可按以下办法处理：</w:t>
      </w:r>
    </w:p>
    <w:p w14:paraId="1E7F06C1">
      <w:pPr>
        <w:pageBreakBefore w:val="0"/>
        <w:wordWrap/>
        <w:overflowPunct/>
        <w:bidi w:val="0"/>
        <w:snapToGrid w:val="0"/>
        <w:spacing w:line="360" w:lineRule="auto"/>
        <w:ind w:left="630" w:leftChars="300"/>
        <w:outlineLvl w:val="9"/>
        <w:rPr>
          <w:rFonts w:ascii="宋体" w:hAnsi="宋体"/>
          <w:color w:val="auto"/>
          <w:sz w:val="24"/>
          <w:szCs w:val="24"/>
          <w:highlight w:val="none"/>
        </w:rPr>
      </w:pPr>
      <w:r>
        <w:rPr>
          <w:rFonts w:hint="eastAsia" w:ascii="宋体" w:hAnsi="宋体"/>
          <w:color w:val="auto"/>
          <w:sz w:val="24"/>
          <w:szCs w:val="24"/>
          <w:highlight w:val="none"/>
        </w:rPr>
        <w:t>⑴更换：由乙方承担所发生的全部费用。</w:t>
      </w:r>
    </w:p>
    <w:p w14:paraId="0A32DA68">
      <w:pPr>
        <w:pageBreakBefore w:val="0"/>
        <w:wordWrap/>
        <w:overflowPunct/>
        <w:bidi w:val="0"/>
        <w:snapToGrid w:val="0"/>
        <w:spacing w:line="360" w:lineRule="auto"/>
        <w:ind w:left="630" w:leftChars="300" w:firstLine="14"/>
        <w:outlineLvl w:val="9"/>
        <w:rPr>
          <w:rFonts w:ascii="宋体" w:hAnsi="宋体"/>
          <w:color w:val="auto"/>
          <w:sz w:val="24"/>
          <w:szCs w:val="24"/>
          <w:highlight w:val="none"/>
        </w:rPr>
      </w:pPr>
      <w:r>
        <w:rPr>
          <w:rFonts w:hint="eastAsia" w:ascii="宋体" w:hAnsi="宋体"/>
          <w:color w:val="auto"/>
          <w:sz w:val="24"/>
          <w:szCs w:val="24"/>
          <w:highlight w:val="none"/>
        </w:rPr>
        <w:t>⑵贬值处理：由甲方、乙方双方合议定价。</w:t>
      </w:r>
    </w:p>
    <w:p w14:paraId="5BF17569">
      <w:pPr>
        <w:pageBreakBefore w:val="0"/>
        <w:wordWrap/>
        <w:overflowPunct/>
        <w:bidi w:val="0"/>
        <w:snapToGrid w:val="0"/>
        <w:spacing w:line="360" w:lineRule="auto"/>
        <w:ind w:left="630" w:leftChars="300" w:firstLine="1"/>
        <w:outlineLvl w:val="9"/>
        <w:rPr>
          <w:rFonts w:ascii="宋体" w:hAnsi="宋体"/>
          <w:color w:val="auto"/>
          <w:sz w:val="24"/>
          <w:szCs w:val="24"/>
          <w:highlight w:val="none"/>
        </w:rPr>
      </w:pPr>
      <w:r>
        <w:rPr>
          <w:rFonts w:hint="eastAsia" w:ascii="宋体" w:hAnsi="宋体"/>
          <w:color w:val="auto"/>
          <w:sz w:val="24"/>
          <w:szCs w:val="24"/>
          <w:highlight w:val="none"/>
        </w:rPr>
        <w:t>⑶退料处理：乙方应退还甲方支付的货物款，同时应承担该货物的直接费用（运输、保险、检验、货款利息及银行手续费等）。</w:t>
      </w:r>
    </w:p>
    <w:p w14:paraId="59322EBC">
      <w:pPr>
        <w:pageBreakBefore w:val="0"/>
        <w:wordWrap/>
        <w:overflowPunct/>
        <w:bidi w:val="0"/>
        <w:snapToGrid w:val="0"/>
        <w:spacing w:line="360" w:lineRule="auto"/>
        <w:ind w:left="734" w:hanging="734" w:hangingChars="306"/>
        <w:outlineLvl w:val="9"/>
        <w:rPr>
          <w:rFonts w:ascii="宋体" w:hAnsi="宋体"/>
          <w:color w:val="auto"/>
          <w:sz w:val="24"/>
          <w:szCs w:val="24"/>
          <w:highlight w:val="none"/>
        </w:rPr>
      </w:pPr>
      <w:r>
        <w:rPr>
          <w:rFonts w:hint="eastAsia" w:ascii="宋体" w:hAnsi="宋体"/>
          <w:color w:val="auto"/>
          <w:sz w:val="24"/>
          <w:szCs w:val="24"/>
          <w:highlight w:val="none"/>
        </w:rPr>
        <w:t>5.2.3 在服务期内，乙方应对货物出现的质量及安全问题负责处理解决并承担一切费用。</w:t>
      </w:r>
    </w:p>
    <w:p w14:paraId="7537CA38">
      <w:pPr>
        <w:pageBreakBefore w:val="0"/>
        <w:wordWrap/>
        <w:overflowPunct/>
        <w:bidi w:val="0"/>
        <w:snapToGrid w:val="0"/>
        <w:spacing w:line="360" w:lineRule="auto"/>
        <w:ind w:left="868" w:hanging="868"/>
        <w:outlineLvl w:val="9"/>
        <w:rPr>
          <w:rFonts w:ascii="宋体" w:hAnsi="宋体"/>
          <w:color w:val="auto"/>
          <w:sz w:val="24"/>
          <w:szCs w:val="24"/>
          <w:highlight w:val="none"/>
        </w:rPr>
      </w:pPr>
      <w:r>
        <w:rPr>
          <w:rFonts w:hint="eastAsia" w:ascii="宋体" w:hAnsi="宋体"/>
          <w:color w:val="auto"/>
          <w:sz w:val="24"/>
          <w:szCs w:val="24"/>
          <w:highlight w:val="none"/>
        </w:rPr>
        <w:t>5.2.4 因人为因素出现的故障（或不可抗力引起的故障）不在免费维护范围内。</w:t>
      </w:r>
    </w:p>
    <w:p w14:paraId="7855C412">
      <w:pPr>
        <w:pageBreakBefore w:val="0"/>
        <w:wordWrap/>
        <w:overflowPunct/>
        <w:bidi w:val="0"/>
        <w:snapToGrid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6．违约行为</w:t>
      </w:r>
    </w:p>
    <w:p w14:paraId="0D4FDEF4">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6.1   乙方有下列行为将作为违约：</w:t>
      </w:r>
    </w:p>
    <w:p w14:paraId="4C28E638">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⑴逾期供料及供料不符合国家相关质量标准规定，不能满足使用要求，不可抗力除外。</w:t>
      </w:r>
    </w:p>
    <w:p w14:paraId="5814D94B">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⑵交料规格和技术参数、质量等跟乙方的投标文件中相关承诺存在着不符，并私自降低材料的规格和技术参数、质量等。</w:t>
      </w:r>
    </w:p>
    <w:p w14:paraId="32E1021D">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（3）不履行合同条款或只履行部分合同条款，或拒绝履行合同义务。</w:t>
      </w:r>
    </w:p>
    <w:p w14:paraId="7D1AF3A4">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（4）不履行售后服务承诺及相关的伴随服务。</w:t>
      </w:r>
    </w:p>
    <w:p w14:paraId="0E01C401">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（5）没有按本合同提供质量保证期。</w:t>
      </w:r>
    </w:p>
    <w:p w14:paraId="74C923B7">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（6）违反政府采购法和国家其他的相关法律法规。</w:t>
      </w:r>
    </w:p>
    <w:p w14:paraId="636C1D03">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6.2   甲方有下列行为将作为违约：</w:t>
      </w:r>
    </w:p>
    <w:p w14:paraId="45A1EDE8">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⑴无正当理由拒绝接受乙方交付的材料或逾期延迟验收。</w:t>
      </w:r>
    </w:p>
    <w:p w14:paraId="7030B3BF">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⑵违反政府采购法和国家其他的相关法律法规。</w:t>
      </w:r>
    </w:p>
    <w:p w14:paraId="176C97C2">
      <w:pPr>
        <w:pageBreakBefore w:val="0"/>
        <w:wordWrap/>
        <w:overflowPunct/>
        <w:bidi w:val="0"/>
        <w:snapToGrid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7. 违约责任</w:t>
      </w:r>
    </w:p>
    <w:p w14:paraId="3C069A36">
      <w:pPr>
        <w:pageBreakBefore w:val="0"/>
        <w:wordWrap/>
        <w:overflowPunct/>
        <w:bidi w:val="0"/>
        <w:snapToGrid w:val="0"/>
        <w:spacing w:line="360" w:lineRule="auto"/>
        <w:ind w:left="630" w:hanging="630"/>
        <w:outlineLvl w:val="9"/>
        <w:rPr>
          <w:rFonts w:ascii="宋体" w:hAnsi="宋体"/>
          <w:color w:val="auto"/>
          <w:sz w:val="24"/>
          <w:szCs w:val="24"/>
          <w:highlight w:val="none"/>
        </w:rPr>
      </w:pPr>
      <w:r>
        <w:rPr>
          <w:rFonts w:hint="eastAsia" w:ascii="宋体" w:hAnsi="宋体"/>
          <w:color w:val="auto"/>
          <w:sz w:val="24"/>
          <w:szCs w:val="24"/>
          <w:highlight w:val="none"/>
        </w:rPr>
        <w:t>7.1 乙方违反本合同条款第6.1条的，将受到以下制裁：</w:t>
      </w:r>
    </w:p>
    <w:p w14:paraId="6456CDF3">
      <w:pPr>
        <w:pageBreakBefore w:val="0"/>
        <w:wordWrap/>
        <w:overflowPunct/>
        <w:bidi w:val="0"/>
        <w:snapToGrid w:val="0"/>
        <w:spacing w:line="360" w:lineRule="auto"/>
        <w:ind w:left="526" w:leftChars="245" w:hanging="12" w:hangingChars="5"/>
        <w:outlineLvl w:val="9"/>
        <w:rPr>
          <w:rFonts w:ascii="宋体" w:hAnsi="宋体"/>
          <w:color w:val="auto"/>
          <w:sz w:val="24"/>
          <w:szCs w:val="24"/>
          <w:highlight w:val="none"/>
        </w:rPr>
      </w:pPr>
      <w:r>
        <w:rPr>
          <w:rFonts w:hint="eastAsia" w:ascii="宋体" w:hAnsi="宋体"/>
          <w:color w:val="auto"/>
          <w:sz w:val="24"/>
          <w:szCs w:val="24"/>
          <w:highlight w:val="none"/>
        </w:rPr>
        <w:t>⑴违反本合同条款第6.1条第⑴款时，其中违约金由甲方从应付款中扣除。逾期超过约定日期二十日历天不能交付的，甲方可单方解除本合同，乙方应按合同款的百分之五向甲方支付违约金，并追加乙方承提因此造成的损失和相关法律责任。</w:t>
      </w:r>
    </w:p>
    <w:p w14:paraId="7127D64A">
      <w:pPr>
        <w:pageBreakBefore w:val="0"/>
        <w:wordWrap/>
        <w:overflowPunct/>
        <w:bidi w:val="0"/>
        <w:snapToGrid w:val="0"/>
        <w:spacing w:line="360" w:lineRule="auto"/>
        <w:ind w:left="514" w:leftChars="245"/>
        <w:outlineLvl w:val="9"/>
        <w:rPr>
          <w:rFonts w:ascii="宋体" w:hAnsi="宋体"/>
          <w:color w:val="auto"/>
          <w:sz w:val="24"/>
          <w:szCs w:val="24"/>
          <w:highlight w:val="none"/>
        </w:rPr>
      </w:pPr>
      <w:r>
        <w:rPr>
          <w:rFonts w:hint="eastAsia" w:ascii="宋体" w:hAnsi="宋体"/>
          <w:color w:val="auto"/>
          <w:sz w:val="24"/>
          <w:szCs w:val="24"/>
          <w:highlight w:val="none"/>
        </w:rPr>
        <w:t>⑵违反本合同条款第6.1条第⑵款时；一是甲方有权要求更换材料。而乙方愿意更换材料但逾期交货而造成交付延期的，则按乙方逾期交付处理；二是乙方拒绝更换材料的，甲方可单方面解除合同，并要求乙方承担甲方因此造成的损失及相关法律责任；三是甲方也可以有权拒绝接受材料，甲方有权单方中止合同，并追加乙方承担因此造成的损失和相关法律责任。</w:t>
      </w:r>
    </w:p>
    <w:p w14:paraId="2054CE1E">
      <w:pPr>
        <w:pageBreakBefore w:val="0"/>
        <w:wordWrap/>
        <w:overflowPunct/>
        <w:bidi w:val="0"/>
        <w:snapToGrid w:val="0"/>
        <w:spacing w:line="360" w:lineRule="auto"/>
        <w:ind w:left="479" w:leftChars="228"/>
        <w:outlineLvl w:val="9"/>
        <w:rPr>
          <w:rFonts w:ascii="宋体" w:hAnsi="宋体"/>
          <w:color w:val="auto"/>
          <w:sz w:val="24"/>
          <w:szCs w:val="24"/>
          <w:highlight w:val="none"/>
        </w:rPr>
      </w:pPr>
      <w:r>
        <w:rPr>
          <w:rFonts w:hint="eastAsia" w:ascii="宋体" w:hAnsi="宋体"/>
          <w:color w:val="auto"/>
          <w:sz w:val="24"/>
          <w:szCs w:val="24"/>
          <w:highlight w:val="none"/>
        </w:rPr>
        <w:t>⑶违反本合同条款第6.1条第⑶-⑹款时，甲方有权单方中止合同，并追加乙方承担因此造成的损失及相关法律责任。</w:t>
      </w:r>
    </w:p>
    <w:p w14:paraId="70742AD7">
      <w:pPr>
        <w:pageBreakBefore w:val="0"/>
        <w:wordWrap/>
        <w:overflowPunct/>
        <w:bidi w:val="0"/>
        <w:snapToGrid w:val="0"/>
        <w:spacing w:line="360" w:lineRule="auto"/>
        <w:ind w:left="479" w:leftChars="228"/>
        <w:outlineLvl w:val="9"/>
        <w:rPr>
          <w:rFonts w:ascii="宋体" w:hAnsi="宋体"/>
          <w:color w:val="auto"/>
          <w:sz w:val="24"/>
          <w:szCs w:val="24"/>
          <w:highlight w:val="none"/>
        </w:rPr>
      </w:pPr>
      <w:r>
        <w:rPr>
          <w:rFonts w:hint="eastAsia" w:ascii="宋体" w:hAnsi="宋体"/>
          <w:color w:val="auto"/>
          <w:sz w:val="24"/>
          <w:szCs w:val="24"/>
          <w:highlight w:val="none"/>
        </w:rPr>
        <w:t>⑷因乙方的违约行为导致甲方单方解除合同的，乙方应要承担相应的法律责任。而因乙方违约行为此造成的损失超出由乙方继续承担赔偿责任。</w:t>
      </w:r>
    </w:p>
    <w:p w14:paraId="339C610F">
      <w:pPr>
        <w:pageBreakBefore w:val="0"/>
        <w:wordWrap/>
        <w:overflowPunct/>
        <w:bidi w:val="0"/>
        <w:snapToGrid w:val="0"/>
        <w:spacing w:line="360" w:lineRule="auto"/>
        <w:ind w:left="630" w:hanging="630"/>
        <w:outlineLvl w:val="9"/>
        <w:rPr>
          <w:rFonts w:ascii="宋体" w:hAnsi="宋体"/>
          <w:color w:val="auto"/>
          <w:sz w:val="24"/>
          <w:szCs w:val="24"/>
          <w:highlight w:val="none"/>
        </w:rPr>
      </w:pPr>
      <w:r>
        <w:rPr>
          <w:rFonts w:hint="eastAsia" w:ascii="宋体" w:hAnsi="宋体"/>
          <w:color w:val="auto"/>
          <w:sz w:val="24"/>
          <w:szCs w:val="24"/>
          <w:highlight w:val="none"/>
        </w:rPr>
        <w:t>7.2甲方违反本合同条款第6.2条的，将受到以下制裁：</w:t>
      </w:r>
    </w:p>
    <w:p w14:paraId="1144461B">
      <w:pPr>
        <w:pageBreakBefore w:val="0"/>
        <w:wordWrap/>
        <w:overflowPunct/>
        <w:bidi w:val="0"/>
        <w:snapToGrid w:val="0"/>
        <w:spacing w:line="360" w:lineRule="auto"/>
        <w:ind w:left="630" w:leftChars="300"/>
        <w:outlineLvl w:val="9"/>
        <w:rPr>
          <w:rFonts w:ascii="宋体" w:hAnsi="宋体"/>
          <w:color w:val="auto"/>
          <w:sz w:val="24"/>
          <w:szCs w:val="24"/>
          <w:highlight w:val="none"/>
        </w:rPr>
      </w:pPr>
      <w:r>
        <w:rPr>
          <w:rFonts w:hint="eastAsia" w:ascii="宋体" w:hAnsi="宋体"/>
          <w:color w:val="auto"/>
          <w:sz w:val="24"/>
          <w:szCs w:val="24"/>
          <w:highlight w:val="none"/>
        </w:rPr>
        <w:t>⑴违反本合同条款第6.2条时，甲方应按货款的百分之五向乙方支付违约金。</w:t>
      </w:r>
    </w:p>
    <w:p w14:paraId="0342427E">
      <w:pPr>
        <w:pageBreakBefore w:val="0"/>
        <w:wordWrap/>
        <w:overflowPunct/>
        <w:bidi w:val="0"/>
        <w:snapToGrid w:val="0"/>
        <w:spacing w:line="360" w:lineRule="auto"/>
        <w:ind w:left="630" w:leftChars="300"/>
        <w:outlineLvl w:val="9"/>
        <w:rPr>
          <w:rFonts w:ascii="宋体" w:hAnsi="宋体"/>
          <w:color w:val="auto"/>
          <w:sz w:val="24"/>
          <w:szCs w:val="24"/>
          <w:highlight w:val="none"/>
        </w:rPr>
      </w:pPr>
      <w:r>
        <w:rPr>
          <w:rFonts w:hint="eastAsia" w:ascii="宋体" w:hAnsi="宋体"/>
          <w:color w:val="auto"/>
          <w:sz w:val="24"/>
          <w:szCs w:val="24"/>
          <w:highlight w:val="none"/>
        </w:rPr>
        <w:t>⑵乙方可有权单方面解除本合同，并追加甲方承担因此造成的损失和相关法律责任。</w:t>
      </w:r>
    </w:p>
    <w:p w14:paraId="1FFD9698">
      <w:pPr>
        <w:pageBreakBefore w:val="0"/>
        <w:wordWrap/>
        <w:overflowPunct/>
        <w:bidi w:val="0"/>
        <w:snapToGrid w:val="0"/>
        <w:spacing w:line="360" w:lineRule="auto"/>
        <w:outlineLvl w:val="9"/>
        <w:rPr>
          <w:rFonts w:ascii="宋体" w:hAnsi="宋体"/>
          <w:b/>
          <w:bCs/>
          <w:color w:val="auto"/>
          <w:sz w:val="24"/>
          <w:szCs w:val="24"/>
          <w:highlight w:val="none"/>
        </w:rPr>
      </w:pPr>
      <w:r>
        <w:rPr>
          <w:rFonts w:hint="eastAsia" w:ascii="宋体" w:hAnsi="宋体"/>
          <w:b/>
          <w:bCs/>
          <w:color w:val="auto"/>
          <w:sz w:val="24"/>
          <w:szCs w:val="24"/>
          <w:highlight w:val="none"/>
        </w:rPr>
        <w:t>8.付款方式</w:t>
      </w:r>
    </w:p>
    <w:p w14:paraId="5E870F40">
      <w:pPr>
        <w:pageBreakBefore w:val="0"/>
        <w:wordWrap/>
        <w:overflowPunct/>
        <w:bidi w:val="0"/>
        <w:spacing w:line="360" w:lineRule="auto"/>
        <w:ind w:firstLine="720" w:firstLineChars="300"/>
        <w:outlineLvl w:val="9"/>
        <w:rPr>
          <w:sz w:val="24"/>
          <w:szCs w:val="24"/>
          <w:highlight w:val="none"/>
        </w:rPr>
      </w:pPr>
      <w:r>
        <w:rPr>
          <w:rFonts w:hint="eastAsia" w:ascii="宋体" w:hAnsi="宋体"/>
          <w:color w:val="auto"/>
          <w:sz w:val="24"/>
          <w:szCs w:val="24"/>
          <w:highlight w:val="none"/>
        </w:rPr>
        <w:t>待财政拨付资金后，根据资金情况，按比例拨付。</w:t>
      </w:r>
    </w:p>
    <w:p w14:paraId="7E60E669">
      <w:pPr>
        <w:pageBreakBefore w:val="0"/>
        <w:wordWrap/>
        <w:overflowPunct/>
        <w:bidi w:val="0"/>
        <w:snapToGrid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备注：本支付方式以财政拨付资金为准，若财政资金不能及时拨付，甲乙双方另行协商结算。</w:t>
      </w:r>
    </w:p>
    <w:p w14:paraId="66743404">
      <w:pPr>
        <w:pageBreakBefore w:val="0"/>
        <w:wordWrap/>
        <w:overflowPunct/>
        <w:bidi w:val="0"/>
        <w:snapToGrid w:val="0"/>
        <w:spacing w:line="360" w:lineRule="auto"/>
        <w:ind w:left="630" w:hanging="630"/>
        <w:outlineLvl w:val="9"/>
        <w:rPr>
          <w:rFonts w:ascii="宋体" w:hAnsi="宋体"/>
          <w:b/>
          <w:bCs/>
          <w:color w:val="auto"/>
          <w:sz w:val="24"/>
          <w:szCs w:val="24"/>
          <w:highlight w:val="none"/>
        </w:rPr>
      </w:pPr>
      <w:r>
        <w:rPr>
          <w:rFonts w:hint="eastAsia" w:ascii="宋体" w:hAnsi="宋体"/>
          <w:b/>
          <w:bCs/>
          <w:color w:val="auto"/>
          <w:sz w:val="24"/>
          <w:szCs w:val="24"/>
          <w:highlight w:val="none"/>
        </w:rPr>
        <w:t>9．合同生效</w:t>
      </w:r>
    </w:p>
    <w:p w14:paraId="12FC709F">
      <w:pPr>
        <w:pageBreakBefore w:val="0"/>
        <w:wordWrap/>
        <w:overflowPunct/>
        <w:bidi w:val="0"/>
        <w:snapToGrid w:val="0"/>
        <w:spacing w:line="360" w:lineRule="auto"/>
        <w:ind w:left="755" w:leftChars="1" w:hanging="753" w:hangingChars="314"/>
        <w:outlineLvl w:val="9"/>
        <w:rPr>
          <w:rFonts w:ascii="宋体" w:hAnsi="宋体"/>
          <w:color w:val="auto"/>
          <w:sz w:val="24"/>
          <w:szCs w:val="24"/>
          <w:highlight w:val="none"/>
        </w:rPr>
      </w:pPr>
      <w:r>
        <w:rPr>
          <w:rFonts w:hint="eastAsia" w:ascii="宋体" w:hAnsi="宋体"/>
          <w:color w:val="auto"/>
          <w:sz w:val="24"/>
          <w:szCs w:val="24"/>
          <w:highlight w:val="none"/>
        </w:rPr>
        <w:t>9.1   本合同一式  份，甲、乙双方各  份，另  份报送监督机构和采购代理机构备案。</w:t>
      </w:r>
    </w:p>
    <w:p w14:paraId="79793E34">
      <w:pPr>
        <w:pageBreakBefore w:val="0"/>
        <w:wordWrap/>
        <w:overflowPunct/>
        <w:bidi w:val="0"/>
        <w:snapToGrid w:val="0"/>
        <w:spacing w:line="360" w:lineRule="auto"/>
        <w:outlineLvl w:val="9"/>
        <w:rPr>
          <w:rFonts w:ascii="宋体" w:hAnsi="宋体"/>
          <w:color w:val="auto"/>
          <w:sz w:val="24"/>
          <w:szCs w:val="24"/>
          <w:highlight w:val="none"/>
        </w:rPr>
      </w:pPr>
      <w:r>
        <w:rPr>
          <w:rFonts w:hint="eastAsia" w:ascii="宋体" w:hAnsi="宋体"/>
          <w:color w:val="auto"/>
          <w:sz w:val="24"/>
          <w:szCs w:val="24"/>
          <w:highlight w:val="none"/>
        </w:rPr>
        <w:t>9.2   本合同经双方法定代表人或委托代理人签字盖章后立即生效。</w:t>
      </w:r>
    </w:p>
    <w:p w14:paraId="3B5444CE">
      <w:pPr>
        <w:pStyle w:val="6"/>
        <w:pageBreakBefore w:val="0"/>
        <w:wordWrap/>
        <w:overflowPunct/>
        <w:bidi w:val="0"/>
        <w:spacing w:line="360" w:lineRule="auto"/>
        <w:ind w:firstLine="480" w:firstLineChars="200"/>
        <w:outlineLvl w:val="9"/>
        <w:rPr>
          <w:rFonts w:ascii="宋体" w:hAnsi="宋体"/>
          <w:color w:val="auto"/>
          <w:sz w:val="24"/>
          <w:szCs w:val="24"/>
          <w:highlight w:val="none"/>
        </w:rPr>
      </w:pPr>
    </w:p>
    <w:p w14:paraId="2AE06CAD">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委托人（盖章）：                      受托人（盖章）：</w:t>
      </w:r>
    </w:p>
    <w:p w14:paraId="7EB5FA84">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法定代表人（签字或盖章）：            法定代表人（签字或盖章）：</w:t>
      </w:r>
    </w:p>
    <w:p w14:paraId="265899B5">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授权代理人（签字或盖章）：            授权代理人（签字或盖章）：</w:t>
      </w:r>
    </w:p>
    <w:p w14:paraId="300D830E">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单位地址：                            单位地址：</w:t>
      </w:r>
    </w:p>
    <w:p w14:paraId="116982CF">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邮政编码：                            邮政编码：</w:t>
      </w:r>
    </w:p>
    <w:p w14:paraId="17CC070F">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 xml:space="preserve">联系电话：                            联系电话： </w:t>
      </w:r>
    </w:p>
    <w:p w14:paraId="09378559">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 xml:space="preserve">传    真：                            传    真： </w:t>
      </w:r>
    </w:p>
    <w:p w14:paraId="320351F8">
      <w:pPr>
        <w:pStyle w:val="6"/>
        <w:pageBreakBefore w:val="0"/>
        <w:wordWrap/>
        <w:overflowPunct/>
        <w:bidi w:val="0"/>
        <w:spacing w:line="360" w:lineRule="auto"/>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电子信箱：                            电子信箱：</w:t>
      </w:r>
    </w:p>
    <w:p w14:paraId="446C5822">
      <w:pPr>
        <w:pageBreakBefore w:val="0"/>
        <w:wordWrap/>
        <w:overflowPunct/>
        <w:bidi w:val="0"/>
        <w:spacing w:line="360" w:lineRule="auto"/>
        <w:rPr>
          <w:rFonts w:ascii="宋体" w:hAnsi="宋体"/>
          <w:color w:val="auto"/>
          <w:highlight w:val="none"/>
        </w:rPr>
      </w:pPr>
    </w:p>
    <w:p w14:paraId="0B7DDD4E">
      <w:pPr>
        <w:pageBreakBefore w:val="0"/>
        <w:wordWrap/>
        <w:overflowPunct/>
        <w:bidi w:val="0"/>
        <w:spacing w:line="360" w:lineRule="auto"/>
        <w:jc w:val="left"/>
        <w:textAlignment w:val="auto"/>
        <w:rPr>
          <w:rFonts w:ascii="宋体" w:hAnsi="宋体"/>
          <w:color w:val="auto"/>
          <w:highlight w:val="none"/>
        </w:rPr>
      </w:pPr>
      <w:r>
        <w:rPr>
          <w:rFonts w:ascii="宋体" w:hAnsi="宋体"/>
          <w:color w:val="auto"/>
          <w:highlight w:val="none"/>
        </w:rPr>
        <w:br w:type="page"/>
      </w:r>
    </w:p>
    <w:p w14:paraId="69D77526">
      <w:pPr>
        <w:pageBreakBefore w:val="0"/>
        <w:wordWrap/>
        <w:overflowPunct/>
        <w:bidi w:val="0"/>
        <w:spacing w:line="360" w:lineRule="auto"/>
        <w:jc w:val="center"/>
        <w:outlineLvl w:val="0"/>
        <w:rPr>
          <w:rFonts w:hint="eastAsia"/>
          <w:b/>
          <w:bCs/>
          <w:sz w:val="44"/>
          <w:szCs w:val="40"/>
          <w:highlight w:val="none"/>
        </w:rPr>
      </w:pPr>
      <w:bookmarkStart w:id="157" w:name="_Toc20044"/>
      <w:bookmarkStart w:id="158" w:name="_Toc8226"/>
      <w:r>
        <w:rPr>
          <w:rFonts w:hint="eastAsia"/>
          <w:b/>
          <w:bCs/>
          <w:sz w:val="44"/>
          <w:szCs w:val="40"/>
          <w:highlight w:val="none"/>
        </w:rPr>
        <w:t>第六章</w:t>
      </w:r>
      <w:bookmarkEnd w:id="152"/>
      <w:bookmarkEnd w:id="153"/>
      <w:bookmarkEnd w:id="154"/>
      <w:bookmarkEnd w:id="157"/>
      <w:bookmarkStart w:id="159" w:name="_Toc454525917"/>
      <w:bookmarkStart w:id="160" w:name="_Toc19699"/>
      <w:r>
        <w:rPr>
          <w:rFonts w:hint="eastAsia"/>
          <w:b/>
          <w:bCs/>
          <w:sz w:val="44"/>
          <w:szCs w:val="40"/>
          <w:highlight w:val="none"/>
        </w:rPr>
        <w:t xml:space="preserve"> </w:t>
      </w:r>
      <w:r>
        <w:rPr>
          <w:rFonts w:hint="eastAsia"/>
          <w:b/>
          <w:bCs/>
          <w:sz w:val="44"/>
          <w:szCs w:val="40"/>
          <w:highlight w:val="none"/>
          <w:lang w:val="en-US" w:eastAsia="zh-CN"/>
        </w:rPr>
        <w:t xml:space="preserve"> </w:t>
      </w:r>
      <w:r>
        <w:rPr>
          <w:rFonts w:hint="eastAsia"/>
          <w:b/>
          <w:bCs/>
          <w:sz w:val="44"/>
          <w:szCs w:val="40"/>
          <w:highlight w:val="none"/>
        </w:rPr>
        <w:t>投标文件格式</w:t>
      </w:r>
      <w:bookmarkEnd w:id="155"/>
      <w:bookmarkEnd w:id="156"/>
      <w:bookmarkEnd w:id="158"/>
      <w:bookmarkEnd w:id="159"/>
      <w:bookmarkEnd w:id="160"/>
    </w:p>
    <w:p w14:paraId="09B633C3">
      <w:pPr>
        <w:pageBreakBefore w:val="0"/>
        <w:wordWrap/>
        <w:overflowPunct/>
        <w:bidi w:val="0"/>
        <w:spacing w:line="360" w:lineRule="auto"/>
        <w:rPr>
          <w:rFonts w:ascii="宋体" w:hAnsi="宋体"/>
          <w:color w:val="auto"/>
          <w:highlight w:val="none"/>
        </w:rPr>
      </w:pPr>
    </w:p>
    <w:p w14:paraId="60C93659">
      <w:pPr>
        <w:pStyle w:val="8"/>
        <w:pageBreakBefore w:val="0"/>
        <w:wordWrap/>
        <w:overflowPunct/>
        <w:bidi w:val="0"/>
        <w:spacing w:line="360" w:lineRule="auto"/>
        <w:jc w:val="center"/>
        <w:rPr>
          <w:rFonts w:hint="eastAsia" w:hAnsi="宋体" w:eastAsia="宋体"/>
          <w:b/>
          <w:color w:val="auto"/>
          <w:sz w:val="72"/>
          <w:highlight w:val="none"/>
          <w:lang w:eastAsia="zh-CN"/>
        </w:rPr>
      </w:pPr>
      <w:r>
        <w:rPr>
          <w:rFonts w:hint="eastAsia" w:hAnsi="宋体" w:eastAsia="宋体" w:cs="宋体"/>
          <w:b/>
          <w:color w:val="auto"/>
          <w:kern w:val="36"/>
          <w:sz w:val="36"/>
          <w:szCs w:val="36"/>
          <w:highlight w:val="none"/>
          <w:lang w:eastAsia="zh-CN"/>
        </w:rPr>
        <w:t>三门峡市城市建设发展服务中心2025年度城市道路维护抢险作业沥青混凝土材料采购项目</w:t>
      </w:r>
    </w:p>
    <w:p w14:paraId="2236ECAB">
      <w:pPr>
        <w:pageBreakBefore w:val="0"/>
        <w:wordWrap/>
        <w:overflowPunct/>
        <w:bidi w:val="0"/>
        <w:spacing w:line="360" w:lineRule="auto"/>
        <w:jc w:val="center"/>
        <w:rPr>
          <w:rFonts w:ascii="宋体" w:hAnsi="宋体"/>
          <w:color w:val="auto"/>
          <w:sz w:val="72"/>
          <w:szCs w:val="72"/>
          <w:highlight w:val="none"/>
        </w:rPr>
      </w:pPr>
      <w:bookmarkStart w:id="161" w:name="_Toc380589625"/>
      <w:r>
        <w:rPr>
          <w:rFonts w:hint="eastAsia" w:ascii="宋体" w:hAnsi="宋体"/>
          <w:color w:val="auto"/>
          <w:sz w:val="72"/>
          <w:szCs w:val="72"/>
          <w:highlight w:val="none"/>
        </w:rPr>
        <w:t>投 标 文 件</w:t>
      </w:r>
      <w:bookmarkEnd w:id="161"/>
    </w:p>
    <w:p w14:paraId="30222B06">
      <w:pPr>
        <w:pageBreakBefore w:val="0"/>
        <w:wordWrap/>
        <w:overflowPunct/>
        <w:bidi w:val="0"/>
        <w:spacing w:line="360" w:lineRule="auto"/>
        <w:ind w:firstLine="2570" w:firstLineChars="1071"/>
        <w:rPr>
          <w:rFonts w:ascii="宋体" w:hAnsi="宋体"/>
          <w:color w:val="auto"/>
          <w:sz w:val="24"/>
          <w:szCs w:val="24"/>
          <w:highlight w:val="none"/>
          <w:u w:val="single"/>
        </w:rPr>
      </w:pPr>
      <w:r>
        <w:rPr>
          <w:rFonts w:hint="eastAsia" w:ascii="宋体" w:hAnsi="宋体"/>
          <w:color w:val="auto"/>
          <w:sz w:val="24"/>
          <w:szCs w:val="24"/>
          <w:highlight w:val="none"/>
        </w:rPr>
        <w:t>项目编号：</w:t>
      </w:r>
    </w:p>
    <w:p w14:paraId="29D942EC">
      <w:pPr>
        <w:pageBreakBefore w:val="0"/>
        <w:wordWrap/>
        <w:overflowPunct/>
        <w:bidi w:val="0"/>
        <w:spacing w:line="360" w:lineRule="auto"/>
        <w:jc w:val="center"/>
        <w:rPr>
          <w:rFonts w:ascii="宋体" w:hAnsi="宋体"/>
          <w:color w:val="auto"/>
          <w:sz w:val="24"/>
          <w:highlight w:val="none"/>
        </w:rPr>
      </w:pPr>
    </w:p>
    <w:p w14:paraId="0EE924FD">
      <w:pPr>
        <w:pStyle w:val="8"/>
        <w:pageBreakBefore w:val="0"/>
        <w:wordWrap/>
        <w:overflowPunct/>
        <w:bidi w:val="0"/>
        <w:spacing w:line="360" w:lineRule="auto"/>
        <w:jc w:val="center"/>
        <w:rPr>
          <w:rFonts w:hAnsi="宋体" w:eastAsia="宋体"/>
          <w:b/>
          <w:color w:val="auto"/>
          <w:highlight w:val="none"/>
        </w:rPr>
      </w:pPr>
    </w:p>
    <w:p w14:paraId="213CBBCE">
      <w:pPr>
        <w:pageBreakBefore w:val="0"/>
        <w:wordWrap/>
        <w:overflowPunct/>
        <w:bidi w:val="0"/>
        <w:spacing w:line="360" w:lineRule="auto"/>
        <w:rPr>
          <w:rFonts w:ascii="宋体" w:hAnsi="宋体"/>
          <w:color w:val="auto"/>
          <w:sz w:val="24"/>
          <w:szCs w:val="24"/>
          <w:highlight w:val="none"/>
        </w:rPr>
      </w:pPr>
    </w:p>
    <w:p w14:paraId="31FD82A9">
      <w:pPr>
        <w:pageBreakBefore w:val="0"/>
        <w:wordWrap/>
        <w:overflowPunct/>
        <w:bidi w:val="0"/>
        <w:spacing w:line="360" w:lineRule="auto"/>
        <w:ind w:left="1365" w:leftChars="650"/>
        <w:rPr>
          <w:rFonts w:ascii="宋体" w:hAnsi="宋体"/>
          <w:color w:val="auto"/>
          <w:sz w:val="24"/>
          <w:szCs w:val="24"/>
          <w:highlight w:val="none"/>
        </w:rPr>
      </w:pPr>
    </w:p>
    <w:p w14:paraId="658A6968">
      <w:pPr>
        <w:pageBreakBefore w:val="0"/>
        <w:wordWrap/>
        <w:overflowPunct/>
        <w:bidi w:val="0"/>
        <w:spacing w:line="360" w:lineRule="auto"/>
        <w:ind w:left="1365" w:leftChars="650"/>
        <w:rPr>
          <w:rFonts w:ascii="宋体" w:hAnsi="宋体"/>
          <w:color w:val="auto"/>
          <w:sz w:val="24"/>
          <w:szCs w:val="24"/>
          <w:highlight w:val="none"/>
        </w:rPr>
      </w:pPr>
    </w:p>
    <w:p w14:paraId="09FA96B9">
      <w:pPr>
        <w:pageBreakBefore w:val="0"/>
        <w:wordWrap/>
        <w:overflowPunct/>
        <w:bidi w:val="0"/>
        <w:spacing w:line="360" w:lineRule="auto"/>
        <w:ind w:left="1365" w:leftChars="650"/>
        <w:rPr>
          <w:rFonts w:ascii="宋体" w:hAnsi="宋体"/>
          <w:color w:val="auto"/>
          <w:sz w:val="24"/>
          <w:szCs w:val="24"/>
          <w:highlight w:val="none"/>
        </w:rPr>
      </w:pPr>
    </w:p>
    <w:p w14:paraId="6D74E5CF">
      <w:pPr>
        <w:pageBreakBefore w:val="0"/>
        <w:wordWrap/>
        <w:overflowPunct/>
        <w:bidi w:val="0"/>
        <w:spacing w:line="360" w:lineRule="auto"/>
        <w:ind w:left="1365" w:leftChars="650"/>
        <w:rPr>
          <w:rFonts w:ascii="宋体" w:hAnsi="宋体"/>
          <w:color w:val="auto"/>
          <w:sz w:val="24"/>
          <w:szCs w:val="24"/>
          <w:highlight w:val="none"/>
        </w:rPr>
      </w:pPr>
    </w:p>
    <w:p w14:paraId="38A135A7">
      <w:pPr>
        <w:pageBreakBefore w:val="0"/>
        <w:wordWrap/>
        <w:overflowPunct/>
        <w:bidi w:val="0"/>
        <w:spacing w:line="360" w:lineRule="auto"/>
        <w:ind w:left="1365" w:leftChars="650" w:firstLine="600" w:firstLineChars="250"/>
        <w:rPr>
          <w:rFonts w:ascii="宋体" w:hAnsi="宋体"/>
          <w:color w:val="auto"/>
          <w:sz w:val="24"/>
          <w:szCs w:val="24"/>
          <w:highlight w:val="none"/>
        </w:rPr>
      </w:pPr>
      <w:r>
        <w:rPr>
          <w:rFonts w:hint="eastAsia" w:ascii="宋体" w:hAnsi="宋体"/>
          <w:color w:val="auto"/>
          <w:sz w:val="24"/>
          <w:szCs w:val="24"/>
          <w:highlight w:val="none"/>
        </w:rPr>
        <w:t>供应商：（单位电子</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p>
    <w:p w14:paraId="1B942076">
      <w:pPr>
        <w:pageBreakBefore w:val="0"/>
        <w:wordWrap/>
        <w:overflowPunct/>
        <w:bidi w:val="0"/>
        <w:spacing w:line="360" w:lineRule="auto"/>
        <w:ind w:left="1365" w:leftChars="650"/>
        <w:jc w:val="center"/>
        <w:rPr>
          <w:rFonts w:ascii="宋体" w:hAnsi="宋体"/>
          <w:color w:val="auto"/>
          <w:sz w:val="24"/>
          <w:szCs w:val="24"/>
          <w:highlight w:val="none"/>
        </w:rPr>
      </w:pPr>
    </w:p>
    <w:p w14:paraId="1CAE0BB6">
      <w:pPr>
        <w:pageBreakBefore w:val="0"/>
        <w:wordWrap/>
        <w:overflowPunct/>
        <w:bidi w:val="0"/>
        <w:spacing w:line="360" w:lineRule="auto"/>
        <w:ind w:left="1365" w:leftChars="650" w:firstLine="600" w:firstLineChars="250"/>
        <w:rPr>
          <w:rFonts w:ascii="宋体" w:hAnsi="宋体"/>
          <w:color w:val="auto"/>
          <w:sz w:val="24"/>
          <w:szCs w:val="24"/>
          <w:highlight w:val="none"/>
        </w:rPr>
      </w:pPr>
      <w:r>
        <w:rPr>
          <w:rFonts w:hint="eastAsia" w:ascii="宋体" w:hAnsi="宋体"/>
          <w:color w:val="auto"/>
          <w:sz w:val="24"/>
          <w:szCs w:val="24"/>
          <w:highlight w:val="none"/>
        </w:rPr>
        <w:t>法定代表人：（法人电子签章）</w:t>
      </w:r>
    </w:p>
    <w:p w14:paraId="5C040B79">
      <w:pPr>
        <w:pageBreakBefore w:val="0"/>
        <w:wordWrap/>
        <w:overflowPunct/>
        <w:bidi w:val="0"/>
        <w:spacing w:line="360" w:lineRule="auto"/>
        <w:ind w:left="1365" w:leftChars="650" w:firstLine="480" w:firstLineChars="200"/>
        <w:rPr>
          <w:rFonts w:ascii="宋体" w:hAnsi="宋体"/>
          <w:color w:val="auto"/>
          <w:sz w:val="24"/>
          <w:szCs w:val="24"/>
          <w:highlight w:val="none"/>
        </w:rPr>
      </w:pPr>
    </w:p>
    <w:p w14:paraId="2239104D">
      <w:pPr>
        <w:pageBreakBefore w:val="0"/>
        <w:wordWrap/>
        <w:overflowPunct/>
        <w:bidi w:val="0"/>
        <w:spacing w:line="360" w:lineRule="auto"/>
        <w:ind w:left="1365" w:leftChars="650" w:firstLine="600" w:firstLineChars="250"/>
        <w:rPr>
          <w:rFonts w:ascii="宋体" w:hAnsi="宋体"/>
          <w:b/>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ab/>
      </w:r>
      <w:r>
        <w:rPr>
          <w:rFonts w:hint="eastAsia" w:ascii="宋体" w:hAnsi="宋体"/>
          <w:color w:val="auto"/>
          <w:sz w:val="24"/>
          <w:szCs w:val="24"/>
          <w:highlight w:val="none"/>
        </w:rPr>
        <w:t>年月日</w:t>
      </w:r>
    </w:p>
    <w:p w14:paraId="023330AB">
      <w:pPr>
        <w:pStyle w:val="6"/>
        <w:pageBreakBefore w:val="0"/>
        <w:wordWrap/>
        <w:overflowPunct/>
        <w:bidi w:val="0"/>
        <w:spacing w:line="360" w:lineRule="auto"/>
        <w:rPr>
          <w:rFonts w:ascii="宋体" w:hAnsi="宋体"/>
          <w:b/>
          <w:color w:val="auto"/>
          <w:sz w:val="32"/>
          <w:szCs w:val="32"/>
          <w:highlight w:val="none"/>
        </w:rPr>
      </w:pPr>
    </w:p>
    <w:p w14:paraId="00DEC9AC">
      <w:pPr>
        <w:pStyle w:val="7"/>
        <w:pageBreakBefore w:val="0"/>
        <w:wordWrap/>
        <w:overflowPunct/>
        <w:bidi w:val="0"/>
        <w:spacing w:line="360" w:lineRule="auto"/>
        <w:rPr>
          <w:rFonts w:ascii="宋体" w:hAnsi="宋体"/>
          <w:color w:val="auto"/>
          <w:highlight w:val="none"/>
        </w:rPr>
      </w:pPr>
    </w:p>
    <w:p w14:paraId="7DEB6BC7">
      <w:pPr>
        <w:pageBreakBefore w:val="0"/>
        <w:wordWrap/>
        <w:overflowPunct/>
        <w:bidi w:val="0"/>
        <w:spacing w:line="360" w:lineRule="auto"/>
        <w:rPr>
          <w:rFonts w:ascii="宋体" w:hAnsi="宋体"/>
          <w:color w:val="auto"/>
          <w:sz w:val="24"/>
          <w:szCs w:val="24"/>
          <w:highlight w:val="none"/>
        </w:rPr>
      </w:pPr>
      <w:r>
        <w:rPr>
          <w:rFonts w:hint="eastAsia" w:ascii="宋体" w:hAnsi="宋体"/>
          <w:b/>
          <w:color w:val="auto"/>
          <w:sz w:val="32"/>
          <w:szCs w:val="32"/>
          <w:highlight w:val="none"/>
        </w:rPr>
        <w:br w:type="page"/>
      </w:r>
      <w:bookmarkStart w:id="162" w:name="_Toc2088"/>
      <w:bookmarkStart w:id="163" w:name="_Toc380589949"/>
      <w:bookmarkStart w:id="164" w:name="_Toc380589626"/>
      <w:bookmarkStart w:id="165" w:name="_Toc380589887"/>
      <w:bookmarkStart w:id="166" w:name="_Toc452907950"/>
      <w:bookmarkStart w:id="167" w:name="_Toc380590003"/>
    </w:p>
    <w:bookmarkEnd w:id="162"/>
    <w:bookmarkEnd w:id="163"/>
    <w:bookmarkEnd w:id="164"/>
    <w:bookmarkEnd w:id="165"/>
    <w:bookmarkEnd w:id="166"/>
    <w:bookmarkEnd w:id="167"/>
    <w:p w14:paraId="695CD69B">
      <w:pPr>
        <w:keepNext/>
        <w:keepLines/>
        <w:pageBreakBefore w:val="0"/>
        <w:widowControl w:val="0"/>
        <w:wordWrap/>
        <w:overflowPunct/>
        <w:bidi w:val="0"/>
        <w:spacing w:before="260" w:after="260" w:line="360" w:lineRule="auto"/>
        <w:jc w:val="center"/>
        <w:textAlignment w:val="auto"/>
        <w:outlineLvl w:val="9"/>
        <w:rPr>
          <w:rFonts w:hint="eastAsia" w:ascii="宋体" w:hAnsi="宋体" w:cs="仿宋"/>
          <w:b w:val="0"/>
          <w:bCs w:val="0"/>
          <w:kern w:val="2"/>
          <w:sz w:val="24"/>
          <w:szCs w:val="24"/>
          <w:highlight w:val="none"/>
          <w:lang w:val="en-US" w:eastAsia="zh-CN"/>
        </w:rPr>
      </w:pPr>
      <w:bookmarkStart w:id="168" w:name="_Toc63238018"/>
      <w:bookmarkStart w:id="169" w:name="_Toc13394"/>
      <w:bookmarkStart w:id="170" w:name="_Toc452907951"/>
      <w:bookmarkStart w:id="171" w:name="_Toc452708904"/>
      <w:r>
        <w:rPr>
          <w:rFonts w:hint="eastAsia" w:ascii="宋体" w:hAnsi="宋体" w:cs="仿宋"/>
          <w:b w:val="0"/>
          <w:bCs w:val="0"/>
          <w:kern w:val="2"/>
          <w:sz w:val="24"/>
          <w:szCs w:val="24"/>
          <w:highlight w:val="none"/>
          <w:lang w:val="en-US" w:eastAsia="zh-CN"/>
        </w:rPr>
        <w:t>目录</w:t>
      </w:r>
    </w:p>
    <w:p w14:paraId="620A0933">
      <w:pPr>
        <w:pageBreakBefore w:val="0"/>
        <w:wordWrap/>
        <w:overflowPunct/>
        <w:bidi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投标函</w:t>
      </w:r>
    </w:p>
    <w:p w14:paraId="30EEE63F">
      <w:pPr>
        <w:pageBreakBefore w:val="0"/>
        <w:wordWrap/>
        <w:overflowPunct/>
        <w:bidi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开标一览表</w:t>
      </w:r>
    </w:p>
    <w:p w14:paraId="53E8ABA0">
      <w:pPr>
        <w:pageBreakBefore w:val="0"/>
        <w:wordWrap/>
        <w:overflowPunct/>
        <w:bidi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法定代表人身份证明</w:t>
      </w:r>
    </w:p>
    <w:p w14:paraId="5CA9ACD2">
      <w:pPr>
        <w:pageBreakBefore w:val="0"/>
        <w:wordWrap/>
        <w:overflowPunct/>
        <w:bidi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授权委托书</w:t>
      </w:r>
    </w:p>
    <w:p w14:paraId="3F59E028">
      <w:pPr>
        <w:pageBreakBefore w:val="0"/>
        <w:wordWrap/>
        <w:overflowPunct/>
        <w:bidi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lang w:eastAsia="zh-CN"/>
        </w:rPr>
        <w:t>货物质量保障方案</w:t>
      </w:r>
    </w:p>
    <w:p w14:paraId="0451574B">
      <w:pPr>
        <w:pageBreakBefore w:val="0"/>
        <w:wordWrap/>
        <w:overflowPunct/>
        <w:bidi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投标承诺函</w:t>
      </w:r>
    </w:p>
    <w:p w14:paraId="365BA6A0">
      <w:pPr>
        <w:pageBreakBefore w:val="0"/>
        <w:wordWrap/>
        <w:overflowPunct/>
        <w:bidi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资格证明文件</w:t>
      </w:r>
    </w:p>
    <w:p w14:paraId="0068C16A">
      <w:pPr>
        <w:pageBreakBefore w:val="0"/>
        <w:wordWrap/>
        <w:overflowPunct/>
        <w:bidi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八、其他资料</w:t>
      </w:r>
    </w:p>
    <w:p w14:paraId="1770986E">
      <w:pPr>
        <w:rPr>
          <w:rFonts w:hint="eastAsia" w:ascii="宋体" w:hAnsi="宋体" w:cs="仿宋"/>
          <w:b/>
          <w:bCs/>
          <w:kern w:val="2"/>
          <w:sz w:val="24"/>
          <w:szCs w:val="24"/>
          <w:highlight w:val="none"/>
        </w:rPr>
      </w:pPr>
      <w:r>
        <w:rPr>
          <w:rFonts w:hint="eastAsia" w:ascii="宋体" w:hAnsi="宋体" w:cs="仿宋"/>
          <w:b/>
          <w:bCs/>
          <w:kern w:val="2"/>
          <w:sz w:val="24"/>
          <w:szCs w:val="24"/>
          <w:highlight w:val="none"/>
        </w:rPr>
        <w:br w:type="page"/>
      </w:r>
    </w:p>
    <w:p w14:paraId="4B92AD25">
      <w:pPr>
        <w:keepNext/>
        <w:keepLines/>
        <w:pageBreakBefore w:val="0"/>
        <w:widowControl w:val="0"/>
        <w:wordWrap/>
        <w:overflowPunct/>
        <w:bidi w:val="0"/>
        <w:spacing w:before="260" w:after="260" w:line="360" w:lineRule="auto"/>
        <w:jc w:val="center"/>
        <w:textAlignment w:val="auto"/>
        <w:outlineLvl w:val="1"/>
        <w:rPr>
          <w:rFonts w:ascii="宋体" w:hAnsi="宋体" w:cs="仿宋"/>
          <w:b/>
          <w:bCs/>
          <w:kern w:val="2"/>
          <w:sz w:val="24"/>
          <w:szCs w:val="24"/>
          <w:highlight w:val="none"/>
        </w:rPr>
      </w:pPr>
      <w:bookmarkStart w:id="172" w:name="_Toc24665"/>
      <w:r>
        <w:rPr>
          <w:rFonts w:hint="eastAsia" w:ascii="宋体" w:hAnsi="宋体" w:cs="仿宋"/>
          <w:b/>
          <w:bCs/>
          <w:kern w:val="2"/>
          <w:sz w:val="24"/>
          <w:szCs w:val="24"/>
          <w:highlight w:val="none"/>
        </w:rPr>
        <w:t>一、投 标 函</w:t>
      </w:r>
      <w:bookmarkEnd w:id="168"/>
      <w:bookmarkEnd w:id="169"/>
      <w:bookmarkEnd w:id="172"/>
    </w:p>
    <w:p w14:paraId="550934D7">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 xml:space="preserve">致:  </w:t>
      </w:r>
      <w:r>
        <w:rPr>
          <w:rFonts w:ascii="宋体" w:hAnsi="宋体" w:cs="仿宋"/>
          <w:sz w:val="24"/>
          <w:szCs w:val="24"/>
          <w:highlight w:val="none"/>
          <w:u w:val="single"/>
        </w:rPr>
        <w:t xml:space="preserve">          </w:t>
      </w:r>
      <w:r>
        <w:rPr>
          <w:rFonts w:hint="eastAsia" w:ascii="宋体" w:hAnsi="宋体" w:cs="仿宋"/>
          <w:sz w:val="24"/>
          <w:szCs w:val="24"/>
          <w:highlight w:val="none"/>
        </w:rPr>
        <w:t>（招标人名称）</w:t>
      </w:r>
    </w:p>
    <w:p w14:paraId="5D3CF21F">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ascii="宋体" w:hAnsi="宋体" w:cs="仿宋"/>
          <w:sz w:val="24"/>
          <w:szCs w:val="24"/>
          <w:highlight w:val="none"/>
          <w:u w:val="single"/>
        </w:rPr>
        <w:t xml:space="preserve">          </w:t>
      </w:r>
      <w:r>
        <w:rPr>
          <w:rFonts w:hint="eastAsia" w:ascii="宋体" w:hAnsi="宋体" w:cs="仿宋"/>
          <w:sz w:val="24"/>
          <w:szCs w:val="24"/>
          <w:highlight w:val="none"/>
        </w:rPr>
        <w:t xml:space="preserve"> (</w:t>
      </w:r>
      <w:r>
        <w:rPr>
          <w:rFonts w:hint="eastAsia" w:ascii="宋体" w:hAnsi="宋体" w:cs="仿宋"/>
          <w:sz w:val="24"/>
          <w:szCs w:val="24"/>
          <w:highlight w:val="none"/>
          <w:lang w:eastAsia="zh-CN"/>
        </w:rPr>
        <w:t>供应商</w:t>
      </w:r>
      <w:r>
        <w:rPr>
          <w:rFonts w:hint="eastAsia" w:ascii="宋体" w:hAnsi="宋体" w:cs="仿宋"/>
          <w:sz w:val="24"/>
          <w:szCs w:val="24"/>
          <w:highlight w:val="none"/>
        </w:rPr>
        <w:t>全称)授权</w:t>
      </w:r>
      <w:r>
        <w:rPr>
          <w:rFonts w:ascii="宋体" w:hAnsi="宋体" w:cs="仿宋"/>
          <w:sz w:val="24"/>
          <w:szCs w:val="24"/>
          <w:highlight w:val="none"/>
          <w:u w:val="single"/>
        </w:rPr>
        <w:t xml:space="preserve">          </w:t>
      </w:r>
      <w:r>
        <w:rPr>
          <w:rFonts w:hint="eastAsia" w:ascii="宋体" w:hAnsi="宋体" w:cs="仿宋"/>
          <w:sz w:val="24"/>
          <w:szCs w:val="24"/>
          <w:highlight w:val="none"/>
        </w:rPr>
        <w:t xml:space="preserve"> (</w:t>
      </w:r>
      <w:r>
        <w:rPr>
          <w:rFonts w:hint="eastAsia" w:ascii="宋体" w:hAnsi="宋体" w:cs="仿宋"/>
          <w:sz w:val="24"/>
          <w:szCs w:val="24"/>
          <w:highlight w:val="none"/>
          <w:lang w:eastAsia="zh-CN"/>
        </w:rPr>
        <w:t>供应商</w:t>
      </w:r>
      <w:r>
        <w:rPr>
          <w:rFonts w:hint="eastAsia" w:ascii="宋体" w:hAnsi="宋体" w:cs="仿宋"/>
          <w:sz w:val="24"/>
          <w:szCs w:val="24"/>
          <w:highlight w:val="none"/>
        </w:rPr>
        <w:t>代表姓名)</w:t>
      </w:r>
      <w:r>
        <w:rPr>
          <w:rFonts w:ascii="宋体" w:hAnsi="宋体" w:cs="仿宋"/>
          <w:sz w:val="24"/>
          <w:szCs w:val="24"/>
          <w:highlight w:val="none"/>
          <w:u w:val="single"/>
        </w:rPr>
        <w:t xml:space="preserve">          </w:t>
      </w:r>
      <w:r>
        <w:rPr>
          <w:rFonts w:hint="eastAsia" w:ascii="宋体" w:hAnsi="宋体" w:cs="仿宋"/>
          <w:sz w:val="24"/>
          <w:szCs w:val="24"/>
          <w:highlight w:val="none"/>
        </w:rPr>
        <w:t xml:space="preserve"> (职务、职称)为我方代表，参加贵方组织的招标的有关活动，并对</w:t>
      </w:r>
      <w:r>
        <w:rPr>
          <w:rFonts w:hint="eastAsia" w:ascii="宋体" w:hAnsi="宋体" w:cs="仿宋"/>
          <w:sz w:val="24"/>
          <w:szCs w:val="24"/>
          <w:highlight w:val="none"/>
          <w:u w:val="single" w:color="auto"/>
          <w:lang w:val="en-US" w:eastAsia="zh-CN"/>
        </w:rPr>
        <w:t xml:space="preserve">        </w:t>
      </w:r>
      <w:r>
        <w:rPr>
          <w:rFonts w:hint="eastAsia" w:ascii="宋体" w:hAnsi="宋体" w:cs="仿宋"/>
          <w:sz w:val="24"/>
          <w:szCs w:val="24"/>
          <w:highlight w:val="none"/>
        </w:rPr>
        <w:t>项目进行投标。为此：</w:t>
      </w:r>
    </w:p>
    <w:p w14:paraId="06217D2F">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1、 我方同意在本项目招标文件中规定的投标截止日期起</w:t>
      </w:r>
      <w:r>
        <w:rPr>
          <w:rFonts w:ascii="宋体" w:hAnsi="宋体" w:cs="仿宋"/>
          <w:sz w:val="24"/>
          <w:szCs w:val="24"/>
          <w:highlight w:val="none"/>
          <w:u w:val="single"/>
        </w:rPr>
        <w:t xml:space="preserve">         </w:t>
      </w:r>
      <w:r>
        <w:rPr>
          <w:rFonts w:hint="eastAsia" w:ascii="宋体" w:hAnsi="宋体" w:cs="仿宋"/>
          <w:sz w:val="24"/>
          <w:szCs w:val="24"/>
          <w:highlight w:val="none"/>
        </w:rPr>
        <w:t>日历天</w:t>
      </w:r>
      <w:r>
        <w:rPr>
          <w:rFonts w:hint="eastAsia" w:ascii="宋体" w:hAnsi="宋体" w:cs="仿宋"/>
          <w:sz w:val="24"/>
          <w:szCs w:val="24"/>
          <w:highlight w:val="none"/>
          <w:lang w:val="en-US" w:eastAsia="zh-CN"/>
        </w:rPr>
        <w:t>内</w:t>
      </w:r>
      <w:r>
        <w:rPr>
          <w:rFonts w:hint="eastAsia" w:ascii="宋体" w:hAnsi="宋体" w:cs="仿宋"/>
          <w:sz w:val="24"/>
          <w:szCs w:val="24"/>
          <w:highlight w:val="none"/>
        </w:rPr>
        <w:t>遵守本投标文件中的承诺且在此期限期满之前均具有约束力。</w:t>
      </w:r>
    </w:p>
    <w:p w14:paraId="4DCC3975">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2、 我方承诺已经具备《中华人民共和国政府采购法》中规定的参加政府采购活动的</w:t>
      </w:r>
      <w:r>
        <w:rPr>
          <w:rFonts w:hint="eastAsia" w:ascii="宋体" w:hAnsi="宋体" w:cs="仿宋"/>
          <w:sz w:val="24"/>
          <w:szCs w:val="24"/>
          <w:highlight w:val="none"/>
          <w:lang w:eastAsia="zh-CN"/>
        </w:rPr>
        <w:t>供应商</w:t>
      </w:r>
      <w:r>
        <w:rPr>
          <w:rFonts w:hint="eastAsia" w:ascii="宋体" w:hAnsi="宋体" w:cs="仿宋"/>
          <w:sz w:val="24"/>
          <w:szCs w:val="24"/>
          <w:highlight w:val="none"/>
        </w:rPr>
        <w:t>应当具备的条件。</w:t>
      </w:r>
    </w:p>
    <w:p w14:paraId="2EC51EFD">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3、我方提供符合投标须知规定的投标文件。</w:t>
      </w:r>
    </w:p>
    <w:p w14:paraId="5B428F73">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4、我方按投标</w:t>
      </w:r>
      <w:r>
        <w:rPr>
          <w:rFonts w:hint="eastAsia" w:ascii="宋体" w:hAnsi="宋体" w:cs="仿宋"/>
          <w:sz w:val="24"/>
          <w:szCs w:val="24"/>
          <w:highlight w:val="none"/>
          <w:lang w:val="en-US" w:eastAsia="zh-CN"/>
        </w:rPr>
        <w:t>承诺</w:t>
      </w:r>
      <w:r>
        <w:rPr>
          <w:rFonts w:hint="eastAsia" w:ascii="宋体" w:hAnsi="宋体" w:cs="仿宋"/>
          <w:sz w:val="24"/>
          <w:szCs w:val="24"/>
          <w:highlight w:val="none"/>
        </w:rPr>
        <w:t>函要求完成承诺。</w:t>
      </w:r>
    </w:p>
    <w:p w14:paraId="238609D1">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5、我方按招标文件要求提供本项目的投标报价为基准价的百分之(大写：</w:t>
      </w:r>
      <w:r>
        <w:rPr>
          <w:rFonts w:ascii="宋体" w:hAnsi="宋体" w:cs="仿宋"/>
          <w:sz w:val="24"/>
          <w:szCs w:val="24"/>
          <w:highlight w:val="none"/>
          <w:u w:val="single"/>
        </w:rPr>
        <w:t xml:space="preserve">          </w:t>
      </w:r>
      <w:r>
        <w:rPr>
          <w:rFonts w:hint="eastAsia" w:ascii="宋体" w:hAnsi="宋体" w:cs="仿宋"/>
          <w:sz w:val="24"/>
          <w:szCs w:val="24"/>
          <w:highlight w:val="none"/>
        </w:rPr>
        <w:t>)，(小写：</w:t>
      </w:r>
      <w:r>
        <w:rPr>
          <w:rFonts w:ascii="宋体" w:hAnsi="宋体" w:cs="仿宋"/>
          <w:sz w:val="24"/>
          <w:szCs w:val="24"/>
          <w:highlight w:val="none"/>
          <w:u w:val="single"/>
        </w:rPr>
        <w:t xml:space="preserve">          </w:t>
      </w:r>
      <w:r>
        <w:rPr>
          <w:rFonts w:hint="eastAsia" w:ascii="宋体" w:hAnsi="宋体" w:cs="仿宋"/>
          <w:sz w:val="24"/>
          <w:szCs w:val="24"/>
          <w:highlight w:val="none"/>
        </w:rPr>
        <w:t>)。（</w:t>
      </w:r>
      <w:r>
        <w:rPr>
          <w:rFonts w:hint="eastAsia" w:ascii="宋体" w:hAnsi="宋体" w:cs="仿宋"/>
          <w:b/>
          <w:bCs/>
          <w:sz w:val="24"/>
          <w:szCs w:val="24"/>
          <w:highlight w:val="none"/>
        </w:rPr>
        <w:t>以三门峡市定额站发布的202</w:t>
      </w:r>
      <w:r>
        <w:rPr>
          <w:rFonts w:hint="eastAsia" w:ascii="宋体" w:hAnsi="宋体" w:cs="仿宋"/>
          <w:b/>
          <w:bCs/>
          <w:sz w:val="24"/>
          <w:szCs w:val="24"/>
          <w:highlight w:val="none"/>
          <w:lang w:val="en-US" w:eastAsia="zh-CN"/>
        </w:rPr>
        <w:t>5</w:t>
      </w:r>
      <w:r>
        <w:rPr>
          <w:rFonts w:hint="eastAsia" w:ascii="宋体" w:hAnsi="宋体" w:cs="仿宋"/>
          <w:b/>
          <w:bCs/>
          <w:sz w:val="24"/>
          <w:szCs w:val="24"/>
          <w:highlight w:val="none"/>
        </w:rPr>
        <w:t>年当期《三门峡工程标准造价信息》中沥青</w:t>
      </w:r>
      <w:r>
        <w:rPr>
          <w:rFonts w:hint="eastAsia" w:ascii="宋体" w:hAnsi="宋体" w:cs="仿宋"/>
          <w:b/>
          <w:bCs/>
          <w:sz w:val="24"/>
          <w:szCs w:val="24"/>
          <w:highlight w:val="none"/>
          <w:lang w:val="en-US" w:eastAsia="zh-CN"/>
        </w:rPr>
        <w:t>混凝土</w:t>
      </w:r>
      <w:r>
        <w:rPr>
          <w:rFonts w:hint="eastAsia" w:ascii="宋体" w:hAnsi="宋体" w:cs="仿宋"/>
          <w:b/>
          <w:bCs/>
          <w:sz w:val="24"/>
          <w:szCs w:val="24"/>
          <w:highlight w:val="none"/>
        </w:rPr>
        <w:t>的价格为基准价</w:t>
      </w:r>
      <w:r>
        <w:rPr>
          <w:rFonts w:hint="eastAsia" w:ascii="宋体" w:hAnsi="宋体" w:cs="仿宋"/>
          <w:sz w:val="24"/>
          <w:szCs w:val="24"/>
          <w:highlight w:val="none"/>
        </w:rPr>
        <w:t>）</w:t>
      </w:r>
    </w:p>
    <w:p w14:paraId="68336500">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6、我方保证忠实地执行双方所签订的合同，并承担合同规定的责任和义务。</w:t>
      </w:r>
    </w:p>
    <w:p w14:paraId="16B6952F">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7、我方承诺完全满足和响应招标文件中的各项要求。</w:t>
      </w:r>
    </w:p>
    <w:p w14:paraId="7585D9ED">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8、如果在开标后规定的投标有效期内撤回投标，我单位将承担由此而产生的一切后果及责任。</w:t>
      </w:r>
    </w:p>
    <w:p w14:paraId="2B065F98">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9、我方完全理解贵方不一定接受最低价的投标。</w:t>
      </w:r>
    </w:p>
    <w:p w14:paraId="2E8E25DC">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10、我方愿意向贵方提供任何与本项目投标有关的数据、情况和技术资料。若贵方需要，我方愿意提供我方作出的一切承诺的证明材料。</w:t>
      </w:r>
    </w:p>
    <w:p w14:paraId="1E4F2205">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与本投标有关的一切往来通讯请寄：</w:t>
      </w:r>
    </w:p>
    <w:p w14:paraId="5CD8DD07">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地址：</w:t>
      </w:r>
      <w:r>
        <w:rPr>
          <w:rFonts w:ascii="宋体" w:hAnsi="宋体" w:cs="仿宋"/>
          <w:sz w:val="24"/>
          <w:szCs w:val="24"/>
          <w:highlight w:val="none"/>
          <w:u w:val="single"/>
        </w:rPr>
        <w:t xml:space="preserve">          </w:t>
      </w:r>
      <w:r>
        <w:rPr>
          <w:rFonts w:hint="eastAsia" w:ascii="宋体" w:hAnsi="宋体" w:cs="仿宋"/>
          <w:sz w:val="24"/>
          <w:szCs w:val="24"/>
          <w:highlight w:val="none"/>
        </w:rPr>
        <w:t xml:space="preserve">                                        </w:t>
      </w:r>
    </w:p>
    <w:p w14:paraId="06A42CC3">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电话：</w:t>
      </w:r>
      <w:r>
        <w:rPr>
          <w:rFonts w:ascii="宋体" w:hAnsi="宋体" w:cs="仿宋"/>
          <w:sz w:val="24"/>
          <w:szCs w:val="24"/>
          <w:highlight w:val="none"/>
          <w:u w:val="single"/>
        </w:rPr>
        <w:t xml:space="preserve">          </w:t>
      </w:r>
      <w:r>
        <w:rPr>
          <w:rFonts w:hint="eastAsia" w:ascii="宋体" w:hAnsi="宋体" w:cs="仿宋"/>
          <w:sz w:val="24"/>
          <w:szCs w:val="24"/>
          <w:highlight w:val="none"/>
        </w:rPr>
        <w:t xml:space="preserve">                                        </w:t>
      </w:r>
    </w:p>
    <w:p w14:paraId="6355F8CC">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lang w:eastAsia="zh-CN"/>
        </w:rPr>
        <w:t>供应商</w:t>
      </w:r>
      <w:r>
        <w:rPr>
          <w:rFonts w:hint="eastAsia" w:ascii="宋体" w:hAnsi="宋体" w:cs="仿宋"/>
          <w:sz w:val="24"/>
          <w:szCs w:val="24"/>
          <w:highlight w:val="non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r>
        <w:rPr>
          <w:rFonts w:hint="eastAsia" w:ascii="宋体" w:hAnsi="宋体"/>
          <w:color w:val="auto"/>
          <w:sz w:val="24"/>
          <w:szCs w:val="24"/>
          <w:highlight w:val="none"/>
        </w:rPr>
        <w:t>单位电子</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s="仿宋"/>
          <w:sz w:val="24"/>
          <w:szCs w:val="24"/>
          <w:highlight w:val="none"/>
        </w:rPr>
        <w:t>）</w:t>
      </w:r>
    </w:p>
    <w:p w14:paraId="7436A0A5">
      <w:pPr>
        <w:pageBreakBefore w:val="0"/>
        <w:wordWrap/>
        <w:overflowPunct/>
        <w:bidi w:val="0"/>
        <w:spacing w:before="75" w:after="75" w:line="360" w:lineRule="auto"/>
        <w:ind w:firstLine="518" w:firstLineChars="216"/>
        <w:jc w:val="left"/>
        <w:textAlignment w:val="auto"/>
        <w:rPr>
          <w:rFonts w:ascii="宋体" w:hAnsi="宋体" w:cs="仿宋"/>
          <w:sz w:val="24"/>
          <w:szCs w:val="24"/>
          <w:highlight w:val="none"/>
        </w:rPr>
      </w:pPr>
      <w:r>
        <w:rPr>
          <w:rFonts w:hint="eastAsia" w:ascii="宋体" w:hAnsi="宋体" w:cs="仿宋"/>
          <w:sz w:val="24"/>
          <w:szCs w:val="24"/>
          <w:highlight w:val="none"/>
        </w:rPr>
        <w:t>法定代表人：</w:t>
      </w:r>
      <w:r>
        <w:rPr>
          <w:rFonts w:ascii="宋体" w:hAnsi="宋体" w:cs="仿宋"/>
          <w:sz w:val="24"/>
          <w:szCs w:val="24"/>
          <w:highlight w:val="none"/>
          <w:u w:val="single"/>
        </w:rPr>
        <w:t xml:space="preserve">          </w:t>
      </w:r>
      <w:r>
        <w:rPr>
          <w:rFonts w:hint="eastAsia" w:ascii="宋体" w:hAnsi="宋体" w:cs="仿宋"/>
          <w:sz w:val="24"/>
          <w:szCs w:val="24"/>
          <w:highlight w:val="none"/>
        </w:rPr>
        <w:t>（法人电子签章）</w:t>
      </w:r>
    </w:p>
    <w:p w14:paraId="6EBDC16A">
      <w:pPr>
        <w:pageBreakBefore w:val="0"/>
        <w:wordWrap/>
        <w:overflowPunct/>
        <w:bidi w:val="0"/>
        <w:spacing w:line="360" w:lineRule="auto"/>
        <w:ind w:firstLine="480" w:firstLineChars="200"/>
        <w:jc w:val="left"/>
        <w:textAlignment w:val="auto"/>
        <w:rPr>
          <w:rFonts w:ascii="宋体" w:hAnsi="宋体" w:cs="仿宋"/>
          <w:kern w:val="2"/>
          <w:sz w:val="24"/>
          <w:szCs w:val="24"/>
          <w:highlight w:val="none"/>
        </w:rPr>
      </w:pPr>
      <w:r>
        <w:rPr>
          <w:rFonts w:hint="eastAsia" w:ascii="宋体" w:hAnsi="宋体" w:cs="仿宋"/>
          <w:kern w:val="2"/>
          <w:sz w:val="24"/>
          <w:szCs w:val="24"/>
          <w:highlight w:val="none"/>
        </w:rPr>
        <w:t xml:space="preserve">日 期：                           </w:t>
      </w:r>
    </w:p>
    <w:p w14:paraId="00B1F9DF">
      <w:pPr>
        <w:pageBreakBefore w:val="0"/>
        <w:wordWrap/>
        <w:overflowPunct/>
        <w:bidi w:val="0"/>
        <w:spacing w:line="360" w:lineRule="auto"/>
        <w:rPr>
          <w:rFonts w:ascii="宋体" w:hAnsi="宋体"/>
          <w:sz w:val="24"/>
          <w:szCs w:val="24"/>
          <w:highlight w:val="none"/>
        </w:rPr>
      </w:pPr>
      <w:r>
        <w:rPr>
          <w:rFonts w:ascii="宋体" w:hAnsi="宋体"/>
          <w:sz w:val="24"/>
          <w:szCs w:val="24"/>
          <w:highlight w:val="none"/>
        </w:rPr>
        <w:br w:type="page"/>
      </w:r>
    </w:p>
    <w:bookmarkEnd w:id="170"/>
    <w:bookmarkEnd w:id="171"/>
    <w:p w14:paraId="46CB84F4">
      <w:pPr>
        <w:keepNext/>
        <w:keepLines/>
        <w:pageBreakBefore w:val="0"/>
        <w:widowControl w:val="0"/>
        <w:wordWrap/>
        <w:overflowPunct/>
        <w:bidi w:val="0"/>
        <w:spacing w:before="260" w:after="260" w:line="360" w:lineRule="auto"/>
        <w:jc w:val="center"/>
        <w:textAlignment w:val="auto"/>
        <w:outlineLvl w:val="1"/>
        <w:rPr>
          <w:rFonts w:ascii="宋体" w:hAnsi="宋体" w:cs="仿宋"/>
          <w:b/>
          <w:bCs/>
          <w:kern w:val="2"/>
          <w:sz w:val="24"/>
          <w:szCs w:val="24"/>
          <w:highlight w:val="none"/>
        </w:rPr>
      </w:pPr>
      <w:bookmarkStart w:id="173" w:name="_Toc10528"/>
      <w:bookmarkStart w:id="174" w:name="_Toc491"/>
      <w:r>
        <w:rPr>
          <w:rFonts w:hint="eastAsia" w:ascii="宋体" w:hAnsi="宋体" w:cs="仿宋"/>
          <w:b/>
          <w:bCs/>
          <w:kern w:val="2"/>
          <w:sz w:val="24"/>
          <w:szCs w:val="24"/>
          <w:highlight w:val="none"/>
        </w:rPr>
        <w:t>二、开标一览表</w:t>
      </w:r>
      <w:bookmarkEnd w:id="173"/>
      <w:bookmarkEnd w:id="174"/>
    </w:p>
    <w:tbl>
      <w:tblPr>
        <w:tblStyle w:val="16"/>
        <w:tblpPr w:leftFromText="180" w:rightFromText="180" w:vertAnchor="text" w:horzAnchor="margin" w:tblpXSpec="center" w:tblpY="198"/>
        <w:tblW w:w="975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5027"/>
        <w:gridCol w:w="1020"/>
        <w:gridCol w:w="1215"/>
        <w:gridCol w:w="1260"/>
      </w:tblGrid>
      <w:tr w14:paraId="21E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28" w:type="dxa"/>
            <w:vAlign w:val="center"/>
          </w:tcPr>
          <w:p w14:paraId="08B84D2D">
            <w:pPr>
              <w:pageBreakBefore w:val="0"/>
              <w:widowControl w:val="0"/>
              <w:wordWrap/>
              <w:overflowPunct/>
              <w:bidi w:val="0"/>
              <w:snapToGrid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项目名称</w:t>
            </w:r>
          </w:p>
        </w:tc>
        <w:tc>
          <w:tcPr>
            <w:tcW w:w="5027" w:type="dxa"/>
            <w:vAlign w:val="center"/>
          </w:tcPr>
          <w:p w14:paraId="21756FB2">
            <w:pPr>
              <w:pageBreakBefore w:val="0"/>
              <w:widowControl w:val="0"/>
              <w:wordWrap/>
              <w:overflowPunct/>
              <w:bidi w:val="0"/>
              <w:snapToGrid w:val="0"/>
              <w:spacing w:line="360" w:lineRule="auto"/>
              <w:ind w:firstLine="518" w:firstLineChars="216"/>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投标</w:t>
            </w:r>
            <w:r>
              <w:rPr>
                <w:rFonts w:hint="eastAsia" w:ascii="宋体" w:hAnsi="宋体" w:cs="仿宋"/>
                <w:kern w:val="2"/>
                <w:sz w:val="24"/>
                <w:szCs w:val="24"/>
                <w:highlight w:val="none"/>
                <w:lang w:val="en-US" w:eastAsia="zh-CN"/>
              </w:rPr>
              <w:t>报</w:t>
            </w:r>
            <w:r>
              <w:rPr>
                <w:rFonts w:hint="eastAsia" w:ascii="宋体" w:hAnsi="宋体" w:cs="仿宋"/>
                <w:kern w:val="2"/>
                <w:sz w:val="24"/>
                <w:szCs w:val="24"/>
                <w:highlight w:val="none"/>
              </w:rPr>
              <w:t>价（</w:t>
            </w:r>
            <w:r>
              <w:rPr>
                <w:rFonts w:hint="eastAsia" w:ascii="宋体" w:hAnsi="宋体" w:cs="仿宋"/>
                <w:kern w:val="2"/>
                <w:sz w:val="24"/>
                <w:szCs w:val="24"/>
                <w:highlight w:val="none"/>
                <w:lang w:val="en-US" w:eastAsia="zh-CN"/>
              </w:rPr>
              <w:t>%</w:t>
            </w:r>
            <w:r>
              <w:rPr>
                <w:rFonts w:hint="eastAsia" w:ascii="宋体" w:hAnsi="宋体" w:cs="仿宋"/>
                <w:kern w:val="2"/>
                <w:sz w:val="24"/>
                <w:szCs w:val="24"/>
                <w:highlight w:val="none"/>
              </w:rPr>
              <w:t>）</w:t>
            </w:r>
          </w:p>
        </w:tc>
        <w:tc>
          <w:tcPr>
            <w:tcW w:w="1020" w:type="dxa"/>
            <w:vAlign w:val="center"/>
          </w:tcPr>
          <w:p w14:paraId="314AC9EB">
            <w:pPr>
              <w:pageBreakBefore w:val="0"/>
              <w:widowControl w:val="0"/>
              <w:wordWrap/>
              <w:overflowPunct/>
              <w:bidi w:val="0"/>
              <w:snapToGrid w:val="0"/>
              <w:spacing w:line="360" w:lineRule="auto"/>
              <w:jc w:val="center"/>
              <w:textAlignment w:val="auto"/>
              <w:rPr>
                <w:rFonts w:ascii="宋体" w:hAnsi="宋体" w:cs="仿宋"/>
                <w:kern w:val="2"/>
                <w:sz w:val="24"/>
                <w:szCs w:val="24"/>
                <w:highlight w:val="none"/>
              </w:rPr>
            </w:pPr>
            <w:r>
              <w:rPr>
                <w:rFonts w:hint="eastAsia" w:ascii="宋体" w:hAnsi="宋体" w:cs="仿宋"/>
                <w:color w:val="000000" w:themeColor="text1"/>
                <w:sz w:val="24"/>
                <w:szCs w:val="24"/>
                <w:highlight w:val="none"/>
                <w14:textFill>
                  <w14:solidFill>
                    <w14:schemeClr w14:val="tx1"/>
                  </w14:solidFill>
                </w14:textFill>
              </w:rPr>
              <w:t>供货期</w:t>
            </w:r>
          </w:p>
        </w:tc>
        <w:tc>
          <w:tcPr>
            <w:tcW w:w="1215" w:type="dxa"/>
            <w:vAlign w:val="center"/>
          </w:tcPr>
          <w:p w14:paraId="7F3686E6">
            <w:pPr>
              <w:pageBreakBefore w:val="0"/>
              <w:widowControl w:val="0"/>
              <w:wordWrap/>
              <w:overflowPunct/>
              <w:bidi w:val="0"/>
              <w:snapToGrid w:val="0"/>
              <w:spacing w:line="360" w:lineRule="auto"/>
              <w:jc w:val="center"/>
              <w:textAlignment w:val="auto"/>
              <w:rPr>
                <w:rFonts w:ascii="宋体" w:hAnsi="宋体" w:cs="仿宋"/>
                <w:kern w:val="2"/>
                <w:sz w:val="24"/>
                <w:szCs w:val="24"/>
                <w:highlight w:val="none"/>
              </w:rPr>
            </w:pPr>
            <w:r>
              <w:rPr>
                <w:rFonts w:hint="eastAsia" w:ascii="宋体" w:hAnsi="宋体" w:cs="仿宋"/>
                <w:color w:val="000000" w:themeColor="text1"/>
                <w:sz w:val="24"/>
                <w:szCs w:val="24"/>
                <w:highlight w:val="none"/>
                <w14:textFill>
                  <w14:solidFill>
                    <w14:schemeClr w14:val="tx1"/>
                  </w14:solidFill>
                </w14:textFill>
              </w:rPr>
              <w:t>交货地点</w:t>
            </w:r>
          </w:p>
        </w:tc>
        <w:tc>
          <w:tcPr>
            <w:tcW w:w="1260" w:type="dxa"/>
            <w:vAlign w:val="center"/>
          </w:tcPr>
          <w:p w14:paraId="69E218F1">
            <w:pPr>
              <w:pageBreakBefore w:val="0"/>
              <w:widowControl w:val="0"/>
              <w:wordWrap/>
              <w:overflowPunct/>
              <w:bidi w:val="0"/>
              <w:snapToGrid w:val="0"/>
              <w:spacing w:line="360" w:lineRule="auto"/>
              <w:jc w:val="center"/>
              <w:textAlignment w:val="auto"/>
              <w:rPr>
                <w:rFonts w:ascii="宋体" w:hAnsi="宋体" w:cs="仿宋"/>
                <w:kern w:val="2"/>
                <w:sz w:val="24"/>
                <w:szCs w:val="24"/>
                <w:highlight w:val="none"/>
              </w:rPr>
            </w:pPr>
            <w:r>
              <w:rPr>
                <w:rFonts w:hint="eastAsia" w:ascii="宋体" w:hAnsi="宋体" w:cs="仿宋"/>
                <w:color w:val="000000" w:themeColor="text1"/>
                <w:sz w:val="24"/>
                <w:szCs w:val="24"/>
                <w:highlight w:val="none"/>
                <w14:textFill>
                  <w14:solidFill>
                    <w14:schemeClr w14:val="tx1"/>
                  </w14:solidFill>
                </w14:textFill>
              </w:rPr>
              <w:t>质量要求</w:t>
            </w:r>
          </w:p>
        </w:tc>
      </w:tr>
      <w:tr w14:paraId="1BC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228" w:type="dxa"/>
            <w:vMerge w:val="restart"/>
            <w:vAlign w:val="center"/>
          </w:tcPr>
          <w:p w14:paraId="3AF9B0E4">
            <w:pPr>
              <w:pageBreakBefore w:val="0"/>
              <w:widowControl w:val="0"/>
              <w:wordWrap/>
              <w:overflowPunct/>
              <w:bidi w:val="0"/>
              <w:snapToGrid w:val="0"/>
              <w:spacing w:line="360" w:lineRule="auto"/>
              <w:ind w:firstLine="518" w:firstLineChars="216"/>
              <w:jc w:val="center"/>
              <w:textAlignment w:val="auto"/>
              <w:rPr>
                <w:rFonts w:ascii="宋体" w:hAnsi="宋体" w:cs="仿宋"/>
                <w:kern w:val="2"/>
                <w:sz w:val="24"/>
                <w:szCs w:val="24"/>
                <w:highlight w:val="none"/>
              </w:rPr>
            </w:pPr>
          </w:p>
        </w:tc>
        <w:tc>
          <w:tcPr>
            <w:tcW w:w="5027" w:type="dxa"/>
            <w:vAlign w:val="center"/>
          </w:tcPr>
          <w:p w14:paraId="1803F5B8">
            <w:pPr>
              <w:pageBreakBefore w:val="0"/>
              <w:widowControl w:val="0"/>
              <w:wordWrap/>
              <w:overflowPunct/>
              <w:bidi w:val="0"/>
              <w:snapToGrid w:val="0"/>
              <w:spacing w:line="360" w:lineRule="auto"/>
              <w:jc w:val="left"/>
              <w:textAlignment w:val="auto"/>
              <w:rPr>
                <w:rFonts w:hint="default" w:ascii="宋体" w:hAnsi="宋体" w:eastAsia="宋体" w:cs="仿宋"/>
                <w:kern w:val="2"/>
                <w:sz w:val="24"/>
                <w:szCs w:val="24"/>
                <w:highlight w:val="none"/>
                <w:lang w:val="en-US" w:eastAsia="zh-CN"/>
              </w:rPr>
            </w:pPr>
            <w:r>
              <w:rPr>
                <w:rFonts w:hint="eastAsia" w:ascii="宋体" w:hAnsi="宋体" w:cs="仿宋"/>
                <w:sz w:val="24"/>
                <w:szCs w:val="24"/>
                <w:highlight w:val="none"/>
              </w:rPr>
              <w:t>基准价的</w:t>
            </w:r>
            <w:r>
              <w:rPr>
                <w:rFonts w:hint="eastAsia" w:ascii="宋体" w:hAnsi="宋体" w:cs="仿宋"/>
                <w:sz w:val="24"/>
                <w:szCs w:val="24"/>
                <w:highlight w:val="none"/>
                <w:lang w:val="en-US" w:eastAsia="zh-CN"/>
              </w:rPr>
              <w:t>百分之（</w:t>
            </w:r>
            <w:r>
              <w:rPr>
                <w:rFonts w:hint="eastAsia" w:ascii="宋体" w:hAnsi="宋体" w:cs="仿宋"/>
                <w:kern w:val="2"/>
                <w:sz w:val="24"/>
                <w:szCs w:val="24"/>
                <w:highlight w:val="none"/>
              </w:rPr>
              <w:t>小写</w:t>
            </w:r>
            <w:r>
              <w:rPr>
                <w:rFonts w:hint="eastAsia" w:ascii="宋体" w:hAnsi="宋体" w:cs="仿宋"/>
                <w:sz w:val="24"/>
                <w:szCs w:val="24"/>
                <w:highlight w:val="none"/>
                <w:lang w:val="en-US" w:eastAsia="zh-CN"/>
              </w:rPr>
              <w:t>）</w:t>
            </w:r>
            <w:r>
              <w:rPr>
                <w:rFonts w:hint="eastAsia" w:ascii="宋体" w:hAnsi="宋体" w:cs="仿宋"/>
                <w:kern w:val="2"/>
                <w:sz w:val="24"/>
                <w:szCs w:val="24"/>
                <w:highlight w:val="none"/>
              </w:rPr>
              <w:t>：</w:t>
            </w:r>
            <w:r>
              <w:rPr>
                <w:rFonts w:hint="eastAsia" w:ascii="宋体" w:hAnsi="宋体" w:cs="仿宋"/>
                <w:kern w:val="2"/>
                <w:sz w:val="24"/>
                <w:szCs w:val="24"/>
                <w:highlight w:val="none"/>
                <w:u w:val="single" w:color="auto"/>
                <w:lang w:val="en-US" w:eastAsia="zh-CN"/>
              </w:rPr>
              <w:t xml:space="preserve">         </w:t>
            </w:r>
          </w:p>
        </w:tc>
        <w:tc>
          <w:tcPr>
            <w:tcW w:w="1020" w:type="dxa"/>
            <w:vMerge w:val="restart"/>
            <w:vAlign w:val="center"/>
          </w:tcPr>
          <w:p w14:paraId="6AF653FB">
            <w:pPr>
              <w:pageBreakBefore w:val="0"/>
              <w:widowControl w:val="0"/>
              <w:wordWrap/>
              <w:overflowPunct/>
              <w:bidi w:val="0"/>
              <w:snapToGrid w:val="0"/>
              <w:spacing w:line="360" w:lineRule="auto"/>
              <w:ind w:firstLine="518" w:firstLineChars="216"/>
              <w:jc w:val="center"/>
              <w:textAlignment w:val="auto"/>
              <w:rPr>
                <w:rFonts w:ascii="宋体" w:hAnsi="宋体" w:cs="仿宋"/>
                <w:kern w:val="2"/>
                <w:sz w:val="24"/>
                <w:szCs w:val="24"/>
                <w:highlight w:val="none"/>
              </w:rPr>
            </w:pPr>
          </w:p>
        </w:tc>
        <w:tc>
          <w:tcPr>
            <w:tcW w:w="1215" w:type="dxa"/>
            <w:vMerge w:val="restart"/>
            <w:vAlign w:val="center"/>
          </w:tcPr>
          <w:p w14:paraId="4083FDDB">
            <w:pPr>
              <w:pageBreakBefore w:val="0"/>
              <w:widowControl w:val="0"/>
              <w:wordWrap/>
              <w:overflowPunct/>
              <w:bidi w:val="0"/>
              <w:snapToGrid w:val="0"/>
              <w:spacing w:line="360" w:lineRule="auto"/>
              <w:ind w:firstLine="518" w:firstLineChars="216"/>
              <w:jc w:val="center"/>
              <w:textAlignment w:val="auto"/>
              <w:rPr>
                <w:rFonts w:ascii="宋体" w:hAnsi="宋体" w:cs="仿宋"/>
                <w:kern w:val="2"/>
                <w:sz w:val="24"/>
                <w:szCs w:val="24"/>
                <w:highlight w:val="none"/>
              </w:rPr>
            </w:pPr>
          </w:p>
        </w:tc>
        <w:tc>
          <w:tcPr>
            <w:tcW w:w="1260" w:type="dxa"/>
            <w:vMerge w:val="restart"/>
            <w:vAlign w:val="center"/>
          </w:tcPr>
          <w:p w14:paraId="22AE8258">
            <w:pPr>
              <w:pageBreakBefore w:val="0"/>
              <w:widowControl w:val="0"/>
              <w:wordWrap/>
              <w:overflowPunct/>
              <w:bidi w:val="0"/>
              <w:snapToGrid w:val="0"/>
              <w:spacing w:line="360" w:lineRule="auto"/>
              <w:ind w:firstLine="518" w:firstLineChars="216"/>
              <w:jc w:val="center"/>
              <w:textAlignment w:val="auto"/>
              <w:rPr>
                <w:rFonts w:ascii="宋体" w:hAnsi="宋体" w:cs="仿宋"/>
                <w:kern w:val="2"/>
                <w:sz w:val="24"/>
                <w:szCs w:val="24"/>
                <w:highlight w:val="none"/>
              </w:rPr>
            </w:pPr>
          </w:p>
        </w:tc>
      </w:tr>
      <w:tr w14:paraId="0D0D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28" w:type="dxa"/>
            <w:vMerge w:val="continue"/>
            <w:vAlign w:val="center"/>
          </w:tcPr>
          <w:p w14:paraId="5A46AF4F">
            <w:pPr>
              <w:pageBreakBefore w:val="0"/>
              <w:wordWrap/>
              <w:overflowPunct/>
              <w:bidi w:val="0"/>
              <w:spacing w:line="360" w:lineRule="auto"/>
              <w:ind w:firstLine="518" w:firstLineChars="216"/>
              <w:jc w:val="left"/>
              <w:textAlignment w:val="auto"/>
              <w:rPr>
                <w:rFonts w:ascii="宋体" w:hAnsi="宋体" w:cs="仿宋"/>
                <w:kern w:val="2"/>
                <w:sz w:val="24"/>
                <w:szCs w:val="24"/>
                <w:highlight w:val="none"/>
              </w:rPr>
            </w:pPr>
          </w:p>
        </w:tc>
        <w:tc>
          <w:tcPr>
            <w:tcW w:w="5027" w:type="dxa"/>
            <w:vAlign w:val="center"/>
          </w:tcPr>
          <w:p w14:paraId="64C050B9">
            <w:pPr>
              <w:pageBreakBefore w:val="0"/>
              <w:widowControl w:val="0"/>
              <w:wordWrap/>
              <w:overflowPunct/>
              <w:bidi w:val="0"/>
              <w:snapToGrid w:val="0"/>
              <w:spacing w:line="360" w:lineRule="auto"/>
              <w:jc w:val="left"/>
              <w:textAlignment w:val="auto"/>
              <w:rPr>
                <w:rFonts w:hint="default" w:ascii="宋体" w:hAnsi="宋体" w:eastAsia="宋体" w:cs="仿宋"/>
                <w:kern w:val="2"/>
                <w:sz w:val="24"/>
                <w:szCs w:val="24"/>
                <w:highlight w:val="none"/>
                <w:lang w:val="en-US" w:eastAsia="zh-CN"/>
              </w:rPr>
            </w:pPr>
            <w:r>
              <w:rPr>
                <w:rFonts w:hint="eastAsia" w:ascii="宋体" w:hAnsi="宋体" w:cs="仿宋"/>
                <w:sz w:val="24"/>
                <w:szCs w:val="24"/>
                <w:highlight w:val="none"/>
              </w:rPr>
              <w:t>基准价的</w:t>
            </w:r>
            <w:r>
              <w:rPr>
                <w:rFonts w:hint="eastAsia" w:ascii="宋体" w:hAnsi="宋体" w:cs="仿宋"/>
                <w:sz w:val="24"/>
                <w:szCs w:val="24"/>
                <w:highlight w:val="none"/>
                <w:lang w:val="en-US" w:eastAsia="zh-CN"/>
              </w:rPr>
              <w:t>百分之（</w:t>
            </w:r>
            <w:r>
              <w:rPr>
                <w:rFonts w:hint="eastAsia" w:ascii="宋体" w:hAnsi="宋体" w:cs="仿宋"/>
                <w:kern w:val="2"/>
                <w:sz w:val="24"/>
                <w:szCs w:val="24"/>
                <w:highlight w:val="none"/>
              </w:rPr>
              <w:t>大写</w:t>
            </w:r>
            <w:r>
              <w:rPr>
                <w:rFonts w:hint="eastAsia" w:ascii="宋体" w:hAnsi="宋体" w:cs="仿宋"/>
                <w:sz w:val="24"/>
                <w:szCs w:val="24"/>
                <w:highlight w:val="none"/>
                <w:lang w:val="en-US" w:eastAsia="zh-CN"/>
              </w:rPr>
              <w:t>）</w:t>
            </w:r>
            <w:r>
              <w:rPr>
                <w:rFonts w:hint="eastAsia" w:ascii="宋体" w:hAnsi="宋体" w:cs="仿宋"/>
                <w:kern w:val="2"/>
                <w:sz w:val="24"/>
                <w:szCs w:val="24"/>
                <w:highlight w:val="none"/>
              </w:rPr>
              <w:t>：</w:t>
            </w:r>
            <w:r>
              <w:rPr>
                <w:rFonts w:hint="eastAsia" w:ascii="宋体" w:hAnsi="宋体" w:cs="仿宋"/>
                <w:kern w:val="2"/>
                <w:sz w:val="24"/>
                <w:szCs w:val="24"/>
                <w:highlight w:val="none"/>
                <w:u w:val="single" w:color="auto"/>
                <w:lang w:val="en-US" w:eastAsia="zh-CN"/>
              </w:rPr>
              <w:t xml:space="preserve">         </w:t>
            </w:r>
          </w:p>
        </w:tc>
        <w:tc>
          <w:tcPr>
            <w:tcW w:w="1020" w:type="dxa"/>
            <w:vMerge w:val="continue"/>
            <w:vAlign w:val="center"/>
          </w:tcPr>
          <w:p w14:paraId="40E5C00B">
            <w:pPr>
              <w:pageBreakBefore w:val="0"/>
              <w:wordWrap/>
              <w:overflowPunct/>
              <w:bidi w:val="0"/>
              <w:spacing w:line="360" w:lineRule="auto"/>
              <w:ind w:firstLine="518" w:firstLineChars="216"/>
              <w:jc w:val="left"/>
              <w:textAlignment w:val="auto"/>
              <w:rPr>
                <w:rFonts w:ascii="宋体" w:hAnsi="宋体" w:cs="仿宋"/>
                <w:kern w:val="2"/>
                <w:sz w:val="24"/>
                <w:szCs w:val="24"/>
                <w:highlight w:val="none"/>
              </w:rPr>
            </w:pPr>
          </w:p>
        </w:tc>
        <w:tc>
          <w:tcPr>
            <w:tcW w:w="1215" w:type="dxa"/>
            <w:vMerge w:val="continue"/>
          </w:tcPr>
          <w:p w14:paraId="69E780FB">
            <w:pPr>
              <w:pageBreakBefore w:val="0"/>
              <w:wordWrap/>
              <w:overflowPunct/>
              <w:bidi w:val="0"/>
              <w:spacing w:line="360" w:lineRule="auto"/>
              <w:ind w:firstLine="518" w:firstLineChars="216"/>
              <w:jc w:val="left"/>
              <w:textAlignment w:val="auto"/>
              <w:rPr>
                <w:rFonts w:ascii="宋体" w:hAnsi="宋体" w:cs="仿宋"/>
                <w:kern w:val="2"/>
                <w:sz w:val="24"/>
                <w:szCs w:val="24"/>
                <w:highlight w:val="none"/>
              </w:rPr>
            </w:pPr>
          </w:p>
        </w:tc>
        <w:tc>
          <w:tcPr>
            <w:tcW w:w="1260" w:type="dxa"/>
            <w:vMerge w:val="continue"/>
          </w:tcPr>
          <w:p w14:paraId="714C094D">
            <w:pPr>
              <w:pageBreakBefore w:val="0"/>
              <w:wordWrap/>
              <w:overflowPunct/>
              <w:bidi w:val="0"/>
              <w:spacing w:line="360" w:lineRule="auto"/>
              <w:ind w:firstLine="518" w:firstLineChars="216"/>
              <w:jc w:val="left"/>
              <w:textAlignment w:val="auto"/>
              <w:rPr>
                <w:rFonts w:ascii="宋体" w:hAnsi="宋体" w:cs="仿宋"/>
                <w:kern w:val="2"/>
                <w:sz w:val="24"/>
                <w:szCs w:val="24"/>
                <w:highlight w:val="none"/>
              </w:rPr>
            </w:pPr>
          </w:p>
        </w:tc>
      </w:tr>
    </w:tbl>
    <w:p w14:paraId="666FDC0E">
      <w:pPr>
        <w:pageBreakBefore w:val="0"/>
        <w:wordWrap/>
        <w:overflowPunct/>
        <w:bidi w:val="0"/>
        <w:spacing w:line="360" w:lineRule="auto"/>
        <w:jc w:val="center"/>
        <w:rPr>
          <w:rFonts w:ascii="宋体" w:hAnsi="宋体"/>
          <w:b/>
          <w:bCs/>
          <w:color w:val="auto"/>
          <w:sz w:val="24"/>
          <w:szCs w:val="24"/>
          <w:highlight w:val="none"/>
        </w:rPr>
      </w:pPr>
    </w:p>
    <w:p w14:paraId="6C59EFEE">
      <w:pPr>
        <w:pageBreakBefore w:val="0"/>
        <w:widowControl w:val="0"/>
        <w:wordWrap/>
        <w:overflowPunct/>
        <w:bidi w:val="0"/>
        <w:spacing w:before="240" w:beforeLines="100" w:line="360" w:lineRule="auto"/>
        <w:ind w:firstLine="518" w:firstLineChars="216"/>
        <w:jc w:val="left"/>
        <w:textAlignment w:val="auto"/>
        <w:rPr>
          <w:rFonts w:ascii="宋体" w:hAnsi="宋体" w:cs="仿宋"/>
          <w:kern w:val="2"/>
          <w:sz w:val="24"/>
          <w:szCs w:val="24"/>
          <w:highlight w:val="none"/>
        </w:rPr>
      </w:pPr>
      <w:bookmarkStart w:id="175" w:name="_Toc303697559"/>
      <w:r>
        <w:rPr>
          <w:rFonts w:hint="eastAsia" w:ascii="宋体" w:hAnsi="宋体" w:cs="仿宋"/>
          <w:kern w:val="2"/>
          <w:sz w:val="24"/>
          <w:szCs w:val="24"/>
          <w:highlight w:val="none"/>
        </w:rPr>
        <w:t>法定代表人</w:t>
      </w:r>
      <w:bookmarkEnd w:id="175"/>
      <w:r>
        <w:rPr>
          <w:rFonts w:hint="eastAsia" w:ascii="宋体" w:hAnsi="宋体" w:cs="仿宋"/>
          <w:kern w:val="2"/>
          <w:sz w:val="24"/>
          <w:szCs w:val="24"/>
          <w:highlight w:val="none"/>
        </w:rPr>
        <w:t>：（法人电子签章）</w:t>
      </w:r>
    </w:p>
    <w:p w14:paraId="51567E69">
      <w:pPr>
        <w:pageBreakBefore w:val="0"/>
        <w:widowControl w:val="0"/>
        <w:wordWrap/>
        <w:overflowPunct/>
        <w:bidi w:val="0"/>
        <w:spacing w:before="240" w:beforeLines="100" w:line="360" w:lineRule="auto"/>
        <w:ind w:firstLine="518" w:firstLineChars="216"/>
        <w:jc w:val="left"/>
        <w:textAlignment w:val="auto"/>
        <w:rPr>
          <w:rFonts w:hint="eastAsia" w:ascii="宋体" w:hAnsi="宋体" w:cs="仿宋"/>
          <w:kern w:val="2"/>
          <w:sz w:val="24"/>
          <w:szCs w:val="24"/>
          <w:highlight w:val="none"/>
        </w:rPr>
      </w:pPr>
      <w:bookmarkStart w:id="176" w:name="_Toc309605966"/>
      <w:bookmarkEnd w:id="176"/>
      <w:bookmarkStart w:id="177" w:name="_Toc322654684"/>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w:t>
      </w:r>
      <w:bookmarkEnd w:id="177"/>
      <w:r>
        <w:rPr>
          <w:rFonts w:hint="eastAsia" w:ascii="宋体" w:hAnsi="宋体" w:cs="仿宋"/>
          <w:kern w:val="2"/>
          <w:sz w:val="24"/>
          <w:szCs w:val="24"/>
          <w:highlight w:val="none"/>
        </w:rPr>
        <w:t>（</w:t>
      </w:r>
      <w:r>
        <w:rPr>
          <w:rFonts w:hint="eastAsia" w:ascii="宋体" w:hAnsi="宋体" w:cs="仿宋"/>
          <w:kern w:val="2"/>
          <w:sz w:val="24"/>
          <w:szCs w:val="24"/>
          <w:highlight w:val="none"/>
          <w:lang w:eastAsia="zh-CN"/>
        </w:rPr>
        <w:t>单位电子公章</w:t>
      </w:r>
      <w:r>
        <w:rPr>
          <w:rFonts w:hint="eastAsia" w:ascii="宋体" w:hAnsi="宋体" w:cs="仿宋"/>
          <w:kern w:val="2"/>
          <w:sz w:val="24"/>
          <w:szCs w:val="24"/>
          <w:highlight w:val="none"/>
        </w:rPr>
        <w:t>）</w:t>
      </w:r>
    </w:p>
    <w:p w14:paraId="43D02B03">
      <w:pPr>
        <w:pStyle w:val="2"/>
        <w:rPr>
          <w:rFonts w:hint="eastAsia" w:ascii="宋体" w:hAnsi="宋体" w:cs="仿宋"/>
          <w:kern w:val="2"/>
          <w:sz w:val="24"/>
          <w:szCs w:val="24"/>
          <w:highlight w:val="none"/>
        </w:rPr>
      </w:pPr>
    </w:p>
    <w:p w14:paraId="335CFF2D"/>
    <w:p w14:paraId="7E3C7335">
      <w:pPr>
        <w:pageBreakBefore w:val="0"/>
        <w:widowControl w:val="0"/>
        <w:wordWrap/>
        <w:overflowPunct/>
        <w:bidi w:val="0"/>
        <w:spacing w:before="240" w:beforeLines="100" w:line="360" w:lineRule="auto"/>
        <w:ind w:firstLine="518" w:firstLineChars="216"/>
        <w:jc w:val="left"/>
        <w:textAlignment w:val="auto"/>
        <w:rPr>
          <w:rFonts w:ascii="宋体" w:hAnsi="宋体" w:cs="仿宋"/>
          <w:kern w:val="2"/>
          <w:sz w:val="24"/>
          <w:szCs w:val="24"/>
          <w:highlight w:val="none"/>
        </w:rPr>
      </w:pPr>
      <w:r>
        <w:rPr>
          <w:rFonts w:hint="eastAsia" w:ascii="宋体" w:hAnsi="宋体" w:cs="仿宋"/>
          <w:kern w:val="2"/>
          <w:sz w:val="24"/>
          <w:szCs w:val="24"/>
          <w:highlight w:val="none"/>
        </w:rPr>
        <w:t>注：</w:t>
      </w:r>
    </w:p>
    <w:p w14:paraId="701CBC20">
      <w:pPr>
        <w:pageBreakBefore w:val="0"/>
        <w:widowControl w:val="0"/>
        <w:wordWrap/>
        <w:overflowPunct/>
        <w:bidi w:val="0"/>
        <w:spacing w:line="360" w:lineRule="auto"/>
        <w:ind w:firstLine="518" w:firstLineChars="216"/>
        <w:jc w:val="left"/>
        <w:textAlignment w:val="auto"/>
        <w:rPr>
          <w:rFonts w:ascii="宋体" w:hAnsi="宋体" w:cs="仿宋"/>
          <w:kern w:val="2"/>
          <w:sz w:val="24"/>
          <w:szCs w:val="24"/>
          <w:highlight w:val="none"/>
        </w:rPr>
      </w:pPr>
      <w:r>
        <w:rPr>
          <w:rFonts w:hint="eastAsia" w:ascii="宋体" w:hAnsi="宋体" w:cs="仿宋"/>
          <w:kern w:val="2"/>
          <w:sz w:val="24"/>
          <w:szCs w:val="24"/>
          <w:highlight w:val="none"/>
        </w:rPr>
        <w:t>1.上述价格应包括</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履行本项目所必须的所有成本费用和</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应承担的一切税费，包括但不限于办公、交通、人员、业务、差旅、调研、资料收集、报告编制、印刷、管理、税费、测试工具费用及其他管理费用等。此表中的投标总价应和投标函中的投标总价相一致；</w:t>
      </w:r>
    </w:p>
    <w:p w14:paraId="196A0BD7">
      <w:pPr>
        <w:pageBreakBefore w:val="0"/>
        <w:widowControl w:val="0"/>
        <w:wordWrap/>
        <w:overflowPunct/>
        <w:bidi w:val="0"/>
        <w:spacing w:line="360" w:lineRule="auto"/>
        <w:ind w:firstLine="518" w:firstLineChars="216"/>
        <w:jc w:val="left"/>
        <w:textAlignment w:val="auto"/>
        <w:rPr>
          <w:rFonts w:ascii="宋体" w:hAnsi="宋体" w:cs="仿宋"/>
          <w:kern w:val="2"/>
          <w:sz w:val="24"/>
          <w:szCs w:val="24"/>
          <w:highlight w:val="none"/>
        </w:rPr>
      </w:pPr>
      <w:r>
        <w:rPr>
          <w:rFonts w:hint="eastAsia" w:ascii="宋体" w:hAnsi="宋体" w:cs="仿宋"/>
          <w:kern w:val="2"/>
          <w:sz w:val="24"/>
          <w:szCs w:val="24"/>
          <w:highlight w:val="none"/>
        </w:rPr>
        <w:t>2.若用文字表示的数值与用数字表示的数值不一致，以文字表示的数值为准。</w:t>
      </w:r>
      <w:bookmarkStart w:id="178" w:name="_Toc325446133"/>
      <w:bookmarkEnd w:id="178"/>
      <w:bookmarkStart w:id="179" w:name="_Toc324696984"/>
      <w:bookmarkEnd w:id="179"/>
      <w:bookmarkStart w:id="180" w:name="_Toc526072759"/>
      <w:bookmarkEnd w:id="180"/>
      <w:bookmarkStart w:id="181" w:name="_Toc266859802"/>
      <w:bookmarkEnd w:id="181"/>
      <w:bookmarkStart w:id="182" w:name="_Toc325383407"/>
      <w:bookmarkEnd w:id="182"/>
      <w:bookmarkStart w:id="183" w:name="_Toc359842905"/>
      <w:bookmarkEnd w:id="183"/>
      <w:bookmarkStart w:id="184" w:name="_Toc321903857"/>
      <w:bookmarkEnd w:id="184"/>
    </w:p>
    <w:p w14:paraId="1CE577B2">
      <w:pPr>
        <w:pageBreakBefore w:val="0"/>
        <w:wordWrap/>
        <w:overflowPunct/>
        <w:bidi w:val="0"/>
        <w:spacing w:line="360" w:lineRule="auto"/>
        <w:ind w:firstLine="240"/>
        <w:rPr>
          <w:rFonts w:ascii="宋体" w:hAnsi="宋体"/>
          <w:color w:val="auto"/>
          <w:sz w:val="24"/>
          <w:szCs w:val="24"/>
          <w:highlight w:val="none"/>
        </w:rPr>
      </w:pPr>
    </w:p>
    <w:p w14:paraId="2A2D9C31">
      <w:pPr>
        <w:pageBreakBefore w:val="0"/>
        <w:wordWrap/>
        <w:overflowPunct/>
        <w:bidi w:val="0"/>
        <w:spacing w:line="360" w:lineRule="auto"/>
        <w:jc w:val="left"/>
        <w:textAlignment w:val="auto"/>
        <w:rPr>
          <w:rFonts w:ascii="宋体" w:hAnsi="宋体"/>
          <w:color w:val="auto"/>
          <w:sz w:val="24"/>
          <w:szCs w:val="24"/>
          <w:highlight w:val="none"/>
        </w:rPr>
      </w:pPr>
      <w:r>
        <w:rPr>
          <w:rFonts w:ascii="宋体" w:hAnsi="宋体"/>
          <w:color w:val="auto"/>
          <w:sz w:val="24"/>
          <w:szCs w:val="24"/>
          <w:highlight w:val="none"/>
        </w:rPr>
        <w:br w:type="page"/>
      </w:r>
    </w:p>
    <w:p w14:paraId="32CDC3F1">
      <w:pPr>
        <w:keepNext/>
        <w:keepLines/>
        <w:pageBreakBefore w:val="0"/>
        <w:widowControl w:val="0"/>
        <w:wordWrap/>
        <w:overflowPunct/>
        <w:bidi w:val="0"/>
        <w:spacing w:before="260" w:after="260" w:line="360" w:lineRule="auto"/>
        <w:jc w:val="center"/>
        <w:textAlignment w:val="auto"/>
        <w:outlineLvl w:val="1"/>
        <w:rPr>
          <w:rFonts w:ascii="宋体" w:hAnsi="宋体" w:eastAsia="黑体"/>
          <w:b/>
          <w:bCs/>
          <w:kern w:val="2"/>
          <w:sz w:val="24"/>
          <w:szCs w:val="24"/>
          <w:highlight w:val="none"/>
        </w:rPr>
      </w:pPr>
      <w:bookmarkStart w:id="185" w:name="_Toc2052"/>
      <w:bookmarkStart w:id="186" w:name="_Toc81482973"/>
      <w:bookmarkStart w:id="187" w:name="_Toc7193"/>
      <w:bookmarkStart w:id="188" w:name="_Toc452907957"/>
      <w:bookmarkStart w:id="189" w:name="_Toc422041010"/>
      <w:bookmarkStart w:id="190" w:name="_Toc395626667"/>
      <w:bookmarkStart w:id="191" w:name="_Toc312141140"/>
      <w:r>
        <w:rPr>
          <w:rFonts w:hint="eastAsia" w:ascii="宋体" w:hAnsi="宋体"/>
          <w:b/>
          <w:bCs/>
          <w:kern w:val="2"/>
          <w:sz w:val="24"/>
          <w:szCs w:val="24"/>
          <w:highlight w:val="none"/>
        </w:rPr>
        <w:t>三、法定代表人身份证明</w:t>
      </w:r>
      <w:bookmarkEnd w:id="185"/>
      <w:bookmarkEnd w:id="186"/>
    </w:p>
    <w:p w14:paraId="1AE2BA9C">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供应商名称：</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w:t>
      </w:r>
    </w:p>
    <w:p w14:paraId="071DC625">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单位性质：</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w:t>
      </w:r>
    </w:p>
    <w:p w14:paraId="1C473A42">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地址：</w:t>
      </w:r>
      <w:r>
        <w:rPr>
          <w:rFonts w:hint="eastAsia" w:ascii="宋体" w:hAnsi="宋体" w:cs="宋体"/>
          <w:color w:val="auto"/>
          <w:kern w:val="2"/>
          <w:sz w:val="24"/>
          <w:szCs w:val="24"/>
          <w:highlight w:val="none"/>
          <w:u w:val="single"/>
        </w:rPr>
        <w:t xml:space="preserve">                                   </w:t>
      </w:r>
    </w:p>
    <w:p w14:paraId="7392AE05">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成立时间：</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年</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月</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日</w:t>
      </w:r>
    </w:p>
    <w:p w14:paraId="5D2AF0EC">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经营期限：</w:t>
      </w:r>
      <w:r>
        <w:rPr>
          <w:rFonts w:hint="eastAsia" w:ascii="宋体" w:hAnsi="宋体" w:cs="宋体"/>
          <w:color w:val="auto"/>
          <w:kern w:val="2"/>
          <w:sz w:val="24"/>
          <w:szCs w:val="24"/>
          <w:highlight w:val="none"/>
          <w:u w:val="single"/>
        </w:rPr>
        <w:t xml:space="preserve">                               </w:t>
      </w:r>
    </w:p>
    <w:p w14:paraId="5369785B">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性别：</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年龄：</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职务：</w:t>
      </w:r>
      <w:r>
        <w:rPr>
          <w:rFonts w:hint="eastAsia" w:ascii="宋体" w:hAnsi="宋体" w:cs="宋体"/>
          <w:color w:val="auto"/>
          <w:kern w:val="2"/>
          <w:sz w:val="24"/>
          <w:szCs w:val="24"/>
          <w:highlight w:val="none"/>
          <w:u w:val="single"/>
        </w:rPr>
        <w:t xml:space="preserve">        </w:t>
      </w:r>
    </w:p>
    <w:p w14:paraId="103B271C">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系</w:t>
      </w:r>
      <w:r>
        <w:rPr>
          <w:rFonts w:hint="eastAsia" w:ascii="宋体" w:hAnsi="宋体" w:cs="宋体"/>
          <w:color w:val="auto"/>
          <w:kern w:val="2"/>
          <w:sz w:val="24"/>
          <w:szCs w:val="24"/>
          <w:highlight w:val="none"/>
          <w:u w:val="single"/>
        </w:rPr>
        <w:t xml:space="preserve">                             </w:t>
      </w:r>
      <w:r>
        <w:rPr>
          <w:rFonts w:hint="eastAsia" w:ascii="宋体" w:hAnsi="宋体" w:cs="宋体"/>
          <w:color w:val="auto"/>
          <w:kern w:val="2"/>
          <w:sz w:val="24"/>
          <w:szCs w:val="24"/>
          <w:highlight w:val="none"/>
        </w:rPr>
        <w:t xml:space="preserve"> （供应商名称）的法定代表人。</w:t>
      </w:r>
    </w:p>
    <w:p w14:paraId="48580DCD">
      <w:pPr>
        <w:pageBreakBefore w:val="0"/>
        <w:widowControl w:val="0"/>
        <w:wordWrap/>
        <w:overflowPunct/>
        <w:bidi w:val="0"/>
        <w:spacing w:line="360" w:lineRule="auto"/>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特此证明。</w:t>
      </w:r>
    </w:p>
    <w:p w14:paraId="751646E3">
      <w:pPr>
        <w:pageBreakBefore w:val="0"/>
        <w:widowControl w:val="0"/>
        <w:wordWrap/>
        <w:overflowPunct/>
        <w:bidi w:val="0"/>
        <w:spacing w:line="360" w:lineRule="auto"/>
        <w:ind w:firstLine="808" w:firstLineChars="337"/>
        <w:textAlignment w:val="auto"/>
        <w:rPr>
          <w:color w:val="auto"/>
          <w:kern w:val="2"/>
          <w:sz w:val="24"/>
          <w:szCs w:val="24"/>
          <w:highlight w:val="none"/>
        </w:rPr>
      </w:pPr>
    </w:p>
    <w:p w14:paraId="10655737">
      <w:pPr>
        <w:pageBreakBefore w:val="0"/>
        <w:widowControl w:val="0"/>
        <w:wordWrap/>
        <w:overflowPunct/>
        <w:bidi w:val="0"/>
        <w:spacing w:line="360" w:lineRule="auto"/>
        <w:ind w:firstLine="808" w:firstLineChars="337"/>
        <w:jc w:val="right"/>
        <w:textAlignment w:val="auto"/>
        <w:rPr>
          <w:color w:val="auto"/>
          <w:kern w:val="2"/>
          <w:sz w:val="24"/>
          <w:szCs w:val="24"/>
          <w:highlight w:val="none"/>
        </w:rPr>
      </w:pPr>
      <w:r>
        <w:rPr>
          <w:color w:val="auto"/>
          <w:kern w:val="2"/>
          <w:sz w:val="24"/>
          <w:szCs w:val="24"/>
          <w:highlight w:val="none"/>
        </w:rPr>
        <w:t xml:space="preserve">                          </w:t>
      </w:r>
      <w:r>
        <w:rPr>
          <w:rFonts w:hint="eastAsia"/>
          <w:color w:val="auto"/>
          <w:kern w:val="2"/>
          <w:sz w:val="24"/>
          <w:szCs w:val="24"/>
          <w:highlight w:val="none"/>
        </w:rPr>
        <w:t>供应商</w:t>
      </w:r>
      <w:r>
        <w:rPr>
          <w:color w:val="auto"/>
          <w:kern w:val="2"/>
          <w:sz w:val="24"/>
          <w:szCs w:val="24"/>
          <w:highlight w:val="none"/>
        </w:rPr>
        <w:t>：</w:t>
      </w:r>
      <w:r>
        <w:rPr>
          <w:color w:val="auto"/>
          <w:kern w:val="2"/>
          <w:sz w:val="24"/>
          <w:szCs w:val="24"/>
          <w:highlight w:val="none"/>
          <w:u w:val="single"/>
        </w:rPr>
        <w:t xml:space="preserve">                 </w:t>
      </w:r>
      <w:r>
        <w:rPr>
          <w:color w:val="auto"/>
          <w:kern w:val="2"/>
          <w:sz w:val="24"/>
          <w:szCs w:val="24"/>
          <w:highlight w:val="none"/>
        </w:rPr>
        <w:t>（</w:t>
      </w:r>
      <w:r>
        <w:rPr>
          <w:rFonts w:hint="eastAsia" w:ascii="宋体" w:hAnsi="宋体"/>
          <w:color w:val="auto"/>
          <w:sz w:val="24"/>
          <w:szCs w:val="24"/>
          <w:highlight w:val="none"/>
        </w:rPr>
        <w:t>单位电子</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color w:val="auto"/>
          <w:kern w:val="2"/>
          <w:sz w:val="24"/>
          <w:szCs w:val="24"/>
          <w:highlight w:val="none"/>
        </w:rPr>
        <w:t>）</w:t>
      </w:r>
    </w:p>
    <w:p w14:paraId="1ACF9826">
      <w:pPr>
        <w:pageBreakBefore w:val="0"/>
        <w:widowControl w:val="0"/>
        <w:wordWrap/>
        <w:overflowPunct/>
        <w:bidi w:val="0"/>
        <w:spacing w:line="360" w:lineRule="auto"/>
        <w:ind w:firstLine="808" w:firstLineChars="337"/>
        <w:jc w:val="right"/>
        <w:textAlignment w:val="auto"/>
        <w:rPr>
          <w:color w:val="auto"/>
          <w:kern w:val="2"/>
          <w:sz w:val="24"/>
          <w:szCs w:val="24"/>
          <w:highlight w:val="none"/>
        </w:rPr>
      </w:pPr>
      <w:r>
        <w:rPr>
          <w:color w:val="auto"/>
          <w:kern w:val="2"/>
          <w:sz w:val="24"/>
          <w:szCs w:val="24"/>
          <w:highlight w:val="none"/>
        </w:rPr>
        <w:t xml:space="preserve">                                </w:t>
      </w:r>
      <w:r>
        <w:rPr>
          <w:rFonts w:hint="eastAsia"/>
          <w:color w:val="auto"/>
          <w:kern w:val="2"/>
          <w:sz w:val="24"/>
          <w:szCs w:val="24"/>
          <w:highlight w:val="none"/>
        </w:rPr>
        <w:t xml:space="preserve">   </w:t>
      </w:r>
      <w:r>
        <w:rPr>
          <w:color w:val="auto"/>
          <w:kern w:val="2"/>
          <w:sz w:val="24"/>
          <w:szCs w:val="24"/>
          <w:highlight w:val="none"/>
          <w:u w:val="single"/>
        </w:rPr>
        <w:t xml:space="preserve">       </w:t>
      </w:r>
      <w:r>
        <w:rPr>
          <w:color w:val="auto"/>
          <w:kern w:val="2"/>
          <w:sz w:val="24"/>
          <w:szCs w:val="24"/>
          <w:highlight w:val="none"/>
        </w:rPr>
        <w:t>年</w:t>
      </w:r>
      <w:r>
        <w:rPr>
          <w:color w:val="auto"/>
          <w:kern w:val="2"/>
          <w:sz w:val="24"/>
          <w:szCs w:val="24"/>
          <w:highlight w:val="none"/>
          <w:u w:val="single"/>
        </w:rPr>
        <w:t xml:space="preserve">       </w:t>
      </w:r>
      <w:r>
        <w:rPr>
          <w:color w:val="auto"/>
          <w:kern w:val="2"/>
          <w:sz w:val="24"/>
          <w:szCs w:val="24"/>
          <w:highlight w:val="none"/>
        </w:rPr>
        <w:t>月</w:t>
      </w:r>
      <w:r>
        <w:rPr>
          <w:color w:val="auto"/>
          <w:kern w:val="2"/>
          <w:sz w:val="24"/>
          <w:szCs w:val="24"/>
          <w:highlight w:val="none"/>
          <w:u w:val="single"/>
        </w:rPr>
        <w:t xml:space="preserve">       </w:t>
      </w:r>
      <w:r>
        <w:rPr>
          <w:color w:val="auto"/>
          <w:kern w:val="2"/>
          <w:sz w:val="24"/>
          <w:szCs w:val="24"/>
          <w:highlight w:val="none"/>
        </w:rPr>
        <w:t xml:space="preserve">日 </w:t>
      </w:r>
    </w:p>
    <w:p w14:paraId="290CA201">
      <w:pPr>
        <w:pageBreakBefore w:val="0"/>
        <w:widowControl w:val="0"/>
        <w:wordWrap/>
        <w:overflowPunct/>
        <w:bidi w:val="0"/>
        <w:spacing w:line="360" w:lineRule="auto"/>
        <w:ind w:firstLine="480" w:firstLineChars="200"/>
        <w:jc w:val="center"/>
        <w:textAlignment w:val="auto"/>
        <w:rPr>
          <w:rFonts w:ascii="宋体" w:hAnsi="宋体"/>
          <w:kern w:val="2"/>
          <w:sz w:val="24"/>
          <w:szCs w:val="24"/>
          <w:highlight w:val="none"/>
        </w:rPr>
      </w:pPr>
    </w:p>
    <w:p w14:paraId="443BAC18">
      <w:pPr>
        <w:pageBreakBefore w:val="0"/>
        <w:widowControl w:val="0"/>
        <w:wordWrap/>
        <w:overflowPunct/>
        <w:bidi w:val="0"/>
        <w:spacing w:line="360" w:lineRule="auto"/>
        <w:ind w:firstLine="808" w:firstLineChars="337"/>
        <w:textAlignment w:val="auto"/>
        <w:rPr>
          <w:color w:val="auto"/>
          <w:kern w:val="2"/>
          <w:sz w:val="24"/>
          <w:szCs w:val="24"/>
          <w:highlight w:val="none"/>
        </w:rPr>
      </w:pPr>
      <w:r>
        <w:rPr>
          <w:rFonts w:hint="eastAsia"/>
          <w:color w:val="auto"/>
          <w:kern w:val="2"/>
          <w:sz w:val="24"/>
          <w:szCs w:val="24"/>
          <w:highlight w:val="none"/>
        </w:rPr>
        <w:t>后附法定代表人身份证扫描件或复印件</w:t>
      </w:r>
    </w:p>
    <w:p w14:paraId="64AFBCAE">
      <w:pPr>
        <w:keepNext/>
        <w:keepLines/>
        <w:pageBreakBefore w:val="0"/>
        <w:widowControl w:val="0"/>
        <w:wordWrap/>
        <w:overflowPunct/>
        <w:bidi w:val="0"/>
        <w:spacing w:before="260" w:after="260" w:line="360" w:lineRule="auto"/>
        <w:jc w:val="center"/>
        <w:textAlignment w:val="auto"/>
        <w:outlineLvl w:val="1"/>
        <w:rPr>
          <w:rFonts w:ascii="宋体" w:hAnsi="宋体" w:eastAsia="黑体"/>
          <w:b/>
          <w:bCs/>
          <w:kern w:val="2"/>
          <w:sz w:val="24"/>
          <w:szCs w:val="24"/>
          <w:highlight w:val="none"/>
        </w:rPr>
      </w:pPr>
      <w:r>
        <w:rPr>
          <w:rFonts w:hint="eastAsia" w:ascii="宋体" w:hAnsi="宋体" w:eastAsia="黑体"/>
          <w:b/>
          <w:bCs/>
          <w:kern w:val="2"/>
          <w:sz w:val="24"/>
          <w:szCs w:val="24"/>
          <w:highlight w:val="none"/>
        </w:rPr>
        <w:br w:type="page"/>
      </w:r>
      <w:bookmarkStart w:id="192" w:name="_Toc81482974"/>
      <w:bookmarkStart w:id="193" w:name="_Toc16636"/>
      <w:r>
        <w:rPr>
          <w:rFonts w:hint="eastAsia" w:ascii="宋体" w:hAnsi="宋体"/>
          <w:b/>
          <w:bCs/>
          <w:kern w:val="2"/>
          <w:sz w:val="24"/>
          <w:szCs w:val="24"/>
          <w:highlight w:val="none"/>
        </w:rPr>
        <w:t>四、授权委托书</w:t>
      </w:r>
      <w:bookmarkEnd w:id="192"/>
      <w:bookmarkEnd w:id="193"/>
    </w:p>
    <w:p w14:paraId="44E64184">
      <w:pPr>
        <w:pageBreakBefore w:val="0"/>
        <w:widowControl w:val="0"/>
        <w:wordWrap/>
        <w:overflowPunct/>
        <w:topLinePunct/>
        <w:bidi w:val="0"/>
        <w:spacing w:line="360" w:lineRule="auto"/>
        <w:ind w:firstLine="480" w:firstLineChars="200"/>
        <w:textAlignment w:val="auto"/>
        <w:rPr>
          <w:rFonts w:ascii="宋体" w:hAnsi="宋体"/>
          <w:kern w:val="2"/>
          <w:sz w:val="24"/>
          <w:szCs w:val="24"/>
          <w:highlight w:val="none"/>
        </w:rPr>
      </w:pPr>
      <w:r>
        <w:rPr>
          <w:rFonts w:hint="eastAsia" w:ascii="宋体" w:hAnsi="宋体"/>
          <w:kern w:val="2"/>
          <w:sz w:val="24"/>
          <w:szCs w:val="24"/>
          <w:highlight w:val="none"/>
        </w:rPr>
        <w:t>本人</w:t>
      </w:r>
      <w:r>
        <w:rPr>
          <w:rFonts w:hint="eastAsia" w:ascii="宋体" w:hAnsi="宋体"/>
          <w:kern w:val="2"/>
          <w:sz w:val="24"/>
          <w:szCs w:val="24"/>
          <w:highlight w:val="none"/>
          <w:u w:val="single"/>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rPr>
        <w:t>（姓名）系</w:t>
      </w:r>
      <w:r>
        <w:rPr>
          <w:rFonts w:hint="eastAsia" w:ascii="宋体" w:hAnsi="宋体"/>
          <w:kern w:val="2"/>
          <w:sz w:val="24"/>
          <w:szCs w:val="24"/>
          <w:highlight w:val="none"/>
          <w:u w:val="single"/>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rPr>
        <w:t>（供应商名称）的法定代表人，现委托</w:t>
      </w:r>
      <w:r>
        <w:rPr>
          <w:rFonts w:hint="eastAsia" w:ascii="宋体" w:hAnsi="宋体"/>
          <w:kern w:val="2"/>
          <w:sz w:val="24"/>
          <w:szCs w:val="24"/>
          <w:highlight w:val="none"/>
          <w:u w:val="single"/>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rPr>
        <w:t>（姓名）为我方代理人。代理人根据授权，以我方名义签署、澄清、说明、补正、递交、撤回、修改</w:t>
      </w:r>
      <w:r>
        <w:rPr>
          <w:rFonts w:hint="eastAsia" w:ascii="宋体" w:hAnsi="宋体"/>
          <w:kern w:val="2"/>
          <w:sz w:val="24"/>
          <w:szCs w:val="24"/>
          <w:highlight w:val="none"/>
          <w:u w:val="single"/>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rPr>
        <w:t>（项目名称）响应文件、签订合同和处理有关事宜，其法律后果由我方承担。</w:t>
      </w:r>
    </w:p>
    <w:p w14:paraId="506C4AC8">
      <w:pPr>
        <w:pageBreakBefore w:val="0"/>
        <w:widowControl w:val="0"/>
        <w:wordWrap/>
        <w:overflowPunct/>
        <w:bidi w:val="0"/>
        <w:spacing w:line="360" w:lineRule="auto"/>
        <w:ind w:firstLine="480" w:firstLineChars="200"/>
        <w:textAlignment w:val="auto"/>
        <w:rPr>
          <w:rFonts w:ascii="宋体" w:hAnsi="宋体"/>
          <w:kern w:val="2"/>
          <w:sz w:val="24"/>
          <w:szCs w:val="24"/>
          <w:highlight w:val="none"/>
        </w:rPr>
      </w:pPr>
      <w:r>
        <w:rPr>
          <w:rFonts w:hint="eastAsia" w:ascii="宋体" w:hAnsi="宋体"/>
          <w:kern w:val="2"/>
          <w:sz w:val="24"/>
          <w:szCs w:val="24"/>
          <w:highlight w:val="none"/>
        </w:rPr>
        <w:t>委托期限：</w:t>
      </w:r>
      <w:r>
        <w:rPr>
          <w:rFonts w:hint="eastAsia" w:ascii="宋体" w:hAnsi="宋体"/>
          <w:kern w:val="2"/>
          <w:sz w:val="24"/>
          <w:szCs w:val="24"/>
          <w:highlight w:val="none"/>
          <w:u w:val="single"/>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u w:val="single"/>
          <w:lang w:val="en-US" w:eastAsia="zh-CN"/>
        </w:rPr>
        <w:t xml:space="preserve">   </w:t>
      </w:r>
      <w:r>
        <w:rPr>
          <w:rFonts w:ascii="宋体" w:hAnsi="宋体"/>
          <w:kern w:val="2"/>
          <w:sz w:val="24"/>
          <w:szCs w:val="24"/>
          <w:highlight w:val="none"/>
          <w:u w:val="single"/>
        </w:rPr>
        <w:t xml:space="preserve">      </w:t>
      </w:r>
      <w:r>
        <w:rPr>
          <w:rFonts w:hint="eastAsia" w:ascii="宋体" w:hAnsi="宋体"/>
          <w:kern w:val="2"/>
          <w:sz w:val="24"/>
          <w:szCs w:val="24"/>
          <w:highlight w:val="none"/>
        </w:rPr>
        <w:t>。</w:t>
      </w:r>
    </w:p>
    <w:p w14:paraId="657DAEB9">
      <w:pPr>
        <w:pageBreakBefore w:val="0"/>
        <w:widowControl w:val="0"/>
        <w:wordWrap/>
        <w:overflowPunct/>
        <w:bidi w:val="0"/>
        <w:spacing w:line="360" w:lineRule="auto"/>
        <w:ind w:firstLine="480" w:firstLineChars="200"/>
        <w:textAlignment w:val="auto"/>
        <w:rPr>
          <w:rFonts w:ascii="宋体" w:hAnsi="宋体"/>
          <w:kern w:val="2"/>
          <w:sz w:val="24"/>
          <w:szCs w:val="24"/>
          <w:highlight w:val="none"/>
        </w:rPr>
      </w:pPr>
      <w:r>
        <w:rPr>
          <w:rFonts w:hint="eastAsia" w:ascii="宋体" w:hAnsi="宋体"/>
          <w:kern w:val="2"/>
          <w:sz w:val="24"/>
          <w:szCs w:val="24"/>
          <w:highlight w:val="none"/>
        </w:rPr>
        <w:t>代理人无转委托权。</w:t>
      </w:r>
    </w:p>
    <w:p w14:paraId="21A4E7C5">
      <w:pPr>
        <w:pageBreakBefore w:val="0"/>
        <w:widowControl w:val="0"/>
        <w:wordWrap/>
        <w:overflowPunct/>
        <w:bidi w:val="0"/>
        <w:spacing w:line="360" w:lineRule="auto"/>
        <w:jc w:val="left"/>
        <w:textAlignment w:val="auto"/>
        <w:rPr>
          <w:rFonts w:ascii="宋体" w:hAnsi="Calibri"/>
          <w:kern w:val="2"/>
          <w:sz w:val="24"/>
          <w:szCs w:val="24"/>
          <w:highlight w:val="none"/>
        </w:rPr>
      </w:pPr>
    </w:p>
    <w:p w14:paraId="4E5C2E02">
      <w:pPr>
        <w:pageBreakBefore w:val="0"/>
        <w:widowControl w:val="0"/>
        <w:wordWrap/>
        <w:overflowPunct/>
        <w:bidi w:val="0"/>
        <w:spacing w:line="360" w:lineRule="auto"/>
        <w:ind w:firstLine="3600" w:firstLineChars="1500"/>
        <w:textAlignment w:val="auto"/>
        <w:rPr>
          <w:rFonts w:ascii="宋体" w:hAnsi="宋体"/>
          <w:bCs/>
          <w:kern w:val="2"/>
          <w:sz w:val="24"/>
          <w:szCs w:val="24"/>
          <w:highlight w:val="none"/>
          <w:u w:val="single"/>
        </w:rPr>
      </w:pPr>
      <w:r>
        <w:rPr>
          <w:rFonts w:hint="eastAsia" w:ascii="宋体" w:hAnsi="宋体"/>
          <w:bCs/>
          <w:kern w:val="2"/>
          <w:sz w:val="24"/>
          <w:szCs w:val="24"/>
          <w:highlight w:val="none"/>
        </w:rPr>
        <w:t>供应商：</w:t>
      </w:r>
      <w:r>
        <w:rPr>
          <w:rFonts w:hint="eastAsia" w:ascii="宋体" w:hAnsi="宋体"/>
          <w:bCs/>
          <w:kern w:val="2"/>
          <w:sz w:val="24"/>
          <w:szCs w:val="24"/>
          <w:highlight w:val="none"/>
          <w:u w:val="single" w:color="auto"/>
        </w:rPr>
        <w:t xml:space="preserve">单位电子公章 </w:t>
      </w:r>
      <w:r>
        <w:rPr>
          <w:rFonts w:hint="eastAsia" w:ascii="宋体" w:hAnsi="宋体"/>
          <w:bCs/>
          <w:kern w:val="2"/>
          <w:sz w:val="24"/>
          <w:szCs w:val="24"/>
          <w:highlight w:val="none"/>
          <w:u w:val="single"/>
        </w:rPr>
        <w:t xml:space="preserve">    </w:t>
      </w:r>
    </w:p>
    <w:p w14:paraId="415DDA78">
      <w:pPr>
        <w:pageBreakBefore w:val="0"/>
        <w:widowControl w:val="0"/>
        <w:wordWrap/>
        <w:overflowPunct/>
        <w:bidi w:val="0"/>
        <w:spacing w:line="360" w:lineRule="auto"/>
        <w:ind w:firstLine="480" w:firstLineChars="200"/>
        <w:textAlignment w:val="auto"/>
        <w:rPr>
          <w:rFonts w:ascii="宋体" w:hAnsi="宋体"/>
          <w:bCs/>
          <w:kern w:val="2"/>
          <w:sz w:val="24"/>
          <w:szCs w:val="24"/>
          <w:highlight w:val="none"/>
        </w:rPr>
      </w:pPr>
    </w:p>
    <w:p w14:paraId="4892FBF8">
      <w:pPr>
        <w:pageBreakBefore w:val="0"/>
        <w:widowControl w:val="0"/>
        <w:wordWrap/>
        <w:overflowPunct/>
        <w:bidi w:val="0"/>
        <w:spacing w:line="360" w:lineRule="auto"/>
        <w:ind w:firstLine="480" w:firstLineChars="200"/>
        <w:textAlignment w:val="auto"/>
        <w:rPr>
          <w:rFonts w:ascii="宋体" w:hAnsi="宋体"/>
          <w:bCs/>
          <w:kern w:val="2"/>
          <w:sz w:val="24"/>
          <w:szCs w:val="24"/>
          <w:highlight w:val="none"/>
          <w:u w:val="single"/>
        </w:rPr>
      </w:pPr>
      <w:r>
        <w:rPr>
          <w:rFonts w:hint="eastAsia" w:ascii="宋体" w:hAnsi="宋体"/>
          <w:bCs/>
          <w:kern w:val="2"/>
          <w:sz w:val="24"/>
          <w:szCs w:val="24"/>
          <w:highlight w:val="none"/>
        </w:rPr>
        <w:t xml:space="preserve">                         法定代表人：</w:t>
      </w:r>
      <w:r>
        <w:rPr>
          <w:rFonts w:hint="eastAsia" w:ascii="宋体" w:hAnsi="宋体"/>
          <w:bCs/>
          <w:kern w:val="2"/>
          <w:sz w:val="24"/>
          <w:szCs w:val="24"/>
          <w:highlight w:val="none"/>
          <w:u w:val="single"/>
        </w:rPr>
        <w:t xml:space="preserve">        （电子签章）</w:t>
      </w:r>
    </w:p>
    <w:p w14:paraId="49D932C8">
      <w:pPr>
        <w:pageBreakBefore w:val="0"/>
        <w:widowControl w:val="0"/>
        <w:wordWrap/>
        <w:overflowPunct/>
        <w:bidi w:val="0"/>
        <w:spacing w:line="360" w:lineRule="auto"/>
        <w:ind w:firstLine="480" w:firstLineChars="200"/>
        <w:textAlignment w:val="auto"/>
        <w:rPr>
          <w:rFonts w:ascii="宋体" w:hAnsi="宋体"/>
          <w:bCs/>
          <w:kern w:val="2"/>
          <w:sz w:val="24"/>
          <w:szCs w:val="24"/>
          <w:highlight w:val="none"/>
        </w:rPr>
      </w:pPr>
    </w:p>
    <w:p w14:paraId="2C7E0CC2">
      <w:pPr>
        <w:pageBreakBefore w:val="0"/>
        <w:widowControl w:val="0"/>
        <w:wordWrap/>
        <w:overflowPunct/>
        <w:bidi w:val="0"/>
        <w:spacing w:line="360" w:lineRule="auto"/>
        <w:ind w:firstLine="3480" w:firstLineChars="1450"/>
        <w:textAlignment w:val="auto"/>
        <w:rPr>
          <w:rFonts w:ascii="宋体" w:hAnsi="宋体"/>
          <w:bCs/>
          <w:kern w:val="2"/>
          <w:sz w:val="24"/>
          <w:szCs w:val="24"/>
          <w:highlight w:val="none"/>
          <w:u w:val="single"/>
        </w:rPr>
      </w:pPr>
      <w:r>
        <w:rPr>
          <w:rFonts w:hint="eastAsia" w:ascii="宋体" w:hAnsi="宋体"/>
          <w:bCs/>
          <w:kern w:val="2"/>
          <w:sz w:val="24"/>
          <w:szCs w:val="24"/>
          <w:highlight w:val="none"/>
        </w:rPr>
        <w:t>委托代理人：</w:t>
      </w:r>
      <w:r>
        <w:rPr>
          <w:rFonts w:hint="eastAsia" w:ascii="宋体" w:hAnsi="宋体"/>
          <w:bCs/>
          <w:kern w:val="2"/>
          <w:sz w:val="24"/>
          <w:szCs w:val="24"/>
          <w:highlight w:val="none"/>
          <w:u w:val="single"/>
        </w:rPr>
        <w:t xml:space="preserve"> </w:t>
      </w:r>
      <w:r>
        <w:rPr>
          <w:rFonts w:ascii="宋体" w:hAnsi="宋体"/>
          <w:bCs/>
          <w:kern w:val="2"/>
          <w:sz w:val="24"/>
          <w:szCs w:val="24"/>
          <w:highlight w:val="none"/>
          <w:u w:val="single"/>
        </w:rPr>
        <w:t xml:space="preserve">   </w:t>
      </w:r>
      <w:r>
        <w:rPr>
          <w:rFonts w:hint="eastAsia" w:ascii="宋体" w:hAnsi="宋体"/>
          <w:bCs/>
          <w:kern w:val="2"/>
          <w:sz w:val="24"/>
          <w:szCs w:val="24"/>
          <w:highlight w:val="none"/>
          <w:u w:val="single"/>
        </w:rPr>
        <w:t>（签字或法定代表人电子签章）</w:t>
      </w:r>
    </w:p>
    <w:p w14:paraId="7ABC29BE">
      <w:pPr>
        <w:pageBreakBefore w:val="0"/>
        <w:widowControl w:val="0"/>
        <w:wordWrap/>
        <w:overflowPunct/>
        <w:bidi w:val="0"/>
        <w:spacing w:line="360" w:lineRule="auto"/>
        <w:ind w:firstLine="480" w:firstLineChars="200"/>
        <w:textAlignment w:val="auto"/>
        <w:rPr>
          <w:rFonts w:ascii="宋体" w:hAnsi="宋体"/>
          <w:bCs/>
          <w:kern w:val="2"/>
          <w:sz w:val="24"/>
          <w:szCs w:val="24"/>
          <w:highlight w:val="none"/>
        </w:rPr>
      </w:pPr>
    </w:p>
    <w:p w14:paraId="1F9A51DD">
      <w:pPr>
        <w:pageBreakBefore w:val="0"/>
        <w:widowControl w:val="0"/>
        <w:wordWrap/>
        <w:overflowPunct/>
        <w:bidi w:val="0"/>
        <w:spacing w:line="360" w:lineRule="auto"/>
        <w:ind w:firstLine="480" w:firstLineChars="200"/>
        <w:jc w:val="center"/>
        <w:textAlignment w:val="auto"/>
        <w:rPr>
          <w:rFonts w:ascii="宋体" w:hAnsi="宋体"/>
          <w:kern w:val="2"/>
          <w:sz w:val="24"/>
          <w:szCs w:val="24"/>
          <w:highlight w:val="none"/>
        </w:rPr>
      </w:pPr>
      <w:r>
        <w:rPr>
          <w:rFonts w:hint="eastAsia" w:ascii="宋体" w:hAnsi="宋体"/>
          <w:kern w:val="2"/>
          <w:sz w:val="24"/>
          <w:szCs w:val="24"/>
          <w:highlight w:val="none"/>
        </w:rPr>
        <w:t>年月日</w:t>
      </w:r>
    </w:p>
    <w:p w14:paraId="7E435E3A">
      <w:pPr>
        <w:pageBreakBefore w:val="0"/>
        <w:widowControl w:val="0"/>
        <w:wordWrap/>
        <w:overflowPunct/>
        <w:bidi w:val="0"/>
        <w:spacing w:line="360" w:lineRule="auto"/>
        <w:ind w:firstLine="480" w:firstLineChars="200"/>
        <w:textAlignment w:val="auto"/>
        <w:rPr>
          <w:rFonts w:ascii="宋体" w:hAnsi="宋体"/>
          <w:bCs/>
          <w:kern w:val="2"/>
          <w:sz w:val="24"/>
          <w:szCs w:val="24"/>
          <w:highlight w:val="none"/>
        </w:rPr>
      </w:pPr>
    </w:p>
    <w:p w14:paraId="2BF98536">
      <w:pPr>
        <w:pageBreakBefore w:val="0"/>
        <w:widowControl w:val="0"/>
        <w:wordWrap/>
        <w:overflowPunct/>
        <w:bidi w:val="0"/>
        <w:spacing w:line="360" w:lineRule="auto"/>
        <w:ind w:firstLine="480" w:firstLineChars="200"/>
        <w:textAlignment w:val="auto"/>
        <w:rPr>
          <w:rFonts w:ascii="宋体" w:hAnsi="宋体"/>
          <w:kern w:val="2"/>
          <w:sz w:val="24"/>
          <w:szCs w:val="24"/>
          <w:highlight w:val="none"/>
        </w:rPr>
      </w:pPr>
      <w:r>
        <w:rPr>
          <w:rFonts w:hint="eastAsia" w:ascii="宋体" w:hAnsi="宋体"/>
          <w:kern w:val="2"/>
          <w:sz w:val="24"/>
          <w:szCs w:val="24"/>
          <w:highlight w:val="none"/>
        </w:rPr>
        <w:t>附法人及委托人的身份证扫描件</w:t>
      </w:r>
    </w:p>
    <w:p w14:paraId="1E782264">
      <w:pPr>
        <w:pageBreakBefore w:val="0"/>
        <w:widowControl w:val="0"/>
        <w:wordWrap/>
        <w:overflowPunct/>
        <w:bidi w:val="0"/>
        <w:spacing w:line="360" w:lineRule="auto"/>
        <w:ind w:firstLine="480" w:firstLineChars="200"/>
        <w:textAlignment w:val="auto"/>
        <w:rPr>
          <w:rFonts w:ascii="宋体" w:hAnsi="宋体"/>
          <w:kern w:val="2"/>
          <w:sz w:val="24"/>
          <w:szCs w:val="24"/>
          <w:highlight w:val="none"/>
        </w:rPr>
      </w:pPr>
    </w:p>
    <w:p w14:paraId="01CC0B88">
      <w:pPr>
        <w:pageBreakBefore w:val="0"/>
        <w:widowControl w:val="0"/>
        <w:wordWrap/>
        <w:overflowPunct/>
        <w:bidi w:val="0"/>
        <w:spacing w:line="360" w:lineRule="auto"/>
        <w:textAlignment w:val="auto"/>
        <w:rPr>
          <w:rFonts w:ascii="宋体" w:hAnsi="宋体"/>
          <w:kern w:val="2"/>
          <w:sz w:val="24"/>
          <w:szCs w:val="24"/>
          <w:highlight w:val="none"/>
        </w:rPr>
      </w:pPr>
    </w:p>
    <w:p w14:paraId="0BE31289">
      <w:pPr>
        <w:keepNext/>
        <w:keepLines/>
        <w:pageBreakBefore w:val="0"/>
        <w:widowControl w:val="0"/>
        <w:wordWrap/>
        <w:overflowPunct/>
        <w:bidi w:val="0"/>
        <w:spacing w:before="260" w:after="260" w:line="360" w:lineRule="auto"/>
        <w:jc w:val="center"/>
        <w:textAlignment w:val="auto"/>
        <w:outlineLvl w:val="9"/>
        <w:rPr>
          <w:rFonts w:ascii="宋体" w:hAnsi="宋体" w:cs="仿宋"/>
          <w:b/>
          <w:bCs/>
          <w:kern w:val="2"/>
          <w:sz w:val="24"/>
          <w:szCs w:val="24"/>
          <w:highlight w:val="none"/>
        </w:rPr>
      </w:pPr>
      <w:r>
        <w:rPr>
          <w:rFonts w:hint="eastAsia" w:ascii="宋体" w:hAnsi="宋体"/>
          <w:bCs/>
          <w:kern w:val="2"/>
          <w:sz w:val="24"/>
          <w:szCs w:val="24"/>
          <w:highlight w:val="none"/>
        </w:rPr>
        <w:br w:type="page"/>
      </w:r>
    </w:p>
    <w:p w14:paraId="214AD91B">
      <w:pPr>
        <w:keepNext/>
        <w:keepLines/>
        <w:pageBreakBefore w:val="0"/>
        <w:widowControl w:val="0"/>
        <w:wordWrap/>
        <w:overflowPunct/>
        <w:bidi w:val="0"/>
        <w:spacing w:before="260" w:after="260" w:line="360" w:lineRule="auto"/>
        <w:jc w:val="center"/>
        <w:textAlignment w:val="auto"/>
        <w:outlineLvl w:val="1"/>
        <w:rPr>
          <w:rFonts w:hint="eastAsia" w:ascii="宋体" w:hAnsi="宋体" w:eastAsia="宋体" w:cs="仿宋"/>
          <w:b/>
          <w:bCs/>
          <w:kern w:val="2"/>
          <w:sz w:val="24"/>
          <w:szCs w:val="24"/>
          <w:highlight w:val="none"/>
          <w:lang w:eastAsia="zh-CN"/>
        </w:rPr>
      </w:pPr>
      <w:bookmarkStart w:id="194" w:name="_Toc20795"/>
      <w:r>
        <w:rPr>
          <w:rFonts w:hint="eastAsia" w:ascii="宋体" w:hAnsi="宋体" w:cs="仿宋"/>
          <w:b/>
          <w:bCs/>
          <w:kern w:val="2"/>
          <w:sz w:val="24"/>
          <w:szCs w:val="24"/>
          <w:highlight w:val="none"/>
        </w:rPr>
        <w:t>五、</w:t>
      </w:r>
      <w:bookmarkEnd w:id="187"/>
      <w:r>
        <w:rPr>
          <w:rFonts w:hint="eastAsia" w:ascii="宋体" w:hAnsi="宋体" w:cs="仿宋"/>
          <w:b/>
          <w:bCs/>
          <w:kern w:val="2"/>
          <w:sz w:val="24"/>
          <w:szCs w:val="24"/>
          <w:highlight w:val="none"/>
          <w:lang w:eastAsia="zh-CN"/>
        </w:rPr>
        <w:t>货物质量保障方案</w:t>
      </w:r>
      <w:bookmarkEnd w:id="194"/>
    </w:p>
    <w:p w14:paraId="4F77A848">
      <w:pPr>
        <w:pageBreakBefore w:val="0"/>
        <w:widowControl w:val="0"/>
        <w:wordWrap/>
        <w:overflowPunct/>
        <w:bidi w:val="0"/>
        <w:spacing w:line="360" w:lineRule="auto"/>
        <w:textAlignment w:val="auto"/>
        <w:rPr>
          <w:rFonts w:ascii="宋体" w:hAnsi="宋体" w:cs="仿宋"/>
          <w:kern w:val="2"/>
          <w:sz w:val="24"/>
          <w:szCs w:val="24"/>
          <w:highlight w:val="none"/>
        </w:rPr>
      </w:pPr>
    </w:p>
    <w:p w14:paraId="3C7FA7B0">
      <w:pPr>
        <w:pageBreakBefore w:val="0"/>
        <w:widowControl w:val="0"/>
        <w:wordWrap/>
        <w:overflowPunct/>
        <w:bidi w:val="0"/>
        <w:spacing w:line="360" w:lineRule="auto"/>
        <w:textAlignment w:val="auto"/>
        <w:rPr>
          <w:rFonts w:ascii="宋体" w:hAnsi="宋体" w:cs="仿宋"/>
          <w:kern w:val="2"/>
          <w:sz w:val="24"/>
          <w:szCs w:val="24"/>
          <w:highlight w:val="none"/>
        </w:rPr>
      </w:pPr>
    </w:p>
    <w:p w14:paraId="0850DEB6">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217CA271">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457096FA">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0B5CCB11">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01E7014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1628B9D1">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336D432C">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01B6BAF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5A2F5040">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64267BC5">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3367213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1671FCFF">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2E03771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55FC6686">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4EF61339">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514C44CD">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75F8572B">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5334FFA3">
      <w:pPr>
        <w:pageBreakBefore w:val="0"/>
        <w:wordWrap/>
        <w:overflowPunct/>
        <w:bidi w:val="0"/>
        <w:spacing w:line="360" w:lineRule="auto"/>
        <w:jc w:val="left"/>
        <w:textAlignment w:val="auto"/>
        <w:rPr>
          <w:rFonts w:ascii="宋体" w:hAnsi="宋体" w:cs="仿宋"/>
          <w:kern w:val="2"/>
          <w:sz w:val="24"/>
          <w:szCs w:val="24"/>
          <w:highlight w:val="none"/>
        </w:rPr>
      </w:pPr>
      <w:r>
        <w:rPr>
          <w:rFonts w:ascii="宋体" w:hAnsi="宋体" w:cs="仿宋"/>
          <w:kern w:val="2"/>
          <w:sz w:val="24"/>
          <w:szCs w:val="24"/>
          <w:highlight w:val="none"/>
        </w:rPr>
        <w:br w:type="page"/>
      </w:r>
    </w:p>
    <w:p w14:paraId="34FA78A8">
      <w:pPr>
        <w:keepNext/>
        <w:keepLines/>
        <w:pageBreakBefore w:val="0"/>
        <w:widowControl w:val="0"/>
        <w:wordWrap/>
        <w:overflowPunct/>
        <w:bidi w:val="0"/>
        <w:spacing w:before="260" w:after="260" w:line="360" w:lineRule="auto"/>
        <w:jc w:val="center"/>
        <w:textAlignment w:val="auto"/>
        <w:outlineLvl w:val="1"/>
        <w:rPr>
          <w:rFonts w:ascii="宋体" w:hAnsi="宋体" w:cs="仿宋"/>
          <w:b/>
          <w:bCs/>
          <w:kern w:val="2"/>
          <w:sz w:val="24"/>
          <w:szCs w:val="24"/>
          <w:highlight w:val="none"/>
        </w:rPr>
      </w:pPr>
      <w:bookmarkStart w:id="195" w:name="_Toc324696985"/>
      <w:bookmarkEnd w:id="195"/>
      <w:bookmarkStart w:id="196" w:name="_Toc325446134"/>
      <w:bookmarkEnd w:id="196"/>
      <w:bookmarkStart w:id="197" w:name="_Toc22308"/>
      <w:bookmarkEnd w:id="197"/>
      <w:bookmarkStart w:id="198" w:name="_Toc359842906"/>
      <w:bookmarkEnd w:id="198"/>
      <w:bookmarkStart w:id="199" w:name="_Toc32714"/>
      <w:bookmarkStart w:id="200" w:name="_Toc63238022"/>
      <w:bookmarkStart w:id="201" w:name="_Toc22582"/>
      <w:r>
        <w:rPr>
          <w:rFonts w:hint="eastAsia" w:ascii="宋体" w:hAnsi="宋体" w:cs="仿宋"/>
          <w:b/>
          <w:bCs/>
          <w:kern w:val="2"/>
          <w:sz w:val="24"/>
          <w:szCs w:val="24"/>
          <w:highlight w:val="none"/>
        </w:rPr>
        <w:t>六、投标承诺函</w:t>
      </w:r>
      <w:bookmarkEnd w:id="199"/>
      <w:bookmarkEnd w:id="200"/>
      <w:bookmarkEnd w:id="201"/>
    </w:p>
    <w:p w14:paraId="07F399EE">
      <w:pPr>
        <w:pageBreakBefore w:val="0"/>
        <w:widowControl w:val="0"/>
        <w:wordWrap/>
        <w:overflowPunct/>
        <w:bidi w:val="0"/>
        <w:spacing w:line="360" w:lineRule="auto"/>
        <w:textAlignment w:val="auto"/>
        <w:rPr>
          <w:rFonts w:ascii="宋体" w:hAnsi="宋体" w:cs="仿宋"/>
          <w:kern w:val="2"/>
          <w:sz w:val="24"/>
          <w:szCs w:val="24"/>
          <w:highlight w:val="none"/>
        </w:rPr>
      </w:pPr>
      <w:r>
        <w:rPr>
          <w:rFonts w:hint="eastAsia" w:ascii="宋体" w:hAnsi="宋体" w:cs="仿宋"/>
          <w:kern w:val="2"/>
          <w:sz w:val="24"/>
          <w:szCs w:val="24"/>
          <w:highlight w:val="none"/>
        </w:rPr>
        <w:t>致（招标人及招标代理机构）：</w:t>
      </w:r>
    </w:p>
    <w:p w14:paraId="2764EB39">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我公司作为本次采购项目的</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，根据招标文件要求，现郑重承诺如下：</w:t>
      </w:r>
    </w:p>
    <w:p w14:paraId="65A0A02E">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一、具备《中华人民共和国政府采购法》第二十二条第一款和本项目规定的条件：</w:t>
      </w:r>
    </w:p>
    <w:p w14:paraId="5E2DE092">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（一）具有独立承担民事责任的能力；</w:t>
      </w:r>
      <w:r>
        <w:rPr>
          <w:rFonts w:hint="eastAsia" w:ascii="宋体" w:hAnsi="宋体" w:cs="宋体"/>
          <w:kern w:val="2"/>
          <w:sz w:val="24"/>
          <w:szCs w:val="24"/>
          <w:highlight w:val="none"/>
        </w:rPr>
        <w:t> </w:t>
      </w:r>
      <w:r>
        <w:rPr>
          <w:rFonts w:hint="eastAsia" w:ascii="宋体" w:hAnsi="宋体" w:cs="仿宋"/>
          <w:kern w:val="2"/>
          <w:sz w:val="24"/>
          <w:szCs w:val="24"/>
          <w:highlight w:val="none"/>
        </w:rPr>
        <w:t>　　</w:t>
      </w:r>
    </w:p>
    <w:p w14:paraId="210D3568">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（二）具有良好的商业信誉和健全的财务会计制度；</w:t>
      </w:r>
      <w:r>
        <w:rPr>
          <w:rFonts w:hint="eastAsia" w:ascii="宋体" w:hAnsi="宋体" w:cs="宋体"/>
          <w:kern w:val="2"/>
          <w:sz w:val="24"/>
          <w:szCs w:val="24"/>
          <w:highlight w:val="none"/>
        </w:rPr>
        <w:t> </w:t>
      </w:r>
      <w:r>
        <w:rPr>
          <w:rFonts w:hint="eastAsia" w:ascii="宋体" w:hAnsi="宋体" w:cs="仿宋"/>
          <w:kern w:val="2"/>
          <w:sz w:val="24"/>
          <w:szCs w:val="24"/>
          <w:highlight w:val="none"/>
        </w:rPr>
        <w:t>　</w:t>
      </w:r>
    </w:p>
    <w:p w14:paraId="12C68DA2">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（三）具有履行合同所必需的设备和专业技术能力；</w:t>
      </w:r>
      <w:r>
        <w:rPr>
          <w:rFonts w:hint="eastAsia" w:ascii="宋体" w:hAnsi="宋体" w:cs="宋体"/>
          <w:kern w:val="2"/>
          <w:sz w:val="24"/>
          <w:szCs w:val="24"/>
          <w:highlight w:val="none"/>
        </w:rPr>
        <w:t> </w:t>
      </w:r>
      <w:r>
        <w:rPr>
          <w:rFonts w:hint="eastAsia" w:ascii="宋体" w:hAnsi="宋体" w:cs="仿宋"/>
          <w:kern w:val="2"/>
          <w:sz w:val="24"/>
          <w:szCs w:val="24"/>
          <w:highlight w:val="none"/>
        </w:rPr>
        <w:t>　　</w:t>
      </w:r>
    </w:p>
    <w:p w14:paraId="663431D4">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（四）有依法缴纳税收和社会保障资金的良好记录；</w:t>
      </w:r>
      <w:r>
        <w:rPr>
          <w:rFonts w:hint="eastAsia" w:ascii="宋体" w:hAnsi="宋体" w:cs="宋体"/>
          <w:kern w:val="2"/>
          <w:sz w:val="24"/>
          <w:szCs w:val="24"/>
          <w:highlight w:val="none"/>
        </w:rPr>
        <w:t> </w:t>
      </w:r>
      <w:r>
        <w:rPr>
          <w:rFonts w:hint="eastAsia" w:ascii="宋体" w:hAnsi="宋体" w:cs="仿宋"/>
          <w:kern w:val="2"/>
          <w:sz w:val="24"/>
          <w:szCs w:val="24"/>
          <w:highlight w:val="none"/>
        </w:rPr>
        <w:t>　　</w:t>
      </w:r>
    </w:p>
    <w:p w14:paraId="7B6871C5">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（五）参加政府采购活动前三年内，在经营活动中没有重大违法记录；</w:t>
      </w:r>
    </w:p>
    <w:p w14:paraId="70E19803">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（六）法律、行政法规规定的其他条件；</w:t>
      </w:r>
    </w:p>
    <w:p w14:paraId="19919843">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（七）根据采购项目提出的特殊条件。</w:t>
      </w:r>
    </w:p>
    <w:p w14:paraId="018B0ED9">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4EC5396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三、参加本次招标采购活动，不存在与单位负责人为同一人或者存在直接控股、管理关系的其他</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参与同一合同项下的政府采购活动的行为。</w:t>
      </w:r>
      <w:r>
        <w:rPr>
          <w:rFonts w:hint="eastAsia" w:ascii="宋体" w:hAnsi="宋体" w:cs="宋体"/>
          <w:kern w:val="2"/>
          <w:sz w:val="24"/>
          <w:szCs w:val="24"/>
          <w:highlight w:val="none"/>
        </w:rPr>
        <w:t>    </w:t>
      </w:r>
    </w:p>
    <w:p w14:paraId="7F380273">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四、参加本次招标采购活动，不存在为采购项目提供整体设计、规范编制或者项目管理、监理、检测等服务的行为。</w:t>
      </w:r>
    </w:p>
    <w:p w14:paraId="22C2FFDF">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五、参加本次招标采购活动，不存在和其他</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在同一合同项下的采购项目中，同时委托同一个自然人、同一家庭的人员、同一单位的人员作为代理人的行为。</w:t>
      </w:r>
    </w:p>
    <w:p w14:paraId="2DDEDEDC">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六、</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参加本次政府采购活动要求在近三年内</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和其法定代表人没有行贿犯罪行为。</w:t>
      </w:r>
    </w:p>
    <w:p w14:paraId="5A187763">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七、参加本次招标采购活动，不存在联合体投标。</w:t>
      </w:r>
    </w:p>
    <w:p w14:paraId="77A8E628">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八、投标文件中提供的能够给予我公司带来优惠、好处的任何材料资料和技术、服务、商务等响应承诺情况都是真实的、有效的、合法的。</w:t>
      </w:r>
    </w:p>
    <w:p w14:paraId="25927A87">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xml:space="preserve">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r>
        <w:rPr>
          <w:rFonts w:hint="eastAsia" w:ascii="宋体" w:hAnsi="宋体" w:cs="宋体"/>
          <w:kern w:val="2"/>
          <w:sz w:val="24"/>
          <w:szCs w:val="24"/>
          <w:highlight w:val="none"/>
        </w:rPr>
        <w:t>    </w:t>
      </w:r>
    </w:p>
    <w:p w14:paraId="7F735964">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十、存在以下行为之一的愿意接受相关部门的处理：</w:t>
      </w:r>
    </w:p>
    <w:p w14:paraId="0739550E">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（一）投标有效期内撤销投标文件的；</w:t>
      </w:r>
    </w:p>
    <w:p w14:paraId="3D80BA26">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（二）在招标人确定中标人以前放弃中标候选资格的；</w:t>
      </w:r>
    </w:p>
    <w:p w14:paraId="0E722943">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（三）由于中标人的原因未能按照招标文件的规定与招标人签订合同；</w:t>
      </w:r>
    </w:p>
    <w:p w14:paraId="4CA5A091">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（四）由于中标人的原因未能按照招标文件的规定交纳履约保证金；</w:t>
      </w:r>
    </w:p>
    <w:p w14:paraId="090DC17B">
      <w:pPr>
        <w:pageBreakBefore w:val="0"/>
        <w:widowControl w:val="0"/>
        <w:wordWrap/>
        <w:overflowPunct/>
        <w:bidi w:val="0"/>
        <w:spacing w:line="360" w:lineRule="auto"/>
        <w:ind w:firstLine="518" w:firstLineChars="216"/>
        <w:textAlignment w:val="auto"/>
        <w:outlineLvl w:val="9"/>
        <w:rPr>
          <w:rFonts w:ascii="宋体" w:hAnsi="宋体" w:cs="仿宋"/>
          <w:kern w:val="2"/>
          <w:sz w:val="24"/>
          <w:szCs w:val="24"/>
          <w:highlight w:val="none"/>
        </w:rPr>
      </w:pPr>
      <w:r>
        <w:rPr>
          <w:rFonts w:hint="eastAsia" w:ascii="宋体" w:hAnsi="宋体" w:cs="仿宋"/>
          <w:kern w:val="2"/>
          <w:sz w:val="24"/>
          <w:szCs w:val="24"/>
          <w:highlight w:val="none"/>
        </w:rPr>
        <w:t>  （五）在投标文件中提供虚假材料谋取中标；</w:t>
      </w:r>
    </w:p>
    <w:p w14:paraId="6FC44740">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  （六）与招标人、其他</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或者招标代理机构恶意串通的；</w:t>
      </w:r>
    </w:p>
    <w:p w14:paraId="57EE4B99">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  （七）投标有效期内，</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在政府采购活动中有违法、违规、违纪行为。</w:t>
      </w:r>
    </w:p>
    <w:p w14:paraId="6BD71568">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 由此产生的一切法律后果和责任由我公司承担。我公司声明放弃对此提出任何异议和追索的权利。</w:t>
      </w:r>
    </w:p>
    <w:p w14:paraId="355D150B">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本公司对上述承诺的内容事项真实性负责。如经查实上述承诺的内容事项存在虚假，我公司愿意接受以提供虚假材料谋取中标追究法律责任。</w:t>
      </w:r>
    </w:p>
    <w:p w14:paraId="4EFD0DF4">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宋体"/>
          <w:kern w:val="2"/>
          <w:sz w:val="24"/>
          <w:szCs w:val="24"/>
          <w:highlight w:val="none"/>
        </w:rPr>
        <w:t>       </w:t>
      </w:r>
    </w:p>
    <w:p w14:paraId="5D0D2401">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名称：</w:t>
      </w:r>
      <w:r>
        <w:rPr>
          <w:rFonts w:hint="eastAsia" w:ascii="宋体" w:hAnsi="宋体" w:cs="宋体"/>
          <w:kern w:val="2"/>
          <w:sz w:val="24"/>
          <w:szCs w:val="24"/>
          <w:highlight w:val="none"/>
        </w:rPr>
        <w:t> </w:t>
      </w:r>
      <w:r>
        <w:rPr>
          <w:rFonts w:hint="eastAsia" w:ascii="宋体" w:hAnsi="宋体" w:cs="仿宋"/>
          <w:kern w:val="2"/>
          <w:sz w:val="24"/>
          <w:szCs w:val="24"/>
          <w:highlight w:val="none"/>
        </w:rPr>
        <w:t>（</w:t>
      </w:r>
      <w:r>
        <w:rPr>
          <w:rFonts w:hint="eastAsia" w:ascii="宋体" w:hAnsi="宋体" w:cs="仿宋"/>
          <w:kern w:val="2"/>
          <w:sz w:val="24"/>
          <w:szCs w:val="24"/>
          <w:highlight w:val="none"/>
          <w:lang w:eastAsia="zh-CN"/>
        </w:rPr>
        <w:t>单位电子公章</w:t>
      </w:r>
      <w:r>
        <w:rPr>
          <w:rFonts w:hint="eastAsia" w:ascii="宋体" w:hAnsi="宋体" w:cs="仿宋"/>
          <w:kern w:val="2"/>
          <w:sz w:val="24"/>
          <w:szCs w:val="24"/>
          <w:highlight w:val="none"/>
        </w:rPr>
        <w:t>）</w:t>
      </w:r>
    </w:p>
    <w:p w14:paraId="5C2B1673">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法定代表人或授权代表：</w:t>
      </w:r>
      <w:r>
        <w:rPr>
          <w:rFonts w:hint="eastAsia" w:ascii="宋体" w:hAnsi="宋体" w:cs="宋体"/>
          <w:kern w:val="2"/>
          <w:sz w:val="24"/>
          <w:szCs w:val="24"/>
          <w:highlight w:val="none"/>
        </w:rPr>
        <w:t> </w:t>
      </w:r>
      <w:r>
        <w:rPr>
          <w:rFonts w:hint="eastAsia" w:ascii="宋体" w:hAnsi="宋体" w:cs="仿宋"/>
          <w:kern w:val="2"/>
          <w:sz w:val="24"/>
          <w:szCs w:val="24"/>
          <w:highlight w:val="none"/>
        </w:rPr>
        <w:t>（法人电子签章）</w:t>
      </w:r>
    </w:p>
    <w:p w14:paraId="7C091CAE">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日期：</w:t>
      </w:r>
      <w:r>
        <w:rPr>
          <w:rFonts w:hint="eastAsia" w:ascii="宋体" w:hAnsi="宋体" w:cs="宋体"/>
          <w:kern w:val="2"/>
          <w:sz w:val="24"/>
          <w:szCs w:val="24"/>
          <w:highlight w:val="none"/>
        </w:rPr>
        <w:t>  </w:t>
      </w:r>
    </w:p>
    <w:p w14:paraId="049E366D">
      <w:pPr>
        <w:pageBreakBefore w:val="0"/>
        <w:widowControl w:val="0"/>
        <w:wordWrap/>
        <w:overflowPunct/>
        <w:bidi w:val="0"/>
        <w:spacing w:line="360" w:lineRule="auto"/>
        <w:textAlignment w:val="auto"/>
        <w:rPr>
          <w:rFonts w:ascii="宋体" w:hAnsi="宋体" w:cs="仿宋"/>
          <w:kern w:val="2"/>
          <w:sz w:val="24"/>
          <w:szCs w:val="24"/>
          <w:highlight w:val="none"/>
        </w:rPr>
      </w:pPr>
      <w:r>
        <w:rPr>
          <w:rFonts w:hint="eastAsia" w:ascii="宋体" w:hAnsi="宋体" w:cs="仿宋"/>
          <w:kern w:val="2"/>
          <w:sz w:val="24"/>
          <w:szCs w:val="24"/>
          <w:highlight w:val="none"/>
        </w:rPr>
        <w:br w:type="page"/>
      </w:r>
    </w:p>
    <w:p w14:paraId="449AA6C6">
      <w:pPr>
        <w:keepNext/>
        <w:keepLines/>
        <w:pageBreakBefore w:val="0"/>
        <w:widowControl w:val="0"/>
        <w:wordWrap/>
        <w:overflowPunct/>
        <w:bidi w:val="0"/>
        <w:spacing w:before="260" w:after="260" w:line="360" w:lineRule="auto"/>
        <w:jc w:val="center"/>
        <w:textAlignment w:val="auto"/>
        <w:outlineLvl w:val="1"/>
        <w:rPr>
          <w:rFonts w:ascii="宋体" w:hAnsi="宋体" w:cs="仿宋"/>
          <w:b/>
          <w:bCs/>
          <w:kern w:val="2"/>
          <w:sz w:val="24"/>
          <w:szCs w:val="24"/>
          <w:highlight w:val="none"/>
        </w:rPr>
      </w:pPr>
      <w:bookmarkStart w:id="202" w:name="_Toc325446135"/>
      <w:bookmarkEnd w:id="202"/>
      <w:bookmarkStart w:id="203" w:name="_Toc324696986"/>
      <w:bookmarkEnd w:id="203"/>
      <w:bookmarkStart w:id="204" w:name="_Toc26420"/>
      <w:bookmarkEnd w:id="204"/>
      <w:bookmarkStart w:id="205" w:name="_Toc22015"/>
      <w:bookmarkEnd w:id="205"/>
      <w:bookmarkStart w:id="206" w:name="_Toc325383409"/>
      <w:bookmarkEnd w:id="206"/>
      <w:bookmarkStart w:id="207" w:name="_Toc359842907"/>
      <w:bookmarkEnd w:id="207"/>
      <w:bookmarkStart w:id="208" w:name="_Toc63238026"/>
      <w:bookmarkStart w:id="209" w:name="_Toc31170"/>
      <w:bookmarkStart w:id="210" w:name="_Toc8337"/>
      <w:r>
        <w:rPr>
          <w:rFonts w:hint="eastAsia" w:ascii="宋体" w:hAnsi="宋体" w:cs="仿宋"/>
          <w:b/>
          <w:bCs/>
          <w:kern w:val="2"/>
          <w:sz w:val="24"/>
          <w:szCs w:val="24"/>
          <w:highlight w:val="none"/>
        </w:rPr>
        <w:t>七、资格证明文件</w:t>
      </w:r>
      <w:bookmarkEnd w:id="208"/>
      <w:bookmarkEnd w:id="209"/>
      <w:bookmarkEnd w:id="210"/>
    </w:p>
    <w:p w14:paraId="7BFCD617">
      <w:pPr>
        <w:pageBreakBefore w:val="0"/>
        <w:wordWrap/>
        <w:overflowPunct/>
        <w:bidi w:val="0"/>
        <w:spacing w:line="360" w:lineRule="auto"/>
        <w:ind w:firstLine="518" w:firstLineChars="216"/>
        <w:textAlignment w:val="auto"/>
        <w:rPr>
          <w:rFonts w:ascii="宋体" w:hAnsi="宋体" w:cs="仿宋"/>
          <w:kern w:val="2"/>
          <w:sz w:val="24"/>
          <w:szCs w:val="24"/>
          <w:highlight w:val="none"/>
        </w:rPr>
      </w:pPr>
      <w:r>
        <w:rPr>
          <w:rFonts w:ascii="宋体" w:hAnsi="宋体" w:cs="仿宋"/>
          <w:kern w:val="2"/>
          <w:sz w:val="24"/>
          <w:szCs w:val="24"/>
          <w:highlight w:val="none"/>
        </w:rPr>
        <w:t>7</w:t>
      </w:r>
      <w:r>
        <w:rPr>
          <w:rFonts w:hint="eastAsia" w:ascii="宋体" w:hAnsi="宋体" w:cs="仿宋"/>
          <w:kern w:val="2"/>
          <w:sz w:val="24"/>
          <w:szCs w:val="24"/>
          <w:highlight w:val="none"/>
        </w:rPr>
        <w:t>-1</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基本情况表</w:t>
      </w:r>
    </w:p>
    <w:p w14:paraId="2DAE1A3B">
      <w:pPr>
        <w:pageBreakBefore w:val="0"/>
        <w:wordWrap/>
        <w:overflowPunct/>
        <w:bidi w:val="0"/>
        <w:spacing w:line="360" w:lineRule="auto"/>
        <w:ind w:firstLine="518" w:firstLineChars="216"/>
        <w:textAlignment w:val="auto"/>
        <w:rPr>
          <w:rFonts w:ascii="宋体" w:hAnsi="宋体" w:cs="仿宋"/>
          <w:kern w:val="2"/>
          <w:sz w:val="24"/>
          <w:szCs w:val="24"/>
          <w:highlight w:val="none"/>
        </w:rPr>
      </w:pPr>
      <w:r>
        <w:rPr>
          <w:rFonts w:ascii="宋体" w:hAnsi="宋体" w:cs="仿宋"/>
          <w:kern w:val="2"/>
          <w:sz w:val="24"/>
          <w:szCs w:val="24"/>
          <w:highlight w:val="none"/>
        </w:rPr>
        <w:t>7</w:t>
      </w:r>
      <w:r>
        <w:rPr>
          <w:rFonts w:hint="eastAsia" w:ascii="宋体" w:hAnsi="宋体" w:cs="仿宋"/>
          <w:kern w:val="2"/>
          <w:sz w:val="24"/>
          <w:szCs w:val="24"/>
          <w:highlight w:val="none"/>
        </w:rPr>
        <w:t>-2无商业贿赂和不正当竞争行为承诺书</w:t>
      </w:r>
    </w:p>
    <w:p w14:paraId="0B31163D">
      <w:pPr>
        <w:pageBreakBefore w:val="0"/>
        <w:wordWrap/>
        <w:overflowPunct/>
        <w:bidi w:val="0"/>
        <w:spacing w:line="360" w:lineRule="auto"/>
        <w:ind w:firstLine="518" w:firstLineChars="216"/>
        <w:textAlignment w:val="auto"/>
        <w:rPr>
          <w:rFonts w:ascii="宋体" w:hAnsi="宋体" w:cs="仿宋"/>
          <w:kern w:val="2"/>
          <w:sz w:val="24"/>
          <w:szCs w:val="24"/>
          <w:highlight w:val="none"/>
        </w:rPr>
      </w:pPr>
      <w:r>
        <w:rPr>
          <w:rFonts w:ascii="宋体" w:hAnsi="宋体" w:cs="仿宋"/>
          <w:kern w:val="2"/>
          <w:sz w:val="24"/>
          <w:szCs w:val="24"/>
          <w:highlight w:val="none"/>
        </w:rPr>
        <w:t>7</w:t>
      </w:r>
      <w:r>
        <w:rPr>
          <w:rFonts w:hint="eastAsia" w:ascii="宋体" w:hAnsi="宋体" w:cs="仿宋"/>
          <w:kern w:val="2"/>
          <w:sz w:val="24"/>
          <w:szCs w:val="24"/>
          <w:highlight w:val="none"/>
        </w:rPr>
        <w:t>-</w:t>
      </w:r>
      <w:r>
        <w:rPr>
          <w:rFonts w:ascii="宋体" w:hAnsi="宋体" w:cs="仿宋"/>
          <w:kern w:val="2"/>
          <w:sz w:val="24"/>
          <w:szCs w:val="24"/>
          <w:highlight w:val="none"/>
        </w:rPr>
        <w:t>3</w:t>
      </w:r>
      <w:r>
        <w:rPr>
          <w:rFonts w:hint="eastAsia" w:ascii="宋体" w:hAnsi="宋体" w:cs="仿宋"/>
          <w:kern w:val="2"/>
          <w:sz w:val="24"/>
          <w:szCs w:val="24"/>
          <w:highlight w:val="none"/>
        </w:rPr>
        <w:t>信用信息查询证明</w:t>
      </w:r>
    </w:p>
    <w:p w14:paraId="752EDC9A">
      <w:pPr>
        <w:pageBreakBefore w:val="0"/>
        <w:wordWrap/>
        <w:overflowPunct/>
        <w:bidi w:val="0"/>
        <w:spacing w:line="360" w:lineRule="auto"/>
        <w:ind w:firstLine="518" w:firstLineChars="216"/>
        <w:textAlignment w:val="auto"/>
        <w:rPr>
          <w:rFonts w:ascii="宋体" w:hAnsi="宋体" w:cs="仿宋"/>
          <w:kern w:val="2"/>
          <w:sz w:val="24"/>
          <w:szCs w:val="24"/>
          <w:highlight w:val="none"/>
        </w:rPr>
      </w:pPr>
      <w:r>
        <w:rPr>
          <w:rFonts w:ascii="宋体" w:hAnsi="宋体" w:cs="仿宋"/>
          <w:kern w:val="2"/>
          <w:sz w:val="24"/>
          <w:szCs w:val="24"/>
          <w:highlight w:val="none"/>
        </w:rPr>
        <w:t>7</w:t>
      </w:r>
      <w:r>
        <w:rPr>
          <w:rFonts w:hint="eastAsia" w:ascii="宋体" w:hAnsi="宋体" w:cs="仿宋"/>
          <w:kern w:val="2"/>
          <w:sz w:val="24"/>
          <w:szCs w:val="24"/>
          <w:highlight w:val="none"/>
        </w:rPr>
        <w:t>-</w:t>
      </w:r>
      <w:r>
        <w:rPr>
          <w:rFonts w:ascii="宋体" w:hAnsi="宋体" w:cs="仿宋"/>
          <w:kern w:val="2"/>
          <w:sz w:val="24"/>
          <w:szCs w:val="24"/>
          <w:highlight w:val="none"/>
        </w:rPr>
        <w:t>4</w:t>
      </w:r>
      <w:r>
        <w:rPr>
          <w:rFonts w:hint="eastAsia" w:ascii="宋体" w:hAnsi="宋体" w:cs="仿宋"/>
          <w:kern w:val="2"/>
          <w:sz w:val="24"/>
          <w:szCs w:val="24"/>
          <w:highlight w:val="none"/>
        </w:rPr>
        <w:t>享受政府采购政策的证明材料</w:t>
      </w:r>
    </w:p>
    <w:p w14:paraId="21D1F3DD">
      <w:pPr>
        <w:pageBreakBefore w:val="0"/>
        <w:wordWrap/>
        <w:overflowPunct/>
        <w:bidi w:val="0"/>
        <w:spacing w:line="360" w:lineRule="auto"/>
        <w:ind w:firstLine="518" w:firstLineChars="216"/>
        <w:jc w:val="left"/>
        <w:textAlignment w:val="auto"/>
        <w:rPr>
          <w:rFonts w:ascii="宋体" w:hAnsi="宋体" w:cs="仿宋"/>
          <w:b/>
          <w:bCs/>
          <w:kern w:val="28"/>
          <w:sz w:val="24"/>
          <w:szCs w:val="24"/>
          <w:highlight w:val="none"/>
        </w:rPr>
      </w:pPr>
      <w:r>
        <w:rPr>
          <w:rFonts w:hint="eastAsia" w:ascii="宋体" w:hAnsi="宋体" w:cs="仿宋"/>
          <w:kern w:val="2"/>
          <w:sz w:val="24"/>
          <w:szCs w:val="24"/>
          <w:highlight w:val="none"/>
        </w:rPr>
        <w:br w:type="page"/>
      </w:r>
    </w:p>
    <w:p w14:paraId="0E8518C4">
      <w:pPr>
        <w:keepNext/>
        <w:keepLines/>
        <w:pageBreakBefore w:val="0"/>
        <w:widowControl w:val="0"/>
        <w:wordWrap/>
        <w:overflowPunct/>
        <w:bidi w:val="0"/>
        <w:spacing w:line="360" w:lineRule="auto"/>
        <w:ind w:left="210" w:leftChars="100" w:right="210" w:rightChars="100" w:firstLine="241" w:firstLineChars="100"/>
        <w:jc w:val="center"/>
        <w:textAlignment w:val="auto"/>
        <w:outlineLvl w:val="2"/>
        <w:rPr>
          <w:rFonts w:ascii="宋体" w:hAnsi="宋体" w:cs="仿宋"/>
          <w:b/>
          <w:bCs/>
          <w:kern w:val="2"/>
          <w:sz w:val="24"/>
          <w:szCs w:val="24"/>
          <w:highlight w:val="none"/>
        </w:rPr>
      </w:pPr>
      <w:bookmarkStart w:id="211" w:name="_Toc30144"/>
      <w:r>
        <w:rPr>
          <w:rFonts w:ascii="宋体" w:hAnsi="宋体" w:cs="仿宋"/>
          <w:b/>
          <w:bCs/>
          <w:kern w:val="2"/>
          <w:sz w:val="24"/>
          <w:szCs w:val="24"/>
          <w:highlight w:val="none"/>
        </w:rPr>
        <w:t>7</w:t>
      </w:r>
      <w:r>
        <w:rPr>
          <w:rFonts w:hint="eastAsia" w:ascii="宋体" w:hAnsi="宋体" w:cs="仿宋"/>
          <w:b/>
          <w:bCs/>
          <w:kern w:val="2"/>
          <w:sz w:val="24"/>
          <w:szCs w:val="24"/>
          <w:highlight w:val="none"/>
        </w:rPr>
        <w:t>-1</w:t>
      </w:r>
      <w:r>
        <w:rPr>
          <w:rFonts w:hint="eastAsia" w:ascii="宋体" w:hAnsi="宋体" w:cs="仿宋"/>
          <w:b/>
          <w:bCs/>
          <w:kern w:val="2"/>
          <w:sz w:val="24"/>
          <w:szCs w:val="24"/>
          <w:highlight w:val="none"/>
          <w:lang w:eastAsia="zh-CN"/>
        </w:rPr>
        <w:t>供应商</w:t>
      </w:r>
      <w:r>
        <w:rPr>
          <w:rFonts w:hint="eastAsia" w:ascii="宋体" w:hAnsi="宋体" w:cs="仿宋"/>
          <w:b/>
          <w:bCs/>
          <w:kern w:val="2"/>
          <w:sz w:val="24"/>
          <w:szCs w:val="24"/>
          <w:highlight w:val="none"/>
        </w:rPr>
        <w:t>基本情况表</w:t>
      </w:r>
      <w:bookmarkEnd w:id="211"/>
    </w:p>
    <w:tbl>
      <w:tblPr>
        <w:tblStyle w:val="16"/>
        <w:tblW w:w="9329" w:type="dxa"/>
        <w:jc w:val="center"/>
        <w:tblLayout w:type="fixed"/>
        <w:tblCellMar>
          <w:top w:w="0" w:type="dxa"/>
          <w:left w:w="108" w:type="dxa"/>
          <w:bottom w:w="0" w:type="dxa"/>
          <w:right w:w="108" w:type="dxa"/>
        </w:tblCellMar>
      </w:tblPr>
      <w:tblGrid>
        <w:gridCol w:w="2111"/>
        <w:gridCol w:w="1135"/>
        <w:gridCol w:w="2123"/>
        <w:gridCol w:w="1698"/>
        <w:gridCol w:w="2262"/>
      </w:tblGrid>
      <w:tr w14:paraId="644D1588">
        <w:tblPrEx>
          <w:tblCellMar>
            <w:top w:w="0" w:type="dxa"/>
            <w:left w:w="108" w:type="dxa"/>
            <w:bottom w:w="0" w:type="dxa"/>
            <w:right w:w="108" w:type="dxa"/>
          </w:tblCellMar>
        </w:tblPrEx>
        <w:trPr>
          <w:trHeight w:val="76"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14:paraId="2313C284">
            <w:pPr>
              <w:pageBreakBefore w:val="0"/>
              <w:widowControl w:val="0"/>
              <w:wordWrap/>
              <w:overflowPunct/>
              <w:bidi w:val="0"/>
              <w:spacing w:line="360" w:lineRule="auto"/>
              <w:jc w:val="center"/>
              <w:textAlignment w:val="auto"/>
              <w:rPr>
                <w:rFonts w:ascii="宋体" w:hAnsi="宋体" w:cs="仿宋"/>
                <w:kern w:val="2"/>
                <w:sz w:val="24"/>
                <w:szCs w:val="24"/>
                <w:highlight w:val="none"/>
              </w:rPr>
            </w:pPr>
            <w:bookmarkStart w:id="212" w:name="_Toc321831166"/>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名称</w:t>
            </w:r>
            <w:bookmarkEnd w:id="212"/>
          </w:p>
        </w:tc>
        <w:tc>
          <w:tcPr>
            <w:tcW w:w="3258" w:type="dxa"/>
            <w:gridSpan w:val="2"/>
            <w:tcBorders>
              <w:top w:val="single" w:color="auto" w:sz="4" w:space="0"/>
              <w:left w:val="nil"/>
              <w:bottom w:val="single" w:color="auto" w:sz="4" w:space="0"/>
              <w:right w:val="nil"/>
            </w:tcBorders>
            <w:vAlign w:val="center"/>
          </w:tcPr>
          <w:p w14:paraId="4819F4FB">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single" w:color="auto" w:sz="4" w:space="0"/>
              <w:bottom w:val="single" w:color="auto" w:sz="4" w:space="0"/>
              <w:right w:val="nil"/>
            </w:tcBorders>
            <w:vAlign w:val="center"/>
          </w:tcPr>
          <w:p w14:paraId="26D80F69">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注册地址</w:t>
            </w:r>
          </w:p>
        </w:tc>
        <w:tc>
          <w:tcPr>
            <w:tcW w:w="2262" w:type="dxa"/>
            <w:tcBorders>
              <w:top w:val="single" w:color="auto" w:sz="4" w:space="0"/>
              <w:left w:val="single" w:color="auto" w:sz="4" w:space="0"/>
              <w:bottom w:val="single" w:color="auto" w:sz="4" w:space="0"/>
              <w:right w:val="single" w:color="auto" w:sz="8" w:space="0"/>
            </w:tcBorders>
            <w:vAlign w:val="center"/>
          </w:tcPr>
          <w:p w14:paraId="49D3FAE6">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40838BD1">
        <w:tblPrEx>
          <w:tblCellMar>
            <w:top w:w="0" w:type="dxa"/>
            <w:left w:w="108" w:type="dxa"/>
            <w:bottom w:w="0" w:type="dxa"/>
            <w:right w:w="108" w:type="dxa"/>
          </w:tblCellMar>
        </w:tblPrEx>
        <w:trPr>
          <w:trHeight w:val="506" w:hRule="atLeast"/>
          <w:jc w:val="center"/>
        </w:trPr>
        <w:tc>
          <w:tcPr>
            <w:tcW w:w="2111" w:type="dxa"/>
            <w:vMerge w:val="restart"/>
            <w:tcBorders>
              <w:top w:val="nil"/>
              <w:left w:val="single" w:color="auto" w:sz="4" w:space="0"/>
              <w:bottom w:val="single" w:color="auto" w:sz="4" w:space="0"/>
              <w:right w:val="single" w:color="auto" w:sz="4" w:space="0"/>
            </w:tcBorders>
            <w:vAlign w:val="center"/>
          </w:tcPr>
          <w:p w14:paraId="7C3FE349">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联系人</w:t>
            </w:r>
          </w:p>
        </w:tc>
        <w:tc>
          <w:tcPr>
            <w:tcW w:w="3258" w:type="dxa"/>
            <w:gridSpan w:val="2"/>
            <w:vMerge w:val="restart"/>
            <w:tcBorders>
              <w:top w:val="single" w:color="auto" w:sz="4" w:space="0"/>
              <w:left w:val="nil"/>
              <w:right w:val="single" w:color="auto" w:sz="4" w:space="0"/>
            </w:tcBorders>
            <w:vAlign w:val="center"/>
          </w:tcPr>
          <w:p w14:paraId="39FF6267">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156EDF10">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联系电话</w:t>
            </w:r>
          </w:p>
        </w:tc>
        <w:tc>
          <w:tcPr>
            <w:tcW w:w="2262" w:type="dxa"/>
            <w:tcBorders>
              <w:top w:val="single" w:color="auto" w:sz="4" w:space="0"/>
              <w:left w:val="nil"/>
              <w:bottom w:val="single" w:color="auto" w:sz="4" w:space="0"/>
              <w:right w:val="single" w:color="auto" w:sz="8" w:space="0"/>
            </w:tcBorders>
            <w:vAlign w:val="center"/>
          </w:tcPr>
          <w:p w14:paraId="597033E4">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1BBC5C21">
        <w:tblPrEx>
          <w:tblCellMar>
            <w:top w:w="0" w:type="dxa"/>
            <w:left w:w="108" w:type="dxa"/>
            <w:bottom w:w="0" w:type="dxa"/>
            <w:right w:w="108" w:type="dxa"/>
          </w:tblCellMar>
        </w:tblPrEx>
        <w:trPr>
          <w:trHeight w:val="522" w:hRule="atLeast"/>
          <w:jc w:val="center"/>
        </w:trPr>
        <w:tc>
          <w:tcPr>
            <w:tcW w:w="2111" w:type="dxa"/>
            <w:vMerge w:val="continue"/>
            <w:tcBorders>
              <w:top w:val="nil"/>
              <w:left w:val="single" w:color="auto" w:sz="4" w:space="0"/>
              <w:bottom w:val="single" w:color="auto" w:sz="4" w:space="0"/>
              <w:right w:val="single" w:color="auto" w:sz="4" w:space="0"/>
            </w:tcBorders>
            <w:vAlign w:val="center"/>
          </w:tcPr>
          <w:p w14:paraId="1197B08A">
            <w:pPr>
              <w:pageBreakBefore w:val="0"/>
              <w:wordWrap/>
              <w:overflowPunct/>
              <w:bidi w:val="0"/>
              <w:spacing w:line="360" w:lineRule="auto"/>
              <w:jc w:val="center"/>
              <w:textAlignment w:val="auto"/>
              <w:rPr>
                <w:rFonts w:ascii="宋体" w:hAnsi="宋体" w:cs="仿宋"/>
                <w:kern w:val="2"/>
                <w:sz w:val="24"/>
                <w:szCs w:val="24"/>
                <w:highlight w:val="none"/>
              </w:rPr>
            </w:pPr>
          </w:p>
        </w:tc>
        <w:tc>
          <w:tcPr>
            <w:tcW w:w="3258" w:type="dxa"/>
            <w:gridSpan w:val="2"/>
            <w:vMerge w:val="continue"/>
            <w:tcBorders>
              <w:left w:val="nil"/>
              <w:bottom w:val="single" w:color="auto" w:sz="4" w:space="0"/>
              <w:right w:val="single" w:color="auto" w:sz="4" w:space="0"/>
            </w:tcBorders>
            <w:vAlign w:val="center"/>
          </w:tcPr>
          <w:p w14:paraId="035C48EC">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06662E59">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电子邮箱</w:t>
            </w:r>
          </w:p>
        </w:tc>
        <w:tc>
          <w:tcPr>
            <w:tcW w:w="2262" w:type="dxa"/>
            <w:tcBorders>
              <w:top w:val="single" w:color="auto" w:sz="4" w:space="0"/>
              <w:left w:val="nil"/>
              <w:bottom w:val="single" w:color="auto" w:sz="4" w:space="0"/>
              <w:right w:val="single" w:color="auto" w:sz="8" w:space="0"/>
            </w:tcBorders>
            <w:vAlign w:val="center"/>
          </w:tcPr>
          <w:p w14:paraId="190CD10B">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55C226B3">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14:paraId="24271C41">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法定代表人</w:t>
            </w:r>
          </w:p>
        </w:tc>
        <w:tc>
          <w:tcPr>
            <w:tcW w:w="1135" w:type="dxa"/>
            <w:tcBorders>
              <w:top w:val="single" w:color="auto" w:sz="4" w:space="0"/>
              <w:left w:val="nil"/>
              <w:bottom w:val="single" w:color="auto" w:sz="4" w:space="0"/>
              <w:right w:val="single" w:color="auto" w:sz="4" w:space="0"/>
            </w:tcBorders>
            <w:vAlign w:val="center"/>
          </w:tcPr>
          <w:p w14:paraId="0B73C148">
            <w:pPr>
              <w:pageBreakBefore w:val="0"/>
              <w:widowControl w:val="0"/>
              <w:wordWrap/>
              <w:overflowPunct/>
              <w:bidi w:val="0"/>
              <w:spacing w:line="360" w:lineRule="auto"/>
              <w:ind w:firstLine="43" w:firstLineChars="18"/>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姓名</w:t>
            </w:r>
          </w:p>
        </w:tc>
        <w:tc>
          <w:tcPr>
            <w:tcW w:w="2123" w:type="dxa"/>
            <w:tcBorders>
              <w:top w:val="single" w:color="auto" w:sz="4" w:space="0"/>
              <w:left w:val="nil"/>
              <w:bottom w:val="single" w:color="auto" w:sz="4" w:space="0"/>
              <w:right w:val="single" w:color="auto" w:sz="4" w:space="0"/>
            </w:tcBorders>
            <w:vAlign w:val="center"/>
          </w:tcPr>
          <w:p w14:paraId="72CAAE8F">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6497A81F">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职务</w:t>
            </w:r>
          </w:p>
        </w:tc>
        <w:tc>
          <w:tcPr>
            <w:tcW w:w="2262" w:type="dxa"/>
            <w:tcBorders>
              <w:top w:val="single" w:color="auto" w:sz="4" w:space="0"/>
              <w:left w:val="nil"/>
              <w:bottom w:val="single" w:color="auto" w:sz="4" w:space="0"/>
              <w:right w:val="single" w:color="auto" w:sz="8" w:space="0"/>
            </w:tcBorders>
            <w:vAlign w:val="center"/>
          </w:tcPr>
          <w:p w14:paraId="291996FD">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42C77A88">
        <w:tblPrEx>
          <w:tblCellMar>
            <w:top w:w="0" w:type="dxa"/>
            <w:left w:w="108" w:type="dxa"/>
            <w:bottom w:w="0" w:type="dxa"/>
            <w:right w:w="108" w:type="dxa"/>
          </w:tblCellMar>
        </w:tblPrEx>
        <w:trPr>
          <w:trHeight w:val="457"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1453831D">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单位性质</w:t>
            </w:r>
          </w:p>
        </w:tc>
        <w:tc>
          <w:tcPr>
            <w:tcW w:w="3258" w:type="dxa"/>
            <w:gridSpan w:val="2"/>
            <w:tcBorders>
              <w:top w:val="single" w:color="auto" w:sz="4" w:space="0"/>
              <w:left w:val="nil"/>
              <w:bottom w:val="single" w:color="auto" w:sz="4" w:space="0"/>
              <w:right w:val="single" w:color="auto" w:sz="4" w:space="0"/>
            </w:tcBorders>
            <w:vAlign w:val="center"/>
          </w:tcPr>
          <w:p w14:paraId="62D99A18">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50F96B27">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成立时间</w:t>
            </w:r>
          </w:p>
        </w:tc>
        <w:tc>
          <w:tcPr>
            <w:tcW w:w="2262" w:type="dxa"/>
            <w:tcBorders>
              <w:top w:val="single" w:color="auto" w:sz="4" w:space="0"/>
              <w:left w:val="nil"/>
              <w:bottom w:val="single" w:color="auto" w:sz="4" w:space="0"/>
              <w:right w:val="single" w:color="auto" w:sz="8" w:space="0"/>
            </w:tcBorders>
            <w:vAlign w:val="center"/>
          </w:tcPr>
          <w:p w14:paraId="0B90883E">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5E976942">
        <w:tblPrEx>
          <w:tblCellMar>
            <w:top w:w="0" w:type="dxa"/>
            <w:left w:w="108" w:type="dxa"/>
            <w:bottom w:w="0" w:type="dxa"/>
            <w:right w:w="108" w:type="dxa"/>
          </w:tblCellMar>
        </w:tblPrEx>
        <w:trPr>
          <w:trHeight w:val="457"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79B47C3C">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经营范围</w:t>
            </w:r>
          </w:p>
        </w:tc>
        <w:tc>
          <w:tcPr>
            <w:tcW w:w="3258" w:type="dxa"/>
            <w:gridSpan w:val="2"/>
            <w:tcBorders>
              <w:top w:val="single" w:color="auto" w:sz="4" w:space="0"/>
              <w:left w:val="nil"/>
              <w:bottom w:val="single" w:color="auto" w:sz="4" w:space="0"/>
              <w:right w:val="single" w:color="auto" w:sz="4" w:space="0"/>
            </w:tcBorders>
            <w:vAlign w:val="center"/>
          </w:tcPr>
          <w:p w14:paraId="1C0EF8EB">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0570113D">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注册资金</w:t>
            </w:r>
          </w:p>
        </w:tc>
        <w:tc>
          <w:tcPr>
            <w:tcW w:w="2262" w:type="dxa"/>
            <w:tcBorders>
              <w:top w:val="single" w:color="auto" w:sz="4" w:space="0"/>
              <w:left w:val="nil"/>
              <w:bottom w:val="single" w:color="auto" w:sz="4" w:space="0"/>
              <w:right w:val="single" w:color="auto" w:sz="8" w:space="0"/>
            </w:tcBorders>
            <w:vAlign w:val="center"/>
          </w:tcPr>
          <w:p w14:paraId="3751F7AD">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44897B7C">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71ADF8C4">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开户银行</w:t>
            </w:r>
          </w:p>
        </w:tc>
        <w:tc>
          <w:tcPr>
            <w:tcW w:w="3258" w:type="dxa"/>
            <w:gridSpan w:val="2"/>
            <w:tcBorders>
              <w:top w:val="single" w:color="auto" w:sz="4" w:space="0"/>
              <w:left w:val="nil"/>
              <w:bottom w:val="single" w:color="auto" w:sz="4" w:space="0"/>
              <w:right w:val="single" w:color="auto" w:sz="4" w:space="0"/>
            </w:tcBorders>
            <w:vAlign w:val="center"/>
          </w:tcPr>
          <w:p w14:paraId="3A2D77B5">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7D562202">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开户账号</w:t>
            </w:r>
          </w:p>
        </w:tc>
        <w:tc>
          <w:tcPr>
            <w:tcW w:w="2262" w:type="dxa"/>
            <w:tcBorders>
              <w:top w:val="single" w:color="auto" w:sz="4" w:space="0"/>
              <w:left w:val="nil"/>
              <w:bottom w:val="single" w:color="auto" w:sz="4" w:space="0"/>
              <w:right w:val="single" w:color="auto" w:sz="8" w:space="0"/>
            </w:tcBorders>
            <w:vAlign w:val="center"/>
          </w:tcPr>
          <w:p w14:paraId="6C639CF6">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3B6583BA">
        <w:tblPrEx>
          <w:tblCellMar>
            <w:top w:w="0" w:type="dxa"/>
            <w:left w:w="108" w:type="dxa"/>
            <w:bottom w:w="0" w:type="dxa"/>
            <w:right w:w="108" w:type="dxa"/>
          </w:tblCellMar>
        </w:tblPrEx>
        <w:trPr>
          <w:trHeight w:val="343" w:hRule="atLeast"/>
          <w:jc w:val="center"/>
        </w:trPr>
        <w:tc>
          <w:tcPr>
            <w:tcW w:w="2111" w:type="dxa"/>
            <w:tcBorders>
              <w:top w:val="single" w:color="auto" w:sz="4" w:space="0"/>
              <w:left w:val="single" w:color="auto" w:sz="8" w:space="0"/>
              <w:bottom w:val="nil"/>
              <w:right w:val="nil"/>
            </w:tcBorders>
            <w:vAlign w:val="center"/>
          </w:tcPr>
          <w:p w14:paraId="69531019">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资质名称、等级</w:t>
            </w:r>
          </w:p>
          <w:p w14:paraId="329D76EF">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专业、范围</w:t>
            </w:r>
          </w:p>
        </w:tc>
        <w:tc>
          <w:tcPr>
            <w:tcW w:w="7218" w:type="dxa"/>
            <w:gridSpan w:val="4"/>
            <w:tcBorders>
              <w:top w:val="single" w:color="auto" w:sz="4" w:space="0"/>
              <w:left w:val="single" w:color="auto" w:sz="4" w:space="0"/>
              <w:bottom w:val="single" w:color="auto" w:sz="4" w:space="0"/>
              <w:right w:val="single" w:color="auto" w:sz="8" w:space="0"/>
            </w:tcBorders>
            <w:vAlign w:val="center"/>
          </w:tcPr>
          <w:p w14:paraId="5DE87F39">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713E46FE">
        <w:tblPrEx>
          <w:tblCellMar>
            <w:top w:w="0" w:type="dxa"/>
            <w:left w:w="108" w:type="dxa"/>
            <w:bottom w:w="0" w:type="dxa"/>
            <w:right w:w="108" w:type="dxa"/>
          </w:tblCellMar>
        </w:tblPrEx>
        <w:trPr>
          <w:cantSplit/>
          <w:trHeight w:val="76" w:hRule="atLeast"/>
          <w:jc w:val="center"/>
        </w:trPr>
        <w:tc>
          <w:tcPr>
            <w:tcW w:w="2111" w:type="dxa"/>
            <w:tcBorders>
              <w:top w:val="single" w:color="auto" w:sz="4" w:space="0"/>
              <w:left w:val="single" w:color="auto" w:sz="8" w:space="0"/>
              <w:bottom w:val="single" w:color="auto" w:sz="4" w:space="0"/>
              <w:right w:val="nil"/>
            </w:tcBorders>
            <w:vAlign w:val="center"/>
          </w:tcPr>
          <w:p w14:paraId="407B3E21">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员工数量</w:t>
            </w:r>
          </w:p>
        </w:tc>
        <w:tc>
          <w:tcPr>
            <w:tcW w:w="7218" w:type="dxa"/>
            <w:gridSpan w:val="4"/>
            <w:tcBorders>
              <w:top w:val="single" w:color="auto" w:sz="4" w:space="0"/>
              <w:left w:val="single" w:color="auto" w:sz="4" w:space="0"/>
              <w:bottom w:val="single" w:color="auto" w:sz="4" w:space="0"/>
              <w:right w:val="single" w:color="auto" w:sz="8" w:space="0"/>
            </w:tcBorders>
            <w:vAlign w:val="center"/>
          </w:tcPr>
          <w:p w14:paraId="530B3D5F">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1AB3C5D3">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7D36642C">
            <w:pPr>
              <w:pageBreakBefore w:val="0"/>
              <w:widowControl w:val="0"/>
              <w:wordWrap/>
              <w:overflowPunct/>
              <w:bidi w:val="0"/>
              <w:spacing w:line="360" w:lineRule="auto"/>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隶属和/或控股情况</w:t>
            </w:r>
          </w:p>
        </w:tc>
        <w:tc>
          <w:tcPr>
            <w:tcW w:w="3258" w:type="dxa"/>
            <w:gridSpan w:val="2"/>
            <w:tcBorders>
              <w:top w:val="single" w:color="auto" w:sz="4" w:space="0"/>
              <w:left w:val="nil"/>
              <w:bottom w:val="single" w:color="auto" w:sz="4" w:space="0"/>
              <w:right w:val="single" w:color="auto" w:sz="4" w:space="0"/>
            </w:tcBorders>
            <w:vAlign w:val="center"/>
          </w:tcPr>
          <w:p w14:paraId="2AADED63">
            <w:pPr>
              <w:pageBreakBefore w:val="0"/>
              <w:widowControl w:val="0"/>
              <w:wordWrap/>
              <w:overflowPunct/>
              <w:bidi w:val="0"/>
              <w:spacing w:line="360" w:lineRule="auto"/>
              <w:ind w:firstLine="518" w:firstLineChars="216"/>
              <w:jc w:val="center"/>
              <w:textAlignment w:val="auto"/>
              <w:rPr>
                <w:rFonts w:ascii="宋体" w:hAnsi="宋体" w:cs="仿宋"/>
                <w:kern w:val="2"/>
                <w:sz w:val="24"/>
                <w:szCs w:val="24"/>
                <w:highlight w:val="none"/>
              </w:rPr>
            </w:pPr>
          </w:p>
        </w:tc>
        <w:tc>
          <w:tcPr>
            <w:tcW w:w="1698" w:type="dxa"/>
            <w:tcBorders>
              <w:top w:val="single" w:color="auto" w:sz="4" w:space="0"/>
              <w:left w:val="nil"/>
              <w:bottom w:val="single" w:color="auto" w:sz="4" w:space="0"/>
              <w:right w:val="single" w:color="auto" w:sz="4" w:space="0"/>
            </w:tcBorders>
            <w:vAlign w:val="center"/>
          </w:tcPr>
          <w:p w14:paraId="6D78BD1D">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r>
              <w:rPr>
                <w:rFonts w:hint="eastAsia" w:ascii="宋体" w:hAnsi="宋体" w:cs="仿宋"/>
                <w:kern w:val="2"/>
                <w:sz w:val="24"/>
                <w:szCs w:val="24"/>
                <w:highlight w:val="none"/>
              </w:rPr>
              <w:t>是否为中小企业</w:t>
            </w:r>
          </w:p>
        </w:tc>
        <w:tc>
          <w:tcPr>
            <w:tcW w:w="2262" w:type="dxa"/>
            <w:tcBorders>
              <w:top w:val="single" w:color="auto" w:sz="4" w:space="0"/>
              <w:left w:val="nil"/>
              <w:bottom w:val="single" w:color="auto" w:sz="4" w:space="0"/>
              <w:right w:val="single" w:color="auto" w:sz="8" w:space="0"/>
            </w:tcBorders>
            <w:vAlign w:val="center"/>
          </w:tcPr>
          <w:p w14:paraId="4BFBECAF">
            <w:pPr>
              <w:pageBreakBefore w:val="0"/>
              <w:widowControl w:val="0"/>
              <w:wordWrap/>
              <w:overflowPunct/>
              <w:bidi w:val="0"/>
              <w:spacing w:line="360" w:lineRule="auto"/>
              <w:ind w:firstLine="165" w:firstLineChars="69"/>
              <w:jc w:val="center"/>
              <w:textAlignment w:val="auto"/>
              <w:rPr>
                <w:rFonts w:ascii="宋体" w:hAnsi="宋体" w:cs="仿宋"/>
                <w:kern w:val="2"/>
                <w:sz w:val="24"/>
                <w:szCs w:val="24"/>
                <w:highlight w:val="none"/>
              </w:rPr>
            </w:pPr>
          </w:p>
        </w:tc>
      </w:tr>
      <w:tr w14:paraId="4155C801">
        <w:tblPrEx>
          <w:tblCellMar>
            <w:top w:w="0" w:type="dxa"/>
            <w:left w:w="108" w:type="dxa"/>
            <w:bottom w:w="0" w:type="dxa"/>
            <w:right w:w="108" w:type="dxa"/>
          </w:tblCellMar>
        </w:tblPrEx>
        <w:trPr>
          <w:trHeight w:val="506" w:hRule="atLeast"/>
          <w:jc w:val="center"/>
        </w:trPr>
        <w:tc>
          <w:tcPr>
            <w:tcW w:w="2111" w:type="dxa"/>
            <w:tcBorders>
              <w:top w:val="single" w:color="auto" w:sz="4" w:space="0"/>
              <w:left w:val="single" w:color="auto" w:sz="8" w:space="0"/>
              <w:bottom w:val="single" w:color="auto" w:sz="4" w:space="0"/>
              <w:right w:val="single" w:color="auto" w:sz="4" w:space="0"/>
            </w:tcBorders>
            <w:vAlign w:val="center"/>
          </w:tcPr>
          <w:p w14:paraId="7DB8F7BB">
            <w:pPr>
              <w:pageBreakBefore w:val="0"/>
              <w:widowControl w:val="0"/>
              <w:wordWrap/>
              <w:overflowPunct/>
              <w:bidi w:val="0"/>
              <w:spacing w:line="360" w:lineRule="auto"/>
              <w:textAlignment w:val="auto"/>
              <w:rPr>
                <w:rFonts w:ascii="宋体" w:hAnsi="宋体" w:cs="仿宋"/>
                <w:kern w:val="2"/>
                <w:sz w:val="24"/>
                <w:szCs w:val="24"/>
                <w:highlight w:val="none"/>
              </w:rPr>
            </w:pPr>
            <w:r>
              <w:rPr>
                <w:rFonts w:hint="eastAsia" w:ascii="宋体" w:hAnsi="宋体" w:cs="仿宋"/>
                <w:kern w:val="2"/>
                <w:sz w:val="24"/>
                <w:szCs w:val="24"/>
                <w:highlight w:val="none"/>
              </w:rPr>
              <w:t>依法缴纳税收和社会保障资金</w:t>
            </w:r>
          </w:p>
        </w:tc>
        <w:tc>
          <w:tcPr>
            <w:tcW w:w="3258" w:type="dxa"/>
            <w:gridSpan w:val="2"/>
            <w:tcBorders>
              <w:top w:val="single" w:color="auto" w:sz="4" w:space="0"/>
              <w:left w:val="nil"/>
              <w:bottom w:val="single" w:color="auto" w:sz="4" w:space="0"/>
              <w:right w:val="nil"/>
            </w:tcBorders>
            <w:vAlign w:val="center"/>
          </w:tcPr>
          <w:p w14:paraId="3C04B719">
            <w:pPr>
              <w:pageBreakBefore w:val="0"/>
              <w:widowControl w:val="0"/>
              <w:wordWrap/>
              <w:overflowPunct/>
              <w:bidi w:val="0"/>
              <w:spacing w:line="360" w:lineRule="auto"/>
              <w:ind w:left="-12" w:leftChars="-42" w:hanging="76" w:hangingChars="32"/>
              <w:textAlignment w:val="auto"/>
              <w:rPr>
                <w:rFonts w:ascii="宋体" w:hAnsi="宋体" w:cs="仿宋"/>
                <w:kern w:val="2"/>
                <w:sz w:val="24"/>
                <w:szCs w:val="24"/>
                <w:highlight w:val="none"/>
              </w:rPr>
            </w:pPr>
            <w:r>
              <w:rPr>
                <w:rFonts w:hint="eastAsia" w:ascii="宋体" w:hAnsi="宋体" w:cs="仿宋"/>
                <w:kern w:val="2"/>
                <w:sz w:val="24"/>
                <w:szCs w:val="24"/>
                <w:highlight w:val="none"/>
              </w:rPr>
              <w:t>（依法缴纳税收则标明：√未缴纳则标明：×）(无需缴纳的需作说明。）</w:t>
            </w:r>
          </w:p>
        </w:tc>
        <w:tc>
          <w:tcPr>
            <w:tcW w:w="1698" w:type="dxa"/>
            <w:tcBorders>
              <w:top w:val="single" w:color="auto" w:sz="4" w:space="0"/>
              <w:left w:val="single" w:color="auto" w:sz="4" w:space="0"/>
              <w:bottom w:val="single" w:color="auto" w:sz="4" w:space="0"/>
              <w:right w:val="nil"/>
            </w:tcBorders>
            <w:vAlign w:val="center"/>
          </w:tcPr>
          <w:p w14:paraId="1BF0FECB">
            <w:pPr>
              <w:pageBreakBefore w:val="0"/>
              <w:widowControl w:val="0"/>
              <w:wordWrap/>
              <w:overflowPunct/>
              <w:bidi w:val="0"/>
              <w:spacing w:line="360" w:lineRule="auto"/>
              <w:ind w:firstLine="165" w:firstLineChars="69"/>
              <w:textAlignment w:val="auto"/>
              <w:rPr>
                <w:rFonts w:ascii="宋体" w:hAnsi="宋体" w:cs="仿宋"/>
                <w:kern w:val="2"/>
                <w:sz w:val="24"/>
                <w:szCs w:val="24"/>
                <w:highlight w:val="none"/>
              </w:rPr>
            </w:pPr>
            <w:r>
              <w:rPr>
                <w:rFonts w:hint="eastAsia" w:ascii="宋体" w:hAnsi="宋体" w:cs="仿宋"/>
                <w:kern w:val="2"/>
                <w:sz w:val="24"/>
                <w:szCs w:val="24"/>
                <w:highlight w:val="none"/>
              </w:rPr>
              <w:t>近三年经营活动情况</w:t>
            </w:r>
          </w:p>
        </w:tc>
        <w:tc>
          <w:tcPr>
            <w:tcW w:w="2262" w:type="dxa"/>
            <w:tcBorders>
              <w:top w:val="single" w:color="auto" w:sz="4" w:space="0"/>
              <w:left w:val="single" w:color="auto" w:sz="4" w:space="0"/>
              <w:bottom w:val="single" w:color="auto" w:sz="4" w:space="0"/>
              <w:right w:val="single" w:color="auto" w:sz="8" w:space="0"/>
            </w:tcBorders>
            <w:vAlign w:val="center"/>
          </w:tcPr>
          <w:p w14:paraId="076B7AE1">
            <w:pPr>
              <w:pageBreakBefore w:val="0"/>
              <w:widowControl w:val="0"/>
              <w:wordWrap/>
              <w:overflowPunct/>
              <w:bidi w:val="0"/>
              <w:spacing w:line="360" w:lineRule="auto"/>
              <w:ind w:left="-12" w:leftChars="-40" w:hanging="72" w:hangingChars="30"/>
              <w:textAlignment w:val="auto"/>
              <w:rPr>
                <w:rFonts w:ascii="宋体" w:hAnsi="宋体" w:cs="仿宋"/>
                <w:kern w:val="2"/>
                <w:sz w:val="24"/>
                <w:szCs w:val="24"/>
                <w:highlight w:val="none"/>
              </w:rPr>
            </w:pPr>
            <w:r>
              <w:rPr>
                <w:rFonts w:hint="eastAsia" w:ascii="宋体" w:hAnsi="宋体" w:cs="仿宋"/>
                <w:kern w:val="2"/>
                <w:sz w:val="24"/>
                <w:szCs w:val="24"/>
                <w:highlight w:val="none"/>
              </w:rPr>
              <w:t>（无重大违法记录则标明：√有违法记录则标明：×）</w:t>
            </w:r>
          </w:p>
        </w:tc>
      </w:tr>
    </w:tbl>
    <w:p w14:paraId="12E6A608">
      <w:pPr>
        <w:pageBreakBefore w:val="0"/>
        <w:widowControl w:val="0"/>
        <w:wordWrap/>
        <w:overflowPunct/>
        <w:bidi w:val="0"/>
        <w:spacing w:before="120" w:beforeLines="50" w:line="360" w:lineRule="auto"/>
        <w:ind w:firstLine="518" w:firstLineChars="216"/>
        <w:jc w:val="left"/>
        <w:textAlignment w:val="auto"/>
        <w:rPr>
          <w:rFonts w:ascii="宋体" w:hAnsi="宋体" w:cs="仿宋"/>
          <w:kern w:val="2"/>
          <w:sz w:val="24"/>
          <w:szCs w:val="24"/>
          <w:highlight w:val="none"/>
        </w:rPr>
      </w:pPr>
      <w:r>
        <w:rPr>
          <w:rFonts w:hint="eastAsia" w:ascii="宋体" w:hAnsi="宋体" w:cs="仿宋"/>
          <w:kern w:val="2"/>
          <w:sz w:val="24"/>
          <w:szCs w:val="24"/>
          <w:highlight w:val="none"/>
        </w:rPr>
        <w:t>法定代表人（法人电子签章）：</w:t>
      </w:r>
    </w:p>
    <w:p w14:paraId="357C4850">
      <w:pPr>
        <w:pageBreakBefore w:val="0"/>
        <w:widowControl w:val="0"/>
        <w:wordWrap/>
        <w:overflowPunct/>
        <w:bidi w:val="0"/>
        <w:spacing w:before="120" w:beforeLines="50" w:line="360" w:lineRule="auto"/>
        <w:ind w:firstLine="518" w:firstLineChars="216"/>
        <w:jc w:val="left"/>
        <w:textAlignment w:val="auto"/>
        <w:rPr>
          <w:rFonts w:ascii="宋体" w:hAnsi="宋体" w:cs="仿宋"/>
          <w:kern w:val="2"/>
          <w:sz w:val="24"/>
          <w:szCs w:val="24"/>
          <w:highlight w:val="none"/>
        </w:rPr>
      </w:pP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w:t>
      </w:r>
      <w:r>
        <w:rPr>
          <w:rFonts w:hint="eastAsia" w:ascii="宋体" w:hAnsi="宋体" w:cs="仿宋"/>
          <w:kern w:val="2"/>
          <w:sz w:val="24"/>
          <w:szCs w:val="24"/>
          <w:highlight w:val="none"/>
          <w:lang w:eastAsia="zh-CN"/>
        </w:rPr>
        <w:t>单位电子公章</w:t>
      </w:r>
      <w:r>
        <w:rPr>
          <w:rFonts w:hint="eastAsia" w:ascii="宋体" w:hAnsi="宋体" w:cs="仿宋"/>
          <w:kern w:val="2"/>
          <w:sz w:val="24"/>
          <w:szCs w:val="24"/>
          <w:highlight w:val="none"/>
        </w:rPr>
        <w:t>）：</w:t>
      </w:r>
    </w:p>
    <w:p w14:paraId="7BEF02DF">
      <w:pPr>
        <w:pageBreakBefore w:val="0"/>
        <w:widowControl w:val="0"/>
        <w:wordWrap/>
        <w:overflowPunct/>
        <w:bidi w:val="0"/>
        <w:spacing w:before="240" w:beforeLines="100"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注：</w:t>
      </w:r>
    </w:p>
    <w:p w14:paraId="1B4E0EBD">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1.须附</w:t>
      </w: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有效的营业执照、开户许可证等文件；</w:t>
      </w:r>
    </w:p>
    <w:p w14:paraId="1C982787">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2.根据评标办法认为需要提供的其他证明文件。</w:t>
      </w:r>
    </w:p>
    <w:p w14:paraId="143128BB">
      <w:pPr>
        <w:pageBreakBefore w:val="0"/>
        <w:widowControl w:val="0"/>
        <w:wordWrap/>
        <w:overflowPunct/>
        <w:bidi w:val="0"/>
        <w:spacing w:line="360" w:lineRule="auto"/>
        <w:textAlignment w:val="auto"/>
        <w:rPr>
          <w:rFonts w:ascii="宋体" w:hAnsi="宋体" w:cs="仿宋"/>
          <w:kern w:val="2"/>
          <w:sz w:val="24"/>
          <w:szCs w:val="24"/>
          <w:highlight w:val="none"/>
        </w:rPr>
      </w:pPr>
      <w:r>
        <w:rPr>
          <w:rFonts w:hint="eastAsia" w:ascii="宋体" w:hAnsi="宋体" w:cs="仿宋"/>
          <w:kern w:val="2"/>
          <w:sz w:val="24"/>
          <w:szCs w:val="24"/>
          <w:highlight w:val="none"/>
        </w:rPr>
        <w:br w:type="page"/>
      </w:r>
    </w:p>
    <w:p w14:paraId="3CF45ABC">
      <w:pPr>
        <w:keepNext/>
        <w:keepLines/>
        <w:pageBreakBefore w:val="0"/>
        <w:widowControl w:val="0"/>
        <w:wordWrap/>
        <w:overflowPunct/>
        <w:bidi w:val="0"/>
        <w:spacing w:line="360" w:lineRule="auto"/>
        <w:ind w:left="210" w:leftChars="100" w:right="210" w:rightChars="100" w:firstLine="241" w:firstLineChars="100"/>
        <w:jc w:val="center"/>
        <w:textAlignment w:val="auto"/>
        <w:outlineLvl w:val="2"/>
        <w:rPr>
          <w:rFonts w:ascii="宋体" w:hAnsi="宋体" w:cs="仿宋"/>
          <w:b/>
          <w:bCs/>
          <w:kern w:val="2"/>
          <w:sz w:val="24"/>
          <w:szCs w:val="24"/>
          <w:highlight w:val="none"/>
        </w:rPr>
      </w:pPr>
      <w:bookmarkStart w:id="213" w:name="_Toc24327"/>
      <w:r>
        <w:rPr>
          <w:rFonts w:ascii="宋体" w:hAnsi="宋体" w:cs="仿宋"/>
          <w:b/>
          <w:bCs/>
          <w:kern w:val="2"/>
          <w:sz w:val="24"/>
          <w:szCs w:val="24"/>
          <w:highlight w:val="none"/>
        </w:rPr>
        <w:t>7</w:t>
      </w:r>
      <w:r>
        <w:rPr>
          <w:rFonts w:hint="eastAsia" w:ascii="宋体" w:hAnsi="宋体" w:cs="仿宋"/>
          <w:b/>
          <w:bCs/>
          <w:kern w:val="2"/>
          <w:sz w:val="24"/>
          <w:szCs w:val="24"/>
          <w:highlight w:val="none"/>
        </w:rPr>
        <w:t>-</w:t>
      </w:r>
      <w:r>
        <w:rPr>
          <w:rFonts w:ascii="宋体" w:hAnsi="宋体" w:cs="仿宋"/>
          <w:b/>
          <w:bCs/>
          <w:kern w:val="2"/>
          <w:sz w:val="24"/>
          <w:szCs w:val="24"/>
          <w:highlight w:val="none"/>
        </w:rPr>
        <w:t>2</w:t>
      </w:r>
      <w:r>
        <w:rPr>
          <w:rFonts w:hint="eastAsia" w:ascii="宋体" w:hAnsi="宋体" w:cs="仿宋"/>
          <w:b/>
          <w:bCs/>
          <w:kern w:val="2"/>
          <w:sz w:val="24"/>
          <w:szCs w:val="24"/>
          <w:highlight w:val="none"/>
        </w:rPr>
        <w:t xml:space="preserve"> 无商业贿赂和不正当竞争行为的承诺书</w:t>
      </w:r>
      <w:bookmarkEnd w:id="213"/>
    </w:p>
    <w:p w14:paraId="0549BF1C">
      <w:pPr>
        <w:pageBreakBefore w:val="0"/>
        <w:widowControl w:val="0"/>
        <w:wordWrap/>
        <w:overflowPunct/>
        <w:bidi w:val="0"/>
        <w:spacing w:line="360" w:lineRule="auto"/>
        <w:ind w:right="395" w:rightChars="188"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我公司承诺：</w:t>
      </w:r>
    </w:p>
    <w:p w14:paraId="79353C5B">
      <w:pPr>
        <w:pageBreakBefore w:val="0"/>
        <w:widowControl w:val="0"/>
        <w:wordWrap/>
        <w:overflowPunct/>
        <w:bidi w:val="0"/>
        <w:spacing w:after="120" w:line="360" w:lineRule="auto"/>
        <w:ind w:left="567" w:right="395" w:rightChars="188" w:firstLine="364" w:firstLineChars="152"/>
        <w:textAlignment w:val="auto"/>
        <w:rPr>
          <w:rFonts w:ascii="宋体" w:hAnsi="宋体" w:cs="仿宋"/>
          <w:kern w:val="2"/>
          <w:sz w:val="24"/>
          <w:szCs w:val="24"/>
          <w:highlight w:val="none"/>
        </w:rPr>
      </w:pPr>
      <w:r>
        <w:rPr>
          <w:rFonts w:hint="eastAsia" w:ascii="宋体" w:hAnsi="宋体" w:cs="仿宋"/>
          <w:kern w:val="2"/>
          <w:sz w:val="24"/>
          <w:szCs w:val="24"/>
          <w:highlight w:val="none"/>
        </w:rPr>
        <w:t>一、我公司近年来从无任何商业贿赂和不正当竞争行为。</w:t>
      </w:r>
    </w:p>
    <w:p w14:paraId="0A596F31">
      <w:pPr>
        <w:pageBreakBefore w:val="0"/>
        <w:widowControl w:val="0"/>
        <w:wordWrap/>
        <w:overflowPunct/>
        <w:bidi w:val="0"/>
        <w:spacing w:after="120" w:line="360" w:lineRule="auto"/>
        <w:ind w:left="567" w:right="395" w:rightChars="188" w:firstLine="364" w:firstLineChars="152"/>
        <w:textAlignment w:val="auto"/>
        <w:rPr>
          <w:rFonts w:ascii="宋体" w:hAnsi="宋体" w:cs="仿宋"/>
          <w:kern w:val="2"/>
          <w:sz w:val="24"/>
          <w:szCs w:val="24"/>
          <w:highlight w:val="none"/>
        </w:rPr>
      </w:pPr>
      <w:r>
        <w:rPr>
          <w:rFonts w:hint="eastAsia" w:ascii="宋体" w:hAnsi="宋体" w:cs="仿宋"/>
          <w:kern w:val="2"/>
          <w:sz w:val="24"/>
          <w:szCs w:val="24"/>
          <w:highlight w:val="none"/>
        </w:rPr>
        <w:t>二、公平竞争参加本次采购活动。</w:t>
      </w:r>
    </w:p>
    <w:p w14:paraId="240B4F4B">
      <w:pPr>
        <w:pageBreakBefore w:val="0"/>
        <w:widowControl w:val="0"/>
        <w:wordWrap/>
        <w:overflowPunct/>
        <w:bidi w:val="0"/>
        <w:spacing w:after="120" w:line="360" w:lineRule="auto"/>
        <w:ind w:left="567" w:right="395" w:rightChars="188" w:firstLine="364" w:firstLineChars="152"/>
        <w:textAlignment w:val="auto"/>
        <w:rPr>
          <w:rFonts w:ascii="宋体" w:hAnsi="宋体" w:cs="仿宋"/>
          <w:kern w:val="2"/>
          <w:sz w:val="24"/>
          <w:szCs w:val="24"/>
          <w:highlight w:val="none"/>
        </w:rPr>
      </w:pPr>
      <w:r>
        <w:rPr>
          <w:rFonts w:hint="eastAsia" w:ascii="宋体" w:hAnsi="宋体" w:cs="仿宋"/>
          <w:kern w:val="2"/>
          <w:sz w:val="24"/>
          <w:szCs w:val="24"/>
          <w:highlight w:val="none"/>
        </w:rPr>
        <w:t>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0EDB554">
      <w:pPr>
        <w:pageBreakBefore w:val="0"/>
        <w:widowControl w:val="0"/>
        <w:wordWrap/>
        <w:overflowPunct/>
        <w:bidi w:val="0"/>
        <w:spacing w:after="120" w:line="360" w:lineRule="auto"/>
        <w:ind w:left="567" w:right="395" w:rightChars="188" w:firstLine="364" w:firstLineChars="152"/>
        <w:textAlignment w:val="auto"/>
        <w:rPr>
          <w:rFonts w:ascii="宋体" w:hAnsi="宋体" w:cs="仿宋"/>
          <w:kern w:val="2"/>
          <w:sz w:val="24"/>
          <w:szCs w:val="24"/>
          <w:highlight w:val="none"/>
        </w:rPr>
      </w:pPr>
      <w:r>
        <w:rPr>
          <w:rFonts w:hint="eastAsia" w:ascii="宋体" w:hAnsi="宋体" w:cs="仿宋"/>
          <w:kern w:val="2"/>
          <w:sz w:val="24"/>
          <w:szCs w:val="24"/>
          <w:highlight w:val="none"/>
        </w:rPr>
        <w:t>四、坚持投标独立性，保证不以任何手段了解或意图了解其他投标参与人情况及其报价信息。除公开渠道获取相关信息外，保证不以其它方式刺探或意图刺探贵单位评标、议标信息及其进展。</w:t>
      </w:r>
    </w:p>
    <w:p w14:paraId="1A52437D">
      <w:pPr>
        <w:pageBreakBefore w:val="0"/>
        <w:widowControl w:val="0"/>
        <w:wordWrap/>
        <w:overflowPunct/>
        <w:bidi w:val="0"/>
        <w:spacing w:after="120" w:line="360" w:lineRule="auto"/>
        <w:ind w:left="567" w:right="395" w:rightChars="188" w:firstLine="364" w:firstLineChars="152"/>
        <w:textAlignment w:val="auto"/>
        <w:rPr>
          <w:rFonts w:ascii="宋体" w:hAnsi="宋体" w:cs="仿宋"/>
          <w:kern w:val="2"/>
          <w:sz w:val="24"/>
          <w:szCs w:val="24"/>
          <w:highlight w:val="none"/>
        </w:rPr>
      </w:pPr>
      <w:r>
        <w:rPr>
          <w:rFonts w:hint="eastAsia" w:ascii="宋体" w:hAnsi="宋体" w:cs="仿宋"/>
          <w:kern w:val="2"/>
          <w:sz w:val="24"/>
          <w:szCs w:val="24"/>
          <w:highlight w:val="none"/>
        </w:rPr>
        <w:t>五、若出现上述行为、与投标的工作人员愿意接受按照国家法律法规等有关规定给予的处罚。</w:t>
      </w:r>
    </w:p>
    <w:p w14:paraId="60F3E26F">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特此承诺。</w:t>
      </w:r>
    </w:p>
    <w:p w14:paraId="074295DE">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207C1B73">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5435CE49">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p>
    <w:p w14:paraId="2F37B99C">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宋体"/>
          <w:kern w:val="2"/>
          <w:sz w:val="24"/>
          <w:szCs w:val="24"/>
          <w:highlight w:val="none"/>
        </w:rPr>
        <w:t> </w:t>
      </w:r>
    </w:p>
    <w:p w14:paraId="07D86F84">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lang w:eastAsia="zh-CN"/>
        </w:rPr>
        <w:t>供应商</w:t>
      </w:r>
      <w:r>
        <w:rPr>
          <w:rFonts w:hint="eastAsia" w:ascii="宋体" w:hAnsi="宋体" w:cs="仿宋"/>
          <w:kern w:val="2"/>
          <w:sz w:val="24"/>
          <w:szCs w:val="24"/>
          <w:highlight w:val="none"/>
        </w:rPr>
        <w:t>名称：</w:t>
      </w:r>
      <w:r>
        <w:rPr>
          <w:rFonts w:hint="eastAsia" w:ascii="宋体" w:hAnsi="宋体" w:cs="宋体"/>
          <w:kern w:val="2"/>
          <w:sz w:val="24"/>
          <w:szCs w:val="24"/>
          <w:highlight w:val="none"/>
        </w:rPr>
        <w:t> </w:t>
      </w:r>
      <w:r>
        <w:rPr>
          <w:rFonts w:hint="eastAsia" w:ascii="宋体" w:hAnsi="宋体" w:cs="仿宋"/>
          <w:kern w:val="2"/>
          <w:sz w:val="24"/>
          <w:szCs w:val="24"/>
          <w:highlight w:val="none"/>
        </w:rPr>
        <w:t>（</w:t>
      </w:r>
      <w:bookmarkStart w:id="214" w:name="OLE_LINK2"/>
      <w:r>
        <w:rPr>
          <w:rFonts w:hint="eastAsia" w:ascii="宋体" w:hAnsi="宋体" w:cs="仿宋"/>
          <w:kern w:val="2"/>
          <w:sz w:val="24"/>
          <w:szCs w:val="24"/>
          <w:highlight w:val="none"/>
          <w:lang w:eastAsia="zh-CN"/>
        </w:rPr>
        <w:t>单位电子公章</w:t>
      </w:r>
      <w:bookmarkEnd w:id="214"/>
      <w:r>
        <w:rPr>
          <w:rFonts w:hint="eastAsia" w:ascii="宋体" w:hAnsi="宋体" w:cs="仿宋"/>
          <w:kern w:val="2"/>
          <w:sz w:val="24"/>
          <w:szCs w:val="24"/>
          <w:highlight w:val="none"/>
        </w:rPr>
        <w:t>）</w:t>
      </w:r>
    </w:p>
    <w:p w14:paraId="153AC644">
      <w:pPr>
        <w:pageBreakBefore w:val="0"/>
        <w:widowControl w:val="0"/>
        <w:wordWrap/>
        <w:overflowPunct/>
        <w:bidi w:val="0"/>
        <w:spacing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法定代表人或授权代表：（法人电子签章）</w:t>
      </w:r>
    </w:p>
    <w:p w14:paraId="0AD4D1BC">
      <w:pPr>
        <w:pageBreakBefore w:val="0"/>
        <w:widowControl w:val="0"/>
        <w:wordWrap/>
        <w:overflowPunct/>
        <w:bidi w:val="0"/>
        <w:snapToGrid w:val="0"/>
        <w:spacing w:line="360" w:lineRule="auto"/>
        <w:ind w:left="420" w:leftChars="200"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t>日期：</w:t>
      </w:r>
      <w:r>
        <w:rPr>
          <w:rFonts w:hint="eastAsia" w:ascii="宋体" w:hAnsi="宋体" w:cs="宋体"/>
          <w:kern w:val="2"/>
          <w:sz w:val="24"/>
          <w:szCs w:val="24"/>
          <w:highlight w:val="none"/>
        </w:rPr>
        <w:t>              </w:t>
      </w:r>
    </w:p>
    <w:p w14:paraId="217EC129">
      <w:pPr>
        <w:pageBreakBefore w:val="0"/>
        <w:widowControl w:val="0"/>
        <w:wordWrap/>
        <w:overflowPunct/>
        <w:bidi w:val="0"/>
        <w:snapToGrid w:val="0"/>
        <w:spacing w:line="360" w:lineRule="auto"/>
        <w:ind w:left="420" w:leftChars="200" w:firstLine="518" w:firstLineChars="216"/>
        <w:textAlignment w:val="auto"/>
        <w:rPr>
          <w:rFonts w:ascii="宋体" w:hAnsi="宋体" w:cs="仿宋"/>
          <w:kern w:val="2"/>
          <w:sz w:val="24"/>
          <w:szCs w:val="24"/>
          <w:highlight w:val="none"/>
        </w:rPr>
      </w:pPr>
    </w:p>
    <w:p w14:paraId="16C50DA6">
      <w:pPr>
        <w:pageBreakBefore w:val="0"/>
        <w:widowControl w:val="0"/>
        <w:wordWrap/>
        <w:overflowPunct/>
        <w:bidi w:val="0"/>
        <w:snapToGrid w:val="0"/>
        <w:spacing w:line="360" w:lineRule="auto"/>
        <w:ind w:left="420" w:leftChars="200" w:firstLine="518" w:firstLineChars="216"/>
        <w:textAlignment w:val="auto"/>
        <w:rPr>
          <w:rFonts w:ascii="宋体" w:hAnsi="宋体" w:cs="仿宋"/>
          <w:kern w:val="2"/>
          <w:sz w:val="24"/>
          <w:szCs w:val="24"/>
          <w:highlight w:val="none"/>
        </w:rPr>
      </w:pPr>
    </w:p>
    <w:p w14:paraId="20A96549">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1D9F5C0A">
      <w:pPr>
        <w:pageBreakBefore w:val="0"/>
        <w:wordWrap/>
        <w:overflowPunct/>
        <w:bidi w:val="0"/>
        <w:spacing w:line="360" w:lineRule="auto"/>
        <w:ind w:firstLine="520" w:firstLineChars="216"/>
        <w:jc w:val="left"/>
        <w:textAlignment w:val="auto"/>
        <w:rPr>
          <w:rFonts w:ascii="宋体" w:hAnsi="宋体" w:cs="仿宋"/>
          <w:b/>
          <w:bCs/>
          <w:kern w:val="2"/>
          <w:sz w:val="24"/>
          <w:szCs w:val="24"/>
          <w:highlight w:val="none"/>
        </w:rPr>
      </w:pPr>
    </w:p>
    <w:p w14:paraId="285BFFCA">
      <w:pPr>
        <w:rPr>
          <w:rFonts w:ascii="宋体" w:hAnsi="宋体" w:cs="仿宋"/>
          <w:b/>
          <w:bCs/>
          <w:kern w:val="2"/>
          <w:sz w:val="24"/>
          <w:szCs w:val="24"/>
          <w:highlight w:val="none"/>
        </w:rPr>
      </w:pPr>
      <w:bookmarkStart w:id="215" w:name="_Toc5659"/>
      <w:r>
        <w:rPr>
          <w:rFonts w:ascii="宋体" w:hAnsi="宋体" w:cs="仿宋"/>
          <w:b/>
          <w:bCs/>
          <w:kern w:val="2"/>
          <w:sz w:val="24"/>
          <w:szCs w:val="24"/>
          <w:highlight w:val="none"/>
        </w:rPr>
        <w:br w:type="page"/>
      </w:r>
    </w:p>
    <w:p w14:paraId="059AC028">
      <w:pPr>
        <w:keepNext/>
        <w:keepLines/>
        <w:pageBreakBefore w:val="0"/>
        <w:widowControl w:val="0"/>
        <w:wordWrap/>
        <w:overflowPunct/>
        <w:bidi w:val="0"/>
        <w:spacing w:line="360" w:lineRule="auto"/>
        <w:ind w:left="210" w:leftChars="100" w:right="210" w:rightChars="100" w:firstLine="241" w:firstLineChars="100"/>
        <w:jc w:val="center"/>
        <w:textAlignment w:val="auto"/>
        <w:outlineLvl w:val="2"/>
        <w:rPr>
          <w:rFonts w:ascii="宋体" w:hAnsi="宋体" w:cs="仿宋"/>
          <w:b/>
          <w:bCs/>
          <w:kern w:val="2"/>
          <w:sz w:val="24"/>
          <w:szCs w:val="24"/>
          <w:highlight w:val="none"/>
        </w:rPr>
      </w:pPr>
      <w:r>
        <w:rPr>
          <w:rFonts w:ascii="宋体" w:hAnsi="宋体" w:cs="仿宋"/>
          <w:b/>
          <w:bCs/>
          <w:kern w:val="2"/>
          <w:sz w:val="24"/>
          <w:szCs w:val="24"/>
          <w:highlight w:val="none"/>
        </w:rPr>
        <w:t>7</w:t>
      </w:r>
      <w:r>
        <w:rPr>
          <w:rFonts w:hint="eastAsia" w:ascii="宋体" w:hAnsi="宋体" w:cs="仿宋"/>
          <w:b/>
          <w:bCs/>
          <w:kern w:val="2"/>
          <w:sz w:val="24"/>
          <w:szCs w:val="24"/>
          <w:highlight w:val="none"/>
        </w:rPr>
        <w:t>-</w:t>
      </w:r>
      <w:r>
        <w:rPr>
          <w:rFonts w:ascii="宋体" w:hAnsi="宋体" w:cs="仿宋"/>
          <w:b/>
          <w:bCs/>
          <w:kern w:val="2"/>
          <w:sz w:val="24"/>
          <w:szCs w:val="24"/>
          <w:highlight w:val="none"/>
        </w:rPr>
        <w:t>3</w:t>
      </w:r>
      <w:r>
        <w:rPr>
          <w:rFonts w:hint="eastAsia" w:ascii="宋体" w:hAnsi="宋体" w:cs="仿宋"/>
          <w:b/>
          <w:bCs/>
          <w:kern w:val="2"/>
          <w:sz w:val="24"/>
          <w:szCs w:val="24"/>
          <w:highlight w:val="none"/>
        </w:rPr>
        <w:t xml:space="preserve"> 信用信息查询证明</w:t>
      </w:r>
      <w:bookmarkEnd w:id="215"/>
    </w:p>
    <w:p w14:paraId="1CE38FA5">
      <w:pPr>
        <w:pageBreakBefore w:val="0"/>
        <w:wordWrap/>
        <w:overflowPunct/>
        <w:bidi w:val="0"/>
        <w:spacing w:line="360" w:lineRule="auto"/>
        <w:ind w:firstLine="518" w:firstLineChars="216"/>
        <w:jc w:val="center"/>
        <w:textAlignment w:val="auto"/>
        <w:rPr>
          <w:rFonts w:ascii="宋体" w:hAnsi="宋体" w:cs="仿宋"/>
          <w:b w:val="0"/>
          <w:bCs w:val="0"/>
          <w:kern w:val="2"/>
          <w:sz w:val="24"/>
          <w:szCs w:val="24"/>
          <w:highlight w:val="none"/>
        </w:rPr>
      </w:pPr>
      <w:r>
        <w:rPr>
          <w:rFonts w:hint="eastAsia" w:ascii="宋体" w:hAnsi="宋体" w:cs="仿宋"/>
          <w:b w:val="0"/>
          <w:bCs w:val="0"/>
          <w:kern w:val="2"/>
          <w:sz w:val="24"/>
          <w:szCs w:val="24"/>
          <w:highlight w:val="none"/>
        </w:rPr>
        <w:t>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610A6091">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66277A48">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138B13AB">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597E5618">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5EB9C1CA">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174C51E1">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65EDE300">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722A7507">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61D87B50">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48FF89F3">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0E5BF99C">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79839056">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47453C10">
      <w:pPr>
        <w:pageBreakBefore w:val="0"/>
        <w:wordWrap/>
        <w:overflowPunct/>
        <w:bidi w:val="0"/>
        <w:spacing w:line="360" w:lineRule="auto"/>
        <w:ind w:firstLine="520" w:firstLineChars="216"/>
        <w:textAlignment w:val="auto"/>
        <w:rPr>
          <w:rFonts w:ascii="宋体" w:hAnsi="宋体" w:cs="仿宋"/>
          <w:b/>
          <w:bCs/>
          <w:kern w:val="2"/>
          <w:sz w:val="24"/>
          <w:szCs w:val="24"/>
          <w:highlight w:val="none"/>
        </w:rPr>
      </w:pPr>
    </w:p>
    <w:p w14:paraId="461DFF5D">
      <w:pPr>
        <w:pageBreakBefore w:val="0"/>
        <w:widowControl w:val="0"/>
        <w:wordWrap/>
        <w:overflowPunct/>
        <w:bidi w:val="0"/>
        <w:spacing w:after="120" w:line="360" w:lineRule="auto"/>
        <w:ind w:firstLine="518" w:firstLineChars="216"/>
        <w:textAlignment w:val="auto"/>
        <w:rPr>
          <w:rFonts w:ascii="宋体" w:hAnsi="宋体" w:cs="仿宋"/>
          <w:kern w:val="2"/>
          <w:sz w:val="24"/>
          <w:szCs w:val="24"/>
          <w:highlight w:val="none"/>
        </w:rPr>
      </w:pPr>
      <w:r>
        <w:rPr>
          <w:rFonts w:hint="eastAsia" w:ascii="宋体" w:hAnsi="宋体" w:cs="仿宋"/>
          <w:kern w:val="2"/>
          <w:sz w:val="24"/>
          <w:szCs w:val="24"/>
          <w:highlight w:val="none"/>
        </w:rPr>
        <w:br w:type="page"/>
      </w:r>
    </w:p>
    <w:p w14:paraId="07DA6C8E">
      <w:pPr>
        <w:keepNext/>
        <w:keepLines/>
        <w:pageBreakBefore w:val="0"/>
        <w:widowControl w:val="0"/>
        <w:wordWrap/>
        <w:overflowPunct/>
        <w:bidi w:val="0"/>
        <w:spacing w:line="360" w:lineRule="auto"/>
        <w:ind w:left="210" w:leftChars="100" w:right="210" w:rightChars="100" w:firstLine="241" w:firstLineChars="100"/>
        <w:jc w:val="center"/>
        <w:textAlignment w:val="auto"/>
        <w:outlineLvl w:val="2"/>
        <w:rPr>
          <w:rFonts w:ascii="宋体" w:hAnsi="宋体" w:cs="仿宋"/>
          <w:b/>
          <w:bCs/>
          <w:kern w:val="2"/>
          <w:sz w:val="24"/>
          <w:szCs w:val="24"/>
          <w:highlight w:val="none"/>
        </w:rPr>
      </w:pPr>
      <w:bookmarkStart w:id="216" w:name="_Toc19431"/>
      <w:r>
        <w:rPr>
          <w:rFonts w:ascii="宋体" w:hAnsi="宋体" w:cs="仿宋"/>
          <w:b/>
          <w:bCs/>
          <w:kern w:val="2"/>
          <w:sz w:val="24"/>
          <w:szCs w:val="24"/>
          <w:highlight w:val="none"/>
        </w:rPr>
        <w:t>7</w:t>
      </w:r>
      <w:r>
        <w:rPr>
          <w:rFonts w:hint="eastAsia" w:ascii="宋体" w:hAnsi="宋体" w:cs="仿宋"/>
          <w:b/>
          <w:bCs/>
          <w:kern w:val="2"/>
          <w:sz w:val="24"/>
          <w:szCs w:val="24"/>
          <w:highlight w:val="none"/>
        </w:rPr>
        <w:t>-</w:t>
      </w:r>
      <w:r>
        <w:rPr>
          <w:rFonts w:ascii="宋体" w:hAnsi="宋体" w:cs="仿宋"/>
          <w:b/>
          <w:bCs/>
          <w:kern w:val="2"/>
          <w:sz w:val="24"/>
          <w:szCs w:val="24"/>
          <w:highlight w:val="none"/>
        </w:rPr>
        <w:t>4</w:t>
      </w:r>
      <w:r>
        <w:rPr>
          <w:rFonts w:hint="eastAsia" w:ascii="宋体" w:hAnsi="宋体" w:cs="仿宋"/>
          <w:b/>
          <w:bCs/>
          <w:kern w:val="2"/>
          <w:sz w:val="24"/>
          <w:szCs w:val="24"/>
          <w:highlight w:val="none"/>
        </w:rPr>
        <w:t xml:space="preserve"> 享受政府采购政策的证明材料</w:t>
      </w:r>
      <w:bookmarkEnd w:id="216"/>
    </w:p>
    <w:p w14:paraId="59EFF870">
      <w:pPr>
        <w:pageBreakBefore w:val="0"/>
        <w:kinsoku/>
        <w:wordWrap/>
        <w:overflowPunct/>
        <w:bidi w:val="0"/>
        <w:spacing w:line="440" w:lineRule="exact"/>
        <w:ind w:firstLine="853" w:firstLineChars="354"/>
        <w:jc w:val="center"/>
        <w:rPr>
          <w:rFonts w:ascii="宋体" w:hAnsi="宋体" w:eastAsia="宋体"/>
          <w:b/>
          <w:bCs/>
          <w:color w:val="000000"/>
          <w:sz w:val="24"/>
          <w:szCs w:val="22"/>
          <w:highlight w:val="none"/>
        </w:rPr>
      </w:pPr>
      <w:bookmarkStart w:id="217" w:name="_Toc27301"/>
      <w:r>
        <w:rPr>
          <w:rFonts w:hint="eastAsia" w:ascii="宋体" w:hAnsi="宋体" w:eastAsia="宋体"/>
          <w:b/>
          <w:bCs/>
          <w:color w:val="000000"/>
          <w:sz w:val="24"/>
          <w:szCs w:val="22"/>
          <w:highlight w:val="none"/>
          <w:lang w:val="en-US" w:eastAsia="zh-CN"/>
        </w:rPr>
        <w:t>1、</w:t>
      </w:r>
      <w:r>
        <w:rPr>
          <w:rFonts w:hint="eastAsia" w:ascii="宋体" w:hAnsi="宋体" w:eastAsia="宋体"/>
          <w:b/>
          <w:bCs/>
          <w:color w:val="000000"/>
          <w:sz w:val="24"/>
          <w:szCs w:val="22"/>
          <w:highlight w:val="none"/>
        </w:rPr>
        <w:t>中小企业声明函（货物）</w:t>
      </w:r>
    </w:p>
    <w:p w14:paraId="24624B05">
      <w:pPr>
        <w:pageBreakBefore w:val="0"/>
        <w:kinsoku/>
        <w:wordWrap/>
        <w:overflowPunct/>
        <w:bidi w:val="0"/>
        <w:spacing w:line="440" w:lineRule="exact"/>
        <w:rPr>
          <w:rFonts w:ascii="宋体" w:hAnsi="宋体" w:eastAsia="宋体"/>
          <w:color w:val="000000"/>
          <w:sz w:val="24"/>
          <w:szCs w:val="22"/>
          <w:highlight w:val="none"/>
        </w:rPr>
      </w:pPr>
      <w:r>
        <w:rPr>
          <w:rFonts w:hint="eastAsia" w:ascii="宋体" w:hAnsi="宋体" w:eastAsia="宋体"/>
          <w:color w:val="000000"/>
          <w:sz w:val="24"/>
          <w:szCs w:val="22"/>
          <w:highlight w:val="none"/>
        </w:rPr>
        <w:t>（供应商属于中小企业的填写，不属于的无需填写此项内容）</w:t>
      </w:r>
    </w:p>
    <w:p w14:paraId="0E884EA8">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hint="eastAsia" w:ascii="宋体" w:hAnsi="宋体" w:eastAsia="宋体"/>
          <w:color w:val="000000"/>
          <w:sz w:val="24"/>
          <w:szCs w:val="22"/>
          <w:highlight w:val="none"/>
        </w:rPr>
        <w:t>本公司（联合体）郑重声明，根据《政府采购促进中小企业发展管理办法》（财库</w:t>
      </w:r>
      <w:r>
        <w:rPr>
          <w:rFonts w:hint="eastAsia" w:ascii="宋体" w:hAnsi="宋体" w:eastAsia="宋体" w:cs="宋体"/>
          <w:color w:val="000000"/>
          <w:sz w:val="24"/>
          <w:szCs w:val="22"/>
          <w:highlight w:val="none"/>
        </w:rPr>
        <w:t>﹝</w:t>
      </w:r>
      <w:r>
        <w:rPr>
          <w:rFonts w:ascii="宋体" w:hAnsi="宋体" w:eastAsia="宋体"/>
          <w:color w:val="000000"/>
          <w:sz w:val="24"/>
          <w:szCs w:val="22"/>
          <w:highlight w:val="none"/>
        </w:rPr>
        <w:t>2020</w:t>
      </w:r>
      <w:r>
        <w:rPr>
          <w:rFonts w:hint="eastAsia" w:ascii="宋体" w:hAnsi="宋体" w:eastAsia="宋体" w:cs="宋体"/>
          <w:color w:val="000000"/>
          <w:sz w:val="24"/>
          <w:szCs w:val="22"/>
          <w:highlight w:val="none"/>
        </w:rPr>
        <w:t>﹞</w:t>
      </w:r>
      <w:r>
        <w:rPr>
          <w:rFonts w:ascii="宋体" w:hAnsi="宋体" w:eastAsia="宋体"/>
          <w:color w:val="000000"/>
          <w:sz w:val="24"/>
          <w:szCs w:val="22"/>
          <w:highlight w:val="none"/>
        </w:rPr>
        <w:t xml:space="preserve">46 </w:t>
      </w:r>
      <w:r>
        <w:rPr>
          <w:rFonts w:hint="eastAsia" w:ascii="宋体" w:hAnsi="宋体" w:eastAsia="宋体"/>
          <w:color w:val="000000"/>
          <w:sz w:val="24"/>
          <w:szCs w:val="22"/>
          <w:highlight w:val="none"/>
        </w:rPr>
        <w:t>号）的规定，本公司（联合体）参加</w:t>
      </w:r>
      <w:r>
        <w:rPr>
          <w:rFonts w:ascii="宋体" w:hAnsi="宋体" w:eastAsia="宋体"/>
          <w:color w:val="000000"/>
          <w:sz w:val="24"/>
          <w:szCs w:val="22"/>
          <w:highlight w:val="none"/>
          <w:u w:val="single"/>
        </w:rPr>
        <w:t xml:space="preserve"> （单位名称） </w:t>
      </w:r>
      <w:r>
        <w:rPr>
          <w:rFonts w:hint="eastAsia" w:ascii="宋体" w:hAnsi="宋体" w:eastAsia="宋体"/>
          <w:color w:val="000000"/>
          <w:sz w:val="24"/>
          <w:szCs w:val="22"/>
          <w:highlight w:val="none"/>
        </w:rPr>
        <w:t>的</w:t>
      </w:r>
      <w:r>
        <w:rPr>
          <w:rFonts w:ascii="宋体" w:hAnsi="宋体" w:eastAsia="宋体"/>
          <w:color w:val="000000"/>
          <w:sz w:val="24"/>
          <w:szCs w:val="22"/>
          <w:highlight w:val="none"/>
          <w:u w:val="single"/>
        </w:rPr>
        <w:t xml:space="preserve"> （项目名称） </w:t>
      </w:r>
      <w:r>
        <w:rPr>
          <w:rFonts w:hint="eastAsia" w:ascii="宋体" w:hAnsi="宋体" w:eastAsia="宋体"/>
          <w:color w:val="000000"/>
          <w:sz w:val="24"/>
          <w:szCs w:val="22"/>
          <w:highlight w:val="none"/>
        </w:rPr>
        <w:t>采购活动，提供的货物全部由符合政策要求的中小企业制造。相关企业（含联合体中的中小企业、签订分包意向协议的中小企业）的具体情况如下：</w:t>
      </w:r>
    </w:p>
    <w:p w14:paraId="79118F10">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ascii="宋体" w:hAnsi="宋体" w:eastAsia="宋体"/>
          <w:color w:val="000000"/>
          <w:sz w:val="24"/>
          <w:szCs w:val="22"/>
          <w:highlight w:val="none"/>
        </w:rPr>
        <w:t>1.</w:t>
      </w:r>
      <w:r>
        <w:rPr>
          <w:rFonts w:ascii="宋体" w:hAnsi="宋体" w:eastAsia="宋体"/>
          <w:color w:val="000000"/>
          <w:sz w:val="24"/>
          <w:szCs w:val="22"/>
          <w:highlight w:val="none"/>
          <w:u w:val="single"/>
        </w:rPr>
        <w:t xml:space="preserve"> （标的名称）</w:t>
      </w:r>
      <w:r>
        <w:rPr>
          <w:rFonts w:ascii="宋体" w:hAnsi="宋体" w:eastAsia="宋体"/>
          <w:color w:val="000000"/>
          <w:sz w:val="24"/>
          <w:szCs w:val="22"/>
          <w:highlight w:val="none"/>
        </w:rPr>
        <w:t xml:space="preserve"> ，属于</w:t>
      </w:r>
      <w:r>
        <w:rPr>
          <w:rFonts w:ascii="宋体" w:hAnsi="宋体" w:eastAsia="宋体"/>
          <w:color w:val="000000"/>
          <w:sz w:val="24"/>
          <w:szCs w:val="22"/>
          <w:highlight w:val="none"/>
          <w:u w:val="single"/>
        </w:rPr>
        <w:t xml:space="preserve"> （采购文件中明确的所属行业）</w:t>
      </w:r>
      <w:r>
        <w:rPr>
          <w:rFonts w:hint="eastAsia" w:ascii="宋体" w:hAnsi="宋体" w:eastAsia="宋体"/>
          <w:color w:val="000000"/>
          <w:sz w:val="24"/>
          <w:szCs w:val="22"/>
          <w:highlight w:val="none"/>
        </w:rPr>
        <w:t>行业</w:t>
      </w:r>
      <w:r>
        <w:rPr>
          <w:rFonts w:ascii="宋体" w:hAnsi="宋体" w:eastAsia="宋体"/>
          <w:color w:val="000000"/>
          <w:sz w:val="24"/>
          <w:szCs w:val="22"/>
          <w:highlight w:val="none"/>
        </w:rPr>
        <w:t xml:space="preserve"> </w:t>
      </w:r>
      <w:r>
        <w:rPr>
          <w:rFonts w:hint="eastAsia" w:ascii="宋体" w:hAnsi="宋体" w:eastAsia="宋体"/>
          <w:color w:val="000000"/>
          <w:sz w:val="24"/>
          <w:szCs w:val="22"/>
          <w:highlight w:val="none"/>
        </w:rPr>
        <w:t>；制造商为</w:t>
      </w:r>
      <w:r>
        <w:rPr>
          <w:rFonts w:ascii="宋体" w:hAnsi="宋体" w:eastAsia="宋体"/>
          <w:color w:val="000000"/>
          <w:sz w:val="24"/>
          <w:szCs w:val="22"/>
          <w:highlight w:val="none"/>
          <w:u w:val="single" w:color="auto"/>
        </w:rPr>
        <w:t xml:space="preserve"> </w:t>
      </w:r>
      <w:r>
        <w:rPr>
          <w:rFonts w:hint="eastAsia" w:ascii="宋体" w:hAnsi="宋体" w:eastAsia="宋体"/>
          <w:color w:val="000000"/>
          <w:sz w:val="24"/>
          <w:szCs w:val="22"/>
          <w:highlight w:val="none"/>
          <w:u w:val="single" w:color="auto"/>
        </w:rPr>
        <w:t>（企业名称）</w:t>
      </w:r>
      <w:r>
        <w:rPr>
          <w:rFonts w:hint="eastAsia" w:ascii="宋体" w:hAnsi="宋体" w:eastAsia="宋体"/>
          <w:color w:val="000000"/>
          <w:sz w:val="24"/>
          <w:szCs w:val="22"/>
          <w:highlight w:val="none"/>
        </w:rPr>
        <w:t>，从业人员</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人，营业收入为</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万元，资产总额为</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万元</w:t>
      </w:r>
      <w:r>
        <w:rPr>
          <w:rFonts w:ascii="宋体" w:hAnsi="宋体" w:eastAsia="宋体"/>
          <w:b/>
          <w:color w:val="000000"/>
          <w:sz w:val="24"/>
          <w:szCs w:val="22"/>
          <w:highlight w:val="none"/>
          <w:vertAlign w:val="superscript"/>
        </w:rPr>
        <w:t>1</w:t>
      </w:r>
      <w:r>
        <w:rPr>
          <w:rFonts w:hint="eastAsia" w:ascii="宋体" w:hAnsi="宋体" w:eastAsia="宋体"/>
          <w:color w:val="000000"/>
          <w:sz w:val="24"/>
          <w:szCs w:val="22"/>
          <w:highlight w:val="none"/>
        </w:rPr>
        <w:t>，属于</w:t>
      </w:r>
      <w:r>
        <w:rPr>
          <w:rFonts w:ascii="宋体" w:hAnsi="宋体" w:eastAsia="宋体"/>
          <w:color w:val="000000"/>
          <w:sz w:val="24"/>
          <w:szCs w:val="22"/>
          <w:highlight w:val="none"/>
          <w:u w:val="single"/>
        </w:rPr>
        <w:t xml:space="preserve"> （中型企业、小型企业、微型企业）</w:t>
      </w:r>
      <w:r>
        <w:rPr>
          <w:rFonts w:ascii="宋体" w:hAnsi="宋体" w:eastAsia="宋体"/>
          <w:color w:val="000000"/>
          <w:sz w:val="24"/>
          <w:szCs w:val="22"/>
          <w:highlight w:val="none"/>
        </w:rPr>
        <w:t xml:space="preserve"> ；</w:t>
      </w:r>
    </w:p>
    <w:p w14:paraId="2A3D26BA">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ascii="宋体" w:hAnsi="宋体" w:eastAsia="宋体"/>
          <w:color w:val="000000"/>
          <w:sz w:val="24"/>
          <w:szCs w:val="22"/>
          <w:highlight w:val="none"/>
        </w:rPr>
        <w:t>2.</w:t>
      </w:r>
      <w:r>
        <w:rPr>
          <w:rFonts w:ascii="宋体" w:hAnsi="宋体" w:eastAsia="宋体"/>
          <w:color w:val="000000"/>
          <w:sz w:val="24"/>
          <w:szCs w:val="22"/>
          <w:highlight w:val="none"/>
          <w:u w:val="single"/>
        </w:rPr>
        <w:t xml:space="preserve"> （标的名称） </w:t>
      </w:r>
      <w:r>
        <w:rPr>
          <w:rFonts w:hint="eastAsia" w:ascii="宋体" w:hAnsi="宋体" w:eastAsia="宋体"/>
          <w:color w:val="000000"/>
          <w:sz w:val="24"/>
          <w:szCs w:val="22"/>
          <w:highlight w:val="none"/>
        </w:rPr>
        <w:t>，属于</w:t>
      </w:r>
      <w:r>
        <w:rPr>
          <w:rFonts w:ascii="宋体" w:hAnsi="宋体" w:eastAsia="宋体"/>
          <w:color w:val="000000"/>
          <w:sz w:val="24"/>
          <w:szCs w:val="22"/>
          <w:highlight w:val="none"/>
          <w:u w:val="single"/>
        </w:rPr>
        <w:t xml:space="preserve"> （采购文件中明确的所属行业）</w:t>
      </w:r>
      <w:r>
        <w:rPr>
          <w:rFonts w:hint="eastAsia" w:ascii="宋体" w:hAnsi="宋体" w:eastAsia="宋体"/>
          <w:color w:val="000000"/>
          <w:sz w:val="24"/>
          <w:szCs w:val="22"/>
          <w:highlight w:val="none"/>
        </w:rPr>
        <w:t>行业</w:t>
      </w:r>
      <w:r>
        <w:rPr>
          <w:rFonts w:ascii="宋体" w:hAnsi="宋体" w:eastAsia="宋体"/>
          <w:color w:val="000000"/>
          <w:sz w:val="24"/>
          <w:szCs w:val="22"/>
          <w:highlight w:val="none"/>
        </w:rPr>
        <w:t xml:space="preserve"> </w:t>
      </w:r>
      <w:r>
        <w:rPr>
          <w:rFonts w:hint="eastAsia" w:ascii="宋体" w:hAnsi="宋体" w:eastAsia="宋体"/>
          <w:color w:val="000000"/>
          <w:sz w:val="24"/>
          <w:szCs w:val="22"/>
          <w:highlight w:val="none"/>
        </w:rPr>
        <w:t>；制造商为</w:t>
      </w:r>
      <w:r>
        <w:rPr>
          <w:rFonts w:ascii="宋体" w:hAnsi="宋体" w:eastAsia="宋体"/>
          <w:color w:val="000000"/>
          <w:sz w:val="24"/>
          <w:szCs w:val="22"/>
          <w:highlight w:val="none"/>
          <w:u w:val="single" w:color="auto"/>
        </w:rPr>
        <w:t xml:space="preserve"> </w:t>
      </w:r>
      <w:r>
        <w:rPr>
          <w:rFonts w:hint="eastAsia" w:ascii="宋体" w:hAnsi="宋体" w:eastAsia="宋体"/>
          <w:color w:val="000000"/>
          <w:sz w:val="24"/>
          <w:szCs w:val="22"/>
          <w:highlight w:val="none"/>
          <w:u w:val="single" w:color="auto"/>
        </w:rPr>
        <w:t>（企业名称）</w:t>
      </w:r>
      <w:r>
        <w:rPr>
          <w:rFonts w:ascii="宋体" w:hAnsi="宋体" w:eastAsia="宋体"/>
          <w:color w:val="000000"/>
          <w:sz w:val="24"/>
          <w:szCs w:val="22"/>
          <w:highlight w:val="none"/>
          <w:u w:val="single" w:color="auto"/>
        </w:rPr>
        <w:t xml:space="preserve"> </w:t>
      </w:r>
      <w:r>
        <w:rPr>
          <w:rFonts w:hint="eastAsia" w:ascii="宋体" w:hAnsi="宋体" w:eastAsia="宋体"/>
          <w:color w:val="000000"/>
          <w:sz w:val="24"/>
          <w:szCs w:val="22"/>
          <w:highlight w:val="none"/>
        </w:rPr>
        <w:t>，从业人员</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人，营业收入为</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万元，资产总额为</w:t>
      </w:r>
      <w:r>
        <w:rPr>
          <w:rFonts w:ascii="宋体" w:hAnsi="宋体" w:eastAsia="宋体"/>
          <w:color w:val="000000"/>
          <w:sz w:val="24"/>
          <w:szCs w:val="22"/>
          <w:highlight w:val="none"/>
          <w:u w:val="single"/>
        </w:rPr>
        <w:t xml:space="preserve">     </w:t>
      </w:r>
      <w:r>
        <w:rPr>
          <w:rFonts w:hint="eastAsia" w:ascii="宋体" w:hAnsi="宋体" w:eastAsia="宋体"/>
          <w:color w:val="000000"/>
          <w:sz w:val="24"/>
          <w:szCs w:val="22"/>
          <w:highlight w:val="none"/>
        </w:rPr>
        <w:t>万元，属于</w:t>
      </w:r>
      <w:r>
        <w:rPr>
          <w:rFonts w:ascii="宋体" w:hAnsi="宋体" w:eastAsia="宋体"/>
          <w:color w:val="000000"/>
          <w:sz w:val="24"/>
          <w:szCs w:val="22"/>
          <w:highlight w:val="none"/>
          <w:u w:val="single"/>
        </w:rPr>
        <w:t xml:space="preserve"> （中型企业、小型企业、微型企业） </w:t>
      </w:r>
      <w:r>
        <w:rPr>
          <w:rFonts w:hint="eastAsia" w:ascii="宋体" w:hAnsi="宋体" w:eastAsia="宋体"/>
          <w:color w:val="000000"/>
          <w:sz w:val="24"/>
          <w:szCs w:val="22"/>
          <w:highlight w:val="none"/>
        </w:rPr>
        <w:t>；</w:t>
      </w:r>
    </w:p>
    <w:p w14:paraId="7F562D7A">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hint="eastAsia" w:ascii="宋体" w:hAnsi="宋体" w:eastAsia="宋体"/>
          <w:color w:val="000000"/>
          <w:sz w:val="24"/>
          <w:szCs w:val="22"/>
          <w:highlight w:val="none"/>
        </w:rPr>
        <w:t>……</w:t>
      </w:r>
    </w:p>
    <w:p w14:paraId="69B9A1F8">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hint="eastAsia" w:ascii="宋体" w:hAnsi="宋体" w:eastAsia="宋体"/>
          <w:color w:val="000000"/>
          <w:sz w:val="24"/>
          <w:szCs w:val="22"/>
          <w:highlight w:val="none"/>
        </w:rPr>
        <w:t>以上企业，不属于大企业的分支机构，不存在控股股东为大企业的情形，也不存在与大企业的负责人为同一人的情形。</w:t>
      </w:r>
    </w:p>
    <w:p w14:paraId="6AE36837">
      <w:pPr>
        <w:pageBreakBefore w:val="0"/>
        <w:kinsoku/>
        <w:wordWrap/>
        <w:overflowPunct/>
        <w:bidi w:val="0"/>
        <w:spacing w:line="440" w:lineRule="exact"/>
        <w:ind w:firstLine="849" w:firstLineChars="354"/>
        <w:rPr>
          <w:rFonts w:ascii="宋体" w:hAnsi="宋体" w:eastAsia="宋体"/>
          <w:color w:val="000000"/>
          <w:sz w:val="24"/>
          <w:szCs w:val="22"/>
          <w:highlight w:val="none"/>
        </w:rPr>
      </w:pPr>
      <w:r>
        <w:rPr>
          <w:rFonts w:hint="eastAsia" w:ascii="宋体" w:hAnsi="宋体" w:eastAsia="宋体"/>
          <w:color w:val="000000"/>
          <w:sz w:val="24"/>
          <w:szCs w:val="22"/>
          <w:highlight w:val="none"/>
        </w:rPr>
        <w:t>本企业对上述声明内容的真实性负责。如有虚假，将依法承担相应责任。</w:t>
      </w:r>
    </w:p>
    <w:p w14:paraId="059BB088">
      <w:pPr>
        <w:pageBreakBefore w:val="0"/>
        <w:kinsoku/>
        <w:wordWrap/>
        <w:overflowPunct/>
        <w:bidi w:val="0"/>
        <w:spacing w:line="440" w:lineRule="exact"/>
        <w:ind w:firstLine="5527" w:firstLineChars="2303"/>
        <w:rPr>
          <w:rFonts w:ascii="宋体" w:hAnsi="宋体" w:eastAsia="宋体"/>
          <w:color w:val="000000"/>
          <w:sz w:val="24"/>
          <w:szCs w:val="22"/>
          <w:highlight w:val="none"/>
        </w:rPr>
      </w:pPr>
      <w:r>
        <w:rPr>
          <w:rFonts w:hint="eastAsia" w:ascii="宋体" w:hAnsi="宋体" w:eastAsia="宋体"/>
          <w:color w:val="000000"/>
          <w:sz w:val="24"/>
          <w:szCs w:val="22"/>
          <w:highlight w:val="none"/>
        </w:rPr>
        <w:t>企业名称（</w:t>
      </w:r>
      <w:r>
        <w:rPr>
          <w:rFonts w:hint="eastAsia" w:ascii="宋体" w:hAnsi="宋体" w:cs="仿宋"/>
          <w:kern w:val="2"/>
          <w:sz w:val="24"/>
          <w:szCs w:val="24"/>
          <w:highlight w:val="none"/>
          <w:lang w:eastAsia="zh-CN"/>
        </w:rPr>
        <w:t>单位电子公章</w:t>
      </w:r>
      <w:r>
        <w:rPr>
          <w:rFonts w:hint="eastAsia" w:ascii="宋体" w:hAnsi="宋体" w:eastAsia="宋体"/>
          <w:color w:val="000000"/>
          <w:sz w:val="24"/>
          <w:szCs w:val="22"/>
          <w:highlight w:val="none"/>
        </w:rPr>
        <w:t>）：</w:t>
      </w:r>
    </w:p>
    <w:p w14:paraId="7D954274">
      <w:pPr>
        <w:pageBreakBefore w:val="0"/>
        <w:kinsoku/>
        <w:wordWrap/>
        <w:overflowPunct/>
        <w:bidi w:val="0"/>
        <w:spacing w:line="440" w:lineRule="exact"/>
        <w:ind w:firstLine="5527" w:firstLineChars="2303"/>
        <w:rPr>
          <w:rFonts w:ascii="宋体" w:hAnsi="宋体" w:eastAsia="宋体"/>
          <w:color w:val="000000"/>
          <w:sz w:val="24"/>
          <w:szCs w:val="22"/>
          <w:highlight w:val="none"/>
        </w:rPr>
      </w:pPr>
      <w:r>
        <w:rPr>
          <w:rFonts w:hint="eastAsia" w:ascii="宋体" w:hAnsi="宋体" w:eastAsia="宋体"/>
          <w:color w:val="000000"/>
          <w:sz w:val="24"/>
          <w:szCs w:val="22"/>
          <w:highlight w:val="none"/>
        </w:rPr>
        <w:t>日期：</w:t>
      </w:r>
      <w:r>
        <w:rPr>
          <w:rFonts w:ascii="宋体" w:hAnsi="宋体" w:eastAsia="宋体"/>
          <w:color w:val="000000"/>
          <w:sz w:val="24"/>
          <w:szCs w:val="22"/>
          <w:highlight w:val="none"/>
        </w:rPr>
        <w:t xml:space="preserve">    </w:t>
      </w:r>
      <w:r>
        <w:rPr>
          <w:rFonts w:hint="eastAsia" w:ascii="宋体" w:hAnsi="宋体" w:eastAsia="宋体"/>
          <w:color w:val="000000"/>
          <w:sz w:val="24"/>
          <w:szCs w:val="22"/>
          <w:highlight w:val="none"/>
        </w:rPr>
        <w:t>年</w:t>
      </w:r>
      <w:r>
        <w:rPr>
          <w:rFonts w:ascii="宋体" w:hAnsi="宋体" w:eastAsia="宋体"/>
          <w:color w:val="000000"/>
          <w:sz w:val="24"/>
          <w:szCs w:val="22"/>
          <w:highlight w:val="none"/>
        </w:rPr>
        <w:t xml:space="preserve">   </w:t>
      </w:r>
      <w:r>
        <w:rPr>
          <w:rFonts w:hint="eastAsia" w:ascii="宋体" w:hAnsi="宋体" w:eastAsia="宋体"/>
          <w:color w:val="000000"/>
          <w:sz w:val="24"/>
          <w:szCs w:val="22"/>
          <w:highlight w:val="none"/>
        </w:rPr>
        <w:t>月</w:t>
      </w:r>
      <w:r>
        <w:rPr>
          <w:rFonts w:ascii="宋体" w:hAnsi="宋体" w:eastAsia="宋体"/>
          <w:color w:val="000000"/>
          <w:sz w:val="24"/>
          <w:szCs w:val="22"/>
          <w:highlight w:val="none"/>
        </w:rPr>
        <w:t xml:space="preserve">    </w:t>
      </w:r>
      <w:r>
        <w:rPr>
          <w:rFonts w:hint="eastAsia" w:ascii="宋体" w:hAnsi="宋体" w:eastAsia="宋体"/>
          <w:color w:val="000000"/>
          <w:sz w:val="24"/>
          <w:szCs w:val="22"/>
          <w:highlight w:val="none"/>
        </w:rPr>
        <w:t>日</w:t>
      </w:r>
    </w:p>
    <w:p w14:paraId="26AC9E49">
      <w:pPr>
        <w:pageBreakBefore w:val="0"/>
        <w:kinsoku/>
        <w:wordWrap/>
        <w:overflowPunct/>
        <w:bidi w:val="0"/>
        <w:spacing w:line="440" w:lineRule="exact"/>
        <w:ind w:left="0" w:leftChars="0" w:firstLine="480" w:firstLineChars="200"/>
        <w:rPr>
          <w:rFonts w:ascii="宋体" w:hAnsi="宋体" w:eastAsia="宋体"/>
          <w:color w:val="000000"/>
          <w:sz w:val="24"/>
          <w:szCs w:val="22"/>
          <w:highlight w:val="none"/>
        </w:rPr>
      </w:pPr>
      <w:r>
        <w:rPr>
          <w:rFonts w:hint="eastAsia" w:ascii="宋体" w:hAnsi="宋体" w:eastAsia="宋体"/>
          <w:color w:val="000000"/>
          <w:sz w:val="24"/>
          <w:szCs w:val="22"/>
          <w:highlight w:val="none"/>
          <w:lang w:val="en-US" w:eastAsia="zh-CN"/>
        </w:rPr>
        <w:t>1、</w:t>
      </w:r>
      <w:r>
        <w:rPr>
          <w:rFonts w:hint="eastAsia" w:ascii="宋体" w:hAnsi="宋体" w:eastAsia="宋体"/>
          <w:color w:val="000000"/>
          <w:sz w:val="24"/>
          <w:szCs w:val="22"/>
          <w:highlight w:val="none"/>
        </w:rPr>
        <w:t>从业人员、营业收入、资产总额填报上一年度数据，无上一年度数据的新成立企业可不填报。</w:t>
      </w:r>
    </w:p>
    <w:p w14:paraId="6F2CA9DB">
      <w:pPr>
        <w:pageBreakBefore w:val="0"/>
        <w:kinsoku/>
        <w:wordWrap/>
        <w:overflowPunct/>
        <w:bidi w:val="0"/>
        <w:spacing w:line="440" w:lineRule="exact"/>
        <w:ind w:firstLine="480" w:firstLineChars="200"/>
        <w:rPr>
          <w:rFonts w:ascii="宋体" w:hAnsi="宋体" w:eastAsia="宋体"/>
          <w:color w:val="000000"/>
          <w:sz w:val="24"/>
          <w:szCs w:val="22"/>
          <w:highlight w:val="none"/>
        </w:rPr>
      </w:pPr>
      <w:r>
        <w:rPr>
          <w:rFonts w:ascii="宋体" w:hAnsi="宋体" w:eastAsia="宋体"/>
          <w:color w:val="000000"/>
          <w:sz w:val="24"/>
          <w:szCs w:val="22"/>
          <w:highlight w:val="none"/>
        </w:rPr>
        <w:t xml:space="preserve">2、填写前请认真阅读《关于印发中小企业划型标准规定的通知》（工信部联企业[2011]300 </w:t>
      </w:r>
      <w:r>
        <w:rPr>
          <w:rFonts w:hint="eastAsia" w:ascii="宋体" w:hAnsi="宋体" w:eastAsia="宋体"/>
          <w:color w:val="000000"/>
          <w:sz w:val="24"/>
          <w:szCs w:val="22"/>
          <w:highlight w:val="none"/>
        </w:rPr>
        <w:t>号）和《关于印发＜政府采购促进中小企业发展管理办法＞的通知》</w:t>
      </w:r>
      <w:r>
        <w:rPr>
          <w:rFonts w:ascii="宋体" w:hAnsi="宋体" w:eastAsia="宋体"/>
          <w:color w:val="000000"/>
          <w:sz w:val="24"/>
          <w:szCs w:val="22"/>
          <w:highlight w:val="none"/>
        </w:rPr>
        <w:t>(财库</w:t>
      </w:r>
      <w:r>
        <w:rPr>
          <w:rFonts w:hint="eastAsia" w:ascii="宋体" w:hAnsi="宋体" w:eastAsia="宋体" w:cs="宋体"/>
          <w:color w:val="000000"/>
          <w:sz w:val="24"/>
          <w:szCs w:val="22"/>
          <w:highlight w:val="none"/>
        </w:rPr>
        <w:t>﹝</w:t>
      </w:r>
      <w:r>
        <w:rPr>
          <w:rFonts w:ascii="宋体" w:hAnsi="宋体" w:eastAsia="宋体"/>
          <w:color w:val="000000"/>
          <w:sz w:val="24"/>
          <w:szCs w:val="22"/>
          <w:highlight w:val="none"/>
        </w:rPr>
        <w:t>2020</w:t>
      </w:r>
      <w:r>
        <w:rPr>
          <w:rFonts w:hint="eastAsia" w:ascii="宋体" w:hAnsi="宋体" w:eastAsia="宋体" w:cs="宋体"/>
          <w:color w:val="000000"/>
          <w:sz w:val="24"/>
          <w:szCs w:val="22"/>
          <w:highlight w:val="none"/>
        </w:rPr>
        <w:t>﹞</w:t>
      </w:r>
      <w:r>
        <w:rPr>
          <w:rFonts w:ascii="宋体" w:hAnsi="宋体" w:eastAsia="宋体"/>
          <w:color w:val="000000"/>
          <w:sz w:val="24"/>
          <w:szCs w:val="22"/>
          <w:highlight w:val="none"/>
        </w:rPr>
        <w:t xml:space="preserve">46 </w:t>
      </w:r>
      <w:r>
        <w:rPr>
          <w:rFonts w:hint="eastAsia" w:ascii="宋体" w:hAnsi="宋体" w:eastAsia="宋体"/>
          <w:color w:val="000000"/>
          <w:sz w:val="24"/>
          <w:szCs w:val="22"/>
          <w:highlight w:val="none"/>
        </w:rPr>
        <w:t>号</w:t>
      </w:r>
      <w:r>
        <w:rPr>
          <w:rFonts w:ascii="宋体" w:hAnsi="宋体" w:eastAsia="宋体"/>
          <w:color w:val="000000"/>
          <w:sz w:val="24"/>
          <w:szCs w:val="22"/>
          <w:highlight w:val="none"/>
        </w:rPr>
        <w:t xml:space="preserve"> )相关规定。</w:t>
      </w:r>
    </w:p>
    <w:p w14:paraId="0528BC0B">
      <w:pPr>
        <w:pageBreakBefore w:val="0"/>
        <w:kinsoku/>
        <w:wordWrap/>
        <w:overflowPunct/>
        <w:bidi w:val="0"/>
        <w:spacing w:line="440" w:lineRule="exact"/>
        <w:ind w:firstLine="480" w:firstLineChars="200"/>
        <w:rPr>
          <w:rFonts w:ascii="宋体" w:hAnsi="宋体" w:eastAsia="宋体"/>
          <w:color w:val="000000"/>
          <w:sz w:val="24"/>
          <w:szCs w:val="22"/>
          <w:highlight w:val="none"/>
        </w:rPr>
      </w:pPr>
      <w:r>
        <w:rPr>
          <w:rFonts w:ascii="宋体" w:hAnsi="宋体" w:eastAsia="宋体"/>
          <w:color w:val="000000"/>
          <w:sz w:val="24"/>
          <w:szCs w:val="22"/>
          <w:highlight w:val="none"/>
        </w:rPr>
        <w:t>3、未按上述要求提供、填写的，评审时不予以考虑。</w:t>
      </w:r>
    </w:p>
    <w:p w14:paraId="0BDF48AC">
      <w:pPr>
        <w:rPr>
          <w:rFonts w:hint="eastAsia" w:ascii="宋体" w:hAnsi="宋体" w:cs="仿宋"/>
          <w:b/>
          <w:bCs/>
          <w:kern w:val="2"/>
          <w:sz w:val="24"/>
          <w:szCs w:val="24"/>
          <w:highlight w:val="none"/>
          <w:lang w:val="zh-CN" w:bidi="zh-CN"/>
        </w:rPr>
      </w:pPr>
      <w:r>
        <w:rPr>
          <w:rFonts w:hint="eastAsia" w:ascii="宋体" w:hAnsi="宋体" w:cs="仿宋"/>
          <w:b/>
          <w:bCs/>
          <w:kern w:val="2"/>
          <w:sz w:val="24"/>
          <w:szCs w:val="24"/>
          <w:highlight w:val="none"/>
          <w:lang w:val="zh-CN" w:bidi="zh-CN"/>
        </w:rPr>
        <w:br w:type="page"/>
      </w:r>
    </w:p>
    <w:bookmarkEnd w:id="217"/>
    <w:p w14:paraId="032088F9">
      <w:pPr>
        <w:pageBreakBefore w:val="0"/>
        <w:wordWrap/>
        <w:overflowPunct/>
        <w:bidi w:val="0"/>
        <w:spacing w:line="360" w:lineRule="auto"/>
        <w:jc w:val="center"/>
        <w:textAlignment w:val="auto"/>
        <w:rPr>
          <w:rFonts w:hint="eastAsia" w:ascii="宋体" w:hAnsi="宋体" w:cs="仿宋"/>
          <w:b/>
          <w:bCs/>
          <w:kern w:val="2"/>
          <w:sz w:val="24"/>
          <w:szCs w:val="24"/>
          <w:highlight w:val="none"/>
        </w:rPr>
      </w:pPr>
      <w:r>
        <w:rPr>
          <w:rFonts w:hint="eastAsia" w:ascii="宋体" w:hAnsi="宋体" w:cs="仿宋"/>
          <w:b/>
          <w:bCs/>
          <w:kern w:val="2"/>
          <w:sz w:val="24"/>
          <w:szCs w:val="24"/>
          <w:highlight w:val="none"/>
          <w:lang w:val="en-US" w:eastAsia="zh-CN"/>
        </w:rPr>
        <w:t>2、</w:t>
      </w:r>
      <w:r>
        <w:rPr>
          <w:rFonts w:hint="eastAsia" w:ascii="宋体" w:hAnsi="宋体" w:cs="仿宋"/>
          <w:b/>
          <w:bCs/>
          <w:kern w:val="2"/>
          <w:sz w:val="24"/>
          <w:szCs w:val="24"/>
          <w:highlight w:val="none"/>
        </w:rPr>
        <w:t>残疾人福利性单位声明函</w:t>
      </w:r>
    </w:p>
    <w:p w14:paraId="2C60AD34">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r>
        <w:rPr>
          <w:rFonts w:hint="eastAsia" w:ascii="宋体" w:hAnsi="宋体" w:cs="仿宋"/>
          <w:b w:val="0"/>
          <w:bCs w:val="0"/>
          <w:kern w:val="2"/>
          <w:sz w:val="24"/>
          <w:szCs w:val="24"/>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096016B7">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p>
    <w:p w14:paraId="64A8ABBE">
      <w:pPr>
        <w:pageBreakBefore w:val="0"/>
        <w:wordWrap/>
        <w:overflowPunct/>
        <w:bidi w:val="0"/>
        <w:spacing w:line="360" w:lineRule="auto"/>
        <w:ind w:firstLine="518" w:firstLineChars="216"/>
        <w:jc w:val="left"/>
        <w:textAlignment w:val="auto"/>
        <w:rPr>
          <w:rFonts w:hint="eastAsia" w:ascii="宋体" w:hAnsi="宋体" w:cs="仿宋"/>
          <w:b/>
          <w:bCs/>
          <w:kern w:val="2"/>
          <w:sz w:val="24"/>
          <w:szCs w:val="24"/>
          <w:highlight w:val="none"/>
        </w:rPr>
      </w:pPr>
      <w:r>
        <w:rPr>
          <w:rFonts w:hint="eastAsia" w:ascii="宋体" w:hAnsi="宋体" w:cs="仿宋"/>
          <w:b w:val="0"/>
          <w:bCs w:val="0"/>
          <w:kern w:val="2"/>
          <w:sz w:val="24"/>
          <w:szCs w:val="24"/>
          <w:highlight w:val="none"/>
        </w:rPr>
        <w:t>供应商：    （</w:t>
      </w:r>
      <w:r>
        <w:rPr>
          <w:rFonts w:hint="eastAsia" w:ascii="宋体" w:hAnsi="宋体" w:cs="仿宋"/>
          <w:kern w:val="2"/>
          <w:sz w:val="24"/>
          <w:szCs w:val="24"/>
          <w:highlight w:val="none"/>
          <w:lang w:eastAsia="zh-CN"/>
        </w:rPr>
        <w:t>单位电子公章</w:t>
      </w:r>
      <w:r>
        <w:rPr>
          <w:rFonts w:hint="eastAsia" w:ascii="宋体" w:hAnsi="宋体" w:cs="仿宋"/>
          <w:b/>
          <w:bCs/>
          <w:kern w:val="2"/>
          <w:sz w:val="24"/>
          <w:szCs w:val="24"/>
          <w:highlight w:val="none"/>
        </w:rPr>
        <w:t>）</w:t>
      </w:r>
    </w:p>
    <w:p w14:paraId="2FCB57BA">
      <w:pPr>
        <w:pageBreakBefore w:val="0"/>
        <w:wordWrap/>
        <w:overflowPunct/>
        <w:bidi w:val="0"/>
        <w:spacing w:line="360" w:lineRule="auto"/>
        <w:ind w:firstLine="520" w:firstLineChars="216"/>
        <w:jc w:val="left"/>
        <w:textAlignment w:val="auto"/>
        <w:rPr>
          <w:rFonts w:hint="eastAsia" w:ascii="宋体" w:hAnsi="宋体" w:cs="仿宋"/>
          <w:b w:val="0"/>
          <w:bCs w:val="0"/>
          <w:kern w:val="2"/>
          <w:sz w:val="24"/>
          <w:szCs w:val="24"/>
          <w:highlight w:val="none"/>
        </w:rPr>
      </w:pPr>
      <w:r>
        <w:rPr>
          <w:rFonts w:hint="eastAsia" w:ascii="宋体" w:hAnsi="宋体" w:cs="仿宋"/>
          <w:b/>
          <w:bCs/>
          <w:kern w:val="2"/>
          <w:sz w:val="24"/>
          <w:szCs w:val="24"/>
          <w:highlight w:val="none"/>
        </w:rPr>
        <w:t xml:space="preserve">   </w:t>
      </w:r>
      <w:r>
        <w:rPr>
          <w:rFonts w:hint="eastAsia" w:ascii="宋体" w:hAnsi="宋体" w:cs="仿宋"/>
          <w:b w:val="0"/>
          <w:bCs w:val="0"/>
          <w:kern w:val="2"/>
          <w:sz w:val="24"/>
          <w:szCs w:val="24"/>
          <w:highlight w:val="none"/>
        </w:rPr>
        <w:t>日期：    年   月    日</w:t>
      </w:r>
    </w:p>
    <w:p w14:paraId="0CE824EB">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p>
    <w:p w14:paraId="05291234">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p>
    <w:p w14:paraId="5DCA1363">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p>
    <w:p w14:paraId="29DB4EF3">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r>
        <w:rPr>
          <w:rFonts w:hint="eastAsia" w:ascii="宋体" w:hAnsi="宋体" w:cs="仿宋"/>
          <w:b w:val="0"/>
          <w:bCs w:val="0"/>
          <w:kern w:val="2"/>
          <w:sz w:val="24"/>
          <w:szCs w:val="24"/>
          <w:highlight w:val="none"/>
        </w:rPr>
        <w:t>说明：该声明函是有针对性的，属于残疾人福利性企业的填写，不属于的无需填写此项内容，但保留该声明函的格式在响应文件中并按要求盖章。</w:t>
      </w:r>
    </w:p>
    <w:p w14:paraId="080DB12C">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086CA8D4">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312C79FB">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087C6A68">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66FBD00F">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39AF09FD">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60DE7170">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5CE80475">
      <w:pPr>
        <w:rPr>
          <w:rFonts w:hint="eastAsia" w:ascii="宋体" w:hAnsi="宋体" w:cs="仿宋"/>
          <w:b/>
          <w:bCs/>
          <w:kern w:val="2"/>
          <w:sz w:val="24"/>
          <w:szCs w:val="24"/>
          <w:highlight w:val="none"/>
        </w:rPr>
      </w:pPr>
      <w:r>
        <w:rPr>
          <w:rFonts w:hint="eastAsia" w:ascii="宋体" w:hAnsi="宋体" w:cs="仿宋"/>
          <w:b/>
          <w:bCs/>
          <w:kern w:val="2"/>
          <w:sz w:val="24"/>
          <w:szCs w:val="24"/>
          <w:highlight w:val="none"/>
        </w:rPr>
        <w:br w:type="page"/>
      </w:r>
    </w:p>
    <w:p w14:paraId="59B65D2D">
      <w:pPr>
        <w:pageBreakBefore w:val="0"/>
        <w:wordWrap/>
        <w:overflowPunct/>
        <w:bidi w:val="0"/>
        <w:spacing w:line="360" w:lineRule="auto"/>
        <w:jc w:val="center"/>
        <w:textAlignment w:val="auto"/>
        <w:rPr>
          <w:rFonts w:hint="eastAsia" w:ascii="宋体" w:hAnsi="宋体" w:cs="仿宋"/>
          <w:b/>
          <w:bCs/>
          <w:kern w:val="2"/>
          <w:sz w:val="24"/>
          <w:szCs w:val="24"/>
          <w:highlight w:val="none"/>
        </w:rPr>
      </w:pPr>
      <w:r>
        <w:rPr>
          <w:rFonts w:hint="eastAsia" w:ascii="宋体" w:hAnsi="宋体" w:cs="仿宋"/>
          <w:b/>
          <w:bCs/>
          <w:kern w:val="2"/>
          <w:sz w:val="24"/>
          <w:szCs w:val="24"/>
          <w:highlight w:val="none"/>
          <w:lang w:val="en-US" w:eastAsia="zh-CN"/>
        </w:rPr>
        <w:t>3、</w:t>
      </w:r>
      <w:r>
        <w:rPr>
          <w:rFonts w:hint="eastAsia" w:ascii="宋体" w:hAnsi="宋体" w:cs="仿宋"/>
          <w:b/>
          <w:bCs/>
          <w:kern w:val="2"/>
          <w:sz w:val="24"/>
          <w:szCs w:val="24"/>
          <w:highlight w:val="none"/>
        </w:rPr>
        <w:t>监狱企业证明文件</w:t>
      </w:r>
    </w:p>
    <w:p w14:paraId="15F3536E">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r>
        <w:rPr>
          <w:rFonts w:hint="eastAsia" w:ascii="宋体" w:hAnsi="宋体" w:cs="仿宋"/>
          <w:b w:val="0"/>
          <w:bCs w:val="0"/>
          <w:kern w:val="2"/>
          <w:sz w:val="24"/>
          <w:szCs w:val="24"/>
          <w:highlight w:val="none"/>
        </w:rPr>
        <w:t>省级以上监狱管理局、戒毒管理局（含新疆生产建设兵团）出具的属于监狱企业的证明文件。</w:t>
      </w:r>
    </w:p>
    <w:p w14:paraId="6AE28EFF">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r>
        <w:rPr>
          <w:rFonts w:hint="eastAsia" w:ascii="宋体" w:hAnsi="宋体" w:cs="仿宋"/>
          <w:b w:val="0"/>
          <w:bCs w:val="0"/>
          <w:kern w:val="2"/>
          <w:sz w:val="24"/>
          <w:szCs w:val="24"/>
          <w:highlight w:val="none"/>
        </w:rPr>
        <w:t>（属于监狱企业的提供，不属于的无需填写此项内容）</w:t>
      </w:r>
    </w:p>
    <w:p w14:paraId="4D14F6D7">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37C035E7">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5EDE6BA0">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51EC01AE">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6CCD2181">
      <w:pPr>
        <w:pageBreakBefore w:val="0"/>
        <w:wordWrap/>
        <w:overflowPunct/>
        <w:bidi w:val="0"/>
        <w:spacing w:line="360" w:lineRule="auto"/>
        <w:ind w:firstLine="520" w:firstLineChars="216"/>
        <w:jc w:val="left"/>
        <w:textAlignment w:val="auto"/>
        <w:rPr>
          <w:rFonts w:hint="eastAsia" w:ascii="宋体" w:hAnsi="宋体" w:cs="仿宋"/>
          <w:b/>
          <w:bCs/>
          <w:kern w:val="2"/>
          <w:sz w:val="24"/>
          <w:szCs w:val="24"/>
          <w:highlight w:val="none"/>
        </w:rPr>
      </w:pPr>
    </w:p>
    <w:p w14:paraId="548FC628">
      <w:pPr>
        <w:pageBreakBefore w:val="0"/>
        <w:wordWrap/>
        <w:overflowPunct/>
        <w:bidi w:val="0"/>
        <w:spacing w:line="360" w:lineRule="auto"/>
        <w:jc w:val="center"/>
        <w:textAlignment w:val="auto"/>
        <w:rPr>
          <w:rFonts w:hint="eastAsia" w:ascii="宋体" w:hAnsi="宋体" w:cs="仿宋"/>
          <w:b/>
          <w:bCs/>
          <w:kern w:val="2"/>
          <w:sz w:val="24"/>
          <w:szCs w:val="24"/>
          <w:highlight w:val="none"/>
        </w:rPr>
      </w:pPr>
      <w:r>
        <w:rPr>
          <w:rFonts w:hint="eastAsia" w:ascii="宋体" w:hAnsi="宋体" w:cs="仿宋"/>
          <w:b/>
          <w:bCs/>
          <w:kern w:val="2"/>
          <w:sz w:val="24"/>
          <w:szCs w:val="24"/>
          <w:highlight w:val="none"/>
          <w:lang w:val="en-US" w:eastAsia="zh-CN"/>
        </w:rPr>
        <w:t>4、</w:t>
      </w:r>
      <w:r>
        <w:rPr>
          <w:rFonts w:hint="eastAsia" w:ascii="宋体" w:hAnsi="宋体" w:cs="仿宋"/>
          <w:b/>
          <w:bCs/>
          <w:kern w:val="2"/>
          <w:sz w:val="24"/>
          <w:szCs w:val="24"/>
          <w:highlight w:val="none"/>
        </w:rPr>
        <w:t>节能环保产品证明文件</w:t>
      </w:r>
    </w:p>
    <w:p w14:paraId="632A680D">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p>
    <w:p w14:paraId="44541EC3">
      <w:pPr>
        <w:pageBreakBefore w:val="0"/>
        <w:wordWrap/>
        <w:overflowPunct/>
        <w:bidi w:val="0"/>
        <w:spacing w:line="360" w:lineRule="auto"/>
        <w:ind w:firstLine="518" w:firstLineChars="216"/>
        <w:jc w:val="left"/>
        <w:textAlignment w:val="auto"/>
        <w:rPr>
          <w:rFonts w:hint="eastAsia" w:ascii="宋体" w:hAnsi="宋体" w:cs="仿宋"/>
          <w:b w:val="0"/>
          <w:bCs w:val="0"/>
          <w:kern w:val="2"/>
          <w:sz w:val="24"/>
          <w:szCs w:val="24"/>
          <w:highlight w:val="none"/>
        </w:rPr>
      </w:pPr>
      <w:r>
        <w:rPr>
          <w:rFonts w:hint="eastAsia" w:ascii="宋体" w:hAnsi="宋体" w:cs="仿宋"/>
          <w:b w:val="0"/>
          <w:bCs w:val="0"/>
          <w:kern w:val="2"/>
          <w:sz w:val="24"/>
          <w:szCs w:val="24"/>
          <w:highlight w:val="none"/>
        </w:rPr>
        <w:t>国家确定的认证机构出具的、处于有效期之内的节能产品、环境标志产品认证证书。</w:t>
      </w:r>
    </w:p>
    <w:p w14:paraId="5E2F3952">
      <w:pPr>
        <w:pageBreakBefore w:val="0"/>
        <w:wordWrap/>
        <w:overflowPunct/>
        <w:bidi w:val="0"/>
        <w:spacing w:line="360" w:lineRule="auto"/>
        <w:ind w:firstLine="518" w:firstLineChars="216"/>
        <w:jc w:val="left"/>
        <w:textAlignment w:val="auto"/>
        <w:outlineLvl w:val="9"/>
        <w:rPr>
          <w:rFonts w:ascii="宋体" w:hAnsi="宋体" w:cs="仿宋"/>
          <w:b w:val="0"/>
          <w:bCs w:val="0"/>
          <w:kern w:val="2"/>
          <w:sz w:val="24"/>
          <w:szCs w:val="24"/>
          <w:highlight w:val="none"/>
        </w:rPr>
      </w:pPr>
      <w:r>
        <w:rPr>
          <w:rFonts w:hint="eastAsia" w:ascii="宋体" w:hAnsi="宋体" w:cs="仿宋"/>
          <w:b w:val="0"/>
          <w:bCs w:val="0"/>
          <w:kern w:val="2"/>
          <w:sz w:val="24"/>
          <w:szCs w:val="24"/>
          <w:highlight w:val="none"/>
        </w:rPr>
        <w:t>（拟供货物为节能环保产品的提供，不属于的无需填写此项内容）</w:t>
      </w:r>
    </w:p>
    <w:p w14:paraId="6C438D52">
      <w:pPr>
        <w:pageBreakBefore w:val="0"/>
        <w:wordWrap/>
        <w:overflowPunct/>
        <w:bidi w:val="0"/>
        <w:spacing w:line="360" w:lineRule="auto"/>
        <w:ind w:firstLine="520" w:firstLineChars="216"/>
        <w:jc w:val="left"/>
        <w:textAlignment w:val="auto"/>
        <w:rPr>
          <w:rFonts w:ascii="宋体" w:hAnsi="宋体" w:cs="仿宋"/>
          <w:b/>
          <w:bCs/>
          <w:kern w:val="2"/>
          <w:sz w:val="24"/>
          <w:szCs w:val="24"/>
          <w:highlight w:val="none"/>
        </w:rPr>
      </w:pPr>
      <w:r>
        <w:rPr>
          <w:rFonts w:hint="eastAsia" w:ascii="宋体" w:hAnsi="宋体" w:cs="仿宋"/>
          <w:b/>
          <w:bCs/>
          <w:kern w:val="2"/>
          <w:sz w:val="24"/>
          <w:szCs w:val="24"/>
          <w:highlight w:val="none"/>
        </w:rPr>
        <w:br w:type="page"/>
      </w:r>
    </w:p>
    <w:p w14:paraId="76916D1C">
      <w:pPr>
        <w:keepNext/>
        <w:keepLines/>
        <w:pageBreakBefore w:val="0"/>
        <w:widowControl w:val="0"/>
        <w:wordWrap/>
        <w:overflowPunct/>
        <w:bidi w:val="0"/>
        <w:spacing w:before="260" w:after="260" w:line="360" w:lineRule="auto"/>
        <w:jc w:val="center"/>
        <w:textAlignment w:val="auto"/>
        <w:outlineLvl w:val="1"/>
        <w:rPr>
          <w:rFonts w:ascii="宋体" w:hAnsi="宋体" w:cs="仿宋"/>
          <w:b/>
          <w:bCs/>
          <w:kern w:val="2"/>
          <w:sz w:val="24"/>
          <w:szCs w:val="24"/>
          <w:highlight w:val="none"/>
        </w:rPr>
      </w:pPr>
      <w:bookmarkStart w:id="218" w:name="_Toc25161"/>
      <w:r>
        <w:rPr>
          <w:rFonts w:hint="eastAsia" w:ascii="宋体" w:hAnsi="宋体" w:cs="仿宋"/>
          <w:b/>
          <w:bCs/>
          <w:kern w:val="2"/>
          <w:sz w:val="24"/>
          <w:szCs w:val="24"/>
          <w:highlight w:val="none"/>
        </w:rPr>
        <w:t>八、其他资料</w:t>
      </w:r>
      <w:bookmarkEnd w:id="218"/>
    </w:p>
    <w:p w14:paraId="4413C1C9">
      <w:pPr>
        <w:pageBreakBefore w:val="0"/>
        <w:wordWrap/>
        <w:overflowPunct/>
        <w:bidi w:val="0"/>
        <w:spacing w:line="360" w:lineRule="auto"/>
        <w:ind w:firstLine="520" w:firstLineChars="216"/>
        <w:textAlignment w:val="auto"/>
        <w:rPr>
          <w:rFonts w:ascii="宋体" w:hAnsi="宋体" w:cs="仿宋"/>
          <w:b/>
          <w:bCs/>
          <w:kern w:val="2"/>
          <w:sz w:val="24"/>
          <w:szCs w:val="24"/>
          <w:highlight w:val="none"/>
        </w:rPr>
      </w:pPr>
    </w:p>
    <w:p w14:paraId="44FE042D">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5FF3091D">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09B1846A">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7A31990A">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5BC92039">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4DE613D5">
      <w:pPr>
        <w:pageBreakBefore w:val="0"/>
        <w:wordWrap/>
        <w:overflowPunct/>
        <w:bidi w:val="0"/>
        <w:spacing w:line="360" w:lineRule="auto"/>
        <w:ind w:firstLine="520" w:firstLineChars="216"/>
        <w:textAlignment w:val="auto"/>
        <w:rPr>
          <w:rFonts w:ascii="宋体" w:hAnsi="宋体" w:cs="仿宋"/>
          <w:b/>
          <w:bCs/>
          <w:kern w:val="2"/>
          <w:sz w:val="24"/>
          <w:szCs w:val="24"/>
          <w:highlight w:val="none"/>
        </w:rPr>
      </w:pPr>
    </w:p>
    <w:p w14:paraId="0E93A627">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5159DC7E">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7F6C9BB2">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049DF846">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3B4A4B9A">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2C43394D">
      <w:pPr>
        <w:pageBreakBefore w:val="0"/>
        <w:wordWrap/>
        <w:overflowPunct/>
        <w:bidi w:val="0"/>
        <w:spacing w:line="360" w:lineRule="auto"/>
        <w:ind w:firstLine="520" w:firstLineChars="216"/>
        <w:jc w:val="center"/>
        <w:textAlignment w:val="auto"/>
        <w:rPr>
          <w:rFonts w:ascii="宋体" w:hAnsi="宋体" w:cs="仿宋"/>
          <w:b/>
          <w:bCs/>
          <w:kern w:val="2"/>
          <w:sz w:val="24"/>
          <w:szCs w:val="24"/>
          <w:highlight w:val="none"/>
        </w:rPr>
      </w:pPr>
    </w:p>
    <w:p w14:paraId="29F9F718">
      <w:pPr>
        <w:pageBreakBefore w:val="0"/>
        <w:wordWrap/>
        <w:overflowPunct/>
        <w:bidi w:val="0"/>
        <w:spacing w:line="360" w:lineRule="auto"/>
        <w:rPr>
          <w:rFonts w:ascii="宋体" w:hAnsi="宋体"/>
          <w:sz w:val="24"/>
          <w:szCs w:val="24"/>
          <w:highlight w:val="none"/>
        </w:rPr>
      </w:pPr>
    </w:p>
    <w:bookmarkEnd w:id="188"/>
    <w:bookmarkEnd w:id="189"/>
    <w:bookmarkEnd w:id="190"/>
    <w:bookmarkEnd w:id="191"/>
    <w:p w14:paraId="75892F6E">
      <w:pPr>
        <w:pageBreakBefore w:val="0"/>
        <w:wordWrap/>
        <w:overflowPunct/>
        <w:bidi w:val="0"/>
        <w:spacing w:line="360" w:lineRule="auto"/>
        <w:jc w:val="left"/>
        <w:textAlignment w:val="auto"/>
        <w:rPr>
          <w:rFonts w:ascii="宋体" w:hAnsi="宋体" w:cstheme="majorBidi"/>
          <w:b/>
          <w:bCs/>
          <w:sz w:val="24"/>
          <w:szCs w:val="24"/>
          <w:highlight w:val="none"/>
        </w:rPr>
      </w:pPr>
    </w:p>
    <w:p w14:paraId="2AED7564">
      <w:pPr>
        <w:pageBreakBefore w:val="0"/>
        <w:wordWrap/>
        <w:overflowPunct/>
        <w:bidi w:val="0"/>
        <w:spacing w:line="360" w:lineRule="auto"/>
        <w:rPr>
          <w:sz w:val="24"/>
          <w:szCs w:val="24"/>
          <w:highlight w:val="none"/>
        </w:rPr>
      </w:pPr>
    </w:p>
    <w:sectPr>
      <w:headerReference r:id="rId12" w:type="default"/>
      <w:footerReference r:id="rId13"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7154">
    <w:pPr>
      <w:pStyle w:val="11"/>
      <w:ind w:right="360"/>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241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4316">
    <w:pPr>
      <w:pStyle w:val="11"/>
      <w:ind w:right="360"/>
      <w:jc w:val="right"/>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B855">
    <w:pPr>
      <w:pStyle w:val="11"/>
      <w:ind w:right="360"/>
      <w:jc w:val="right"/>
      <w:rPr>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FDC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3AFDC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5EF2">
    <w:pPr>
      <w:pStyle w:val="11"/>
      <w:ind w:right="360"/>
      <w:jc w:val="right"/>
      <w:rPr>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A409">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CAA409">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AE04">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7192">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C01D">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5F7B">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YmZjZTI4ZTVjOWFhYjFiYzEzNmI5ZTNhODYxZjYifQ=="/>
  </w:docVars>
  <w:rsids>
    <w:rsidRoot w:val="1AA553CD"/>
    <w:rsid w:val="00005402"/>
    <w:rsid w:val="00035763"/>
    <w:rsid w:val="000E7570"/>
    <w:rsid w:val="000F0660"/>
    <w:rsid w:val="00117FA3"/>
    <w:rsid w:val="00121282"/>
    <w:rsid w:val="002012C6"/>
    <w:rsid w:val="002A54E0"/>
    <w:rsid w:val="002B3D6A"/>
    <w:rsid w:val="0036276D"/>
    <w:rsid w:val="00364618"/>
    <w:rsid w:val="0043360D"/>
    <w:rsid w:val="004A43C5"/>
    <w:rsid w:val="0052270F"/>
    <w:rsid w:val="005350C1"/>
    <w:rsid w:val="0055456C"/>
    <w:rsid w:val="005F4E5C"/>
    <w:rsid w:val="0070064F"/>
    <w:rsid w:val="00791DD1"/>
    <w:rsid w:val="00803A8D"/>
    <w:rsid w:val="00825175"/>
    <w:rsid w:val="008312A9"/>
    <w:rsid w:val="0092020B"/>
    <w:rsid w:val="009A6410"/>
    <w:rsid w:val="00A166BE"/>
    <w:rsid w:val="00A450E2"/>
    <w:rsid w:val="00A67A5E"/>
    <w:rsid w:val="00AE2F5D"/>
    <w:rsid w:val="00B22BA0"/>
    <w:rsid w:val="00B24D0B"/>
    <w:rsid w:val="00BE11FC"/>
    <w:rsid w:val="00D2105B"/>
    <w:rsid w:val="00D9156D"/>
    <w:rsid w:val="00E10866"/>
    <w:rsid w:val="00F212B1"/>
    <w:rsid w:val="01F71198"/>
    <w:rsid w:val="02866093"/>
    <w:rsid w:val="08291244"/>
    <w:rsid w:val="0933272C"/>
    <w:rsid w:val="0B021798"/>
    <w:rsid w:val="0B077208"/>
    <w:rsid w:val="0B7078E0"/>
    <w:rsid w:val="0D1F511A"/>
    <w:rsid w:val="0D316013"/>
    <w:rsid w:val="0DF30354"/>
    <w:rsid w:val="0E1B7FD7"/>
    <w:rsid w:val="0EED18CB"/>
    <w:rsid w:val="1170003C"/>
    <w:rsid w:val="11B96EE1"/>
    <w:rsid w:val="14DB0297"/>
    <w:rsid w:val="15875F52"/>
    <w:rsid w:val="17C3523B"/>
    <w:rsid w:val="19C37774"/>
    <w:rsid w:val="19CC3D81"/>
    <w:rsid w:val="1AA553CD"/>
    <w:rsid w:val="1B0E2C71"/>
    <w:rsid w:val="1FC3402A"/>
    <w:rsid w:val="22543660"/>
    <w:rsid w:val="23C1435E"/>
    <w:rsid w:val="24EA2776"/>
    <w:rsid w:val="27457A1B"/>
    <w:rsid w:val="296E3ECC"/>
    <w:rsid w:val="2A7E7162"/>
    <w:rsid w:val="2C695F59"/>
    <w:rsid w:val="2E7B4A3B"/>
    <w:rsid w:val="2E81758A"/>
    <w:rsid w:val="300736EE"/>
    <w:rsid w:val="302F1268"/>
    <w:rsid w:val="30AF3584"/>
    <w:rsid w:val="30F027A5"/>
    <w:rsid w:val="30FF4A17"/>
    <w:rsid w:val="31E71DFA"/>
    <w:rsid w:val="36F32FEF"/>
    <w:rsid w:val="39B22BF9"/>
    <w:rsid w:val="3B2B1941"/>
    <w:rsid w:val="3BBB7E54"/>
    <w:rsid w:val="3D1E4B3E"/>
    <w:rsid w:val="3DE511B8"/>
    <w:rsid w:val="3E29379B"/>
    <w:rsid w:val="3E5C39B1"/>
    <w:rsid w:val="3FFD63CE"/>
    <w:rsid w:val="422449A5"/>
    <w:rsid w:val="447F4942"/>
    <w:rsid w:val="44BA514C"/>
    <w:rsid w:val="44FE2B52"/>
    <w:rsid w:val="452B1BA6"/>
    <w:rsid w:val="4608065B"/>
    <w:rsid w:val="47E47AE6"/>
    <w:rsid w:val="495C67D2"/>
    <w:rsid w:val="49731D6E"/>
    <w:rsid w:val="4A0250DD"/>
    <w:rsid w:val="4AEB42B2"/>
    <w:rsid w:val="4BAD6136"/>
    <w:rsid w:val="4D267335"/>
    <w:rsid w:val="4F581721"/>
    <w:rsid w:val="50593A6B"/>
    <w:rsid w:val="51C70EA9"/>
    <w:rsid w:val="529D767D"/>
    <w:rsid w:val="542B74B9"/>
    <w:rsid w:val="56150435"/>
    <w:rsid w:val="561F5757"/>
    <w:rsid w:val="567A298E"/>
    <w:rsid w:val="575256B8"/>
    <w:rsid w:val="57C73909"/>
    <w:rsid w:val="59653481"/>
    <w:rsid w:val="5A767910"/>
    <w:rsid w:val="5AB75F5E"/>
    <w:rsid w:val="5EB65CF3"/>
    <w:rsid w:val="61003B83"/>
    <w:rsid w:val="62516C98"/>
    <w:rsid w:val="6280048F"/>
    <w:rsid w:val="63AB23D8"/>
    <w:rsid w:val="64090909"/>
    <w:rsid w:val="64DD0CB7"/>
    <w:rsid w:val="654C1999"/>
    <w:rsid w:val="67163939"/>
    <w:rsid w:val="687306F3"/>
    <w:rsid w:val="68D72ABF"/>
    <w:rsid w:val="6A0C5F58"/>
    <w:rsid w:val="6C291280"/>
    <w:rsid w:val="6C546D7A"/>
    <w:rsid w:val="6C9C1458"/>
    <w:rsid w:val="70221C74"/>
    <w:rsid w:val="71A47A91"/>
    <w:rsid w:val="71DE6EED"/>
    <w:rsid w:val="71F907B3"/>
    <w:rsid w:val="726D3BA4"/>
    <w:rsid w:val="72E444A2"/>
    <w:rsid w:val="74E920C5"/>
    <w:rsid w:val="75C67548"/>
    <w:rsid w:val="76165DD7"/>
    <w:rsid w:val="76A35191"/>
    <w:rsid w:val="777059BB"/>
    <w:rsid w:val="77EF15AD"/>
    <w:rsid w:val="797C23F5"/>
    <w:rsid w:val="79D55FA9"/>
    <w:rsid w:val="7A3251AA"/>
    <w:rsid w:val="7B6C31EB"/>
    <w:rsid w:val="7D584367"/>
    <w:rsid w:val="7EAB1087"/>
    <w:rsid w:val="7F63160A"/>
    <w:rsid w:val="7FF73521"/>
    <w:rsid w:val="7FFD5912"/>
    <w:rsid w:val="B6C5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qFormat/>
    <w:uiPriority w:val="0"/>
    <w:pPr>
      <w:keepNext/>
      <w:keepLines/>
      <w:widowControl w:val="0"/>
      <w:spacing w:before="340" w:after="330" w:line="578" w:lineRule="auto"/>
      <w:textAlignment w:val="auto"/>
      <w:outlineLvl w:val="0"/>
    </w:pPr>
    <w:rPr>
      <w:b/>
      <w:bCs/>
      <w:color w:val="auto"/>
      <w:kern w:val="44"/>
      <w:sz w:val="44"/>
      <w:szCs w:val="44"/>
    </w:rPr>
  </w:style>
  <w:style w:type="paragraph" w:styleId="2">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autoSpaceDE w:val="0"/>
      <w:autoSpaceDN w:val="0"/>
      <w:adjustRightInd w:val="0"/>
      <w:spacing w:before="16"/>
      <w:jc w:val="left"/>
      <w:outlineLvl w:val="2"/>
    </w:pPr>
    <w:rPr>
      <w:rFonts w:ascii="仿宋_GB2312" w:eastAsia="仿宋_GB2312"/>
      <w:b/>
      <w:kern w:val="2"/>
      <w:sz w:val="24"/>
    </w:rPr>
  </w:style>
  <w:style w:type="paragraph" w:styleId="5">
    <w:name w:val="heading 4"/>
    <w:basedOn w:val="1"/>
    <w:next w:val="1"/>
    <w:qFormat/>
    <w:uiPriority w:val="1"/>
    <w:pPr>
      <w:ind w:left="2558" w:right="5204" w:firstLine="28"/>
      <w:outlineLvl w:val="3"/>
    </w:pPr>
    <w:rPr>
      <w:rFonts w:ascii="微软雅黑" w:hAnsi="微软雅黑" w:eastAsia="微软雅黑" w:cs="微软雅黑"/>
      <w:b/>
      <w:bCs/>
      <w:szCs w:val="28"/>
      <w:lang w:val="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spacing w:after="120"/>
    </w:pPr>
    <w:rPr>
      <w:sz w:val="20"/>
    </w:rPr>
  </w:style>
  <w:style w:type="paragraph" w:styleId="7">
    <w:name w:val="Body Text 2"/>
    <w:basedOn w:val="1"/>
    <w:next w:val="8"/>
    <w:qFormat/>
    <w:uiPriority w:val="0"/>
    <w:pPr>
      <w:spacing w:line="480" w:lineRule="auto"/>
    </w:pPr>
  </w:style>
  <w:style w:type="paragraph" w:styleId="8">
    <w:name w:val="Plain Text"/>
    <w:basedOn w:val="1"/>
    <w:qFormat/>
    <w:uiPriority w:val="99"/>
    <w:rPr>
      <w:rFonts w:ascii="宋体" w:hAnsi="Courier New" w:eastAsia="仿宋_GB2312"/>
      <w:kern w:val="2"/>
      <w:sz w:val="30"/>
      <w:szCs w:val="22"/>
    </w:rPr>
  </w:style>
  <w:style w:type="paragraph" w:styleId="9">
    <w:name w:val="Body Text Indent"/>
    <w:basedOn w:val="1"/>
    <w:semiHidden/>
    <w:unhideWhenUsed/>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link w:val="27"/>
    <w:unhideWhenUsed/>
    <w:qFormat/>
    <w:uiPriority w:val="99"/>
    <w:pPr>
      <w:widowControl w:val="0"/>
      <w:tabs>
        <w:tab w:val="center" w:pos="4153"/>
        <w:tab w:val="right" w:pos="8306"/>
      </w:tabs>
      <w:snapToGrid w:val="0"/>
      <w:spacing w:line="240" w:lineRule="auto"/>
      <w:jc w:val="left"/>
      <w:textAlignment w:val="auto"/>
    </w:pPr>
    <w:rPr>
      <w:rFonts w:ascii="Calibri" w:hAnsi="Calibri"/>
      <w:color w:val="auto"/>
      <w:kern w:val="2"/>
      <w:sz w:val="18"/>
      <w:szCs w:val="18"/>
    </w:rPr>
  </w:style>
  <w:style w:type="paragraph" w:styleId="12">
    <w:name w:val="header"/>
    <w:basedOn w:val="1"/>
    <w:unhideWhenUsed/>
    <w:qFormat/>
    <w:uiPriority w:val="99"/>
    <w:pPr>
      <w:widowControl w:val="0"/>
      <w:pBdr>
        <w:bottom w:val="single" w:color="auto" w:sz="6" w:space="1"/>
      </w:pBdr>
      <w:tabs>
        <w:tab w:val="center" w:pos="4153"/>
        <w:tab w:val="right" w:pos="8306"/>
      </w:tabs>
      <w:snapToGrid w:val="0"/>
      <w:spacing w:line="240" w:lineRule="auto"/>
      <w:jc w:val="center"/>
      <w:textAlignment w:val="auto"/>
    </w:pPr>
    <w:rPr>
      <w:rFonts w:ascii="Calibri" w:hAnsi="Calibri"/>
      <w:color w:val="auto"/>
      <w:kern w:val="2"/>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First Indent 2"/>
    <w:basedOn w:val="9"/>
    <w:semiHidden/>
    <w:unhideWhenUsed/>
    <w:qFormat/>
    <w:uiPriority w:val="99"/>
    <w:pPr>
      <w:ind w:firstLine="420" w:firstLineChars="200"/>
    </w:pPr>
    <w:rPr>
      <w:kern w:val="2"/>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none"/>
    </w:rPr>
  </w:style>
  <w:style w:type="paragraph" w:customStyle="1" w:styleId="20">
    <w:name w:val="cjk"/>
    <w:basedOn w:val="1"/>
    <w:qFormat/>
    <w:uiPriority w:val="0"/>
    <w:pPr>
      <w:spacing w:beforeAutospacing="1" w:afterAutospacing="1"/>
      <w:jc w:val="left"/>
    </w:pPr>
    <w:rPr>
      <w:rFonts w:hint="eastAsia" w:ascii="宋体" w:hAnsi="宋体"/>
      <w:sz w:val="24"/>
    </w:rPr>
  </w:style>
  <w:style w:type="paragraph" w:customStyle="1" w:styleId="21">
    <w:name w:val="Default"/>
    <w:next w:val="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cs="宋体"/>
      <w:lang w:val="zh-CN" w:bidi="zh-CN"/>
    </w:rPr>
  </w:style>
  <w:style w:type="paragraph" w:customStyle="1" w:styleId="23">
    <w:name w:val="样式 标题 3 + (中文) 黑体 小四 非加粗 段前: 7.8 磅 段后: 0 磅 行距: 固定值 20 磅"/>
    <w:basedOn w:val="4"/>
    <w:qFormat/>
    <w:uiPriority w:val="0"/>
    <w:pPr>
      <w:keepNext/>
      <w:keepLines/>
      <w:widowControl w:val="0"/>
      <w:autoSpaceDE/>
      <w:autoSpaceDN/>
      <w:adjustRightInd/>
      <w:spacing w:before="0" w:line="400" w:lineRule="exact"/>
      <w:jc w:val="both"/>
      <w:textAlignment w:val="auto"/>
    </w:pPr>
    <w:rPr>
      <w:rFonts w:ascii="Times New Roman" w:eastAsia="黑体" w:cs="宋体"/>
      <w:b w:val="0"/>
      <w:color w:val="auto"/>
    </w:rPr>
  </w:style>
  <w:style w:type="paragraph" w:customStyle="1" w:styleId="24">
    <w:name w:val="_Style 18"/>
    <w:basedOn w:val="1"/>
    <w:next w:val="25"/>
    <w:qFormat/>
    <w:uiPriority w:val="34"/>
    <w:pPr>
      <w:widowControl w:val="0"/>
      <w:spacing w:line="500" w:lineRule="exact"/>
      <w:ind w:firstLine="420" w:firstLineChars="200"/>
      <w:textAlignment w:val="auto"/>
    </w:pPr>
    <w:rPr>
      <w:color w:val="auto"/>
      <w:kern w:val="2"/>
      <w:sz w:val="24"/>
    </w:rPr>
  </w:style>
  <w:style w:type="paragraph" w:styleId="25">
    <w:name w:val="List Paragraph"/>
    <w:basedOn w:val="1"/>
    <w:qFormat/>
    <w:uiPriority w:val="34"/>
    <w:pPr>
      <w:ind w:firstLine="420" w:firstLineChars="200"/>
    </w:pPr>
  </w:style>
  <w:style w:type="paragraph" w:customStyle="1" w:styleId="26">
    <w:name w:val="my正文"/>
    <w:basedOn w:val="1"/>
    <w:qFormat/>
    <w:uiPriority w:val="0"/>
    <w:pPr>
      <w:widowControl w:val="0"/>
      <w:spacing w:line="360" w:lineRule="auto"/>
      <w:ind w:firstLine="480" w:firstLineChars="200"/>
      <w:textAlignment w:val="auto"/>
    </w:pPr>
    <w:rPr>
      <w:color w:val="auto"/>
      <w:kern w:val="2"/>
      <w:szCs w:val="24"/>
    </w:rPr>
  </w:style>
  <w:style w:type="character" w:customStyle="1" w:styleId="27">
    <w:name w:val="页脚 字符"/>
    <w:basedOn w:val="18"/>
    <w:link w:val="11"/>
    <w:qFormat/>
    <w:uiPriority w:val="99"/>
    <w:rPr>
      <w:rFonts w:ascii="Calibri" w:hAnsi="Calibri" w:eastAsia="宋体" w:cs="Times New Roman"/>
      <w:kern w:val="2"/>
      <w:sz w:val="18"/>
      <w:szCs w:val="18"/>
      <w:u w:color="000000"/>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21456</Words>
  <Characters>23677</Characters>
  <Lines>176</Lines>
  <Paragraphs>49</Paragraphs>
  <TotalTime>201</TotalTime>
  <ScaleCrop>false</ScaleCrop>
  <LinksUpToDate>false</LinksUpToDate>
  <CharactersWithSpaces>25086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2024-02-29T09:45:00Z</dcterms:created>
  <dc:creator>姚顺</dc:creator>
  <cp:lastModifiedBy>小磊子</cp:lastModifiedBy>
  <dcterms:modified xsi:type="dcterms:W3CDTF">2025-03-27T07:17:26Z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CA02225FAAB74F2AB6CBB24C83C9380E</vt:lpwstr>
  </property>
</Properties>
</file>