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AC9DF">
      <w:pPr>
        <w:pStyle w:val="6"/>
        <w:ind w:left="0" w:leftChars="0" w:firstLine="0" w:firstLineChars="0"/>
        <w:rPr>
          <w:color w:val="auto"/>
          <w:highlight w:val="none"/>
        </w:rPr>
      </w:pPr>
      <w:bookmarkStart w:id="585" w:name="_GoBack"/>
      <w:bookmarkEnd w:id="585"/>
      <w:r>
        <w:rPr>
          <w:rFonts w:hint="eastAsia"/>
          <w:lang w:eastAsia="zh-CN"/>
        </w:rPr>
        <w:tab/>
      </w:r>
    </w:p>
    <w:p w14:paraId="62798337">
      <w:pPr>
        <w:wordWrap w:val="0"/>
        <w:topLinePunct/>
        <w:spacing w:line="360" w:lineRule="auto"/>
        <w:jc w:val="center"/>
        <w:outlineLvl w:val="0"/>
        <w:rPr>
          <w:rFonts w:hint="eastAsia" w:ascii="宋体" w:hAnsi="宋体" w:eastAsia="宋体" w:cs="宋体"/>
          <w:b/>
          <w:color w:val="auto"/>
          <w:sz w:val="52"/>
          <w:szCs w:val="52"/>
          <w:highlight w:val="none"/>
          <w:lang w:eastAsia="zh-CN"/>
        </w:rPr>
      </w:pPr>
      <w:bookmarkStart w:id="0" w:name="_Toc14707"/>
      <w:r>
        <w:rPr>
          <w:rFonts w:hint="eastAsia" w:ascii="宋体" w:hAnsi="宋体" w:eastAsia="宋体" w:cs="宋体"/>
          <w:b/>
          <w:color w:val="auto"/>
          <w:sz w:val="48"/>
          <w:szCs w:val="48"/>
          <w:highlight w:val="none"/>
          <w:lang w:eastAsia="zh-CN"/>
        </w:rPr>
        <w:t>三门峡市迎宾花园、南康乐家园（德馨园）、惠利花园住宅小区厨房加装推拉门工程</w:t>
      </w:r>
      <w:bookmarkEnd w:id="0"/>
    </w:p>
    <w:p w14:paraId="585054AE">
      <w:pPr>
        <w:wordWrap w:val="0"/>
        <w:topLinePunct/>
        <w:spacing w:line="360" w:lineRule="auto"/>
        <w:jc w:val="center"/>
        <w:rPr>
          <w:rFonts w:hint="eastAsia" w:ascii="宋体" w:hAnsi="宋体" w:eastAsia="宋体" w:cs="宋体"/>
          <w:b/>
          <w:color w:val="auto"/>
          <w:sz w:val="56"/>
          <w:szCs w:val="56"/>
          <w:highlight w:val="none"/>
        </w:rPr>
      </w:pPr>
    </w:p>
    <w:p w14:paraId="5B69B1C7">
      <w:pPr>
        <w:wordWrap w:val="0"/>
        <w:topLinePunct/>
        <w:spacing w:line="360" w:lineRule="auto"/>
        <w:jc w:val="center"/>
        <w:outlineLvl w:val="0"/>
        <w:rPr>
          <w:rFonts w:ascii="宋体" w:hAnsi="宋体" w:eastAsia="宋体" w:cs="宋体"/>
          <w:b/>
          <w:color w:val="auto"/>
          <w:sz w:val="56"/>
          <w:szCs w:val="56"/>
          <w:highlight w:val="none"/>
        </w:rPr>
      </w:pPr>
      <w:bookmarkStart w:id="1" w:name="_Toc1131"/>
      <w:r>
        <w:rPr>
          <w:rFonts w:hint="eastAsia" w:ascii="宋体" w:hAnsi="宋体" w:eastAsia="宋体" w:cs="宋体"/>
          <w:b/>
          <w:color w:val="auto"/>
          <w:sz w:val="56"/>
          <w:szCs w:val="56"/>
          <w:highlight w:val="none"/>
        </w:rPr>
        <w:t>竞争性磋商文件</w:t>
      </w:r>
      <w:bookmarkEnd w:id="1"/>
    </w:p>
    <w:p w14:paraId="1127E828">
      <w:pPr>
        <w:wordWrap w:val="0"/>
        <w:topLinePunct/>
        <w:spacing w:line="360" w:lineRule="auto"/>
        <w:ind w:firstLine="1600" w:firstLineChars="500"/>
        <w:rPr>
          <w:rFonts w:ascii="宋体" w:hAnsi="宋体" w:eastAsia="宋体" w:cs="宋体"/>
          <w:color w:val="auto"/>
          <w:szCs w:val="21"/>
          <w:highlight w:val="none"/>
        </w:rPr>
      </w:pPr>
      <w:r>
        <w:rPr>
          <w:rFonts w:hint="eastAsia" w:ascii="宋体" w:hAnsi="宋体" w:eastAsia="宋体" w:cs="宋体"/>
          <w:b/>
          <w:color w:val="auto"/>
          <w:sz w:val="32"/>
          <w:szCs w:val="32"/>
          <w:highlight w:val="none"/>
        </w:rPr>
        <w:t xml:space="preserve">       </w:t>
      </w:r>
    </w:p>
    <w:p w14:paraId="7B5F84D7">
      <w:pPr>
        <w:pStyle w:val="11"/>
        <w:ind w:firstLine="2240" w:firstLineChars="700"/>
        <w:jc w:val="left"/>
        <w:rPr>
          <w:rFonts w:hint="eastAsia" w:ascii="宋体" w:hAnsi="宋体" w:eastAsia="宋体" w:cs="宋体"/>
          <w:b/>
          <w:color w:val="auto"/>
          <w:sz w:val="32"/>
          <w:szCs w:val="21"/>
          <w:highlight w:val="none"/>
          <w:lang w:val="en-US" w:eastAsia="zh-CN"/>
        </w:rPr>
      </w:pPr>
      <w:r>
        <w:rPr>
          <w:rFonts w:hint="eastAsia" w:ascii="宋体" w:hAnsi="宋体" w:eastAsia="宋体" w:cs="宋体"/>
          <w:b/>
          <w:color w:val="auto"/>
          <w:sz w:val="32"/>
          <w:szCs w:val="21"/>
          <w:highlight w:val="none"/>
        </w:rPr>
        <w:t>项目编号：三财竞磋采购-202</w:t>
      </w:r>
      <w:r>
        <w:rPr>
          <w:rFonts w:hint="eastAsia" w:ascii="宋体" w:hAnsi="宋体" w:eastAsia="宋体" w:cs="宋体"/>
          <w:b/>
          <w:color w:val="auto"/>
          <w:sz w:val="32"/>
          <w:szCs w:val="21"/>
          <w:highlight w:val="none"/>
          <w:lang w:val="en-US" w:eastAsia="zh-CN"/>
        </w:rPr>
        <w:t>5</w:t>
      </w:r>
      <w:r>
        <w:rPr>
          <w:rFonts w:hint="eastAsia" w:ascii="宋体" w:hAnsi="宋体" w:eastAsia="宋体" w:cs="宋体"/>
          <w:b/>
          <w:color w:val="auto"/>
          <w:sz w:val="32"/>
          <w:szCs w:val="21"/>
          <w:highlight w:val="none"/>
        </w:rPr>
        <w:t>-</w:t>
      </w:r>
      <w:r>
        <w:rPr>
          <w:rFonts w:hint="eastAsia" w:ascii="宋体" w:hAnsi="宋体" w:eastAsia="宋体" w:cs="宋体"/>
          <w:b/>
          <w:color w:val="auto"/>
          <w:sz w:val="32"/>
          <w:szCs w:val="21"/>
          <w:highlight w:val="none"/>
          <w:lang w:val="en-US" w:eastAsia="zh-CN"/>
        </w:rPr>
        <w:t>19</w:t>
      </w:r>
    </w:p>
    <w:p w14:paraId="1B62D963">
      <w:pPr>
        <w:pStyle w:val="11"/>
        <w:ind w:firstLine="3840" w:firstLineChars="1200"/>
        <w:jc w:val="left"/>
        <w:rPr>
          <w:rFonts w:hint="eastAsia" w:ascii="宋体" w:hAnsi="宋体" w:eastAsia="宋体" w:cs="宋体"/>
          <w:b/>
          <w:color w:val="auto"/>
          <w:sz w:val="32"/>
          <w:szCs w:val="21"/>
          <w:highlight w:val="none"/>
          <w:lang w:val="en-US" w:eastAsia="zh-CN"/>
        </w:rPr>
      </w:pPr>
      <w:r>
        <w:rPr>
          <w:rFonts w:hint="eastAsia" w:ascii="宋体" w:hAnsi="宋体" w:eastAsia="宋体" w:cs="宋体"/>
          <w:b/>
          <w:color w:val="auto"/>
          <w:sz w:val="32"/>
          <w:szCs w:val="21"/>
          <w:highlight w:val="none"/>
        </w:rPr>
        <w:t>SGZ[2025]171-ZC116</w:t>
      </w:r>
    </w:p>
    <w:p w14:paraId="67AE5CFC">
      <w:pPr>
        <w:pStyle w:val="12"/>
        <w:rPr>
          <w:rFonts w:hint="default"/>
          <w:lang w:val="en-US" w:eastAsia="zh-CN"/>
        </w:rPr>
      </w:pPr>
      <w:r>
        <w:rPr>
          <w:rFonts w:hint="eastAsia" w:hAnsi="宋体" w:eastAsia="宋体" w:cs="宋体"/>
          <w:b/>
          <w:color w:val="auto"/>
          <w:sz w:val="32"/>
          <w:szCs w:val="21"/>
          <w:highlight w:val="none"/>
          <w:lang w:val="en-US" w:eastAsia="zh-CN"/>
        </w:rPr>
        <w:t xml:space="preserve">    </w:t>
      </w:r>
    </w:p>
    <w:p w14:paraId="7843C3E0">
      <w:pPr>
        <w:wordWrap w:val="0"/>
        <w:topLinePunct/>
        <w:spacing w:line="360" w:lineRule="auto"/>
        <w:jc w:val="center"/>
        <w:rPr>
          <w:rFonts w:hint="eastAsia" w:ascii="宋体" w:hAnsi="宋体" w:eastAsia="宋体" w:cs="宋体"/>
          <w:b/>
          <w:color w:val="auto"/>
          <w:sz w:val="32"/>
          <w:szCs w:val="21"/>
          <w:highlight w:val="none"/>
          <w:lang w:eastAsia="zh-CN"/>
        </w:rPr>
      </w:pPr>
      <w:r>
        <w:rPr>
          <w:rFonts w:hint="eastAsia" w:ascii="宋体" w:hAnsi="宋体" w:eastAsia="宋体" w:cs="宋体"/>
          <w:b/>
          <w:color w:val="auto"/>
          <w:sz w:val="32"/>
          <w:szCs w:val="21"/>
          <w:highlight w:val="none"/>
          <w:lang w:val="en-US" w:eastAsia="zh-CN"/>
        </w:rPr>
        <w:t xml:space="preserve">        </w:t>
      </w:r>
    </w:p>
    <w:p w14:paraId="2083FA48">
      <w:pPr>
        <w:wordWrap w:val="0"/>
        <w:topLinePunct/>
        <w:spacing w:line="360" w:lineRule="auto"/>
        <w:jc w:val="center"/>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drawing>
          <wp:inline distT="0" distB="0" distL="114300" distR="114300">
            <wp:extent cx="2602865" cy="2411095"/>
            <wp:effectExtent l="0" t="0" r="3175" b="12065"/>
            <wp:docPr id="4" name="图片 4" descr="d2836380b2f73e4e43cee11ec38a8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836380b2f73e4e43cee11ec38a8f7"/>
                    <pic:cNvPicPr>
                      <a:picLocks noChangeAspect="1"/>
                    </pic:cNvPicPr>
                  </pic:nvPicPr>
                  <pic:blipFill>
                    <a:blip r:embed="rId8"/>
                    <a:stretch>
                      <a:fillRect/>
                    </a:stretch>
                  </pic:blipFill>
                  <pic:spPr>
                    <a:xfrm>
                      <a:off x="0" y="0"/>
                      <a:ext cx="2602865" cy="2411095"/>
                    </a:xfrm>
                    <a:prstGeom prst="rect">
                      <a:avLst/>
                    </a:prstGeom>
                  </pic:spPr>
                </pic:pic>
              </a:graphicData>
            </a:graphic>
          </wp:inline>
        </w:drawing>
      </w:r>
    </w:p>
    <w:p w14:paraId="5B22EE22">
      <w:pPr>
        <w:wordWrap w:val="0"/>
        <w:topLinePunct/>
        <w:spacing w:line="360" w:lineRule="auto"/>
        <w:jc w:val="distribute"/>
        <w:rPr>
          <w:rFonts w:hint="eastAsia" w:ascii="宋体" w:hAnsi="宋体" w:eastAsia="宋体" w:cs="宋体"/>
          <w:b/>
          <w:color w:val="auto"/>
          <w:spacing w:val="14"/>
          <w:w w:val="97"/>
          <w:sz w:val="32"/>
          <w:szCs w:val="32"/>
          <w:highlight w:val="none"/>
        </w:rPr>
      </w:pPr>
      <w:r>
        <w:rPr>
          <w:rFonts w:hint="eastAsia" w:ascii="宋体" w:hAnsi="宋体" w:eastAsia="宋体" w:cs="宋体"/>
          <w:b/>
          <w:color w:val="auto"/>
          <w:sz w:val="32"/>
          <w:szCs w:val="32"/>
          <w:highlight w:val="none"/>
        </w:rPr>
        <w:t xml:space="preserve">    </w:t>
      </w:r>
    </w:p>
    <w:p w14:paraId="27C5541D">
      <w:pPr>
        <w:wordWrap w:val="0"/>
        <w:topLinePunct/>
        <w:spacing w:line="600" w:lineRule="exact"/>
        <w:jc w:val="both"/>
        <w:rPr>
          <w:rFonts w:hint="eastAsia" w:ascii="宋体" w:hAnsi="宋体" w:eastAsia="宋体" w:cs="宋体"/>
          <w:b/>
          <w:color w:val="auto"/>
          <w:spacing w:val="14"/>
          <w:w w:val="97"/>
          <w:sz w:val="32"/>
          <w:szCs w:val="32"/>
          <w:highlight w:val="none"/>
        </w:rPr>
      </w:pPr>
    </w:p>
    <w:p w14:paraId="469F1835">
      <w:pPr>
        <w:wordWrap w:val="0"/>
        <w:topLinePunct/>
        <w:spacing w:line="600" w:lineRule="exact"/>
        <w:jc w:val="center"/>
        <w:outlineLvl w:val="0"/>
        <w:rPr>
          <w:rFonts w:ascii="宋体" w:hAnsi="宋体" w:eastAsia="宋体" w:cs="宋体"/>
          <w:b/>
          <w:color w:val="auto"/>
          <w:spacing w:val="14"/>
          <w:w w:val="97"/>
          <w:sz w:val="32"/>
          <w:szCs w:val="32"/>
          <w:highlight w:val="none"/>
        </w:rPr>
      </w:pPr>
      <w:bookmarkStart w:id="2" w:name="_Toc24586"/>
      <w:r>
        <w:rPr>
          <w:rFonts w:hint="eastAsia" w:ascii="宋体" w:hAnsi="宋体" w:eastAsia="宋体" w:cs="宋体"/>
          <w:b/>
          <w:color w:val="auto"/>
          <w:spacing w:val="14"/>
          <w:w w:val="97"/>
          <w:sz w:val="32"/>
          <w:szCs w:val="32"/>
          <w:highlight w:val="none"/>
        </w:rPr>
        <w:t>采购人：</w:t>
      </w:r>
      <w:r>
        <w:rPr>
          <w:rFonts w:hint="eastAsia" w:ascii="宋体" w:hAnsi="宋体" w:eastAsia="宋体" w:cs="宋体"/>
          <w:b/>
          <w:color w:val="auto"/>
          <w:spacing w:val="14"/>
          <w:w w:val="97"/>
          <w:sz w:val="32"/>
          <w:szCs w:val="32"/>
          <w:highlight w:val="none"/>
          <w:lang w:val="en-US" w:eastAsia="zh-CN"/>
        </w:rPr>
        <w:t>三门峡市住房服务保障中心</w:t>
      </w:r>
      <w:bookmarkEnd w:id="2"/>
      <w:r>
        <w:rPr>
          <w:rFonts w:hint="eastAsia" w:ascii="宋体" w:hAnsi="宋体" w:eastAsia="宋体" w:cs="宋体"/>
          <w:b/>
          <w:color w:val="auto"/>
          <w:spacing w:val="14"/>
          <w:w w:val="97"/>
          <w:sz w:val="32"/>
          <w:szCs w:val="32"/>
          <w:highlight w:val="none"/>
        </w:rPr>
        <w:t xml:space="preserve"> </w:t>
      </w:r>
    </w:p>
    <w:p w14:paraId="46DD5F3B">
      <w:pPr>
        <w:wordWrap w:val="0"/>
        <w:topLinePunct/>
        <w:spacing w:line="600" w:lineRule="exact"/>
        <w:jc w:val="center"/>
        <w:outlineLvl w:val="0"/>
        <w:rPr>
          <w:rFonts w:hint="eastAsia" w:ascii="宋体" w:hAnsi="宋体" w:eastAsia="宋体" w:cs="宋体"/>
          <w:b/>
          <w:color w:val="auto"/>
          <w:sz w:val="30"/>
          <w:szCs w:val="30"/>
          <w:highlight w:val="none"/>
          <w:lang w:eastAsia="zh-CN"/>
        </w:rPr>
      </w:pPr>
      <w:bookmarkStart w:id="3" w:name="_Toc16258"/>
      <w:r>
        <w:rPr>
          <w:rFonts w:hint="eastAsia" w:ascii="宋体" w:hAnsi="宋体" w:eastAsia="宋体" w:cs="宋体"/>
          <w:b/>
          <w:color w:val="auto"/>
          <w:spacing w:val="14"/>
          <w:w w:val="97"/>
          <w:sz w:val="32"/>
          <w:szCs w:val="32"/>
          <w:highlight w:val="none"/>
        </w:rPr>
        <w:t>代理机构：</w:t>
      </w:r>
      <w:r>
        <w:rPr>
          <w:rFonts w:hint="eastAsia" w:ascii="宋体" w:hAnsi="宋体" w:eastAsia="宋体" w:cs="宋体"/>
          <w:b/>
          <w:color w:val="auto"/>
          <w:spacing w:val="14"/>
          <w:w w:val="97"/>
          <w:sz w:val="32"/>
          <w:szCs w:val="32"/>
          <w:highlight w:val="none"/>
          <w:lang w:eastAsia="zh-CN"/>
        </w:rPr>
        <w:t>河南精开咨询有限公司</w:t>
      </w:r>
      <w:bookmarkEnd w:id="3"/>
    </w:p>
    <w:p w14:paraId="6F7219F0">
      <w:pPr>
        <w:wordWrap w:val="0"/>
        <w:topLinePunct/>
        <w:spacing w:line="600" w:lineRule="exact"/>
        <w:jc w:val="center"/>
        <w:rPr>
          <w:rFonts w:ascii="宋体" w:hAnsi="宋体" w:eastAsia="宋体" w:cs="宋体"/>
          <w:color w:val="auto"/>
          <w:sz w:val="28"/>
          <w:szCs w:val="28"/>
          <w:highlight w:val="none"/>
        </w:rPr>
      </w:pPr>
      <w:r>
        <w:rPr>
          <w:rFonts w:hint="eastAsia" w:ascii="宋体" w:hAnsi="宋体" w:eastAsia="宋体" w:cs="宋体"/>
          <w:b/>
          <w:color w:val="auto"/>
          <w:spacing w:val="14"/>
          <w:w w:val="97"/>
          <w:sz w:val="32"/>
          <w:szCs w:val="32"/>
          <w:highlight w:val="none"/>
        </w:rPr>
        <w:t>编制时间</w:t>
      </w:r>
      <w:r>
        <w:rPr>
          <w:rFonts w:hint="eastAsia" w:ascii="宋体" w:hAnsi="宋体" w:eastAsia="宋体" w:cs="宋体"/>
          <w:b/>
          <w:color w:val="auto"/>
          <w:sz w:val="30"/>
          <w:szCs w:val="30"/>
          <w:highlight w:val="none"/>
        </w:rPr>
        <w:t>：</w:t>
      </w:r>
      <w:r>
        <w:rPr>
          <w:rFonts w:hint="eastAsia" w:ascii="宋体" w:hAnsi="宋体" w:eastAsia="宋体" w:cs="宋体"/>
          <w:b/>
          <w:color w:val="auto"/>
          <w:spacing w:val="14"/>
          <w:w w:val="97"/>
          <w:sz w:val="32"/>
          <w:szCs w:val="32"/>
          <w:highlight w:val="none"/>
        </w:rPr>
        <w:t>二〇二</w:t>
      </w:r>
      <w:r>
        <w:rPr>
          <w:rFonts w:hint="eastAsia" w:ascii="宋体" w:hAnsi="宋体" w:eastAsia="宋体" w:cs="宋体"/>
          <w:b/>
          <w:color w:val="auto"/>
          <w:spacing w:val="14"/>
          <w:w w:val="97"/>
          <w:sz w:val="32"/>
          <w:szCs w:val="32"/>
          <w:highlight w:val="none"/>
          <w:lang w:eastAsia="zh-CN"/>
        </w:rPr>
        <w:t>五</w:t>
      </w:r>
      <w:r>
        <w:rPr>
          <w:rFonts w:hint="eastAsia" w:ascii="宋体" w:hAnsi="宋体" w:eastAsia="宋体" w:cs="宋体"/>
          <w:b/>
          <w:color w:val="auto"/>
          <w:spacing w:val="14"/>
          <w:w w:val="97"/>
          <w:sz w:val="32"/>
          <w:szCs w:val="32"/>
          <w:highlight w:val="none"/>
        </w:rPr>
        <w:t>年</w:t>
      </w:r>
      <w:r>
        <w:rPr>
          <w:rFonts w:hint="eastAsia" w:ascii="宋体" w:hAnsi="宋体" w:eastAsia="宋体" w:cs="宋体"/>
          <w:b/>
          <w:color w:val="auto"/>
          <w:spacing w:val="14"/>
          <w:w w:val="97"/>
          <w:sz w:val="32"/>
          <w:szCs w:val="32"/>
          <w:highlight w:val="none"/>
          <w:lang w:val="en-US" w:eastAsia="zh-CN"/>
        </w:rPr>
        <w:t>四</w:t>
      </w:r>
      <w:r>
        <w:rPr>
          <w:rFonts w:hint="eastAsia" w:ascii="宋体" w:hAnsi="宋体" w:eastAsia="宋体" w:cs="宋体"/>
          <w:b/>
          <w:color w:val="auto"/>
          <w:spacing w:val="14"/>
          <w:w w:val="97"/>
          <w:sz w:val="32"/>
          <w:szCs w:val="32"/>
          <w:highlight w:val="none"/>
        </w:rPr>
        <w:t>月</w:t>
      </w:r>
    </w:p>
    <w:p w14:paraId="36830B81">
      <w:pPr>
        <w:wordWrap w:val="0"/>
        <w:topLinePunct/>
        <w:spacing w:before="312" w:beforeLines="100" w:after="312" w:afterLines="100" w:line="300" w:lineRule="auto"/>
        <w:jc w:val="center"/>
        <w:rPr>
          <w:rFonts w:ascii="宋体" w:hAnsi="宋体" w:eastAsia="宋体" w:cs="Courier New"/>
          <w:b/>
          <w:bCs/>
          <w:color w:val="auto"/>
          <w:sz w:val="28"/>
          <w:szCs w:val="28"/>
          <w:highlight w:val="none"/>
        </w:rPr>
        <w:sectPr>
          <w:pgSz w:w="11907" w:h="16840"/>
          <w:pgMar w:top="1134" w:right="1134" w:bottom="1134" w:left="1134" w:header="777" w:footer="641" w:gutter="0"/>
          <w:cols w:space="0" w:num="1"/>
          <w:rtlGutter w:val="0"/>
          <w:docGrid w:type="linesAndChars" w:linePitch="312" w:charSpace="0"/>
        </w:sectPr>
      </w:pPr>
    </w:p>
    <w:p w14:paraId="3390B452">
      <w:pPr>
        <w:wordWrap w:val="0"/>
        <w:topLinePunct/>
        <w:spacing w:line="300" w:lineRule="auto"/>
        <w:rPr>
          <w:rFonts w:ascii="宋体" w:hAnsi="宋体" w:eastAsia="宋体" w:cs="宋体"/>
          <w:color w:val="auto"/>
          <w:szCs w:val="21"/>
          <w:highlight w:val="none"/>
        </w:rPr>
      </w:pPr>
      <w:bookmarkStart w:id="4" w:name="_Toc15390"/>
    </w:p>
    <w:sdt>
      <w:sdtPr>
        <w:rPr>
          <w:rFonts w:ascii="宋体" w:hAnsi="宋体" w:eastAsia="宋体" w:cstheme="minorBidi"/>
          <w:kern w:val="2"/>
          <w:sz w:val="21"/>
          <w:szCs w:val="24"/>
          <w:lang w:val="en-US" w:eastAsia="zh-CN" w:bidi="ar-SA"/>
        </w:rPr>
        <w:id w:val="14745178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15C2AD7C">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44"/>
              <w:szCs w:val="44"/>
            </w:rPr>
            <w:t>目录</w:t>
          </w:r>
        </w:p>
        <w:p w14:paraId="29D898E3">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TOC \o "1-1" \h \u </w:instrText>
          </w:r>
          <w:r>
            <w:rPr>
              <w:rFonts w:hint="eastAsia" w:asciiTheme="majorEastAsia" w:hAnsiTheme="majorEastAsia" w:eastAsiaTheme="majorEastAsia" w:cstheme="majorEastAsia"/>
              <w:b/>
              <w:bCs/>
              <w:sz w:val="28"/>
              <w:szCs w:val="28"/>
            </w:rPr>
            <w:fldChar w:fldCharType="separate"/>
          </w:r>
        </w:p>
        <w:p w14:paraId="3AC51BFC">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_Toc4687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highlight w:val="none"/>
            </w:rPr>
            <w:t>第一章  竞争性磋商公告</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_Toc4687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3</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1BBC9553">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_Toc11709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xml:space="preserve">第二章 </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highlight w:val="none"/>
            </w:rPr>
            <w:t>供应商须知</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_Toc11709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7</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686573E6">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_Toc28256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highlight w:val="none"/>
            </w:rPr>
            <w:t>第三章  评审办法</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_Toc28256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25</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65A0FCF8">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_Toc19982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highlight w:val="none"/>
            </w:rPr>
            <w:t>第四章  合同条款及格式</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_Toc19982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32</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3F86E71B">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_Toc24498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highlight w:val="none"/>
            </w:rPr>
            <w:t>第</w:t>
          </w:r>
          <w:r>
            <w:rPr>
              <w:rFonts w:hint="eastAsia" w:asciiTheme="majorEastAsia" w:hAnsiTheme="majorEastAsia" w:eastAsiaTheme="majorEastAsia" w:cstheme="majorEastAsia"/>
              <w:b/>
              <w:bCs/>
              <w:sz w:val="28"/>
              <w:szCs w:val="28"/>
              <w:highlight w:val="none"/>
              <w:lang w:eastAsia="zh-CN"/>
            </w:rPr>
            <w:t>五</w:t>
          </w:r>
          <w:r>
            <w:rPr>
              <w:rFonts w:hint="eastAsia" w:asciiTheme="majorEastAsia" w:hAnsiTheme="majorEastAsia" w:eastAsiaTheme="majorEastAsia" w:cstheme="majorEastAsia"/>
              <w:b/>
              <w:bCs/>
              <w:sz w:val="28"/>
              <w:szCs w:val="28"/>
              <w:highlight w:val="none"/>
            </w:rPr>
            <w:t xml:space="preserve">章  </w:t>
          </w:r>
          <w:r>
            <w:rPr>
              <w:rFonts w:hint="eastAsia" w:asciiTheme="majorEastAsia" w:hAnsiTheme="majorEastAsia" w:eastAsiaTheme="majorEastAsia" w:cstheme="majorEastAsia"/>
              <w:b/>
              <w:bCs/>
              <w:sz w:val="28"/>
              <w:szCs w:val="28"/>
            </w:rPr>
            <w:t>工程量清单</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_Toc24498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71</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161303AD">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_Toc10609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第六章  技术标准和要求</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_Toc10609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72</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75AF0367">
          <w:pPr>
            <w:pStyle w:val="29"/>
            <w:tabs>
              <w:tab w:val="right" w:leader="dot" w:pos="9071"/>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_Toc24099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highlight w:val="none"/>
              <w:lang w:eastAsia="zh-CN"/>
            </w:rPr>
            <w:t>第七章</w:t>
          </w:r>
          <w:r>
            <w:rPr>
              <w:rFonts w:hint="eastAsia" w:asciiTheme="majorEastAsia" w:hAnsiTheme="majorEastAsia" w:eastAsiaTheme="majorEastAsia" w:cstheme="majorEastAsia"/>
              <w:b/>
              <w:bCs/>
              <w:sz w:val="28"/>
              <w:szCs w:val="28"/>
              <w:highlight w:val="none"/>
            </w:rPr>
            <w:t xml:space="preserve"> 响应文件格式</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PAGEREF _Toc24099 \h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73</w:t>
          </w:r>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end"/>
          </w:r>
        </w:p>
        <w:p w14:paraId="419663FB">
          <w:r>
            <w:rPr>
              <w:rFonts w:hint="eastAsia" w:asciiTheme="majorEastAsia" w:hAnsiTheme="majorEastAsia" w:eastAsiaTheme="majorEastAsia" w:cstheme="majorEastAsia"/>
              <w:b/>
              <w:bCs/>
              <w:sz w:val="28"/>
              <w:szCs w:val="28"/>
            </w:rPr>
            <w:fldChar w:fldCharType="end"/>
          </w:r>
        </w:p>
      </w:sdtContent>
    </w:sdt>
    <w:p w14:paraId="2D470596"/>
    <w:p w14:paraId="5F2CE3A6">
      <w:pPr>
        <w:spacing w:line="348" w:lineRule="auto"/>
        <w:ind w:firstLine="640" w:firstLineChars="200"/>
        <w:jc w:val="center"/>
        <w:outlineLvl w:val="0"/>
        <w:rPr>
          <w:rFonts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br w:type="page"/>
      </w:r>
      <w:bookmarkEnd w:id="4"/>
      <w:bookmarkStart w:id="5" w:name="_Toc4687"/>
      <w:bookmarkStart w:id="6" w:name="_Toc23774424"/>
      <w:bookmarkStart w:id="7" w:name="_Toc410126998"/>
      <w:r>
        <w:rPr>
          <w:rFonts w:hint="eastAsia" w:ascii="宋体" w:hAnsi="宋体" w:eastAsia="宋体" w:cs="宋体"/>
          <w:b/>
          <w:bCs/>
          <w:color w:val="auto"/>
          <w:sz w:val="40"/>
          <w:szCs w:val="40"/>
          <w:highlight w:val="none"/>
        </w:rPr>
        <w:t xml:space="preserve">第一章  </w:t>
      </w:r>
      <w:r>
        <w:rPr>
          <w:rFonts w:hint="eastAsia" w:ascii="宋体" w:hAnsi="宋体" w:eastAsia="宋体" w:cs="宋体"/>
          <w:b/>
          <w:color w:val="auto"/>
          <w:sz w:val="40"/>
          <w:szCs w:val="40"/>
          <w:highlight w:val="none"/>
        </w:rPr>
        <w:t>竞争性磋商公告</w:t>
      </w:r>
      <w:bookmarkEnd w:id="5"/>
      <w:bookmarkEnd w:id="6"/>
    </w:p>
    <w:p w14:paraId="40C34A59">
      <w:pPr>
        <w:spacing w:line="360" w:lineRule="auto"/>
        <w:ind w:firstLine="566" w:firstLineChars="236"/>
        <w:rPr>
          <w:rFonts w:hint="eastAsia" w:ascii="宋体" w:hAnsi="宋体"/>
          <w:color w:val="auto"/>
          <w:sz w:val="24"/>
          <w:szCs w:val="24"/>
          <w:highlight w:val="none"/>
        </w:rPr>
      </w:pPr>
      <w:bookmarkStart w:id="8" w:name="OLE_LINK1"/>
      <w:r>
        <w:rPr>
          <w:rFonts w:hint="eastAsia" w:ascii="宋体" w:hAnsi="宋体"/>
          <w:color w:val="auto"/>
          <w:sz w:val="24"/>
          <w:szCs w:val="24"/>
          <w:highlight w:val="none"/>
        </w:rPr>
        <w:t>项目概况</w:t>
      </w:r>
    </w:p>
    <w:p w14:paraId="344C8D73">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lang w:eastAsia="zh-CN"/>
        </w:rPr>
        <w:t>三门峡市迎宾花园、南康乐家园（德馨园）、惠利花园住宅小区厨房加装推拉门工程</w:t>
      </w:r>
      <w:r>
        <w:rPr>
          <w:rFonts w:hint="eastAsia" w:ascii="宋体" w:hAnsi="宋体"/>
          <w:color w:val="auto"/>
          <w:sz w:val="24"/>
          <w:szCs w:val="24"/>
          <w:highlight w:val="none"/>
        </w:rPr>
        <w:t>的潜在供应商应在三门峡市公共资源交易中心网上获取</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文件，并于202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分（北京时间）前递交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2E2AFCAF">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项目基本情况</w:t>
      </w:r>
    </w:p>
    <w:p w14:paraId="2D0E81B6">
      <w:pPr>
        <w:spacing w:line="360" w:lineRule="auto"/>
        <w:ind w:firstLine="566" w:firstLineChars="236"/>
        <w:rPr>
          <w:rFonts w:hint="default" w:ascii="宋体" w:hAnsi="宋体"/>
          <w:color w:val="auto"/>
          <w:sz w:val="24"/>
          <w:szCs w:val="24"/>
          <w:highlight w:val="none"/>
          <w:lang w:val="en-US"/>
        </w:rPr>
      </w:pPr>
      <w:r>
        <w:rPr>
          <w:rFonts w:hint="eastAsia" w:ascii="宋体" w:hAnsi="宋体"/>
          <w:color w:val="auto"/>
          <w:sz w:val="24"/>
          <w:szCs w:val="24"/>
          <w:highlight w:val="none"/>
        </w:rPr>
        <w:t>1.采购项目编号：三财竞磋采购-202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19  </w:t>
      </w:r>
      <w:r>
        <w:rPr>
          <w:rFonts w:hint="eastAsia" w:ascii="宋体" w:hAnsi="宋体"/>
          <w:color w:val="auto"/>
          <w:sz w:val="24"/>
          <w:szCs w:val="24"/>
          <w:highlight w:val="none"/>
        </w:rPr>
        <w:t>SGZ[2025]171-ZC116</w:t>
      </w:r>
    </w:p>
    <w:p w14:paraId="2D4D569A">
      <w:pPr>
        <w:spacing w:line="360" w:lineRule="auto"/>
        <w:ind w:firstLine="566" w:firstLineChars="236"/>
        <w:rPr>
          <w:rFonts w:hint="eastAsia" w:ascii="宋体" w:hAnsi="宋体" w:eastAsiaTheme="minorEastAsia"/>
          <w:color w:val="auto"/>
          <w:sz w:val="24"/>
          <w:szCs w:val="24"/>
          <w:highlight w:val="none"/>
          <w:lang w:eastAsia="zh-CN"/>
        </w:rPr>
      </w:pPr>
      <w:r>
        <w:rPr>
          <w:rFonts w:ascii="宋体" w:hAnsi="宋体"/>
          <w:color w:val="auto"/>
          <w:sz w:val="24"/>
          <w:szCs w:val="24"/>
          <w:highlight w:val="none"/>
        </w:rPr>
        <w:t>2.</w:t>
      </w:r>
      <w:r>
        <w:rPr>
          <w:rFonts w:hint="eastAsia" w:ascii="宋体" w:hAnsi="宋体"/>
          <w:color w:val="auto"/>
          <w:sz w:val="24"/>
          <w:szCs w:val="24"/>
          <w:highlight w:val="none"/>
        </w:rPr>
        <w:t>采购项目名称：</w:t>
      </w:r>
      <w:r>
        <w:rPr>
          <w:rFonts w:hint="eastAsia" w:ascii="宋体" w:hAnsi="宋体"/>
          <w:color w:val="auto"/>
          <w:sz w:val="24"/>
          <w:szCs w:val="24"/>
          <w:highlight w:val="none"/>
          <w:lang w:eastAsia="zh-CN"/>
        </w:rPr>
        <w:t>三门峡市迎宾花园、南康乐家园（德馨园）、惠利花园住宅小区厨房加装推拉门工程</w:t>
      </w:r>
    </w:p>
    <w:p w14:paraId="66298A4F">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 xml:space="preserve">     </w:t>
      </w:r>
    </w:p>
    <w:p w14:paraId="511D4DC2">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:3577314.32元</w:t>
      </w:r>
      <w:r>
        <w:rPr>
          <w:rFonts w:hint="eastAsia" w:ascii="宋体" w:hAnsi="宋体" w:eastAsia="宋体" w:cs="宋体"/>
          <w:color w:val="auto"/>
          <w:sz w:val="24"/>
          <w:szCs w:val="24"/>
          <w:highlight w:val="none"/>
        </w:rPr>
        <w:t xml:space="preserve"> </w:t>
      </w:r>
    </w:p>
    <w:p w14:paraId="4A87B421">
      <w:pPr>
        <w:pStyle w:val="11"/>
        <w:spacing w:line="360" w:lineRule="auto"/>
        <w:ind w:firstLine="2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:3577314.32元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p>
    <w:tbl>
      <w:tblPr>
        <w:tblStyle w:val="13"/>
        <w:tblW w:w="93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616"/>
        <w:gridCol w:w="2953"/>
        <w:gridCol w:w="1519"/>
        <w:gridCol w:w="1494"/>
      </w:tblGrid>
      <w:tr w14:paraId="17DC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14:paraId="34E2F271">
            <w:pPr>
              <w:widowControl/>
              <w:spacing w:line="440" w:lineRule="exact"/>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357" w:type="dxa"/>
            <w:noWrap w:val="0"/>
            <w:vAlign w:val="center"/>
          </w:tcPr>
          <w:p w14:paraId="45E3D549">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3163" w:type="dxa"/>
            <w:noWrap w:val="0"/>
            <w:vAlign w:val="center"/>
          </w:tcPr>
          <w:p w14:paraId="124F373C">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530" w:type="dxa"/>
            <w:noWrap w:val="0"/>
            <w:vAlign w:val="center"/>
          </w:tcPr>
          <w:p w14:paraId="2E95E72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w:t>
            </w:r>
          </w:p>
          <w:p w14:paraId="6275F620">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c>
          <w:tcPr>
            <w:tcW w:w="1502" w:type="dxa"/>
            <w:noWrap w:val="0"/>
            <w:vAlign w:val="center"/>
          </w:tcPr>
          <w:p w14:paraId="437CB6F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w:t>
            </w:r>
          </w:p>
          <w:p w14:paraId="57A52078">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r>
      <w:tr w14:paraId="54D5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70" w:type="dxa"/>
            <w:noWrap w:val="0"/>
            <w:vAlign w:val="center"/>
          </w:tcPr>
          <w:p w14:paraId="7130F38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357" w:type="dxa"/>
            <w:noWrap w:val="0"/>
            <w:vAlign w:val="center"/>
          </w:tcPr>
          <w:p w14:paraId="537D4B33">
            <w:pPr>
              <w:widowControl/>
              <w:spacing w:line="440" w:lineRule="exact"/>
              <w:jc w:val="both"/>
              <w:rPr>
                <w:rFonts w:hint="default" w:ascii="宋体" w:hAnsi="宋体" w:cs="宋体" w:eastAsiaTheme="minorEastAsia"/>
                <w:color w:val="auto"/>
                <w:kern w:val="0"/>
                <w:sz w:val="24"/>
                <w:szCs w:val="24"/>
                <w:highlight w:val="none"/>
                <w:lang w:val="en-US" w:eastAsia="zh-CN"/>
              </w:rPr>
            </w:pPr>
            <w:r>
              <w:rPr>
                <w:rFonts w:hint="eastAsia" w:ascii="宋体" w:hAnsi="宋体"/>
                <w:color w:val="auto"/>
                <w:sz w:val="24"/>
                <w:szCs w:val="24"/>
                <w:highlight w:val="none"/>
              </w:rPr>
              <w:t>SGZ[2025]171-ZC116</w:t>
            </w:r>
            <w:r>
              <w:rPr>
                <w:rFonts w:hint="eastAsia" w:ascii="宋体" w:hAnsi="宋体"/>
                <w:color w:val="auto"/>
                <w:sz w:val="24"/>
                <w:szCs w:val="24"/>
                <w:highlight w:val="none"/>
                <w:lang w:val="en-US" w:eastAsia="zh-CN"/>
              </w:rPr>
              <w:t>-1</w:t>
            </w:r>
          </w:p>
        </w:tc>
        <w:tc>
          <w:tcPr>
            <w:tcW w:w="3163" w:type="dxa"/>
            <w:noWrap w:val="0"/>
            <w:vAlign w:val="center"/>
          </w:tcPr>
          <w:p w14:paraId="3FC8372B">
            <w:pPr>
              <w:widowControl/>
              <w:spacing w:line="440" w:lineRule="exact"/>
              <w:jc w:val="center"/>
              <w:rPr>
                <w:rFonts w:hint="eastAsia" w:ascii="宋体" w:hAnsi="宋体" w:cs="宋体" w:eastAsiaTheme="minorEastAsia"/>
                <w:color w:val="auto"/>
                <w:kern w:val="0"/>
                <w:sz w:val="24"/>
                <w:szCs w:val="24"/>
                <w:highlight w:val="none"/>
                <w:lang w:eastAsia="zh-CN"/>
              </w:rPr>
            </w:pPr>
            <w:r>
              <w:rPr>
                <w:rFonts w:hint="eastAsia" w:ascii="宋体" w:hAnsi="宋体" w:cs="宋体"/>
                <w:color w:val="auto"/>
                <w:kern w:val="0"/>
                <w:sz w:val="24"/>
                <w:szCs w:val="24"/>
                <w:highlight w:val="none"/>
                <w:lang w:eastAsia="zh-CN"/>
              </w:rPr>
              <w:t>三门峡市迎宾花园、南康乐家园（德馨园）、惠利花园住宅小区厨房加装推拉门工程</w:t>
            </w:r>
          </w:p>
        </w:tc>
        <w:tc>
          <w:tcPr>
            <w:tcW w:w="1530" w:type="dxa"/>
            <w:noWrap w:val="0"/>
            <w:vAlign w:val="center"/>
          </w:tcPr>
          <w:p w14:paraId="54A4FD1B">
            <w:pPr>
              <w:widowControl/>
              <w:spacing w:line="44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3577314.32</w:t>
            </w:r>
          </w:p>
        </w:tc>
        <w:tc>
          <w:tcPr>
            <w:tcW w:w="1502" w:type="dxa"/>
            <w:noWrap w:val="0"/>
            <w:vAlign w:val="center"/>
          </w:tcPr>
          <w:p w14:paraId="686957BE">
            <w:pPr>
              <w:widowControl/>
              <w:spacing w:line="440" w:lineRule="exact"/>
              <w:jc w:val="center"/>
              <w:rPr>
                <w:rFonts w:hint="default" w:ascii="宋体" w:hAnsi="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rPr>
              <w:t>3577314.32</w:t>
            </w:r>
          </w:p>
        </w:tc>
      </w:tr>
    </w:tbl>
    <w:p w14:paraId="5B37F98C">
      <w:pPr>
        <w:pStyle w:val="30"/>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lang w:eastAsia="zh-CN"/>
        </w:rPr>
        <w:t>项目概况：</w:t>
      </w:r>
      <w:r>
        <w:rPr>
          <w:rFonts w:hint="eastAsia" w:ascii="宋体" w:hAnsi="宋体" w:eastAsia="宋体" w:cs="宋体"/>
          <w:bCs/>
          <w:kern w:val="2"/>
          <w:sz w:val="24"/>
          <w:szCs w:val="24"/>
          <w:lang w:val="en-US" w:eastAsia="zh-CN" w:bidi="ar-SA"/>
        </w:rPr>
        <w:t>三门峡市迎宾花园一期16#～26#楼、二期8#～15#楼，三期7#、29#、30#楼，四期32#、33#楼，共计24栋2080套厨房安装钛镁合金推拉门；康乐家园（德馨园）18#、19#、20#、35#、36#、37#、41#楼，共计458套厨房安装钛镁合金推拉门；惠利花园6#楼，共计10套厨房安装钛镁合金推拉门等工程（共2548户）</w:t>
      </w:r>
      <w:r>
        <w:rPr>
          <w:rFonts w:hint="eastAsia" w:ascii="宋体" w:hAnsi="宋体" w:eastAsia="宋体" w:cs="宋体"/>
          <w:bCs/>
          <w:kern w:val="2"/>
          <w:sz w:val="28"/>
          <w:szCs w:val="28"/>
          <w:lang w:val="en-US" w:eastAsia="zh-CN" w:bidi="ar-SA"/>
        </w:rPr>
        <w:t>。</w:t>
      </w:r>
      <w:r>
        <w:rPr>
          <w:rFonts w:hint="eastAsia" w:ascii="宋体" w:hAnsi="宋体"/>
          <w:color w:val="auto"/>
          <w:sz w:val="24"/>
          <w:szCs w:val="24"/>
          <w:highlight w:val="none"/>
        </w:rPr>
        <w:t>(包括目标、标准、数量、规格、服务要求、验收、标准等</w:t>
      </w:r>
      <w:r>
        <w:rPr>
          <w:rFonts w:hint="eastAsia" w:ascii="宋体" w:hAnsi="宋体"/>
          <w:color w:val="auto"/>
          <w:sz w:val="24"/>
          <w:szCs w:val="24"/>
          <w:highlight w:val="none"/>
          <w:lang w:eastAsia="zh-CN"/>
        </w:rPr>
        <w:t>、详见磋商文件</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14:paraId="4D18614D">
      <w:pPr>
        <w:spacing w:line="360" w:lineRule="auto"/>
        <w:ind w:firstLine="566" w:firstLineChars="236"/>
        <w:rPr>
          <w:rFonts w:hint="eastAsia" w:ascii="宋体" w:hAnsi="宋体"/>
          <w:color w:val="auto"/>
          <w:sz w:val="24"/>
          <w:szCs w:val="24"/>
          <w:highlight w:val="none"/>
        </w:rPr>
      </w:pPr>
      <w:r>
        <w:rPr>
          <w:rFonts w:ascii="宋体" w:hAnsi="宋体"/>
          <w:color w:val="auto"/>
          <w:sz w:val="24"/>
          <w:szCs w:val="24"/>
          <w:highlight w:val="none"/>
        </w:rPr>
        <w:t>5.1</w:t>
      </w:r>
      <w:r>
        <w:rPr>
          <w:rFonts w:hint="eastAsia" w:ascii="宋体" w:hAnsi="宋体"/>
          <w:color w:val="auto"/>
          <w:sz w:val="24"/>
          <w:szCs w:val="24"/>
          <w:highlight w:val="none"/>
          <w:lang w:eastAsia="zh-CN"/>
        </w:rPr>
        <w:t>磋商</w:t>
      </w:r>
      <w:r>
        <w:rPr>
          <w:rFonts w:ascii="宋体" w:hAnsi="宋体"/>
          <w:color w:val="auto"/>
          <w:sz w:val="24"/>
          <w:szCs w:val="24"/>
          <w:highlight w:val="none"/>
        </w:rPr>
        <w:t>范围：</w:t>
      </w:r>
      <w:r>
        <w:rPr>
          <w:rFonts w:hint="eastAsia" w:ascii="宋体" w:hAnsi="宋体"/>
          <w:color w:val="auto"/>
          <w:sz w:val="24"/>
          <w:szCs w:val="24"/>
          <w:highlight w:val="none"/>
        </w:rPr>
        <w:t>本项目磋商文件、补充文件、施工图纸、工程量清单及答疑纪要等列明的所有内容。</w:t>
      </w:r>
    </w:p>
    <w:p w14:paraId="47C42614">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5.2</w:t>
      </w:r>
      <w:r>
        <w:rPr>
          <w:rFonts w:hint="eastAsia" w:ascii="宋体" w:hAnsi="宋体"/>
          <w:color w:val="auto"/>
          <w:sz w:val="24"/>
          <w:szCs w:val="24"/>
          <w:highlight w:val="none"/>
        </w:rPr>
        <w:t>资金来源：财政资金，已落实。</w:t>
      </w:r>
    </w:p>
    <w:p w14:paraId="5D17B33D">
      <w:pPr>
        <w:spacing w:line="360" w:lineRule="auto"/>
        <w:ind w:firstLine="566" w:firstLineChars="236"/>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5.3控制价：</w:t>
      </w:r>
      <w:r>
        <w:rPr>
          <w:rFonts w:hint="eastAsia" w:ascii="宋体" w:hAnsi="宋体" w:eastAsia="宋体" w:cs="宋体"/>
          <w:color w:val="auto"/>
          <w:sz w:val="24"/>
          <w:szCs w:val="24"/>
          <w:highlight w:val="none"/>
          <w:lang w:val="en-US" w:eastAsia="zh-CN"/>
        </w:rPr>
        <w:t>3577314.32</w:t>
      </w:r>
      <w:r>
        <w:rPr>
          <w:rFonts w:hint="eastAsia" w:ascii="宋体" w:hAnsi="宋体"/>
          <w:color w:val="auto"/>
          <w:sz w:val="24"/>
          <w:szCs w:val="24"/>
          <w:highlight w:val="none"/>
          <w:lang w:val="en-US" w:eastAsia="zh-CN"/>
        </w:rPr>
        <w:t>元；</w:t>
      </w:r>
    </w:p>
    <w:p w14:paraId="33867DDB">
      <w:pPr>
        <w:spacing w:line="360" w:lineRule="auto"/>
        <w:ind w:firstLine="566" w:firstLineChars="236"/>
        <w:rPr>
          <w:rFonts w:hint="eastAsia"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质量</w:t>
      </w:r>
      <w:r>
        <w:rPr>
          <w:rFonts w:hint="eastAsia" w:ascii="宋体" w:hAnsi="宋体"/>
          <w:color w:val="auto"/>
          <w:sz w:val="24"/>
          <w:szCs w:val="24"/>
          <w:highlight w:val="none"/>
          <w:lang w:eastAsia="zh-CN"/>
        </w:rPr>
        <w:t>标准</w:t>
      </w:r>
      <w:r>
        <w:rPr>
          <w:rFonts w:hint="eastAsia" w:ascii="宋体" w:hAnsi="宋体"/>
          <w:color w:val="auto"/>
          <w:sz w:val="24"/>
          <w:szCs w:val="24"/>
          <w:highlight w:val="none"/>
        </w:rPr>
        <w:t>：达到国家规定质量验收合格标准。</w:t>
      </w:r>
    </w:p>
    <w:p w14:paraId="02CAFEC1">
      <w:pPr>
        <w:spacing w:line="360" w:lineRule="auto"/>
        <w:ind w:firstLine="566" w:firstLineChars="236"/>
        <w:rPr>
          <w:rFonts w:hint="default" w:ascii="宋体" w:hAnsi="宋体"/>
          <w:color w:val="auto"/>
          <w:sz w:val="24"/>
          <w:szCs w:val="24"/>
          <w:highlight w:val="none"/>
          <w:lang w:val="en-US" w:eastAsia="zh-CN"/>
        </w:rPr>
      </w:pPr>
      <w:r>
        <w:rPr>
          <w:rFonts w:ascii="宋体" w:hAnsi="宋体"/>
          <w:color w:val="auto"/>
          <w:sz w:val="24"/>
          <w:szCs w:val="24"/>
          <w:highlight w:val="none"/>
        </w:rPr>
        <w:t>5.</w:t>
      </w:r>
      <w:r>
        <w:rPr>
          <w:rFonts w:hint="eastAsia" w:ascii="宋体" w:hAnsi="宋体"/>
          <w:color w:val="auto"/>
          <w:sz w:val="24"/>
          <w:szCs w:val="24"/>
          <w:highlight w:val="none"/>
          <w:lang w:val="en-US" w:eastAsia="zh-CN"/>
        </w:rPr>
        <w:t>5 工 期：自合同签订之日起180日历天</w:t>
      </w:r>
    </w:p>
    <w:p w14:paraId="2A60EF07">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 xml:space="preserve">5.6 安全目标：零事故 </w:t>
      </w:r>
    </w:p>
    <w:p w14:paraId="2F8FA77E">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6.合同履行期限：按合同约定执行。</w:t>
      </w:r>
    </w:p>
    <w:p w14:paraId="00584322">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7.本项目是否接受联合体投标：否</w:t>
      </w:r>
    </w:p>
    <w:p w14:paraId="41D26786">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8.是否接受进口产品：否</w:t>
      </w:r>
    </w:p>
    <w:p w14:paraId="49FEBA9A">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.是否</w:t>
      </w:r>
      <w:r>
        <w:rPr>
          <w:rFonts w:hint="eastAsia" w:ascii="宋体" w:hAnsi="宋体"/>
          <w:color w:val="auto"/>
          <w:sz w:val="24"/>
          <w:szCs w:val="24"/>
          <w:highlight w:val="none"/>
          <w:lang w:eastAsia="zh-CN"/>
        </w:rPr>
        <w:t>专门面向中小企业</w:t>
      </w:r>
      <w:r>
        <w:rPr>
          <w:rFonts w:hint="eastAsia" w:ascii="宋体" w:hAnsi="宋体"/>
          <w:color w:val="auto"/>
          <w:sz w:val="24"/>
          <w:szCs w:val="24"/>
          <w:highlight w:val="none"/>
        </w:rPr>
        <w:t>：否</w:t>
      </w:r>
    </w:p>
    <w:p w14:paraId="251B9E82">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申请人</w:t>
      </w:r>
      <w:r>
        <w:rPr>
          <w:rFonts w:hint="eastAsia" w:ascii="宋体" w:hAnsi="宋体"/>
          <w:color w:val="auto"/>
          <w:sz w:val="24"/>
          <w:szCs w:val="24"/>
          <w:highlight w:val="none"/>
        </w:rPr>
        <w:t>资格要求</w:t>
      </w:r>
    </w:p>
    <w:p w14:paraId="14C35E48">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满足《中华人民共和国政府采购法》第二十二条规定；</w:t>
      </w:r>
    </w:p>
    <w:p w14:paraId="7A5AD6B0">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落实政府采购政策满足的资格要求：</w:t>
      </w:r>
      <w:r>
        <w:rPr>
          <w:rFonts w:hint="eastAsia" w:ascii="宋体" w:hAnsi="宋体"/>
          <w:color w:val="auto"/>
          <w:sz w:val="24"/>
          <w:szCs w:val="28"/>
          <w:highlight w:val="none"/>
        </w:rPr>
        <w:t>本项目非专门面向中小微企业采购项目,执行优先采购节能环保、环境标志性产品，促进中小企业（监狱企业、残疾人福利性企业）发展等政府采购政策</w:t>
      </w:r>
      <w:r>
        <w:rPr>
          <w:rFonts w:hint="eastAsia" w:ascii="宋体" w:hAnsi="宋体"/>
          <w:color w:val="auto"/>
          <w:sz w:val="24"/>
          <w:szCs w:val="24"/>
          <w:highlight w:val="none"/>
        </w:rPr>
        <w:t>。</w:t>
      </w:r>
    </w:p>
    <w:p w14:paraId="01A6F1B7">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本项目的特定资格要求</w:t>
      </w:r>
    </w:p>
    <w:p w14:paraId="7A913F40">
      <w:pPr>
        <w:spacing w:line="360" w:lineRule="auto"/>
        <w:ind w:firstLine="566" w:firstLineChars="236"/>
        <w:rPr>
          <w:rFonts w:hint="eastAsia" w:ascii="宋体" w:hAns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rPr>
        <w:t>具备独立法人资格，具有有效的营业执照；</w:t>
      </w:r>
    </w:p>
    <w:p w14:paraId="73AD61DD">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供应商须具有建设行政主管部门颁发的建筑工程施工总承包</w:t>
      </w:r>
      <w:r>
        <w:rPr>
          <w:rFonts w:hint="eastAsia" w:ascii="宋体" w:hAnsi="宋体"/>
          <w:color w:val="auto"/>
          <w:sz w:val="24"/>
          <w:szCs w:val="24"/>
          <w:highlight w:val="none"/>
          <w:lang w:eastAsia="zh-CN"/>
        </w:rPr>
        <w:t>叁</w:t>
      </w:r>
      <w:r>
        <w:rPr>
          <w:rFonts w:hint="eastAsia" w:ascii="宋体" w:hAnsi="宋体"/>
          <w:color w:val="auto"/>
          <w:sz w:val="24"/>
          <w:szCs w:val="24"/>
          <w:highlight w:val="none"/>
        </w:rPr>
        <w:t>级及以上资质或建筑装修装饰工程专业承包贰级及以上资质，及有效的安全生产许可证，在人员、设备、资金等方面具有相应的施工能力；</w:t>
      </w:r>
    </w:p>
    <w:p w14:paraId="48BDADCA">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拟派项目经理须具备</w:t>
      </w:r>
      <w:r>
        <w:rPr>
          <w:rFonts w:hint="eastAsia" w:ascii="宋体" w:hAnsi="宋体"/>
          <w:color w:val="auto"/>
          <w:sz w:val="24"/>
          <w:szCs w:val="24"/>
          <w:highlight w:val="none"/>
          <w:lang w:eastAsia="zh-CN"/>
        </w:rPr>
        <w:t>建筑工程专业贰级及以上</w:t>
      </w:r>
      <w:r>
        <w:rPr>
          <w:rFonts w:hint="eastAsia" w:ascii="宋体" w:hAnsi="宋体"/>
          <w:color w:val="auto"/>
          <w:sz w:val="24"/>
          <w:szCs w:val="24"/>
          <w:highlight w:val="none"/>
        </w:rPr>
        <w:t>注册建造师资格，并具有有效的安全生产考核合格证，且未在其他在建工程项目中担任项目经理，并出具无在建项目证明（承诺书）</w:t>
      </w:r>
      <w:r>
        <w:rPr>
          <w:rFonts w:hint="eastAsia" w:ascii="宋体" w:hAnsi="宋体"/>
          <w:color w:val="auto"/>
          <w:sz w:val="24"/>
          <w:szCs w:val="28"/>
          <w:highlight w:val="none"/>
        </w:rPr>
        <w:t>；</w:t>
      </w:r>
    </w:p>
    <w:p w14:paraId="0D7C9930">
      <w:pPr>
        <w:spacing w:line="360" w:lineRule="auto"/>
        <w:ind w:firstLine="566" w:firstLineChars="236"/>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4供应商需出具本企业无商业贿赂及不正当竞争行为的承诺书（格式自拟）</w:t>
      </w:r>
      <w:r>
        <w:rPr>
          <w:rFonts w:hint="eastAsia" w:ascii="宋体" w:hAnsi="宋体"/>
          <w:color w:val="auto"/>
          <w:sz w:val="24"/>
          <w:szCs w:val="28"/>
          <w:highlight w:val="none"/>
        </w:rPr>
        <w:t>；</w:t>
      </w:r>
    </w:p>
    <w:p w14:paraId="0BB0AC8A">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根据《关于在政府采购活动中查询及使用信用记录有关问题的通知》</w:t>
      </w:r>
      <w:r>
        <w:rPr>
          <w:rFonts w:ascii="宋体" w:hAnsi="宋体"/>
          <w:color w:val="auto"/>
          <w:sz w:val="24"/>
          <w:szCs w:val="24"/>
          <w:highlight w:val="none"/>
        </w:rPr>
        <w:t>(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Pr>
          <w:rFonts w:hint="eastAsia" w:ascii="宋体" w:hAnsi="宋体"/>
          <w:color w:val="auto"/>
          <w:sz w:val="24"/>
          <w:szCs w:val="24"/>
          <w:highlight w:val="none"/>
        </w:rPr>
        <w:t>，提供网站的查询结果截图，截图要显示查询时间，查询时间自本公告发布之日起</w:t>
      </w:r>
      <w:r>
        <w:rPr>
          <w:rFonts w:hint="eastAsia" w:ascii="宋体" w:hAnsi="宋体"/>
          <w:color w:val="auto"/>
          <w:sz w:val="24"/>
          <w:szCs w:val="28"/>
          <w:highlight w:val="none"/>
        </w:rPr>
        <w:t>；</w:t>
      </w:r>
    </w:p>
    <w:p w14:paraId="148148F7">
      <w:pPr>
        <w:spacing w:line="360" w:lineRule="auto"/>
        <w:ind w:firstLine="566" w:firstLineChars="236"/>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3.6满足《中华人民共和国政府采购法》第二十二条规定承诺书；</w:t>
      </w:r>
    </w:p>
    <w:p w14:paraId="55CC2BF8">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三、获取</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w:t>
      </w:r>
    </w:p>
    <w:p w14:paraId="2766CD64">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1.时间</w:t>
      </w:r>
      <w:r>
        <w:rPr>
          <w:rFonts w:ascii="宋体" w:hAnsi="宋体"/>
          <w:color w:val="auto"/>
          <w:sz w:val="24"/>
          <w:szCs w:val="24"/>
          <w:highlight w:val="none"/>
        </w:rPr>
        <w:t>：</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日，每天上午00:00至12:00，下午12:00至23:59（北京时间，法定节假日除外。）</w:t>
      </w:r>
    </w:p>
    <w:p w14:paraId="061DC98B">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2.地点：三门峡市公共资源交易中心网</w:t>
      </w:r>
    </w:p>
    <w:p w14:paraId="7EA5A346">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3.方式：供应商凭CA数字证书通过三门峡市公共资源交易中心网（网址：http://gzjy.smx.gov.cn），点击交易平台选择“交易主体登录”，在所参与项目右侧点击参与投标，即可直接下载本项目竞争性磋商文件。</w:t>
      </w:r>
    </w:p>
    <w:p w14:paraId="0D5DC9BE">
      <w:pPr>
        <w:spacing w:line="360" w:lineRule="auto"/>
        <w:ind w:firstLine="566" w:firstLineChars="236"/>
        <w:jc w:val="left"/>
        <w:rPr>
          <w:rStyle w:val="22"/>
          <w:rFonts w:hint="eastAsia" w:ascii="宋体" w:hAnsi="宋体" w:eastAsia="宋体"/>
          <w:color w:val="auto"/>
          <w:sz w:val="24"/>
          <w:szCs w:val="24"/>
          <w:highlight w:val="none"/>
          <w:lang w:eastAsia="zh-CN"/>
        </w:rPr>
      </w:pPr>
      <w:r>
        <w:rPr>
          <w:rFonts w:hint="eastAsia" w:ascii="宋体" w:hAnsi="宋体"/>
          <w:color w:val="auto"/>
          <w:sz w:val="24"/>
          <w:szCs w:val="24"/>
          <w:highlight w:val="none"/>
        </w:rPr>
        <w:t>办理CA证书：http://gzjy.smx.gov.cn/bzzx/008001/20211105/57b16af9-ab87-4395-a723-7758c628a3f8.html</w:t>
      </w:r>
      <w:r>
        <w:rPr>
          <w:rFonts w:hint="eastAsia" w:ascii="宋体" w:hAnsi="宋体"/>
          <w:color w:val="auto"/>
          <w:sz w:val="24"/>
          <w:szCs w:val="24"/>
          <w:highlight w:val="none"/>
          <w:lang w:eastAsia="zh-CN"/>
        </w:rPr>
        <w:t>。</w:t>
      </w:r>
    </w:p>
    <w:p w14:paraId="06BE7B1F">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4.售价：0元</w:t>
      </w:r>
    </w:p>
    <w:p w14:paraId="329DD90E">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四、</w:t>
      </w:r>
      <w:r>
        <w:rPr>
          <w:rFonts w:hint="eastAsia" w:ascii="宋体" w:hAnsi="宋体"/>
          <w:color w:val="auto"/>
          <w:sz w:val="24"/>
          <w:szCs w:val="24"/>
          <w:highlight w:val="none"/>
          <w:lang w:eastAsia="zh-CN"/>
        </w:rPr>
        <w:t>响应文件提交</w:t>
      </w:r>
      <w:r>
        <w:rPr>
          <w:rFonts w:hint="eastAsia" w:ascii="宋体" w:hAnsi="宋体"/>
          <w:color w:val="auto"/>
          <w:sz w:val="24"/>
          <w:szCs w:val="24"/>
          <w:highlight w:val="none"/>
        </w:rPr>
        <w:t>截止时间及地点</w:t>
      </w:r>
    </w:p>
    <w:p w14:paraId="00981995">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分。</w:t>
      </w:r>
    </w:p>
    <w:p w14:paraId="383CED4C">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2.地点：加密电子竞争性磋商响应文件须在磋商截止时间前通过三门峡市公共资源交易中心电子交易平台加密上传。</w:t>
      </w:r>
    </w:p>
    <w:p w14:paraId="25DFC296">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五、</w:t>
      </w:r>
      <w:r>
        <w:rPr>
          <w:rFonts w:hint="eastAsia" w:ascii="宋体" w:hAnsi="宋体"/>
          <w:color w:val="auto"/>
          <w:sz w:val="24"/>
          <w:szCs w:val="24"/>
          <w:highlight w:val="none"/>
          <w:lang w:eastAsia="zh-CN"/>
        </w:rPr>
        <w:t>响应文件开启</w:t>
      </w:r>
      <w:r>
        <w:rPr>
          <w:rFonts w:hint="eastAsia" w:ascii="宋体" w:hAnsi="宋体"/>
          <w:color w:val="auto"/>
          <w:sz w:val="24"/>
          <w:szCs w:val="24"/>
          <w:highlight w:val="none"/>
        </w:rPr>
        <w:t>时间及地点</w:t>
      </w:r>
    </w:p>
    <w:p w14:paraId="15CAA277">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分。</w:t>
      </w:r>
    </w:p>
    <w:p w14:paraId="014ABB98">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2.地点：三门峡市公共资源交易中心五楼开标区</w:t>
      </w:r>
    </w:p>
    <w:p w14:paraId="27D1FB93">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六、发布公告的媒介</w:t>
      </w:r>
    </w:p>
    <w:p w14:paraId="7FB9E890">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本次公告</w:t>
      </w:r>
      <w:r>
        <w:rPr>
          <w:rFonts w:hint="eastAsia" w:ascii="宋体" w:hAnsi="宋体"/>
          <w:color w:val="auto"/>
          <w:sz w:val="24"/>
          <w:szCs w:val="24"/>
          <w:highlight w:val="none"/>
          <w:lang w:eastAsia="zh-CN"/>
        </w:rPr>
        <w:t>同时</w:t>
      </w:r>
      <w:r>
        <w:rPr>
          <w:rFonts w:hint="eastAsia" w:ascii="宋体" w:hAnsi="宋体"/>
          <w:color w:val="auto"/>
          <w:sz w:val="24"/>
          <w:szCs w:val="24"/>
          <w:highlight w:val="none"/>
        </w:rPr>
        <w:t>在《中国招标投标公共服务平台》、《三门峡市公共资源交易中心网》</w:t>
      </w:r>
      <w:r>
        <w:rPr>
          <w:rFonts w:hint="eastAsia" w:ascii="宋体" w:hAnsi="宋体"/>
          <w:color w:val="auto"/>
          <w:sz w:val="24"/>
          <w:szCs w:val="24"/>
          <w:highlight w:val="none"/>
          <w:lang w:eastAsia="zh-CN"/>
        </w:rPr>
        <w:t>、《河南省政府采购网》</w:t>
      </w:r>
      <w:r>
        <w:rPr>
          <w:rFonts w:hint="eastAsia" w:ascii="宋体" w:hAnsi="宋体"/>
          <w:color w:val="auto"/>
          <w:sz w:val="24"/>
          <w:szCs w:val="24"/>
          <w:highlight w:val="none"/>
        </w:rPr>
        <w:t>上发布</w:t>
      </w:r>
      <w:r>
        <w:rPr>
          <w:rFonts w:hint="eastAsia" w:ascii="宋体" w:hAnsi="宋体"/>
          <w:color w:val="auto"/>
          <w:sz w:val="24"/>
          <w:szCs w:val="24"/>
          <w:highlight w:val="none"/>
          <w:lang w:eastAsia="zh-CN"/>
        </w:rPr>
        <w:t>，公示期限为三个工作日</w:t>
      </w:r>
      <w:r>
        <w:rPr>
          <w:rFonts w:hint="eastAsia" w:ascii="宋体" w:hAnsi="宋体"/>
          <w:color w:val="auto"/>
          <w:sz w:val="24"/>
          <w:szCs w:val="24"/>
          <w:highlight w:val="none"/>
        </w:rPr>
        <w:t>。</w:t>
      </w:r>
    </w:p>
    <w:p w14:paraId="013C7A49">
      <w:pPr>
        <w:spacing w:line="360" w:lineRule="auto"/>
        <w:ind w:firstLine="484" w:firstLineChars="202"/>
        <w:rPr>
          <w:rFonts w:ascii="宋体" w:hAnsi="宋体"/>
          <w:color w:val="auto"/>
          <w:sz w:val="24"/>
          <w:szCs w:val="24"/>
          <w:highlight w:val="none"/>
        </w:rPr>
      </w:pPr>
      <w:r>
        <w:rPr>
          <w:rFonts w:ascii="宋体" w:hAnsi="宋体"/>
          <w:color w:val="auto"/>
          <w:sz w:val="24"/>
          <w:szCs w:val="24"/>
          <w:highlight w:val="none"/>
        </w:rPr>
        <w:t>七、其他补充事宜</w:t>
      </w:r>
    </w:p>
    <w:p w14:paraId="05F0C952">
      <w:pPr>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本项目为不见面开标项目，开标当日，供应商无需到开标现场参加开标会议，供应商应当在投标截止时间前，登陆不见面开标大厅选择登陆三门峡市公共资源电子招投标系统进行登陆（网址为</w:t>
      </w:r>
    </w:p>
    <w:p w14:paraId="0ECD5F12">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120.194.249.36:10094/BidOpening/bidopeninghallaction/hall/login）,在线准时参加开标活动并进行响应文件解密等。每位供应商的解密时间为开标时间起30分钟内完成。因供应商原因未能解密、解密失败或解密超时的将被拒绝。"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color w:val="auto"/>
          <w:sz w:val="24"/>
          <w:szCs w:val="24"/>
          <w:highlight w:val="none"/>
        </w:rPr>
        <w:fldChar w:fldCharType="end"/>
      </w:r>
    </w:p>
    <w:p w14:paraId="2436DDA5">
      <w:pPr>
        <w:spacing w:line="360" w:lineRule="auto"/>
        <w:ind w:firstLine="484" w:firstLineChars="202"/>
        <w:rPr>
          <w:rFonts w:ascii="宋体" w:hAnsi="宋体"/>
          <w:color w:val="auto"/>
          <w:sz w:val="24"/>
          <w:szCs w:val="24"/>
          <w:highlight w:val="none"/>
        </w:rPr>
      </w:pPr>
      <w:r>
        <w:rPr>
          <w:rFonts w:ascii="宋体" w:hAnsi="宋体"/>
          <w:color w:val="auto"/>
          <w:sz w:val="24"/>
          <w:szCs w:val="24"/>
          <w:highlight w:val="none"/>
        </w:rPr>
        <w:t>2.本项目为电子化、无纸化交易项目，开标时不再接受任何纸质资料，为保证</w:t>
      </w:r>
      <w:r>
        <w:rPr>
          <w:rFonts w:hint="eastAsia" w:ascii="宋体" w:hAnsi="宋体"/>
          <w:color w:val="auto"/>
          <w:sz w:val="24"/>
          <w:szCs w:val="24"/>
          <w:highlight w:val="none"/>
        </w:rPr>
        <w:t>您能投标成功，请需仔细阅读招标文件和三门峡市公共资源交易中心官网业务办理指南。</w:t>
      </w:r>
    </w:p>
    <w:p w14:paraId="7FA247EC">
      <w:pPr>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.根据《河南省财政厅关于优化政府采购营商环境有关问题的通知》（豫财购【2019】4号）第6条的规定，投标保证金不再收取。</w:t>
      </w:r>
    </w:p>
    <w:p w14:paraId="51A719A5">
      <w:pPr>
        <w:spacing w:line="360" w:lineRule="auto"/>
        <w:ind w:firstLine="484" w:firstLineChars="202"/>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.资格评审部分：资格评</w:t>
      </w:r>
      <w:r>
        <w:rPr>
          <w:rFonts w:hint="eastAsia" w:ascii="宋体" w:hAnsi="宋体"/>
          <w:color w:val="auto"/>
          <w:sz w:val="24"/>
          <w:szCs w:val="24"/>
          <w:highlight w:val="none"/>
          <w:lang w:eastAsia="zh-CN"/>
        </w:rPr>
        <w:t>审</w:t>
      </w:r>
      <w:r>
        <w:rPr>
          <w:rFonts w:hint="eastAsia" w:ascii="宋体" w:hAnsi="宋体"/>
          <w:color w:val="auto"/>
          <w:sz w:val="24"/>
          <w:szCs w:val="24"/>
          <w:highlight w:val="none"/>
        </w:rPr>
        <w:t>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文件为准，其上传资料真实性由供应商自行承担，同时，</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应在开标前自行完善主体库信息。</w:t>
      </w:r>
    </w:p>
    <w:p w14:paraId="307E3E26">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5.评标打分部分：评标打分部分按照100分制原则进行，涉及到资格审查、企业荣誉、人员业绩、企业业绩等计分部分时，以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自行上传到</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文件中的各类相应内容为准。</w:t>
      </w:r>
    </w:p>
    <w:p w14:paraId="0015C8B8">
      <w:pPr>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文件编制部分：在</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文件中要求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按照</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文件格式进行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文件编制，在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文件编制时，应明确将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企业基本情况、资质情况、人员情况、财务情况、业绩情况编入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文件，便于进行资格审查及评标打分。</w:t>
      </w:r>
    </w:p>
    <w:p w14:paraId="4AF56A19">
      <w:pPr>
        <w:spacing w:line="360" w:lineRule="auto"/>
        <w:ind w:firstLine="484" w:firstLineChars="202"/>
        <w:rPr>
          <w:rFonts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.我单位（采购人）严格按三财购【2021】9号文要求的时限发布</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结果公告，发出</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通知书，签订采购合同，上传采购合同。</w:t>
      </w:r>
    </w:p>
    <w:p w14:paraId="3345C1D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八、凡对本次招标提出询问，请按照以下方式联系</w:t>
      </w:r>
    </w:p>
    <w:p w14:paraId="1A0B6DB0">
      <w:pPr>
        <w:spacing w:line="360" w:lineRule="auto"/>
        <w:ind w:firstLine="566" w:firstLineChars="236"/>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三门峡市住房服务保障中心</w:t>
      </w:r>
      <w:r>
        <w:rPr>
          <w:rFonts w:hint="eastAsia" w:ascii="宋体" w:hAnsi="宋体"/>
          <w:color w:val="auto"/>
          <w:sz w:val="24"/>
          <w:szCs w:val="24"/>
          <w:highlight w:val="none"/>
        </w:rPr>
        <w:t xml:space="preserve"> </w:t>
      </w:r>
    </w:p>
    <w:p w14:paraId="05BAAC22">
      <w:pPr>
        <w:spacing w:line="360" w:lineRule="auto"/>
        <w:ind w:firstLine="566" w:firstLineChars="236"/>
        <w:jc w:val="left"/>
        <w:rPr>
          <w:rFonts w:hint="eastAsia" w:ascii="宋体" w:hAnsi="宋体"/>
          <w:color w:val="auto"/>
          <w:sz w:val="24"/>
          <w:szCs w:val="24"/>
          <w:highlight w:val="none"/>
        </w:rPr>
      </w:pPr>
      <w:r>
        <w:rPr>
          <w:rFonts w:hint="eastAsia" w:ascii="宋体" w:hAnsi="宋体"/>
          <w:color w:val="auto"/>
          <w:sz w:val="24"/>
          <w:szCs w:val="24"/>
          <w:highlight w:val="none"/>
        </w:rPr>
        <w:t>地    址：三门峡市</w:t>
      </w:r>
      <w:r>
        <w:rPr>
          <w:rFonts w:hint="eastAsia" w:ascii="宋体" w:hAnsi="宋体"/>
          <w:color w:val="auto"/>
          <w:sz w:val="24"/>
          <w:szCs w:val="24"/>
          <w:highlight w:val="none"/>
          <w:lang w:eastAsia="zh-CN"/>
        </w:rPr>
        <w:t>召公</w:t>
      </w:r>
      <w:r>
        <w:rPr>
          <w:rFonts w:hint="eastAsia" w:ascii="宋体" w:hAnsi="宋体"/>
          <w:color w:val="auto"/>
          <w:sz w:val="24"/>
          <w:szCs w:val="24"/>
          <w:highlight w:val="none"/>
        </w:rPr>
        <w:t>路</w:t>
      </w:r>
      <w:r>
        <w:rPr>
          <w:rFonts w:hint="eastAsia" w:ascii="宋体" w:hAnsi="宋体"/>
          <w:color w:val="auto"/>
          <w:sz w:val="24"/>
          <w:szCs w:val="24"/>
          <w:highlight w:val="none"/>
          <w:lang w:eastAsia="zh-CN"/>
        </w:rPr>
        <w:t>西</w:t>
      </w:r>
      <w:r>
        <w:rPr>
          <w:rFonts w:hint="eastAsia" w:ascii="宋体" w:hAnsi="宋体"/>
          <w:color w:val="auto"/>
          <w:sz w:val="24"/>
          <w:szCs w:val="24"/>
          <w:highlight w:val="none"/>
        </w:rPr>
        <w:t xml:space="preserve">段 </w:t>
      </w:r>
    </w:p>
    <w:p w14:paraId="2B3DBD73">
      <w:pPr>
        <w:spacing w:line="360" w:lineRule="auto"/>
        <w:ind w:firstLine="566" w:firstLineChars="236"/>
        <w:jc w:val="left"/>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联 系 人</w:t>
      </w:r>
      <w:r>
        <w:rPr>
          <w:rFonts w:ascii="宋体" w:hAnsi="宋体"/>
          <w:color w:val="auto"/>
          <w:sz w:val="24"/>
          <w:szCs w:val="24"/>
          <w:highlight w:val="none"/>
        </w:rPr>
        <w:t>：</w:t>
      </w:r>
      <w:r>
        <w:rPr>
          <w:rFonts w:hint="eastAsia" w:ascii="宋体" w:hAnsi="宋体"/>
          <w:color w:val="auto"/>
          <w:sz w:val="24"/>
          <w:szCs w:val="24"/>
          <w:highlight w:val="none"/>
          <w:lang w:eastAsia="zh-CN"/>
        </w:rPr>
        <w:t>李江峰</w:t>
      </w:r>
    </w:p>
    <w:p w14:paraId="739FE4CC">
      <w:pPr>
        <w:spacing w:line="360" w:lineRule="auto"/>
        <w:ind w:firstLine="566" w:firstLineChars="236"/>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联系方式</w:t>
      </w:r>
      <w:r>
        <w:rPr>
          <w:rFonts w:ascii="宋体" w:hAnsi="宋体"/>
          <w:color w:val="auto"/>
          <w:sz w:val="24"/>
          <w:szCs w:val="24"/>
          <w:highlight w:val="none"/>
        </w:rPr>
        <w:t>：</w:t>
      </w:r>
      <w:r>
        <w:rPr>
          <w:rFonts w:hint="eastAsia" w:ascii="宋体" w:hAnsi="宋体"/>
          <w:color w:val="auto"/>
          <w:sz w:val="24"/>
          <w:szCs w:val="24"/>
          <w:highlight w:val="none"/>
          <w:lang w:val="en-US" w:eastAsia="zh-CN"/>
        </w:rPr>
        <w:t>13525861758</w:t>
      </w:r>
    </w:p>
    <w:p w14:paraId="17BF305F">
      <w:pPr>
        <w:spacing w:line="360" w:lineRule="auto"/>
        <w:ind w:firstLine="566" w:firstLineChars="236"/>
        <w:jc w:val="left"/>
        <w:rPr>
          <w:rFonts w:hint="eastAsia" w:ascii="宋体" w:hAnsi="宋体" w:eastAsiaTheme="minorEastAsia"/>
          <w:color w:val="auto"/>
          <w:sz w:val="24"/>
          <w:szCs w:val="24"/>
          <w:highlight w:val="none"/>
          <w:lang w:eastAsia="zh-CN"/>
        </w:rPr>
      </w:pPr>
      <w:r>
        <w:rPr>
          <w:rFonts w:ascii="宋体" w:hAnsi="宋体"/>
          <w:color w:val="auto"/>
          <w:sz w:val="24"/>
          <w:szCs w:val="24"/>
          <w:highlight w:val="none"/>
        </w:rPr>
        <w:t>2</w:t>
      </w:r>
      <w:r>
        <w:rPr>
          <w:rFonts w:hint="eastAsia" w:ascii="宋体" w:hAnsi="宋体"/>
          <w:color w:val="auto"/>
          <w:sz w:val="24"/>
          <w:szCs w:val="24"/>
          <w:highlight w:val="none"/>
        </w:rPr>
        <w:t>.采购</w:t>
      </w:r>
      <w:r>
        <w:rPr>
          <w:rFonts w:ascii="宋体" w:hAnsi="宋体"/>
          <w:color w:val="auto"/>
          <w:sz w:val="24"/>
          <w:szCs w:val="24"/>
          <w:highlight w:val="none"/>
        </w:rPr>
        <w:t>代理机构：</w:t>
      </w:r>
      <w:r>
        <w:rPr>
          <w:rFonts w:hint="eastAsia" w:ascii="宋体" w:hAnsi="宋体"/>
          <w:color w:val="auto"/>
          <w:sz w:val="24"/>
          <w:szCs w:val="24"/>
          <w:highlight w:val="none"/>
          <w:lang w:eastAsia="zh-CN"/>
        </w:rPr>
        <w:t>河南精开咨询有限公司</w:t>
      </w:r>
    </w:p>
    <w:p w14:paraId="56E9FB35">
      <w:pPr>
        <w:spacing w:line="36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r>
        <w:rPr>
          <w:rFonts w:hint="eastAsia" w:ascii="宋体" w:hAnsi="宋体"/>
          <w:color w:val="auto"/>
          <w:sz w:val="24"/>
          <w:szCs w:val="24"/>
          <w:highlight w:val="none"/>
        </w:rPr>
        <w:t>河南省三门峡市经济开发区分陕路与北环路交叉口向西200米开发区双创园B栋306</w:t>
      </w:r>
    </w:p>
    <w:p w14:paraId="58244393">
      <w:pPr>
        <w:spacing w:line="36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联系人</w:t>
      </w:r>
      <w:r>
        <w:rPr>
          <w:rFonts w:ascii="宋体" w:hAnsi="宋体"/>
          <w:color w:val="auto"/>
          <w:sz w:val="24"/>
          <w:szCs w:val="24"/>
          <w:highlight w:val="none"/>
        </w:rPr>
        <w:t>：</w:t>
      </w:r>
      <w:r>
        <w:rPr>
          <w:rFonts w:hint="eastAsia" w:ascii="宋体" w:hAnsi="宋体"/>
          <w:color w:val="auto"/>
          <w:sz w:val="24"/>
          <w:szCs w:val="24"/>
          <w:highlight w:val="none"/>
          <w:lang w:eastAsia="zh-CN"/>
        </w:rPr>
        <w:t>刘婷</w:t>
      </w:r>
    </w:p>
    <w:p w14:paraId="15F8A42C">
      <w:pPr>
        <w:spacing w:line="360" w:lineRule="auto"/>
        <w:ind w:firstLine="566" w:firstLineChars="236"/>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联系方式</w:t>
      </w:r>
      <w:r>
        <w:rPr>
          <w:rFonts w:ascii="宋体" w:hAnsi="宋体"/>
          <w:color w:val="auto"/>
          <w:sz w:val="24"/>
          <w:szCs w:val="24"/>
          <w:highlight w:val="none"/>
        </w:rPr>
        <w:t>：</w:t>
      </w:r>
      <w:r>
        <w:rPr>
          <w:rFonts w:hint="eastAsia" w:ascii="宋体" w:hAnsi="宋体"/>
          <w:color w:val="auto"/>
          <w:sz w:val="24"/>
          <w:szCs w:val="24"/>
          <w:highlight w:val="none"/>
          <w:lang w:val="en-US" w:eastAsia="zh-CN"/>
        </w:rPr>
        <w:t>13030385095</w:t>
      </w:r>
    </w:p>
    <w:p w14:paraId="21228DDF">
      <w:pPr>
        <w:pStyle w:val="11"/>
        <w:spacing w:after="0" w:line="360" w:lineRule="auto"/>
        <w:ind w:firstLine="540" w:firstLineChars="225"/>
        <w:rPr>
          <w:rFonts w:ascii="宋体" w:hAnsi="宋体"/>
          <w:color w:val="auto"/>
          <w:kern w:val="2"/>
          <w:sz w:val="24"/>
          <w:szCs w:val="24"/>
          <w:highlight w:val="none"/>
        </w:rPr>
      </w:pPr>
      <w:r>
        <w:rPr>
          <w:rFonts w:ascii="宋体" w:hAnsi="宋体"/>
          <w:color w:val="auto"/>
          <w:kern w:val="2"/>
          <w:sz w:val="24"/>
          <w:szCs w:val="24"/>
          <w:highlight w:val="none"/>
        </w:rPr>
        <w:t>3</w:t>
      </w:r>
      <w:r>
        <w:rPr>
          <w:rFonts w:hint="eastAsia" w:ascii="宋体" w:hAnsi="宋体"/>
          <w:color w:val="auto"/>
          <w:kern w:val="2"/>
          <w:sz w:val="24"/>
          <w:szCs w:val="24"/>
          <w:highlight w:val="none"/>
        </w:rPr>
        <w:t>.项目联系方式</w:t>
      </w:r>
    </w:p>
    <w:p w14:paraId="4DCF2F9A">
      <w:pPr>
        <w:spacing w:line="36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联系人</w:t>
      </w:r>
      <w:r>
        <w:rPr>
          <w:rFonts w:ascii="宋体" w:hAnsi="宋体"/>
          <w:color w:val="auto"/>
          <w:sz w:val="24"/>
          <w:szCs w:val="24"/>
          <w:highlight w:val="none"/>
        </w:rPr>
        <w:t>：</w:t>
      </w:r>
      <w:r>
        <w:rPr>
          <w:rFonts w:hint="eastAsia" w:ascii="宋体" w:hAnsi="宋体"/>
          <w:color w:val="auto"/>
          <w:sz w:val="24"/>
          <w:szCs w:val="24"/>
          <w:highlight w:val="none"/>
          <w:lang w:eastAsia="zh-CN"/>
        </w:rPr>
        <w:t>刘婷</w:t>
      </w:r>
    </w:p>
    <w:p w14:paraId="03723E63">
      <w:pPr>
        <w:spacing w:line="36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联系方式</w:t>
      </w:r>
      <w:r>
        <w:rPr>
          <w:rFonts w:ascii="宋体" w:hAnsi="宋体"/>
          <w:color w:val="auto"/>
          <w:sz w:val="24"/>
          <w:szCs w:val="24"/>
          <w:highlight w:val="none"/>
        </w:rPr>
        <w:t>：</w:t>
      </w:r>
      <w:r>
        <w:rPr>
          <w:rFonts w:hint="eastAsia" w:ascii="宋体" w:hAnsi="宋体"/>
          <w:color w:val="auto"/>
          <w:sz w:val="24"/>
          <w:szCs w:val="24"/>
          <w:highlight w:val="none"/>
          <w:lang w:val="en-US" w:eastAsia="zh-CN"/>
        </w:rPr>
        <w:t>13030385095</w:t>
      </w:r>
    </w:p>
    <w:p w14:paraId="6CD4B402">
      <w:pPr>
        <w:spacing w:line="440" w:lineRule="exact"/>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4.监督名称：三门峡市财政局政府采购监督管理科</w:t>
      </w:r>
    </w:p>
    <w:p w14:paraId="2E28ECD9">
      <w:pPr>
        <w:spacing w:line="440" w:lineRule="exact"/>
        <w:ind w:firstLine="566" w:firstLineChars="236"/>
        <w:rPr>
          <w:rFonts w:hint="default" w:ascii="宋体" w:hAnsi="宋体" w:eastAsia="宋体" w:cs="宋体"/>
          <w:color w:val="auto"/>
          <w:sz w:val="28"/>
          <w:szCs w:val="28"/>
          <w:highlight w:val="none"/>
          <w:lang w:val="en-US" w:eastAsia="zh-CN"/>
        </w:rPr>
      </w:pPr>
      <w:r>
        <w:rPr>
          <w:rFonts w:hint="eastAsia" w:ascii="宋体" w:hAnsi="宋体"/>
          <w:color w:val="auto"/>
          <w:sz w:val="24"/>
          <w:szCs w:val="24"/>
          <w:highlight w:val="none"/>
        </w:rPr>
        <w:t>联系方式：0398－2608915</w:t>
      </w:r>
    </w:p>
    <w:bookmarkEnd w:id="8"/>
    <w:p w14:paraId="63FC1357">
      <w:pPr>
        <w:rPr>
          <w:rFonts w:hint="eastAsia" w:ascii="宋体" w:hAnsi="宋体" w:eastAsia="宋体" w:cs="Courier New"/>
          <w:b/>
          <w:bCs/>
          <w:color w:val="auto"/>
          <w:sz w:val="30"/>
          <w:szCs w:val="30"/>
          <w:highlight w:val="none"/>
        </w:rPr>
      </w:pPr>
      <w:bookmarkStart w:id="9" w:name="_Toc23774425"/>
      <w:bookmarkStart w:id="10" w:name="_Toc270604573"/>
      <w:bookmarkStart w:id="11" w:name="_Toc1254"/>
      <w:r>
        <w:rPr>
          <w:rFonts w:hint="eastAsia" w:ascii="宋体" w:hAnsi="宋体" w:eastAsia="宋体" w:cs="Courier New"/>
          <w:b/>
          <w:bCs/>
          <w:color w:val="auto"/>
          <w:sz w:val="30"/>
          <w:szCs w:val="30"/>
          <w:highlight w:val="none"/>
        </w:rPr>
        <w:br w:type="page"/>
      </w:r>
    </w:p>
    <w:p w14:paraId="41FFABA4">
      <w:pPr>
        <w:keepNext w:val="0"/>
        <w:keepLines w:val="0"/>
        <w:pageBreakBefore w:val="0"/>
        <w:widowControl w:val="0"/>
        <w:numPr>
          <w:ilvl w:val="0"/>
          <w:numId w:val="1"/>
        </w:numPr>
        <w:kinsoku/>
        <w:wordWrap w:val="0"/>
        <w:overflowPunct/>
        <w:topLinePunct/>
        <w:autoSpaceDE/>
        <w:autoSpaceDN/>
        <w:bidi w:val="0"/>
        <w:adjustRightInd/>
        <w:snapToGrid/>
        <w:spacing w:before="312" w:beforeLines="100" w:after="312" w:afterLines="100" w:line="400" w:lineRule="exact"/>
        <w:jc w:val="center"/>
        <w:textAlignment w:val="auto"/>
        <w:outlineLvl w:val="0"/>
        <w:rPr>
          <w:rFonts w:hint="eastAsia" w:ascii="宋体" w:hAnsi="宋体" w:eastAsia="宋体" w:cs="Courier New"/>
          <w:b/>
          <w:bCs/>
          <w:color w:val="auto"/>
          <w:sz w:val="30"/>
          <w:szCs w:val="30"/>
          <w:highlight w:val="none"/>
        </w:rPr>
      </w:pPr>
      <w:r>
        <w:rPr>
          <w:rFonts w:hint="eastAsia" w:ascii="宋体" w:hAnsi="宋体" w:eastAsia="宋体" w:cs="Courier New"/>
          <w:b/>
          <w:bCs/>
          <w:color w:val="auto"/>
          <w:sz w:val="30"/>
          <w:szCs w:val="30"/>
          <w:highlight w:val="none"/>
        </w:rPr>
        <w:t xml:space="preserve"> </w:t>
      </w:r>
      <w:bookmarkStart w:id="12" w:name="_Toc11709"/>
      <w:r>
        <w:rPr>
          <w:rFonts w:hint="eastAsia" w:ascii="宋体" w:hAnsi="宋体" w:eastAsia="宋体" w:cs="Courier New"/>
          <w:b/>
          <w:bCs/>
          <w:color w:val="auto"/>
          <w:sz w:val="30"/>
          <w:szCs w:val="30"/>
          <w:highlight w:val="none"/>
        </w:rPr>
        <w:t>供应商须知</w:t>
      </w:r>
      <w:bookmarkEnd w:id="7"/>
      <w:bookmarkEnd w:id="9"/>
      <w:bookmarkEnd w:id="10"/>
      <w:bookmarkEnd w:id="11"/>
      <w:bookmarkEnd w:id="12"/>
      <w:bookmarkStart w:id="13" w:name="_Toc13329"/>
      <w:bookmarkStart w:id="14" w:name="_Toc18978"/>
      <w:bookmarkStart w:id="15" w:name="_Toc23774426"/>
    </w:p>
    <w:p w14:paraId="40FC1233">
      <w:pPr>
        <w:keepNext w:val="0"/>
        <w:keepLines w:val="0"/>
        <w:pageBreakBefore w:val="0"/>
        <w:widowControl w:val="0"/>
        <w:numPr>
          <w:ilvl w:val="0"/>
          <w:numId w:val="0"/>
        </w:numPr>
        <w:kinsoku/>
        <w:wordWrap w:val="0"/>
        <w:overflowPunct/>
        <w:topLinePunct/>
        <w:autoSpaceDE/>
        <w:autoSpaceDN/>
        <w:bidi w:val="0"/>
        <w:adjustRightInd/>
        <w:snapToGrid/>
        <w:spacing w:before="312" w:beforeLines="100" w:after="312" w:afterLines="100" w:line="400" w:lineRule="exact"/>
        <w:jc w:val="center"/>
        <w:textAlignment w:val="auto"/>
        <w:outlineLvl w:val="0"/>
        <w:rPr>
          <w:rFonts w:ascii="宋体" w:hAnsi="宋体" w:eastAsia="宋体" w:cs="宋体"/>
          <w:b/>
          <w:bCs/>
          <w:color w:val="auto"/>
          <w:sz w:val="28"/>
          <w:szCs w:val="28"/>
          <w:highlight w:val="none"/>
        </w:rPr>
      </w:pPr>
      <w:bookmarkStart w:id="16" w:name="_Toc10657"/>
      <w:r>
        <w:rPr>
          <w:rFonts w:hint="eastAsia" w:ascii="宋体" w:hAnsi="宋体" w:eastAsia="宋体" w:cs="Times New Roman"/>
          <w:color w:val="auto"/>
          <w:kern w:val="44"/>
          <w:sz w:val="28"/>
          <w:szCs w:val="28"/>
          <w:highlight w:val="none"/>
        </w:rPr>
        <w:t>供应商须知前附表</w:t>
      </w:r>
      <w:bookmarkEnd w:id="13"/>
      <w:bookmarkEnd w:id="14"/>
      <w:bookmarkEnd w:id="15"/>
      <w:bookmarkEnd w:id="16"/>
    </w:p>
    <w:tbl>
      <w:tblPr>
        <w:tblStyle w:val="1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447"/>
      </w:tblGrid>
      <w:tr w14:paraId="5CE9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4" w:type="dxa"/>
            <w:vAlign w:val="center"/>
          </w:tcPr>
          <w:p w14:paraId="27BDEBC0">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072" w:type="dxa"/>
            <w:vAlign w:val="center"/>
          </w:tcPr>
          <w:p w14:paraId="077CDEC4">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 款 名 称</w:t>
            </w:r>
          </w:p>
        </w:tc>
        <w:tc>
          <w:tcPr>
            <w:tcW w:w="6447" w:type="dxa"/>
            <w:vAlign w:val="center"/>
          </w:tcPr>
          <w:p w14:paraId="17ACE2BF">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 列 内 容</w:t>
            </w:r>
          </w:p>
        </w:tc>
      </w:tr>
      <w:tr w14:paraId="3B2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B12643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2072" w:type="dxa"/>
            <w:vAlign w:val="center"/>
          </w:tcPr>
          <w:p w14:paraId="71E5D91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p>
        </w:tc>
        <w:tc>
          <w:tcPr>
            <w:tcW w:w="6447" w:type="dxa"/>
            <w:vAlign w:val="center"/>
          </w:tcPr>
          <w:p w14:paraId="1EDD40AF">
            <w:pPr>
              <w:keepNext w:val="0"/>
              <w:keepLines w:val="0"/>
              <w:pageBreakBefore w:val="0"/>
              <w:widowControl w:val="0"/>
              <w:kinsoku/>
              <w:wordWrap w:val="0"/>
              <w:overflowPunct/>
              <w:topLine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 购 人：</w:t>
            </w:r>
            <w:r>
              <w:rPr>
                <w:rFonts w:hint="eastAsia" w:asciiTheme="minorEastAsia" w:hAnsiTheme="minorEastAsia" w:cstheme="minorEastAsia"/>
                <w:color w:val="auto"/>
                <w:sz w:val="24"/>
                <w:szCs w:val="24"/>
                <w:highlight w:val="none"/>
                <w:lang w:eastAsia="zh-CN"/>
              </w:rPr>
              <w:t>三门峡市住房服务保障中心</w:t>
            </w:r>
            <w:r>
              <w:rPr>
                <w:rFonts w:hint="eastAsia" w:asciiTheme="minorEastAsia" w:hAnsiTheme="minorEastAsia" w:eastAsiaTheme="minorEastAsia" w:cstheme="minorEastAsia"/>
                <w:color w:val="auto"/>
                <w:sz w:val="24"/>
                <w:szCs w:val="24"/>
                <w:highlight w:val="none"/>
              </w:rPr>
              <w:t xml:space="preserve"> </w:t>
            </w:r>
          </w:p>
          <w:p w14:paraId="70E827A3">
            <w:pPr>
              <w:keepNext w:val="0"/>
              <w:keepLines w:val="0"/>
              <w:pageBreakBefore w:val="0"/>
              <w:widowControl w:val="0"/>
              <w:kinsoku/>
              <w:wordWrap w:val="0"/>
              <w:overflowPunct/>
              <w:topLinePunct/>
              <w:bidi w:val="0"/>
              <w:snapToGrid/>
              <w:spacing w:line="5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地    址：三门峡市召公路西段 </w:t>
            </w:r>
          </w:p>
          <w:p w14:paraId="2CD6C7BE">
            <w:pPr>
              <w:keepNext w:val="0"/>
              <w:keepLines w:val="0"/>
              <w:pageBreakBefore w:val="0"/>
              <w:widowControl w:val="0"/>
              <w:kinsoku/>
              <w:wordWrap w:val="0"/>
              <w:overflowPunct/>
              <w:topLinePunct/>
              <w:bidi w:val="0"/>
              <w:snapToGrid/>
              <w:spacing w:line="5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 系 人：</w:t>
            </w:r>
            <w:r>
              <w:rPr>
                <w:rFonts w:hint="eastAsia" w:asciiTheme="minorEastAsia" w:hAnsiTheme="minorEastAsia" w:cstheme="minorEastAsia"/>
                <w:color w:val="auto"/>
                <w:sz w:val="24"/>
                <w:szCs w:val="24"/>
                <w:highlight w:val="none"/>
                <w:lang w:eastAsia="zh-CN"/>
              </w:rPr>
              <w:t>李江峰</w:t>
            </w:r>
          </w:p>
          <w:p w14:paraId="33DF3416">
            <w:pPr>
              <w:keepNext w:val="0"/>
              <w:keepLines w:val="0"/>
              <w:pageBreakBefore w:val="0"/>
              <w:widowControl w:val="0"/>
              <w:kinsoku/>
              <w:wordWrap w:val="0"/>
              <w:overflowPunct/>
              <w:topLinePunct/>
              <w:bidi w:val="0"/>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cstheme="minorEastAsia"/>
                <w:color w:val="auto"/>
                <w:sz w:val="24"/>
                <w:szCs w:val="24"/>
                <w:highlight w:val="none"/>
                <w:lang w:val="en-US" w:eastAsia="zh-CN"/>
              </w:rPr>
              <w:t>525861758</w:t>
            </w:r>
          </w:p>
        </w:tc>
      </w:tr>
      <w:tr w14:paraId="350A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229F750">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2072" w:type="dxa"/>
            <w:vAlign w:val="center"/>
          </w:tcPr>
          <w:p w14:paraId="21FCB48B">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w:t>
            </w:r>
          </w:p>
        </w:tc>
        <w:tc>
          <w:tcPr>
            <w:tcW w:w="6447" w:type="dxa"/>
            <w:vAlign w:val="center"/>
          </w:tcPr>
          <w:p w14:paraId="311176FE">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cstheme="minorEastAsia"/>
                <w:color w:val="auto"/>
                <w:sz w:val="24"/>
                <w:szCs w:val="24"/>
                <w:highlight w:val="none"/>
                <w:lang w:eastAsia="zh-CN"/>
              </w:rPr>
              <w:t>河南精开咨询有限公司</w:t>
            </w:r>
          </w:p>
          <w:p w14:paraId="2191C9A0">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址：河南省三门峡市经济开发区分陕路与北环路交叉口向西200米开发区双创园B栋306</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0C560FF5">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刘婷</w:t>
            </w:r>
          </w:p>
          <w:p w14:paraId="49AE4200">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13030385095</w:t>
            </w:r>
          </w:p>
        </w:tc>
      </w:tr>
      <w:tr w14:paraId="72FE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71B3969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2072" w:type="dxa"/>
            <w:vAlign w:val="center"/>
          </w:tcPr>
          <w:p w14:paraId="55EE705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p>
        </w:tc>
        <w:tc>
          <w:tcPr>
            <w:tcW w:w="6447" w:type="dxa"/>
            <w:vAlign w:val="center"/>
          </w:tcPr>
          <w:p w14:paraId="5C4EAAD1">
            <w:pPr>
              <w:keepNext w:val="0"/>
              <w:keepLines w:val="0"/>
              <w:pageBreakBefore w:val="0"/>
              <w:widowControl w:val="0"/>
              <w:kinsoku/>
              <w:overflowPunct/>
              <w:bidi w:val="0"/>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三门峡市迎宾花园、南康乐家园（德馨园）、惠利花园住宅小区厨房加装推拉门工程</w:t>
            </w:r>
          </w:p>
        </w:tc>
      </w:tr>
      <w:tr w14:paraId="6F01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53BCD9F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2072" w:type="dxa"/>
            <w:vAlign w:val="center"/>
          </w:tcPr>
          <w:p w14:paraId="2EB5C88D">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p>
        </w:tc>
        <w:tc>
          <w:tcPr>
            <w:tcW w:w="6447" w:type="dxa"/>
            <w:vAlign w:val="center"/>
          </w:tcPr>
          <w:p w14:paraId="0BE40EDD">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三门峡市迎宾花园一期16#～26#楼、二期8#～15#楼，三期7#、29#、30#楼，四期32#、33#楼，共计24栋2080套厨房安装钛镁合金推拉门；康乐家园（德馨园）18#、19#、20#、35#、36#、37#、41#楼，共计458套厨房安装钛镁合金推拉门；惠利花园6#楼，共计10套厨房安装钛镁合金推拉门等工程（共2548户）。</w:t>
            </w:r>
            <w:r>
              <w:rPr>
                <w:rFonts w:hint="eastAsia" w:asciiTheme="minorEastAsia" w:hAnsiTheme="minorEastAsia" w:eastAsiaTheme="minorEastAsia" w:cstheme="minorEastAsia"/>
                <w:color w:val="auto"/>
                <w:sz w:val="24"/>
                <w:szCs w:val="24"/>
                <w:highlight w:val="none"/>
                <w:lang w:eastAsia="zh-CN"/>
              </w:rPr>
              <w:t>(包括目标、标准、数量、规格、服务要求、验收、标准等、详见磋商文件)；</w:t>
            </w:r>
          </w:p>
        </w:tc>
      </w:tr>
      <w:tr w14:paraId="054A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4" w:type="dxa"/>
            <w:vAlign w:val="center"/>
          </w:tcPr>
          <w:p w14:paraId="3BDEDB57">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2072" w:type="dxa"/>
            <w:vAlign w:val="center"/>
          </w:tcPr>
          <w:p w14:paraId="1D7939A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6447" w:type="dxa"/>
            <w:vAlign w:val="center"/>
          </w:tcPr>
          <w:p w14:paraId="13E7A445">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财政</w:t>
            </w:r>
            <w:r>
              <w:rPr>
                <w:rFonts w:hint="eastAsia" w:asciiTheme="minorEastAsia" w:hAnsiTheme="minorEastAsia" w:eastAsiaTheme="minorEastAsia" w:cstheme="minorEastAsia"/>
                <w:color w:val="auto"/>
                <w:sz w:val="24"/>
                <w:szCs w:val="24"/>
                <w:highlight w:val="none"/>
              </w:rPr>
              <w:t>资金</w:t>
            </w:r>
          </w:p>
        </w:tc>
      </w:tr>
      <w:tr w14:paraId="482F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74" w:type="dxa"/>
            <w:vAlign w:val="center"/>
          </w:tcPr>
          <w:p w14:paraId="2C33AC1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2072" w:type="dxa"/>
            <w:vAlign w:val="center"/>
          </w:tcPr>
          <w:p w14:paraId="51991404">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p>
        </w:tc>
        <w:tc>
          <w:tcPr>
            <w:tcW w:w="6447" w:type="dxa"/>
            <w:vAlign w:val="center"/>
          </w:tcPr>
          <w:p w14:paraId="64F648BC">
            <w:pPr>
              <w:keepNext w:val="0"/>
              <w:keepLines w:val="0"/>
              <w:pageBreakBefore w:val="0"/>
              <w:widowControl w:val="0"/>
              <w:kinsoku/>
              <w:overflowPunct/>
              <w:bidi w:val="0"/>
              <w:snapToGrid/>
              <w:spacing w:line="500" w:lineRule="exact"/>
              <w:textAlignment w:val="auto"/>
              <w:rPr>
                <w:rFonts w:hint="eastAsia" w:eastAsia="宋体" w:asciiTheme="minorEastAsia" w:hAnsiTheme="minorEastAsia" w:cstheme="minorEastAsia"/>
                <w:color w:val="auto"/>
                <w:sz w:val="24"/>
                <w:szCs w:val="24"/>
                <w:highlight w:val="none"/>
                <w:lang w:eastAsia="zh-CN"/>
              </w:rPr>
            </w:pPr>
            <w:r>
              <w:rPr>
                <w:rFonts w:hint="eastAsia" w:ascii="宋体" w:hAnsi="宋体" w:eastAsia="宋体" w:cs="宋体"/>
                <w:color w:val="auto"/>
                <w:sz w:val="24"/>
                <w:szCs w:val="24"/>
                <w:highlight w:val="none"/>
                <w:lang w:val="en-US" w:eastAsia="zh-CN"/>
              </w:rPr>
              <w:t>3577314.32元</w:t>
            </w:r>
          </w:p>
        </w:tc>
      </w:tr>
      <w:tr w14:paraId="1945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74" w:type="dxa"/>
            <w:vAlign w:val="center"/>
          </w:tcPr>
          <w:p w14:paraId="1B1194C3">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7</w:t>
            </w:r>
          </w:p>
        </w:tc>
        <w:tc>
          <w:tcPr>
            <w:tcW w:w="2072" w:type="dxa"/>
            <w:vAlign w:val="center"/>
          </w:tcPr>
          <w:p w14:paraId="50EC8FD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资金落实情况</w:t>
            </w:r>
          </w:p>
        </w:tc>
        <w:tc>
          <w:tcPr>
            <w:tcW w:w="6447" w:type="dxa"/>
            <w:vAlign w:val="center"/>
          </w:tcPr>
          <w:p w14:paraId="2AF479DF">
            <w:pPr>
              <w:keepNext w:val="0"/>
              <w:keepLines w:val="0"/>
              <w:pageBreakBefore w:val="0"/>
              <w:widowControl w:val="0"/>
              <w:kinsoku/>
              <w:overflowPunct/>
              <w:bidi w:val="0"/>
              <w:snapToGrid/>
              <w:spacing w:line="500" w:lineRule="exact"/>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已落实</w:t>
            </w:r>
            <w:r>
              <w:rPr>
                <w:rFonts w:hint="eastAsia" w:asciiTheme="minorEastAsia" w:hAnsiTheme="minorEastAsia" w:cstheme="minorEastAsia"/>
                <w:color w:val="auto"/>
                <w:sz w:val="24"/>
                <w:szCs w:val="24"/>
                <w:highlight w:val="none"/>
                <w:lang w:eastAsia="zh-CN"/>
              </w:rPr>
              <w:t>；</w:t>
            </w:r>
          </w:p>
        </w:tc>
      </w:tr>
      <w:tr w14:paraId="6C05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1BAC9CF3">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8</w:t>
            </w:r>
          </w:p>
        </w:tc>
        <w:tc>
          <w:tcPr>
            <w:tcW w:w="2072" w:type="dxa"/>
            <w:vAlign w:val="center"/>
          </w:tcPr>
          <w:p w14:paraId="5BDDECB8">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Cs/>
                <w:color w:val="auto"/>
                <w:sz w:val="24"/>
                <w:szCs w:val="24"/>
                <w:highlight w:val="none"/>
                <w:lang w:eastAsia="zh-CN"/>
              </w:rPr>
              <w:t>磋商</w:t>
            </w:r>
            <w:r>
              <w:rPr>
                <w:rFonts w:hint="eastAsia" w:asciiTheme="minorEastAsia" w:hAnsiTheme="minorEastAsia" w:eastAsiaTheme="minorEastAsia" w:cstheme="minorEastAsia"/>
                <w:bCs/>
                <w:color w:val="auto"/>
                <w:sz w:val="24"/>
                <w:szCs w:val="24"/>
                <w:highlight w:val="none"/>
              </w:rPr>
              <w:t>范围</w:t>
            </w:r>
          </w:p>
        </w:tc>
        <w:tc>
          <w:tcPr>
            <w:tcW w:w="6447" w:type="dxa"/>
          </w:tcPr>
          <w:p w14:paraId="40FB2C68">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本项目磋商文件、补充文件、施工图纸、工程量清单及答疑纪要等列明的所有内容。</w:t>
            </w:r>
          </w:p>
        </w:tc>
      </w:tr>
      <w:tr w14:paraId="7233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Align w:val="center"/>
          </w:tcPr>
          <w:p w14:paraId="1C225E74">
            <w:pPr>
              <w:keepNext w:val="0"/>
              <w:keepLines w:val="0"/>
              <w:pageBreakBefore w:val="0"/>
              <w:widowControl w:val="0"/>
              <w:kinsoku/>
              <w:overflowPunct/>
              <w:bidi w:val="0"/>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1.9</w:t>
            </w:r>
          </w:p>
        </w:tc>
        <w:tc>
          <w:tcPr>
            <w:tcW w:w="2072" w:type="dxa"/>
            <w:vAlign w:val="center"/>
          </w:tcPr>
          <w:p w14:paraId="78053674">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安全目标</w:t>
            </w:r>
            <w:r>
              <w:rPr>
                <w:rFonts w:hint="eastAsia" w:asciiTheme="minorEastAsia" w:hAnsiTheme="minorEastAsia" w:cstheme="minorEastAsia"/>
                <w:color w:val="auto"/>
                <w:sz w:val="24"/>
                <w:szCs w:val="24"/>
                <w:highlight w:val="none"/>
                <w:lang w:val="en-US" w:eastAsia="zh-CN"/>
              </w:rPr>
              <w:t xml:space="preserve"> </w:t>
            </w:r>
          </w:p>
        </w:tc>
        <w:tc>
          <w:tcPr>
            <w:tcW w:w="6447" w:type="dxa"/>
            <w:vAlign w:val="center"/>
          </w:tcPr>
          <w:p w14:paraId="0348865A">
            <w:pPr>
              <w:keepNext w:val="0"/>
              <w:keepLines w:val="0"/>
              <w:pageBreakBefore w:val="0"/>
              <w:widowControl w:val="0"/>
              <w:kinsoku/>
              <w:overflowPunct/>
              <w:bidi w:val="0"/>
              <w:snapToGrid/>
              <w:spacing w:line="500" w:lineRule="exact"/>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lang w:eastAsia="zh-CN"/>
              </w:rPr>
              <w:t>零事故；</w:t>
            </w:r>
          </w:p>
        </w:tc>
      </w:tr>
      <w:tr w14:paraId="2721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Align w:val="center"/>
          </w:tcPr>
          <w:p w14:paraId="4F624E4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2072" w:type="dxa"/>
            <w:vAlign w:val="center"/>
          </w:tcPr>
          <w:p w14:paraId="72E8AEC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w:t>
            </w:r>
          </w:p>
        </w:tc>
        <w:tc>
          <w:tcPr>
            <w:tcW w:w="6447" w:type="dxa"/>
            <w:vAlign w:val="center"/>
          </w:tcPr>
          <w:p w14:paraId="0970D55F">
            <w:pPr>
              <w:keepNext w:val="0"/>
              <w:keepLines w:val="0"/>
              <w:pageBreakBefore w:val="0"/>
              <w:widowControl w:val="0"/>
              <w:kinsoku/>
              <w:overflowPunct/>
              <w:bidi w:val="0"/>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自合同签订之日起180日历天；</w:t>
            </w:r>
          </w:p>
        </w:tc>
      </w:tr>
      <w:tr w14:paraId="7A51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4" w:type="dxa"/>
            <w:vAlign w:val="center"/>
          </w:tcPr>
          <w:p w14:paraId="2AD385A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2072" w:type="dxa"/>
            <w:vAlign w:val="center"/>
          </w:tcPr>
          <w:p w14:paraId="1E81CCB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质量标准</w:t>
            </w:r>
          </w:p>
        </w:tc>
        <w:tc>
          <w:tcPr>
            <w:tcW w:w="6447" w:type="dxa"/>
            <w:vAlign w:val="center"/>
          </w:tcPr>
          <w:p w14:paraId="593EDAA9">
            <w:pPr>
              <w:keepNext w:val="0"/>
              <w:keepLines w:val="0"/>
              <w:pageBreakBefore w:val="0"/>
              <w:widowControl w:val="0"/>
              <w:kinsoku/>
              <w:overflowPunct/>
              <w:bidi w:val="0"/>
              <w:snapToGrid/>
              <w:spacing w:line="500" w:lineRule="exact"/>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color w:val="auto"/>
                <w:sz w:val="24"/>
                <w:szCs w:val="24"/>
                <w:highlight w:val="none"/>
              </w:rPr>
              <w:t>达到国家规定质量验收合格标准</w:t>
            </w:r>
            <w:r>
              <w:rPr>
                <w:rFonts w:hint="eastAsia" w:ascii="宋体" w:hAnsi="宋体"/>
                <w:color w:val="auto"/>
                <w:sz w:val="24"/>
                <w:szCs w:val="24"/>
                <w:highlight w:val="none"/>
                <w:lang w:eastAsia="zh-CN"/>
              </w:rPr>
              <w:t>；</w:t>
            </w:r>
          </w:p>
        </w:tc>
      </w:tr>
      <w:tr w14:paraId="34FF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503D8F9B">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2072" w:type="dxa"/>
            <w:vAlign w:val="center"/>
          </w:tcPr>
          <w:p w14:paraId="04DC1926">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供应商资质条件</w:t>
            </w:r>
          </w:p>
        </w:tc>
        <w:tc>
          <w:tcPr>
            <w:tcW w:w="6447" w:type="dxa"/>
          </w:tcPr>
          <w:p w14:paraId="42E1D8CF">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具备独立法人资格，具有有效的营业执照；</w:t>
            </w:r>
          </w:p>
          <w:p w14:paraId="1B01E870">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供应商须具有建设行政主管部门颁发的建筑工程施工总承包</w:t>
            </w:r>
            <w:r>
              <w:rPr>
                <w:rFonts w:hint="eastAsia" w:asciiTheme="minorEastAsia" w:hAnsiTheme="minorEastAsia" w:eastAsiaTheme="minorEastAsia" w:cstheme="minorEastAsia"/>
                <w:color w:val="auto"/>
                <w:sz w:val="24"/>
                <w:szCs w:val="24"/>
                <w:highlight w:val="none"/>
                <w:lang w:eastAsia="zh-CN"/>
              </w:rPr>
              <w:t>叁</w:t>
            </w:r>
            <w:r>
              <w:rPr>
                <w:rFonts w:hint="eastAsia" w:asciiTheme="minorEastAsia" w:hAnsiTheme="minorEastAsia" w:eastAsiaTheme="minorEastAsia" w:cstheme="minorEastAsia"/>
                <w:color w:val="auto"/>
                <w:sz w:val="24"/>
                <w:szCs w:val="24"/>
                <w:highlight w:val="none"/>
              </w:rPr>
              <w:t>级及以上资质或建筑装修装饰工程专业承包贰级及以上资质，及有效的安全生产许可证，在人员、设备、资金等方面具有相应的施工能力；</w:t>
            </w:r>
          </w:p>
          <w:p w14:paraId="5DAEB6B5">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拟派项目经理须具备</w:t>
            </w:r>
            <w:r>
              <w:rPr>
                <w:rFonts w:hint="eastAsia" w:asciiTheme="minorEastAsia" w:hAnsiTheme="minorEastAsia" w:eastAsiaTheme="minorEastAsia" w:cstheme="minorEastAsia"/>
                <w:color w:val="auto"/>
                <w:sz w:val="24"/>
                <w:szCs w:val="24"/>
                <w:highlight w:val="none"/>
                <w:lang w:eastAsia="zh-CN"/>
              </w:rPr>
              <w:t>建筑工程专业贰级及以上</w:t>
            </w:r>
            <w:r>
              <w:rPr>
                <w:rFonts w:hint="eastAsia" w:asciiTheme="minorEastAsia" w:hAnsiTheme="minorEastAsia" w:eastAsiaTheme="minorEastAsia" w:cstheme="minorEastAsia"/>
                <w:color w:val="auto"/>
                <w:sz w:val="24"/>
                <w:szCs w:val="24"/>
                <w:highlight w:val="none"/>
              </w:rPr>
              <w:t>注册建造师资格，并具有有效的安全生产考核合格证，且未在其他在建工程项目中担任项目经理，并出具无在建项目证明（承诺书）；</w:t>
            </w:r>
          </w:p>
          <w:p w14:paraId="23A0E849">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4、供应商需出具本企业无商业贿赂及不正当竞争行为的承诺书（格式自拟）</w:t>
            </w:r>
            <w:r>
              <w:rPr>
                <w:rFonts w:hint="eastAsia" w:asciiTheme="minorEastAsia" w:hAnsiTheme="minorEastAsia" w:eastAsiaTheme="minorEastAsia" w:cstheme="minorEastAsia"/>
                <w:color w:val="auto"/>
                <w:sz w:val="24"/>
                <w:szCs w:val="24"/>
                <w:highlight w:val="none"/>
              </w:rPr>
              <w:t>；</w:t>
            </w:r>
          </w:p>
          <w:p w14:paraId="399C63FA">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2C1F850">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6、满足《中华人民共和国政府采购法》第二十二条规定承诺书；</w:t>
            </w:r>
          </w:p>
        </w:tc>
      </w:tr>
      <w:tr w14:paraId="58C2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B49970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2072" w:type="dxa"/>
            <w:vAlign w:val="center"/>
          </w:tcPr>
          <w:p w14:paraId="770D87BB">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是否接受联合体参加磋商</w:t>
            </w:r>
          </w:p>
        </w:tc>
        <w:tc>
          <w:tcPr>
            <w:tcW w:w="6447" w:type="dxa"/>
            <w:vAlign w:val="center"/>
          </w:tcPr>
          <w:p w14:paraId="6642E9A5">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w:t>
            </w:r>
          </w:p>
        </w:tc>
      </w:tr>
      <w:tr w14:paraId="34E7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266766F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2072" w:type="dxa"/>
            <w:vAlign w:val="center"/>
          </w:tcPr>
          <w:p w14:paraId="36614857">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现场考察</w:t>
            </w:r>
          </w:p>
        </w:tc>
        <w:tc>
          <w:tcPr>
            <w:tcW w:w="6447" w:type="dxa"/>
            <w:vAlign w:val="center"/>
          </w:tcPr>
          <w:p w14:paraId="61B80735">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w:t>
            </w:r>
          </w:p>
        </w:tc>
      </w:tr>
      <w:tr w14:paraId="13B0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55939DAD">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2072" w:type="dxa"/>
            <w:vAlign w:val="center"/>
          </w:tcPr>
          <w:p w14:paraId="1474AC7E">
            <w:pPr>
              <w:keepNext w:val="0"/>
              <w:keepLines w:val="0"/>
              <w:pageBreakBefore w:val="0"/>
              <w:widowControl w:val="0"/>
              <w:kinsoku/>
              <w:overflowPunct/>
              <w:bidi w:val="0"/>
              <w:snapToGrid/>
              <w:spacing w:line="500" w:lineRule="exact"/>
              <w:ind w:left="37" w:leftChars="1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答 疑 会</w:t>
            </w:r>
          </w:p>
        </w:tc>
        <w:tc>
          <w:tcPr>
            <w:tcW w:w="6447" w:type="dxa"/>
            <w:vAlign w:val="center"/>
          </w:tcPr>
          <w:p w14:paraId="45085546">
            <w:pPr>
              <w:keepNext w:val="0"/>
              <w:keepLines w:val="0"/>
              <w:pageBreakBefore w:val="0"/>
              <w:widowControl w:val="0"/>
              <w:tabs>
                <w:tab w:val="left" w:pos="720"/>
                <w:tab w:val="left" w:pos="1904"/>
              </w:tabs>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不召开</w:t>
            </w:r>
          </w:p>
        </w:tc>
      </w:tr>
      <w:tr w14:paraId="41D5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FF3F8B">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2072" w:type="dxa"/>
            <w:vAlign w:val="center"/>
          </w:tcPr>
          <w:p w14:paraId="55F0C2DB">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447" w:type="dxa"/>
            <w:vAlign w:val="center"/>
          </w:tcPr>
          <w:p w14:paraId="41706EFF">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41FC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7363A6F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2072" w:type="dxa"/>
            <w:vAlign w:val="center"/>
          </w:tcPr>
          <w:p w14:paraId="20BF0B3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实质性偏差</w:t>
            </w:r>
          </w:p>
        </w:tc>
        <w:tc>
          <w:tcPr>
            <w:tcW w:w="6447" w:type="dxa"/>
            <w:vAlign w:val="center"/>
          </w:tcPr>
          <w:p w14:paraId="14386B5D">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490A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2E38E300">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2072" w:type="dxa"/>
            <w:vAlign w:val="center"/>
          </w:tcPr>
          <w:p w14:paraId="72AE9CD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是否接受选择性报价方案</w:t>
            </w:r>
          </w:p>
        </w:tc>
        <w:tc>
          <w:tcPr>
            <w:tcW w:w="6447" w:type="dxa"/>
            <w:vAlign w:val="center"/>
          </w:tcPr>
          <w:p w14:paraId="7F94830B">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不接受：首次响应文件只允许一个报价方案</w:t>
            </w:r>
          </w:p>
        </w:tc>
      </w:tr>
      <w:tr w14:paraId="6AE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74" w:type="dxa"/>
            <w:vAlign w:val="center"/>
          </w:tcPr>
          <w:p w14:paraId="247FB37F">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2072" w:type="dxa"/>
            <w:vAlign w:val="center"/>
          </w:tcPr>
          <w:p w14:paraId="0CD065E4">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构成竞争性磋商文件的其他材料</w:t>
            </w:r>
          </w:p>
        </w:tc>
        <w:tc>
          <w:tcPr>
            <w:tcW w:w="6447" w:type="dxa"/>
            <w:vAlign w:val="center"/>
          </w:tcPr>
          <w:p w14:paraId="3040134F">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磋商控制价：</w:t>
            </w:r>
            <w:r>
              <w:rPr>
                <w:rFonts w:hint="eastAsia" w:ascii="宋体" w:hAnsi="宋体" w:eastAsia="宋体" w:cs="宋体"/>
                <w:color w:val="auto"/>
                <w:sz w:val="24"/>
                <w:szCs w:val="24"/>
                <w:highlight w:val="none"/>
                <w:lang w:val="en-US" w:eastAsia="zh-CN"/>
              </w:rPr>
              <w:t>3577314.32</w:t>
            </w:r>
            <w:r>
              <w:rPr>
                <w:rFonts w:hint="eastAsia" w:asciiTheme="minorEastAsia" w:hAnsi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元；</w:t>
            </w:r>
          </w:p>
          <w:p w14:paraId="736142C4">
            <w:pPr>
              <w:keepNext w:val="0"/>
              <w:keepLines w:val="0"/>
              <w:pageBreakBefore w:val="0"/>
              <w:widowControl w:val="0"/>
              <w:numPr>
                <w:ilvl w:val="0"/>
                <w:numId w:val="0"/>
              </w:numPr>
              <w:kinsoku/>
              <w:overflowPunct/>
              <w:bidi w:val="0"/>
              <w:snapToGrid/>
              <w:spacing w:line="50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供应商磋商报价超出“磋商控制价”（不含等于“磋商控制价”）的，该供应商的响应文件应作无效标处理。</w:t>
            </w:r>
          </w:p>
          <w:p w14:paraId="3559B84A">
            <w:pPr>
              <w:keepNext w:val="0"/>
              <w:keepLines w:val="0"/>
              <w:pageBreakBefore w:val="0"/>
              <w:widowControl w:val="0"/>
              <w:numPr>
                <w:ilvl w:val="0"/>
                <w:numId w:val="0"/>
              </w:numPr>
              <w:kinsoku/>
              <w:overflowPunct/>
              <w:bidi w:val="0"/>
              <w:snapToGrid/>
              <w:spacing w:line="500" w:lineRule="exact"/>
              <w:textAlignment w:val="auto"/>
              <w:rPr>
                <w:rFonts w:hint="eastAsia" w:asciiTheme="minorEastAsia" w:hAnsi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磋商控制价</w:t>
            </w:r>
            <w:r>
              <w:rPr>
                <w:rFonts w:hint="eastAsia" w:asciiTheme="minorEastAsia" w:hAnsiTheme="minorEastAsia" w:cstheme="minorEastAsia"/>
                <w:b/>
                <w:bCs/>
                <w:color w:val="auto"/>
                <w:sz w:val="24"/>
                <w:szCs w:val="24"/>
                <w:highlight w:val="none"/>
                <w:lang w:eastAsia="zh-CN"/>
              </w:rPr>
              <w:t>的编制依据：</w:t>
            </w:r>
          </w:p>
          <w:p w14:paraId="65D0D8E2">
            <w:pPr>
              <w:keepNext w:val="0"/>
              <w:keepLines w:val="0"/>
              <w:pageBreakBefore w:val="0"/>
              <w:widowControl w:val="0"/>
              <w:numPr>
                <w:ilvl w:val="0"/>
                <w:numId w:val="0"/>
              </w:numPr>
              <w:kinsoku/>
              <w:overflowPunct/>
              <w:bidi w:val="0"/>
              <w:snapToGrid/>
              <w:spacing w:line="500" w:lineRule="exact"/>
              <w:ind w:leftChars="0"/>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一、 工程概况：三门峡市迎宾花园一期16#～26#楼、二期8#～15#楼，三期7#、29#、30#楼，四期32#、33#楼，共计24栋2080套厨房安装钛镁合金推拉门；康乐家园（德馨园）18#、19#、20#、35#、36#、37#、41#楼，共计458套厨房安装钛镁合金推拉门；惠利花园6#楼，共计10套厨房安装钛镁合金推拉门等工程。</w:t>
            </w:r>
          </w:p>
          <w:p w14:paraId="2D0C164C">
            <w:pPr>
              <w:keepNext w:val="0"/>
              <w:keepLines w:val="0"/>
              <w:pageBreakBefore w:val="0"/>
              <w:widowControl w:val="0"/>
              <w:numPr>
                <w:ilvl w:val="0"/>
                <w:numId w:val="0"/>
              </w:numPr>
              <w:kinsoku/>
              <w:overflowPunct/>
              <w:bidi w:val="0"/>
              <w:snapToGrid/>
              <w:spacing w:line="500" w:lineRule="exact"/>
              <w:ind w:leftChars="0"/>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二、 编制依据：</w:t>
            </w:r>
          </w:p>
          <w:p w14:paraId="48D77FC2">
            <w:pPr>
              <w:keepNext w:val="0"/>
              <w:keepLines w:val="0"/>
              <w:pageBreakBefore w:val="0"/>
              <w:widowControl w:val="0"/>
              <w:numPr>
                <w:ilvl w:val="0"/>
                <w:numId w:val="0"/>
              </w:numPr>
              <w:kinsoku/>
              <w:overflowPunct/>
              <w:bidi w:val="0"/>
              <w:snapToGrid/>
              <w:spacing w:line="500" w:lineRule="exact"/>
              <w:ind w:leftChars="0"/>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1、依据《建设工程工程量清单计价规范》[GB50500-2013]、《房屋建筑与装饰工程计量规范》[GB50854-2013]、《通用安装工程工程量计算规范》[GB50856-2013]；</w:t>
            </w:r>
          </w:p>
          <w:p w14:paraId="34FB5537">
            <w:pPr>
              <w:keepNext w:val="0"/>
              <w:keepLines w:val="0"/>
              <w:pageBreakBefore w:val="0"/>
              <w:widowControl w:val="0"/>
              <w:numPr>
                <w:ilvl w:val="0"/>
                <w:numId w:val="0"/>
              </w:numPr>
              <w:kinsoku/>
              <w:overflowPunct/>
              <w:bidi w:val="0"/>
              <w:snapToGrid/>
              <w:spacing w:line="500" w:lineRule="exact"/>
              <w:ind w:leftChars="0"/>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 xml:space="preserve"> 2、《河南省房屋建筑与装饰工程预算定额》（HA 01-31-2016）、《河南省通用安装工程预算定额》(HA02-31-2016)及其配套文件；</w:t>
            </w:r>
          </w:p>
          <w:p w14:paraId="75A4355C">
            <w:pPr>
              <w:keepNext w:val="0"/>
              <w:keepLines w:val="0"/>
              <w:pageBreakBefore w:val="0"/>
              <w:widowControl w:val="0"/>
              <w:numPr>
                <w:ilvl w:val="0"/>
                <w:numId w:val="0"/>
              </w:numPr>
              <w:kinsoku/>
              <w:overflowPunct/>
              <w:bidi w:val="0"/>
              <w:snapToGrid/>
              <w:spacing w:line="500" w:lineRule="exact"/>
              <w:ind w:leftChars="0"/>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 xml:space="preserve"> 3、建设工程设计文件；</w:t>
            </w:r>
          </w:p>
          <w:p w14:paraId="7A998E0C">
            <w:pPr>
              <w:keepNext w:val="0"/>
              <w:keepLines w:val="0"/>
              <w:pageBreakBefore w:val="0"/>
              <w:widowControl w:val="0"/>
              <w:numPr>
                <w:ilvl w:val="0"/>
                <w:numId w:val="0"/>
              </w:numPr>
              <w:kinsoku/>
              <w:overflowPunct/>
              <w:bidi w:val="0"/>
              <w:snapToGrid/>
              <w:spacing w:line="500" w:lineRule="exact"/>
              <w:jc w:val="left"/>
              <w:textAlignment w:val="auto"/>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4、与建设工程项目有关的标准、规范、技术资料。</w:t>
            </w:r>
          </w:p>
          <w:p w14:paraId="4B2C1D1C">
            <w:pPr>
              <w:keepNext w:val="0"/>
              <w:keepLines w:val="0"/>
              <w:pageBreakBefore w:val="0"/>
              <w:widowControl w:val="0"/>
              <w:numPr>
                <w:ilvl w:val="0"/>
                <w:numId w:val="0"/>
              </w:numPr>
              <w:kinsoku/>
              <w:overflowPunct/>
              <w:bidi w:val="0"/>
              <w:snapToGrid/>
              <w:spacing w:line="500" w:lineRule="exact"/>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三、费用计取说明：</w:t>
            </w:r>
          </w:p>
          <w:p w14:paraId="1B2F995C">
            <w:pPr>
              <w:keepNext w:val="0"/>
              <w:keepLines w:val="0"/>
              <w:pageBreakBefore w:val="0"/>
              <w:widowControl w:val="0"/>
              <w:numPr>
                <w:ilvl w:val="0"/>
                <w:numId w:val="0"/>
              </w:numPr>
              <w:kinsoku/>
              <w:overflowPunct/>
              <w:bidi w:val="0"/>
              <w:snapToGrid/>
              <w:spacing w:line="500" w:lineRule="exact"/>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1、人工费、机械人工费、管理费指数执行豫建消技[2024]31号文调整；</w:t>
            </w:r>
          </w:p>
          <w:p w14:paraId="11813FB8">
            <w:pPr>
              <w:keepNext w:val="0"/>
              <w:keepLines w:val="0"/>
              <w:pageBreakBefore w:val="0"/>
              <w:widowControl w:val="0"/>
              <w:numPr>
                <w:ilvl w:val="0"/>
                <w:numId w:val="0"/>
              </w:numPr>
              <w:kinsoku/>
              <w:overflowPunct/>
              <w:bidi w:val="0"/>
              <w:snapToGrid/>
              <w:spacing w:line="500" w:lineRule="exact"/>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2、材料价格执行《三门峡工程标准造价信息》2024年第六期发布价，信息价中没有的价格按市场价综合取定；</w:t>
            </w:r>
          </w:p>
          <w:p w14:paraId="6F79DB05">
            <w:pPr>
              <w:keepNext w:val="0"/>
              <w:keepLines w:val="0"/>
              <w:pageBreakBefore w:val="0"/>
              <w:widowControl w:val="0"/>
              <w:numPr>
                <w:ilvl w:val="0"/>
                <w:numId w:val="0"/>
              </w:numPr>
              <w:kinsoku/>
              <w:overflowPunct/>
              <w:bidi w:val="0"/>
              <w:snapToGrid/>
              <w:spacing w:line="500" w:lineRule="exact"/>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3、夜间施工增加费、二次搬运费、冬雨季施工增加费按定额规定计取；</w:t>
            </w:r>
          </w:p>
          <w:p w14:paraId="1B2C2CFB">
            <w:pPr>
              <w:keepNext w:val="0"/>
              <w:keepLines w:val="0"/>
              <w:pageBreakBefore w:val="0"/>
              <w:widowControl w:val="0"/>
              <w:numPr>
                <w:ilvl w:val="0"/>
                <w:numId w:val="0"/>
              </w:numPr>
              <w:kinsoku/>
              <w:overflowPunct/>
              <w:bidi w:val="0"/>
              <w:snapToGrid/>
              <w:spacing w:line="500" w:lineRule="exact"/>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4、增值税～销项税按一般计税方法，按9%税率计算。</w:t>
            </w:r>
          </w:p>
          <w:p w14:paraId="6DBBD4DA">
            <w:pPr>
              <w:keepNext w:val="0"/>
              <w:keepLines w:val="0"/>
              <w:pageBreakBefore w:val="0"/>
              <w:widowControl w:val="0"/>
              <w:numPr>
                <w:ilvl w:val="0"/>
                <w:numId w:val="0"/>
              </w:numPr>
              <w:kinsoku/>
              <w:overflowPunct/>
              <w:bidi w:val="0"/>
              <w:snapToGrid/>
              <w:spacing w:line="500" w:lineRule="exact"/>
              <w:jc w:val="left"/>
              <w:textAlignment w:val="auto"/>
              <w:rPr>
                <w:rFonts w:hint="default" w:asciiTheme="minorEastAsia" w:hAnsiTheme="minorEastAsia" w:cstheme="minorEastAsia"/>
                <w:b w:val="0"/>
                <w:bCs w:val="0"/>
                <w:color w:val="auto"/>
                <w:sz w:val="24"/>
                <w:szCs w:val="24"/>
                <w:highlight w:val="none"/>
                <w:lang w:val="en-US" w:eastAsia="zh-CN"/>
              </w:rPr>
            </w:pPr>
            <w:r>
              <w:rPr>
                <w:rFonts w:hint="default" w:asciiTheme="minorEastAsia" w:hAnsiTheme="minorEastAsia" w:cstheme="minorEastAsia"/>
                <w:b w:val="0"/>
                <w:bCs w:val="0"/>
                <w:color w:val="auto"/>
                <w:sz w:val="24"/>
                <w:szCs w:val="24"/>
                <w:highlight w:val="none"/>
                <w:lang w:val="en-US" w:eastAsia="zh-CN"/>
              </w:rPr>
              <w:t>四、其它说明：</w:t>
            </w:r>
          </w:p>
          <w:p w14:paraId="41405BF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Cs/>
                <w:sz w:val="24"/>
                <w:szCs w:val="24"/>
                <w:lang w:val="en-US" w:eastAsia="zh-CN"/>
              </w:rPr>
              <w:t>招标控制价中暂列金额定为99973.65元，主要考虑用于零星维修及小区电梯使用配套费等项目（包括但不限于洞口拆除、恢复、垃圾清运等相关工作）。</w:t>
            </w:r>
          </w:p>
        </w:tc>
      </w:tr>
      <w:tr w14:paraId="304E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Merge w:val="restart"/>
            <w:vAlign w:val="center"/>
          </w:tcPr>
          <w:p w14:paraId="4CFA9BD3">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2072" w:type="dxa"/>
            <w:vMerge w:val="restart"/>
            <w:vAlign w:val="center"/>
          </w:tcPr>
          <w:p w14:paraId="5FB089BF">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供应商要求澄清竞争性磋商文件</w:t>
            </w:r>
          </w:p>
        </w:tc>
        <w:tc>
          <w:tcPr>
            <w:tcW w:w="6447" w:type="dxa"/>
            <w:vAlign w:val="center"/>
          </w:tcPr>
          <w:p w14:paraId="18FB70A8">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时间：提交首次响应文件截止时间前</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日</w:t>
            </w:r>
          </w:p>
        </w:tc>
      </w:tr>
      <w:tr w14:paraId="18ED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Merge w:val="continue"/>
            <w:vAlign w:val="center"/>
          </w:tcPr>
          <w:p w14:paraId="4E85A3A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p>
        </w:tc>
        <w:tc>
          <w:tcPr>
            <w:tcW w:w="2072" w:type="dxa"/>
            <w:vMerge w:val="continue"/>
            <w:vAlign w:val="center"/>
          </w:tcPr>
          <w:p w14:paraId="7AA21402">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p>
        </w:tc>
        <w:tc>
          <w:tcPr>
            <w:tcW w:w="6447" w:type="dxa"/>
            <w:vAlign w:val="center"/>
          </w:tcPr>
          <w:p w14:paraId="34A662BD">
            <w:pPr>
              <w:keepNext w:val="0"/>
              <w:keepLines w:val="0"/>
              <w:pageBreakBefore w:val="0"/>
              <w:widowControl w:val="0"/>
              <w:kinsoku/>
              <w:overflowPunct/>
              <w:bidi w:val="0"/>
              <w:snapToGrid/>
              <w:spacing w:line="500" w:lineRule="exact"/>
              <w:ind w:left="2660" w:hanging="2280" w:hangingChars="9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形式：在三门峡市公共资源电子招标投标交易平台提出</w:t>
            </w:r>
          </w:p>
        </w:tc>
      </w:tr>
      <w:tr w14:paraId="3D03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0A59161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2072" w:type="dxa"/>
            <w:vAlign w:val="center"/>
          </w:tcPr>
          <w:p w14:paraId="419177C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竞争性磋商文件澄清发出的形式</w:t>
            </w:r>
          </w:p>
        </w:tc>
        <w:tc>
          <w:tcPr>
            <w:tcW w:w="6447" w:type="dxa"/>
            <w:vAlign w:val="center"/>
          </w:tcPr>
          <w:p w14:paraId="121E0C72">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通过三门峡市公共资源电子招标投标交易平台发布且同时在原公告媒体发布澄清公告</w:t>
            </w:r>
          </w:p>
        </w:tc>
      </w:tr>
      <w:tr w14:paraId="7053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0372BF86">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2072" w:type="dxa"/>
            <w:vMerge w:val="restart"/>
            <w:vAlign w:val="center"/>
          </w:tcPr>
          <w:p w14:paraId="24DE9A3E">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供应商确认收到竞争性磋商文件澄清</w:t>
            </w:r>
          </w:p>
        </w:tc>
        <w:tc>
          <w:tcPr>
            <w:tcW w:w="6447" w:type="dxa"/>
            <w:vAlign w:val="center"/>
          </w:tcPr>
          <w:p w14:paraId="6BBB76AF">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时间：在收到相应澄清文件后24小时内</w:t>
            </w:r>
          </w:p>
        </w:tc>
      </w:tr>
      <w:tr w14:paraId="41B5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7177FE18">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p>
        </w:tc>
        <w:tc>
          <w:tcPr>
            <w:tcW w:w="2072" w:type="dxa"/>
            <w:vMerge w:val="continue"/>
            <w:vAlign w:val="center"/>
          </w:tcPr>
          <w:p w14:paraId="3396D49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p>
        </w:tc>
        <w:tc>
          <w:tcPr>
            <w:tcW w:w="6447" w:type="dxa"/>
            <w:vAlign w:val="center"/>
          </w:tcPr>
          <w:p w14:paraId="5C1E9D49">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形式：</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sz w:val="24"/>
                <w:szCs w:val="24"/>
                <w:highlight w:val="none"/>
              </w:rPr>
              <w:t>三门峡市公共资源电子招标投标交易平台</w:t>
            </w:r>
            <w:r>
              <w:rPr>
                <w:rFonts w:hint="eastAsia" w:asciiTheme="minorEastAsia" w:hAnsiTheme="minorEastAsia" w:eastAsiaTheme="minorEastAsia" w:cstheme="minorEastAsia"/>
                <w:color w:val="auto"/>
                <w:kern w:val="0"/>
                <w:sz w:val="24"/>
                <w:szCs w:val="24"/>
                <w:highlight w:val="none"/>
              </w:rPr>
              <w:t>进行回复确认</w:t>
            </w:r>
          </w:p>
        </w:tc>
      </w:tr>
      <w:tr w14:paraId="79B2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32A914AA">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p>
        </w:tc>
        <w:tc>
          <w:tcPr>
            <w:tcW w:w="2072" w:type="dxa"/>
            <w:vAlign w:val="center"/>
          </w:tcPr>
          <w:p w14:paraId="1A74175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竞争性磋商文件修改发出的形式</w:t>
            </w:r>
          </w:p>
        </w:tc>
        <w:tc>
          <w:tcPr>
            <w:tcW w:w="6447" w:type="dxa"/>
            <w:vAlign w:val="center"/>
          </w:tcPr>
          <w:p w14:paraId="3C9DF6F7">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通过三门峡市公共资源电子招标投标交易平台发布且同时在原公告媒体发布变更公告</w:t>
            </w:r>
          </w:p>
        </w:tc>
      </w:tr>
      <w:tr w14:paraId="5D51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6FB4A9A3">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p>
        </w:tc>
        <w:tc>
          <w:tcPr>
            <w:tcW w:w="2072" w:type="dxa"/>
            <w:vMerge w:val="restart"/>
            <w:vAlign w:val="center"/>
          </w:tcPr>
          <w:p w14:paraId="104787AA">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供应商确认收到竞争性磋商文件修改</w:t>
            </w:r>
          </w:p>
        </w:tc>
        <w:tc>
          <w:tcPr>
            <w:tcW w:w="6447" w:type="dxa"/>
            <w:vAlign w:val="center"/>
          </w:tcPr>
          <w:p w14:paraId="37976309">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时间：在收到相应修改文件后 24 小时内</w:t>
            </w:r>
          </w:p>
        </w:tc>
      </w:tr>
      <w:tr w14:paraId="0E6C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2F0DC41F">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p>
        </w:tc>
        <w:tc>
          <w:tcPr>
            <w:tcW w:w="2072" w:type="dxa"/>
            <w:vMerge w:val="continue"/>
            <w:vAlign w:val="center"/>
          </w:tcPr>
          <w:p w14:paraId="254324A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p>
        </w:tc>
        <w:tc>
          <w:tcPr>
            <w:tcW w:w="6447" w:type="dxa"/>
            <w:vAlign w:val="center"/>
          </w:tcPr>
          <w:p w14:paraId="603A4EB7">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形式：</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sz w:val="24"/>
                <w:szCs w:val="24"/>
                <w:highlight w:val="none"/>
              </w:rPr>
              <w:t>三门峡市公共资源电子招标投标交易平台</w:t>
            </w:r>
            <w:r>
              <w:rPr>
                <w:rFonts w:hint="eastAsia" w:asciiTheme="minorEastAsia" w:hAnsiTheme="minorEastAsia" w:eastAsiaTheme="minorEastAsia" w:cstheme="minorEastAsia"/>
                <w:color w:val="auto"/>
                <w:kern w:val="0"/>
                <w:sz w:val="24"/>
                <w:szCs w:val="24"/>
                <w:highlight w:val="none"/>
              </w:rPr>
              <w:t>进行回复确认</w:t>
            </w:r>
          </w:p>
        </w:tc>
      </w:tr>
      <w:tr w14:paraId="79C3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4" w:type="dxa"/>
            <w:vAlign w:val="center"/>
          </w:tcPr>
          <w:p w14:paraId="6A2FBD53">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w:t>
            </w:r>
          </w:p>
        </w:tc>
        <w:tc>
          <w:tcPr>
            <w:tcW w:w="2072" w:type="dxa"/>
            <w:vAlign w:val="center"/>
          </w:tcPr>
          <w:p w14:paraId="0C369D5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磋商有效期</w:t>
            </w:r>
          </w:p>
        </w:tc>
        <w:tc>
          <w:tcPr>
            <w:tcW w:w="6447" w:type="dxa"/>
          </w:tcPr>
          <w:p w14:paraId="27DBF896">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响应文件递交截止之日起</w:t>
            </w:r>
            <w:r>
              <w:rPr>
                <w:rFonts w:hint="eastAsia" w:asciiTheme="minorEastAsia" w:hAnsiTheme="minorEastAsia" w:eastAsiaTheme="minorEastAsia" w:cstheme="minorEastAsia"/>
                <w:color w:val="auto"/>
                <w:sz w:val="24"/>
                <w:szCs w:val="24"/>
                <w:highlight w:val="none"/>
                <w:u w:val="single"/>
              </w:rPr>
              <w:t xml:space="preserve"> 60</w:t>
            </w:r>
            <w:r>
              <w:rPr>
                <w:rFonts w:hint="eastAsia" w:asciiTheme="minorEastAsia" w:hAnsiTheme="minorEastAsia" w:eastAsiaTheme="minorEastAsia" w:cstheme="minorEastAsia"/>
                <w:color w:val="auto"/>
                <w:sz w:val="24"/>
                <w:szCs w:val="24"/>
                <w:highlight w:val="none"/>
              </w:rPr>
              <w:t>日历天</w:t>
            </w:r>
          </w:p>
        </w:tc>
      </w:tr>
      <w:tr w14:paraId="7A66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04B7CB7A">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2072" w:type="dxa"/>
            <w:vAlign w:val="center"/>
          </w:tcPr>
          <w:p w14:paraId="33192E90">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w:t>
            </w:r>
          </w:p>
        </w:tc>
        <w:tc>
          <w:tcPr>
            <w:tcW w:w="6447" w:type="dxa"/>
          </w:tcPr>
          <w:p w14:paraId="481656BE">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根据《河南省财政厅关于优化政府采购营商环境有关问题的通知》（豫财购[2020]4号）第6条的规定，磋商保证金不再收取。</w:t>
            </w:r>
          </w:p>
        </w:tc>
      </w:tr>
      <w:tr w14:paraId="5D2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1FEDD9E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2072" w:type="dxa"/>
            <w:vAlign w:val="center"/>
          </w:tcPr>
          <w:p w14:paraId="56178490">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磋商文件费</w:t>
            </w:r>
          </w:p>
        </w:tc>
        <w:tc>
          <w:tcPr>
            <w:tcW w:w="6447" w:type="dxa"/>
            <w:vAlign w:val="center"/>
          </w:tcPr>
          <w:p w14:paraId="58D74BB7">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本项目为全电子</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，不再收取磋商文件费用</w:t>
            </w:r>
          </w:p>
        </w:tc>
      </w:tr>
      <w:tr w14:paraId="6E80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CDB0CCA">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w:t>
            </w:r>
          </w:p>
        </w:tc>
        <w:tc>
          <w:tcPr>
            <w:tcW w:w="2072" w:type="dxa"/>
            <w:vAlign w:val="center"/>
          </w:tcPr>
          <w:p w14:paraId="72D7801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电子化响应文件的签章</w:t>
            </w:r>
          </w:p>
        </w:tc>
        <w:tc>
          <w:tcPr>
            <w:tcW w:w="6447" w:type="dxa"/>
            <w:vAlign w:val="center"/>
          </w:tcPr>
          <w:p w14:paraId="4C6C57AE">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708E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687D5DC">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w:t>
            </w:r>
          </w:p>
        </w:tc>
        <w:tc>
          <w:tcPr>
            <w:tcW w:w="2072" w:type="dxa"/>
            <w:vAlign w:val="center"/>
          </w:tcPr>
          <w:p w14:paraId="0CFC7613">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电子化响应文件的格式及上传投标</w:t>
            </w:r>
          </w:p>
        </w:tc>
        <w:tc>
          <w:tcPr>
            <w:tcW w:w="6447" w:type="dxa"/>
            <w:vAlign w:val="center"/>
          </w:tcPr>
          <w:p w14:paraId="189E7E47">
            <w:pPr>
              <w:keepNext w:val="0"/>
              <w:keepLines w:val="0"/>
              <w:pageBreakBefore w:val="0"/>
              <w:widowControl w:val="0"/>
              <w:kinsoku/>
              <w:wordWrap w:val="0"/>
              <w:overflowPunct/>
              <w:topLine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供应商所上传的电子化响应文件，应是通过中心投标文件制作系统制作的（投标文件制作工具下载地址：https://download.bqpoint.com/download/downloaddetail.html?SourceFrom=Ztb&amp;ZtbSoftXiaQuCode=1506&amp;ZtbSoftType=tballinclusive）。</w:t>
            </w:r>
          </w:p>
        </w:tc>
      </w:tr>
      <w:tr w14:paraId="74C7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DCE5370">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w:t>
            </w:r>
          </w:p>
        </w:tc>
        <w:tc>
          <w:tcPr>
            <w:tcW w:w="2072" w:type="dxa"/>
            <w:vAlign w:val="center"/>
          </w:tcPr>
          <w:p w14:paraId="4263DE1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响应文件递交截止时间</w:t>
            </w:r>
          </w:p>
        </w:tc>
        <w:tc>
          <w:tcPr>
            <w:tcW w:w="6447" w:type="dxa"/>
            <w:vAlign w:val="center"/>
          </w:tcPr>
          <w:p w14:paraId="74F39754">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cstheme="minorEastAsia"/>
                <w:color w:val="auto"/>
                <w:sz w:val="24"/>
                <w:szCs w:val="24"/>
                <w:highlight w:val="none"/>
                <w:lang w:eastAsia="zh-CN"/>
              </w:rPr>
              <w:t>日</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r>
      <w:tr w14:paraId="686A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vAlign w:val="center"/>
          </w:tcPr>
          <w:p w14:paraId="7FCC9BFA">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2072" w:type="dxa"/>
            <w:vAlign w:val="center"/>
          </w:tcPr>
          <w:p w14:paraId="4784649B">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响应文件递交地点</w:t>
            </w:r>
          </w:p>
        </w:tc>
        <w:tc>
          <w:tcPr>
            <w:tcW w:w="6447" w:type="dxa"/>
            <w:vAlign w:val="center"/>
          </w:tcPr>
          <w:p w14:paraId="5E4CA148">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上传至三门峡市公共资源交易中心系统</w:t>
            </w:r>
          </w:p>
        </w:tc>
      </w:tr>
      <w:tr w14:paraId="3998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67AE5E16">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p>
        </w:tc>
        <w:tc>
          <w:tcPr>
            <w:tcW w:w="2072" w:type="dxa"/>
            <w:vAlign w:val="center"/>
          </w:tcPr>
          <w:p w14:paraId="7E0A3764">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是否退还响应文件</w:t>
            </w:r>
          </w:p>
        </w:tc>
        <w:tc>
          <w:tcPr>
            <w:tcW w:w="6447" w:type="dxa"/>
            <w:vAlign w:val="center"/>
          </w:tcPr>
          <w:p w14:paraId="61C84D4E">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24A4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73F67E6">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w:t>
            </w:r>
          </w:p>
        </w:tc>
        <w:tc>
          <w:tcPr>
            <w:tcW w:w="2072" w:type="dxa"/>
            <w:vAlign w:val="center"/>
          </w:tcPr>
          <w:p w14:paraId="490BCE4E">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竞争性磋商时间和地点</w:t>
            </w:r>
          </w:p>
        </w:tc>
        <w:tc>
          <w:tcPr>
            <w:tcW w:w="6447" w:type="dxa"/>
          </w:tcPr>
          <w:p w14:paraId="34DB368A">
            <w:pPr>
              <w:keepNext w:val="0"/>
              <w:keepLines w:val="0"/>
              <w:pageBreakBefore w:val="0"/>
              <w:widowControl w:val="0"/>
              <w:kinsoku/>
              <w:wordWrap w:val="0"/>
              <w:overflowPunct/>
              <w:topLinePunct/>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磋商时间</w:t>
            </w:r>
            <w:r>
              <w:rPr>
                <w:rFonts w:hint="eastAsia" w:asciiTheme="minorEastAsia" w:hAnsiTheme="minorEastAsia" w:cstheme="minorEastAsia"/>
                <w:color w:val="auto"/>
                <w:kern w:val="0"/>
                <w:sz w:val="24"/>
                <w:szCs w:val="24"/>
                <w:highlight w:val="none"/>
                <w:lang w:eastAsia="zh-CN"/>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cstheme="minorEastAsia"/>
                <w:color w:val="auto"/>
                <w:kern w:val="0"/>
                <w:sz w:val="24"/>
                <w:szCs w:val="24"/>
                <w:highlight w:val="none"/>
                <w:lang w:eastAsia="zh-CN"/>
              </w:rPr>
              <w:t>月</w:t>
            </w:r>
            <w:r>
              <w:rPr>
                <w:rFonts w:hint="eastAsia" w:asciiTheme="minorEastAsia" w:hAnsiTheme="minorEastAsia" w:cstheme="minorEastAsia"/>
                <w:color w:val="auto"/>
                <w:kern w:val="0"/>
                <w:sz w:val="24"/>
                <w:szCs w:val="24"/>
                <w:highlight w:val="none"/>
                <w:lang w:val="en-US" w:eastAsia="zh-CN"/>
              </w:rPr>
              <w:t>14</w:t>
            </w:r>
            <w:r>
              <w:rPr>
                <w:rFonts w:hint="eastAsia" w:asciiTheme="minorEastAsia" w:hAnsiTheme="minorEastAsia" w:cstheme="minorEastAsia"/>
                <w:color w:val="auto"/>
                <w:kern w:val="0"/>
                <w:sz w:val="24"/>
                <w:szCs w:val="24"/>
                <w:highlight w:val="none"/>
                <w:lang w:eastAsia="zh-CN"/>
              </w:rPr>
              <w:t>日</w:t>
            </w:r>
            <w:r>
              <w:rPr>
                <w:rFonts w:hint="eastAsia" w:asciiTheme="minorEastAsia" w:hAnsi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分</w:t>
            </w:r>
          </w:p>
          <w:p w14:paraId="001B794F">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磋商地点：三门峡市公共资源交易中心五楼开标区</w:t>
            </w:r>
          </w:p>
        </w:tc>
      </w:tr>
      <w:tr w14:paraId="5380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39BF3B6E">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w:t>
            </w:r>
          </w:p>
        </w:tc>
        <w:tc>
          <w:tcPr>
            <w:tcW w:w="2072" w:type="dxa"/>
            <w:vAlign w:val="center"/>
          </w:tcPr>
          <w:p w14:paraId="11088F2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磋商小组的组建</w:t>
            </w:r>
          </w:p>
        </w:tc>
        <w:tc>
          <w:tcPr>
            <w:tcW w:w="6447" w:type="dxa"/>
          </w:tcPr>
          <w:p w14:paraId="2E74705A">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磋商小组由采购人代表和评审专家共3人以上单数组成，其中评审专家人数不得少于磋商小组成员总数的2/3。</w:t>
            </w:r>
          </w:p>
          <w:p w14:paraId="4814C94A">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磋商小组组建方式：磋商小组成员为3人，采购人代表1人，其余专家2人从河南省政府采购评审专家库</w:t>
            </w:r>
            <w:r>
              <w:rPr>
                <w:rFonts w:hint="eastAsia" w:asciiTheme="minorEastAsia" w:hAnsi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随机抽取。</w:t>
            </w:r>
          </w:p>
        </w:tc>
      </w:tr>
      <w:tr w14:paraId="7106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E68BA7A">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w:t>
            </w:r>
          </w:p>
        </w:tc>
        <w:tc>
          <w:tcPr>
            <w:tcW w:w="2072" w:type="dxa"/>
            <w:vAlign w:val="center"/>
          </w:tcPr>
          <w:p w14:paraId="5AEABEC1">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是否授权磋商小组确定成交人</w:t>
            </w:r>
          </w:p>
        </w:tc>
        <w:tc>
          <w:tcPr>
            <w:tcW w:w="6447" w:type="dxa"/>
            <w:vAlign w:val="center"/>
          </w:tcPr>
          <w:p w14:paraId="4BE6E3CA">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否，推荐的成交候选人数：3名</w:t>
            </w:r>
          </w:p>
        </w:tc>
      </w:tr>
      <w:tr w14:paraId="1D6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7F38ACC9">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w:t>
            </w:r>
          </w:p>
        </w:tc>
        <w:tc>
          <w:tcPr>
            <w:tcW w:w="8519" w:type="dxa"/>
            <w:gridSpan w:val="2"/>
            <w:vAlign w:val="center"/>
          </w:tcPr>
          <w:p w14:paraId="211324CB">
            <w:pPr>
              <w:keepNext w:val="0"/>
              <w:keepLines w:val="0"/>
              <w:pageBreakBefore w:val="0"/>
              <w:widowControl w:val="0"/>
              <w:kinsoku/>
              <w:wordWrap w:val="0"/>
              <w:overflowPunct/>
              <w:topLine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人与采购人签订合同后，将合同原件</w:t>
            </w:r>
            <w:r>
              <w:rPr>
                <w:rFonts w:hint="eastAsia" w:asciiTheme="minorEastAsia" w:hAnsi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报采购代理机构备案。</w:t>
            </w:r>
          </w:p>
        </w:tc>
      </w:tr>
      <w:tr w14:paraId="2BA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68EBE855">
            <w:pPr>
              <w:keepNext w:val="0"/>
              <w:keepLines w:val="0"/>
              <w:pageBreakBefore w:val="0"/>
              <w:widowControl w:val="0"/>
              <w:kinsoku/>
              <w:overflowPunct/>
              <w:bidi w:val="0"/>
              <w:snapToGrid/>
              <w:spacing w:line="5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4.7</w:t>
            </w:r>
          </w:p>
        </w:tc>
        <w:tc>
          <w:tcPr>
            <w:tcW w:w="2072" w:type="dxa"/>
            <w:vAlign w:val="center"/>
          </w:tcPr>
          <w:p w14:paraId="68CFC674">
            <w:pPr>
              <w:keepNext w:val="0"/>
              <w:keepLines w:val="0"/>
              <w:pageBreakBefore w:val="0"/>
              <w:widowControl w:val="0"/>
              <w:kinsoku/>
              <w:wordWrap w:val="0"/>
              <w:overflowPunct/>
              <w:topLine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代理费收费标准</w:t>
            </w:r>
          </w:p>
        </w:tc>
        <w:tc>
          <w:tcPr>
            <w:tcW w:w="6447" w:type="dxa"/>
            <w:vAlign w:val="center"/>
          </w:tcPr>
          <w:p w14:paraId="10101333">
            <w:pPr>
              <w:keepNext w:val="0"/>
              <w:keepLines w:val="0"/>
              <w:pageBreakBefore w:val="0"/>
              <w:widowControl w:val="0"/>
              <w:kinsoku/>
              <w:overflowPunct/>
              <w:bidi w:val="0"/>
              <w:snapToGrid/>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1.代理服务费：参考河南省招标代理服务收费指导意见（豫招协[2023]002号）规定的收费标准计算。</w:t>
            </w:r>
          </w:p>
          <w:p w14:paraId="440C304F">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2.收取方式：中标供应商在领取中标通知书时，以现金或转账的方式一次性向代理机构缴纳招标代理服务费。</w:t>
            </w:r>
          </w:p>
          <w:p w14:paraId="58554007">
            <w:pPr>
              <w:keepNext w:val="0"/>
              <w:keepLines w:val="0"/>
              <w:pageBreakBefore w:val="0"/>
              <w:widowControl w:val="0"/>
              <w:kinsoku/>
              <w:overflowPunct/>
              <w:bidi w:val="0"/>
              <w:snapToGrid/>
              <w:spacing w:line="5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3.收款单位全称：河南精开咨询有限公司   </w:t>
            </w:r>
          </w:p>
          <w:p w14:paraId="77623F86">
            <w:pPr>
              <w:keepNext w:val="0"/>
              <w:keepLines w:val="0"/>
              <w:pageBreakBefore w:val="0"/>
              <w:widowControl w:val="0"/>
              <w:kinsoku/>
              <w:overflowPunct/>
              <w:bidi w:val="0"/>
              <w:snapToGrid/>
              <w:spacing w:line="5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账号:41050169864300000488</w:t>
            </w:r>
          </w:p>
          <w:p w14:paraId="42818104">
            <w:pPr>
              <w:keepNext w:val="0"/>
              <w:keepLines w:val="0"/>
              <w:pageBreakBefore w:val="0"/>
              <w:widowControl w:val="0"/>
              <w:kinsoku/>
              <w:overflowPunct/>
              <w:bidi w:val="0"/>
              <w:snapToGrid/>
              <w:spacing w:line="500" w:lineRule="exact"/>
              <w:ind w:firstLine="240" w:firstLineChars="100"/>
              <w:jc w:val="left"/>
              <w:textAlignment w:val="auto"/>
              <w:rPr>
                <w:rFonts w:hint="default" w:eastAsia="宋体"/>
                <w:lang w:val="en-US" w:eastAsia="zh-CN"/>
              </w:rPr>
            </w:pPr>
            <w:r>
              <w:rPr>
                <w:rFonts w:hint="eastAsia" w:asciiTheme="minorEastAsia" w:hAnsiTheme="minorEastAsia" w:eastAsiaTheme="minorEastAsia" w:cstheme="minorEastAsia"/>
                <w:color w:val="auto"/>
                <w:sz w:val="24"/>
                <w:szCs w:val="24"/>
                <w:highlight w:val="none"/>
                <w:lang w:val="en-US" w:eastAsia="zh-CN"/>
              </w:rPr>
              <w:t>开户行：中国建设银行股份有限公司三门峡和平路支行</w:t>
            </w:r>
          </w:p>
        </w:tc>
      </w:tr>
      <w:tr w14:paraId="6DEA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680835D5">
            <w:pPr>
              <w:keepNext w:val="0"/>
              <w:keepLines w:val="0"/>
              <w:pageBreakBefore w:val="0"/>
              <w:widowControl w:val="0"/>
              <w:kinsoku/>
              <w:overflowPunct/>
              <w:bidi w:val="0"/>
              <w:snapToGrid/>
              <w:spacing w:line="5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cstheme="minorEastAsia"/>
                <w:color w:val="auto"/>
                <w:kern w:val="0"/>
                <w:sz w:val="24"/>
                <w:szCs w:val="24"/>
                <w:highlight w:val="none"/>
                <w:lang w:val="en-US" w:eastAsia="zh-CN"/>
              </w:rPr>
              <w:t>7</w:t>
            </w:r>
          </w:p>
        </w:tc>
        <w:tc>
          <w:tcPr>
            <w:tcW w:w="2072" w:type="dxa"/>
            <w:vAlign w:val="center"/>
          </w:tcPr>
          <w:p w14:paraId="5CDC20BF">
            <w:pPr>
              <w:keepNext w:val="0"/>
              <w:keepLines w:val="0"/>
              <w:pageBreakBefore w:val="0"/>
              <w:widowControl w:val="0"/>
              <w:kinsoku/>
              <w:wordWrap w:val="0"/>
              <w:overflowPunct/>
              <w:topLinePunct/>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本项目中小企业所属行业</w:t>
            </w:r>
          </w:p>
        </w:tc>
        <w:tc>
          <w:tcPr>
            <w:tcW w:w="6447" w:type="dxa"/>
            <w:vAlign w:val="center"/>
          </w:tcPr>
          <w:p w14:paraId="7A238321">
            <w:pPr>
              <w:keepNext w:val="0"/>
              <w:keepLines w:val="0"/>
              <w:pageBreakBefore w:val="0"/>
              <w:widowControl w:val="0"/>
              <w:kinsoku/>
              <w:wordWrap w:val="0"/>
              <w:overflowPunct/>
              <w:topLinePunct/>
              <w:bidi w:val="0"/>
              <w:snapToGrid/>
              <w:spacing w:line="50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建筑业</w:t>
            </w:r>
          </w:p>
        </w:tc>
      </w:tr>
      <w:tr w14:paraId="48EB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93" w:type="dxa"/>
            <w:gridSpan w:val="3"/>
            <w:vAlign w:val="center"/>
          </w:tcPr>
          <w:p w14:paraId="415524BA">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本项目为电子化、无纸化交易项目，响应文件是供应商通过中心响应文件制作系统制作，并经过签章和加密后生成的电子版响应文件。</w:t>
            </w:r>
          </w:p>
          <w:p w14:paraId="70A9EBD3">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电子化响应文件具体制作文件请点击</w:t>
            </w:r>
          </w:p>
          <w:p w14:paraId="181C349F">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"https://download.bqpoint.com/download/downloaddetail.html?SourceFrom=Ztb&amp;ZtbSoftXiaQuCode=1506&amp;ZtbSoftType=tballinclusive" </w:instrText>
            </w:r>
            <w:r>
              <w:rPr>
                <w:rFonts w:hint="eastAsia" w:asciiTheme="minorEastAsia" w:hAnsiTheme="minorEastAsia" w:eastAsiaTheme="minorEastAsia" w:cstheme="minorEastAsia"/>
                <w:color w:val="auto"/>
                <w:sz w:val="24"/>
                <w:szCs w:val="24"/>
                <w:highlight w:val="none"/>
              </w:rPr>
              <w:fldChar w:fldCharType="separate"/>
            </w:r>
            <w:r>
              <w:rPr>
                <w:rStyle w:val="22"/>
                <w:rFonts w:hint="eastAsia" w:asciiTheme="minorEastAsia" w:hAnsiTheme="minorEastAsia" w:eastAsiaTheme="minorEastAsia" w:cstheme="minorEastAsia"/>
                <w:color w:val="auto"/>
                <w:sz w:val="24"/>
                <w:szCs w:val="24"/>
                <w:highlight w:val="none"/>
              </w:rPr>
              <w:t>https://download.bqpoint.com/download/downloaddetail.html?SourceFrom=Ztb&amp;ZtbSoftXiaQuCode=1506&amp;ZtbSoftType=tballinclusive</w:t>
            </w:r>
            <w:r>
              <w:rPr>
                <w:rStyle w:val="22"/>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进行下载。</w:t>
            </w:r>
          </w:p>
          <w:p w14:paraId="77AAE46A">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温馨提示：本项目为电子化、无纸化交易项目，为保证您能投标成功，请需仔细阅读以下条款。</w:t>
            </w:r>
          </w:p>
          <w:p w14:paraId="06FAEAFD">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一、电子化投标</w:t>
            </w:r>
          </w:p>
          <w:p w14:paraId="1B8B26F1">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（一）网上磋商保证金的缴纳</w:t>
            </w:r>
          </w:p>
          <w:p w14:paraId="04D0DE8D">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根据《河南省财政厅关于优化政府采购营商环境有关问题的通知》（豫财购【2019】4号）第6条的规定，磋商保证金不再收取。</w:t>
            </w:r>
          </w:p>
          <w:p w14:paraId="380477A5">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（二）电子化响应文件的签章</w:t>
            </w:r>
          </w:p>
          <w:p w14:paraId="5808714C">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1、供应商在生成电子化磋商响应文件后，应对电子化响应文件进行签章，未进行签章的视为无效投标。</w:t>
            </w:r>
          </w:p>
          <w:p w14:paraId="64D56D00">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color w:val="auto"/>
                <w:sz w:val="24"/>
                <w:szCs w:val="24"/>
                <w:highlight w:val="none"/>
              </w:rPr>
              <w:t>竞争性磋商文件中要求供应商盖章的，以签盖单位章为准；要求法定代表人或授权代理人签章的，以签盖法定代表人签章为准</w:t>
            </w:r>
            <w:r>
              <w:rPr>
                <w:rFonts w:hint="eastAsia" w:asciiTheme="minorEastAsia" w:hAnsiTheme="minorEastAsia" w:eastAsiaTheme="minorEastAsia" w:cstheme="minorEastAsia"/>
                <w:color w:val="auto"/>
                <w:sz w:val="24"/>
                <w:szCs w:val="24"/>
                <w:highlight w:val="none"/>
              </w:rPr>
              <w:t>。</w:t>
            </w:r>
          </w:p>
          <w:p w14:paraId="5A0FD044">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（三）电子化响应文件的格式及上传投标</w:t>
            </w:r>
          </w:p>
          <w:p w14:paraId="4BB28F4E">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1、供应商所上传的电子化响应文件，应是通过中心响应文件制作系统制作的（磋商响应文件制作工具下载地址：</w:t>
            </w:r>
          </w:p>
          <w:p w14:paraId="2082CE42">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2D903EA3">
            <w:pPr>
              <w:keepNext w:val="0"/>
              <w:keepLines w:val="0"/>
              <w:pageBreakBefore w:val="0"/>
              <w:widowControl w:val="0"/>
              <w:kinsoku/>
              <w:overflowPunct/>
              <w:bidi w:val="0"/>
              <w:snapToGrid/>
              <w:spacing w:line="5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2、电子化响应文件应在</w:t>
            </w:r>
            <w:r>
              <w:rPr>
                <w:rFonts w:hint="eastAsia" w:asciiTheme="minorEastAsia" w:hAnsi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截止时间前成功上传至三门峡市公共资源电子化交易系统。至</w:t>
            </w:r>
            <w:r>
              <w:rPr>
                <w:rFonts w:hint="eastAsia" w:asciiTheme="minorEastAsia" w:hAnsi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截止时间止，仍未上传成功的电子化响应文件将不予接收。</w:t>
            </w:r>
          </w:p>
          <w:p w14:paraId="01C6191B">
            <w:pPr>
              <w:keepNext w:val="0"/>
              <w:keepLines w:val="0"/>
              <w:pageBreakBefore w:val="0"/>
              <w:widowControl w:val="0"/>
              <w:kinsoku/>
              <w:overflowPunct/>
              <w:bidi w:val="0"/>
              <w:snapToGrid/>
              <w:spacing w:line="500" w:lineRule="exact"/>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color w:val="auto"/>
                <w:sz w:val="24"/>
                <w:szCs w:val="24"/>
                <w:highlight w:val="none"/>
              </w:rPr>
              <w:t>如按照电子化投标操作教材制作完成的电子化响应文件无法上传的，供应商应在</w:t>
            </w:r>
            <w:r>
              <w:rPr>
                <w:rFonts w:hint="eastAsia" w:asciiTheme="minorEastAsia" w:hAnsi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截止时间前尽早的</w:t>
            </w:r>
            <w:r>
              <w:rPr>
                <w:rFonts w:hint="eastAsia" w:asciiTheme="minorEastAsia" w:hAnsiTheme="minorEastAsia" w:eastAsiaTheme="minorEastAsia" w:cstheme="minorEastAsia"/>
                <w:color w:val="auto"/>
                <w:sz w:val="24"/>
                <w:szCs w:val="24"/>
                <w:highlight w:val="none"/>
              </w:rPr>
              <w:t>联系中心技术人员，以便有充分的时间进行处理。</w:t>
            </w:r>
            <w:r>
              <w:rPr>
                <w:rFonts w:hint="eastAsia" w:asciiTheme="minorEastAsia" w:hAnsiTheme="minorEastAsia" w:eastAsiaTheme="minorEastAsia" w:cstheme="minorEastAsia"/>
                <w:b/>
                <w:color w:val="auto"/>
                <w:sz w:val="24"/>
                <w:szCs w:val="24"/>
                <w:highlight w:val="none"/>
              </w:rPr>
              <w:t>供应商应充分考虑到处理技术问题和上传数据等工作所需的时间问题，响应文件未在</w:t>
            </w:r>
            <w:r>
              <w:rPr>
                <w:rFonts w:hint="eastAsia" w:asciiTheme="minorEastAsia" w:hAnsi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截止时间前成功上传的，其响应文件不予接收。</w:t>
            </w:r>
          </w:p>
          <w:p w14:paraId="0A98AEB4">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（四）电子化项目开标、解密、唱标、评标</w:t>
            </w:r>
          </w:p>
          <w:p w14:paraId="3040991A">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1、本项目采用</w:t>
            </w:r>
            <w:r>
              <w:rPr>
                <w:rFonts w:hint="eastAsia" w:asciiTheme="minorEastAsia" w:hAnsiTheme="minorEastAsia" w:eastAsiaTheme="minorEastAsia" w:cstheme="minorEastAsia"/>
                <w:b/>
                <w:color w:val="auto"/>
                <w:sz w:val="24"/>
                <w:szCs w:val="24"/>
                <w:highlight w:val="none"/>
              </w:rPr>
              <w:t>电子化、无纸化</w:t>
            </w:r>
            <w:r>
              <w:rPr>
                <w:rFonts w:hint="eastAsia" w:asciiTheme="minorEastAsia" w:hAnsiTheme="minorEastAsia" w:eastAsiaTheme="minorEastAsia" w:cstheme="minorEastAsia"/>
                <w:color w:val="auto"/>
                <w:sz w:val="24"/>
                <w:szCs w:val="24"/>
                <w:highlight w:val="none"/>
              </w:rPr>
              <w:t>进行招标，开标当日，供应商无需到开标现场参加开标会议，供应商应当在</w:t>
            </w:r>
            <w:r>
              <w:rPr>
                <w:rFonts w:hint="eastAsia" w:asciiTheme="minorEastAsia" w:hAnsi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截止时间前，登陆不见面开标大厅选择登陆三门峡市公共资源电子招投标系统进行登陆（网址为</w:t>
            </w:r>
          </w:p>
          <w:p w14:paraId="165FE4FD">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http://120.194.249.36:10094/BidOpening/bidopeninghallaction/hall/login）,在线准时参加开标活动并进行响应文件解密等</w:t>
            </w:r>
            <w:r>
              <w:rPr>
                <w:rFonts w:hint="eastAsia" w:asciiTheme="minorEastAsia" w:hAnsiTheme="minorEastAsia" w:cstheme="minorEastAsia"/>
                <w:color w:val="auto"/>
                <w:sz w:val="24"/>
                <w:szCs w:val="24"/>
                <w:highlight w:val="none"/>
                <w:lang w:eastAsia="zh-CN"/>
              </w:rPr>
              <w:t>。</w:t>
            </w:r>
          </w:p>
          <w:p w14:paraId="40269BA0">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37B2A523">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3、电子化响应文件解密异常的处理</w:t>
            </w:r>
          </w:p>
          <w:p w14:paraId="1B43CF47">
            <w:pPr>
              <w:keepNext w:val="0"/>
              <w:keepLines w:val="0"/>
              <w:pageBreakBefore w:val="0"/>
              <w:widowControl w:val="0"/>
              <w:kinsoku/>
              <w:overflowPunct/>
              <w:bidi w:val="0"/>
              <w:snapToGrid/>
              <w:spacing w:line="500" w:lineRule="exact"/>
              <w:ind w:firstLine="120" w:firstLineChars="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如出现供应商的电子响应文件无法解密等异常情况，供应商应及时致电中介服务机构说明。响应文件异常，按以下步骤进行处理：</w:t>
            </w:r>
          </w:p>
          <w:p w14:paraId="2F13E00F">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（1）首先由技术人员进行问题排查。</w:t>
            </w:r>
          </w:p>
          <w:p w14:paraId="02A4DDD0">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（2）经技术人员排查后，是供应商文件自身问题导致响应文件无法解密的，该响应文件将不予接收、解密和唱标。开标会议继续进行。</w:t>
            </w:r>
          </w:p>
          <w:p w14:paraId="2CF48878">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15E8014">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4、待所有供应商响应文件解密完成后，由中介服务机构操作，对所有已解密响应文件进行唱标。</w:t>
            </w:r>
          </w:p>
          <w:p w14:paraId="7A5B0385">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供应商应保证在开标期间电话、电脑、网络能够正常工作，供应商因停电、电脑病毒、网络堵塞等原因，未在规定的解密时间内对响应文件进行解密的，其响应文件不予接收、唱标。</w:t>
            </w:r>
          </w:p>
          <w:p w14:paraId="2A91F06B">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5F4C3E4">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6、如磋商小组对需要回复的供应商连续三次致电未接通的，视为供应商放弃回复，磋商小组将自行对需要回复的内容进行认定。</w:t>
            </w:r>
          </w:p>
          <w:p w14:paraId="7871AFE2">
            <w:pPr>
              <w:keepNext w:val="0"/>
              <w:keepLines w:val="0"/>
              <w:pageBreakBefore w:val="0"/>
              <w:widowControl w:val="0"/>
              <w:kinsoku/>
              <w:overflowPunct/>
              <w:bidi w:val="0"/>
              <w:snapToGrid/>
              <w:spacing w:line="50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二、相关证书原件的提交</w:t>
            </w:r>
          </w:p>
          <w:p w14:paraId="61B9C9CF">
            <w:pPr>
              <w:keepNext w:val="0"/>
              <w:keepLines w:val="0"/>
              <w:pageBreakBefore w:val="0"/>
              <w:widowControl w:val="0"/>
              <w:kinsoku/>
              <w:wordWrap w:val="0"/>
              <w:overflowPunct/>
              <w:topLine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资格评审部分：资格评审以响应文件为准，其上传资料真实性由供应商自行承担。同时，供应商应在开标前自行完善主体库信息。</w:t>
            </w:r>
          </w:p>
          <w:p w14:paraId="3FFD71B6">
            <w:pPr>
              <w:keepNext w:val="0"/>
              <w:keepLines w:val="0"/>
              <w:pageBreakBefore w:val="0"/>
              <w:widowControl w:val="0"/>
              <w:kinsoku/>
              <w:wordWrap w:val="0"/>
              <w:overflowPunct/>
              <w:topLine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评标打分部分：评标打分部分按照100分制原则进行，涉及到资格审查、企业荣誉、人员业绩、企业业绩等计分部分时，以供应商自行上传到响应文件中的各类相应内容为准。</w:t>
            </w:r>
          </w:p>
          <w:p w14:paraId="0B851C09">
            <w:pPr>
              <w:keepNext w:val="0"/>
              <w:keepLines w:val="0"/>
              <w:pageBreakBefore w:val="0"/>
              <w:widowControl w:val="0"/>
              <w:kinsoku/>
              <w:wordWrap w:val="0"/>
              <w:overflowPunct/>
              <w:topLine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7DABB7F6">
            <w:pPr>
              <w:keepNext w:val="0"/>
              <w:keepLines w:val="0"/>
              <w:pageBreakBefore w:val="0"/>
              <w:widowControl w:val="0"/>
              <w:kinsoku/>
              <w:wordWrap w:val="0"/>
              <w:overflowPunct/>
              <w:topLinePunct/>
              <w:bidi w:val="0"/>
              <w:snapToGrid/>
              <w:spacing w:line="50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我单位（采购人）严格按三财购【2021】9号文要求的时限发布</w:t>
            </w:r>
            <w:r>
              <w:rPr>
                <w:rFonts w:hint="eastAsia" w:asciiTheme="minorEastAsia" w:hAnsiTheme="minorEastAsia" w:cstheme="minorEastAsia"/>
                <w:b/>
                <w:color w:val="auto"/>
                <w:sz w:val="24"/>
                <w:szCs w:val="24"/>
                <w:highlight w:val="none"/>
                <w:lang w:eastAsia="zh-CN"/>
              </w:rPr>
              <w:t>成交</w:t>
            </w:r>
            <w:r>
              <w:rPr>
                <w:rFonts w:hint="eastAsia" w:asciiTheme="minorEastAsia" w:hAnsiTheme="minorEastAsia" w:eastAsiaTheme="minorEastAsia" w:cstheme="minorEastAsia"/>
                <w:b/>
                <w:color w:val="auto"/>
                <w:sz w:val="24"/>
                <w:szCs w:val="24"/>
                <w:highlight w:val="none"/>
              </w:rPr>
              <w:t>结果公告，发出</w:t>
            </w:r>
            <w:r>
              <w:rPr>
                <w:rFonts w:hint="eastAsia" w:asciiTheme="minorEastAsia" w:hAnsiTheme="minorEastAsia" w:cstheme="minorEastAsia"/>
                <w:b/>
                <w:color w:val="auto"/>
                <w:sz w:val="24"/>
                <w:szCs w:val="24"/>
                <w:highlight w:val="none"/>
                <w:lang w:eastAsia="zh-CN"/>
              </w:rPr>
              <w:t>成交</w:t>
            </w:r>
            <w:r>
              <w:rPr>
                <w:rFonts w:hint="eastAsia" w:asciiTheme="minorEastAsia" w:hAnsiTheme="minorEastAsia" w:eastAsiaTheme="minorEastAsia" w:cstheme="minorEastAsia"/>
                <w:b/>
                <w:color w:val="auto"/>
                <w:sz w:val="24"/>
                <w:szCs w:val="24"/>
                <w:highlight w:val="none"/>
              </w:rPr>
              <w:t>通知书，签订采购合同，上传采购合同。</w:t>
            </w:r>
          </w:p>
          <w:p w14:paraId="715D1213">
            <w:pPr>
              <w:keepNext w:val="0"/>
              <w:keepLines w:val="0"/>
              <w:pageBreakBefore w:val="0"/>
              <w:widowControl w:val="0"/>
              <w:kinsoku/>
              <w:wordWrap w:val="0"/>
              <w:overflowPunct/>
              <w:topLinePunct/>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提示：本项目为电子化、无纸化交易项目，为保证您能投标成功，请需仔细阅读以上条款。</w:t>
            </w:r>
          </w:p>
        </w:tc>
      </w:tr>
    </w:tbl>
    <w:p w14:paraId="1EE4DBA0">
      <w:pPr>
        <w:wordWrap w:val="0"/>
        <w:topLinePunct/>
        <w:spacing w:line="360" w:lineRule="auto"/>
        <w:rPr>
          <w:rFonts w:ascii="宋体" w:hAnsi="宋体" w:eastAsia="宋体" w:cs="宋体"/>
          <w:b/>
          <w:bCs/>
          <w:color w:val="auto"/>
          <w:sz w:val="24"/>
          <w:szCs w:val="24"/>
          <w:highlight w:val="none"/>
        </w:rPr>
      </w:pPr>
      <w:bookmarkStart w:id="17" w:name="_Toc269470294"/>
      <w:bookmarkStart w:id="18" w:name="_Toc30034"/>
      <w:bookmarkStart w:id="19" w:name="_Toc270604575"/>
    </w:p>
    <w:p w14:paraId="7C39E22F">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 </w:t>
      </w:r>
      <w:bookmarkStart w:id="20" w:name="_Toc12193"/>
      <w:bookmarkStart w:id="21" w:name="_Toc23774427"/>
      <w:r>
        <w:rPr>
          <w:rFonts w:hint="eastAsia" w:asciiTheme="majorEastAsia" w:hAnsiTheme="majorEastAsia" w:eastAsiaTheme="majorEastAsia" w:cstheme="majorEastAsia"/>
          <w:b/>
          <w:bCs/>
          <w:color w:val="auto"/>
          <w:sz w:val="24"/>
          <w:szCs w:val="24"/>
          <w:highlight w:val="none"/>
        </w:rPr>
        <w:t>总则</w:t>
      </w:r>
      <w:bookmarkEnd w:id="17"/>
      <w:bookmarkEnd w:id="18"/>
      <w:bookmarkEnd w:id="19"/>
      <w:bookmarkEnd w:id="20"/>
      <w:bookmarkEnd w:id="21"/>
    </w:p>
    <w:p w14:paraId="0DE4F8D1">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22" w:name="_Toc428276569"/>
      <w:bookmarkStart w:id="23" w:name="_Toc428351629"/>
      <w:bookmarkStart w:id="24" w:name="_Toc25531"/>
      <w:bookmarkStart w:id="25" w:name="_Toc455678100"/>
      <w:bookmarkStart w:id="26" w:name="_Toc27089"/>
      <w:bookmarkStart w:id="27" w:name="_Toc462934274"/>
      <w:bookmarkStart w:id="28" w:name="_Toc463011253"/>
      <w:bookmarkStart w:id="29" w:name="_Toc13394"/>
      <w:bookmarkStart w:id="30" w:name="_Toc277149365"/>
      <w:bookmarkStart w:id="31" w:name="_Toc454788009"/>
      <w:r>
        <w:rPr>
          <w:rFonts w:hint="eastAsia" w:asciiTheme="majorEastAsia" w:hAnsiTheme="majorEastAsia" w:eastAsiaTheme="majorEastAsia" w:cstheme="majorEastAsia"/>
          <w:b/>
          <w:color w:val="auto"/>
          <w:sz w:val="24"/>
          <w:szCs w:val="24"/>
          <w:highlight w:val="none"/>
        </w:rPr>
        <w:t>项目概况</w:t>
      </w:r>
      <w:bookmarkEnd w:id="22"/>
      <w:bookmarkEnd w:id="23"/>
      <w:bookmarkEnd w:id="24"/>
      <w:bookmarkEnd w:id="25"/>
      <w:bookmarkEnd w:id="26"/>
      <w:bookmarkEnd w:id="27"/>
      <w:bookmarkEnd w:id="28"/>
      <w:bookmarkEnd w:id="29"/>
      <w:bookmarkEnd w:id="30"/>
      <w:bookmarkEnd w:id="31"/>
    </w:p>
    <w:p w14:paraId="580DA0D5">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27C09C22">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采购人：供应商须知前附表中所述的，依法进行政府采购的国家机关、事业单位、团体组织。</w:t>
      </w:r>
    </w:p>
    <w:p w14:paraId="6E927501">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采购代理机构：受采购人委托组织</w:t>
      </w: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活动，在采购过程中负有相应责任的社会中介组织。</w:t>
      </w:r>
    </w:p>
    <w:p w14:paraId="2F54CBF3">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方式：竞争性磋商。</w:t>
      </w:r>
    </w:p>
    <w:p w14:paraId="17B0F48F">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项目名称及项目编号：见供应商须知前附表。</w:t>
      </w:r>
    </w:p>
    <w:p w14:paraId="0D1D1C6A">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建设地点：见供应商须知前附表。</w:t>
      </w:r>
    </w:p>
    <w:p w14:paraId="29191689">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32" w:name="_Toc428276570"/>
      <w:bookmarkStart w:id="33" w:name="_Toc454788010"/>
      <w:bookmarkStart w:id="34" w:name="_Toc462934275"/>
      <w:bookmarkStart w:id="35" w:name="_Toc277149366"/>
      <w:bookmarkStart w:id="36" w:name="_Toc19738"/>
      <w:bookmarkStart w:id="37" w:name="_Toc29176"/>
      <w:bookmarkStart w:id="38" w:name="_Toc455678101"/>
      <w:bookmarkStart w:id="39" w:name="_Toc270604804"/>
      <w:bookmarkStart w:id="40" w:name="_Toc269470296"/>
      <w:bookmarkStart w:id="41" w:name="_Toc428351630"/>
      <w:bookmarkStart w:id="42" w:name="_Toc463011254"/>
      <w:bookmarkStart w:id="43" w:name="_Toc13259"/>
      <w:bookmarkStart w:id="44" w:name="_Toc270604577"/>
      <w:r>
        <w:rPr>
          <w:rFonts w:hint="eastAsia" w:asciiTheme="majorEastAsia" w:hAnsiTheme="majorEastAsia" w:eastAsiaTheme="majorEastAsia" w:cstheme="majorEastAsia"/>
          <w:b/>
          <w:color w:val="auto"/>
          <w:sz w:val="24"/>
          <w:szCs w:val="24"/>
          <w:highlight w:val="none"/>
        </w:rPr>
        <w:t>资金来源和落实情况</w:t>
      </w:r>
      <w:bookmarkEnd w:id="32"/>
      <w:bookmarkEnd w:id="33"/>
      <w:bookmarkEnd w:id="34"/>
      <w:bookmarkEnd w:id="35"/>
      <w:bookmarkEnd w:id="36"/>
      <w:bookmarkEnd w:id="37"/>
      <w:bookmarkEnd w:id="38"/>
      <w:bookmarkEnd w:id="39"/>
      <w:bookmarkEnd w:id="40"/>
      <w:bookmarkEnd w:id="41"/>
      <w:bookmarkEnd w:id="42"/>
      <w:bookmarkEnd w:id="43"/>
      <w:bookmarkEnd w:id="44"/>
    </w:p>
    <w:p w14:paraId="72B3C67A">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资金来源：见供应商须知前附表</w:t>
      </w:r>
    </w:p>
    <w:p w14:paraId="453F3573">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预算金额：见供应商须知前附表</w:t>
      </w:r>
    </w:p>
    <w:p w14:paraId="128968D2">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资金落实情况：见供应商须知前附表</w:t>
      </w:r>
    </w:p>
    <w:p w14:paraId="2EA0398F">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45" w:name="_Toc270604805"/>
      <w:bookmarkStart w:id="46" w:name="_Toc9637"/>
      <w:bookmarkStart w:id="47" w:name="_Toc428351631"/>
      <w:bookmarkStart w:id="48" w:name="_Toc463011255"/>
      <w:bookmarkStart w:id="49" w:name="_Toc428276571"/>
      <w:bookmarkStart w:id="50" w:name="_Toc454788011"/>
      <w:bookmarkStart w:id="51" w:name="_Toc74"/>
      <w:bookmarkStart w:id="52" w:name="_Toc462934276"/>
      <w:bookmarkStart w:id="53" w:name="_Toc455678102"/>
      <w:bookmarkStart w:id="54" w:name="_Toc269470297"/>
      <w:bookmarkStart w:id="55" w:name="_Toc270604578"/>
      <w:bookmarkStart w:id="56" w:name="_Toc20155"/>
      <w:bookmarkStart w:id="57" w:name="_Toc277149367"/>
      <w:r>
        <w:rPr>
          <w:rFonts w:hint="eastAsia" w:asciiTheme="majorEastAsia" w:hAnsiTheme="majorEastAsia" w:eastAsiaTheme="majorEastAsia" w:cstheme="majorEastAsia"/>
          <w:b/>
          <w:color w:val="auto"/>
          <w:sz w:val="24"/>
          <w:szCs w:val="24"/>
          <w:highlight w:val="none"/>
        </w:rPr>
        <w:t>磋商范围、工期和质量</w:t>
      </w:r>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Theme="majorEastAsia" w:hAnsiTheme="majorEastAsia" w:eastAsiaTheme="majorEastAsia" w:cstheme="majorEastAsia"/>
          <w:b/>
          <w:color w:val="auto"/>
          <w:sz w:val="24"/>
          <w:szCs w:val="24"/>
          <w:highlight w:val="none"/>
        </w:rPr>
        <w:t>标准</w:t>
      </w:r>
    </w:p>
    <w:p w14:paraId="12CDDB93">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磋商范围：见供应商须知前附表。</w:t>
      </w:r>
    </w:p>
    <w:p w14:paraId="596827FD">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工期：见供应商须知前附表。</w:t>
      </w:r>
    </w:p>
    <w:p w14:paraId="2EA8D08B">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质量标准：见供应商须知前附表。</w:t>
      </w:r>
    </w:p>
    <w:p w14:paraId="6B198A18">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58" w:name="_Toc462934277"/>
      <w:bookmarkStart w:id="59" w:name="_Toc16958"/>
      <w:bookmarkStart w:id="60" w:name="_Toc11519"/>
      <w:bookmarkStart w:id="61" w:name="_Toc428276572"/>
      <w:bookmarkStart w:id="62" w:name="_Toc269470298"/>
      <w:bookmarkStart w:id="63" w:name="_Toc454788012"/>
      <w:bookmarkStart w:id="64" w:name="_Toc455678103"/>
      <w:bookmarkStart w:id="65" w:name="_Toc277149368"/>
      <w:bookmarkStart w:id="66" w:name="_Toc428351632"/>
      <w:bookmarkStart w:id="67" w:name="_Toc270604806"/>
      <w:bookmarkStart w:id="68" w:name="_Toc463011256"/>
      <w:bookmarkStart w:id="69" w:name="_Toc6648"/>
      <w:bookmarkStart w:id="70" w:name="_Toc270604579"/>
      <w:r>
        <w:rPr>
          <w:rFonts w:hint="eastAsia" w:asciiTheme="majorEastAsia" w:hAnsiTheme="majorEastAsia" w:eastAsiaTheme="majorEastAsia" w:cstheme="majorEastAsia"/>
          <w:b/>
          <w:color w:val="auto"/>
          <w:sz w:val="24"/>
          <w:szCs w:val="24"/>
          <w:highlight w:val="none"/>
        </w:rPr>
        <w:t>供应商资格要求</w:t>
      </w:r>
      <w:bookmarkEnd w:id="58"/>
      <w:bookmarkEnd w:id="59"/>
      <w:bookmarkEnd w:id="60"/>
      <w:bookmarkEnd w:id="61"/>
      <w:bookmarkEnd w:id="62"/>
      <w:bookmarkEnd w:id="63"/>
      <w:bookmarkEnd w:id="64"/>
      <w:bookmarkEnd w:id="65"/>
      <w:bookmarkEnd w:id="66"/>
      <w:bookmarkEnd w:id="67"/>
      <w:bookmarkEnd w:id="68"/>
      <w:bookmarkEnd w:id="69"/>
      <w:bookmarkEnd w:id="70"/>
    </w:p>
    <w:p w14:paraId="3A6EEC60">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供应商应具备的资格条件</w:t>
      </w:r>
    </w:p>
    <w:p w14:paraId="2EED04D6">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具有独立承担民事责任能力的法人、其他组织或者自然人；</w:t>
      </w:r>
    </w:p>
    <w:p w14:paraId="25B3C474">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具有良好的商业信誉和健全的财务会计制度；</w:t>
      </w:r>
    </w:p>
    <w:p w14:paraId="1202274C">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具有履行合同所必需的设备和专业技术能力；</w:t>
      </w:r>
    </w:p>
    <w:p w14:paraId="43F9C528">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有依法缴纳税收和社会保障资金的良好记录；</w:t>
      </w:r>
    </w:p>
    <w:p w14:paraId="38C7D2EE">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参加政府采购活动前三年内，在经营活动中没有重大违法记录；</w:t>
      </w:r>
    </w:p>
    <w:p w14:paraId="3D59880E">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已通过正规渠道获得本项目的竞争性磋商文件；</w:t>
      </w:r>
    </w:p>
    <w:p w14:paraId="7EA7762E">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未被依法暂停或者取消投标资格；</w:t>
      </w:r>
    </w:p>
    <w:p w14:paraId="16FB16AD">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未被责令停产停业、暂扣或者吊销许可证、暂扣或者吊销执照；</w:t>
      </w:r>
    </w:p>
    <w:p w14:paraId="51ED9DA1">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法律、行政法规规定的其他条件。</w:t>
      </w:r>
    </w:p>
    <w:p w14:paraId="4E30AA28">
      <w:pPr>
        <w:pageBreakBefore w:val="0"/>
        <w:widowControl w:val="0"/>
        <w:numPr>
          <w:ilvl w:val="0"/>
          <w:numId w:val="4"/>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供应商须知前附表规定的其他条件。</w:t>
      </w:r>
    </w:p>
    <w:p w14:paraId="10E5A2B0">
      <w:pPr>
        <w:pageBreakBefore w:val="0"/>
        <w:widowControl w:val="0"/>
        <w:numPr>
          <w:ilvl w:val="2"/>
          <w:numId w:val="3"/>
        </w:numPr>
        <w:kinsoku/>
        <w:wordWrap w:val="0"/>
        <w:overflowPunct/>
        <w:topLine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供应商不得存在下列情形之一：</w:t>
      </w:r>
    </w:p>
    <w:p w14:paraId="09ADB4C5">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与采购人存在利害关系且可能影响磋商公正性；</w:t>
      </w:r>
    </w:p>
    <w:p w14:paraId="794F744D">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与本磋商项目的其他供应商为同一个单位负责人；</w:t>
      </w:r>
    </w:p>
    <w:p w14:paraId="0EEA95E5">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与本磋商项目的其他供应商存在控股、管理关系；</w:t>
      </w:r>
    </w:p>
    <w:p w14:paraId="7BFF5912">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为本项目的监理人；</w:t>
      </w:r>
    </w:p>
    <w:p w14:paraId="5DDBF412">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为本项目的代建人；</w:t>
      </w:r>
    </w:p>
    <w:p w14:paraId="39D706E2">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与本项目的监理人或代建人或采购代理机构同为一个法定代表人；</w:t>
      </w:r>
    </w:p>
    <w:p w14:paraId="283D10BD">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与本项目的监理人或代建人或采购代理机构存在控股或参股关系；</w:t>
      </w:r>
    </w:p>
    <w:p w14:paraId="6CA445AF">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为本磋商项目的采购代理机构；</w:t>
      </w:r>
    </w:p>
    <w:p w14:paraId="7FE8316D">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供应商以他人名义投标、串通投标、以行贿手段牟取中标，或在投标中弄虚作假的；</w:t>
      </w:r>
    </w:p>
    <w:p w14:paraId="6B148A42">
      <w:pPr>
        <w:pageBreakBefore w:val="0"/>
        <w:widowControl w:val="0"/>
        <w:numPr>
          <w:ilvl w:val="0"/>
          <w:numId w:val="5"/>
        </w:numPr>
        <w:kinsoku/>
        <w:wordWrap w:val="0"/>
        <w:overflowPunct/>
        <w:topLine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法律法规规定的其他情形。</w:t>
      </w:r>
    </w:p>
    <w:p w14:paraId="451D4295">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71" w:name="_Toc462934278"/>
      <w:bookmarkStart w:id="72" w:name="_Toc454788013"/>
      <w:bookmarkStart w:id="73" w:name="_Toc28593"/>
      <w:bookmarkStart w:id="74" w:name="_Toc269470299"/>
      <w:bookmarkStart w:id="75" w:name="_Toc463011257"/>
      <w:bookmarkStart w:id="76" w:name="_Toc277149369"/>
      <w:bookmarkStart w:id="77" w:name="_Toc428351633"/>
      <w:bookmarkStart w:id="78" w:name="_Toc428276573"/>
      <w:bookmarkStart w:id="79" w:name="_Toc455678104"/>
      <w:bookmarkStart w:id="80" w:name="_Toc14128"/>
      <w:bookmarkStart w:id="81" w:name="_Toc19948"/>
      <w:bookmarkStart w:id="82" w:name="_Toc270604580"/>
      <w:bookmarkStart w:id="83" w:name="_Toc270604807"/>
      <w:r>
        <w:rPr>
          <w:rFonts w:hint="eastAsia" w:asciiTheme="majorEastAsia" w:hAnsiTheme="majorEastAsia" w:eastAsiaTheme="majorEastAsia" w:cstheme="majorEastAsia"/>
          <w:b/>
          <w:color w:val="auto"/>
          <w:sz w:val="24"/>
          <w:szCs w:val="24"/>
          <w:highlight w:val="none"/>
        </w:rPr>
        <w:t>费用承担</w:t>
      </w:r>
      <w:bookmarkEnd w:id="71"/>
      <w:bookmarkEnd w:id="72"/>
      <w:bookmarkEnd w:id="73"/>
      <w:bookmarkEnd w:id="74"/>
      <w:bookmarkEnd w:id="75"/>
      <w:bookmarkEnd w:id="76"/>
      <w:bookmarkEnd w:id="77"/>
      <w:bookmarkEnd w:id="78"/>
      <w:bookmarkEnd w:id="79"/>
      <w:bookmarkEnd w:id="80"/>
      <w:bookmarkEnd w:id="81"/>
      <w:bookmarkEnd w:id="82"/>
      <w:bookmarkEnd w:id="83"/>
    </w:p>
    <w:p w14:paraId="5A3608AA">
      <w:pPr>
        <w:pageBreakBefore w:val="0"/>
        <w:widowControl w:val="0"/>
        <w:kinsoku/>
        <w:overflowPunct/>
        <w:bidi w:val="0"/>
        <w:spacing w:line="500" w:lineRule="exact"/>
        <w:ind w:left="420" w:leftChars="200"/>
        <w:textAlignment w:val="auto"/>
        <w:rPr>
          <w:rFonts w:hint="eastAsia" w:asciiTheme="majorEastAsia" w:hAnsiTheme="majorEastAsia" w:eastAsiaTheme="majorEastAsia" w:cstheme="majorEastAsia"/>
          <w:color w:val="auto"/>
          <w:sz w:val="24"/>
          <w:szCs w:val="24"/>
          <w:highlight w:val="none"/>
        </w:rPr>
      </w:pPr>
      <w:bookmarkStart w:id="84" w:name="_Toc270604581"/>
      <w:bookmarkStart w:id="85" w:name="_Toc454788014"/>
      <w:bookmarkStart w:id="86" w:name="_Toc7854"/>
      <w:bookmarkStart w:id="87" w:name="_Toc462934279"/>
      <w:bookmarkStart w:id="88" w:name="_Toc428351634"/>
      <w:bookmarkStart w:id="89" w:name="_Toc269470300"/>
      <w:bookmarkStart w:id="90" w:name="_Toc29742"/>
      <w:bookmarkStart w:id="91" w:name="_Toc455678105"/>
      <w:bookmarkStart w:id="92" w:name="_Toc463011258"/>
      <w:bookmarkStart w:id="93" w:name="_Toc277149370"/>
      <w:bookmarkStart w:id="94" w:name="_Toc428276574"/>
      <w:bookmarkStart w:id="95" w:name="_Toc270604808"/>
      <w:r>
        <w:rPr>
          <w:rFonts w:hint="eastAsia" w:asciiTheme="majorEastAsia" w:hAnsiTheme="majorEastAsia" w:eastAsiaTheme="majorEastAsia" w:cstheme="majorEastAsia"/>
          <w:color w:val="auto"/>
          <w:sz w:val="24"/>
          <w:szCs w:val="24"/>
          <w:highlight w:val="none"/>
        </w:rPr>
        <w:t>供应商准备和参加竞争性磋商活动发生的费用自理。</w:t>
      </w:r>
    </w:p>
    <w:p w14:paraId="3047C320">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96" w:name="_Toc32336"/>
      <w:r>
        <w:rPr>
          <w:rFonts w:hint="eastAsia" w:asciiTheme="majorEastAsia" w:hAnsiTheme="majorEastAsia" w:eastAsiaTheme="majorEastAsia" w:cstheme="majorEastAsia"/>
          <w:b/>
          <w:color w:val="auto"/>
          <w:sz w:val="24"/>
          <w:szCs w:val="24"/>
          <w:highlight w:val="none"/>
        </w:rPr>
        <w:t>保密</w:t>
      </w:r>
      <w:bookmarkEnd w:id="84"/>
      <w:bookmarkEnd w:id="85"/>
      <w:bookmarkEnd w:id="86"/>
      <w:bookmarkEnd w:id="87"/>
      <w:bookmarkEnd w:id="88"/>
      <w:bookmarkEnd w:id="89"/>
      <w:bookmarkEnd w:id="90"/>
      <w:bookmarkEnd w:id="91"/>
      <w:bookmarkEnd w:id="92"/>
      <w:bookmarkEnd w:id="93"/>
      <w:bookmarkEnd w:id="94"/>
      <w:bookmarkEnd w:id="95"/>
      <w:bookmarkEnd w:id="96"/>
    </w:p>
    <w:p w14:paraId="7CAC3D5D">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bookmarkStart w:id="97" w:name="_Toc7606"/>
      <w:bookmarkStart w:id="98" w:name="_Toc462934280"/>
      <w:bookmarkStart w:id="99" w:name="_Toc463011259"/>
      <w:bookmarkStart w:id="100" w:name="_Toc455678106"/>
      <w:bookmarkStart w:id="101" w:name="_Toc428276575"/>
      <w:bookmarkStart w:id="102" w:name="_Toc269470301"/>
      <w:bookmarkStart w:id="103" w:name="_Toc454788015"/>
      <w:bookmarkStart w:id="104" w:name="_Toc19438"/>
      <w:bookmarkStart w:id="105" w:name="_Toc270604582"/>
      <w:bookmarkStart w:id="106" w:name="_Toc428351635"/>
      <w:bookmarkStart w:id="107" w:name="_Toc277149371"/>
      <w:bookmarkStart w:id="108" w:name="_Toc270604809"/>
      <w:r>
        <w:rPr>
          <w:rFonts w:hint="eastAsia" w:asciiTheme="majorEastAsia" w:hAnsiTheme="majorEastAsia" w:eastAsiaTheme="majorEastAsia" w:cstheme="majorEastAsia"/>
          <w:color w:val="auto"/>
          <w:sz w:val="24"/>
          <w:szCs w:val="24"/>
          <w:highlight w:val="none"/>
        </w:rPr>
        <w:t>参与竞争性磋商活动的各方应对竞争性磋商文件和响应文件中的商业和技术等秘密保密，否则应承担相应的法律责任。</w:t>
      </w:r>
    </w:p>
    <w:p w14:paraId="79E5823B">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109" w:name="_Toc25734"/>
      <w:r>
        <w:rPr>
          <w:rFonts w:hint="eastAsia" w:asciiTheme="majorEastAsia" w:hAnsiTheme="majorEastAsia" w:eastAsiaTheme="majorEastAsia" w:cstheme="majorEastAsia"/>
          <w:b/>
          <w:color w:val="auto"/>
          <w:sz w:val="24"/>
          <w:szCs w:val="24"/>
          <w:highlight w:val="none"/>
        </w:rPr>
        <w:t>语言文字</w:t>
      </w:r>
      <w:bookmarkEnd w:id="97"/>
      <w:bookmarkEnd w:id="98"/>
      <w:bookmarkEnd w:id="99"/>
      <w:bookmarkEnd w:id="100"/>
      <w:bookmarkEnd w:id="101"/>
      <w:bookmarkEnd w:id="102"/>
      <w:bookmarkEnd w:id="103"/>
      <w:bookmarkEnd w:id="104"/>
      <w:bookmarkEnd w:id="105"/>
      <w:bookmarkEnd w:id="106"/>
      <w:bookmarkEnd w:id="107"/>
      <w:bookmarkEnd w:id="108"/>
      <w:bookmarkEnd w:id="109"/>
    </w:p>
    <w:p w14:paraId="0177AC38">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bookmarkStart w:id="110" w:name="_Toc270604810"/>
      <w:bookmarkStart w:id="111" w:name="_Toc462934281"/>
      <w:bookmarkStart w:id="112" w:name="_Toc277149372"/>
      <w:bookmarkStart w:id="113" w:name="_Toc428276576"/>
      <w:bookmarkStart w:id="114" w:name="_Toc9894"/>
      <w:bookmarkStart w:id="115" w:name="_Toc454788016"/>
      <w:bookmarkStart w:id="116" w:name="_Toc455678107"/>
      <w:bookmarkStart w:id="117" w:name="_Toc270604583"/>
      <w:bookmarkStart w:id="118" w:name="_Toc463011260"/>
      <w:bookmarkStart w:id="119" w:name="_Toc269470302"/>
      <w:bookmarkStart w:id="120" w:name="_Toc428351636"/>
      <w:bookmarkStart w:id="121" w:name="_Toc29299"/>
      <w:r>
        <w:rPr>
          <w:rFonts w:hint="eastAsia" w:asciiTheme="majorEastAsia" w:hAnsiTheme="majorEastAsia" w:eastAsiaTheme="majorEastAsia" w:cstheme="majorEastAsia"/>
          <w:color w:val="auto"/>
          <w:kern w:val="0"/>
          <w:sz w:val="24"/>
          <w:szCs w:val="24"/>
          <w:highlight w:val="none"/>
        </w:rPr>
        <w:t>竞争性磋商文件及响应文件</w:t>
      </w:r>
      <w:r>
        <w:rPr>
          <w:rFonts w:hint="eastAsia" w:asciiTheme="majorEastAsia" w:hAnsiTheme="majorEastAsia" w:eastAsiaTheme="majorEastAsia" w:cstheme="majorEastAsia"/>
          <w:color w:val="auto"/>
          <w:spacing w:val="-2"/>
          <w:kern w:val="0"/>
          <w:sz w:val="24"/>
          <w:szCs w:val="24"/>
          <w:highlight w:val="none"/>
        </w:rPr>
        <w:t>使</w:t>
      </w:r>
      <w:r>
        <w:rPr>
          <w:rFonts w:hint="eastAsia" w:asciiTheme="majorEastAsia" w:hAnsiTheme="majorEastAsia" w:eastAsiaTheme="majorEastAsia" w:cstheme="majorEastAsia"/>
          <w:color w:val="auto"/>
          <w:kern w:val="0"/>
          <w:sz w:val="24"/>
          <w:szCs w:val="24"/>
          <w:highlight w:val="none"/>
        </w:rPr>
        <w:t>用语</w:t>
      </w:r>
      <w:r>
        <w:rPr>
          <w:rFonts w:hint="eastAsia" w:asciiTheme="majorEastAsia" w:hAnsiTheme="majorEastAsia" w:eastAsiaTheme="majorEastAsia" w:cstheme="majorEastAsia"/>
          <w:color w:val="auto"/>
          <w:spacing w:val="-2"/>
          <w:kern w:val="0"/>
          <w:sz w:val="24"/>
          <w:szCs w:val="24"/>
          <w:highlight w:val="none"/>
        </w:rPr>
        <w:t>言</w:t>
      </w:r>
      <w:r>
        <w:rPr>
          <w:rFonts w:hint="eastAsia" w:asciiTheme="majorEastAsia" w:hAnsiTheme="majorEastAsia" w:eastAsiaTheme="majorEastAsia" w:cstheme="majorEastAsia"/>
          <w:color w:val="auto"/>
          <w:kern w:val="0"/>
          <w:sz w:val="24"/>
          <w:szCs w:val="24"/>
          <w:highlight w:val="none"/>
        </w:rPr>
        <w:t>文字应</w:t>
      </w:r>
      <w:r>
        <w:rPr>
          <w:rFonts w:hint="eastAsia" w:asciiTheme="majorEastAsia" w:hAnsiTheme="majorEastAsia" w:eastAsiaTheme="majorEastAsia" w:cstheme="majorEastAsia"/>
          <w:color w:val="auto"/>
          <w:spacing w:val="-2"/>
          <w:kern w:val="0"/>
          <w:sz w:val="24"/>
          <w:szCs w:val="24"/>
          <w:highlight w:val="none"/>
        </w:rPr>
        <w:t>为</w:t>
      </w:r>
      <w:r>
        <w:rPr>
          <w:rFonts w:hint="eastAsia" w:asciiTheme="majorEastAsia" w:hAnsiTheme="majorEastAsia" w:eastAsiaTheme="majorEastAsia" w:cstheme="majorEastAsia"/>
          <w:color w:val="auto"/>
          <w:kern w:val="0"/>
          <w:sz w:val="24"/>
          <w:szCs w:val="24"/>
          <w:highlight w:val="none"/>
        </w:rPr>
        <w:t>中</w:t>
      </w:r>
      <w:r>
        <w:rPr>
          <w:rFonts w:hint="eastAsia" w:asciiTheme="majorEastAsia" w:hAnsiTheme="majorEastAsia" w:eastAsiaTheme="majorEastAsia" w:cstheme="majorEastAsia"/>
          <w:color w:val="auto"/>
          <w:spacing w:val="-2"/>
          <w:kern w:val="0"/>
          <w:sz w:val="24"/>
          <w:szCs w:val="24"/>
          <w:highlight w:val="none"/>
        </w:rPr>
        <w:t>文</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spacing w:val="-2"/>
          <w:kern w:val="0"/>
          <w:sz w:val="24"/>
          <w:szCs w:val="24"/>
          <w:highlight w:val="none"/>
        </w:rPr>
        <w:t>专</w:t>
      </w:r>
      <w:r>
        <w:rPr>
          <w:rFonts w:hint="eastAsia" w:asciiTheme="majorEastAsia" w:hAnsiTheme="majorEastAsia" w:eastAsiaTheme="majorEastAsia" w:cstheme="majorEastAsia"/>
          <w:color w:val="auto"/>
          <w:kern w:val="0"/>
          <w:sz w:val="24"/>
          <w:szCs w:val="24"/>
          <w:highlight w:val="none"/>
        </w:rPr>
        <w:t>用</w:t>
      </w:r>
      <w:r>
        <w:rPr>
          <w:rFonts w:hint="eastAsia" w:asciiTheme="majorEastAsia" w:hAnsiTheme="majorEastAsia" w:eastAsiaTheme="majorEastAsia" w:cstheme="majorEastAsia"/>
          <w:color w:val="auto"/>
          <w:spacing w:val="-2"/>
          <w:kern w:val="0"/>
          <w:sz w:val="24"/>
          <w:szCs w:val="24"/>
          <w:highlight w:val="none"/>
        </w:rPr>
        <w:t>术</w:t>
      </w:r>
      <w:r>
        <w:rPr>
          <w:rFonts w:hint="eastAsia" w:asciiTheme="majorEastAsia" w:hAnsiTheme="majorEastAsia" w:eastAsiaTheme="majorEastAsia" w:cstheme="majorEastAsia"/>
          <w:color w:val="auto"/>
          <w:kern w:val="0"/>
          <w:sz w:val="24"/>
          <w:szCs w:val="24"/>
          <w:highlight w:val="none"/>
        </w:rPr>
        <w:t>语</w:t>
      </w:r>
      <w:r>
        <w:rPr>
          <w:rFonts w:hint="eastAsia" w:asciiTheme="majorEastAsia" w:hAnsiTheme="majorEastAsia" w:eastAsiaTheme="majorEastAsia" w:cstheme="majorEastAsia"/>
          <w:color w:val="auto"/>
          <w:spacing w:val="-2"/>
          <w:kern w:val="0"/>
          <w:sz w:val="24"/>
          <w:szCs w:val="24"/>
          <w:highlight w:val="none"/>
        </w:rPr>
        <w:t>使</w:t>
      </w:r>
      <w:r>
        <w:rPr>
          <w:rFonts w:hint="eastAsia" w:asciiTheme="majorEastAsia" w:hAnsiTheme="majorEastAsia" w:eastAsiaTheme="majorEastAsia" w:cstheme="majorEastAsia"/>
          <w:color w:val="auto"/>
          <w:kern w:val="0"/>
          <w:sz w:val="24"/>
          <w:szCs w:val="24"/>
          <w:highlight w:val="none"/>
        </w:rPr>
        <w:t>用外</w:t>
      </w:r>
      <w:r>
        <w:rPr>
          <w:rFonts w:hint="eastAsia" w:asciiTheme="majorEastAsia" w:hAnsiTheme="majorEastAsia" w:eastAsiaTheme="majorEastAsia" w:cstheme="majorEastAsia"/>
          <w:color w:val="auto"/>
          <w:spacing w:val="-2"/>
          <w:kern w:val="0"/>
          <w:sz w:val="24"/>
          <w:szCs w:val="24"/>
          <w:highlight w:val="none"/>
        </w:rPr>
        <w:t>文</w:t>
      </w:r>
      <w:r>
        <w:rPr>
          <w:rFonts w:hint="eastAsia" w:asciiTheme="majorEastAsia" w:hAnsiTheme="majorEastAsia" w:eastAsiaTheme="majorEastAsia" w:cstheme="majorEastAsia"/>
          <w:color w:val="auto"/>
          <w:kern w:val="0"/>
          <w:sz w:val="24"/>
          <w:szCs w:val="24"/>
          <w:highlight w:val="none"/>
        </w:rPr>
        <w:t>的</w:t>
      </w:r>
      <w:r>
        <w:rPr>
          <w:rFonts w:hint="eastAsia" w:asciiTheme="majorEastAsia" w:hAnsiTheme="majorEastAsia" w:eastAsiaTheme="majorEastAsia" w:cstheme="majorEastAsia"/>
          <w:color w:val="auto"/>
          <w:spacing w:val="-2"/>
          <w:kern w:val="0"/>
          <w:sz w:val="24"/>
          <w:szCs w:val="24"/>
          <w:highlight w:val="none"/>
        </w:rPr>
        <w:t>，</w:t>
      </w:r>
      <w:r>
        <w:rPr>
          <w:rFonts w:hint="eastAsia" w:asciiTheme="majorEastAsia" w:hAnsiTheme="majorEastAsia" w:eastAsiaTheme="majorEastAsia" w:cstheme="majorEastAsia"/>
          <w:color w:val="auto"/>
          <w:kern w:val="0"/>
          <w:sz w:val="24"/>
          <w:szCs w:val="24"/>
          <w:highlight w:val="none"/>
        </w:rPr>
        <w:t>应</w:t>
      </w:r>
      <w:r>
        <w:rPr>
          <w:rFonts w:hint="eastAsia" w:asciiTheme="majorEastAsia" w:hAnsiTheme="majorEastAsia" w:eastAsiaTheme="majorEastAsia" w:cstheme="majorEastAsia"/>
          <w:color w:val="auto"/>
          <w:spacing w:val="-2"/>
          <w:kern w:val="0"/>
          <w:sz w:val="24"/>
          <w:szCs w:val="24"/>
          <w:highlight w:val="none"/>
        </w:rPr>
        <w:t>附</w:t>
      </w:r>
      <w:r>
        <w:rPr>
          <w:rFonts w:hint="eastAsia" w:asciiTheme="majorEastAsia" w:hAnsiTheme="majorEastAsia" w:eastAsiaTheme="majorEastAsia" w:cstheme="majorEastAsia"/>
          <w:color w:val="auto"/>
          <w:kern w:val="0"/>
          <w:sz w:val="24"/>
          <w:szCs w:val="24"/>
          <w:highlight w:val="none"/>
        </w:rPr>
        <w:t>有</w:t>
      </w:r>
      <w:r>
        <w:rPr>
          <w:rFonts w:hint="eastAsia" w:asciiTheme="majorEastAsia" w:hAnsiTheme="majorEastAsia" w:eastAsiaTheme="majorEastAsia" w:cstheme="majorEastAsia"/>
          <w:color w:val="auto"/>
          <w:spacing w:val="-2"/>
          <w:kern w:val="0"/>
          <w:sz w:val="24"/>
          <w:szCs w:val="24"/>
          <w:highlight w:val="none"/>
        </w:rPr>
        <w:t>中</w:t>
      </w:r>
      <w:r>
        <w:rPr>
          <w:rFonts w:hint="eastAsia" w:asciiTheme="majorEastAsia" w:hAnsiTheme="majorEastAsia" w:eastAsiaTheme="majorEastAsia" w:cstheme="majorEastAsia"/>
          <w:color w:val="auto"/>
          <w:kern w:val="0"/>
          <w:sz w:val="24"/>
          <w:szCs w:val="24"/>
          <w:highlight w:val="none"/>
        </w:rPr>
        <w:t>文</w:t>
      </w:r>
      <w:r>
        <w:rPr>
          <w:rFonts w:hint="eastAsia" w:asciiTheme="majorEastAsia" w:hAnsiTheme="majorEastAsia" w:eastAsiaTheme="majorEastAsia" w:cstheme="majorEastAsia"/>
          <w:color w:val="auto"/>
          <w:spacing w:val="-2"/>
          <w:kern w:val="0"/>
          <w:sz w:val="24"/>
          <w:szCs w:val="24"/>
          <w:highlight w:val="none"/>
        </w:rPr>
        <w:t>注</w:t>
      </w:r>
      <w:r>
        <w:rPr>
          <w:rFonts w:hint="eastAsia" w:asciiTheme="majorEastAsia" w:hAnsiTheme="majorEastAsia" w:eastAsiaTheme="majorEastAsia" w:cstheme="majorEastAsia"/>
          <w:color w:val="auto"/>
          <w:kern w:val="0"/>
          <w:sz w:val="24"/>
          <w:szCs w:val="24"/>
          <w:highlight w:val="none"/>
        </w:rPr>
        <w:t>释</w:t>
      </w:r>
      <w:r>
        <w:rPr>
          <w:rFonts w:hint="eastAsia" w:asciiTheme="majorEastAsia" w:hAnsiTheme="majorEastAsia" w:eastAsiaTheme="majorEastAsia" w:cstheme="majorEastAsia"/>
          <w:color w:val="auto"/>
          <w:sz w:val="24"/>
          <w:szCs w:val="24"/>
          <w:highlight w:val="none"/>
        </w:rPr>
        <w:t>。</w:t>
      </w:r>
    </w:p>
    <w:p w14:paraId="4D3BC394">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122" w:name="_Toc30996"/>
      <w:r>
        <w:rPr>
          <w:rFonts w:hint="eastAsia" w:asciiTheme="majorEastAsia" w:hAnsiTheme="majorEastAsia" w:eastAsiaTheme="majorEastAsia" w:cstheme="majorEastAsia"/>
          <w:b/>
          <w:color w:val="auto"/>
          <w:sz w:val="24"/>
          <w:szCs w:val="24"/>
          <w:highlight w:val="none"/>
        </w:rPr>
        <w:t>计量单位</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5F5426AA">
      <w:pPr>
        <w:pageBreakBefore w:val="0"/>
        <w:widowControl w:val="0"/>
        <w:kinsoku/>
        <w:wordWrap w:val="0"/>
        <w:overflowPunct/>
        <w:topLinePunct/>
        <w:autoSpaceDE w:val="0"/>
        <w:autoSpaceDN w:val="0"/>
        <w:bidi w:val="0"/>
        <w:adjustRightInd w:val="0"/>
        <w:snapToGrid w:val="0"/>
        <w:spacing w:line="500" w:lineRule="exact"/>
        <w:ind w:firstLine="480" w:firstLineChars="200"/>
        <w:contextualSpacing/>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所有计量均采用中华人民共和国法定计量标准单位。</w:t>
      </w:r>
    </w:p>
    <w:p w14:paraId="249C0F90">
      <w:pPr>
        <w:keepNext/>
        <w:keepLines/>
        <w:pageBreakBefore w:val="0"/>
        <w:widowControl w:val="0"/>
        <w:numPr>
          <w:ilvl w:val="1"/>
          <w:numId w:val="3"/>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123" w:name="_Toc17145"/>
      <w:bookmarkStart w:id="124" w:name="_Toc23956"/>
      <w:bookmarkStart w:id="125" w:name="_Toc462934286"/>
      <w:bookmarkStart w:id="126" w:name="_Toc11809"/>
      <w:bookmarkStart w:id="127" w:name="_Toc455678112"/>
      <w:bookmarkStart w:id="128" w:name="_Toc463011265"/>
      <w:r>
        <w:rPr>
          <w:rFonts w:hint="eastAsia" w:asciiTheme="majorEastAsia" w:hAnsiTheme="majorEastAsia" w:eastAsiaTheme="majorEastAsia" w:cstheme="majorEastAsia"/>
          <w:b/>
          <w:color w:val="auto"/>
          <w:sz w:val="24"/>
          <w:szCs w:val="24"/>
          <w:highlight w:val="none"/>
        </w:rPr>
        <w:t>报价方案</w:t>
      </w:r>
      <w:bookmarkEnd w:id="123"/>
      <w:bookmarkEnd w:id="124"/>
      <w:bookmarkEnd w:id="125"/>
      <w:bookmarkEnd w:id="126"/>
      <w:bookmarkEnd w:id="127"/>
      <w:bookmarkEnd w:id="128"/>
    </w:p>
    <w:p w14:paraId="01FA53AA">
      <w:pPr>
        <w:pageBreakBefore w:val="0"/>
        <w:widowControl w:val="0"/>
        <w:tabs>
          <w:tab w:val="left" w:pos="720"/>
          <w:tab w:val="left" w:pos="1320"/>
        </w:tabs>
        <w:kinsoku/>
        <w:wordWrap w:val="0"/>
        <w:overflowPunct/>
        <w:topLinePunct/>
        <w:bidi w:val="0"/>
        <w:snapToGrid w:val="0"/>
        <w:spacing w:line="500" w:lineRule="exact"/>
        <w:ind w:firstLine="480" w:firstLineChars="200"/>
        <w:contextualSpacing/>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报价方案：见竞争性磋商文件。</w:t>
      </w:r>
    </w:p>
    <w:p w14:paraId="4840E84E">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bCs/>
          <w:color w:val="auto"/>
          <w:sz w:val="24"/>
          <w:szCs w:val="24"/>
          <w:highlight w:val="none"/>
        </w:rPr>
      </w:pPr>
      <w:bookmarkStart w:id="129" w:name="_Toc270604588"/>
      <w:bookmarkStart w:id="130" w:name="_Toc6260"/>
      <w:r>
        <w:rPr>
          <w:rFonts w:hint="eastAsia" w:asciiTheme="majorEastAsia" w:hAnsiTheme="majorEastAsia" w:eastAsiaTheme="majorEastAsia" w:cstheme="majorEastAsia"/>
          <w:b/>
          <w:bCs/>
          <w:color w:val="auto"/>
          <w:sz w:val="24"/>
          <w:szCs w:val="24"/>
          <w:highlight w:val="none"/>
        </w:rPr>
        <w:t xml:space="preserve"> </w:t>
      </w:r>
      <w:bookmarkStart w:id="131" w:name="_Toc5446"/>
      <w:bookmarkStart w:id="132" w:name="_Toc23774428"/>
      <w:r>
        <w:rPr>
          <w:rFonts w:hint="eastAsia" w:asciiTheme="majorEastAsia" w:hAnsiTheme="majorEastAsia" w:eastAsiaTheme="majorEastAsia" w:cstheme="majorEastAsia"/>
          <w:b/>
          <w:bCs/>
          <w:color w:val="auto"/>
          <w:sz w:val="24"/>
          <w:szCs w:val="24"/>
          <w:highlight w:val="none"/>
        </w:rPr>
        <w:t>竞争性磋商文件</w:t>
      </w:r>
      <w:bookmarkEnd w:id="129"/>
      <w:bookmarkEnd w:id="130"/>
      <w:bookmarkEnd w:id="131"/>
      <w:bookmarkEnd w:id="132"/>
    </w:p>
    <w:p w14:paraId="56751948">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bCs/>
          <w:color w:val="auto"/>
          <w:sz w:val="24"/>
          <w:szCs w:val="24"/>
          <w:highlight w:val="none"/>
        </w:rPr>
      </w:pPr>
      <w:bookmarkStart w:id="133" w:name="_Toc277149378"/>
      <w:bookmarkStart w:id="134" w:name="_Toc270604589"/>
      <w:bookmarkStart w:id="135" w:name="_Toc428276582"/>
      <w:bookmarkStart w:id="136" w:name="_Toc27664"/>
      <w:bookmarkStart w:id="137" w:name="_Toc463011267"/>
      <w:bookmarkStart w:id="138" w:name="_Toc269470308"/>
      <w:bookmarkStart w:id="139" w:name="_Toc428351642"/>
      <w:bookmarkStart w:id="140" w:name="_Toc454788022"/>
      <w:bookmarkStart w:id="141" w:name="_Toc19729"/>
      <w:bookmarkStart w:id="142" w:name="_Toc270604816"/>
      <w:bookmarkStart w:id="143" w:name="_Toc462934288"/>
      <w:bookmarkStart w:id="144" w:name="_Toc455678114"/>
      <w:bookmarkStart w:id="145" w:name="_Toc10962"/>
      <w:r>
        <w:rPr>
          <w:rFonts w:hint="eastAsia" w:asciiTheme="majorEastAsia" w:hAnsiTheme="majorEastAsia" w:eastAsiaTheme="majorEastAsia" w:cstheme="majorEastAsia"/>
          <w:b/>
          <w:color w:val="auto"/>
          <w:sz w:val="24"/>
          <w:szCs w:val="24"/>
          <w:highlight w:val="none"/>
        </w:rPr>
        <w:t>竞争性磋商文件的组成</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2859E181">
      <w:pPr>
        <w:pageBreakBefore w:val="0"/>
        <w:widowControl w:val="0"/>
        <w:tabs>
          <w:tab w:val="left" w:pos="1260"/>
        </w:tabs>
        <w:kinsoku/>
        <w:wordWrap w:val="0"/>
        <w:overflowPunct/>
        <w:topLinePunct/>
        <w:autoSpaceDE w:val="0"/>
        <w:autoSpaceDN w:val="0"/>
        <w:bidi w:val="0"/>
        <w:adjustRightInd w:val="0"/>
        <w:snapToGrid w:val="0"/>
        <w:spacing w:line="500" w:lineRule="exact"/>
        <w:ind w:firstLine="540" w:firstLineChars="225"/>
        <w:contextualSpacing/>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本竞争性磋商文件包括：</w:t>
      </w:r>
    </w:p>
    <w:p w14:paraId="16157757">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竞争性磋商公告</w:t>
      </w:r>
    </w:p>
    <w:p w14:paraId="3904EEEF">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供应商须知</w:t>
      </w:r>
    </w:p>
    <w:p w14:paraId="2667D4C8">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评审办法</w:t>
      </w:r>
    </w:p>
    <w:p w14:paraId="302010BC">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合同条款及格式</w:t>
      </w:r>
    </w:p>
    <w:p w14:paraId="0E45033F">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工程量清单</w:t>
      </w:r>
    </w:p>
    <w:p w14:paraId="05760E83">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技术标准和要求</w:t>
      </w:r>
    </w:p>
    <w:p w14:paraId="0A73BC98">
      <w:pPr>
        <w:pageBreakBefore w:val="0"/>
        <w:widowControl w:val="0"/>
        <w:numPr>
          <w:ilvl w:val="0"/>
          <w:numId w:val="6"/>
        </w:numPr>
        <w:kinsoku/>
        <w:wordWrap w:val="0"/>
        <w:overflowPunct/>
        <w:topLinePunct/>
        <w:autoSpaceDE w:val="0"/>
        <w:autoSpaceDN w:val="0"/>
        <w:bidi w:val="0"/>
        <w:adjustRightInd w:val="0"/>
        <w:spacing w:line="500" w:lineRule="exact"/>
        <w:ind w:left="987" w:leftChars="200" w:right="40" w:hanging="567"/>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响应文件格式</w:t>
      </w:r>
    </w:p>
    <w:p w14:paraId="26DD2EFA">
      <w:pPr>
        <w:pageBreakBefore w:val="0"/>
        <w:widowControl w:val="0"/>
        <w:tabs>
          <w:tab w:val="left" w:pos="1260"/>
        </w:tabs>
        <w:kinsoku/>
        <w:wordWrap w:val="0"/>
        <w:overflowPunct/>
        <w:topLinePunct/>
        <w:autoSpaceDE w:val="0"/>
        <w:autoSpaceDN w:val="0"/>
        <w:bidi w:val="0"/>
        <w:adjustRightInd w:val="0"/>
        <w:snapToGrid w:val="0"/>
        <w:spacing w:line="500" w:lineRule="exact"/>
        <w:ind w:firstLine="540" w:firstLineChars="225"/>
        <w:contextualSpacing/>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根据本章第2.2 款和第2.3 款对竞争性磋商文件所作的澄清、修改，构成竞争性磋商文件的组成部分。</w:t>
      </w:r>
    </w:p>
    <w:p w14:paraId="6915CED8">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146" w:name="_Toc270604590"/>
      <w:bookmarkStart w:id="147" w:name="_Toc277149379"/>
      <w:bookmarkStart w:id="148" w:name="_Toc463011268"/>
      <w:bookmarkStart w:id="149" w:name="_Toc270604817"/>
      <w:bookmarkStart w:id="150" w:name="_Toc13094"/>
      <w:bookmarkStart w:id="151" w:name="_Toc11511"/>
      <w:bookmarkStart w:id="152" w:name="_Toc269470309"/>
      <w:bookmarkStart w:id="153" w:name="_Toc455678115"/>
      <w:bookmarkStart w:id="154" w:name="_Toc462934289"/>
      <w:bookmarkStart w:id="155" w:name="_Toc5047"/>
      <w:bookmarkStart w:id="156" w:name="_Toc454788023"/>
      <w:bookmarkStart w:id="157" w:name="_Toc428351643"/>
      <w:bookmarkStart w:id="158" w:name="_Toc428276583"/>
      <w:r>
        <w:rPr>
          <w:rFonts w:hint="eastAsia" w:asciiTheme="majorEastAsia" w:hAnsiTheme="majorEastAsia" w:eastAsiaTheme="majorEastAsia" w:cstheme="majorEastAsia"/>
          <w:b/>
          <w:color w:val="auto"/>
          <w:sz w:val="24"/>
          <w:szCs w:val="24"/>
          <w:highlight w:val="none"/>
        </w:rPr>
        <w:t>竞争性磋商文件的澄清</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3431961A">
      <w:pPr>
        <w:pageBreakBefore w:val="0"/>
        <w:widowControl w:val="0"/>
        <w:tabs>
          <w:tab w:val="left" w:pos="1260"/>
        </w:tabs>
        <w:kinsoku/>
        <w:wordWrap w:val="0"/>
        <w:overflowPunct/>
        <w:topLinePunct/>
        <w:autoSpaceDE w:val="0"/>
        <w:autoSpaceDN w:val="0"/>
        <w:bidi w:val="0"/>
        <w:adjustRightInd w:val="0"/>
        <w:snapToGrid w:val="0"/>
        <w:spacing w:line="500" w:lineRule="exact"/>
        <w:ind w:firstLine="540" w:firstLineChars="225"/>
        <w:contextualSpacing/>
        <w:jc w:val="left"/>
        <w:textAlignment w:val="auto"/>
        <w:rPr>
          <w:rFonts w:hint="eastAsia" w:asciiTheme="majorEastAsia" w:hAnsiTheme="majorEastAsia" w:eastAsiaTheme="majorEastAsia" w:cstheme="majorEastAsia"/>
          <w:color w:val="auto"/>
          <w:kern w:val="0"/>
          <w:sz w:val="24"/>
          <w:szCs w:val="24"/>
          <w:highlight w:val="none"/>
        </w:rPr>
      </w:pPr>
      <w:bookmarkStart w:id="159" w:name="_Toc270604818"/>
      <w:bookmarkStart w:id="160" w:name="_Toc428276584"/>
      <w:bookmarkStart w:id="161" w:name="_Toc454788024"/>
      <w:bookmarkStart w:id="162" w:name="_Toc277149380"/>
      <w:bookmarkStart w:id="163" w:name="_Toc462934290"/>
      <w:bookmarkStart w:id="164" w:name="_Toc5535"/>
      <w:bookmarkStart w:id="165" w:name="_Toc428351644"/>
      <w:bookmarkStart w:id="166" w:name="_Toc455678116"/>
      <w:bookmarkStart w:id="167" w:name="_Toc269470310"/>
      <w:bookmarkStart w:id="168" w:name="_Toc270604591"/>
      <w:bookmarkStart w:id="169" w:name="_Toc463011269"/>
      <w:bookmarkStart w:id="170" w:name="_Toc20316"/>
      <w:bookmarkStart w:id="171" w:name="_Toc400"/>
      <w:r>
        <w:rPr>
          <w:rFonts w:hint="eastAsia" w:asciiTheme="majorEastAsia" w:hAnsiTheme="majorEastAsia" w:eastAsiaTheme="majorEastAsia" w:cstheme="majorEastAsia"/>
          <w:color w:val="auto"/>
          <w:kern w:val="0"/>
          <w:sz w:val="24"/>
          <w:szCs w:val="24"/>
          <w:highlight w:val="none"/>
        </w:rPr>
        <w:t>2.2.1供应商应仔细阅读和检查竞争性磋商文件的全部内容。如发现缺页或附件不全，应及时向采购人提出，以便补齐。如有疑问，应按供应商须知前附表规定的时间和形式将提出的问题送达，要求采购人对竞争性磋商文件予以澄清。</w:t>
      </w:r>
    </w:p>
    <w:p w14:paraId="71798CC1">
      <w:pPr>
        <w:pageBreakBefore w:val="0"/>
        <w:widowControl w:val="0"/>
        <w:tabs>
          <w:tab w:val="left" w:pos="1260"/>
        </w:tabs>
        <w:kinsoku/>
        <w:wordWrap w:val="0"/>
        <w:overflowPunct/>
        <w:topLinePunct/>
        <w:autoSpaceDE w:val="0"/>
        <w:autoSpaceDN w:val="0"/>
        <w:bidi w:val="0"/>
        <w:adjustRightInd w:val="0"/>
        <w:snapToGrid w:val="0"/>
        <w:spacing w:line="500" w:lineRule="exact"/>
        <w:ind w:firstLine="540" w:firstLineChars="225"/>
        <w:contextualSpacing/>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7A9E36C4">
      <w:pPr>
        <w:pageBreakBefore w:val="0"/>
        <w:widowControl w:val="0"/>
        <w:tabs>
          <w:tab w:val="left" w:pos="1260"/>
        </w:tabs>
        <w:kinsoku/>
        <w:wordWrap w:val="0"/>
        <w:overflowPunct/>
        <w:topLinePunct/>
        <w:autoSpaceDE w:val="0"/>
        <w:autoSpaceDN w:val="0"/>
        <w:bidi w:val="0"/>
        <w:adjustRightInd w:val="0"/>
        <w:snapToGrid w:val="0"/>
        <w:spacing w:line="500" w:lineRule="exact"/>
        <w:ind w:firstLine="480" w:firstLineChars="200"/>
        <w:contextualSpacing/>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2.2.3除非采购人认为确有必要答复，否则，采购人有权拒绝回复供应商在本章第2.2.1项规定的时间后的任何澄清要求。在规定的时间内未提出疑问的，将被视为对竞争性磋商文件完全认可。</w:t>
      </w:r>
    </w:p>
    <w:p w14:paraId="31ABA1CD">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竞争性磋商文件的修改</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C1D5DE5">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172" w:name="_Toc270604592"/>
      <w:bookmarkStart w:id="173" w:name="_Toc12045"/>
      <w:r>
        <w:rPr>
          <w:rFonts w:hint="eastAsia" w:asciiTheme="majorEastAsia" w:hAnsiTheme="majorEastAsia" w:eastAsiaTheme="majorEastAsia" w:cstheme="majorEastAsia"/>
          <w:color w:val="auto"/>
          <w:sz w:val="24"/>
          <w:szCs w:val="24"/>
          <w:highlight w:val="none"/>
        </w:rPr>
        <w:t>采购人或者采购代理机构可以对已发出的竞争性磋商文件进行必要的修改，但不得改变采购标的和资格条件，修改的内容为竞争性磋商文件的组成部分。</w:t>
      </w:r>
    </w:p>
    <w:p w14:paraId="51A5510D">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02722648">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供应商收到修改内容后，应按供应商须知前附表规定的时间和形式通知采购人，确认已收到该修改。</w:t>
      </w:r>
    </w:p>
    <w:p w14:paraId="6B07C158">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 </w:t>
      </w:r>
      <w:bookmarkStart w:id="174" w:name="_Toc28297"/>
      <w:bookmarkStart w:id="175" w:name="_Toc23774429"/>
      <w:r>
        <w:rPr>
          <w:rFonts w:hint="eastAsia" w:asciiTheme="majorEastAsia" w:hAnsiTheme="majorEastAsia" w:eastAsiaTheme="majorEastAsia" w:cstheme="majorEastAsia"/>
          <w:b/>
          <w:bCs/>
          <w:color w:val="auto"/>
          <w:sz w:val="24"/>
          <w:szCs w:val="24"/>
          <w:highlight w:val="none"/>
        </w:rPr>
        <w:t>响应文件</w:t>
      </w:r>
      <w:bookmarkEnd w:id="172"/>
      <w:bookmarkEnd w:id="173"/>
      <w:r>
        <w:rPr>
          <w:rFonts w:hint="eastAsia" w:asciiTheme="majorEastAsia" w:hAnsiTheme="majorEastAsia" w:eastAsiaTheme="majorEastAsia" w:cstheme="majorEastAsia"/>
          <w:b/>
          <w:bCs/>
          <w:color w:val="auto"/>
          <w:sz w:val="24"/>
          <w:szCs w:val="24"/>
          <w:highlight w:val="none"/>
        </w:rPr>
        <w:t>编写</w:t>
      </w:r>
      <w:bookmarkEnd w:id="174"/>
      <w:bookmarkEnd w:id="175"/>
    </w:p>
    <w:p w14:paraId="21A156BB">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176" w:name="_Toc428276586"/>
      <w:bookmarkStart w:id="177" w:name="_Toc463011271"/>
      <w:bookmarkStart w:id="178" w:name="_Toc277149382"/>
      <w:bookmarkStart w:id="179" w:name="_Toc20143"/>
      <w:bookmarkStart w:id="180" w:name="_Toc26455"/>
      <w:bookmarkStart w:id="181" w:name="_Toc428351646"/>
      <w:bookmarkStart w:id="182" w:name="_Toc454788026"/>
      <w:bookmarkStart w:id="183" w:name="_Toc269470312"/>
      <w:bookmarkStart w:id="184" w:name="_Toc12181"/>
      <w:bookmarkStart w:id="185" w:name="_Toc270604593"/>
      <w:bookmarkStart w:id="186" w:name="_Toc462934292"/>
      <w:bookmarkStart w:id="187" w:name="_Toc455678118"/>
      <w:bookmarkStart w:id="188" w:name="_Toc270604820"/>
      <w:r>
        <w:rPr>
          <w:rFonts w:hint="eastAsia" w:asciiTheme="majorEastAsia" w:hAnsiTheme="majorEastAsia" w:eastAsiaTheme="majorEastAsia" w:cstheme="majorEastAsia"/>
          <w:b/>
          <w:color w:val="auto"/>
          <w:sz w:val="24"/>
          <w:szCs w:val="24"/>
          <w:highlight w:val="none"/>
        </w:rPr>
        <w:t>响应文件的组成</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6D3230D2">
      <w:pPr>
        <w:pageBreakBefore w:val="0"/>
        <w:widowControl w:val="0"/>
        <w:kinsoku/>
        <w:overflowPunct/>
        <w:autoSpaceDE w:val="0"/>
        <w:autoSpaceDN w:val="0"/>
        <w:bidi w:val="0"/>
        <w:adjustRightInd w:val="0"/>
        <w:snapToGrid w:val="0"/>
        <w:spacing w:line="500" w:lineRule="exact"/>
        <w:ind w:left="540"/>
        <w:contextualSpacing/>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响应文件应包括下列内容：</w:t>
      </w:r>
    </w:p>
    <w:p w14:paraId="252C1E7A">
      <w:pPr>
        <w:pageBreakBefore w:val="0"/>
        <w:widowControl w:val="0"/>
        <w:kinsoku/>
        <w:overflow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bookmarkStart w:id="189" w:name="_Toc21496"/>
      <w:bookmarkStart w:id="190" w:name="_Toc4803"/>
      <w:bookmarkStart w:id="191" w:name="_Toc463011272"/>
      <w:bookmarkStart w:id="192" w:name="_Toc22898"/>
      <w:bookmarkStart w:id="193" w:name="_Toc462934293"/>
      <w:bookmarkStart w:id="194" w:name="_Toc455678119"/>
      <w:bookmarkStart w:id="195" w:name="_Toc269470314"/>
      <w:bookmarkStart w:id="196" w:name="_Toc270604595"/>
      <w:bookmarkStart w:id="197" w:name="_Toc270604822"/>
      <w:bookmarkStart w:id="198" w:name="_Toc277149384"/>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kern w:val="0"/>
          <w:sz w:val="24"/>
          <w:szCs w:val="24"/>
          <w:highlight w:val="none"/>
        </w:rPr>
        <w:t>报价函及报价函附录</w:t>
      </w:r>
    </w:p>
    <w:p w14:paraId="299C86D6">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（2）法定代表人身份证明</w:t>
      </w:r>
    </w:p>
    <w:p w14:paraId="6F4C7227">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zh-CN"/>
        </w:rPr>
        <w:t>法定代表人授权委托书</w:t>
      </w:r>
    </w:p>
    <w:p w14:paraId="235DC972">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（4）供应商资格证明文件</w:t>
      </w:r>
    </w:p>
    <w:p w14:paraId="47BD249C">
      <w:pPr>
        <w:pageBreakBefore w:val="0"/>
        <w:widowControl w:val="0"/>
        <w:kinsoku/>
        <w:overflowPunct/>
        <w:bidi w:val="0"/>
        <w:spacing w:line="500" w:lineRule="exact"/>
        <w:ind w:firstLine="480" w:firstLineChars="200"/>
        <w:textAlignment w:val="auto"/>
        <w:rPr>
          <w:rFonts w:hint="eastAsia"/>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已标价工程量清单</w:t>
      </w:r>
    </w:p>
    <w:p w14:paraId="47CA34E0">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）施工组织设计</w:t>
      </w:r>
    </w:p>
    <w:p w14:paraId="1DE62786">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）项目管理机构</w:t>
      </w:r>
    </w:p>
    <w:p w14:paraId="66195783">
      <w:pPr>
        <w:pageBreakBefore w:val="0"/>
        <w:widowControl w:val="0"/>
        <w:kinsoku/>
        <w:overflow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kern w:val="0"/>
          <w:sz w:val="24"/>
          <w:szCs w:val="24"/>
          <w:highlight w:val="none"/>
        </w:rPr>
        <w:t>近年完成类似项目清单</w:t>
      </w:r>
    </w:p>
    <w:p w14:paraId="06EBAEBC">
      <w:pPr>
        <w:pageBreakBefore w:val="0"/>
        <w:widowControl w:val="0"/>
        <w:kinsoku/>
        <w:overflow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kern w:val="0"/>
          <w:sz w:val="24"/>
          <w:szCs w:val="24"/>
          <w:highlight w:val="none"/>
        </w:rPr>
        <w:t>服务承诺</w:t>
      </w:r>
    </w:p>
    <w:p w14:paraId="630486D5">
      <w:pPr>
        <w:pageBreakBefore w:val="0"/>
        <w:widowControl w:val="0"/>
        <w:kinsoku/>
        <w:overflow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）磋商文件要求提供的其它资料</w:t>
      </w:r>
    </w:p>
    <w:p w14:paraId="16CB797F">
      <w:pPr>
        <w:pageBreakBefore w:val="0"/>
        <w:widowControl w:val="0"/>
        <w:kinsoku/>
        <w:overflowPunct/>
        <w:autoSpaceDE w:val="0"/>
        <w:autoSpaceDN w:val="0"/>
        <w:bidi w:val="0"/>
        <w:adjustRightInd w:val="0"/>
        <w:spacing w:line="500" w:lineRule="exact"/>
        <w:ind w:right="40"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）供应商认为有必要提供的其它资料</w:t>
      </w:r>
    </w:p>
    <w:p w14:paraId="3D1A575D">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磋商价格构成及报价要求</w:t>
      </w:r>
      <w:bookmarkEnd w:id="189"/>
      <w:bookmarkEnd w:id="190"/>
      <w:bookmarkEnd w:id="191"/>
      <w:bookmarkEnd w:id="192"/>
      <w:bookmarkEnd w:id="193"/>
      <w:bookmarkEnd w:id="194"/>
    </w:p>
    <w:p w14:paraId="7DFC6771">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199" w:name="_Toc17969"/>
      <w:bookmarkStart w:id="200" w:name="_Toc454788028"/>
      <w:bookmarkStart w:id="201" w:name="_Toc428351648"/>
      <w:bookmarkStart w:id="202" w:name="_Toc455678120"/>
      <w:bookmarkStart w:id="203" w:name="_Toc9193"/>
      <w:bookmarkStart w:id="204" w:name="_Toc463011273"/>
      <w:bookmarkStart w:id="205" w:name="_Toc428276588"/>
      <w:bookmarkStart w:id="206" w:name="_Toc462934294"/>
      <w:bookmarkStart w:id="207" w:name="_Toc58"/>
      <w:r>
        <w:rPr>
          <w:rFonts w:hint="eastAsia" w:asciiTheme="majorEastAsia" w:hAnsiTheme="majorEastAsia" w:eastAsiaTheme="majorEastAsia" w:cstheme="majorEastAsia"/>
          <w:color w:val="auto"/>
          <w:sz w:val="24"/>
          <w:szCs w:val="24"/>
          <w:highlight w:val="none"/>
        </w:rPr>
        <w:t>供应商应按“响应文件格式”的要求在报价函中进行报价。</w:t>
      </w:r>
    </w:p>
    <w:p w14:paraId="5C4FF29F">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供应商应充分了解该项目的总体情况以及影响磋商报价的其他要素。</w:t>
      </w:r>
    </w:p>
    <w:p w14:paraId="59423764">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采购人设有磋商控制价的，供应商的磋商报价不得超过磋商控制价。</w:t>
      </w:r>
    </w:p>
    <w:p w14:paraId="6E516860">
      <w:pPr>
        <w:spacing w:line="620" w:lineRule="exact"/>
        <w:ind w:firstLine="480" w:firstLineChars="200"/>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3.2.4</w:t>
      </w:r>
      <w:r>
        <w:rPr>
          <w:rFonts w:hint="eastAsia" w:asciiTheme="majorEastAsia" w:hAnsiTheme="majorEastAsia" w:eastAsiaTheme="majorEastAsia" w:cstheme="majorEastAsia"/>
          <w:b/>
          <w:bCs/>
          <w:color w:val="auto"/>
          <w:sz w:val="24"/>
          <w:szCs w:val="24"/>
          <w:highlight w:val="none"/>
          <w:lang w:eastAsia="zh-CN"/>
        </w:rPr>
        <w:t>本项目采用固定综合单价合同、中标单位与采购人签订合同开工后至项目工程量完成</w:t>
      </w:r>
      <w:r>
        <w:rPr>
          <w:rFonts w:hint="eastAsia" w:asciiTheme="majorEastAsia" w:hAnsiTheme="majorEastAsia" w:eastAsiaTheme="majorEastAsia" w:cstheme="majorEastAsia"/>
          <w:b/>
          <w:bCs/>
          <w:color w:val="auto"/>
          <w:sz w:val="24"/>
          <w:szCs w:val="24"/>
          <w:highlight w:val="none"/>
          <w:lang w:val="en-US" w:eastAsia="zh-CN"/>
        </w:rPr>
        <w:t>85%（含85%），具备部分</w:t>
      </w:r>
      <w:r>
        <w:rPr>
          <w:rFonts w:hint="eastAsia" w:asciiTheme="majorEastAsia" w:hAnsiTheme="majorEastAsia" w:eastAsiaTheme="majorEastAsia" w:cstheme="majorEastAsia"/>
          <w:b/>
          <w:bCs/>
          <w:color w:val="auto"/>
          <w:sz w:val="24"/>
          <w:szCs w:val="24"/>
          <w:highlight w:val="none"/>
          <w:lang w:eastAsia="zh-CN"/>
        </w:rPr>
        <w:t>竣工验收完成条件期间，本项目中标综合单价不再调整（包括但不限于人工费、材料费及机械使用费等），工程量将根据竣工图纸、变更签证及现场验收记录据实调整，按实际完成且验收合格的工程量进行结算。</w:t>
      </w:r>
    </w:p>
    <w:p w14:paraId="1D15DD3F">
      <w:pPr>
        <w:spacing w:line="620" w:lineRule="exact"/>
        <w:ind w:firstLine="480" w:firstLineChars="200"/>
        <w:rPr>
          <w:rFonts w:hint="default" w:asciiTheme="majorEastAsia" w:hAnsiTheme="majorEastAsia" w:eastAsiaTheme="majorEastAsia" w:cstheme="majorEastAsia"/>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eastAsia="zh-CN"/>
        </w:rPr>
        <w:t>3.2.5</w:t>
      </w:r>
      <w:r>
        <w:rPr>
          <w:rFonts w:hint="eastAsia" w:asciiTheme="majorEastAsia" w:hAnsiTheme="majorEastAsia" w:eastAsiaTheme="majorEastAsia" w:cstheme="majorEastAsia"/>
          <w:b/>
          <w:bCs/>
          <w:color w:val="auto"/>
          <w:sz w:val="24"/>
          <w:szCs w:val="24"/>
          <w:highlight w:val="none"/>
          <w:lang w:eastAsia="zh-CN"/>
        </w:rPr>
        <w:t>如因保障房租户不在家（无法开门）等原因导致不能安装该户推拉门，则从施工合同约定的开工日期往后</w:t>
      </w:r>
      <w:r>
        <w:rPr>
          <w:rFonts w:hint="eastAsia" w:asciiTheme="majorEastAsia" w:hAnsiTheme="majorEastAsia" w:eastAsiaTheme="majorEastAsia" w:cstheme="majorEastAsia"/>
          <w:b/>
          <w:bCs/>
          <w:color w:val="auto"/>
          <w:sz w:val="24"/>
          <w:szCs w:val="24"/>
          <w:highlight w:val="none"/>
          <w:lang w:val="en-US" w:eastAsia="zh-CN"/>
        </w:rPr>
        <w:t>180日历天以外，该部分不能安装的推拉门累计数量达到总安装推拉门数量（2548户）的15%（含15%）时，那么该部分推拉门可以按照能够安装的施工当期定额价（如有）或市场价（由中标单位报出施工当期与设计要求同材质的推拉门市场价、采购人报请三门峡市财政评审中心评审后确定该价格）然后调整与中标综合单价的差价</w:t>
      </w:r>
      <w:r>
        <w:rPr>
          <w:rFonts w:hint="eastAsia" w:asciiTheme="majorEastAsia" w:hAnsiTheme="majorEastAsia" w:eastAsiaTheme="majorEastAsia" w:cstheme="majorEastAsia"/>
          <w:b/>
          <w:bCs/>
          <w:color w:val="auto"/>
          <w:sz w:val="24"/>
          <w:szCs w:val="24"/>
          <w:highlight w:val="none"/>
          <w:u w:val="single"/>
          <w:lang w:val="en-US" w:eastAsia="zh-CN"/>
        </w:rPr>
        <w:t>（包括但不限于</w:t>
      </w:r>
      <w:r>
        <w:rPr>
          <w:rFonts w:hint="eastAsia" w:asciiTheme="majorEastAsia" w:hAnsiTheme="majorEastAsia" w:eastAsiaTheme="majorEastAsia" w:cstheme="majorEastAsia"/>
          <w:b/>
          <w:bCs/>
          <w:color w:val="auto"/>
          <w:sz w:val="24"/>
          <w:szCs w:val="24"/>
          <w:highlight w:val="none"/>
          <w:u w:val="single"/>
          <w:lang w:eastAsia="zh-CN"/>
        </w:rPr>
        <w:t>人工费、材料费及机械使用费等）</w:t>
      </w:r>
      <w:r>
        <w:rPr>
          <w:rFonts w:hint="eastAsia" w:asciiTheme="majorEastAsia" w:hAnsiTheme="majorEastAsia" w:eastAsiaTheme="majorEastAsia" w:cstheme="majorEastAsia"/>
          <w:b/>
          <w:bCs/>
          <w:color w:val="auto"/>
          <w:sz w:val="24"/>
          <w:szCs w:val="24"/>
          <w:highlight w:val="none"/>
          <w:lang w:val="en-US" w:eastAsia="zh-CN"/>
        </w:rPr>
        <w:t>，依实调整。</w:t>
      </w:r>
    </w:p>
    <w:p w14:paraId="1DE607F6">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磋商有效期</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151ED342">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磋商有效期见供应商须知前附表。</w:t>
      </w:r>
    </w:p>
    <w:p w14:paraId="0B4F482A">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在磋商有效期内，供应商撤销响应文件的，应承担竞争性磋商文件和法律规定的责任。</w:t>
      </w:r>
    </w:p>
    <w:p w14:paraId="2DACDE71">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w:t>
      </w:r>
    </w:p>
    <w:p w14:paraId="09097FD0">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208" w:name="_Toc428351649"/>
      <w:bookmarkStart w:id="209" w:name="_Toc455678121"/>
      <w:bookmarkStart w:id="210" w:name="_Toc25039"/>
      <w:bookmarkStart w:id="211" w:name="_Toc463011274"/>
      <w:bookmarkStart w:id="212" w:name="_Toc15074"/>
      <w:bookmarkStart w:id="213" w:name="_Toc23856"/>
      <w:bookmarkStart w:id="214" w:name="_Toc462934295"/>
      <w:bookmarkStart w:id="215" w:name="_Toc454788029"/>
      <w:bookmarkStart w:id="216" w:name="_Toc428276589"/>
      <w:r>
        <w:rPr>
          <w:rFonts w:hint="eastAsia" w:asciiTheme="majorEastAsia" w:hAnsiTheme="majorEastAsia" w:eastAsiaTheme="majorEastAsia" w:cstheme="majorEastAsia"/>
          <w:b/>
          <w:color w:val="auto"/>
          <w:sz w:val="24"/>
          <w:szCs w:val="24"/>
          <w:highlight w:val="none"/>
        </w:rPr>
        <w:t>磋商保证金</w:t>
      </w:r>
      <w:bookmarkEnd w:id="208"/>
      <w:bookmarkEnd w:id="209"/>
      <w:bookmarkEnd w:id="210"/>
      <w:bookmarkEnd w:id="211"/>
      <w:bookmarkEnd w:id="212"/>
      <w:bookmarkEnd w:id="213"/>
      <w:bookmarkEnd w:id="214"/>
      <w:bookmarkEnd w:id="215"/>
      <w:bookmarkEnd w:id="216"/>
    </w:p>
    <w:p w14:paraId="0D22F687">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根据《河南省财政厅关于优化政府采购营商环境有关问题的通知》（豫财购[2020]4号）第6条的规定，磋商保证金不再收取。</w:t>
      </w:r>
    </w:p>
    <w:p w14:paraId="594AA5C3">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217" w:name="_Toc462934296"/>
      <w:bookmarkStart w:id="218" w:name="_Toc4446"/>
      <w:bookmarkStart w:id="219" w:name="_Toc32308"/>
      <w:bookmarkStart w:id="220" w:name="_Toc269470318"/>
      <w:bookmarkStart w:id="221" w:name="_Toc270604823"/>
      <w:bookmarkStart w:id="222" w:name="_Toc454788030"/>
      <w:bookmarkStart w:id="223" w:name="_Toc455678122"/>
      <w:bookmarkStart w:id="224" w:name="_Toc463011275"/>
      <w:bookmarkStart w:id="225" w:name="_Toc428276590"/>
      <w:bookmarkStart w:id="226" w:name="_Toc270604596"/>
      <w:bookmarkStart w:id="227" w:name="_Toc277149385"/>
      <w:bookmarkStart w:id="228" w:name="_Toc428351650"/>
      <w:bookmarkStart w:id="229" w:name="_Toc7919"/>
      <w:r>
        <w:rPr>
          <w:rFonts w:hint="eastAsia" w:asciiTheme="majorEastAsia" w:hAnsiTheme="majorEastAsia" w:eastAsiaTheme="majorEastAsia" w:cstheme="majorEastAsia"/>
          <w:b/>
          <w:color w:val="auto"/>
          <w:sz w:val="24"/>
          <w:szCs w:val="24"/>
          <w:highlight w:val="none"/>
        </w:rPr>
        <w:t>响应文件的编制</w:t>
      </w:r>
      <w:bookmarkEnd w:id="217"/>
      <w:bookmarkEnd w:id="218"/>
      <w:bookmarkEnd w:id="219"/>
      <w:bookmarkEnd w:id="220"/>
      <w:bookmarkEnd w:id="221"/>
      <w:bookmarkEnd w:id="222"/>
      <w:bookmarkEnd w:id="223"/>
      <w:bookmarkEnd w:id="224"/>
      <w:bookmarkEnd w:id="225"/>
      <w:bookmarkEnd w:id="226"/>
      <w:bookmarkEnd w:id="227"/>
      <w:bookmarkEnd w:id="228"/>
      <w:bookmarkEnd w:id="229"/>
    </w:p>
    <w:p w14:paraId="0F67AFD7">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响应文件应按第</w:t>
      </w:r>
      <w:r>
        <w:rPr>
          <w:rFonts w:hint="eastAsia" w:asciiTheme="majorEastAsia" w:hAnsiTheme="majorEastAsia" w:eastAsiaTheme="majorEastAsia" w:cstheme="majorEastAsia"/>
          <w:color w:val="auto"/>
          <w:sz w:val="24"/>
          <w:szCs w:val="24"/>
          <w:highlight w:val="none"/>
          <w:lang w:eastAsia="zh-CN"/>
        </w:rPr>
        <w:t>七</w:t>
      </w:r>
      <w:r>
        <w:rPr>
          <w:rFonts w:hint="eastAsia" w:asciiTheme="majorEastAsia" w:hAnsiTheme="majorEastAsia" w:eastAsiaTheme="majorEastAsia" w:cstheme="majorEastAsia"/>
          <w:color w:val="auto"/>
          <w:sz w:val="24"/>
          <w:szCs w:val="24"/>
          <w:highlight w:val="none"/>
        </w:rPr>
        <w:t>章响应文件格式进行编写，如有必要，可以增加附页，作为响应文件的组成部分。其中，报价函附录在满足竞争性磋商文件实质性要求的基础上，可以提出比竞争性磋商文件要求更有利于采购人的承诺。</w:t>
      </w:r>
    </w:p>
    <w:p w14:paraId="51A50552">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响应文件应当对竞争性磋商文件有关磋商报价、工期、磋商有效期、质量标准等实质性内容作出响应。</w:t>
      </w:r>
    </w:p>
    <w:p w14:paraId="601DA6C6">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供应商在生成电子化响应文件后，应对电子化响应文件进行签章，未进行签章的视为无效响应。</w:t>
      </w:r>
    </w:p>
    <w:p w14:paraId="2FD6E41E">
      <w:pPr>
        <w:pageBreakBefore w:val="0"/>
        <w:widowControl w:val="0"/>
        <w:kinsoku/>
        <w:overflowPunct/>
        <w:autoSpaceDE w:val="0"/>
        <w:autoSpaceDN w:val="0"/>
        <w:bidi w:val="0"/>
        <w:adjustRightInd w:val="0"/>
        <w:spacing w:line="500" w:lineRule="exact"/>
        <w:ind w:right="41" w:firstLine="480" w:firstLineChars="200"/>
        <w:textAlignment w:val="auto"/>
        <w:rPr>
          <w:rFonts w:hint="eastAsia" w:asciiTheme="majorEastAsia" w:hAnsiTheme="majorEastAsia" w:eastAsiaTheme="majorEastAsia" w:cstheme="majorEastAsia"/>
          <w:color w:val="auto"/>
          <w:spacing w:val="2"/>
          <w:kern w:val="0"/>
          <w:sz w:val="24"/>
          <w:szCs w:val="24"/>
          <w:highlight w:val="none"/>
        </w:rPr>
      </w:pPr>
      <w:r>
        <w:rPr>
          <w:rFonts w:hint="eastAsia" w:asciiTheme="majorEastAsia" w:hAnsiTheme="majorEastAsia" w:eastAsiaTheme="majorEastAsia" w:cstheme="majorEastAsia"/>
          <w:color w:val="auto"/>
          <w:sz w:val="24"/>
          <w:szCs w:val="24"/>
          <w:highlight w:val="none"/>
        </w:rPr>
        <w:t xml:space="preserve">3.5.4 </w:t>
      </w:r>
      <w:r>
        <w:rPr>
          <w:rFonts w:hint="eastAsia" w:asciiTheme="majorEastAsia" w:hAnsiTheme="majorEastAsia" w:eastAsiaTheme="majorEastAsia" w:cstheme="majorEastAsia"/>
          <w:color w:val="auto"/>
          <w:spacing w:val="2"/>
          <w:kern w:val="0"/>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7CE0197F">
      <w:pPr>
        <w:pageBreakBefore w:val="0"/>
        <w:widowControl w:val="0"/>
        <w:kinsoku/>
        <w:overflowPunct/>
        <w:autoSpaceDE w:val="0"/>
        <w:autoSpaceDN w:val="0"/>
        <w:bidi w:val="0"/>
        <w:adjustRightInd w:val="0"/>
        <w:spacing w:line="500" w:lineRule="exact"/>
        <w:ind w:right="41"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3.5.5 相关证书原件的提交：本项目实行资格后审，磋商文件中要求供应商提交资质、业绩、荣誉及单位人员等相关资料原件的，供应商需将原件扫描件制作到电子响应文件中。</w:t>
      </w:r>
    </w:p>
    <w:p w14:paraId="145334DD">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bCs/>
          <w:color w:val="auto"/>
          <w:sz w:val="24"/>
          <w:szCs w:val="24"/>
          <w:highlight w:val="none"/>
        </w:rPr>
      </w:pPr>
      <w:bookmarkStart w:id="230" w:name="_Toc6530"/>
      <w:r>
        <w:rPr>
          <w:rFonts w:hint="eastAsia" w:asciiTheme="majorEastAsia" w:hAnsiTheme="majorEastAsia" w:eastAsiaTheme="majorEastAsia" w:cstheme="majorEastAsia"/>
          <w:b/>
          <w:bCs/>
          <w:color w:val="auto"/>
          <w:sz w:val="24"/>
          <w:szCs w:val="24"/>
          <w:highlight w:val="none"/>
        </w:rPr>
        <w:t xml:space="preserve"> </w:t>
      </w:r>
      <w:bookmarkStart w:id="231" w:name="_Toc23774430"/>
      <w:bookmarkStart w:id="232" w:name="_Toc12187"/>
      <w:r>
        <w:rPr>
          <w:rFonts w:hint="eastAsia" w:asciiTheme="majorEastAsia" w:hAnsiTheme="majorEastAsia" w:eastAsiaTheme="majorEastAsia" w:cstheme="majorEastAsia"/>
          <w:b/>
          <w:bCs/>
          <w:color w:val="auto"/>
          <w:sz w:val="24"/>
          <w:szCs w:val="24"/>
          <w:highlight w:val="none"/>
        </w:rPr>
        <w:t>响应文件的递交</w:t>
      </w:r>
      <w:bookmarkEnd w:id="230"/>
      <w:bookmarkEnd w:id="231"/>
      <w:bookmarkEnd w:id="232"/>
    </w:p>
    <w:p w14:paraId="61805594">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bCs/>
          <w:color w:val="auto"/>
          <w:sz w:val="24"/>
          <w:szCs w:val="24"/>
          <w:highlight w:val="none"/>
        </w:rPr>
      </w:pPr>
      <w:bookmarkStart w:id="233" w:name="_Toc277149387"/>
      <w:bookmarkStart w:id="234" w:name="_Toc270604598"/>
      <w:bookmarkStart w:id="235" w:name="_Toc454788032"/>
      <w:bookmarkStart w:id="236" w:name="_Toc270604825"/>
      <w:bookmarkStart w:id="237" w:name="_Toc462934298"/>
      <w:bookmarkStart w:id="238" w:name="_Toc21528"/>
      <w:bookmarkStart w:id="239" w:name="_Toc463011277"/>
      <w:bookmarkStart w:id="240" w:name="_Toc455678124"/>
      <w:bookmarkStart w:id="241" w:name="_Toc269470320"/>
      <w:bookmarkStart w:id="242" w:name="_Toc428276592"/>
      <w:bookmarkStart w:id="243" w:name="_Toc31608"/>
      <w:bookmarkStart w:id="244" w:name="_Toc428351652"/>
      <w:bookmarkStart w:id="245" w:name="_Toc27477"/>
      <w:r>
        <w:rPr>
          <w:rFonts w:hint="eastAsia" w:asciiTheme="majorEastAsia" w:hAnsiTheme="majorEastAsia" w:eastAsiaTheme="majorEastAsia" w:cstheme="majorEastAsia"/>
          <w:b/>
          <w:color w:val="auto"/>
          <w:sz w:val="24"/>
          <w:szCs w:val="24"/>
          <w:highlight w:val="none"/>
        </w:rPr>
        <w:t>电子化响应文件的格式及上传</w:t>
      </w:r>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Theme="majorEastAsia" w:hAnsiTheme="majorEastAsia" w:eastAsiaTheme="majorEastAsia" w:cstheme="majorEastAsia"/>
          <w:b/>
          <w:color w:val="auto"/>
          <w:sz w:val="24"/>
          <w:szCs w:val="24"/>
          <w:highlight w:val="none"/>
        </w:rPr>
        <w:t>：详见</w:t>
      </w:r>
      <w:r>
        <w:rPr>
          <w:rFonts w:hint="eastAsia" w:asciiTheme="majorEastAsia" w:hAnsiTheme="majorEastAsia" w:eastAsiaTheme="majorEastAsia" w:cstheme="majorEastAsia"/>
          <w:b/>
          <w:bCs/>
          <w:color w:val="auto"/>
          <w:sz w:val="24"/>
          <w:szCs w:val="24"/>
          <w:highlight w:val="none"/>
        </w:rPr>
        <w:t>供应商须知前附表</w:t>
      </w:r>
    </w:p>
    <w:p w14:paraId="00C3C2E9">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246" w:name="_Toc29167"/>
      <w:bookmarkStart w:id="247" w:name="_Toc428276593"/>
      <w:bookmarkStart w:id="248" w:name="_Toc455678125"/>
      <w:bookmarkStart w:id="249" w:name="_Toc20197"/>
      <w:bookmarkStart w:id="250" w:name="_Toc270604826"/>
      <w:bookmarkStart w:id="251" w:name="_Toc454788033"/>
      <w:bookmarkStart w:id="252" w:name="_Toc428351653"/>
      <w:bookmarkStart w:id="253" w:name="_Toc277149388"/>
      <w:bookmarkStart w:id="254" w:name="_Toc269470321"/>
      <w:bookmarkStart w:id="255" w:name="_Toc5938"/>
      <w:bookmarkStart w:id="256" w:name="_Toc270604599"/>
      <w:bookmarkStart w:id="257" w:name="_Toc463011278"/>
      <w:bookmarkStart w:id="258" w:name="_Toc462934299"/>
      <w:r>
        <w:rPr>
          <w:rFonts w:hint="eastAsia" w:asciiTheme="majorEastAsia" w:hAnsiTheme="majorEastAsia" w:eastAsiaTheme="majorEastAsia" w:cstheme="majorEastAsia"/>
          <w:b/>
          <w:color w:val="auto"/>
          <w:sz w:val="24"/>
          <w:szCs w:val="24"/>
          <w:highlight w:val="none"/>
        </w:rPr>
        <w:t>响应文件的递交</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177E2CD0">
      <w:pPr>
        <w:pageBreakBefore w:val="0"/>
        <w:widowControl w:val="0"/>
        <w:kinsoku/>
        <w:overflowPunct/>
        <w:autoSpaceDE w:val="0"/>
        <w:autoSpaceDN w:val="0"/>
        <w:bidi w:val="0"/>
        <w:adjustRightInd w:val="0"/>
        <w:spacing w:line="500" w:lineRule="exact"/>
        <w:ind w:right="-2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4.2.1  供应商</w:t>
      </w:r>
      <w:r>
        <w:rPr>
          <w:rFonts w:hint="eastAsia" w:asciiTheme="majorEastAsia" w:hAnsiTheme="majorEastAsia" w:eastAsiaTheme="majorEastAsia" w:cstheme="majorEastAsia"/>
          <w:color w:val="auto"/>
          <w:spacing w:val="-2"/>
          <w:kern w:val="0"/>
          <w:sz w:val="24"/>
          <w:szCs w:val="24"/>
          <w:highlight w:val="none"/>
        </w:rPr>
        <w:t>应</w:t>
      </w:r>
      <w:r>
        <w:rPr>
          <w:rFonts w:hint="eastAsia" w:asciiTheme="majorEastAsia" w:hAnsiTheme="majorEastAsia" w:eastAsiaTheme="majorEastAsia" w:cstheme="majorEastAsia"/>
          <w:color w:val="auto"/>
          <w:kern w:val="0"/>
          <w:sz w:val="24"/>
          <w:szCs w:val="24"/>
          <w:highlight w:val="none"/>
        </w:rPr>
        <w:t>在</w:t>
      </w:r>
      <w:r>
        <w:rPr>
          <w:rFonts w:hint="eastAsia" w:asciiTheme="majorEastAsia" w:hAnsiTheme="majorEastAsia" w:eastAsiaTheme="majorEastAsia" w:cstheme="majorEastAsia"/>
          <w:color w:val="auto"/>
          <w:spacing w:val="-2"/>
          <w:kern w:val="0"/>
          <w:sz w:val="24"/>
          <w:szCs w:val="24"/>
          <w:highlight w:val="none"/>
        </w:rPr>
        <w:t>供应商须</w:t>
      </w:r>
      <w:r>
        <w:rPr>
          <w:rFonts w:hint="eastAsia" w:asciiTheme="majorEastAsia" w:hAnsiTheme="majorEastAsia" w:eastAsiaTheme="majorEastAsia" w:cstheme="majorEastAsia"/>
          <w:color w:val="auto"/>
          <w:kern w:val="0"/>
          <w:sz w:val="24"/>
          <w:szCs w:val="24"/>
          <w:highlight w:val="none"/>
        </w:rPr>
        <w:t>知前</w:t>
      </w:r>
      <w:r>
        <w:rPr>
          <w:rFonts w:hint="eastAsia" w:asciiTheme="majorEastAsia" w:hAnsiTheme="majorEastAsia" w:eastAsiaTheme="majorEastAsia" w:cstheme="majorEastAsia"/>
          <w:color w:val="auto"/>
          <w:spacing w:val="-2"/>
          <w:kern w:val="0"/>
          <w:sz w:val="24"/>
          <w:szCs w:val="24"/>
          <w:highlight w:val="none"/>
        </w:rPr>
        <w:t>附</w:t>
      </w:r>
      <w:r>
        <w:rPr>
          <w:rFonts w:hint="eastAsia" w:asciiTheme="majorEastAsia" w:hAnsiTheme="majorEastAsia" w:eastAsiaTheme="majorEastAsia" w:cstheme="majorEastAsia"/>
          <w:color w:val="auto"/>
          <w:kern w:val="0"/>
          <w:sz w:val="24"/>
          <w:szCs w:val="24"/>
          <w:highlight w:val="none"/>
        </w:rPr>
        <w:t>表</w:t>
      </w:r>
      <w:r>
        <w:rPr>
          <w:rFonts w:hint="eastAsia" w:asciiTheme="majorEastAsia" w:hAnsiTheme="majorEastAsia" w:eastAsiaTheme="majorEastAsia" w:cstheme="majorEastAsia"/>
          <w:color w:val="auto"/>
          <w:spacing w:val="-2"/>
          <w:kern w:val="0"/>
          <w:sz w:val="24"/>
          <w:szCs w:val="24"/>
          <w:highlight w:val="none"/>
        </w:rPr>
        <w:t>规</w:t>
      </w:r>
      <w:r>
        <w:rPr>
          <w:rFonts w:hint="eastAsia" w:asciiTheme="majorEastAsia" w:hAnsiTheme="majorEastAsia" w:eastAsiaTheme="majorEastAsia" w:cstheme="majorEastAsia"/>
          <w:color w:val="auto"/>
          <w:kern w:val="0"/>
          <w:sz w:val="24"/>
          <w:szCs w:val="24"/>
          <w:highlight w:val="none"/>
        </w:rPr>
        <w:t>定</w:t>
      </w:r>
      <w:r>
        <w:rPr>
          <w:rFonts w:hint="eastAsia" w:asciiTheme="majorEastAsia" w:hAnsiTheme="majorEastAsia" w:eastAsiaTheme="majorEastAsia" w:cstheme="majorEastAsia"/>
          <w:color w:val="auto"/>
          <w:spacing w:val="-2"/>
          <w:kern w:val="0"/>
          <w:sz w:val="24"/>
          <w:szCs w:val="24"/>
          <w:highlight w:val="none"/>
        </w:rPr>
        <w:t>的</w:t>
      </w:r>
      <w:r>
        <w:rPr>
          <w:rFonts w:hint="eastAsia" w:asciiTheme="majorEastAsia" w:hAnsiTheme="majorEastAsia" w:eastAsiaTheme="majorEastAsia" w:cstheme="majorEastAsia"/>
          <w:color w:val="auto"/>
          <w:kern w:val="0"/>
          <w:sz w:val="24"/>
          <w:szCs w:val="24"/>
          <w:highlight w:val="none"/>
        </w:rPr>
        <w:t>响应文件递交截</w:t>
      </w:r>
      <w:r>
        <w:rPr>
          <w:rFonts w:hint="eastAsia" w:asciiTheme="majorEastAsia" w:hAnsiTheme="majorEastAsia" w:eastAsiaTheme="majorEastAsia" w:cstheme="majorEastAsia"/>
          <w:color w:val="auto"/>
          <w:spacing w:val="-2"/>
          <w:kern w:val="0"/>
          <w:sz w:val="24"/>
          <w:szCs w:val="24"/>
          <w:highlight w:val="none"/>
        </w:rPr>
        <w:t>止</w:t>
      </w:r>
      <w:r>
        <w:rPr>
          <w:rFonts w:hint="eastAsia" w:asciiTheme="majorEastAsia" w:hAnsiTheme="majorEastAsia" w:eastAsiaTheme="majorEastAsia" w:cstheme="majorEastAsia"/>
          <w:color w:val="auto"/>
          <w:kern w:val="0"/>
          <w:sz w:val="24"/>
          <w:szCs w:val="24"/>
          <w:highlight w:val="none"/>
        </w:rPr>
        <w:t>时间</w:t>
      </w:r>
      <w:r>
        <w:rPr>
          <w:rFonts w:hint="eastAsia" w:asciiTheme="majorEastAsia" w:hAnsiTheme="majorEastAsia" w:eastAsiaTheme="majorEastAsia" w:cstheme="majorEastAsia"/>
          <w:color w:val="auto"/>
          <w:spacing w:val="-2"/>
          <w:kern w:val="0"/>
          <w:sz w:val="24"/>
          <w:szCs w:val="24"/>
          <w:highlight w:val="none"/>
        </w:rPr>
        <w:t>前递交</w:t>
      </w:r>
      <w:r>
        <w:rPr>
          <w:rFonts w:hint="eastAsia" w:asciiTheme="majorEastAsia" w:hAnsiTheme="majorEastAsia" w:eastAsiaTheme="majorEastAsia" w:cstheme="majorEastAsia"/>
          <w:color w:val="auto"/>
          <w:kern w:val="0"/>
          <w:sz w:val="24"/>
          <w:szCs w:val="24"/>
          <w:highlight w:val="none"/>
        </w:rPr>
        <w:t>响应文</w:t>
      </w:r>
      <w:r>
        <w:rPr>
          <w:rFonts w:hint="eastAsia" w:asciiTheme="majorEastAsia" w:hAnsiTheme="majorEastAsia" w:eastAsiaTheme="majorEastAsia" w:cstheme="majorEastAsia"/>
          <w:color w:val="auto"/>
          <w:spacing w:val="-2"/>
          <w:kern w:val="0"/>
          <w:sz w:val="24"/>
          <w:szCs w:val="24"/>
          <w:highlight w:val="none"/>
        </w:rPr>
        <w:t>件</w:t>
      </w:r>
      <w:r>
        <w:rPr>
          <w:rFonts w:hint="eastAsia" w:asciiTheme="majorEastAsia" w:hAnsiTheme="majorEastAsia" w:eastAsiaTheme="majorEastAsia" w:cstheme="majorEastAsia"/>
          <w:color w:val="auto"/>
          <w:kern w:val="0"/>
          <w:sz w:val="24"/>
          <w:szCs w:val="24"/>
          <w:highlight w:val="none"/>
        </w:rPr>
        <w:t>。</w:t>
      </w:r>
    </w:p>
    <w:p w14:paraId="011EE395">
      <w:pPr>
        <w:pageBreakBefore w:val="0"/>
        <w:widowControl w:val="0"/>
        <w:kinsoku/>
        <w:overflowPunct/>
        <w:autoSpaceDE w:val="0"/>
        <w:autoSpaceDN w:val="0"/>
        <w:bidi w:val="0"/>
        <w:adjustRightInd w:val="0"/>
        <w:spacing w:line="500" w:lineRule="exact"/>
        <w:ind w:right="-20"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4.2.2 </w:t>
      </w:r>
      <w:r>
        <w:rPr>
          <w:rFonts w:hint="eastAsia" w:asciiTheme="majorEastAsia" w:hAnsiTheme="majorEastAsia" w:eastAsiaTheme="majorEastAsia" w:cstheme="majorEastAsia"/>
          <w:color w:val="auto"/>
          <w:kern w:val="0"/>
          <w:sz w:val="24"/>
          <w:szCs w:val="24"/>
          <w:highlight w:val="none"/>
        </w:rPr>
        <w:t>供应商递</w:t>
      </w:r>
      <w:r>
        <w:rPr>
          <w:rFonts w:hint="eastAsia" w:asciiTheme="majorEastAsia" w:hAnsiTheme="majorEastAsia" w:eastAsiaTheme="majorEastAsia" w:cstheme="majorEastAsia"/>
          <w:color w:val="auto"/>
          <w:spacing w:val="-2"/>
          <w:kern w:val="0"/>
          <w:sz w:val="24"/>
          <w:szCs w:val="24"/>
          <w:highlight w:val="none"/>
        </w:rPr>
        <w:t>交响应</w:t>
      </w:r>
      <w:r>
        <w:rPr>
          <w:rFonts w:hint="eastAsia" w:asciiTheme="majorEastAsia" w:hAnsiTheme="majorEastAsia" w:eastAsiaTheme="majorEastAsia" w:cstheme="majorEastAsia"/>
          <w:color w:val="auto"/>
          <w:kern w:val="0"/>
          <w:sz w:val="24"/>
          <w:szCs w:val="24"/>
          <w:highlight w:val="none"/>
        </w:rPr>
        <w:t>文</w:t>
      </w:r>
      <w:r>
        <w:rPr>
          <w:rFonts w:hint="eastAsia" w:asciiTheme="majorEastAsia" w:hAnsiTheme="majorEastAsia" w:eastAsiaTheme="majorEastAsia" w:cstheme="majorEastAsia"/>
          <w:color w:val="auto"/>
          <w:spacing w:val="-2"/>
          <w:kern w:val="0"/>
          <w:sz w:val="24"/>
          <w:szCs w:val="24"/>
          <w:highlight w:val="none"/>
        </w:rPr>
        <w:t>件</w:t>
      </w:r>
      <w:r>
        <w:rPr>
          <w:rFonts w:hint="eastAsia" w:asciiTheme="majorEastAsia" w:hAnsiTheme="majorEastAsia" w:eastAsiaTheme="majorEastAsia" w:cstheme="majorEastAsia"/>
          <w:color w:val="auto"/>
          <w:kern w:val="0"/>
          <w:sz w:val="24"/>
          <w:szCs w:val="24"/>
          <w:highlight w:val="none"/>
        </w:rPr>
        <w:t>的</w:t>
      </w:r>
      <w:r>
        <w:rPr>
          <w:rFonts w:hint="eastAsia" w:asciiTheme="majorEastAsia" w:hAnsiTheme="majorEastAsia" w:eastAsiaTheme="majorEastAsia" w:cstheme="majorEastAsia"/>
          <w:color w:val="auto"/>
          <w:spacing w:val="-2"/>
          <w:kern w:val="0"/>
          <w:sz w:val="24"/>
          <w:szCs w:val="24"/>
          <w:highlight w:val="none"/>
        </w:rPr>
        <w:t>地</w:t>
      </w:r>
      <w:r>
        <w:rPr>
          <w:rFonts w:hint="eastAsia" w:asciiTheme="majorEastAsia" w:hAnsiTheme="majorEastAsia" w:eastAsiaTheme="majorEastAsia" w:cstheme="majorEastAsia"/>
          <w:color w:val="auto"/>
          <w:kern w:val="0"/>
          <w:sz w:val="24"/>
          <w:szCs w:val="24"/>
          <w:highlight w:val="none"/>
        </w:rPr>
        <w:t>点</w:t>
      </w:r>
      <w:r>
        <w:rPr>
          <w:rFonts w:hint="eastAsia" w:asciiTheme="majorEastAsia" w:hAnsiTheme="majorEastAsia" w:eastAsiaTheme="majorEastAsia" w:cstheme="majorEastAsia"/>
          <w:color w:val="auto"/>
          <w:spacing w:val="-2"/>
          <w:kern w:val="0"/>
          <w:sz w:val="24"/>
          <w:szCs w:val="24"/>
          <w:highlight w:val="none"/>
        </w:rPr>
        <w:t>：</w:t>
      </w:r>
      <w:r>
        <w:rPr>
          <w:rFonts w:hint="eastAsia" w:asciiTheme="majorEastAsia" w:hAnsiTheme="majorEastAsia" w:eastAsiaTheme="majorEastAsia" w:cstheme="majorEastAsia"/>
          <w:color w:val="auto"/>
          <w:kern w:val="0"/>
          <w:sz w:val="24"/>
          <w:szCs w:val="24"/>
          <w:highlight w:val="none"/>
        </w:rPr>
        <w:t>见</w:t>
      </w:r>
      <w:r>
        <w:rPr>
          <w:rFonts w:hint="eastAsia" w:asciiTheme="majorEastAsia" w:hAnsiTheme="majorEastAsia" w:eastAsiaTheme="majorEastAsia" w:cstheme="majorEastAsia"/>
          <w:color w:val="auto"/>
          <w:spacing w:val="-2"/>
          <w:kern w:val="0"/>
          <w:sz w:val="24"/>
          <w:szCs w:val="24"/>
          <w:highlight w:val="none"/>
        </w:rPr>
        <w:t>供应商</w:t>
      </w:r>
      <w:r>
        <w:rPr>
          <w:rFonts w:hint="eastAsia" w:asciiTheme="majorEastAsia" w:hAnsiTheme="majorEastAsia" w:eastAsiaTheme="majorEastAsia" w:cstheme="majorEastAsia"/>
          <w:color w:val="auto"/>
          <w:kern w:val="0"/>
          <w:sz w:val="24"/>
          <w:szCs w:val="24"/>
          <w:highlight w:val="none"/>
        </w:rPr>
        <w:t>须知</w:t>
      </w:r>
      <w:r>
        <w:rPr>
          <w:rFonts w:hint="eastAsia" w:asciiTheme="majorEastAsia" w:hAnsiTheme="majorEastAsia" w:eastAsiaTheme="majorEastAsia" w:cstheme="majorEastAsia"/>
          <w:color w:val="auto"/>
          <w:spacing w:val="-2"/>
          <w:kern w:val="0"/>
          <w:sz w:val="24"/>
          <w:szCs w:val="24"/>
          <w:highlight w:val="none"/>
        </w:rPr>
        <w:t>前</w:t>
      </w:r>
      <w:r>
        <w:rPr>
          <w:rFonts w:hint="eastAsia" w:asciiTheme="majorEastAsia" w:hAnsiTheme="majorEastAsia" w:eastAsiaTheme="majorEastAsia" w:cstheme="majorEastAsia"/>
          <w:color w:val="auto"/>
          <w:kern w:val="0"/>
          <w:sz w:val="24"/>
          <w:szCs w:val="24"/>
          <w:highlight w:val="none"/>
        </w:rPr>
        <w:t>附</w:t>
      </w:r>
      <w:r>
        <w:rPr>
          <w:rFonts w:hint="eastAsia" w:asciiTheme="majorEastAsia" w:hAnsiTheme="majorEastAsia" w:eastAsiaTheme="majorEastAsia" w:cstheme="majorEastAsia"/>
          <w:color w:val="auto"/>
          <w:spacing w:val="-2"/>
          <w:kern w:val="0"/>
          <w:sz w:val="24"/>
          <w:szCs w:val="24"/>
          <w:highlight w:val="none"/>
        </w:rPr>
        <w:t>表</w:t>
      </w:r>
      <w:r>
        <w:rPr>
          <w:rFonts w:hint="eastAsia" w:asciiTheme="majorEastAsia" w:hAnsiTheme="majorEastAsia" w:eastAsiaTheme="majorEastAsia" w:cstheme="majorEastAsia"/>
          <w:color w:val="auto"/>
          <w:kern w:val="0"/>
          <w:sz w:val="24"/>
          <w:szCs w:val="24"/>
          <w:highlight w:val="none"/>
        </w:rPr>
        <w:t>。</w:t>
      </w:r>
    </w:p>
    <w:p w14:paraId="26EB4967">
      <w:pPr>
        <w:pageBreakBefore w:val="0"/>
        <w:widowControl w:val="0"/>
        <w:kinsoku/>
        <w:overflowPunct/>
        <w:autoSpaceDE w:val="0"/>
        <w:autoSpaceDN w:val="0"/>
        <w:bidi w:val="0"/>
        <w:adjustRightInd w:val="0"/>
        <w:spacing w:line="500" w:lineRule="exact"/>
        <w:ind w:right="-2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4.2.3</w:t>
      </w:r>
      <w:r>
        <w:rPr>
          <w:rFonts w:hint="eastAsia" w:asciiTheme="majorEastAsia" w:hAnsiTheme="majorEastAsia" w:eastAsiaTheme="majorEastAsia" w:cstheme="majorEastAsia"/>
          <w:color w:val="auto"/>
          <w:kern w:val="0"/>
          <w:sz w:val="24"/>
          <w:szCs w:val="24"/>
          <w:highlight w:val="none"/>
        </w:rPr>
        <w:t xml:space="preserve"> 除</w:t>
      </w:r>
      <w:r>
        <w:rPr>
          <w:rFonts w:hint="eastAsia" w:asciiTheme="majorEastAsia" w:hAnsiTheme="majorEastAsia" w:eastAsiaTheme="majorEastAsia" w:cstheme="majorEastAsia"/>
          <w:color w:val="auto"/>
          <w:spacing w:val="-2"/>
          <w:kern w:val="0"/>
          <w:sz w:val="24"/>
          <w:szCs w:val="24"/>
          <w:highlight w:val="none"/>
        </w:rPr>
        <w:t>供应商</w:t>
      </w:r>
      <w:r>
        <w:rPr>
          <w:rFonts w:hint="eastAsia" w:asciiTheme="majorEastAsia" w:hAnsiTheme="majorEastAsia" w:eastAsiaTheme="majorEastAsia" w:cstheme="majorEastAsia"/>
          <w:color w:val="auto"/>
          <w:kern w:val="0"/>
          <w:sz w:val="24"/>
          <w:szCs w:val="24"/>
          <w:highlight w:val="none"/>
        </w:rPr>
        <w:t>须</w:t>
      </w:r>
      <w:r>
        <w:rPr>
          <w:rFonts w:hint="eastAsia" w:asciiTheme="majorEastAsia" w:hAnsiTheme="majorEastAsia" w:eastAsiaTheme="majorEastAsia" w:cstheme="majorEastAsia"/>
          <w:color w:val="auto"/>
          <w:spacing w:val="-2"/>
          <w:kern w:val="0"/>
          <w:sz w:val="24"/>
          <w:szCs w:val="24"/>
          <w:highlight w:val="none"/>
        </w:rPr>
        <w:t>知</w:t>
      </w:r>
      <w:r>
        <w:rPr>
          <w:rFonts w:hint="eastAsia" w:asciiTheme="majorEastAsia" w:hAnsiTheme="majorEastAsia" w:eastAsiaTheme="majorEastAsia" w:cstheme="majorEastAsia"/>
          <w:color w:val="auto"/>
          <w:kern w:val="0"/>
          <w:sz w:val="24"/>
          <w:szCs w:val="24"/>
          <w:highlight w:val="none"/>
        </w:rPr>
        <w:t>前</w:t>
      </w:r>
      <w:r>
        <w:rPr>
          <w:rFonts w:hint="eastAsia" w:asciiTheme="majorEastAsia" w:hAnsiTheme="majorEastAsia" w:eastAsiaTheme="majorEastAsia" w:cstheme="majorEastAsia"/>
          <w:color w:val="auto"/>
          <w:spacing w:val="-2"/>
          <w:kern w:val="0"/>
          <w:sz w:val="24"/>
          <w:szCs w:val="24"/>
          <w:highlight w:val="none"/>
        </w:rPr>
        <w:t>附表</w:t>
      </w:r>
      <w:r>
        <w:rPr>
          <w:rFonts w:hint="eastAsia" w:asciiTheme="majorEastAsia" w:hAnsiTheme="majorEastAsia" w:eastAsiaTheme="majorEastAsia" w:cstheme="majorEastAsia"/>
          <w:color w:val="auto"/>
          <w:kern w:val="0"/>
          <w:sz w:val="24"/>
          <w:szCs w:val="24"/>
          <w:highlight w:val="none"/>
        </w:rPr>
        <w:t>另有</w:t>
      </w:r>
      <w:r>
        <w:rPr>
          <w:rFonts w:hint="eastAsia" w:asciiTheme="majorEastAsia" w:hAnsiTheme="majorEastAsia" w:eastAsiaTheme="majorEastAsia" w:cstheme="majorEastAsia"/>
          <w:color w:val="auto"/>
          <w:spacing w:val="-2"/>
          <w:kern w:val="0"/>
          <w:sz w:val="24"/>
          <w:szCs w:val="24"/>
          <w:highlight w:val="none"/>
        </w:rPr>
        <w:t>规</w:t>
      </w:r>
      <w:r>
        <w:rPr>
          <w:rFonts w:hint="eastAsia" w:asciiTheme="majorEastAsia" w:hAnsiTheme="majorEastAsia" w:eastAsiaTheme="majorEastAsia" w:cstheme="majorEastAsia"/>
          <w:color w:val="auto"/>
          <w:kern w:val="0"/>
          <w:sz w:val="24"/>
          <w:szCs w:val="24"/>
          <w:highlight w:val="none"/>
        </w:rPr>
        <w:t>定</w:t>
      </w:r>
      <w:r>
        <w:rPr>
          <w:rFonts w:hint="eastAsia" w:asciiTheme="majorEastAsia" w:hAnsiTheme="majorEastAsia" w:eastAsiaTheme="majorEastAsia" w:cstheme="majorEastAsia"/>
          <w:color w:val="auto"/>
          <w:spacing w:val="-2"/>
          <w:kern w:val="0"/>
          <w:sz w:val="24"/>
          <w:szCs w:val="24"/>
          <w:highlight w:val="none"/>
        </w:rPr>
        <w:t>外</w:t>
      </w:r>
      <w:r>
        <w:rPr>
          <w:rFonts w:hint="eastAsia" w:asciiTheme="majorEastAsia" w:hAnsiTheme="majorEastAsia" w:eastAsiaTheme="majorEastAsia" w:cstheme="majorEastAsia"/>
          <w:color w:val="auto"/>
          <w:kern w:val="0"/>
          <w:sz w:val="24"/>
          <w:szCs w:val="24"/>
          <w:highlight w:val="none"/>
        </w:rPr>
        <w:t>供应商所</w:t>
      </w:r>
      <w:r>
        <w:rPr>
          <w:rFonts w:hint="eastAsia" w:asciiTheme="majorEastAsia" w:hAnsiTheme="majorEastAsia" w:eastAsiaTheme="majorEastAsia" w:cstheme="majorEastAsia"/>
          <w:color w:val="auto"/>
          <w:spacing w:val="-2"/>
          <w:kern w:val="0"/>
          <w:sz w:val="24"/>
          <w:szCs w:val="24"/>
          <w:highlight w:val="none"/>
        </w:rPr>
        <w:t>递</w:t>
      </w:r>
      <w:r>
        <w:rPr>
          <w:rFonts w:hint="eastAsia" w:asciiTheme="majorEastAsia" w:hAnsiTheme="majorEastAsia" w:eastAsiaTheme="majorEastAsia" w:cstheme="majorEastAsia"/>
          <w:color w:val="auto"/>
          <w:kern w:val="0"/>
          <w:sz w:val="24"/>
          <w:szCs w:val="24"/>
          <w:highlight w:val="none"/>
        </w:rPr>
        <w:t>交的</w:t>
      </w:r>
      <w:r>
        <w:rPr>
          <w:rFonts w:hint="eastAsia" w:asciiTheme="majorEastAsia" w:hAnsiTheme="majorEastAsia" w:eastAsiaTheme="majorEastAsia" w:cstheme="majorEastAsia"/>
          <w:color w:val="auto"/>
          <w:spacing w:val="-2"/>
          <w:kern w:val="0"/>
          <w:sz w:val="24"/>
          <w:szCs w:val="24"/>
          <w:highlight w:val="none"/>
        </w:rPr>
        <w:t>响应文</w:t>
      </w:r>
      <w:r>
        <w:rPr>
          <w:rFonts w:hint="eastAsia" w:asciiTheme="majorEastAsia" w:hAnsiTheme="majorEastAsia" w:eastAsiaTheme="majorEastAsia" w:cstheme="majorEastAsia"/>
          <w:color w:val="auto"/>
          <w:kern w:val="0"/>
          <w:sz w:val="24"/>
          <w:szCs w:val="24"/>
          <w:highlight w:val="none"/>
        </w:rPr>
        <w:t>件</w:t>
      </w:r>
      <w:r>
        <w:rPr>
          <w:rFonts w:hint="eastAsia" w:asciiTheme="majorEastAsia" w:hAnsiTheme="majorEastAsia" w:eastAsiaTheme="majorEastAsia" w:cstheme="majorEastAsia"/>
          <w:color w:val="auto"/>
          <w:spacing w:val="-2"/>
          <w:kern w:val="0"/>
          <w:sz w:val="24"/>
          <w:szCs w:val="24"/>
          <w:highlight w:val="none"/>
        </w:rPr>
        <w:t>不</w:t>
      </w:r>
      <w:r>
        <w:rPr>
          <w:rFonts w:hint="eastAsia" w:asciiTheme="majorEastAsia" w:hAnsiTheme="majorEastAsia" w:eastAsiaTheme="majorEastAsia" w:cstheme="majorEastAsia"/>
          <w:color w:val="auto"/>
          <w:kern w:val="0"/>
          <w:sz w:val="24"/>
          <w:szCs w:val="24"/>
          <w:highlight w:val="none"/>
        </w:rPr>
        <w:t>予</w:t>
      </w:r>
      <w:r>
        <w:rPr>
          <w:rFonts w:hint="eastAsia" w:asciiTheme="majorEastAsia" w:hAnsiTheme="majorEastAsia" w:eastAsiaTheme="majorEastAsia" w:cstheme="majorEastAsia"/>
          <w:color w:val="auto"/>
          <w:spacing w:val="-2"/>
          <w:kern w:val="0"/>
          <w:sz w:val="24"/>
          <w:szCs w:val="24"/>
          <w:highlight w:val="none"/>
        </w:rPr>
        <w:t>退</w:t>
      </w:r>
      <w:r>
        <w:rPr>
          <w:rFonts w:hint="eastAsia" w:asciiTheme="majorEastAsia" w:hAnsiTheme="majorEastAsia" w:eastAsiaTheme="majorEastAsia" w:cstheme="majorEastAsia"/>
          <w:color w:val="auto"/>
          <w:kern w:val="0"/>
          <w:sz w:val="24"/>
          <w:szCs w:val="24"/>
          <w:highlight w:val="none"/>
        </w:rPr>
        <w:t>还。</w:t>
      </w:r>
    </w:p>
    <w:p w14:paraId="60AFCF44">
      <w:pPr>
        <w:pageBreakBefore w:val="0"/>
        <w:widowControl w:val="0"/>
        <w:kinsoku/>
        <w:overflowPunct/>
        <w:autoSpaceDE w:val="0"/>
        <w:autoSpaceDN w:val="0"/>
        <w:bidi w:val="0"/>
        <w:adjustRightInd w:val="0"/>
        <w:spacing w:line="500" w:lineRule="exact"/>
        <w:ind w:right="4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 xml:space="preserve">4.2.4 </w:t>
      </w:r>
      <w:r>
        <w:rPr>
          <w:rFonts w:hint="eastAsia" w:asciiTheme="majorEastAsia" w:hAnsiTheme="majorEastAsia" w:eastAsiaTheme="majorEastAsia" w:cstheme="majorEastAsia"/>
          <w:color w:val="auto"/>
          <w:kern w:val="0"/>
          <w:sz w:val="24"/>
          <w:szCs w:val="24"/>
          <w:highlight w:val="none"/>
        </w:rPr>
        <w:t>供应商</w:t>
      </w:r>
      <w:r>
        <w:rPr>
          <w:rFonts w:hint="eastAsia" w:asciiTheme="majorEastAsia" w:hAnsiTheme="majorEastAsia" w:eastAsiaTheme="majorEastAsia" w:cstheme="majorEastAsia"/>
          <w:color w:val="auto"/>
          <w:spacing w:val="-2"/>
          <w:kern w:val="0"/>
          <w:sz w:val="24"/>
          <w:szCs w:val="24"/>
          <w:highlight w:val="none"/>
        </w:rPr>
        <w:t>完</w:t>
      </w:r>
      <w:r>
        <w:rPr>
          <w:rFonts w:hint="eastAsia" w:asciiTheme="majorEastAsia" w:hAnsiTheme="majorEastAsia" w:eastAsiaTheme="majorEastAsia" w:cstheme="majorEastAsia"/>
          <w:color w:val="auto"/>
          <w:kern w:val="0"/>
          <w:sz w:val="24"/>
          <w:szCs w:val="24"/>
          <w:highlight w:val="none"/>
        </w:rPr>
        <w:t>成</w:t>
      </w:r>
      <w:r>
        <w:rPr>
          <w:rFonts w:hint="eastAsia" w:asciiTheme="majorEastAsia" w:hAnsiTheme="majorEastAsia" w:eastAsiaTheme="majorEastAsia" w:cstheme="majorEastAsia"/>
          <w:color w:val="auto"/>
          <w:spacing w:val="-2"/>
          <w:kern w:val="0"/>
          <w:sz w:val="24"/>
          <w:szCs w:val="24"/>
          <w:highlight w:val="none"/>
        </w:rPr>
        <w:t>电</w:t>
      </w:r>
      <w:r>
        <w:rPr>
          <w:rFonts w:hint="eastAsia" w:asciiTheme="majorEastAsia" w:hAnsiTheme="majorEastAsia" w:eastAsiaTheme="majorEastAsia" w:cstheme="majorEastAsia"/>
          <w:color w:val="auto"/>
          <w:kern w:val="0"/>
          <w:sz w:val="24"/>
          <w:szCs w:val="24"/>
          <w:highlight w:val="none"/>
        </w:rPr>
        <w:t>子响应文</w:t>
      </w:r>
      <w:r>
        <w:rPr>
          <w:rFonts w:hint="eastAsia" w:asciiTheme="majorEastAsia" w:hAnsiTheme="majorEastAsia" w:eastAsiaTheme="majorEastAsia" w:cstheme="majorEastAsia"/>
          <w:color w:val="auto"/>
          <w:spacing w:val="-2"/>
          <w:kern w:val="0"/>
          <w:sz w:val="24"/>
          <w:szCs w:val="24"/>
          <w:highlight w:val="none"/>
        </w:rPr>
        <w:t>件</w:t>
      </w:r>
      <w:r>
        <w:rPr>
          <w:rFonts w:hint="eastAsia" w:asciiTheme="majorEastAsia" w:hAnsiTheme="majorEastAsia" w:eastAsiaTheme="majorEastAsia" w:cstheme="majorEastAsia"/>
          <w:color w:val="auto"/>
          <w:kern w:val="0"/>
          <w:sz w:val="24"/>
          <w:szCs w:val="24"/>
          <w:highlight w:val="none"/>
        </w:rPr>
        <w:t>上</w:t>
      </w:r>
      <w:r>
        <w:rPr>
          <w:rFonts w:hint="eastAsia" w:asciiTheme="majorEastAsia" w:hAnsiTheme="majorEastAsia" w:eastAsiaTheme="majorEastAsia" w:cstheme="majorEastAsia"/>
          <w:color w:val="auto"/>
          <w:spacing w:val="-2"/>
          <w:kern w:val="0"/>
          <w:sz w:val="24"/>
          <w:szCs w:val="24"/>
          <w:highlight w:val="none"/>
        </w:rPr>
        <w:t>传</w:t>
      </w:r>
      <w:r>
        <w:rPr>
          <w:rFonts w:hint="eastAsia" w:asciiTheme="majorEastAsia" w:hAnsiTheme="majorEastAsia" w:eastAsiaTheme="majorEastAsia" w:cstheme="majorEastAsia"/>
          <w:color w:val="auto"/>
          <w:kern w:val="0"/>
          <w:sz w:val="24"/>
          <w:szCs w:val="24"/>
          <w:highlight w:val="none"/>
        </w:rPr>
        <w:t>后</w:t>
      </w:r>
      <w:r>
        <w:rPr>
          <w:rFonts w:hint="eastAsia" w:asciiTheme="majorEastAsia" w:hAnsiTheme="majorEastAsia" w:eastAsiaTheme="majorEastAsia" w:cstheme="majorEastAsia"/>
          <w:color w:val="auto"/>
          <w:spacing w:val="-5"/>
          <w:kern w:val="0"/>
          <w:sz w:val="24"/>
          <w:szCs w:val="24"/>
          <w:highlight w:val="none"/>
        </w:rPr>
        <w:t>，</w:t>
      </w:r>
      <w:r>
        <w:rPr>
          <w:rFonts w:hint="eastAsia" w:asciiTheme="majorEastAsia" w:hAnsiTheme="majorEastAsia" w:eastAsiaTheme="majorEastAsia" w:cstheme="majorEastAsia"/>
          <w:color w:val="auto"/>
          <w:kern w:val="0"/>
          <w:sz w:val="24"/>
          <w:szCs w:val="24"/>
          <w:highlight w:val="none"/>
        </w:rPr>
        <w:t>电</w:t>
      </w:r>
      <w:r>
        <w:rPr>
          <w:rFonts w:hint="eastAsia" w:asciiTheme="majorEastAsia" w:hAnsiTheme="majorEastAsia" w:eastAsiaTheme="majorEastAsia" w:cstheme="majorEastAsia"/>
          <w:color w:val="auto"/>
          <w:spacing w:val="-2"/>
          <w:kern w:val="0"/>
          <w:sz w:val="24"/>
          <w:szCs w:val="24"/>
          <w:highlight w:val="none"/>
        </w:rPr>
        <w:t>子</w:t>
      </w:r>
      <w:r>
        <w:rPr>
          <w:rFonts w:hint="eastAsia" w:asciiTheme="majorEastAsia" w:hAnsiTheme="majorEastAsia" w:eastAsiaTheme="majorEastAsia" w:cstheme="majorEastAsia"/>
          <w:color w:val="auto"/>
          <w:kern w:val="0"/>
          <w:sz w:val="24"/>
          <w:szCs w:val="24"/>
          <w:highlight w:val="none"/>
        </w:rPr>
        <w:t>招标</w:t>
      </w:r>
      <w:r>
        <w:rPr>
          <w:rFonts w:hint="eastAsia" w:asciiTheme="majorEastAsia" w:hAnsiTheme="majorEastAsia" w:eastAsiaTheme="majorEastAsia" w:cstheme="majorEastAsia"/>
          <w:color w:val="auto"/>
          <w:spacing w:val="-2"/>
          <w:kern w:val="0"/>
          <w:sz w:val="24"/>
          <w:szCs w:val="24"/>
          <w:highlight w:val="none"/>
        </w:rPr>
        <w:t>投</w:t>
      </w:r>
      <w:r>
        <w:rPr>
          <w:rFonts w:hint="eastAsia" w:asciiTheme="majorEastAsia" w:hAnsiTheme="majorEastAsia" w:eastAsiaTheme="majorEastAsia" w:cstheme="majorEastAsia"/>
          <w:color w:val="auto"/>
          <w:kern w:val="0"/>
          <w:sz w:val="24"/>
          <w:szCs w:val="24"/>
          <w:highlight w:val="none"/>
        </w:rPr>
        <w:t>标</w:t>
      </w:r>
      <w:r>
        <w:rPr>
          <w:rFonts w:hint="eastAsia" w:asciiTheme="majorEastAsia" w:hAnsiTheme="majorEastAsia" w:eastAsiaTheme="majorEastAsia" w:cstheme="majorEastAsia"/>
          <w:color w:val="auto"/>
          <w:spacing w:val="-2"/>
          <w:kern w:val="0"/>
          <w:sz w:val="24"/>
          <w:szCs w:val="24"/>
          <w:highlight w:val="none"/>
        </w:rPr>
        <w:t>交</w:t>
      </w:r>
      <w:r>
        <w:rPr>
          <w:rFonts w:hint="eastAsia" w:asciiTheme="majorEastAsia" w:hAnsiTheme="majorEastAsia" w:eastAsiaTheme="majorEastAsia" w:cstheme="majorEastAsia"/>
          <w:color w:val="auto"/>
          <w:kern w:val="0"/>
          <w:sz w:val="24"/>
          <w:szCs w:val="24"/>
          <w:highlight w:val="none"/>
        </w:rPr>
        <w:t>易</w:t>
      </w:r>
      <w:r>
        <w:rPr>
          <w:rFonts w:hint="eastAsia" w:asciiTheme="majorEastAsia" w:hAnsiTheme="majorEastAsia" w:eastAsiaTheme="majorEastAsia" w:cstheme="majorEastAsia"/>
          <w:color w:val="auto"/>
          <w:spacing w:val="-2"/>
          <w:kern w:val="0"/>
          <w:sz w:val="24"/>
          <w:szCs w:val="24"/>
          <w:highlight w:val="none"/>
        </w:rPr>
        <w:t>平</w:t>
      </w:r>
      <w:r>
        <w:rPr>
          <w:rFonts w:hint="eastAsia" w:asciiTheme="majorEastAsia" w:hAnsiTheme="majorEastAsia" w:eastAsiaTheme="majorEastAsia" w:cstheme="majorEastAsia"/>
          <w:color w:val="auto"/>
          <w:kern w:val="0"/>
          <w:sz w:val="24"/>
          <w:szCs w:val="24"/>
          <w:highlight w:val="none"/>
        </w:rPr>
        <w:t>台</w:t>
      </w:r>
      <w:r>
        <w:rPr>
          <w:rFonts w:hint="eastAsia" w:asciiTheme="majorEastAsia" w:hAnsiTheme="majorEastAsia" w:eastAsiaTheme="majorEastAsia" w:cstheme="majorEastAsia"/>
          <w:color w:val="auto"/>
          <w:spacing w:val="-2"/>
          <w:kern w:val="0"/>
          <w:sz w:val="24"/>
          <w:szCs w:val="24"/>
          <w:highlight w:val="none"/>
        </w:rPr>
        <w:t>即</w:t>
      </w:r>
      <w:r>
        <w:rPr>
          <w:rFonts w:hint="eastAsia" w:asciiTheme="majorEastAsia" w:hAnsiTheme="majorEastAsia" w:eastAsiaTheme="majorEastAsia" w:cstheme="majorEastAsia"/>
          <w:color w:val="auto"/>
          <w:kern w:val="0"/>
          <w:sz w:val="24"/>
          <w:szCs w:val="24"/>
          <w:highlight w:val="none"/>
        </w:rPr>
        <w:t>时</w:t>
      </w:r>
      <w:r>
        <w:rPr>
          <w:rFonts w:hint="eastAsia" w:asciiTheme="majorEastAsia" w:hAnsiTheme="majorEastAsia" w:eastAsiaTheme="majorEastAsia" w:cstheme="majorEastAsia"/>
          <w:color w:val="auto"/>
          <w:spacing w:val="-2"/>
          <w:kern w:val="0"/>
          <w:sz w:val="24"/>
          <w:szCs w:val="24"/>
          <w:highlight w:val="none"/>
        </w:rPr>
        <w:t>向</w:t>
      </w:r>
      <w:r>
        <w:rPr>
          <w:rFonts w:hint="eastAsia" w:asciiTheme="majorEastAsia" w:hAnsiTheme="majorEastAsia" w:eastAsiaTheme="majorEastAsia" w:cstheme="majorEastAsia"/>
          <w:color w:val="auto"/>
          <w:kern w:val="0"/>
          <w:sz w:val="24"/>
          <w:szCs w:val="24"/>
          <w:highlight w:val="none"/>
        </w:rPr>
        <w:t>供应商发</w:t>
      </w:r>
      <w:r>
        <w:rPr>
          <w:rFonts w:hint="eastAsia" w:asciiTheme="majorEastAsia" w:hAnsiTheme="majorEastAsia" w:eastAsiaTheme="majorEastAsia" w:cstheme="majorEastAsia"/>
          <w:color w:val="auto"/>
          <w:spacing w:val="-2"/>
          <w:kern w:val="0"/>
          <w:sz w:val="24"/>
          <w:szCs w:val="24"/>
          <w:highlight w:val="none"/>
        </w:rPr>
        <w:t>出</w:t>
      </w:r>
      <w:r>
        <w:rPr>
          <w:rFonts w:hint="eastAsia" w:asciiTheme="majorEastAsia" w:hAnsiTheme="majorEastAsia" w:eastAsiaTheme="majorEastAsia" w:cstheme="majorEastAsia"/>
          <w:color w:val="auto"/>
          <w:kern w:val="0"/>
          <w:sz w:val="24"/>
          <w:szCs w:val="24"/>
          <w:highlight w:val="none"/>
        </w:rPr>
        <w:t>递交回</w:t>
      </w:r>
      <w:r>
        <w:rPr>
          <w:rFonts w:hint="eastAsia" w:asciiTheme="majorEastAsia" w:hAnsiTheme="majorEastAsia" w:eastAsiaTheme="majorEastAsia" w:cstheme="majorEastAsia"/>
          <w:color w:val="auto"/>
          <w:spacing w:val="-2"/>
          <w:kern w:val="0"/>
          <w:sz w:val="24"/>
          <w:szCs w:val="24"/>
          <w:highlight w:val="none"/>
        </w:rPr>
        <w:t>执</w:t>
      </w:r>
      <w:r>
        <w:rPr>
          <w:rFonts w:hint="eastAsia" w:asciiTheme="majorEastAsia" w:hAnsiTheme="majorEastAsia" w:eastAsiaTheme="majorEastAsia" w:cstheme="majorEastAsia"/>
          <w:color w:val="auto"/>
          <w:kern w:val="0"/>
          <w:sz w:val="24"/>
          <w:szCs w:val="24"/>
          <w:highlight w:val="none"/>
        </w:rPr>
        <w:t>通</w:t>
      </w:r>
      <w:r>
        <w:rPr>
          <w:rFonts w:hint="eastAsia" w:asciiTheme="majorEastAsia" w:hAnsiTheme="majorEastAsia" w:eastAsiaTheme="majorEastAsia" w:cstheme="majorEastAsia"/>
          <w:color w:val="auto"/>
          <w:spacing w:val="-3"/>
          <w:kern w:val="0"/>
          <w:sz w:val="24"/>
          <w:szCs w:val="24"/>
          <w:highlight w:val="none"/>
        </w:rPr>
        <w:t>知</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spacing w:val="-2"/>
          <w:kern w:val="0"/>
          <w:sz w:val="24"/>
          <w:szCs w:val="24"/>
          <w:highlight w:val="none"/>
        </w:rPr>
        <w:t>递</w:t>
      </w:r>
      <w:r>
        <w:rPr>
          <w:rFonts w:hint="eastAsia" w:asciiTheme="majorEastAsia" w:hAnsiTheme="majorEastAsia" w:eastAsiaTheme="majorEastAsia" w:cstheme="majorEastAsia"/>
          <w:color w:val="auto"/>
          <w:kern w:val="0"/>
          <w:sz w:val="24"/>
          <w:szCs w:val="24"/>
          <w:highlight w:val="none"/>
        </w:rPr>
        <w:t>交</w:t>
      </w:r>
      <w:r>
        <w:rPr>
          <w:rFonts w:hint="eastAsia" w:asciiTheme="majorEastAsia" w:hAnsiTheme="majorEastAsia" w:eastAsiaTheme="majorEastAsia" w:cstheme="majorEastAsia"/>
          <w:color w:val="auto"/>
          <w:spacing w:val="-2"/>
          <w:kern w:val="0"/>
          <w:sz w:val="24"/>
          <w:szCs w:val="24"/>
          <w:highlight w:val="none"/>
        </w:rPr>
        <w:t>时</w:t>
      </w:r>
      <w:r>
        <w:rPr>
          <w:rFonts w:hint="eastAsia" w:asciiTheme="majorEastAsia" w:hAnsiTheme="majorEastAsia" w:eastAsiaTheme="majorEastAsia" w:cstheme="majorEastAsia"/>
          <w:color w:val="auto"/>
          <w:kern w:val="0"/>
          <w:sz w:val="24"/>
          <w:szCs w:val="24"/>
          <w:highlight w:val="none"/>
        </w:rPr>
        <w:t>间</w:t>
      </w:r>
      <w:r>
        <w:rPr>
          <w:rFonts w:hint="eastAsia" w:asciiTheme="majorEastAsia" w:hAnsiTheme="majorEastAsia" w:eastAsiaTheme="majorEastAsia" w:cstheme="majorEastAsia"/>
          <w:color w:val="auto"/>
          <w:spacing w:val="-2"/>
          <w:kern w:val="0"/>
          <w:sz w:val="24"/>
          <w:szCs w:val="24"/>
          <w:highlight w:val="none"/>
        </w:rPr>
        <w:t>以</w:t>
      </w:r>
      <w:r>
        <w:rPr>
          <w:rFonts w:hint="eastAsia" w:asciiTheme="majorEastAsia" w:hAnsiTheme="majorEastAsia" w:eastAsiaTheme="majorEastAsia" w:cstheme="majorEastAsia"/>
          <w:color w:val="auto"/>
          <w:kern w:val="0"/>
          <w:sz w:val="24"/>
          <w:szCs w:val="24"/>
          <w:highlight w:val="none"/>
        </w:rPr>
        <w:t>递交</w:t>
      </w:r>
      <w:r>
        <w:rPr>
          <w:rFonts w:hint="eastAsia" w:asciiTheme="majorEastAsia" w:hAnsiTheme="majorEastAsia" w:eastAsiaTheme="majorEastAsia" w:cstheme="majorEastAsia"/>
          <w:color w:val="auto"/>
          <w:spacing w:val="-2"/>
          <w:kern w:val="0"/>
          <w:sz w:val="24"/>
          <w:szCs w:val="24"/>
          <w:highlight w:val="none"/>
        </w:rPr>
        <w:t>回</w:t>
      </w:r>
      <w:r>
        <w:rPr>
          <w:rFonts w:hint="eastAsia" w:asciiTheme="majorEastAsia" w:hAnsiTheme="majorEastAsia" w:eastAsiaTheme="majorEastAsia" w:cstheme="majorEastAsia"/>
          <w:color w:val="auto"/>
          <w:kern w:val="0"/>
          <w:sz w:val="24"/>
          <w:szCs w:val="24"/>
          <w:highlight w:val="none"/>
        </w:rPr>
        <w:t>执</w:t>
      </w:r>
      <w:r>
        <w:rPr>
          <w:rFonts w:hint="eastAsia" w:asciiTheme="majorEastAsia" w:hAnsiTheme="majorEastAsia" w:eastAsiaTheme="majorEastAsia" w:cstheme="majorEastAsia"/>
          <w:color w:val="auto"/>
          <w:spacing w:val="-2"/>
          <w:kern w:val="0"/>
          <w:sz w:val="24"/>
          <w:szCs w:val="24"/>
          <w:highlight w:val="none"/>
        </w:rPr>
        <w:t>通</w:t>
      </w:r>
      <w:r>
        <w:rPr>
          <w:rFonts w:hint="eastAsia" w:asciiTheme="majorEastAsia" w:hAnsiTheme="majorEastAsia" w:eastAsiaTheme="majorEastAsia" w:cstheme="majorEastAsia"/>
          <w:color w:val="auto"/>
          <w:kern w:val="0"/>
          <w:sz w:val="24"/>
          <w:szCs w:val="24"/>
          <w:highlight w:val="none"/>
        </w:rPr>
        <w:t>知</w:t>
      </w:r>
      <w:r>
        <w:rPr>
          <w:rFonts w:hint="eastAsia" w:asciiTheme="majorEastAsia" w:hAnsiTheme="majorEastAsia" w:eastAsiaTheme="majorEastAsia" w:cstheme="majorEastAsia"/>
          <w:color w:val="auto"/>
          <w:spacing w:val="-2"/>
          <w:kern w:val="0"/>
          <w:sz w:val="24"/>
          <w:szCs w:val="24"/>
          <w:highlight w:val="none"/>
        </w:rPr>
        <w:t>载</w:t>
      </w:r>
      <w:r>
        <w:rPr>
          <w:rFonts w:hint="eastAsia" w:asciiTheme="majorEastAsia" w:hAnsiTheme="majorEastAsia" w:eastAsiaTheme="majorEastAsia" w:cstheme="majorEastAsia"/>
          <w:color w:val="auto"/>
          <w:kern w:val="0"/>
          <w:sz w:val="24"/>
          <w:szCs w:val="24"/>
          <w:highlight w:val="none"/>
        </w:rPr>
        <w:t>明</w:t>
      </w:r>
      <w:r>
        <w:rPr>
          <w:rFonts w:hint="eastAsia" w:asciiTheme="majorEastAsia" w:hAnsiTheme="majorEastAsia" w:eastAsiaTheme="majorEastAsia" w:cstheme="majorEastAsia"/>
          <w:color w:val="auto"/>
          <w:spacing w:val="-2"/>
          <w:kern w:val="0"/>
          <w:sz w:val="24"/>
          <w:szCs w:val="24"/>
          <w:highlight w:val="none"/>
        </w:rPr>
        <w:t>的</w:t>
      </w:r>
      <w:r>
        <w:rPr>
          <w:rFonts w:hint="eastAsia" w:asciiTheme="majorEastAsia" w:hAnsiTheme="majorEastAsia" w:eastAsiaTheme="majorEastAsia" w:cstheme="majorEastAsia"/>
          <w:color w:val="auto"/>
          <w:kern w:val="0"/>
          <w:sz w:val="24"/>
          <w:szCs w:val="24"/>
          <w:highlight w:val="none"/>
        </w:rPr>
        <w:t>传</w:t>
      </w:r>
      <w:r>
        <w:rPr>
          <w:rFonts w:hint="eastAsia" w:asciiTheme="majorEastAsia" w:hAnsiTheme="majorEastAsia" w:eastAsiaTheme="majorEastAsia" w:cstheme="majorEastAsia"/>
          <w:color w:val="auto"/>
          <w:spacing w:val="-2"/>
          <w:kern w:val="0"/>
          <w:sz w:val="24"/>
          <w:szCs w:val="24"/>
          <w:highlight w:val="none"/>
        </w:rPr>
        <w:t>输</w:t>
      </w:r>
      <w:r>
        <w:rPr>
          <w:rFonts w:hint="eastAsia" w:asciiTheme="majorEastAsia" w:hAnsiTheme="majorEastAsia" w:eastAsiaTheme="majorEastAsia" w:cstheme="majorEastAsia"/>
          <w:color w:val="auto"/>
          <w:kern w:val="0"/>
          <w:sz w:val="24"/>
          <w:szCs w:val="24"/>
          <w:highlight w:val="none"/>
        </w:rPr>
        <w:t>完成</w:t>
      </w:r>
      <w:r>
        <w:rPr>
          <w:rFonts w:hint="eastAsia" w:asciiTheme="majorEastAsia" w:hAnsiTheme="majorEastAsia" w:eastAsiaTheme="majorEastAsia" w:cstheme="majorEastAsia"/>
          <w:color w:val="auto"/>
          <w:spacing w:val="-2"/>
          <w:kern w:val="0"/>
          <w:sz w:val="24"/>
          <w:szCs w:val="24"/>
          <w:highlight w:val="none"/>
        </w:rPr>
        <w:t>时</w:t>
      </w:r>
      <w:r>
        <w:rPr>
          <w:rFonts w:hint="eastAsia" w:asciiTheme="majorEastAsia" w:hAnsiTheme="majorEastAsia" w:eastAsiaTheme="majorEastAsia" w:cstheme="majorEastAsia"/>
          <w:color w:val="auto"/>
          <w:kern w:val="0"/>
          <w:sz w:val="24"/>
          <w:szCs w:val="24"/>
          <w:highlight w:val="none"/>
        </w:rPr>
        <w:t>间</w:t>
      </w:r>
      <w:r>
        <w:rPr>
          <w:rFonts w:hint="eastAsia" w:asciiTheme="majorEastAsia" w:hAnsiTheme="majorEastAsia" w:eastAsiaTheme="majorEastAsia" w:cstheme="majorEastAsia"/>
          <w:color w:val="auto"/>
          <w:spacing w:val="-2"/>
          <w:kern w:val="0"/>
          <w:sz w:val="24"/>
          <w:szCs w:val="24"/>
          <w:highlight w:val="none"/>
        </w:rPr>
        <w:t>为</w:t>
      </w:r>
      <w:r>
        <w:rPr>
          <w:rFonts w:hint="eastAsia" w:asciiTheme="majorEastAsia" w:hAnsiTheme="majorEastAsia" w:eastAsiaTheme="majorEastAsia" w:cstheme="majorEastAsia"/>
          <w:color w:val="auto"/>
          <w:kern w:val="0"/>
          <w:sz w:val="24"/>
          <w:szCs w:val="24"/>
          <w:highlight w:val="none"/>
        </w:rPr>
        <w:t>准。</w:t>
      </w:r>
    </w:p>
    <w:p w14:paraId="27C38CD3">
      <w:pPr>
        <w:pageBreakBefore w:val="0"/>
        <w:widowControl w:val="0"/>
        <w:kinsoku/>
        <w:overflowPunct/>
        <w:autoSpaceDE w:val="0"/>
        <w:autoSpaceDN w:val="0"/>
        <w:bidi w:val="0"/>
        <w:adjustRightInd w:val="0"/>
        <w:spacing w:line="500" w:lineRule="exact"/>
        <w:ind w:right="-2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 xml:space="preserve">4.2.5 </w:t>
      </w:r>
      <w:r>
        <w:rPr>
          <w:rFonts w:hint="eastAsia" w:asciiTheme="majorEastAsia" w:hAnsiTheme="majorEastAsia" w:eastAsiaTheme="majorEastAsia" w:cstheme="majorEastAsia"/>
          <w:color w:val="auto"/>
          <w:spacing w:val="-2"/>
          <w:kern w:val="0"/>
          <w:sz w:val="24"/>
          <w:szCs w:val="24"/>
          <w:highlight w:val="none"/>
        </w:rPr>
        <w:t>逾</w:t>
      </w:r>
      <w:r>
        <w:rPr>
          <w:rFonts w:hint="eastAsia" w:asciiTheme="majorEastAsia" w:hAnsiTheme="majorEastAsia" w:eastAsiaTheme="majorEastAsia" w:cstheme="majorEastAsia"/>
          <w:color w:val="auto"/>
          <w:kern w:val="0"/>
          <w:sz w:val="24"/>
          <w:szCs w:val="24"/>
          <w:highlight w:val="none"/>
        </w:rPr>
        <w:t>期</w:t>
      </w:r>
      <w:r>
        <w:rPr>
          <w:rFonts w:hint="eastAsia" w:asciiTheme="majorEastAsia" w:hAnsiTheme="majorEastAsia" w:eastAsiaTheme="majorEastAsia" w:cstheme="majorEastAsia"/>
          <w:color w:val="auto"/>
          <w:spacing w:val="-2"/>
          <w:kern w:val="0"/>
          <w:sz w:val="24"/>
          <w:szCs w:val="24"/>
          <w:highlight w:val="none"/>
        </w:rPr>
        <w:t>送</w:t>
      </w:r>
      <w:r>
        <w:rPr>
          <w:rFonts w:hint="eastAsia" w:asciiTheme="majorEastAsia" w:hAnsiTheme="majorEastAsia" w:eastAsiaTheme="majorEastAsia" w:cstheme="majorEastAsia"/>
          <w:color w:val="auto"/>
          <w:kern w:val="0"/>
          <w:sz w:val="24"/>
          <w:szCs w:val="24"/>
          <w:highlight w:val="none"/>
        </w:rPr>
        <w:t>达</w:t>
      </w:r>
      <w:r>
        <w:rPr>
          <w:rFonts w:hint="eastAsia" w:asciiTheme="majorEastAsia" w:hAnsiTheme="majorEastAsia" w:eastAsiaTheme="majorEastAsia" w:cstheme="majorEastAsia"/>
          <w:color w:val="auto"/>
          <w:spacing w:val="-2"/>
          <w:kern w:val="0"/>
          <w:sz w:val="24"/>
          <w:szCs w:val="24"/>
          <w:highlight w:val="none"/>
        </w:rPr>
        <w:t>的响应</w:t>
      </w:r>
      <w:r>
        <w:rPr>
          <w:rFonts w:hint="eastAsia" w:asciiTheme="majorEastAsia" w:hAnsiTheme="majorEastAsia" w:eastAsiaTheme="majorEastAsia" w:cstheme="majorEastAsia"/>
          <w:color w:val="auto"/>
          <w:kern w:val="0"/>
          <w:sz w:val="24"/>
          <w:szCs w:val="24"/>
          <w:highlight w:val="none"/>
        </w:rPr>
        <w:t>文</w:t>
      </w:r>
      <w:r>
        <w:rPr>
          <w:rFonts w:hint="eastAsia" w:asciiTheme="majorEastAsia" w:hAnsiTheme="majorEastAsia" w:eastAsiaTheme="majorEastAsia" w:cstheme="majorEastAsia"/>
          <w:color w:val="auto"/>
          <w:spacing w:val="-2"/>
          <w:kern w:val="0"/>
          <w:sz w:val="24"/>
          <w:szCs w:val="24"/>
          <w:highlight w:val="none"/>
        </w:rPr>
        <w:t>件</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spacing w:val="-2"/>
          <w:kern w:val="0"/>
          <w:sz w:val="24"/>
          <w:szCs w:val="24"/>
          <w:highlight w:val="none"/>
        </w:rPr>
        <w:t>电</w:t>
      </w:r>
      <w:r>
        <w:rPr>
          <w:rFonts w:hint="eastAsia" w:asciiTheme="majorEastAsia" w:hAnsiTheme="majorEastAsia" w:eastAsiaTheme="majorEastAsia" w:cstheme="majorEastAsia"/>
          <w:color w:val="auto"/>
          <w:kern w:val="0"/>
          <w:sz w:val="24"/>
          <w:szCs w:val="24"/>
          <w:highlight w:val="none"/>
        </w:rPr>
        <w:t>子</w:t>
      </w:r>
      <w:r>
        <w:rPr>
          <w:rFonts w:hint="eastAsia" w:asciiTheme="majorEastAsia" w:hAnsiTheme="majorEastAsia" w:eastAsiaTheme="majorEastAsia" w:cstheme="majorEastAsia"/>
          <w:color w:val="auto"/>
          <w:spacing w:val="-2"/>
          <w:kern w:val="0"/>
          <w:sz w:val="24"/>
          <w:szCs w:val="24"/>
          <w:highlight w:val="none"/>
        </w:rPr>
        <w:t>招</w:t>
      </w:r>
      <w:r>
        <w:rPr>
          <w:rFonts w:hint="eastAsia" w:asciiTheme="majorEastAsia" w:hAnsiTheme="majorEastAsia" w:eastAsiaTheme="majorEastAsia" w:cstheme="majorEastAsia"/>
          <w:color w:val="auto"/>
          <w:kern w:val="0"/>
          <w:sz w:val="24"/>
          <w:szCs w:val="24"/>
          <w:highlight w:val="none"/>
        </w:rPr>
        <w:t>标</w:t>
      </w:r>
      <w:r>
        <w:rPr>
          <w:rFonts w:hint="eastAsia" w:asciiTheme="majorEastAsia" w:hAnsiTheme="majorEastAsia" w:eastAsiaTheme="majorEastAsia" w:cstheme="majorEastAsia"/>
          <w:color w:val="auto"/>
          <w:spacing w:val="-2"/>
          <w:kern w:val="0"/>
          <w:sz w:val="24"/>
          <w:szCs w:val="24"/>
          <w:highlight w:val="none"/>
        </w:rPr>
        <w:t>投</w:t>
      </w:r>
      <w:r>
        <w:rPr>
          <w:rFonts w:hint="eastAsia" w:asciiTheme="majorEastAsia" w:hAnsiTheme="majorEastAsia" w:eastAsiaTheme="majorEastAsia" w:cstheme="majorEastAsia"/>
          <w:color w:val="auto"/>
          <w:kern w:val="0"/>
          <w:sz w:val="24"/>
          <w:szCs w:val="24"/>
          <w:highlight w:val="none"/>
        </w:rPr>
        <w:t>标</w:t>
      </w:r>
      <w:r>
        <w:rPr>
          <w:rFonts w:hint="eastAsia" w:asciiTheme="majorEastAsia" w:hAnsiTheme="majorEastAsia" w:eastAsiaTheme="majorEastAsia" w:cstheme="majorEastAsia"/>
          <w:color w:val="auto"/>
          <w:spacing w:val="-2"/>
          <w:kern w:val="0"/>
          <w:sz w:val="24"/>
          <w:szCs w:val="24"/>
          <w:highlight w:val="none"/>
        </w:rPr>
        <w:t>交</w:t>
      </w:r>
      <w:r>
        <w:rPr>
          <w:rFonts w:hint="eastAsia" w:asciiTheme="majorEastAsia" w:hAnsiTheme="majorEastAsia" w:eastAsiaTheme="majorEastAsia" w:cstheme="majorEastAsia"/>
          <w:color w:val="auto"/>
          <w:kern w:val="0"/>
          <w:sz w:val="24"/>
          <w:szCs w:val="24"/>
          <w:highlight w:val="none"/>
        </w:rPr>
        <w:t>易平</w:t>
      </w:r>
      <w:r>
        <w:rPr>
          <w:rFonts w:hint="eastAsia" w:asciiTheme="majorEastAsia" w:hAnsiTheme="majorEastAsia" w:eastAsiaTheme="majorEastAsia" w:cstheme="majorEastAsia"/>
          <w:color w:val="auto"/>
          <w:spacing w:val="-2"/>
          <w:kern w:val="0"/>
          <w:sz w:val="24"/>
          <w:szCs w:val="24"/>
          <w:highlight w:val="none"/>
        </w:rPr>
        <w:t>台</w:t>
      </w:r>
      <w:r>
        <w:rPr>
          <w:rFonts w:hint="eastAsia" w:asciiTheme="majorEastAsia" w:hAnsiTheme="majorEastAsia" w:eastAsiaTheme="majorEastAsia" w:cstheme="majorEastAsia"/>
          <w:color w:val="auto"/>
          <w:kern w:val="0"/>
          <w:sz w:val="24"/>
          <w:szCs w:val="24"/>
          <w:highlight w:val="none"/>
        </w:rPr>
        <w:t>将</w:t>
      </w:r>
      <w:r>
        <w:rPr>
          <w:rFonts w:hint="eastAsia" w:asciiTheme="majorEastAsia" w:hAnsiTheme="majorEastAsia" w:eastAsiaTheme="majorEastAsia" w:cstheme="majorEastAsia"/>
          <w:color w:val="auto"/>
          <w:spacing w:val="-2"/>
          <w:kern w:val="0"/>
          <w:sz w:val="24"/>
          <w:szCs w:val="24"/>
          <w:highlight w:val="none"/>
        </w:rPr>
        <w:t>予</w:t>
      </w:r>
      <w:r>
        <w:rPr>
          <w:rFonts w:hint="eastAsia" w:asciiTheme="majorEastAsia" w:hAnsiTheme="majorEastAsia" w:eastAsiaTheme="majorEastAsia" w:cstheme="majorEastAsia"/>
          <w:color w:val="auto"/>
          <w:kern w:val="0"/>
          <w:sz w:val="24"/>
          <w:szCs w:val="24"/>
          <w:highlight w:val="none"/>
        </w:rPr>
        <w:t>以</w:t>
      </w:r>
      <w:r>
        <w:rPr>
          <w:rFonts w:hint="eastAsia" w:asciiTheme="majorEastAsia" w:hAnsiTheme="majorEastAsia" w:eastAsiaTheme="majorEastAsia" w:cstheme="majorEastAsia"/>
          <w:color w:val="auto"/>
          <w:spacing w:val="-2"/>
          <w:kern w:val="0"/>
          <w:sz w:val="24"/>
          <w:szCs w:val="24"/>
          <w:highlight w:val="none"/>
        </w:rPr>
        <w:t>拒</w:t>
      </w:r>
      <w:r>
        <w:rPr>
          <w:rFonts w:hint="eastAsia" w:asciiTheme="majorEastAsia" w:hAnsiTheme="majorEastAsia" w:eastAsiaTheme="majorEastAsia" w:cstheme="majorEastAsia"/>
          <w:color w:val="auto"/>
          <w:kern w:val="0"/>
          <w:sz w:val="24"/>
          <w:szCs w:val="24"/>
          <w:highlight w:val="none"/>
        </w:rPr>
        <w:t>收。</w:t>
      </w:r>
    </w:p>
    <w:p w14:paraId="3372F90C">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259" w:name="_Toc27108"/>
      <w:bookmarkStart w:id="260" w:name="_Toc26556"/>
      <w:bookmarkStart w:id="261" w:name="_Toc462934300"/>
      <w:bookmarkStart w:id="262" w:name="_Toc269470322"/>
      <w:bookmarkStart w:id="263" w:name="_Toc270604827"/>
      <w:bookmarkStart w:id="264" w:name="_Toc454788034"/>
      <w:bookmarkStart w:id="265" w:name="_Toc29096"/>
      <w:bookmarkStart w:id="266" w:name="_Toc455678126"/>
      <w:bookmarkStart w:id="267" w:name="_Toc463011279"/>
      <w:bookmarkStart w:id="268" w:name="_Toc428351654"/>
      <w:bookmarkStart w:id="269" w:name="_Toc428276594"/>
      <w:bookmarkStart w:id="270" w:name="_Toc277149389"/>
      <w:bookmarkStart w:id="271" w:name="_Toc270604600"/>
      <w:r>
        <w:rPr>
          <w:rFonts w:hint="eastAsia" w:asciiTheme="majorEastAsia" w:hAnsiTheme="majorEastAsia" w:eastAsiaTheme="majorEastAsia" w:cstheme="majorEastAsia"/>
          <w:b/>
          <w:color w:val="auto"/>
          <w:sz w:val="24"/>
          <w:szCs w:val="24"/>
          <w:highlight w:val="none"/>
        </w:rPr>
        <w:t>响应文件的补充、修改与撤回</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1BCA4058">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在本章第4.2.1项规定的磋商截止时间前，供应商可以补充、修改或撤回已递交的响应文件，但应以书面形式通知采购人、采购代理机构。</w:t>
      </w:r>
    </w:p>
    <w:p w14:paraId="72933C64">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13FC9AFB">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bCs/>
          <w:color w:val="auto"/>
          <w:sz w:val="24"/>
          <w:szCs w:val="24"/>
          <w:highlight w:val="none"/>
        </w:rPr>
      </w:pPr>
      <w:bookmarkStart w:id="272" w:name="_Toc11623"/>
      <w:bookmarkStart w:id="273" w:name="_Toc21872"/>
      <w:bookmarkStart w:id="274" w:name="_Toc29138"/>
      <w:bookmarkStart w:id="275" w:name="_Toc16995"/>
      <w:bookmarkStart w:id="276" w:name="_Toc27259"/>
      <w:r>
        <w:rPr>
          <w:rFonts w:hint="eastAsia" w:asciiTheme="majorEastAsia" w:hAnsiTheme="majorEastAsia" w:eastAsiaTheme="majorEastAsia" w:cstheme="majorEastAsia"/>
          <w:b/>
          <w:bCs/>
          <w:color w:val="auto"/>
          <w:sz w:val="24"/>
          <w:szCs w:val="24"/>
          <w:highlight w:val="none"/>
        </w:rPr>
        <w:t>磋商、资格审查与评标</w:t>
      </w:r>
      <w:bookmarkEnd w:id="272"/>
      <w:bookmarkEnd w:id="273"/>
      <w:bookmarkEnd w:id="274"/>
      <w:bookmarkEnd w:id="275"/>
      <w:bookmarkEnd w:id="276"/>
    </w:p>
    <w:p w14:paraId="5B803B84">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rPr>
        <w:t>竞争性磋商时间和地点</w:t>
      </w:r>
    </w:p>
    <w:p w14:paraId="15B78F20">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采购人在本章第4.2.1项规定的响应文件递交截止时间（磋商时间）和供应商须知前附表规定的地点进行竞争性磋商。供应商不足3家的，不得开标。开标由采购代理机构主持。</w:t>
      </w:r>
    </w:p>
    <w:p w14:paraId="7928C67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HYPERLINK "http://120.194.249.36:10094/BidOpening/bidopeninghallaction/hall/login）,在线准时参加开标活动并进行响应文件解密等。每位" </w:instrText>
      </w:r>
      <w:r>
        <w:rPr>
          <w:rFonts w:hint="eastAsia" w:asciiTheme="majorEastAsia" w:hAnsiTheme="majorEastAsia" w:eastAsiaTheme="majorEastAsia" w:cstheme="majorEastAsia"/>
          <w:color w:val="auto"/>
          <w:sz w:val="24"/>
          <w:szCs w:val="24"/>
          <w:highlight w:val="none"/>
        </w:rPr>
        <w:fldChar w:fldCharType="separate"/>
      </w:r>
      <w:r>
        <w:rPr>
          <w:rStyle w:val="22"/>
          <w:rFonts w:hint="eastAsia" w:asciiTheme="majorEastAsia" w:hAnsiTheme="majorEastAsia" w:eastAsiaTheme="majorEastAsia" w:cstheme="majorEastAsia"/>
          <w:color w:val="auto"/>
          <w:sz w:val="24"/>
          <w:szCs w:val="24"/>
          <w:highlight w:val="none"/>
        </w:rPr>
        <w:t>http://120.194.249.36:10094/BidOpening/bidopeninghallaction/hall/login）,在线准时参加开标活动并进行响应文件解密等。每位</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sz w:val="24"/>
          <w:szCs w:val="24"/>
          <w:highlight w:val="none"/>
        </w:rPr>
        <w:t>供应商的解密时间为开标时间起30分钟内完成。因供应商原因未能解密、解密失败或解密超时的将被拒绝。</w:t>
      </w:r>
    </w:p>
    <w:p w14:paraId="2C740435">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5.1.2磋商程序：</w:t>
      </w:r>
    </w:p>
    <w:p w14:paraId="3914CCE1">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宣布磋商纪律；</w:t>
      </w:r>
    </w:p>
    <w:p w14:paraId="23D3EDCE">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供应商通过电子招标投标交易服务平台对已递交的电子响应文件进行解密；</w:t>
      </w:r>
    </w:p>
    <w:p w14:paraId="626B172D">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电子唱标（采购人将对磋商过程进行记录，以存档备查）</w:t>
      </w:r>
    </w:p>
    <w:p w14:paraId="5EA9CC90">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磋商结束。</w:t>
      </w:r>
    </w:p>
    <w:p w14:paraId="2DC4CE7D">
      <w:pPr>
        <w:keepNext/>
        <w:keepLines/>
        <w:pageBreakBefore w:val="0"/>
        <w:widowControl w:val="0"/>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277" w:name="_Toc32207"/>
      <w:bookmarkStart w:id="278" w:name="_Toc3913"/>
      <w:bookmarkStart w:id="279" w:name="_Toc24277"/>
      <w:bookmarkStart w:id="280" w:name="_Toc5363"/>
      <w:bookmarkStart w:id="281" w:name="_Toc22131"/>
      <w:bookmarkStart w:id="282" w:name="_Toc29955"/>
      <w:bookmarkStart w:id="283" w:name="_Toc15735"/>
      <w:bookmarkStart w:id="284" w:name="_Toc29315"/>
      <w:bookmarkStart w:id="285" w:name="_Toc7616"/>
      <w:bookmarkStart w:id="286" w:name="_Toc11192"/>
      <w:bookmarkStart w:id="287" w:name="_Toc5716"/>
      <w:bookmarkStart w:id="288" w:name="_Toc1972"/>
      <w:bookmarkStart w:id="289" w:name="_Toc18862"/>
      <w:bookmarkStart w:id="290" w:name="_Toc13150068"/>
      <w:bookmarkStart w:id="291" w:name="_Toc29637"/>
      <w:bookmarkStart w:id="292" w:name="_Toc90712538"/>
      <w:bookmarkStart w:id="293" w:name="_Toc454788039"/>
      <w:bookmarkStart w:id="294" w:name="_Toc21137"/>
      <w:bookmarkStart w:id="295" w:name="_Toc462934305"/>
      <w:bookmarkStart w:id="296" w:name="_Toc90713357"/>
      <w:bookmarkStart w:id="297" w:name="_Toc19623"/>
      <w:bookmarkStart w:id="298" w:name="_Toc109550798"/>
      <w:bookmarkStart w:id="299" w:name="_Toc463011284"/>
      <w:bookmarkStart w:id="300" w:name="_Toc455678131"/>
      <w:bookmarkStart w:id="301" w:name="_Toc26984"/>
      <w:bookmarkStart w:id="302" w:name="_Toc428276599"/>
      <w:bookmarkStart w:id="303" w:name="_Toc109537522"/>
      <w:bookmarkStart w:id="304" w:name="_Toc428351659"/>
      <w:bookmarkStart w:id="305" w:name="_Toc422126473"/>
      <w:bookmarkStart w:id="306" w:name="_Toc269470330"/>
      <w:r>
        <w:rPr>
          <w:rFonts w:hint="eastAsia" w:asciiTheme="majorEastAsia" w:hAnsiTheme="majorEastAsia" w:eastAsiaTheme="majorEastAsia" w:cstheme="majorEastAsia"/>
          <w:b/>
          <w:color w:val="auto"/>
          <w:sz w:val="24"/>
          <w:szCs w:val="24"/>
          <w:highlight w:val="none"/>
        </w:rPr>
        <w:t>5.2资格审查</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2006D2">
      <w:pPr>
        <w:pageBreakBefore w:val="0"/>
        <w:widowControl w:val="0"/>
        <w:numPr>
          <w:ilvl w:val="0"/>
          <w:numId w:val="0"/>
        </w:numPr>
        <w:kinsoku/>
        <w:wordWrap w:val="0"/>
        <w:overflowPunct/>
        <w:topLinePunct/>
        <w:bidi w:val="0"/>
        <w:spacing w:line="500" w:lineRule="exact"/>
        <w:ind w:left="420" w:leftChars="0"/>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5.2.1</w:t>
      </w:r>
      <w:r>
        <w:rPr>
          <w:rFonts w:hint="eastAsia" w:asciiTheme="majorEastAsia" w:hAnsiTheme="majorEastAsia" w:eastAsiaTheme="majorEastAsia" w:cstheme="majorEastAsia"/>
          <w:color w:val="auto"/>
          <w:sz w:val="24"/>
          <w:szCs w:val="24"/>
          <w:highlight w:val="none"/>
        </w:rPr>
        <w:t>开标结束后，磋商小组依法对供应商的资格进行审查。</w:t>
      </w:r>
      <w:bookmarkStart w:id="307" w:name="_Toc25889"/>
      <w:bookmarkStart w:id="308" w:name="_Toc32305"/>
      <w:bookmarkStart w:id="309" w:name="_Toc2042"/>
      <w:bookmarkStart w:id="310" w:name="_Toc16143"/>
      <w:bookmarkStart w:id="311" w:name="_Toc19513"/>
      <w:bookmarkStart w:id="312" w:name="_Toc4884"/>
      <w:bookmarkStart w:id="313" w:name="_Toc13150069"/>
      <w:bookmarkStart w:id="314" w:name="_Toc12598"/>
      <w:bookmarkStart w:id="315" w:name="_Toc22182"/>
      <w:bookmarkStart w:id="316" w:name="_Toc16180"/>
      <w:bookmarkStart w:id="317" w:name="_Toc611"/>
      <w:bookmarkStart w:id="318" w:name="_Toc10528"/>
      <w:bookmarkStart w:id="319" w:name="_Toc21027"/>
      <w:bookmarkStart w:id="320" w:name="_Toc26746"/>
      <w:bookmarkStart w:id="321" w:name="_Toc31474"/>
    </w:p>
    <w:p w14:paraId="43D4CD97">
      <w:pPr>
        <w:keepNext/>
        <w:keepLines/>
        <w:pageBreakBefore w:val="0"/>
        <w:widowControl w:val="0"/>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5.3评标工作</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3B4832E1">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5.3.1磋商小组</w:t>
      </w:r>
    </w:p>
    <w:p w14:paraId="57E8C12D">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评标工作由采购人依法组建的磋商小组负责，对所有供应商的响应文件进行评审，并按评</w:t>
      </w:r>
      <w:r>
        <w:rPr>
          <w:rFonts w:hint="eastAsia" w:asciiTheme="majorEastAsia" w:hAnsiTheme="majorEastAsia" w:eastAsiaTheme="majorEastAsia" w:cstheme="majorEastAsia"/>
          <w:color w:val="auto"/>
          <w:sz w:val="24"/>
          <w:szCs w:val="24"/>
          <w:highlight w:val="none"/>
          <w:lang w:eastAsia="zh-CN"/>
        </w:rPr>
        <w:t>审</w:t>
      </w:r>
      <w:r>
        <w:rPr>
          <w:rFonts w:hint="eastAsia" w:asciiTheme="majorEastAsia" w:hAnsiTheme="majorEastAsia" w:eastAsiaTheme="majorEastAsia" w:cstheme="majorEastAsia"/>
          <w:color w:val="auto"/>
          <w:sz w:val="24"/>
          <w:szCs w:val="24"/>
          <w:highlight w:val="none"/>
        </w:rPr>
        <w:t>办法规定的方式推荐出供应商须知前附表中载明数量的</w:t>
      </w:r>
      <w:r>
        <w:rPr>
          <w:rFonts w:hint="eastAsia" w:asciiTheme="majorEastAsia" w:hAnsiTheme="majorEastAsia" w:eastAsiaTheme="majorEastAsia" w:cstheme="majorEastAsia"/>
          <w:color w:val="auto"/>
          <w:sz w:val="24"/>
          <w:szCs w:val="24"/>
          <w:highlight w:val="none"/>
          <w:lang w:eastAsia="zh-CN"/>
        </w:rPr>
        <w:t>成交</w:t>
      </w:r>
      <w:r>
        <w:rPr>
          <w:rFonts w:hint="eastAsia" w:asciiTheme="majorEastAsia" w:hAnsiTheme="majorEastAsia" w:eastAsiaTheme="majorEastAsia" w:cstheme="majorEastAsia"/>
          <w:color w:val="auto"/>
          <w:sz w:val="24"/>
          <w:szCs w:val="24"/>
          <w:highlight w:val="none"/>
        </w:rPr>
        <w:t>候选人。磋商小组由采购人代表和评审专家共3人以上单数组成，其中评审专家人数不得少于磋商小组成员总数的2/3。</w:t>
      </w:r>
    </w:p>
    <w:p w14:paraId="40F484E2">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磋商小组对本单位的采购项目只能作为采购人代表参与评标，对技术复杂、专业性强的采购项目，通过随机方式难以确定合适评审专家的情形除外。</w:t>
      </w:r>
    </w:p>
    <w:p w14:paraId="568A6871">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采购代理机构工作人员不得参加由本机构代理的政府采购项目的评标。</w:t>
      </w:r>
    </w:p>
    <w:p w14:paraId="23A80A4F">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磋商小组成员名单在磋商结果公告前应当保密。</w:t>
      </w:r>
    </w:p>
    <w:p w14:paraId="5FA5AED5">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5.3.2磋商小组及其成员不得有下列行为：</w:t>
      </w:r>
    </w:p>
    <w:p w14:paraId="37894A8E">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（1）确定参与磋商至磋商结束前私自接触供应商；</w:t>
      </w:r>
    </w:p>
    <w:p w14:paraId="6742D8C5">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接受供应商提出的与响应文件不一致的澄清或者说明（对于响应文件中含义不明确、同类问题表述不一致或者有明显文字和计算错误的内容，磋商小组以书面形式要求供应商作出必要的澄清、说明或者补正的除外）；</w:t>
      </w:r>
    </w:p>
    <w:p w14:paraId="2603325C">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（3）违反评标纪律发表倾向性意见或者征询采购人的倾向性意见；</w:t>
      </w:r>
    </w:p>
    <w:p w14:paraId="61D96604">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（4）对需要专业判断的主观评审因素协商评分；</w:t>
      </w:r>
    </w:p>
    <w:p w14:paraId="3D13ED75">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（5）在磋商过程中擅离职守，影响磋商程序正常进行的；</w:t>
      </w:r>
    </w:p>
    <w:p w14:paraId="667FE498">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（6）记录、复制或者带走任何磋商资料；</w:t>
      </w:r>
    </w:p>
    <w:p w14:paraId="39515006">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（7）其他不遵守磋商纪律的行为。</w:t>
      </w:r>
    </w:p>
    <w:p w14:paraId="3DF45A4D">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磋商小组成员有本章第5.3.2项第（1）至（5）目行为之一的，其评审意见无效，并不得获取评审劳务报酬和报销异地评审差旅费。</w:t>
      </w:r>
    </w:p>
    <w:p w14:paraId="08770E9A">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5.3.3磋商小组成员对需要共同认定的事项存在争议的，应当按照少数服从多数的原则作出结论。持不同意见的磋商小组成员应当在评标报告上签署不同意见及理由，否则视为同意评标报告。</w:t>
      </w:r>
    </w:p>
    <w:p w14:paraId="54049CF4">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5.3.4磋商方法</w:t>
      </w:r>
    </w:p>
    <w:p w14:paraId="2D3BF8B5">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磋商小组按照第</w:t>
      </w:r>
      <w:r>
        <w:rPr>
          <w:rFonts w:hint="eastAsia" w:asciiTheme="majorEastAsia" w:hAnsiTheme="majorEastAsia" w:eastAsiaTheme="majorEastAsia" w:cstheme="majorEastAsia"/>
          <w:color w:val="auto"/>
          <w:sz w:val="24"/>
          <w:szCs w:val="24"/>
          <w:highlight w:val="none"/>
          <w:lang w:eastAsia="zh-CN"/>
        </w:rPr>
        <w:t>三</w:t>
      </w:r>
      <w:r>
        <w:rPr>
          <w:rFonts w:hint="eastAsia" w:asciiTheme="majorEastAsia" w:hAnsiTheme="majorEastAsia" w:eastAsiaTheme="majorEastAsia" w:cstheme="majorEastAsia"/>
          <w:color w:val="auto"/>
          <w:sz w:val="24"/>
          <w:szCs w:val="24"/>
          <w:highlight w:val="none"/>
        </w:rPr>
        <w:t>章</w:t>
      </w:r>
      <w:r>
        <w:rPr>
          <w:rFonts w:hint="eastAsia" w:asciiTheme="majorEastAsia" w:hAnsiTheme="majorEastAsia" w:eastAsiaTheme="majorEastAsia" w:cstheme="majorEastAsia"/>
          <w:color w:val="auto"/>
          <w:sz w:val="24"/>
          <w:szCs w:val="24"/>
          <w:highlight w:val="none"/>
          <w:lang w:eastAsia="zh-CN"/>
        </w:rPr>
        <w:t>评审</w:t>
      </w:r>
      <w:r>
        <w:rPr>
          <w:rFonts w:hint="eastAsia" w:asciiTheme="majorEastAsia" w:hAnsiTheme="majorEastAsia" w:eastAsiaTheme="majorEastAsia" w:cstheme="majorEastAsia"/>
          <w:color w:val="auto"/>
          <w:sz w:val="24"/>
          <w:szCs w:val="24"/>
          <w:highlight w:val="none"/>
        </w:rPr>
        <w:t>办法规定的方法、评审因素、标准和程序对响应文件进行评审。第</w:t>
      </w:r>
      <w:r>
        <w:rPr>
          <w:rFonts w:hint="eastAsia" w:asciiTheme="majorEastAsia" w:hAnsiTheme="majorEastAsia" w:eastAsiaTheme="majorEastAsia" w:cstheme="majorEastAsia"/>
          <w:color w:val="auto"/>
          <w:sz w:val="24"/>
          <w:szCs w:val="24"/>
          <w:highlight w:val="none"/>
          <w:lang w:eastAsia="zh-CN"/>
        </w:rPr>
        <w:t>三</w:t>
      </w:r>
      <w:r>
        <w:rPr>
          <w:rFonts w:hint="eastAsia" w:asciiTheme="majorEastAsia" w:hAnsiTheme="majorEastAsia" w:eastAsiaTheme="majorEastAsia" w:cstheme="majorEastAsia"/>
          <w:color w:val="auto"/>
          <w:sz w:val="24"/>
          <w:szCs w:val="24"/>
          <w:highlight w:val="none"/>
        </w:rPr>
        <w:t>章</w:t>
      </w:r>
      <w:r>
        <w:rPr>
          <w:rFonts w:hint="eastAsia" w:asciiTheme="majorEastAsia" w:hAnsiTheme="majorEastAsia" w:eastAsiaTheme="majorEastAsia" w:cstheme="majorEastAsia"/>
          <w:color w:val="auto"/>
          <w:sz w:val="24"/>
          <w:szCs w:val="24"/>
          <w:highlight w:val="none"/>
          <w:lang w:eastAsia="zh-CN"/>
        </w:rPr>
        <w:t>评审</w:t>
      </w:r>
      <w:r>
        <w:rPr>
          <w:rFonts w:hint="eastAsia" w:asciiTheme="majorEastAsia" w:hAnsiTheme="majorEastAsia" w:eastAsiaTheme="majorEastAsia" w:cstheme="majorEastAsia"/>
          <w:color w:val="auto"/>
          <w:sz w:val="24"/>
          <w:szCs w:val="24"/>
          <w:highlight w:val="none"/>
        </w:rPr>
        <w:t>办法没有规定的方法、评审因素和标准，不作为评标依据。</w:t>
      </w:r>
    </w:p>
    <w:p w14:paraId="7630A4F9">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评标完成后，磋商小组应当向采购人提交书面评标报告和成交候选人名单。磋商小组推荐成交候选人的人数见供应商须知前附表。</w:t>
      </w:r>
    </w:p>
    <w:p w14:paraId="60150596">
      <w:pPr>
        <w:keepNext/>
        <w:keepLines/>
        <w:pageBreakBefore w:val="0"/>
        <w:widowControl w:val="0"/>
        <w:numPr>
          <w:ilvl w:val="0"/>
          <w:numId w:val="0"/>
        </w:numPr>
        <w:kinsoku/>
        <w:wordWrap w:val="0"/>
        <w:overflowPunct/>
        <w:topLinePunct/>
        <w:bidi w:val="0"/>
        <w:spacing w:line="500" w:lineRule="exact"/>
        <w:ind w:leftChars="0"/>
        <w:jc w:val="left"/>
        <w:textAlignment w:val="auto"/>
        <w:outlineLvl w:val="2"/>
        <w:rPr>
          <w:rFonts w:hint="eastAsia" w:asciiTheme="majorEastAsia" w:hAnsiTheme="majorEastAsia" w:eastAsiaTheme="majorEastAsia" w:cstheme="majorEastAsia"/>
          <w:b/>
          <w:bCs/>
          <w:color w:val="auto"/>
          <w:sz w:val="24"/>
          <w:szCs w:val="24"/>
          <w:highlight w:val="none"/>
        </w:rPr>
      </w:pPr>
      <w:bookmarkStart w:id="322" w:name="_Toc13150070"/>
      <w:bookmarkStart w:id="323" w:name="_Toc9518"/>
      <w:bookmarkStart w:id="324" w:name="_Toc18846"/>
      <w:bookmarkStart w:id="325" w:name="_Toc28834"/>
      <w:bookmarkStart w:id="326" w:name="_Toc12131"/>
      <w:bookmarkStart w:id="327" w:name="_Toc5813"/>
      <w:bookmarkStart w:id="328" w:name="_Toc12609"/>
      <w:bookmarkStart w:id="329" w:name="_Toc27962"/>
      <w:bookmarkStart w:id="330" w:name="_Toc25755"/>
      <w:bookmarkStart w:id="331" w:name="_Toc7396"/>
      <w:bookmarkStart w:id="332" w:name="_Toc886"/>
      <w:bookmarkStart w:id="333" w:name="_Toc13138"/>
      <w:bookmarkStart w:id="334" w:name="_Toc608"/>
      <w:bookmarkStart w:id="335" w:name="_Toc10927"/>
      <w:bookmarkStart w:id="336" w:name="_Toc25530"/>
      <w:r>
        <w:rPr>
          <w:rFonts w:hint="eastAsia" w:asciiTheme="majorEastAsia" w:hAnsiTheme="majorEastAsia" w:eastAsiaTheme="majorEastAsia" w:cstheme="majorEastAsia"/>
          <w:b/>
          <w:bCs/>
          <w:color w:val="auto"/>
          <w:sz w:val="24"/>
          <w:szCs w:val="24"/>
          <w:highlight w:val="none"/>
          <w:lang w:val="en-US" w:eastAsia="zh-CN"/>
        </w:rPr>
        <w:t>5.4</w:t>
      </w:r>
      <w:r>
        <w:rPr>
          <w:rFonts w:hint="eastAsia" w:asciiTheme="majorEastAsia" w:hAnsiTheme="majorEastAsia" w:eastAsiaTheme="majorEastAsia" w:cstheme="majorEastAsia"/>
          <w:b/>
          <w:bCs/>
          <w:color w:val="auto"/>
          <w:sz w:val="24"/>
          <w:szCs w:val="24"/>
          <w:highlight w:val="none"/>
        </w:rPr>
        <w:t>保密及其它注意事项</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C5E8133">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5.4.1评标是</w:t>
      </w:r>
      <w:r>
        <w:rPr>
          <w:rFonts w:hint="eastAsia" w:asciiTheme="majorEastAsia" w:hAnsiTheme="majorEastAsia" w:eastAsiaTheme="majorEastAsia" w:cstheme="majorEastAsia"/>
          <w:color w:val="auto"/>
          <w:sz w:val="24"/>
          <w:szCs w:val="24"/>
          <w:highlight w:val="none"/>
          <w:lang w:val="en-US" w:eastAsia="zh-CN"/>
        </w:rPr>
        <w:t>采购</w:t>
      </w:r>
      <w:r>
        <w:rPr>
          <w:rFonts w:hint="eastAsia" w:asciiTheme="majorEastAsia" w:hAnsiTheme="majorEastAsia" w:eastAsiaTheme="majorEastAsia" w:cstheme="majorEastAsia"/>
          <w:color w:val="auto"/>
          <w:sz w:val="24"/>
          <w:szCs w:val="24"/>
          <w:highlight w:val="none"/>
        </w:rPr>
        <w:t>工作的重要环节，评标工作在磋商小组内独立进行。</w:t>
      </w:r>
    </w:p>
    <w:p w14:paraId="2E0B4D2A">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5.4.2磋商小组将遵照规定的评标方法，公正、平等地对待所有供应商。</w:t>
      </w:r>
    </w:p>
    <w:p w14:paraId="2C87EA76">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5.4.3在开标、评标期间，供应商不得向评委询问评标情况，不得进行旨在影响评标结果的活动。否则其投标可能被拒绝。</w:t>
      </w:r>
    </w:p>
    <w:p w14:paraId="33D8AD37">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5.4.4为保证评标的公正性，开标后直至授予供应商合同，评委不得与供应商私下交换意见。</w:t>
      </w:r>
    </w:p>
    <w:p w14:paraId="2FAA5813">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5.4.5在评标工作结束后，凡与评标情况有接触的任何人不得擅自将评标情况扩散出评标人员之外。</w:t>
      </w:r>
    </w:p>
    <w:p w14:paraId="43E2DB36">
      <w:pPr>
        <w:pageBreakBefore w:val="0"/>
        <w:widowControl w:val="0"/>
        <w:kinsoku/>
        <w:overflowPunct/>
        <w:bidi w:val="0"/>
        <w:spacing w:line="500" w:lineRule="exact"/>
        <w:ind w:left="42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5.4.6评标结束后，响应文件概不退还。</w:t>
      </w: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687F77EC">
      <w:pPr>
        <w:keepNext/>
        <w:keepLines/>
        <w:pageBreakBefore w:val="0"/>
        <w:widowControl w:val="0"/>
        <w:numPr>
          <w:ilvl w:val="0"/>
          <w:numId w:val="0"/>
        </w:numPr>
        <w:kinsoku/>
        <w:wordWrap w:val="0"/>
        <w:overflowPunct/>
        <w:topLinePunct/>
        <w:bidi w:val="0"/>
        <w:spacing w:line="500" w:lineRule="exact"/>
        <w:ind w:leftChars="0"/>
        <w:jc w:val="left"/>
        <w:textAlignment w:val="auto"/>
        <w:outlineLvl w:val="2"/>
        <w:rPr>
          <w:rFonts w:hint="eastAsia" w:asciiTheme="majorEastAsia" w:hAnsiTheme="majorEastAsia" w:eastAsiaTheme="majorEastAsia" w:cstheme="majorEastAsia"/>
          <w:b/>
          <w:color w:val="auto"/>
          <w:sz w:val="24"/>
          <w:szCs w:val="24"/>
          <w:highlight w:val="none"/>
        </w:rPr>
      </w:pPr>
      <w:bookmarkStart w:id="337" w:name="_Toc7308"/>
      <w:bookmarkStart w:id="338" w:name="_Toc454788040"/>
      <w:bookmarkStart w:id="339" w:name="_Toc455678133"/>
      <w:bookmarkStart w:id="340" w:name="_Toc12985"/>
      <w:bookmarkStart w:id="341" w:name="_Toc31756"/>
      <w:bookmarkStart w:id="342" w:name="_Toc462934307"/>
      <w:bookmarkStart w:id="343" w:name="_Toc428276600"/>
      <w:bookmarkStart w:id="344" w:name="_Toc463011286"/>
      <w:bookmarkStart w:id="345" w:name="_Toc428351660"/>
      <w:r>
        <w:rPr>
          <w:rFonts w:hint="eastAsia" w:asciiTheme="majorEastAsia" w:hAnsiTheme="majorEastAsia" w:eastAsiaTheme="majorEastAsia" w:cstheme="majorEastAsia"/>
          <w:b/>
          <w:color w:val="auto"/>
          <w:sz w:val="24"/>
          <w:szCs w:val="24"/>
          <w:highlight w:val="none"/>
          <w:lang w:val="en-US" w:eastAsia="zh-CN"/>
        </w:rPr>
        <w:t>5.5</w:t>
      </w:r>
      <w:r>
        <w:rPr>
          <w:rFonts w:hint="eastAsia" w:asciiTheme="majorEastAsia" w:hAnsiTheme="majorEastAsia" w:eastAsiaTheme="majorEastAsia" w:cstheme="majorEastAsia"/>
          <w:b/>
          <w:color w:val="auto"/>
          <w:sz w:val="24"/>
          <w:szCs w:val="24"/>
          <w:highlight w:val="none"/>
        </w:rPr>
        <w:t>确定成交人</w:t>
      </w:r>
      <w:bookmarkEnd w:id="337"/>
      <w:bookmarkEnd w:id="338"/>
      <w:bookmarkEnd w:id="339"/>
      <w:bookmarkEnd w:id="340"/>
      <w:bookmarkEnd w:id="341"/>
      <w:bookmarkEnd w:id="342"/>
      <w:bookmarkEnd w:id="343"/>
      <w:bookmarkEnd w:id="344"/>
      <w:bookmarkEnd w:id="345"/>
    </w:p>
    <w:p w14:paraId="53B0D974">
      <w:pPr>
        <w:pageBreakBefore w:val="0"/>
        <w:widowControl w:val="0"/>
        <w:numPr>
          <w:ilvl w:val="0"/>
          <w:numId w:val="0"/>
        </w:numPr>
        <w:kinsoku/>
        <w:wordWrap w:val="0"/>
        <w:overflowPunct/>
        <w:topLinePunct/>
        <w:bidi w:val="0"/>
        <w:spacing w:line="500" w:lineRule="exact"/>
        <w:ind w:left="420" w:leftChars="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5.5.1</w:t>
      </w:r>
      <w:r>
        <w:rPr>
          <w:rFonts w:hint="eastAsia" w:asciiTheme="majorEastAsia" w:hAnsiTheme="majorEastAsia" w:eastAsiaTheme="majorEastAsia" w:cstheme="majorEastAsia"/>
          <w:color w:val="auto"/>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7F2C0895">
      <w:pPr>
        <w:pageBreakBefore w:val="0"/>
        <w:widowControl w:val="0"/>
        <w:numPr>
          <w:ilvl w:val="0"/>
          <w:numId w:val="0"/>
        </w:numPr>
        <w:kinsoku/>
        <w:wordWrap w:val="0"/>
        <w:overflowPunct/>
        <w:topLinePunct/>
        <w:bidi w:val="0"/>
        <w:spacing w:line="500" w:lineRule="exact"/>
        <w:ind w:left="420" w:leftChars="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5.5.2</w:t>
      </w:r>
      <w:r>
        <w:rPr>
          <w:rFonts w:hint="eastAsia" w:asciiTheme="majorEastAsia" w:hAnsiTheme="majorEastAsia" w:eastAsiaTheme="majorEastAsia" w:cstheme="majorEastAsia"/>
          <w:color w:val="auto"/>
          <w:sz w:val="24"/>
          <w:szCs w:val="24"/>
          <w:highlight w:val="none"/>
        </w:rPr>
        <w:t>采购人也可以书面授权磋商小组直接确定成交人。磋商小组直接确定成交人的应在竞争性磋商文件中写明。</w:t>
      </w:r>
    </w:p>
    <w:p w14:paraId="664D4337">
      <w:pPr>
        <w:keepNext/>
        <w:keepLines/>
        <w:pageBreakBefore w:val="0"/>
        <w:widowControl w:val="0"/>
        <w:numPr>
          <w:ilvl w:val="0"/>
          <w:numId w:val="0"/>
        </w:numPr>
        <w:kinsoku/>
        <w:wordWrap w:val="0"/>
        <w:overflowPunct/>
        <w:topLinePunct/>
        <w:bidi w:val="0"/>
        <w:spacing w:line="500" w:lineRule="exact"/>
        <w:ind w:leftChars="0"/>
        <w:jc w:val="left"/>
        <w:textAlignment w:val="auto"/>
        <w:outlineLvl w:val="2"/>
        <w:rPr>
          <w:rFonts w:hint="eastAsia" w:asciiTheme="majorEastAsia" w:hAnsiTheme="majorEastAsia" w:eastAsiaTheme="majorEastAsia" w:cstheme="majorEastAsia"/>
          <w:b/>
          <w:color w:val="auto"/>
          <w:sz w:val="24"/>
          <w:szCs w:val="24"/>
          <w:highlight w:val="none"/>
        </w:rPr>
      </w:pPr>
      <w:bookmarkStart w:id="346" w:name="_Toc428351661"/>
      <w:bookmarkStart w:id="347" w:name="_Toc455678134"/>
      <w:bookmarkStart w:id="348" w:name="_Toc422126474"/>
      <w:bookmarkStart w:id="349" w:name="_Toc428276601"/>
      <w:bookmarkStart w:id="350" w:name="_Toc454788041"/>
      <w:bookmarkStart w:id="351" w:name="_Toc2677"/>
      <w:bookmarkStart w:id="352" w:name="_Toc462934308"/>
      <w:bookmarkStart w:id="353" w:name="_Toc15190"/>
      <w:bookmarkStart w:id="354" w:name="_Toc16692"/>
      <w:bookmarkStart w:id="355" w:name="_Toc463011287"/>
      <w:r>
        <w:rPr>
          <w:rFonts w:hint="eastAsia" w:asciiTheme="majorEastAsia" w:hAnsiTheme="majorEastAsia" w:eastAsiaTheme="majorEastAsia" w:cstheme="majorEastAsia"/>
          <w:b/>
          <w:color w:val="auto"/>
          <w:sz w:val="24"/>
          <w:szCs w:val="24"/>
          <w:highlight w:val="none"/>
          <w:lang w:val="en-US" w:eastAsia="zh-CN"/>
        </w:rPr>
        <w:t>5.6</w:t>
      </w:r>
      <w:r>
        <w:rPr>
          <w:rFonts w:hint="eastAsia" w:asciiTheme="majorEastAsia" w:hAnsiTheme="majorEastAsia" w:eastAsiaTheme="majorEastAsia" w:cstheme="majorEastAsia"/>
          <w:b/>
          <w:color w:val="auto"/>
          <w:sz w:val="24"/>
          <w:szCs w:val="24"/>
          <w:highlight w:val="none"/>
        </w:rPr>
        <w:t>成交结果</w:t>
      </w:r>
      <w:bookmarkEnd w:id="346"/>
      <w:bookmarkEnd w:id="347"/>
      <w:bookmarkEnd w:id="348"/>
      <w:bookmarkEnd w:id="349"/>
      <w:bookmarkEnd w:id="350"/>
      <w:r>
        <w:rPr>
          <w:rFonts w:hint="eastAsia" w:asciiTheme="majorEastAsia" w:hAnsiTheme="majorEastAsia" w:eastAsiaTheme="majorEastAsia" w:cstheme="majorEastAsia"/>
          <w:b/>
          <w:color w:val="auto"/>
          <w:sz w:val="24"/>
          <w:szCs w:val="24"/>
          <w:highlight w:val="none"/>
        </w:rPr>
        <w:t>公告</w:t>
      </w:r>
      <w:bookmarkEnd w:id="351"/>
      <w:bookmarkEnd w:id="352"/>
      <w:bookmarkEnd w:id="353"/>
      <w:bookmarkEnd w:id="354"/>
      <w:bookmarkEnd w:id="355"/>
    </w:p>
    <w:p w14:paraId="1E39A524">
      <w:pPr>
        <w:pageBreakBefore w:val="0"/>
        <w:widowControl w:val="0"/>
        <w:numPr>
          <w:ilvl w:val="0"/>
          <w:numId w:val="0"/>
        </w:numPr>
        <w:kinsoku/>
        <w:wordWrap w:val="0"/>
        <w:overflowPunct/>
        <w:topLinePunct/>
        <w:bidi w:val="0"/>
        <w:spacing w:line="500" w:lineRule="exact"/>
        <w:ind w:left="420" w:leftChars="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5.6.1</w:t>
      </w:r>
      <w:r>
        <w:rPr>
          <w:rFonts w:hint="eastAsia" w:asciiTheme="majorEastAsia" w:hAnsiTheme="majorEastAsia" w:eastAsiaTheme="majorEastAsia" w:cstheme="majorEastAsia"/>
          <w:color w:val="auto"/>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7C7CF50">
      <w:pPr>
        <w:pageBreakBefore w:val="0"/>
        <w:widowControl w:val="0"/>
        <w:numPr>
          <w:ilvl w:val="0"/>
          <w:numId w:val="0"/>
        </w:numPr>
        <w:kinsoku/>
        <w:wordWrap w:val="0"/>
        <w:overflowPunct/>
        <w:topLinePunct/>
        <w:bidi w:val="0"/>
        <w:spacing w:line="500" w:lineRule="exact"/>
        <w:ind w:left="420" w:leftChars="0"/>
        <w:textAlignment w:val="auto"/>
        <w:rPr>
          <w:rFonts w:hint="eastAsia" w:asciiTheme="majorEastAsia" w:hAnsiTheme="majorEastAsia" w:eastAsiaTheme="majorEastAsia" w:cstheme="majorEastAsia"/>
          <w:color w:val="auto"/>
          <w:sz w:val="24"/>
          <w:szCs w:val="24"/>
          <w:highlight w:val="none"/>
        </w:rPr>
      </w:pPr>
      <w:bookmarkStart w:id="356" w:name="_Toc270604607"/>
      <w:r>
        <w:rPr>
          <w:rFonts w:hint="eastAsia" w:asciiTheme="majorEastAsia" w:hAnsiTheme="majorEastAsia" w:eastAsiaTheme="majorEastAsia" w:cstheme="majorEastAsia"/>
          <w:color w:val="auto"/>
          <w:sz w:val="24"/>
          <w:szCs w:val="24"/>
          <w:highlight w:val="none"/>
          <w:lang w:val="en-US" w:eastAsia="zh-CN"/>
        </w:rPr>
        <w:t>5.6.2</w:t>
      </w:r>
      <w:r>
        <w:rPr>
          <w:rFonts w:hint="eastAsia" w:asciiTheme="majorEastAsia" w:hAnsiTheme="majorEastAsia" w:eastAsiaTheme="majorEastAsia" w:cstheme="majorEastAsia"/>
          <w:color w:val="auto"/>
          <w:sz w:val="24"/>
          <w:szCs w:val="24"/>
          <w:highlight w:val="none"/>
        </w:rPr>
        <w:t>成交结果公告内容包括</w:t>
      </w:r>
      <w:bookmarkEnd w:id="306"/>
      <w:bookmarkEnd w:id="356"/>
      <w:r>
        <w:rPr>
          <w:rFonts w:hint="eastAsia" w:asciiTheme="majorEastAsia" w:hAnsiTheme="majorEastAsia" w:eastAsiaTheme="majorEastAsia" w:cstheme="majorEastAsia"/>
          <w:color w:val="auto"/>
          <w:sz w:val="24"/>
          <w:szCs w:val="24"/>
          <w:highlight w:val="none"/>
        </w:rPr>
        <w:t>采购人和采购代理机构的名称、地址和联系方式、项目名称和项目编号、成交人名称、地址和成交金额、主要成交标的的名称、单价、</w:t>
      </w:r>
      <w:r>
        <w:rPr>
          <w:rFonts w:hint="eastAsia" w:asciiTheme="majorEastAsia" w:hAnsiTheme="majorEastAsia" w:eastAsiaTheme="majorEastAsia" w:cstheme="majorEastAsia"/>
          <w:color w:val="auto"/>
          <w:sz w:val="24"/>
          <w:szCs w:val="24"/>
          <w:highlight w:val="none"/>
          <w:lang w:eastAsia="zh-CN"/>
        </w:rPr>
        <w:t>工期、质量</w:t>
      </w:r>
      <w:r>
        <w:rPr>
          <w:rFonts w:hint="eastAsia" w:asciiTheme="majorEastAsia" w:hAnsiTheme="majorEastAsia" w:eastAsiaTheme="majorEastAsia" w:cstheme="majorEastAsia"/>
          <w:color w:val="auto"/>
          <w:sz w:val="24"/>
          <w:szCs w:val="24"/>
          <w:highlight w:val="none"/>
        </w:rPr>
        <w:t>要求、磋商小组成员名单。</w:t>
      </w:r>
    </w:p>
    <w:p w14:paraId="4E37CB7C">
      <w:pPr>
        <w:keepNext/>
        <w:keepLines/>
        <w:pageBreakBefore w:val="0"/>
        <w:widowControl w:val="0"/>
        <w:numPr>
          <w:ilvl w:val="0"/>
          <w:numId w:val="0"/>
        </w:numPr>
        <w:kinsoku/>
        <w:wordWrap w:val="0"/>
        <w:overflowPunct/>
        <w:topLinePunct/>
        <w:bidi w:val="0"/>
        <w:spacing w:line="500" w:lineRule="exact"/>
        <w:ind w:leftChars="0"/>
        <w:jc w:val="left"/>
        <w:textAlignment w:val="auto"/>
        <w:outlineLvl w:val="2"/>
        <w:rPr>
          <w:rFonts w:hint="eastAsia" w:asciiTheme="majorEastAsia" w:hAnsiTheme="majorEastAsia" w:eastAsiaTheme="majorEastAsia" w:cstheme="majorEastAsia"/>
          <w:b/>
          <w:color w:val="auto"/>
          <w:sz w:val="24"/>
          <w:szCs w:val="24"/>
          <w:highlight w:val="none"/>
        </w:rPr>
      </w:pPr>
      <w:bookmarkStart w:id="357" w:name="_Toc463011289"/>
      <w:bookmarkStart w:id="358" w:name="_Toc18026"/>
      <w:bookmarkStart w:id="359" w:name="_Toc455678136"/>
      <w:bookmarkStart w:id="360" w:name="_Toc462934310"/>
      <w:bookmarkStart w:id="361" w:name="_Toc4900"/>
      <w:bookmarkStart w:id="362" w:name="_Toc11152"/>
      <w:r>
        <w:rPr>
          <w:rFonts w:hint="eastAsia" w:asciiTheme="majorEastAsia" w:hAnsiTheme="majorEastAsia" w:eastAsiaTheme="majorEastAsia" w:cstheme="majorEastAsia"/>
          <w:b/>
          <w:color w:val="auto"/>
          <w:sz w:val="24"/>
          <w:szCs w:val="24"/>
          <w:highlight w:val="none"/>
          <w:lang w:val="en-US" w:eastAsia="zh-CN"/>
        </w:rPr>
        <w:t>5.7</w:t>
      </w:r>
      <w:r>
        <w:rPr>
          <w:rFonts w:hint="eastAsia" w:asciiTheme="majorEastAsia" w:hAnsiTheme="majorEastAsia" w:eastAsiaTheme="majorEastAsia" w:cstheme="majorEastAsia"/>
          <w:b/>
          <w:color w:val="auto"/>
          <w:sz w:val="24"/>
          <w:szCs w:val="24"/>
          <w:highlight w:val="none"/>
        </w:rPr>
        <w:t>成交通知书</w:t>
      </w:r>
      <w:bookmarkEnd w:id="357"/>
      <w:bookmarkEnd w:id="358"/>
      <w:bookmarkEnd w:id="359"/>
      <w:bookmarkEnd w:id="360"/>
      <w:bookmarkEnd w:id="361"/>
      <w:bookmarkEnd w:id="362"/>
      <w:bookmarkStart w:id="363" w:name="_Toc463011290"/>
      <w:bookmarkStart w:id="364" w:name="_Toc455678137"/>
      <w:bookmarkStart w:id="365" w:name="_Toc23963"/>
      <w:bookmarkStart w:id="366" w:name="_Toc462934311"/>
      <w:bookmarkStart w:id="367" w:name="_Toc11018"/>
      <w:bookmarkStart w:id="368" w:name="_Toc269470335"/>
    </w:p>
    <w:bookmarkEnd w:id="363"/>
    <w:bookmarkEnd w:id="364"/>
    <w:bookmarkEnd w:id="365"/>
    <w:bookmarkEnd w:id="366"/>
    <w:bookmarkEnd w:id="367"/>
    <w:p w14:paraId="052A1B9D">
      <w:pPr>
        <w:pageBreakBefore w:val="0"/>
        <w:widowControl w:val="0"/>
        <w:kinsoku/>
        <w:overflowPunct/>
        <w:bidi w:val="0"/>
        <w:spacing w:line="500" w:lineRule="exact"/>
        <w:ind w:firstLine="480" w:firstLineChars="200"/>
        <w:textAlignment w:val="auto"/>
        <w:rPr>
          <w:rFonts w:hint="eastAsia" w:asciiTheme="majorEastAsia" w:hAnsiTheme="majorEastAsia" w:eastAsiaTheme="majorEastAsia" w:cstheme="majorEastAsia"/>
          <w:color w:val="auto"/>
          <w:sz w:val="24"/>
          <w:szCs w:val="24"/>
          <w:highlight w:val="none"/>
        </w:rPr>
      </w:pPr>
      <w:bookmarkStart w:id="369" w:name="_Toc455678139"/>
      <w:bookmarkStart w:id="370" w:name="_Toc10798"/>
      <w:bookmarkStart w:id="371" w:name="_Toc462934313"/>
      <w:bookmarkStart w:id="372" w:name="_Toc463011292"/>
      <w:bookmarkStart w:id="373" w:name="_Toc720"/>
      <w:r>
        <w:rPr>
          <w:rFonts w:hint="eastAsia" w:asciiTheme="majorEastAsia" w:hAnsiTheme="majorEastAsia" w:eastAsiaTheme="majorEastAsia" w:cstheme="majorEastAsia"/>
          <w:color w:val="auto"/>
          <w:sz w:val="24"/>
          <w:szCs w:val="24"/>
          <w:highlight w:val="none"/>
        </w:rPr>
        <w:t>在公告成交结果的同时，采购人或者采购代理机构向成交人发出成交通知书，成交通知书将作为进行合同磋商和签订合同的依据。</w:t>
      </w:r>
    </w:p>
    <w:bookmarkEnd w:id="369"/>
    <w:bookmarkEnd w:id="370"/>
    <w:bookmarkEnd w:id="371"/>
    <w:bookmarkEnd w:id="372"/>
    <w:bookmarkEnd w:id="373"/>
    <w:p w14:paraId="3006F8E0">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color w:val="auto"/>
          <w:sz w:val="24"/>
          <w:szCs w:val="24"/>
          <w:highlight w:val="none"/>
        </w:rPr>
      </w:pPr>
      <w:bookmarkStart w:id="374" w:name="_Toc23774432"/>
      <w:bookmarkStart w:id="375" w:name="_Toc23149"/>
      <w:r>
        <w:rPr>
          <w:rFonts w:hint="eastAsia" w:asciiTheme="majorEastAsia" w:hAnsiTheme="majorEastAsia" w:eastAsiaTheme="majorEastAsia" w:cstheme="majorEastAsia"/>
          <w:b/>
          <w:bCs/>
          <w:color w:val="auto"/>
          <w:sz w:val="24"/>
          <w:szCs w:val="24"/>
          <w:highlight w:val="none"/>
        </w:rPr>
        <w:t>授予合同</w:t>
      </w:r>
      <w:bookmarkEnd w:id="374"/>
      <w:bookmarkEnd w:id="375"/>
      <w:bookmarkStart w:id="376" w:name="_Toc32765"/>
    </w:p>
    <w:p w14:paraId="13141667">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377" w:name="_Toc26749"/>
      <w:bookmarkStart w:id="378" w:name="_Toc8361"/>
      <w:bookmarkStart w:id="379" w:name="_Toc5672"/>
      <w:r>
        <w:rPr>
          <w:rFonts w:hint="eastAsia" w:asciiTheme="majorEastAsia" w:hAnsiTheme="majorEastAsia" w:eastAsiaTheme="majorEastAsia" w:cstheme="majorEastAsia"/>
          <w:color w:val="auto"/>
          <w:sz w:val="24"/>
          <w:szCs w:val="24"/>
          <w:highlight w:val="none"/>
        </w:rPr>
        <w:t>采购人自成交通知书发出之日起30日内，按照竞争性磋商文件和成交人响应文件的规定，与成交人签订书面合同。所签订的合同不得对竞争性磋商文件确定的事项和成交人响应文件作实质性修改。</w:t>
      </w:r>
      <w:bookmarkEnd w:id="376"/>
      <w:bookmarkEnd w:id="377"/>
      <w:bookmarkEnd w:id="378"/>
      <w:bookmarkEnd w:id="379"/>
      <w:bookmarkStart w:id="380" w:name="_Toc26954"/>
    </w:p>
    <w:bookmarkEnd w:id="380"/>
    <w:p w14:paraId="738B4234">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381" w:name="_Toc12834"/>
      <w:bookmarkStart w:id="382" w:name="_Toc10652"/>
      <w:bookmarkStart w:id="383" w:name="_Toc14039"/>
      <w:bookmarkStart w:id="384" w:name="_Toc21772"/>
      <w:r>
        <w:rPr>
          <w:rFonts w:hint="eastAsia" w:asciiTheme="majorEastAsia" w:hAnsiTheme="majorEastAsia" w:eastAsiaTheme="majorEastAsia" w:cstheme="majorEastAsia"/>
          <w:color w:val="auto"/>
          <w:sz w:val="24"/>
          <w:szCs w:val="24"/>
          <w:highlight w:val="none"/>
        </w:rPr>
        <w:t>竞争性磋商文件、成交人的响应文件和澄清文件等，均应作为签约的合同文本的基础。</w:t>
      </w:r>
      <w:bookmarkEnd w:id="381"/>
      <w:bookmarkEnd w:id="382"/>
      <w:bookmarkEnd w:id="383"/>
      <w:bookmarkEnd w:id="384"/>
      <w:bookmarkStart w:id="385" w:name="_Toc5481"/>
    </w:p>
    <w:bookmarkEnd w:id="385"/>
    <w:p w14:paraId="73894C3D">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386" w:name="_Toc4762"/>
      <w:bookmarkStart w:id="387" w:name="_Toc18228"/>
      <w:bookmarkStart w:id="388" w:name="_Toc10089"/>
      <w:bookmarkStart w:id="389" w:name="_Toc12739"/>
      <w:r>
        <w:rPr>
          <w:rFonts w:hint="eastAsia" w:asciiTheme="majorEastAsia" w:hAnsiTheme="majorEastAsia" w:eastAsiaTheme="majorEastAsia" w:cstheme="majorEastAsia"/>
          <w:color w:val="auto"/>
          <w:sz w:val="24"/>
          <w:szCs w:val="24"/>
          <w:highlight w:val="none"/>
        </w:rPr>
        <w:t>政府采购合同包括采购人与成交人的名称和住所、标的、数量、质量、价款或者报酬、履行期限及地点和方式、验收要求、违约责任、解决争议的方法等内容。</w:t>
      </w:r>
      <w:bookmarkEnd w:id="386"/>
      <w:bookmarkEnd w:id="387"/>
      <w:bookmarkEnd w:id="388"/>
      <w:bookmarkEnd w:id="389"/>
      <w:bookmarkStart w:id="390" w:name="_Toc7717"/>
    </w:p>
    <w:p w14:paraId="08C6F3E5">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391" w:name="_Toc6035"/>
      <w:bookmarkStart w:id="392" w:name="_Toc18078"/>
      <w:bookmarkStart w:id="393" w:name="_Toc5311"/>
      <w:r>
        <w:rPr>
          <w:rFonts w:hint="eastAsia" w:asciiTheme="majorEastAsia" w:hAnsiTheme="majorEastAsia" w:eastAsiaTheme="majorEastAsia" w:cstheme="majorEastAsia"/>
          <w:color w:val="auto"/>
          <w:sz w:val="24"/>
          <w:szCs w:val="24"/>
          <w:highlight w:val="none"/>
        </w:rPr>
        <w:t>如成交人不按本章第6.1项约定签订合同，采购人将报请取消其成交决定，并没收其磋商保证金。采购人可按照磋商小组推荐的成交候选人名单排序，确定下一候选人为成交人或者重新采购。</w:t>
      </w:r>
      <w:bookmarkEnd w:id="390"/>
      <w:bookmarkEnd w:id="391"/>
      <w:bookmarkEnd w:id="392"/>
      <w:bookmarkEnd w:id="393"/>
    </w:p>
    <w:bookmarkEnd w:id="368"/>
    <w:p w14:paraId="3AC3F45C">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bCs/>
          <w:color w:val="auto"/>
          <w:sz w:val="24"/>
          <w:szCs w:val="24"/>
          <w:highlight w:val="none"/>
        </w:rPr>
      </w:pPr>
      <w:bookmarkStart w:id="394" w:name="_Toc269470338"/>
      <w:bookmarkStart w:id="395" w:name="_Toc25425"/>
      <w:bookmarkStart w:id="396" w:name="_Toc270604610"/>
      <w:r>
        <w:rPr>
          <w:rFonts w:hint="eastAsia" w:asciiTheme="majorEastAsia" w:hAnsiTheme="majorEastAsia" w:eastAsiaTheme="majorEastAsia" w:cstheme="majorEastAsia"/>
          <w:b/>
          <w:bCs/>
          <w:color w:val="auto"/>
          <w:sz w:val="24"/>
          <w:szCs w:val="24"/>
          <w:highlight w:val="none"/>
        </w:rPr>
        <w:t xml:space="preserve"> </w:t>
      </w:r>
      <w:bookmarkStart w:id="397" w:name="_Toc23774433"/>
      <w:bookmarkStart w:id="398" w:name="_Toc27882"/>
      <w:r>
        <w:rPr>
          <w:rFonts w:hint="eastAsia" w:asciiTheme="majorEastAsia" w:hAnsiTheme="majorEastAsia" w:eastAsiaTheme="majorEastAsia" w:cstheme="majorEastAsia"/>
          <w:b/>
          <w:bCs/>
          <w:color w:val="auto"/>
          <w:sz w:val="24"/>
          <w:szCs w:val="24"/>
          <w:highlight w:val="none"/>
        </w:rPr>
        <w:t>纪律和监督</w:t>
      </w:r>
      <w:bookmarkEnd w:id="394"/>
      <w:bookmarkEnd w:id="395"/>
      <w:bookmarkEnd w:id="396"/>
      <w:bookmarkEnd w:id="397"/>
      <w:bookmarkEnd w:id="398"/>
    </w:p>
    <w:p w14:paraId="7D35D2BA">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399" w:name="_Toc269470339"/>
      <w:bookmarkStart w:id="400" w:name="_Toc2717"/>
      <w:bookmarkStart w:id="401" w:name="_Toc454788046"/>
      <w:bookmarkStart w:id="402" w:name="_Toc277149399"/>
      <w:bookmarkStart w:id="403" w:name="_Toc270604838"/>
      <w:bookmarkStart w:id="404" w:name="_Toc31772"/>
      <w:bookmarkStart w:id="405" w:name="_Toc428351666"/>
      <w:bookmarkStart w:id="406" w:name="_Toc462934323"/>
      <w:bookmarkStart w:id="407" w:name="_Toc428276606"/>
      <w:bookmarkStart w:id="408" w:name="_Toc270604611"/>
      <w:bookmarkStart w:id="409" w:name="_Toc13152"/>
      <w:bookmarkStart w:id="410" w:name="_Toc455678149"/>
      <w:bookmarkStart w:id="411" w:name="_Toc463011302"/>
      <w:r>
        <w:rPr>
          <w:rFonts w:hint="eastAsia" w:asciiTheme="majorEastAsia" w:hAnsiTheme="majorEastAsia" w:eastAsiaTheme="majorEastAsia" w:cstheme="majorEastAsia"/>
          <w:b/>
          <w:color w:val="auto"/>
          <w:sz w:val="24"/>
          <w:szCs w:val="24"/>
          <w:highlight w:val="none"/>
        </w:rPr>
        <w:t>对采购人的纪律要求</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0ABB5B42">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采购人不得泄漏竞争性磋商中应当保密的情况和资料，不得与供应商串通损害国家利益、社会公共利益或者他人合法权益。</w:t>
      </w:r>
    </w:p>
    <w:p w14:paraId="015031F3">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412" w:name="_Toc454788047"/>
      <w:bookmarkStart w:id="413" w:name="_Toc10123"/>
      <w:bookmarkStart w:id="414" w:name="_Toc269470340"/>
      <w:bookmarkStart w:id="415" w:name="_Toc428276607"/>
      <w:bookmarkStart w:id="416" w:name="_Toc277149400"/>
      <w:bookmarkStart w:id="417" w:name="_Toc270604612"/>
      <w:bookmarkStart w:id="418" w:name="_Toc463011303"/>
      <w:bookmarkStart w:id="419" w:name="_Toc270604839"/>
      <w:bookmarkStart w:id="420" w:name="_Toc455678150"/>
      <w:bookmarkStart w:id="421" w:name="_Toc462934324"/>
      <w:bookmarkStart w:id="422" w:name="_Toc428351667"/>
      <w:bookmarkStart w:id="423" w:name="_Toc24245"/>
      <w:bookmarkStart w:id="424" w:name="_Toc1136"/>
      <w:r>
        <w:rPr>
          <w:rFonts w:hint="eastAsia" w:asciiTheme="majorEastAsia" w:hAnsiTheme="majorEastAsia" w:eastAsiaTheme="majorEastAsia" w:cstheme="majorEastAsia"/>
          <w:b/>
          <w:color w:val="auto"/>
          <w:sz w:val="24"/>
          <w:szCs w:val="24"/>
          <w:highlight w:val="none"/>
        </w:rPr>
        <w:t>对供应商的纪律要求</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4E16F228">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657776DD">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425" w:name="_Toc428351668"/>
      <w:bookmarkStart w:id="426" w:name="_Toc455678151"/>
      <w:bookmarkStart w:id="427" w:name="_Toc270604840"/>
      <w:bookmarkStart w:id="428" w:name="_Toc269470341"/>
      <w:bookmarkStart w:id="429" w:name="_Toc277149401"/>
      <w:bookmarkStart w:id="430" w:name="_Toc463011304"/>
      <w:bookmarkStart w:id="431" w:name="_Toc428276608"/>
      <w:bookmarkStart w:id="432" w:name="_Toc26184"/>
      <w:bookmarkStart w:id="433" w:name="_Toc454788048"/>
      <w:bookmarkStart w:id="434" w:name="_Toc23588"/>
      <w:bookmarkStart w:id="435" w:name="_Toc270604613"/>
      <w:bookmarkStart w:id="436" w:name="_Toc15953"/>
      <w:bookmarkStart w:id="437" w:name="_Toc462934325"/>
      <w:r>
        <w:rPr>
          <w:rFonts w:hint="eastAsia" w:asciiTheme="majorEastAsia" w:hAnsiTheme="majorEastAsia" w:eastAsiaTheme="majorEastAsia" w:cstheme="majorEastAsia"/>
          <w:b/>
          <w:color w:val="auto"/>
          <w:sz w:val="24"/>
          <w:szCs w:val="24"/>
          <w:highlight w:val="none"/>
        </w:rPr>
        <w:t>对磋商小组成员的纪律要求</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0CD88101">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395F0A29">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438" w:name="_Toc455678152"/>
      <w:bookmarkStart w:id="439" w:name="_Toc277149402"/>
      <w:bookmarkStart w:id="440" w:name="_Toc270604614"/>
      <w:bookmarkStart w:id="441" w:name="_Toc463011305"/>
      <w:bookmarkStart w:id="442" w:name="_Toc270604841"/>
      <w:bookmarkStart w:id="443" w:name="_Toc454788049"/>
      <w:bookmarkStart w:id="444" w:name="_Toc8563"/>
      <w:bookmarkStart w:id="445" w:name="_Toc269470342"/>
      <w:bookmarkStart w:id="446" w:name="_Toc4673"/>
      <w:bookmarkStart w:id="447" w:name="_Toc462934326"/>
      <w:bookmarkStart w:id="448" w:name="_Toc14202"/>
      <w:bookmarkStart w:id="449" w:name="_Toc428276609"/>
      <w:bookmarkStart w:id="450" w:name="_Toc428351669"/>
      <w:r>
        <w:rPr>
          <w:rFonts w:hint="eastAsia" w:asciiTheme="majorEastAsia" w:hAnsiTheme="majorEastAsia" w:eastAsiaTheme="majorEastAsia" w:cstheme="majorEastAsia"/>
          <w:b/>
          <w:color w:val="auto"/>
          <w:sz w:val="24"/>
          <w:szCs w:val="24"/>
          <w:highlight w:val="none"/>
        </w:rPr>
        <w:t>对与磋商活动有关的工作人员的纪律要求</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04797964">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0E02EBF3">
      <w:pPr>
        <w:keepNext/>
        <w:keepLines/>
        <w:pageBreakBefore w:val="0"/>
        <w:widowControl w:val="0"/>
        <w:numPr>
          <w:ilvl w:val="1"/>
          <w:numId w:val="2"/>
        </w:numPr>
        <w:kinsoku/>
        <w:wordWrap w:val="0"/>
        <w:overflowPunct/>
        <w:topLinePunct/>
        <w:bidi w:val="0"/>
        <w:spacing w:line="500" w:lineRule="exact"/>
        <w:jc w:val="left"/>
        <w:textAlignment w:val="auto"/>
        <w:outlineLvl w:val="2"/>
        <w:rPr>
          <w:rFonts w:hint="eastAsia" w:asciiTheme="majorEastAsia" w:hAnsiTheme="majorEastAsia" w:eastAsiaTheme="majorEastAsia" w:cstheme="majorEastAsia"/>
          <w:b/>
          <w:color w:val="auto"/>
          <w:sz w:val="24"/>
          <w:szCs w:val="24"/>
          <w:highlight w:val="none"/>
        </w:rPr>
      </w:pPr>
      <w:bookmarkStart w:id="451" w:name="_Toc269470343"/>
      <w:bookmarkStart w:id="452" w:name="_Toc29089"/>
      <w:bookmarkStart w:id="453" w:name="_Toc454788050"/>
      <w:bookmarkStart w:id="454" w:name="_Toc428276610"/>
      <w:bookmarkStart w:id="455" w:name="_Toc277149403"/>
      <w:bookmarkStart w:id="456" w:name="_Toc270604615"/>
      <w:bookmarkStart w:id="457" w:name="_Toc270604842"/>
      <w:bookmarkStart w:id="458" w:name="_Toc428351670"/>
      <w:r>
        <w:rPr>
          <w:rFonts w:hint="eastAsia" w:asciiTheme="majorEastAsia" w:hAnsiTheme="majorEastAsia" w:eastAsiaTheme="majorEastAsia" w:cstheme="majorEastAsia"/>
          <w:b/>
          <w:color w:val="auto"/>
          <w:sz w:val="24"/>
          <w:szCs w:val="24"/>
          <w:highlight w:val="none"/>
        </w:rPr>
        <w:t xml:space="preserve"> </w:t>
      </w:r>
      <w:bookmarkStart w:id="459" w:name="_Toc27033"/>
      <w:r>
        <w:rPr>
          <w:rFonts w:hint="eastAsia" w:asciiTheme="majorEastAsia" w:hAnsiTheme="majorEastAsia" w:eastAsiaTheme="majorEastAsia" w:cstheme="majorEastAsia"/>
          <w:b/>
          <w:color w:val="auto"/>
          <w:sz w:val="24"/>
          <w:szCs w:val="24"/>
          <w:highlight w:val="none"/>
        </w:rPr>
        <w:t>询问、质疑和投诉</w:t>
      </w:r>
      <w:bookmarkEnd w:id="451"/>
      <w:bookmarkEnd w:id="452"/>
      <w:bookmarkEnd w:id="453"/>
      <w:bookmarkEnd w:id="454"/>
      <w:bookmarkEnd w:id="455"/>
      <w:bookmarkEnd w:id="456"/>
      <w:bookmarkEnd w:id="457"/>
      <w:bookmarkEnd w:id="458"/>
      <w:bookmarkEnd w:id="459"/>
    </w:p>
    <w:p w14:paraId="284EF832">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60" w:name="_Toc462934328"/>
      <w:bookmarkStart w:id="461" w:name="_Toc455678154"/>
      <w:bookmarkStart w:id="462" w:name="_Toc11785"/>
      <w:bookmarkStart w:id="463" w:name="_Toc463011307"/>
      <w:bookmarkStart w:id="464" w:name="_Toc17445"/>
      <w:r>
        <w:rPr>
          <w:rFonts w:hint="eastAsia" w:asciiTheme="majorEastAsia" w:hAnsiTheme="majorEastAsia" w:eastAsiaTheme="majorEastAsia" w:cstheme="majorEastAsia"/>
          <w:color w:val="auto"/>
          <w:sz w:val="24"/>
          <w:szCs w:val="24"/>
          <w:highlight w:val="none"/>
        </w:rPr>
        <w:t>供应商或有关当事人对磋商过程、成交结果有异议的，可以向采购人或者采购代理机构提出询问。</w:t>
      </w:r>
      <w:bookmarkEnd w:id="460"/>
      <w:bookmarkEnd w:id="461"/>
      <w:bookmarkEnd w:id="462"/>
      <w:bookmarkEnd w:id="463"/>
      <w:bookmarkEnd w:id="464"/>
    </w:p>
    <w:p w14:paraId="196D0800">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65" w:name="_Toc27421"/>
      <w:bookmarkStart w:id="466" w:name="_Toc463011308"/>
      <w:bookmarkStart w:id="467" w:name="_Toc24621"/>
      <w:bookmarkStart w:id="468" w:name="_Toc455678155"/>
      <w:bookmarkStart w:id="469" w:name="_Toc462934329"/>
      <w:r>
        <w:rPr>
          <w:rFonts w:hint="eastAsia" w:asciiTheme="majorEastAsia" w:hAnsiTheme="majorEastAsia" w:eastAsiaTheme="majorEastAsia" w:cstheme="majorEastAsia"/>
          <w:color w:val="auto"/>
          <w:sz w:val="24"/>
          <w:szCs w:val="24"/>
          <w:highlight w:val="none"/>
        </w:rPr>
        <w:t>采购人或者采购代理机构应当在三个工作日内对供应商依法提出的询问作出答复。</w:t>
      </w:r>
      <w:bookmarkEnd w:id="465"/>
      <w:bookmarkEnd w:id="466"/>
      <w:bookmarkEnd w:id="467"/>
      <w:bookmarkEnd w:id="468"/>
      <w:bookmarkEnd w:id="469"/>
    </w:p>
    <w:p w14:paraId="5EC90554">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70" w:name="_Toc462934330"/>
      <w:bookmarkStart w:id="471" w:name="_Toc28381"/>
      <w:bookmarkStart w:id="472" w:name="_Toc455678156"/>
      <w:bookmarkStart w:id="473" w:name="_Toc30298"/>
      <w:bookmarkStart w:id="474" w:name="_Toc463011309"/>
      <w:r>
        <w:rPr>
          <w:rFonts w:hint="eastAsia" w:asciiTheme="majorEastAsia" w:hAnsiTheme="majorEastAsia" w:eastAsiaTheme="majorEastAsia" w:cstheme="majorEastAsia"/>
          <w:color w:val="auto"/>
          <w:sz w:val="24"/>
          <w:szCs w:val="24"/>
          <w:highlight w:val="none"/>
        </w:rPr>
        <w:t>供应商认为竞争性磋商文件、采购过程使自己的权益受到损害的，可以在知道或者应知其权益受到损害之日起七个工作日内，以书面形式向采购人提出质疑。</w:t>
      </w:r>
      <w:bookmarkEnd w:id="470"/>
      <w:bookmarkEnd w:id="471"/>
      <w:bookmarkEnd w:id="472"/>
      <w:bookmarkEnd w:id="473"/>
      <w:bookmarkEnd w:id="474"/>
    </w:p>
    <w:p w14:paraId="7C9DC325">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75" w:name="_Toc288"/>
      <w:bookmarkStart w:id="476" w:name="_Toc16614"/>
      <w:bookmarkStart w:id="477" w:name="_Toc463011310"/>
      <w:bookmarkStart w:id="478" w:name="_Toc462934331"/>
      <w:r>
        <w:rPr>
          <w:rFonts w:hint="eastAsia" w:asciiTheme="majorEastAsia" w:hAnsiTheme="majorEastAsia" w:eastAsiaTheme="majorEastAsia" w:cstheme="majorEastAsia"/>
          <w:color w:val="auto"/>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475"/>
      <w:bookmarkEnd w:id="476"/>
      <w:bookmarkEnd w:id="477"/>
      <w:bookmarkEnd w:id="478"/>
      <w:r>
        <w:rPr>
          <w:rFonts w:hint="eastAsia" w:asciiTheme="majorEastAsia" w:hAnsiTheme="majorEastAsia" w:eastAsiaTheme="majorEastAsia" w:cstheme="majorEastAsia"/>
          <w:color w:val="auto"/>
          <w:sz w:val="24"/>
          <w:szCs w:val="24"/>
          <w:highlight w:val="none"/>
        </w:rPr>
        <w:t>在法定质疑期内供应商针对同一采购程序环节的质疑应当一次性提出。</w:t>
      </w:r>
    </w:p>
    <w:p w14:paraId="24776805">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79" w:name="_Toc18478"/>
      <w:bookmarkStart w:id="480" w:name="_Toc5258"/>
      <w:bookmarkStart w:id="481" w:name="_Toc463011311"/>
      <w:bookmarkStart w:id="482" w:name="_Toc455678157"/>
      <w:bookmarkStart w:id="483" w:name="_Toc462934332"/>
      <w:r>
        <w:rPr>
          <w:rFonts w:hint="eastAsia" w:asciiTheme="majorEastAsia" w:hAnsiTheme="majorEastAsia" w:eastAsiaTheme="majorEastAsia" w:cstheme="majorEastAsia"/>
          <w:color w:val="auto"/>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479"/>
      <w:bookmarkEnd w:id="480"/>
      <w:bookmarkEnd w:id="481"/>
      <w:bookmarkEnd w:id="482"/>
      <w:bookmarkEnd w:id="483"/>
    </w:p>
    <w:p w14:paraId="07B8638B">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84" w:name="_Toc4898"/>
      <w:bookmarkStart w:id="485" w:name="_Toc463011312"/>
      <w:bookmarkStart w:id="486" w:name="_Toc21390"/>
      <w:bookmarkStart w:id="487" w:name="_Toc462934333"/>
      <w:bookmarkStart w:id="488" w:name="_Toc455678158"/>
      <w:r>
        <w:rPr>
          <w:rFonts w:hint="eastAsia" w:asciiTheme="majorEastAsia" w:hAnsiTheme="majorEastAsia" w:eastAsiaTheme="majorEastAsia" w:cstheme="majorEastAsia"/>
          <w:color w:val="auto"/>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484"/>
      <w:bookmarkEnd w:id="485"/>
      <w:bookmarkEnd w:id="486"/>
      <w:bookmarkEnd w:id="487"/>
      <w:bookmarkEnd w:id="488"/>
    </w:p>
    <w:p w14:paraId="48A9700C">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rPr>
      </w:pPr>
      <w:bookmarkStart w:id="489" w:name="_Toc11631"/>
      <w:bookmarkStart w:id="490" w:name="_Toc17682"/>
      <w:bookmarkStart w:id="491" w:name="_Toc462934334"/>
      <w:bookmarkStart w:id="492" w:name="_Toc463011313"/>
      <w:bookmarkStart w:id="493" w:name="_Toc455678159"/>
      <w:r>
        <w:rPr>
          <w:rFonts w:hint="eastAsia" w:asciiTheme="majorEastAsia" w:hAnsiTheme="majorEastAsia" w:eastAsiaTheme="majorEastAsia" w:cstheme="majorEastAsia"/>
          <w:color w:val="auto"/>
          <w:sz w:val="24"/>
          <w:szCs w:val="24"/>
          <w:highlight w:val="none"/>
        </w:rPr>
        <w:t>供应商质疑、投诉应当有明确的请求和必要的证明材料。供应商投诉的事项不得超出已质疑事项的范围。</w:t>
      </w:r>
      <w:bookmarkEnd w:id="489"/>
      <w:bookmarkEnd w:id="490"/>
      <w:bookmarkEnd w:id="491"/>
      <w:bookmarkEnd w:id="492"/>
      <w:bookmarkEnd w:id="493"/>
    </w:p>
    <w:p w14:paraId="72B1C33A">
      <w:pPr>
        <w:pageBreakBefore w:val="0"/>
        <w:widowControl w:val="0"/>
        <w:numPr>
          <w:ilvl w:val="0"/>
          <w:numId w:val="2"/>
        </w:numPr>
        <w:tabs>
          <w:tab w:val="left" w:pos="360"/>
        </w:tabs>
        <w:kinsoku/>
        <w:wordWrap w:val="0"/>
        <w:overflowPunct/>
        <w:topLinePunct/>
        <w:autoSpaceDE w:val="0"/>
        <w:autoSpaceDN w:val="0"/>
        <w:bidi w:val="0"/>
        <w:adjustRightInd w:val="0"/>
        <w:snapToGrid w:val="0"/>
        <w:spacing w:line="500" w:lineRule="exact"/>
        <w:contextualSpacing/>
        <w:textAlignment w:val="auto"/>
        <w:outlineLvl w:val="1"/>
        <w:rPr>
          <w:rFonts w:hint="eastAsia" w:asciiTheme="majorEastAsia" w:hAnsiTheme="majorEastAsia" w:eastAsiaTheme="majorEastAsia" w:cstheme="majorEastAsia"/>
          <w:b/>
          <w:bCs/>
          <w:color w:val="auto"/>
          <w:sz w:val="24"/>
          <w:szCs w:val="24"/>
          <w:highlight w:val="none"/>
        </w:rPr>
      </w:pPr>
      <w:bookmarkStart w:id="494" w:name="_Toc5729"/>
      <w:bookmarkStart w:id="495" w:name="_Toc23774435"/>
      <w:r>
        <w:rPr>
          <w:rFonts w:hint="eastAsia" w:asciiTheme="majorEastAsia" w:hAnsiTheme="majorEastAsia" w:eastAsiaTheme="majorEastAsia" w:cstheme="majorEastAsia"/>
          <w:b/>
          <w:bCs/>
          <w:color w:val="auto"/>
          <w:sz w:val="24"/>
          <w:szCs w:val="24"/>
          <w:highlight w:val="none"/>
        </w:rPr>
        <w:t>需要补充的其他内容</w:t>
      </w:r>
      <w:bookmarkEnd w:id="494"/>
      <w:bookmarkEnd w:id="495"/>
    </w:p>
    <w:p w14:paraId="45B3F0FF">
      <w:pPr>
        <w:pageBreakBefore w:val="0"/>
        <w:widowControl w:val="0"/>
        <w:numPr>
          <w:ilvl w:val="2"/>
          <w:numId w:val="2"/>
        </w:numPr>
        <w:kinsoku/>
        <w:wordWrap w:val="0"/>
        <w:overflowPunct/>
        <w:topLinePunct/>
        <w:bidi w:val="0"/>
        <w:spacing w:line="500" w:lineRule="exact"/>
        <w:ind w:firstLine="56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需要补充的其他内容：见供应商须知前附表。</w:t>
      </w:r>
      <w:bookmarkStart w:id="496" w:name="_Toc270604619"/>
      <w:bookmarkStart w:id="497" w:name="_Toc270604617"/>
    </w:p>
    <w:p w14:paraId="56F53610">
      <w:pPr>
        <w:pageBreakBefore w:val="0"/>
        <w:numPr>
          <w:ilvl w:val="0"/>
          <w:numId w:val="0"/>
        </w:numPr>
        <w:kinsoku/>
        <w:wordWrap w:val="0"/>
        <w:overflowPunct/>
        <w:topLinePunct/>
        <w:bidi w:val="0"/>
        <w:spacing w:line="460" w:lineRule="exact"/>
        <w:jc w:val="center"/>
        <w:textAlignment w:val="auto"/>
        <w:outlineLvl w:val="0"/>
        <w:rPr>
          <w:rFonts w:ascii="宋体" w:hAnsi="宋体" w:eastAsia="宋体" w:cs="宋体"/>
          <w:b/>
          <w:bCs/>
          <w:color w:val="auto"/>
          <w:sz w:val="30"/>
          <w:szCs w:val="30"/>
          <w:highlight w:val="none"/>
        </w:rPr>
      </w:pPr>
      <w:r>
        <w:rPr>
          <w:rFonts w:hint="eastAsia" w:ascii="宋体" w:hAnsi="宋体" w:eastAsia="宋体" w:cs="黑体"/>
          <w:color w:val="auto"/>
          <w:sz w:val="28"/>
          <w:szCs w:val="28"/>
          <w:highlight w:val="none"/>
          <w:lang w:eastAsia="zh-CN"/>
        </w:rPr>
        <w:br w:type="page"/>
      </w:r>
      <w:bookmarkEnd w:id="496"/>
      <w:bookmarkStart w:id="498" w:name="_Toc23774436"/>
      <w:bookmarkStart w:id="499" w:name="_Toc1582"/>
      <w:bookmarkStart w:id="500" w:name="_Toc28256"/>
      <w:r>
        <w:rPr>
          <w:rFonts w:hint="eastAsia" w:ascii="宋体" w:hAnsi="宋体" w:eastAsia="宋体" w:cs="宋体"/>
          <w:b/>
          <w:bCs/>
          <w:color w:val="auto"/>
          <w:sz w:val="30"/>
          <w:szCs w:val="30"/>
          <w:highlight w:val="none"/>
        </w:rPr>
        <w:t>第三章   评审办法</w:t>
      </w:r>
      <w:bookmarkEnd w:id="498"/>
      <w:bookmarkEnd w:id="499"/>
      <w:bookmarkEnd w:id="500"/>
    </w:p>
    <w:p w14:paraId="02CB5153">
      <w:pPr>
        <w:keepNext/>
        <w:keepLines/>
        <w:wordWrap w:val="0"/>
        <w:topLinePunct/>
        <w:spacing w:line="360" w:lineRule="auto"/>
        <w:ind w:left="482"/>
        <w:jc w:val="center"/>
        <w:outlineLvl w:val="2"/>
        <w:rPr>
          <w:rFonts w:ascii="宋体" w:hAnsi="宋体" w:eastAsia="宋体" w:cs="Times New Roman"/>
          <w:b/>
          <w:bCs/>
          <w:color w:val="auto"/>
          <w:sz w:val="28"/>
          <w:szCs w:val="28"/>
          <w:highlight w:val="none"/>
        </w:rPr>
      </w:pPr>
      <w:bookmarkStart w:id="501" w:name="_Toc6633"/>
      <w:bookmarkStart w:id="502" w:name="_Toc22649"/>
      <w:bookmarkStart w:id="503" w:name="_Toc21398"/>
      <w:bookmarkStart w:id="504" w:name="_Toc14114"/>
      <w:bookmarkStart w:id="505" w:name="_Toc23659"/>
      <w:bookmarkStart w:id="506" w:name="_Toc4734"/>
      <w:bookmarkStart w:id="507" w:name="_Toc16535"/>
      <w:bookmarkStart w:id="508" w:name="_Toc16256"/>
      <w:bookmarkStart w:id="509" w:name="_Toc22753"/>
      <w:bookmarkStart w:id="510" w:name="_Toc16950"/>
      <w:bookmarkStart w:id="511" w:name="_Toc12415"/>
      <w:bookmarkStart w:id="512" w:name="_Toc1534"/>
      <w:bookmarkStart w:id="513" w:name="_Toc9836"/>
      <w:r>
        <w:rPr>
          <w:rFonts w:hint="eastAsia" w:ascii="宋体" w:hAnsi="宋体" w:eastAsia="宋体" w:cs="Times New Roman"/>
          <w:b/>
          <w:bCs/>
          <w:color w:val="auto"/>
          <w:sz w:val="28"/>
          <w:szCs w:val="28"/>
          <w:highlight w:val="none"/>
        </w:rPr>
        <w:t>评审办法前附表</w:t>
      </w:r>
      <w:bookmarkEnd w:id="501"/>
      <w:bookmarkEnd w:id="502"/>
      <w:bookmarkEnd w:id="503"/>
      <w:bookmarkEnd w:id="504"/>
      <w:bookmarkEnd w:id="505"/>
      <w:bookmarkEnd w:id="506"/>
      <w:bookmarkEnd w:id="507"/>
      <w:bookmarkEnd w:id="508"/>
      <w:bookmarkEnd w:id="509"/>
      <w:bookmarkEnd w:id="510"/>
      <w:bookmarkEnd w:id="511"/>
      <w:bookmarkEnd w:id="512"/>
    </w:p>
    <w:tbl>
      <w:tblPr>
        <w:tblStyle w:val="1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410"/>
        <w:gridCol w:w="5103"/>
      </w:tblGrid>
      <w:tr w14:paraId="0B7F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66" w:type="dxa"/>
            <w:gridSpan w:val="2"/>
            <w:vAlign w:val="center"/>
          </w:tcPr>
          <w:p w14:paraId="00A86198">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w:t>
            </w:r>
          </w:p>
        </w:tc>
        <w:tc>
          <w:tcPr>
            <w:tcW w:w="2410" w:type="dxa"/>
            <w:vAlign w:val="center"/>
          </w:tcPr>
          <w:p w14:paraId="578B4D1E">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103" w:type="dxa"/>
            <w:vAlign w:val="center"/>
          </w:tcPr>
          <w:p w14:paraId="5364E9B2">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1AFF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90" w:type="dxa"/>
            <w:vMerge w:val="restart"/>
            <w:vAlign w:val="center"/>
          </w:tcPr>
          <w:p w14:paraId="55EA4ED6">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w:t>
            </w:r>
          </w:p>
        </w:tc>
        <w:tc>
          <w:tcPr>
            <w:tcW w:w="876" w:type="dxa"/>
            <w:vMerge w:val="restart"/>
            <w:vAlign w:val="center"/>
          </w:tcPr>
          <w:p w14:paraId="21CC104B">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410" w:type="dxa"/>
            <w:vAlign w:val="center"/>
          </w:tcPr>
          <w:p w14:paraId="0E89A37A">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103" w:type="dxa"/>
            <w:vAlign w:val="center"/>
          </w:tcPr>
          <w:p w14:paraId="04045C58">
            <w:pPr>
              <w:widowControl/>
              <w:wordWrap w:val="0"/>
              <w:topLinePunct/>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kern w:val="0"/>
                <w:sz w:val="24"/>
                <w:szCs w:val="24"/>
                <w:highlight w:val="none"/>
              </w:rPr>
              <w:t>与营业执照、资质证书、安全生产许可证一致</w:t>
            </w:r>
          </w:p>
        </w:tc>
      </w:tr>
      <w:tr w14:paraId="1150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0" w:type="dxa"/>
            <w:vMerge w:val="continue"/>
            <w:vAlign w:val="center"/>
          </w:tcPr>
          <w:p w14:paraId="3ACE3A59">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70F8632B">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46BF8BA0">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103" w:type="dxa"/>
            <w:vAlign w:val="center"/>
          </w:tcPr>
          <w:p w14:paraId="3A57A8AA">
            <w:pPr>
              <w:widowControl/>
              <w:wordWrap w:val="0"/>
              <w:topLinePunct/>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2519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0" w:type="dxa"/>
            <w:vMerge w:val="continue"/>
            <w:vAlign w:val="center"/>
          </w:tcPr>
          <w:p w14:paraId="271737EB">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542F8B62">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0667465F">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103" w:type="dxa"/>
            <w:vAlign w:val="center"/>
          </w:tcPr>
          <w:p w14:paraId="04F079EA">
            <w:pPr>
              <w:widowControl/>
              <w:wordWrap w:val="0"/>
              <w:topLinePunct/>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p>
        </w:tc>
      </w:tr>
      <w:tr w14:paraId="5B64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90" w:type="dxa"/>
            <w:vMerge w:val="restart"/>
            <w:vAlign w:val="center"/>
          </w:tcPr>
          <w:p w14:paraId="1794F21F">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w:t>
            </w:r>
          </w:p>
        </w:tc>
        <w:tc>
          <w:tcPr>
            <w:tcW w:w="876" w:type="dxa"/>
            <w:vMerge w:val="restart"/>
            <w:vAlign w:val="center"/>
          </w:tcPr>
          <w:p w14:paraId="16F89ED7">
            <w:pPr>
              <w:widowControl/>
              <w:wordWrap w:val="0"/>
              <w:topLinePunct/>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410" w:type="dxa"/>
            <w:vAlign w:val="center"/>
          </w:tcPr>
          <w:p w14:paraId="34E0F824">
            <w:pPr>
              <w:widowControl/>
              <w:wordWrap w:val="0"/>
              <w:topLinePunct/>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w:t>
            </w:r>
          </w:p>
        </w:tc>
        <w:tc>
          <w:tcPr>
            <w:tcW w:w="5103" w:type="dxa"/>
            <w:vAlign w:val="center"/>
          </w:tcPr>
          <w:p w14:paraId="33A9B0B8">
            <w:pPr>
              <w:widowControl/>
              <w:wordWrap w:val="0"/>
              <w:topLinePunct/>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具有有效的营业执照</w:t>
            </w:r>
          </w:p>
        </w:tc>
      </w:tr>
      <w:tr w14:paraId="4F7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990" w:type="dxa"/>
            <w:vMerge w:val="continue"/>
            <w:vAlign w:val="center"/>
          </w:tcPr>
          <w:p w14:paraId="42D29421">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39DF7136">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64AC68F9">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资质证书</w:t>
            </w:r>
          </w:p>
        </w:tc>
        <w:tc>
          <w:tcPr>
            <w:tcW w:w="5103" w:type="dxa"/>
            <w:vAlign w:val="center"/>
          </w:tcPr>
          <w:p w14:paraId="34F5B048">
            <w:pPr>
              <w:pStyle w:val="6"/>
              <w:keepNext w:val="0"/>
              <w:keepLines w:val="0"/>
              <w:pageBreakBefore w:val="0"/>
              <w:widowControl w:val="0"/>
              <w:kinsoku/>
              <w:overflowPunct/>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具有建设行政主管</w:t>
            </w:r>
            <w:r>
              <w:rPr>
                <w:rFonts w:hint="eastAsia" w:ascii="宋体" w:hAnsi="宋体" w:eastAsia="宋体" w:cs="宋体"/>
                <w:color w:val="auto"/>
                <w:sz w:val="24"/>
                <w:szCs w:val="24"/>
                <w:highlight w:val="none"/>
                <w:lang w:eastAsia="zh-CN"/>
              </w:rPr>
              <w:t>部门</w:t>
            </w:r>
            <w:r>
              <w:rPr>
                <w:rFonts w:hint="eastAsia" w:asciiTheme="minorEastAsia" w:hAnsiTheme="minorEastAsia" w:eastAsiaTheme="minorEastAsia" w:cstheme="minorEastAsia"/>
                <w:color w:val="auto"/>
                <w:sz w:val="24"/>
                <w:szCs w:val="24"/>
                <w:highlight w:val="none"/>
              </w:rPr>
              <w:t>颁发的建筑工程施工总承包</w:t>
            </w:r>
            <w:r>
              <w:rPr>
                <w:rFonts w:hint="eastAsia" w:asciiTheme="minorEastAsia" w:hAnsiTheme="minorEastAsia" w:eastAsiaTheme="minorEastAsia" w:cstheme="minorEastAsia"/>
                <w:color w:val="auto"/>
                <w:sz w:val="24"/>
                <w:szCs w:val="24"/>
                <w:highlight w:val="none"/>
                <w:lang w:eastAsia="zh-CN"/>
              </w:rPr>
              <w:t>叁</w:t>
            </w:r>
            <w:r>
              <w:rPr>
                <w:rFonts w:hint="eastAsia" w:asciiTheme="minorEastAsia" w:hAnsiTheme="minorEastAsia" w:eastAsiaTheme="minorEastAsia" w:cstheme="minorEastAsia"/>
                <w:color w:val="auto"/>
                <w:sz w:val="24"/>
                <w:szCs w:val="24"/>
                <w:highlight w:val="none"/>
              </w:rPr>
              <w:t>级及以上资质或建筑装修装饰工程专业承包贰级及以上资质，在人员、设备、资金等方面具有相应的施工能力；</w:t>
            </w:r>
          </w:p>
          <w:p w14:paraId="75FED685">
            <w:pPr>
              <w:wordWrap w:val="0"/>
              <w:topLinePunct/>
              <w:autoSpaceDE w:val="0"/>
              <w:autoSpaceDN w:val="0"/>
              <w:adjustRightInd w:val="0"/>
              <w:spacing w:line="360" w:lineRule="auto"/>
              <w:ind w:left="37" w:leftChars="18"/>
              <w:jc w:val="left"/>
              <w:rPr>
                <w:rFonts w:hint="default" w:ascii="宋体" w:hAnsi="宋体" w:eastAsia="宋体" w:cs="宋体"/>
                <w:color w:val="0000FF"/>
                <w:sz w:val="24"/>
                <w:szCs w:val="24"/>
                <w:highlight w:val="none"/>
                <w:lang w:val="en-US" w:eastAsia="zh-CN"/>
              </w:rPr>
            </w:pPr>
          </w:p>
          <w:p w14:paraId="5D090C02">
            <w:pPr>
              <w:wordWrap w:val="0"/>
              <w:topLinePunct/>
              <w:autoSpaceDE w:val="0"/>
              <w:autoSpaceDN w:val="0"/>
              <w:adjustRightInd w:val="0"/>
              <w:spacing w:line="360" w:lineRule="auto"/>
              <w:ind w:left="37" w:leftChars="18"/>
              <w:jc w:val="left"/>
              <w:rPr>
                <w:rFonts w:ascii="宋体" w:hAnsi="宋体" w:eastAsia="宋体" w:cs="宋体"/>
                <w:color w:val="auto"/>
                <w:sz w:val="24"/>
                <w:szCs w:val="24"/>
                <w:highlight w:val="none"/>
              </w:rPr>
            </w:pPr>
          </w:p>
        </w:tc>
      </w:tr>
      <w:tr w14:paraId="5467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0" w:type="dxa"/>
            <w:vMerge w:val="continue"/>
            <w:vAlign w:val="center"/>
          </w:tcPr>
          <w:p w14:paraId="012A1551">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7F54FCE9">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31425463">
            <w:pPr>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安全生产许可证</w:t>
            </w:r>
          </w:p>
        </w:tc>
        <w:tc>
          <w:tcPr>
            <w:tcW w:w="5103" w:type="dxa"/>
            <w:vAlign w:val="center"/>
          </w:tcPr>
          <w:p w14:paraId="32C12022">
            <w:pPr>
              <w:wordWrap w:val="0"/>
              <w:topLinePunct/>
              <w:autoSpaceDE w:val="0"/>
              <w:autoSpaceDN w:val="0"/>
              <w:adjustRightInd w:val="0"/>
              <w:spacing w:line="360" w:lineRule="auto"/>
              <w:ind w:left="37" w:leftChars="18"/>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具备有效的</w:t>
            </w:r>
            <w:r>
              <w:rPr>
                <w:rFonts w:hint="eastAsia" w:ascii="宋体" w:hAnsi="宋体" w:eastAsia="宋体" w:cs="宋体"/>
                <w:color w:val="auto"/>
                <w:sz w:val="24"/>
                <w:szCs w:val="24"/>
                <w:highlight w:val="none"/>
              </w:rPr>
              <w:t>安全生产许可证</w:t>
            </w:r>
          </w:p>
        </w:tc>
      </w:tr>
      <w:tr w14:paraId="712F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990" w:type="dxa"/>
            <w:vMerge w:val="continue"/>
            <w:vAlign w:val="center"/>
          </w:tcPr>
          <w:p w14:paraId="48105CDE">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39DCBA3F">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0F0D8348">
            <w:pPr>
              <w:wordWrap w:val="0"/>
              <w:topLinePunct/>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项目经理</w:t>
            </w:r>
          </w:p>
        </w:tc>
        <w:tc>
          <w:tcPr>
            <w:tcW w:w="5103" w:type="dxa"/>
            <w:vAlign w:val="center"/>
          </w:tcPr>
          <w:p w14:paraId="624E96BF">
            <w:pPr>
              <w:wordWrap w:val="0"/>
              <w:topLinePunct/>
              <w:autoSpaceDE w:val="0"/>
              <w:autoSpaceDN w:val="0"/>
              <w:adjustRightInd w:val="0"/>
              <w:spacing w:line="360" w:lineRule="auto"/>
              <w:ind w:left="37" w:leftChars="18"/>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拟派项目经理须具备建筑工程专业贰级及以上注册建造师资格，并具有有效的安全生产考核合格证，且未在其他在建工程项目中担任项目经理，并出具无在建项目证明（承诺书）</w:t>
            </w:r>
          </w:p>
        </w:tc>
      </w:tr>
      <w:tr w14:paraId="157E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0" w:type="dxa"/>
            <w:vMerge w:val="continue"/>
            <w:vAlign w:val="center"/>
          </w:tcPr>
          <w:p w14:paraId="20B201E6">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5EDB556F">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33E7EB13">
            <w:pPr>
              <w:wordWrap w:val="0"/>
              <w:topLinePunct/>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pacing w:val="-2"/>
                <w:sz w:val="24"/>
                <w:szCs w:val="24"/>
                <w:highlight w:val="none"/>
              </w:rPr>
              <w:t>无商业贿赂及不正当竞争行为</w:t>
            </w:r>
          </w:p>
        </w:tc>
        <w:tc>
          <w:tcPr>
            <w:tcW w:w="5103" w:type="dxa"/>
            <w:vAlign w:val="center"/>
          </w:tcPr>
          <w:p w14:paraId="7587B16B">
            <w:pPr>
              <w:wordWrap w:val="0"/>
              <w:topLinePunct/>
              <w:autoSpaceDE w:val="0"/>
              <w:autoSpaceDN w:val="0"/>
              <w:adjustRightInd w:val="0"/>
              <w:spacing w:line="360" w:lineRule="auto"/>
              <w:ind w:left="37" w:leftChars="18"/>
              <w:jc w:val="left"/>
              <w:rPr>
                <w:rFonts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出具本企业无商业贿赂及不正当竞争行为的承诺书（格式自拟）</w:t>
            </w:r>
            <w:r>
              <w:rPr>
                <w:rFonts w:hint="eastAsia" w:ascii="宋体" w:hAnsi="宋体" w:eastAsia="宋体" w:cs="宋体"/>
                <w:color w:val="auto"/>
                <w:sz w:val="24"/>
                <w:szCs w:val="24"/>
                <w:highlight w:val="none"/>
              </w:rPr>
              <w:t>；</w:t>
            </w:r>
          </w:p>
        </w:tc>
      </w:tr>
      <w:tr w14:paraId="7A67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990" w:type="dxa"/>
            <w:vMerge w:val="continue"/>
            <w:vAlign w:val="center"/>
          </w:tcPr>
          <w:p w14:paraId="4585B4E8">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6BA6D3BE">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16BF69D7">
            <w:pPr>
              <w:wordWrap w:val="0"/>
              <w:topLinePunct/>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信用查询网页截图</w:t>
            </w:r>
          </w:p>
        </w:tc>
        <w:tc>
          <w:tcPr>
            <w:tcW w:w="5103" w:type="dxa"/>
            <w:vAlign w:val="center"/>
          </w:tcPr>
          <w:p w14:paraId="6F62AF6D">
            <w:pPr>
              <w:wordWrap w:val="0"/>
              <w:topLinePunct/>
              <w:autoSpaceDE w:val="0"/>
              <w:autoSpaceDN w:val="0"/>
              <w:adjustRightInd w:val="0"/>
              <w:spacing w:line="360" w:lineRule="auto"/>
              <w:ind w:left="37" w:leftChars="18"/>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根据《关于在政府采购活动中查询及使用信用记录有关问题的通知》</w:t>
            </w:r>
            <w:r>
              <w:rPr>
                <w:rFonts w:ascii="宋体" w:hAnsi="宋体" w:eastAsia="宋体" w:cs="宋体"/>
                <w:color w:val="auto"/>
                <w:sz w:val="24"/>
                <w:szCs w:val="24"/>
                <w:highlight w:val="none"/>
              </w:rPr>
              <w:t>(财库[2016]125号)和豫财购【2016】15号的规定，企业没有被列入“中国执行信息公开网”网站的“失信被执行人”、“信用中国”网站的“重大税收违法失信主体”及“中国政府采购网”网站的“政府采购严重违法失信行为记录名单”，查询渠道：</w:t>
            </w:r>
          </w:p>
          <w:p w14:paraId="403E4A34">
            <w:pPr>
              <w:wordWrap w:val="0"/>
              <w:topLinePunct/>
              <w:autoSpaceDE w:val="0"/>
              <w:autoSpaceDN w:val="0"/>
              <w:adjustRightInd w:val="0"/>
              <w:spacing w:line="360" w:lineRule="auto"/>
              <w:ind w:left="37" w:leftChars="18"/>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 xml:space="preserve"> “中国执行信息公开网”网站（http://zxgk.court.gov.cn/shixin）“信用中国”网站（www.creditchina.gov.cn）、中国政府采购网（www.ccgp.gov.cn）</w:t>
            </w:r>
            <w:r>
              <w:rPr>
                <w:rFonts w:hint="eastAsia" w:ascii="宋体" w:hAnsi="宋体" w:eastAsia="宋体" w:cs="宋体"/>
                <w:color w:val="auto"/>
                <w:sz w:val="24"/>
                <w:szCs w:val="24"/>
                <w:highlight w:val="none"/>
              </w:rPr>
              <w:t>；提供网站的查询结果截图，截图要显示查询时间，查询时间自本公告发布之日起；</w:t>
            </w:r>
          </w:p>
        </w:tc>
      </w:tr>
      <w:tr w14:paraId="0B5D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90" w:type="dxa"/>
            <w:vMerge w:val="continue"/>
            <w:vAlign w:val="center"/>
          </w:tcPr>
          <w:p w14:paraId="3AF48550">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23801496">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59061D70">
            <w:pPr>
              <w:widowControl/>
              <w:wordWrap w:val="0"/>
              <w:topLinePunct/>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满足《中华人民共和国政府采购法》第二十二条规定承诺书</w:t>
            </w:r>
          </w:p>
        </w:tc>
        <w:tc>
          <w:tcPr>
            <w:tcW w:w="5103" w:type="dxa"/>
            <w:vAlign w:val="center"/>
          </w:tcPr>
          <w:p w14:paraId="45E33894">
            <w:pPr>
              <w:widowControl/>
              <w:wordWrap w:val="0"/>
              <w:topLinePunct/>
              <w:spacing w:line="360" w:lineRule="auto"/>
              <w:jc w:val="left"/>
              <w:rPr>
                <w:rFonts w:hint="eastAsia" w:ascii="宋体" w:hAnsi="宋体" w:eastAsia="宋体" w:cs="宋体"/>
                <w:color w:val="auto"/>
                <w:kern w:val="0"/>
                <w:sz w:val="24"/>
                <w:szCs w:val="24"/>
                <w:highlight w:val="none"/>
                <w:lang w:val="en-US" w:eastAsia="zh-CN"/>
              </w:rPr>
            </w:pPr>
          </w:p>
          <w:p w14:paraId="4065E334">
            <w:pPr>
              <w:widowControl/>
              <w:wordWrap w:val="0"/>
              <w:topLinePunct/>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承诺函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格式见响应文件格式附件</w:t>
            </w:r>
            <w:r>
              <w:rPr>
                <w:rFonts w:hint="eastAsia" w:ascii="宋体" w:hAnsi="宋体" w:eastAsia="宋体" w:cs="宋体"/>
                <w:color w:val="auto"/>
                <w:kern w:val="0"/>
                <w:sz w:val="24"/>
                <w:szCs w:val="24"/>
                <w:highlight w:val="none"/>
                <w:lang w:eastAsia="zh-CN"/>
              </w:rPr>
              <w:t>）；</w:t>
            </w:r>
          </w:p>
        </w:tc>
      </w:tr>
      <w:tr w14:paraId="11E8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90" w:type="dxa"/>
            <w:vMerge w:val="restart"/>
            <w:vAlign w:val="center"/>
          </w:tcPr>
          <w:p w14:paraId="5DCF86AB">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w:t>
            </w:r>
          </w:p>
        </w:tc>
        <w:tc>
          <w:tcPr>
            <w:tcW w:w="876" w:type="dxa"/>
            <w:vMerge w:val="restart"/>
            <w:vAlign w:val="center"/>
          </w:tcPr>
          <w:p w14:paraId="426E54CD">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410" w:type="dxa"/>
            <w:vAlign w:val="center"/>
          </w:tcPr>
          <w:p w14:paraId="67D05CB1">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w:t>
            </w:r>
          </w:p>
        </w:tc>
        <w:tc>
          <w:tcPr>
            <w:tcW w:w="5103" w:type="dxa"/>
            <w:vAlign w:val="center"/>
          </w:tcPr>
          <w:p w14:paraId="1DF4A558">
            <w:pPr>
              <w:widowControl/>
              <w:wordWrap w:val="0"/>
              <w:topLinePunct/>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报价未超过竞争性磋商文件中规定的</w:t>
            </w:r>
            <w:r>
              <w:rPr>
                <w:rFonts w:hint="eastAsia" w:ascii="宋体" w:hAnsi="宋体" w:eastAsia="宋体" w:cs="宋体"/>
                <w:color w:val="auto"/>
                <w:kern w:val="0"/>
                <w:sz w:val="24"/>
                <w:szCs w:val="24"/>
                <w:highlight w:val="none"/>
                <w:lang w:eastAsia="zh-CN"/>
              </w:rPr>
              <w:t>磋商控制价；</w:t>
            </w:r>
          </w:p>
        </w:tc>
      </w:tr>
      <w:tr w14:paraId="5E64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0" w:type="dxa"/>
            <w:vMerge w:val="continue"/>
            <w:vAlign w:val="center"/>
          </w:tcPr>
          <w:p w14:paraId="5810DAED">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17CB5ED6">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68C9C4B6">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w:t>
            </w:r>
          </w:p>
        </w:tc>
        <w:tc>
          <w:tcPr>
            <w:tcW w:w="5103" w:type="dxa"/>
            <w:vAlign w:val="center"/>
          </w:tcPr>
          <w:p w14:paraId="2221EC98">
            <w:pPr>
              <w:widowControl/>
              <w:wordWrap w:val="0"/>
              <w:topLinePunct/>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自合同签订之日起180日历天；</w:t>
            </w:r>
          </w:p>
        </w:tc>
      </w:tr>
      <w:tr w14:paraId="7315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0" w:type="dxa"/>
            <w:vMerge w:val="continue"/>
            <w:vAlign w:val="center"/>
          </w:tcPr>
          <w:p w14:paraId="3BB65A37">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06F16D26">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0A0079EB">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5103" w:type="dxa"/>
            <w:vAlign w:val="center"/>
          </w:tcPr>
          <w:p w14:paraId="44703F8A">
            <w:pPr>
              <w:widowControl/>
              <w:wordWrap w:val="0"/>
              <w:topLinePunct/>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达到国家规定质量验收合格标准</w:t>
            </w:r>
            <w:r>
              <w:rPr>
                <w:rFonts w:hint="eastAsia" w:ascii="宋体" w:hAnsi="宋体" w:eastAsia="宋体" w:cs="宋体"/>
                <w:color w:val="auto"/>
                <w:kern w:val="0"/>
                <w:sz w:val="24"/>
                <w:szCs w:val="24"/>
                <w:highlight w:val="none"/>
                <w:lang w:eastAsia="zh-CN"/>
              </w:rPr>
              <w:t>；</w:t>
            </w:r>
          </w:p>
        </w:tc>
      </w:tr>
      <w:tr w14:paraId="134B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0" w:type="dxa"/>
            <w:vMerge w:val="continue"/>
            <w:vAlign w:val="center"/>
          </w:tcPr>
          <w:p w14:paraId="16496394">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67F8F51D">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129C4447">
            <w:pPr>
              <w:widowControl/>
              <w:wordWrap w:val="0"/>
              <w:topLinePunct/>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安全目标</w:t>
            </w:r>
          </w:p>
        </w:tc>
        <w:tc>
          <w:tcPr>
            <w:tcW w:w="5103" w:type="dxa"/>
            <w:vAlign w:val="center"/>
          </w:tcPr>
          <w:p w14:paraId="3F5FAD64">
            <w:pPr>
              <w:widowControl/>
              <w:wordWrap w:val="0"/>
              <w:topLinePunct/>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零事故；</w:t>
            </w:r>
          </w:p>
        </w:tc>
      </w:tr>
      <w:tr w14:paraId="5881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0" w:type="dxa"/>
            <w:vMerge w:val="continue"/>
            <w:vAlign w:val="center"/>
          </w:tcPr>
          <w:p w14:paraId="45549429">
            <w:pPr>
              <w:widowControl/>
              <w:wordWrap w:val="0"/>
              <w:topLinePunct/>
              <w:spacing w:line="360" w:lineRule="auto"/>
              <w:jc w:val="center"/>
              <w:rPr>
                <w:rFonts w:ascii="宋体" w:hAnsi="宋体" w:eastAsia="宋体" w:cs="宋体"/>
                <w:color w:val="auto"/>
                <w:kern w:val="0"/>
                <w:sz w:val="24"/>
                <w:szCs w:val="24"/>
                <w:highlight w:val="none"/>
              </w:rPr>
            </w:pPr>
          </w:p>
        </w:tc>
        <w:tc>
          <w:tcPr>
            <w:tcW w:w="876" w:type="dxa"/>
            <w:vMerge w:val="continue"/>
            <w:vAlign w:val="center"/>
          </w:tcPr>
          <w:p w14:paraId="24060F63">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vAlign w:val="center"/>
          </w:tcPr>
          <w:p w14:paraId="539310FC">
            <w:pPr>
              <w:widowControl/>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103" w:type="dxa"/>
            <w:vAlign w:val="center"/>
          </w:tcPr>
          <w:p w14:paraId="3821A98C">
            <w:pPr>
              <w:widowControl/>
              <w:wordWrap w:val="0"/>
              <w:topLinePunct/>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响应文件递交截止之日起</w:t>
            </w:r>
            <w:r>
              <w:rPr>
                <w:rFonts w:hint="eastAsia" w:ascii="宋体" w:hAnsi="宋体" w:eastAsia="宋体" w:cs="宋体"/>
                <w:color w:val="auto"/>
                <w:sz w:val="24"/>
                <w:szCs w:val="24"/>
                <w:highlight w:val="none"/>
                <w:u w:val="single"/>
              </w:rPr>
              <w:t xml:space="preserve"> 60</w:t>
            </w:r>
            <w:r>
              <w:rPr>
                <w:rFonts w:hint="eastAsia" w:ascii="宋体" w:hAnsi="宋体" w:eastAsia="宋体" w:cs="宋体"/>
                <w:color w:val="auto"/>
                <w:sz w:val="24"/>
                <w:szCs w:val="24"/>
                <w:highlight w:val="none"/>
              </w:rPr>
              <w:t>日历天</w:t>
            </w:r>
            <w:r>
              <w:rPr>
                <w:rFonts w:hint="eastAsia" w:ascii="宋体" w:hAnsi="宋体" w:eastAsia="宋体" w:cs="宋体"/>
                <w:color w:val="auto"/>
                <w:sz w:val="24"/>
                <w:szCs w:val="24"/>
                <w:highlight w:val="none"/>
                <w:lang w:eastAsia="zh-CN"/>
              </w:rPr>
              <w:t>；</w:t>
            </w:r>
          </w:p>
        </w:tc>
      </w:tr>
      <w:bookmarkEnd w:id="513"/>
    </w:tbl>
    <w:p w14:paraId="3F4F81BA">
      <w:pPr>
        <w:rPr>
          <w:rFonts w:hint="eastAsia"/>
          <w:color w:val="auto"/>
          <w:highlight w:val="none"/>
          <w:lang w:eastAsia="zh-CN"/>
        </w:rPr>
      </w:pPr>
      <w:bookmarkStart w:id="514" w:name="_Toc10297"/>
    </w:p>
    <w:p w14:paraId="10AAA472">
      <w:pPr>
        <w:rPr>
          <w:rFonts w:hint="eastAsia"/>
          <w:color w:val="auto"/>
          <w:highlight w:val="none"/>
          <w:lang w:eastAsia="zh-CN"/>
        </w:rPr>
      </w:pPr>
    </w:p>
    <w:p w14:paraId="3C15C438">
      <w:pPr>
        <w:rPr>
          <w:rFonts w:hint="eastAsia"/>
          <w:color w:val="auto"/>
          <w:highlight w:val="none"/>
          <w:lang w:eastAsia="zh-CN"/>
        </w:rPr>
      </w:pPr>
    </w:p>
    <w:p w14:paraId="0C27C9EC">
      <w:pPr>
        <w:rPr>
          <w:rFonts w:hint="eastAsia"/>
          <w:lang w:eastAsia="zh-CN"/>
        </w:rPr>
      </w:pPr>
    </w:p>
    <w:p w14:paraId="0CF1CA09">
      <w:pPr>
        <w:rPr>
          <w:rFonts w:hint="eastAsia"/>
          <w:lang w:eastAsia="zh-CN"/>
        </w:rPr>
      </w:pPr>
    </w:p>
    <w:p w14:paraId="47DB5B4B">
      <w:pPr>
        <w:rPr>
          <w:rFonts w:hint="eastAsia"/>
          <w:lang w:eastAsia="zh-CN"/>
        </w:rPr>
      </w:pPr>
    </w:p>
    <w:p w14:paraId="1C6B7339">
      <w:pPr>
        <w:rPr>
          <w:rFonts w:hint="eastAsia"/>
          <w:lang w:eastAsia="zh-CN"/>
        </w:rPr>
      </w:pPr>
    </w:p>
    <w:p w14:paraId="6788D307">
      <w:pPr>
        <w:rPr>
          <w:rFonts w:hint="eastAsia"/>
          <w:lang w:val="en-US" w:eastAsia="zh-CN"/>
        </w:rPr>
      </w:pPr>
    </w:p>
    <w:p w14:paraId="2B5FD60E">
      <w:pPr>
        <w:rPr>
          <w:rFonts w:hint="eastAsia"/>
          <w:lang w:val="en-US" w:eastAsia="zh-CN"/>
        </w:rPr>
      </w:pPr>
    </w:p>
    <w:p w14:paraId="67FB1B78">
      <w:pPr>
        <w:rPr>
          <w:rFonts w:hint="eastAsia"/>
          <w:lang w:val="en-US" w:eastAsia="zh-CN"/>
        </w:rPr>
      </w:pPr>
    </w:p>
    <w:p w14:paraId="549FF709">
      <w:pPr>
        <w:rPr>
          <w:rFonts w:hint="eastAsia"/>
          <w:lang w:val="en-US" w:eastAsia="zh-CN"/>
        </w:rPr>
      </w:pPr>
    </w:p>
    <w:p w14:paraId="20080770">
      <w:pPr>
        <w:rPr>
          <w:rFonts w:hint="eastAsia"/>
          <w:lang w:val="en-US" w:eastAsia="zh-CN"/>
        </w:rPr>
      </w:pPr>
    </w:p>
    <w:p w14:paraId="3F8578EF">
      <w:pPr>
        <w:rPr>
          <w:rFonts w:hint="eastAsia"/>
          <w:lang w:val="en-US" w:eastAsia="zh-CN"/>
        </w:rPr>
      </w:pPr>
    </w:p>
    <w:p w14:paraId="35799918">
      <w:pPr>
        <w:rPr>
          <w:rFonts w:hint="eastAsia"/>
          <w:lang w:val="en-US" w:eastAsia="zh-CN"/>
        </w:rPr>
      </w:pPr>
    </w:p>
    <w:p w14:paraId="187E2584">
      <w:pPr>
        <w:rPr>
          <w:rFonts w:hint="default"/>
          <w:lang w:val="en-US" w:eastAsia="zh-CN"/>
        </w:rPr>
      </w:pPr>
    </w:p>
    <w:p w14:paraId="37186CB3">
      <w:pPr>
        <w:rPr>
          <w:rFonts w:hint="eastAsia"/>
          <w:lang w:eastAsia="zh-CN"/>
        </w:rPr>
      </w:pPr>
    </w:p>
    <w:p w14:paraId="3AE457C9">
      <w:pPr>
        <w:rPr>
          <w:rFonts w:hint="eastAsia"/>
          <w:lang w:eastAsia="zh-CN"/>
        </w:rPr>
      </w:pPr>
    </w:p>
    <w:p w14:paraId="6D2B0A05">
      <w:pPr>
        <w:rPr>
          <w:rFonts w:hint="eastAsia"/>
          <w:lang w:eastAsia="zh-CN"/>
        </w:rPr>
      </w:pPr>
    </w:p>
    <w:p w14:paraId="7104637E">
      <w:pPr>
        <w:keepNext/>
        <w:keepLines/>
        <w:pageBreakBefore w:val="0"/>
        <w:widowControl w:val="0"/>
        <w:kinsoku/>
        <w:wordWrap w:val="0"/>
        <w:overflowPunct/>
        <w:topLinePunct/>
        <w:autoSpaceDE/>
        <w:autoSpaceDN/>
        <w:bidi w:val="0"/>
        <w:adjustRightInd/>
        <w:snapToGrid/>
        <w:spacing w:line="240" w:lineRule="auto"/>
        <w:jc w:val="center"/>
        <w:textAlignment w:val="auto"/>
        <w:outlineLvl w:val="2"/>
        <w:rPr>
          <w:rFonts w:hint="eastAsia" w:ascii="宋体" w:hAnsi="宋体"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eastAsia="zh-CN"/>
        </w:rPr>
        <w:t>详细评分标准</w:t>
      </w:r>
    </w:p>
    <w:tbl>
      <w:tblPr>
        <w:tblStyle w:val="1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57AB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253" w:type="dxa"/>
            <w:noWrap w:val="0"/>
            <w:vAlign w:val="center"/>
          </w:tcPr>
          <w:p w14:paraId="3CB871C7">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764" w:type="dxa"/>
            <w:noWrap w:val="0"/>
            <w:vAlign w:val="center"/>
          </w:tcPr>
          <w:p w14:paraId="594BEFEC">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6362" w:type="dxa"/>
            <w:noWrap w:val="0"/>
            <w:vAlign w:val="center"/>
          </w:tcPr>
          <w:p w14:paraId="124B4434">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tc>
      </w:tr>
      <w:tr w14:paraId="4A16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restart"/>
            <w:noWrap w:val="0"/>
            <w:vAlign w:val="center"/>
          </w:tcPr>
          <w:p w14:paraId="433A506D">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技术部分</w:t>
            </w:r>
          </w:p>
          <w:p w14:paraId="562E2CA3">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4A89F2A0">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50</w:t>
            </w:r>
            <w:r>
              <w:rPr>
                <w:rFonts w:hint="eastAsia" w:ascii="宋体" w:hAnsi="宋体" w:eastAsia="宋体" w:cs="宋体"/>
                <w:sz w:val="24"/>
                <w:szCs w:val="24"/>
                <w:highlight w:val="none"/>
              </w:rPr>
              <w:t>分）</w:t>
            </w:r>
          </w:p>
        </w:tc>
        <w:tc>
          <w:tcPr>
            <w:tcW w:w="1764" w:type="dxa"/>
            <w:noWrap w:val="0"/>
            <w:vAlign w:val="center"/>
          </w:tcPr>
          <w:p w14:paraId="24DED0A7">
            <w:pPr>
              <w:spacing w:line="480" w:lineRule="exact"/>
              <w:jc w:val="center"/>
              <w:rPr>
                <w:rFonts w:ascii="宋体" w:hAnsi="宋体" w:eastAsia="宋体"/>
                <w:sz w:val="24"/>
                <w:szCs w:val="24"/>
                <w:highlight w:val="none"/>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6362" w:type="dxa"/>
            <w:noWrap w:val="0"/>
            <w:vAlign w:val="center"/>
          </w:tcPr>
          <w:p w14:paraId="5C04E3F8">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0098C6C1">
            <w:pPr>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2ACC7778">
            <w:pPr>
              <w:spacing w:line="24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2ED2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240AFB4C">
            <w:pPr>
              <w:spacing w:line="440" w:lineRule="exact"/>
              <w:jc w:val="center"/>
              <w:rPr>
                <w:rFonts w:ascii="宋体" w:hAnsi="宋体" w:eastAsia="宋体" w:cs="宋体"/>
                <w:sz w:val="24"/>
                <w:szCs w:val="24"/>
                <w:highlight w:val="none"/>
              </w:rPr>
            </w:pPr>
          </w:p>
        </w:tc>
        <w:tc>
          <w:tcPr>
            <w:tcW w:w="1764" w:type="dxa"/>
            <w:noWrap w:val="0"/>
            <w:vAlign w:val="center"/>
          </w:tcPr>
          <w:p w14:paraId="70DC1F77">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5960697D">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305F40CF">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组织机构形式合理，对项目提出先进、可行、具体的保证措施的得6分；</w:t>
            </w:r>
          </w:p>
          <w:p w14:paraId="40CCB6B2">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组织机构形式基本合理，具体措施可行的得4分；</w:t>
            </w:r>
          </w:p>
          <w:p w14:paraId="6EA08E80">
            <w:pPr>
              <w:spacing w:line="420" w:lineRule="exact"/>
              <w:jc w:val="left"/>
              <w:rPr>
                <w:rFonts w:hint="eastAsia" w:ascii="宋体" w:hAnsi="宋体" w:eastAsia="宋体" w:cs="宋体"/>
                <w:sz w:val="24"/>
                <w:szCs w:val="24"/>
                <w:highlight w:val="none"/>
              </w:rPr>
            </w:pPr>
            <w:r>
              <w:rPr>
                <w:rFonts w:hint="eastAsia" w:ascii="宋体" w:hAnsi="宋体" w:eastAsia="宋体" w:cs="宋体"/>
                <w:sz w:val="24"/>
                <w:highlight w:val="none"/>
              </w:rPr>
              <w:t>组织机构形式及措施一般的得2分。</w:t>
            </w:r>
          </w:p>
        </w:tc>
      </w:tr>
      <w:tr w14:paraId="42B4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6DE7D000">
            <w:pPr>
              <w:spacing w:line="440" w:lineRule="exact"/>
              <w:jc w:val="center"/>
              <w:rPr>
                <w:rFonts w:ascii="宋体" w:hAnsi="宋体" w:eastAsia="宋体" w:cs="宋体"/>
                <w:sz w:val="24"/>
                <w:szCs w:val="24"/>
                <w:highlight w:val="none"/>
              </w:rPr>
            </w:pPr>
          </w:p>
        </w:tc>
        <w:tc>
          <w:tcPr>
            <w:tcW w:w="1764" w:type="dxa"/>
            <w:noWrap w:val="0"/>
            <w:vAlign w:val="center"/>
          </w:tcPr>
          <w:p w14:paraId="6871ED7D">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34B14ABE">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78607D6A">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5D596D7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0A016D83">
            <w:pPr>
              <w:spacing w:line="420" w:lineRule="exact"/>
              <w:jc w:val="left"/>
              <w:rPr>
                <w:rFonts w:hint="eastAsia" w:ascii="宋体" w:hAnsi="宋体" w:eastAsia="宋体" w:cs="宋体"/>
                <w:sz w:val="24"/>
                <w:szCs w:val="24"/>
                <w:highlight w:val="none"/>
              </w:rPr>
            </w:pPr>
            <w:r>
              <w:rPr>
                <w:rFonts w:hint="eastAsia" w:ascii="宋体" w:hAnsi="宋体" w:eastAsia="宋体" w:cs="宋体"/>
                <w:sz w:val="24"/>
                <w:highlight w:val="none"/>
              </w:rPr>
              <w:t>安全管理体系与措施一般的得2分。</w:t>
            </w:r>
          </w:p>
        </w:tc>
      </w:tr>
      <w:tr w14:paraId="0308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5D84D79B">
            <w:pPr>
              <w:spacing w:line="440" w:lineRule="exact"/>
              <w:jc w:val="center"/>
              <w:rPr>
                <w:rFonts w:ascii="宋体" w:hAnsi="宋体" w:eastAsia="宋体" w:cs="宋体"/>
                <w:sz w:val="24"/>
                <w:szCs w:val="24"/>
                <w:highlight w:val="none"/>
              </w:rPr>
            </w:pPr>
          </w:p>
        </w:tc>
        <w:tc>
          <w:tcPr>
            <w:tcW w:w="1764" w:type="dxa"/>
            <w:noWrap w:val="0"/>
            <w:vAlign w:val="center"/>
          </w:tcPr>
          <w:p w14:paraId="494BC9D8">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2533DC71">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770568A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文明施工、环境保护管理体系健全，扬尘治理措施科学合理、先进可行的得6分；</w:t>
            </w:r>
          </w:p>
          <w:p w14:paraId="1F0CFEC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文明施工、环境保护管理体系基本健全，扬尘治理措施基本可行的得4分；</w:t>
            </w:r>
          </w:p>
          <w:p w14:paraId="527F3651">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文明施工、环境保护管理体系及施工现场扬尘治理措施一般的得2分。</w:t>
            </w:r>
          </w:p>
        </w:tc>
      </w:tr>
      <w:tr w14:paraId="55FE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151EEB5C">
            <w:pPr>
              <w:spacing w:line="440" w:lineRule="exact"/>
              <w:jc w:val="center"/>
              <w:rPr>
                <w:rFonts w:ascii="宋体" w:hAnsi="宋体" w:eastAsia="宋体" w:cs="宋体"/>
                <w:sz w:val="24"/>
                <w:szCs w:val="24"/>
                <w:highlight w:val="none"/>
              </w:rPr>
            </w:pPr>
          </w:p>
        </w:tc>
        <w:tc>
          <w:tcPr>
            <w:tcW w:w="1764" w:type="dxa"/>
            <w:noWrap w:val="0"/>
            <w:vAlign w:val="center"/>
          </w:tcPr>
          <w:p w14:paraId="2BF46139">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6DAB9E7">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4446E94E">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工期承诺满足磋商文件要求，工期保证措施合理且有针对性，有具体的违约责任承诺的得6分；</w:t>
            </w:r>
          </w:p>
          <w:p w14:paraId="7B7F598A">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工期承诺满足磋商文件要求，工期保证措施基本合理，有违约责任承诺的得4分；</w:t>
            </w:r>
          </w:p>
          <w:p w14:paraId="2BAB4233">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工期承诺满足磋商文件要求，工期保证措施一般的得2分。</w:t>
            </w:r>
          </w:p>
        </w:tc>
      </w:tr>
      <w:tr w14:paraId="65A2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376F843E">
            <w:pPr>
              <w:spacing w:line="440" w:lineRule="exact"/>
              <w:jc w:val="center"/>
              <w:rPr>
                <w:rFonts w:ascii="宋体" w:hAnsi="宋体" w:eastAsia="宋体" w:cs="宋体"/>
                <w:sz w:val="24"/>
                <w:szCs w:val="24"/>
                <w:highlight w:val="none"/>
              </w:rPr>
            </w:pPr>
          </w:p>
        </w:tc>
        <w:tc>
          <w:tcPr>
            <w:tcW w:w="1764" w:type="dxa"/>
            <w:noWrap w:val="0"/>
            <w:vAlign w:val="center"/>
          </w:tcPr>
          <w:p w14:paraId="16600DA4">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4DDD4DE2">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09484C2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0A22889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38692DBC">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拟投入资源配备计划一般的得2分。</w:t>
            </w:r>
          </w:p>
        </w:tc>
      </w:tr>
      <w:tr w14:paraId="2739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2467BA60">
            <w:pPr>
              <w:spacing w:line="440" w:lineRule="exact"/>
              <w:jc w:val="center"/>
              <w:rPr>
                <w:rFonts w:ascii="宋体" w:hAnsi="宋体" w:eastAsia="宋体" w:cs="宋体"/>
                <w:sz w:val="24"/>
                <w:szCs w:val="24"/>
                <w:highlight w:val="none"/>
              </w:rPr>
            </w:pPr>
          </w:p>
        </w:tc>
        <w:tc>
          <w:tcPr>
            <w:tcW w:w="1764" w:type="dxa"/>
            <w:noWrap w:val="0"/>
            <w:vAlign w:val="center"/>
          </w:tcPr>
          <w:p w14:paraId="6CA72097">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44A90C8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D38E58A">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00266498">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施工进度表或网络计划图一般的得2分。</w:t>
            </w:r>
          </w:p>
        </w:tc>
      </w:tr>
      <w:tr w14:paraId="5A3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575FFB57">
            <w:pPr>
              <w:spacing w:line="440" w:lineRule="exact"/>
              <w:jc w:val="center"/>
              <w:rPr>
                <w:rFonts w:ascii="宋体" w:hAnsi="宋体" w:eastAsia="宋体" w:cs="宋体"/>
                <w:sz w:val="24"/>
                <w:szCs w:val="24"/>
                <w:highlight w:val="none"/>
              </w:rPr>
            </w:pPr>
          </w:p>
        </w:tc>
        <w:tc>
          <w:tcPr>
            <w:tcW w:w="1764" w:type="dxa"/>
            <w:noWrap w:val="0"/>
            <w:vAlign w:val="center"/>
          </w:tcPr>
          <w:p w14:paraId="53FB51B8">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1E7414E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4C125BD8">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78F29C27">
            <w:pPr>
              <w:spacing w:line="420" w:lineRule="exact"/>
              <w:jc w:val="left"/>
              <w:rPr>
                <w:rFonts w:hint="eastAsia" w:ascii="宋体" w:hAnsi="宋体" w:eastAsia="宋体" w:cs="宋体"/>
                <w:sz w:val="24"/>
                <w:szCs w:val="24"/>
                <w:highlight w:val="none"/>
              </w:rPr>
            </w:pPr>
            <w:r>
              <w:rPr>
                <w:rFonts w:hint="eastAsia" w:ascii="宋体" w:hAnsi="宋体" w:eastAsia="宋体" w:cs="宋体"/>
                <w:sz w:val="24"/>
                <w:highlight w:val="none"/>
              </w:rPr>
              <w:t>技术创新的应用实施措施一般的得2分。</w:t>
            </w:r>
          </w:p>
        </w:tc>
      </w:tr>
      <w:tr w14:paraId="281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39442B39">
            <w:pPr>
              <w:spacing w:line="440" w:lineRule="exact"/>
              <w:jc w:val="center"/>
              <w:rPr>
                <w:rFonts w:ascii="宋体" w:hAnsi="宋体" w:eastAsia="宋体" w:cs="宋体"/>
                <w:sz w:val="24"/>
                <w:szCs w:val="24"/>
                <w:highlight w:val="none"/>
              </w:rPr>
            </w:pPr>
          </w:p>
        </w:tc>
        <w:tc>
          <w:tcPr>
            <w:tcW w:w="1764" w:type="dxa"/>
            <w:noWrap w:val="0"/>
            <w:vAlign w:val="center"/>
          </w:tcPr>
          <w:p w14:paraId="1204FE57">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3375EB58">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1002B5D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ascii="宋体" w:hAnsi="宋体" w:eastAsia="宋体" w:cs="宋体"/>
                <w:sz w:val="24"/>
                <w:highlight w:val="none"/>
              </w:rPr>
              <w:t>5</w:t>
            </w:r>
            <w:r>
              <w:rPr>
                <w:rFonts w:hint="eastAsia" w:ascii="宋体" w:hAnsi="宋体" w:eastAsia="宋体" w:cs="宋体"/>
                <w:sz w:val="24"/>
                <w:highlight w:val="none"/>
              </w:rPr>
              <w:t>分；</w:t>
            </w:r>
          </w:p>
          <w:p w14:paraId="1C647CD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ascii="宋体" w:hAnsi="宋体" w:eastAsia="宋体" w:cs="宋体"/>
                <w:sz w:val="24"/>
                <w:highlight w:val="none"/>
              </w:rPr>
              <w:t>3</w:t>
            </w:r>
            <w:r>
              <w:rPr>
                <w:rFonts w:hint="eastAsia" w:ascii="宋体" w:hAnsi="宋体" w:eastAsia="宋体" w:cs="宋体"/>
                <w:sz w:val="24"/>
                <w:highlight w:val="none"/>
              </w:rPr>
              <w:t>分；</w:t>
            </w:r>
          </w:p>
          <w:p w14:paraId="7F0F4F94">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风险管理措施一般的得2分。</w:t>
            </w:r>
          </w:p>
        </w:tc>
      </w:tr>
      <w:tr w14:paraId="7E94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noWrap w:val="0"/>
            <w:vAlign w:val="center"/>
          </w:tcPr>
          <w:p w14:paraId="184A8319">
            <w:pPr>
              <w:spacing w:line="440" w:lineRule="exact"/>
              <w:jc w:val="center"/>
              <w:rPr>
                <w:rFonts w:ascii="宋体" w:hAnsi="宋体" w:eastAsia="宋体" w:cs="宋体"/>
                <w:sz w:val="24"/>
                <w:szCs w:val="24"/>
                <w:highlight w:val="none"/>
              </w:rPr>
            </w:pPr>
          </w:p>
        </w:tc>
        <w:tc>
          <w:tcPr>
            <w:tcW w:w="8126" w:type="dxa"/>
            <w:gridSpan w:val="2"/>
            <w:noWrap w:val="0"/>
            <w:vAlign w:val="center"/>
          </w:tcPr>
          <w:p w14:paraId="72DAFEE0">
            <w:pPr>
              <w:spacing w:line="420" w:lineRule="exact"/>
              <w:rPr>
                <w:rFonts w:ascii="宋体" w:hAnsi="宋体" w:eastAsia="宋体" w:cs="宋体"/>
                <w:sz w:val="24"/>
                <w:szCs w:val="24"/>
                <w:highlight w:val="none"/>
              </w:rPr>
            </w:pPr>
            <w:r>
              <w:rPr>
                <w:rFonts w:hint="eastAsia" w:ascii="宋体" w:hAnsi="宋体" w:eastAsia="宋体" w:cs="宋体"/>
                <w:sz w:val="24"/>
                <w:szCs w:val="24"/>
                <w:highlight w:val="none"/>
              </w:rPr>
              <w:t>以上项目若有缺项的，该项为0分；不缺项的，不低于最低分。</w:t>
            </w:r>
          </w:p>
        </w:tc>
      </w:tr>
      <w:tr w14:paraId="4BFE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253" w:type="dxa"/>
            <w:noWrap w:val="0"/>
            <w:vAlign w:val="center"/>
          </w:tcPr>
          <w:p w14:paraId="68140640">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磋商报价</w:t>
            </w:r>
          </w:p>
          <w:p w14:paraId="1EF32207">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65B4DDE6">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30</w:t>
            </w:r>
            <w:r>
              <w:rPr>
                <w:rFonts w:hint="eastAsia" w:ascii="宋体" w:hAnsi="宋体" w:eastAsia="宋体" w:cs="宋体"/>
                <w:sz w:val="24"/>
                <w:szCs w:val="24"/>
                <w:highlight w:val="none"/>
              </w:rPr>
              <w:t>分）</w:t>
            </w:r>
          </w:p>
        </w:tc>
        <w:tc>
          <w:tcPr>
            <w:tcW w:w="1764" w:type="dxa"/>
            <w:noWrap w:val="0"/>
            <w:vAlign w:val="center"/>
          </w:tcPr>
          <w:p w14:paraId="0C70B0FB">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6362" w:type="dxa"/>
            <w:noWrap w:val="0"/>
            <w:vAlign w:val="center"/>
          </w:tcPr>
          <w:p w14:paraId="60575FEE">
            <w:pPr>
              <w:spacing w:line="42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14:paraId="3C690ECA">
            <w:pPr>
              <w:spacing w:line="420" w:lineRule="exact"/>
              <w:jc w:val="left"/>
              <w:rPr>
                <w:rFonts w:ascii="宋体" w:hAnsi="宋体" w:eastAsia="宋体" w:cs="宋体"/>
                <w:sz w:val="24"/>
                <w:szCs w:val="24"/>
                <w:highlight w:val="none"/>
              </w:rPr>
            </w:pPr>
            <w:r>
              <w:rPr>
                <w:rFonts w:hint="eastAsia" w:ascii="宋体" w:hAnsi="宋体" w:eastAsia="宋体" w:cs="微软雅黑"/>
                <w:b/>
                <w:kern w:val="0"/>
                <w:sz w:val="24"/>
                <w:szCs w:val="24"/>
                <w:highlight w:val="none"/>
              </w:rPr>
              <w:t>根据《政府采购促进中小企业发展管理办法》（财库﹝</w:t>
            </w:r>
            <w:r>
              <w:rPr>
                <w:rFonts w:hint="eastAsia" w:ascii="宋体" w:hAnsi="宋体" w:eastAsia="宋体" w:cs="宋体"/>
                <w:b/>
                <w:kern w:val="0"/>
                <w:sz w:val="24"/>
                <w:szCs w:val="24"/>
                <w:highlight w:val="none"/>
              </w:rPr>
              <w:t>2020</w:t>
            </w:r>
            <w:r>
              <w:rPr>
                <w:rFonts w:hint="eastAsia" w:ascii="宋体" w:hAnsi="宋体" w:eastAsia="宋体" w:cs="微软雅黑"/>
                <w:b/>
                <w:kern w:val="0"/>
                <w:sz w:val="24"/>
                <w:szCs w:val="24"/>
                <w:highlight w:val="none"/>
              </w:rPr>
              <w:t>﹞</w:t>
            </w:r>
            <w:r>
              <w:rPr>
                <w:rFonts w:hint="eastAsia" w:ascii="宋体" w:hAnsi="宋体" w:eastAsia="宋体" w:cs="宋体"/>
                <w:b/>
                <w:kern w:val="0"/>
                <w:sz w:val="24"/>
                <w:szCs w:val="24"/>
                <w:highlight w:val="none"/>
              </w:rPr>
              <w:t xml:space="preserve">46 </w:t>
            </w:r>
            <w:r>
              <w:rPr>
                <w:rFonts w:hint="eastAsia" w:ascii="宋体" w:hAnsi="宋体" w:eastAsia="宋体" w:cs="微软雅黑"/>
                <w:b/>
                <w:kern w:val="0"/>
                <w:sz w:val="24"/>
                <w:szCs w:val="24"/>
                <w:highlight w:val="none"/>
              </w:rPr>
              <w:t>号）的规定，对小型、微型企业承建的价格给予</w:t>
            </w:r>
            <w:r>
              <w:rPr>
                <w:rFonts w:hint="eastAsia" w:ascii="宋体" w:hAnsi="宋体" w:eastAsia="宋体" w:cs="宋体"/>
                <w:b/>
                <w:kern w:val="0"/>
                <w:sz w:val="24"/>
                <w:szCs w:val="24"/>
                <w:highlight w:val="none"/>
              </w:rPr>
              <w:t>3%</w:t>
            </w:r>
            <w:r>
              <w:rPr>
                <w:rFonts w:hint="eastAsia" w:ascii="宋体" w:hAnsi="宋体" w:eastAsia="宋体" w:cs="微软雅黑"/>
                <w:b/>
                <w:kern w:val="0"/>
                <w:sz w:val="24"/>
                <w:szCs w:val="24"/>
                <w:highlight w:val="none"/>
              </w:rPr>
              <w:t>～</w:t>
            </w:r>
            <w:r>
              <w:rPr>
                <w:rFonts w:hint="eastAsia" w:ascii="宋体" w:hAnsi="宋体" w:eastAsia="宋体" w:cs="宋体"/>
                <w:b/>
                <w:kern w:val="0"/>
                <w:sz w:val="24"/>
                <w:szCs w:val="24"/>
                <w:highlight w:val="none"/>
              </w:rPr>
              <w:t>5%</w:t>
            </w:r>
            <w:r>
              <w:rPr>
                <w:rFonts w:hint="eastAsia" w:ascii="宋体" w:hAnsi="宋体" w:eastAsia="宋体" w:cs="微软雅黑"/>
                <w:b/>
                <w:kern w:val="0"/>
                <w:sz w:val="24"/>
                <w:szCs w:val="24"/>
                <w:highlight w:val="none"/>
              </w:rPr>
              <w:t>的扣除，用扣除后的价格参与评审，本项目的扣除比例为：小型企业扣除</w:t>
            </w:r>
            <w:r>
              <w:rPr>
                <w:rFonts w:hint="eastAsia" w:ascii="宋体" w:hAnsi="宋体" w:eastAsia="宋体" w:cs="宋体"/>
                <w:b/>
                <w:kern w:val="0"/>
                <w:sz w:val="24"/>
                <w:szCs w:val="24"/>
                <w:highlight w:val="none"/>
              </w:rPr>
              <w:t>3%</w:t>
            </w:r>
            <w:r>
              <w:rPr>
                <w:rFonts w:hint="eastAsia" w:ascii="宋体" w:hAnsi="宋体" w:eastAsia="宋体" w:cs="微软雅黑"/>
                <w:b/>
                <w:kern w:val="0"/>
                <w:sz w:val="24"/>
                <w:szCs w:val="24"/>
                <w:highlight w:val="none"/>
              </w:rPr>
              <w:t>，微型企业扣除</w:t>
            </w:r>
            <w:r>
              <w:rPr>
                <w:rFonts w:hint="eastAsia" w:ascii="宋体" w:hAnsi="宋体" w:eastAsia="宋体" w:cs="宋体"/>
                <w:b/>
                <w:kern w:val="0"/>
                <w:sz w:val="24"/>
                <w:szCs w:val="24"/>
                <w:highlight w:val="none"/>
              </w:rPr>
              <w:t>3%</w:t>
            </w:r>
          </w:p>
        </w:tc>
      </w:tr>
      <w:tr w14:paraId="47F2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53" w:type="dxa"/>
            <w:vMerge w:val="restart"/>
            <w:noWrap w:val="0"/>
            <w:vAlign w:val="center"/>
          </w:tcPr>
          <w:p w14:paraId="73A73E41">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综合部分</w:t>
            </w:r>
          </w:p>
          <w:p w14:paraId="61418ACC">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  （2</w:t>
            </w:r>
            <w:r>
              <w:rPr>
                <w:rFonts w:ascii="宋体" w:hAnsi="宋体" w:eastAsia="宋体" w:cs="宋体"/>
                <w:sz w:val="24"/>
                <w:szCs w:val="24"/>
                <w:highlight w:val="none"/>
              </w:rPr>
              <w:t>0</w:t>
            </w:r>
            <w:r>
              <w:rPr>
                <w:rFonts w:hint="eastAsia" w:ascii="宋体" w:hAnsi="宋体" w:eastAsia="宋体" w:cs="宋体"/>
                <w:sz w:val="24"/>
                <w:szCs w:val="24"/>
                <w:highlight w:val="none"/>
              </w:rPr>
              <w:t>分）</w:t>
            </w:r>
          </w:p>
        </w:tc>
        <w:tc>
          <w:tcPr>
            <w:tcW w:w="1764" w:type="dxa"/>
            <w:noWrap w:val="0"/>
            <w:vAlign w:val="center"/>
          </w:tcPr>
          <w:p w14:paraId="4234F350">
            <w:pPr>
              <w:spacing w:line="440" w:lineRule="exact"/>
              <w:jc w:val="center"/>
              <w:rPr>
                <w:rFonts w:ascii="宋体" w:hAnsi="宋体" w:eastAsia="宋体" w:cs="宋体"/>
                <w:bCs/>
                <w:sz w:val="24"/>
                <w:szCs w:val="24"/>
                <w:highlight w:val="none"/>
              </w:rPr>
            </w:pPr>
            <w:r>
              <w:rPr>
                <w:rFonts w:hint="eastAsia" w:ascii="宋体" w:hAnsi="宋体" w:eastAsia="宋体" w:cs="宋体"/>
                <w:bCs/>
                <w:sz w:val="24"/>
                <w:szCs w:val="24"/>
                <w:highlight w:val="none"/>
              </w:rPr>
              <w:t>企业业绩</w:t>
            </w:r>
          </w:p>
          <w:p w14:paraId="5517E0E5">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362" w:type="dxa"/>
            <w:noWrap w:val="0"/>
            <w:vAlign w:val="center"/>
          </w:tcPr>
          <w:p w14:paraId="721E1208">
            <w:pPr>
              <w:spacing w:line="420" w:lineRule="exact"/>
              <w:rPr>
                <w:rFonts w:ascii="宋体" w:hAnsi="宋体" w:eastAsia="宋体" w:cs="宋体"/>
                <w:sz w:val="24"/>
                <w:szCs w:val="24"/>
                <w:highlight w:val="none"/>
              </w:rPr>
            </w:pPr>
            <w:r>
              <w:rPr>
                <w:rFonts w:hint="eastAsia" w:ascii="宋体" w:hAnsi="宋体" w:eastAsia="宋体" w:cs="宋体"/>
                <w:sz w:val="24"/>
                <w:szCs w:val="24"/>
                <w:highlight w:val="none"/>
              </w:rPr>
              <w:t>供应商自20</w:t>
            </w: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ascii="宋体" w:hAnsi="宋体" w:eastAsia="宋体" w:cs="宋体"/>
                <w:sz w:val="24"/>
                <w:szCs w:val="24"/>
                <w:highlight w:val="none"/>
              </w:rPr>
              <w:t>1</w:t>
            </w:r>
            <w:r>
              <w:rPr>
                <w:rFonts w:hint="eastAsia" w:ascii="宋体" w:hAnsi="宋体" w:eastAsia="宋体" w:cs="宋体"/>
                <w:sz w:val="24"/>
                <w:szCs w:val="24"/>
                <w:highlight w:val="none"/>
              </w:rPr>
              <w:t>月1日以来</w:t>
            </w:r>
            <w:r>
              <w:rPr>
                <w:rFonts w:ascii="宋体" w:hAnsi="宋体" w:eastAsia="宋体" w:cs="宋体"/>
                <w:sz w:val="24"/>
                <w:szCs w:val="24"/>
                <w:highlight w:val="none"/>
              </w:rPr>
              <w:t>完成</w:t>
            </w:r>
            <w:r>
              <w:rPr>
                <w:rFonts w:hint="eastAsia" w:ascii="宋体" w:hAnsi="宋体" w:eastAsia="宋体" w:cs="宋体"/>
                <w:sz w:val="24"/>
                <w:szCs w:val="24"/>
                <w:highlight w:val="none"/>
              </w:rPr>
              <w:t>过类似</w:t>
            </w:r>
            <w:r>
              <w:rPr>
                <w:rFonts w:ascii="宋体" w:hAnsi="宋体" w:eastAsia="宋体" w:cs="宋体"/>
                <w:sz w:val="24"/>
                <w:szCs w:val="24"/>
                <w:highlight w:val="none"/>
              </w:rPr>
              <w:t>工程业绩</w:t>
            </w:r>
            <w:r>
              <w:rPr>
                <w:rFonts w:hint="eastAsia" w:ascii="宋体" w:hAnsi="宋体" w:eastAsia="宋体" w:cs="宋体"/>
                <w:sz w:val="24"/>
                <w:szCs w:val="24"/>
                <w:highlight w:val="none"/>
              </w:rPr>
              <w:t>的，每提供一项得</w:t>
            </w:r>
            <w:r>
              <w:rPr>
                <w:rFonts w:ascii="宋体" w:hAnsi="宋体" w:eastAsia="宋体" w:cs="宋体"/>
                <w:sz w:val="24"/>
                <w:szCs w:val="24"/>
                <w:highlight w:val="none"/>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b/>
                <w:bCs/>
                <w:sz w:val="24"/>
                <w:szCs w:val="24"/>
                <w:highlight w:val="none"/>
              </w:rPr>
              <w:t>（以施工合同为准。磋商响应文件中附扫描件</w:t>
            </w:r>
            <w:r>
              <w:rPr>
                <w:rFonts w:hint="eastAsia" w:ascii="宋体" w:hAnsi="宋体" w:eastAsia="宋体" w:cs="宋体"/>
                <w:sz w:val="24"/>
                <w:szCs w:val="24"/>
                <w:highlight w:val="none"/>
              </w:rPr>
              <w:t>）</w:t>
            </w:r>
          </w:p>
        </w:tc>
      </w:tr>
      <w:tr w14:paraId="0F4A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53" w:type="dxa"/>
            <w:vMerge w:val="continue"/>
            <w:noWrap w:val="0"/>
            <w:vAlign w:val="center"/>
          </w:tcPr>
          <w:p w14:paraId="11F52E1E">
            <w:pPr>
              <w:spacing w:line="440" w:lineRule="exact"/>
              <w:jc w:val="center"/>
              <w:rPr>
                <w:rFonts w:ascii="宋体" w:hAnsi="宋体" w:eastAsia="宋体" w:cs="宋体"/>
                <w:sz w:val="24"/>
                <w:szCs w:val="24"/>
                <w:highlight w:val="none"/>
              </w:rPr>
            </w:pPr>
          </w:p>
        </w:tc>
        <w:tc>
          <w:tcPr>
            <w:tcW w:w="1764" w:type="dxa"/>
            <w:noWrap w:val="0"/>
            <w:vAlign w:val="center"/>
          </w:tcPr>
          <w:p w14:paraId="55F196F5">
            <w:pPr>
              <w:spacing w:line="260" w:lineRule="exact"/>
              <w:jc w:val="center"/>
              <w:rPr>
                <w:rFonts w:ascii="宋体" w:hAnsi="宋体" w:eastAsia="宋体" w:cs="宋体"/>
                <w:sz w:val="24"/>
                <w:highlight w:val="none"/>
              </w:rPr>
            </w:pPr>
            <w:r>
              <w:rPr>
                <w:rFonts w:hint="eastAsia" w:ascii="宋体" w:hAnsi="宋体" w:eastAsia="宋体" w:cs="宋体"/>
                <w:sz w:val="24"/>
                <w:highlight w:val="none"/>
              </w:rPr>
              <w:t>履职尽责承诺</w:t>
            </w:r>
          </w:p>
          <w:p w14:paraId="755DB1C6">
            <w:pPr>
              <w:spacing w:line="440" w:lineRule="exact"/>
              <w:jc w:val="center"/>
              <w:rPr>
                <w:rFonts w:ascii="宋体" w:hAnsi="宋体" w:eastAsia="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分）</w:t>
            </w:r>
          </w:p>
        </w:tc>
        <w:tc>
          <w:tcPr>
            <w:tcW w:w="6362" w:type="dxa"/>
            <w:noWrap w:val="0"/>
            <w:vAlign w:val="center"/>
          </w:tcPr>
          <w:p w14:paraId="259B8BED">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分；</w:t>
            </w:r>
          </w:p>
          <w:p w14:paraId="50E16C26">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4F25091C">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highlight w:val="none"/>
              </w:rPr>
              <w:t>履职尽责承诺一般的得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490A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noWrap w:val="0"/>
            <w:vAlign w:val="center"/>
          </w:tcPr>
          <w:p w14:paraId="6003B0B7">
            <w:pPr>
              <w:spacing w:line="440" w:lineRule="exact"/>
              <w:jc w:val="center"/>
              <w:rPr>
                <w:rFonts w:ascii="宋体" w:hAnsi="宋体" w:eastAsia="宋体" w:cs="宋体"/>
                <w:sz w:val="24"/>
                <w:szCs w:val="24"/>
                <w:highlight w:val="none"/>
              </w:rPr>
            </w:pPr>
          </w:p>
        </w:tc>
        <w:tc>
          <w:tcPr>
            <w:tcW w:w="1764" w:type="dxa"/>
            <w:noWrap w:val="0"/>
            <w:vAlign w:val="center"/>
          </w:tcPr>
          <w:p w14:paraId="4C023D8F">
            <w:pPr>
              <w:spacing w:line="260" w:lineRule="exact"/>
              <w:jc w:val="center"/>
              <w:rPr>
                <w:rFonts w:ascii="宋体" w:hAnsi="宋体" w:eastAsia="宋体" w:cs="宋体"/>
                <w:sz w:val="24"/>
                <w:highlight w:val="none"/>
              </w:rPr>
            </w:pPr>
            <w:r>
              <w:rPr>
                <w:rFonts w:hint="eastAsia" w:ascii="宋体" w:hAnsi="宋体" w:eastAsia="宋体" w:cs="宋体"/>
                <w:sz w:val="24"/>
                <w:highlight w:val="none"/>
              </w:rPr>
              <w:t>优惠承诺</w:t>
            </w:r>
          </w:p>
          <w:p w14:paraId="2AD33A1D">
            <w:pPr>
              <w:spacing w:line="440" w:lineRule="exact"/>
              <w:jc w:val="center"/>
              <w:textAlignment w:val="baseline"/>
              <w:rPr>
                <w:rFonts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分）</w:t>
            </w:r>
          </w:p>
        </w:tc>
        <w:tc>
          <w:tcPr>
            <w:tcW w:w="6362" w:type="dxa"/>
            <w:noWrap w:val="0"/>
            <w:vAlign w:val="center"/>
          </w:tcPr>
          <w:p w14:paraId="12557CFD">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优惠承诺符合工程实际情况，确保依法依规，优惠合理，详实可行的得6分；</w:t>
            </w:r>
          </w:p>
          <w:p w14:paraId="605EB02A">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优惠承诺符合工程实际情况，确保依法依规，优惠基本合理，基本详实可行的得4分；</w:t>
            </w:r>
          </w:p>
          <w:p w14:paraId="16B3AD2F">
            <w:pPr>
              <w:spacing w:line="420" w:lineRule="exact"/>
              <w:ind w:firstLine="480" w:firstLineChars="200"/>
              <w:rPr>
                <w:rFonts w:ascii="宋体" w:hAnsi="宋体" w:eastAsia="宋体" w:cs="宋体"/>
                <w:sz w:val="24"/>
                <w:highlight w:val="none"/>
              </w:rPr>
            </w:pPr>
            <w:r>
              <w:rPr>
                <w:rFonts w:hint="eastAsia" w:ascii="宋体" w:hAnsi="宋体" w:eastAsia="宋体" w:cs="宋体"/>
                <w:sz w:val="24"/>
                <w:szCs w:val="24"/>
                <w:highlight w:val="none"/>
              </w:rPr>
              <w:t>优惠承诺一般的得2分。</w:t>
            </w:r>
          </w:p>
        </w:tc>
      </w:tr>
      <w:tr w14:paraId="27F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noWrap w:val="0"/>
            <w:vAlign w:val="center"/>
          </w:tcPr>
          <w:p w14:paraId="4C8E3ECE">
            <w:pPr>
              <w:spacing w:line="440" w:lineRule="exact"/>
              <w:jc w:val="center"/>
              <w:rPr>
                <w:rFonts w:ascii="宋体" w:hAnsi="宋体" w:eastAsia="宋体" w:cs="宋体"/>
                <w:sz w:val="24"/>
                <w:szCs w:val="24"/>
                <w:highlight w:val="none"/>
              </w:rPr>
            </w:pPr>
          </w:p>
        </w:tc>
        <w:tc>
          <w:tcPr>
            <w:tcW w:w="8126" w:type="dxa"/>
            <w:gridSpan w:val="2"/>
            <w:noWrap w:val="0"/>
            <w:vAlign w:val="center"/>
          </w:tcPr>
          <w:p w14:paraId="6461D4F2">
            <w:pPr>
              <w:tabs>
                <w:tab w:val="left" w:pos="1661"/>
              </w:tabs>
              <w:spacing w:line="44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以上项目若有缺项的，该项为0分；不缺项的，不低于最低分。</w:t>
            </w:r>
          </w:p>
        </w:tc>
      </w:tr>
    </w:tbl>
    <w:p w14:paraId="6C354CE8">
      <w:pPr>
        <w:keepNext/>
        <w:keepLines/>
        <w:wordWrap w:val="0"/>
        <w:topLinePunct/>
        <w:spacing w:line="360" w:lineRule="auto"/>
        <w:outlineLvl w:val="9"/>
        <w:rPr>
          <w:rFonts w:hint="eastAsia" w:ascii="宋体" w:hAnsi="宋体" w:eastAsia="宋体" w:cs="Times New Roman"/>
          <w:b/>
          <w:color w:val="auto"/>
          <w:sz w:val="24"/>
          <w:szCs w:val="24"/>
          <w:highlight w:val="none"/>
        </w:rPr>
      </w:pPr>
    </w:p>
    <w:p w14:paraId="6E508675">
      <w:pPr>
        <w:keepNext/>
        <w:keepLines/>
        <w:wordWrap w:val="0"/>
        <w:topLinePunct/>
        <w:spacing w:line="360" w:lineRule="auto"/>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1.评审办法</w:t>
      </w:r>
    </w:p>
    <w:p w14:paraId="69C8157F">
      <w:pPr>
        <w:autoSpaceDE w:val="0"/>
        <w:autoSpaceDN w:val="0"/>
        <w:adjustRightInd w:val="0"/>
        <w:spacing w:line="360" w:lineRule="auto"/>
        <w:ind w:right="-23"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本次竞争性磋商采用综合评分法评审，磋商小组对满</w:t>
      </w:r>
      <w:r>
        <w:rPr>
          <w:rFonts w:hint="eastAsia" w:ascii="宋体" w:hAnsi="宋体" w:eastAsia="宋体" w:cs="宋体"/>
          <w:color w:val="auto"/>
          <w:spacing w:val="-2"/>
          <w:kern w:val="0"/>
          <w:sz w:val="24"/>
          <w:szCs w:val="24"/>
          <w:highlight w:val="none"/>
        </w:rPr>
        <w:t>足</w:t>
      </w:r>
      <w:r>
        <w:rPr>
          <w:rFonts w:hint="eastAsia" w:ascii="宋体" w:hAnsi="宋体" w:eastAsia="宋体" w:cs="宋体"/>
          <w:color w:val="auto"/>
          <w:kern w:val="0"/>
          <w:sz w:val="24"/>
          <w:szCs w:val="24"/>
          <w:highlight w:val="none"/>
        </w:rPr>
        <w:t>竞争性磋商文件实质性要求且最终确定采购需求和在规定时间提交最后报价的</w:t>
      </w:r>
      <w:r>
        <w:rPr>
          <w:rFonts w:hint="eastAsia" w:ascii="宋体" w:hAnsi="宋体" w:eastAsia="宋体" w:cs="宋体"/>
          <w:color w:val="auto"/>
          <w:spacing w:val="-2"/>
          <w:kern w:val="0"/>
          <w:sz w:val="24"/>
          <w:szCs w:val="24"/>
          <w:highlight w:val="none"/>
        </w:rPr>
        <w:t>响应文</w:t>
      </w:r>
      <w:r>
        <w:rPr>
          <w:rFonts w:hint="eastAsia" w:ascii="宋体" w:hAnsi="宋体" w:eastAsia="宋体" w:cs="宋体"/>
          <w:color w:val="auto"/>
          <w:kern w:val="0"/>
          <w:sz w:val="24"/>
          <w:szCs w:val="24"/>
          <w:highlight w:val="none"/>
        </w:rPr>
        <w:t>件，且按照评审因素的量化指标评审得分最高的供应商为成交候选人的评审方法。</w:t>
      </w:r>
    </w:p>
    <w:p w14:paraId="75E6AAB9">
      <w:pPr>
        <w:keepNext/>
        <w:keepLines/>
        <w:numPr>
          <w:ilvl w:val="0"/>
          <w:numId w:val="7"/>
        </w:numPr>
        <w:wordWrap w:val="0"/>
        <w:topLinePunct/>
        <w:spacing w:line="360" w:lineRule="auto"/>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评审标准</w:t>
      </w:r>
    </w:p>
    <w:p w14:paraId="00C74795">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初步评审标准</w:t>
      </w:r>
    </w:p>
    <w:p w14:paraId="15F7E36E">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w:t>
      </w:r>
      <w:r>
        <w:rPr>
          <w:rFonts w:hint="eastAsia" w:ascii="宋体" w:hAnsi="宋体" w:eastAsia="宋体" w:cs="宋体"/>
          <w:color w:val="auto"/>
          <w:spacing w:val="-2"/>
          <w:kern w:val="0"/>
          <w:sz w:val="24"/>
          <w:szCs w:val="24"/>
          <w:highlight w:val="none"/>
        </w:rPr>
        <w:t>审</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准</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见评审办法</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p>
    <w:p w14:paraId="67B18C10">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w:t>
      </w:r>
      <w:r>
        <w:rPr>
          <w:rFonts w:hint="eastAsia" w:ascii="宋体" w:hAnsi="宋体" w:eastAsia="宋体" w:cs="宋体"/>
          <w:color w:val="auto"/>
          <w:spacing w:val="-2"/>
          <w:kern w:val="0"/>
          <w:sz w:val="24"/>
          <w:szCs w:val="24"/>
          <w:highlight w:val="none"/>
        </w:rPr>
        <w:t>格性</w:t>
      </w:r>
      <w:r>
        <w:rPr>
          <w:rFonts w:hint="eastAsia" w:ascii="宋体" w:hAnsi="宋体" w:eastAsia="宋体" w:cs="宋体"/>
          <w:color w:val="auto"/>
          <w:kern w:val="0"/>
          <w:sz w:val="24"/>
          <w:szCs w:val="24"/>
          <w:highlight w:val="none"/>
        </w:rPr>
        <w:t>评</w:t>
      </w:r>
      <w:r>
        <w:rPr>
          <w:rFonts w:hint="eastAsia" w:ascii="宋体" w:hAnsi="宋体" w:eastAsia="宋体" w:cs="宋体"/>
          <w:color w:val="auto"/>
          <w:spacing w:val="-2"/>
          <w:kern w:val="0"/>
          <w:sz w:val="24"/>
          <w:szCs w:val="24"/>
          <w:highlight w:val="none"/>
        </w:rPr>
        <w:t>审</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准</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见评审办法</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p>
    <w:p w14:paraId="42AA4F8E">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性</w:t>
      </w:r>
      <w:r>
        <w:rPr>
          <w:rFonts w:hint="eastAsia" w:ascii="宋体" w:hAnsi="宋体" w:eastAsia="宋体" w:cs="宋体"/>
          <w:color w:val="auto"/>
          <w:spacing w:val="-2"/>
          <w:kern w:val="0"/>
          <w:sz w:val="24"/>
          <w:szCs w:val="24"/>
          <w:highlight w:val="none"/>
        </w:rPr>
        <w:t>评</w:t>
      </w:r>
      <w:r>
        <w:rPr>
          <w:rFonts w:hint="eastAsia" w:ascii="宋体" w:hAnsi="宋体" w:eastAsia="宋体" w:cs="宋体"/>
          <w:color w:val="auto"/>
          <w:kern w:val="0"/>
          <w:sz w:val="24"/>
          <w:szCs w:val="24"/>
          <w:highlight w:val="none"/>
        </w:rPr>
        <w:t>审</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准</w:t>
      </w:r>
      <w:r>
        <w:rPr>
          <w:rFonts w:hint="eastAsia" w:ascii="宋体" w:hAnsi="宋体" w:eastAsia="宋体" w:cs="宋体"/>
          <w:color w:val="auto"/>
          <w:spacing w:val="-2"/>
          <w:kern w:val="0"/>
          <w:sz w:val="24"/>
          <w:szCs w:val="24"/>
          <w:highlight w:val="none"/>
        </w:rPr>
        <w:t>：见</w:t>
      </w:r>
      <w:r>
        <w:rPr>
          <w:rFonts w:hint="eastAsia" w:ascii="宋体" w:hAnsi="宋体" w:eastAsia="宋体" w:cs="宋体"/>
          <w:color w:val="auto"/>
          <w:kern w:val="0"/>
          <w:sz w:val="24"/>
          <w:szCs w:val="24"/>
          <w:highlight w:val="none"/>
        </w:rPr>
        <w:t>评审办法</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附</w:t>
      </w:r>
      <w:r>
        <w:rPr>
          <w:rFonts w:hint="eastAsia" w:ascii="宋体" w:hAnsi="宋体" w:eastAsia="宋体" w:cs="宋体"/>
          <w:color w:val="auto"/>
          <w:spacing w:val="-2"/>
          <w:kern w:val="0"/>
          <w:sz w:val="24"/>
          <w:szCs w:val="24"/>
          <w:highlight w:val="none"/>
        </w:rPr>
        <w:t>表</w:t>
      </w:r>
      <w:r>
        <w:rPr>
          <w:rFonts w:hint="eastAsia" w:ascii="宋体" w:hAnsi="宋体" w:eastAsia="宋体" w:cs="宋体"/>
          <w:color w:val="auto"/>
          <w:kern w:val="0"/>
          <w:sz w:val="24"/>
          <w:szCs w:val="24"/>
          <w:highlight w:val="none"/>
        </w:rPr>
        <w:t>。</w:t>
      </w:r>
    </w:p>
    <w:p w14:paraId="1AF0FD3E">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分值构成与评分标准</w:t>
      </w:r>
    </w:p>
    <w:p w14:paraId="62E03AAD">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分值构成</w:t>
      </w:r>
    </w:p>
    <w:p w14:paraId="7D354985">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报价得分：见评审办法前附表；</w:t>
      </w:r>
    </w:p>
    <w:p w14:paraId="29E62CE9">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技术部分：见评审办法前附表；</w:t>
      </w:r>
    </w:p>
    <w:p w14:paraId="362157C2">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综合部分：见评审办法前附表；</w:t>
      </w:r>
    </w:p>
    <w:p w14:paraId="2D56D8E5">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p w14:paraId="3C393E6C">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报价得分标准：见评审办法前附表；</w:t>
      </w:r>
    </w:p>
    <w:p w14:paraId="7F32BA2E">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技术部分标准：见评审办法前附表；</w:t>
      </w:r>
    </w:p>
    <w:p w14:paraId="36CC0F23">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w:t>
      </w:r>
      <w:r>
        <w:rPr>
          <w:rFonts w:hint="eastAsia" w:ascii="宋体" w:hAnsi="宋体" w:eastAsia="宋体" w:cs="宋体"/>
          <w:color w:val="auto"/>
          <w:kern w:val="0"/>
          <w:sz w:val="24"/>
          <w:szCs w:val="24"/>
          <w:highlight w:val="none"/>
          <w:lang w:eastAsia="zh-CN"/>
        </w:rPr>
        <w:t>部分</w:t>
      </w:r>
      <w:r>
        <w:rPr>
          <w:rFonts w:hint="eastAsia" w:ascii="宋体" w:hAnsi="宋体" w:eastAsia="宋体" w:cs="宋体"/>
          <w:color w:val="auto"/>
          <w:kern w:val="0"/>
          <w:sz w:val="24"/>
          <w:szCs w:val="24"/>
          <w:highlight w:val="none"/>
        </w:rPr>
        <w:t>标准：见评审办法前附表；</w:t>
      </w:r>
    </w:p>
    <w:p w14:paraId="0CD330DE">
      <w:pPr>
        <w:keepNext/>
        <w:keepLines/>
        <w:numPr>
          <w:ilvl w:val="0"/>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评审程序</w:t>
      </w:r>
    </w:p>
    <w:p w14:paraId="4FDA85CF">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初步评审</w:t>
      </w:r>
    </w:p>
    <w:p w14:paraId="67E1DAD4">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65C61925">
      <w:pPr>
        <w:numPr>
          <w:ilvl w:val="2"/>
          <w:numId w:val="7"/>
        </w:numPr>
        <w:wordWrap w:val="0"/>
        <w:topLinePunct/>
        <w:autoSpaceDE w:val="0"/>
        <w:autoSpaceDN w:val="0"/>
        <w:adjustRightInd w:val="0"/>
        <w:spacing w:line="360" w:lineRule="auto"/>
        <w:ind w:right="-23" w:firstLine="5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磋商报价有算术错误及其他错误的，磋商小组按以下原则要求供应商对磋商报价进行修正</w:t>
      </w:r>
    </w:p>
    <w:p w14:paraId="1144391A">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大写金额和小写金额不一致的，以大写金额为准，但大写金额文字存在错误的，应当先对大写金额的文字错误进行澄清、说明或者更正，再行修正。</w:t>
      </w:r>
    </w:p>
    <w:p w14:paraId="55FF0CB0">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总价金额与按单价汇总金额不一致的，以单价金额计算结果为准，但单价或者单价汇总金额存在数字或者文字错误的，应当先对数字或者文字错误进行澄清、说明或者更正，再行修正。</w:t>
      </w:r>
    </w:p>
    <w:p w14:paraId="48094584">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单价金额小数点或者百分比有明显错位的，以总价为准，修正单价。</w:t>
      </w:r>
    </w:p>
    <w:p w14:paraId="58519E65">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同时出现两种以上不一致的，按照上述规定的顺序修正。</w:t>
      </w:r>
      <w:r>
        <w:rPr>
          <w:rFonts w:hint="eastAsia" w:ascii="宋体" w:hAnsi="宋体" w:eastAsia="宋体" w:cs="宋体"/>
          <w:color w:val="auto"/>
          <w:kern w:val="0"/>
          <w:sz w:val="24"/>
          <w:szCs w:val="24"/>
          <w:highlight w:val="none"/>
        </w:rPr>
        <w:t>修正后的报价应当采用书面形式，并加盖公章或者由法定代表人或其授权的代表签字，供应商不确认的，其投标无效。</w:t>
      </w:r>
    </w:p>
    <w:p w14:paraId="7E99EFD7">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详细磋商</w:t>
      </w:r>
    </w:p>
    <w:p w14:paraId="76BE0AED">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2BE48BA5">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在磋商过程中，磋商小组可以根据</w:t>
      </w:r>
      <w:r>
        <w:rPr>
          <w:rFonts w:hint="eastAsia" w:ascii="宋体" w:hAnsi="宋体" w:eastAsia="宋体" w:cs="宋体"/>
          <w:color w:val="auto"/>
          <w:sz w:val="24"/>
          <w:szCs w:val="24"/>
          <w:highlight w:val="none"/>
        </w:rPr>
        <w:t>竞争性</w:t>
      </w:r>
      <w:r>
        <w:rPr>
          <w:rFonts w:hint="eastAsia" w:ascii="宋体" w:hAnsi="宋体" w:eastAsia="宋体" w:cs="宋体"/>
          <w:bCs/>
          <w:color w:val="auto"/>
          <w:kern w:val="0"/>
          <w:sz w:val="24"/>
          <w:szCs w:val="24"/>
          <w:highlight w:val="none"/>
        </w:rPr>
        <w:t>磋商文件和磋商情况实质性变动采购需求中的技术、服务要求以及合同草案条款，但不得变动</w:t>
      </w:r>
      <w:r>
        <w:rPr>
          <w:rFonts w:hint="eastAsia" w:ascii="宋体" w:hAnsi="宋体" w:eastAsia="宋体" w:cs="宋体"/>
          <w:color w:val="auto"/>
          <w:sz w:val="24"/>
          <w:szCs w:val="24"/>
          <w:highlight w:val="none"/>
        </w:rPr>
        <w:t>竞争性</w:t>
      </w:r>
      <w:r>
        <w:rPr>
          <w:rFonts w:hint="eastAsia" w:ascii="宋体" w:hAnsi="宋体" w:eastAsia="宋体" w:cs="宋体"/>
          <w:bCs/>
          <w:color w:val="auto"/>
          <w:kern w:val="0"/>
          <w:sz w:val="24"/>
          <w:szCs w:val="24"/>
          <w:highlight w:val="none"/>
        </w:rPr>
        <w:t>磋商文件中的其他内容。</w:t>
      </w:r>
    </w:p>
    <w:p w14:paraId="6BC5A090">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对</w:t>
      </w:r>
      <w:r>
        <w:rPr>
          <w:rFonts w:hint="eastAsia" w:ascii="宋体" w:hAnsi="宋体" w:eastAsia="宋体" w:cs="宋体"/>
          <w:color w:val="auto"/>
          <w:sz w:val="24"/>
          <w:szCs w:val="24"/>
          <w:highlight w:val="none"/>
        </w:rPr>
        <w:t>竞争性</w:t>
      </w:r>
      <w:r>
        <w:rPr>
          <w:rFonts w:hint="eastAsia" w:ascii="宋体" w:hAnsi="宋体" w:eastAsia="宋体" w:cs="宋体"/>
          <w:bCs/>
          <w:color w:val="auto"/>
          <w:kern w:val="0"/>
          <w:sz w:val="24"/>
          <w:szCs w:val="24"/>
          <w:highlight w:val="none"/>
        </w:rPr>
        <w:t>磋商文件作出的实质性变动是</w:t>
      </w:r>
      <w:r>
        <w:rPr>
          <w:rFonts w:hint="eastAsia" w:ascii="宋体" w:hAnsi="宋体" w:eastAsia="宋体" w:cs="宋体"/>
          <w:color w:val="auto"/>
          <w:sz w:val="24"/>
          <w:szCs w:val="24"/>
          <w:highlight w:val="none"/>
        </w:rPr>
        <w:t>竞争性</w:t>
      </w:r>
      <w:r>
        <w:rPr>
          <w:rFonts w:hint="eastAsia" w:ascii="宋体" w:hAnsi="宋体" w:eastAsia="宋体" w:cs="宋体"/>
          <w:bCs/>
          <w:color w:val="auto"/>
          <w:kern w:val="0"/>
          <w:sz w:val="24"/>
          <w:szCs w:val="24"/>
          <w:highlight w:val="none"/>
        </w:rPr>
        <w:t>磋商文件的有效组成部分，磋商小组应当以书面形式同时通知所有参加磋商的供应商。</w:t>
      </w:r>
    </w:p>
    <w:p w14:paraId="0A4F1B76">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color w:val="auto"/>
          <w:kern w:val="0"/>
          <w:sz w:val="24"/>
          <w:szCs w:val="24"/>
          <w:highlight w:val="none"/>
        </w:rPr>
        <w:t>。</w:t>
      </w:r>
    </w:p>
    <w:p w14:paraId="3C3353B7">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color w:val="auto"/>
          <w:kern w:val="0"/>
          <w:sz w:val="24"/>
          <w:szCs w:val="24"/>
          <w:highlight w:val="none"/>
        </w:rPr>
        <w:t>。</w:t>
      </w:r>
    </w:p>
    <w:p w14:paraId="63F089D0">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
          <w:bCs w:val="0"/>
          <w:color w:val="auto"/>
          <w:kern w:val="0"/>
          <w:sz w:val="24"/>
          <w:szCs w:val="24"/>
          <w:highlight w:val="none"/>
        </w:rPr>
      </w:pPr>
      <w:r>
        <w:rPr>
          <w:rFonts w:hint="eastAsia" w:ascii="宋体" w:hAnsi="宋体" w:eastAsia="宋体" w:cs="宋体"/>
          <w:bCs/>
          <w:color w:val="auto"/>
          <w:kern w:val="0"/>
          <w:sz w:val="24"/>
          <w:szCs w:val="24"/>
          <w:highlight w:val="none"/>
        </w:rPr>
        <w:t>最后报价（二轮报价）是供应商响应文件的有效组成部分【</w:t>
      </w:r>
      <w:r>
        <w:rPr>
          <w:rFonts w:hint="eastAsia" w:ascii="宋体" w:hAnsi="宋体" w:eastAsia="宋体" w:cs="宋体"/>
          <w:b/>
          <w:bCs/>
          <w:color w:val="auto"/>
          <w:sz w:val="24"/>
          <w:szCs w:val="24"/>
          <w:highlight w:val="none"/>
        </w:rPr>
        <w:t>注：1、最后报价不得超出磋商控制价</w:t>
      </w:r>
      <w:r>
        <w:rPr>
          <w:rFonts w:hint="eastAsia" w:ascii="宋体" w:hAnsi="宋体" w:eastAsia="宋体" w:cs="宋体"/>
          <w:b/>
          <w:bCs/>
          <w:color w:val="auto"/>
          <w:sz w:val="24"/>
          <w:szCs w:val="24"/>
          <w:highlight w:val="none"/>
          <w:lang w:eastAsia="zh-CN"/>
        </w:rPr>
        <w:t>且不得高于第一轮报价</w:t>
      </w:r>
      <w:r>
        <w:rPr>
          <w:rFonts w:hint="eastAsia" w:ascii="宋体" w:hAnsi="宋体" w:eastAsia="宋体" w:cs="宋体"/>
          <w:b/>
          <w:bCs/>
          <w:color w:val="auto"/>
          <w:sz w:val="24"/>
          <w:szCs w:val="24"/>
          <w:highlight w:val="none"/>
        </w:rPr>
        <w:t>；2、最后报价明显低于成本价的，供应商需做出合理说明，否则将承担不被接受的风险</w:t>
      </w:r>
      <w:r>
        <w:rPr>
          <w:rFonts w:hint="eastAsia" w:ascii="宋体" w:hAnsi="宋体" w:eastAsia="宋体" w:cs="宋体"/>
          <w:bCs/>
          <w:color w:val="auto"/>
          <w:kern w:val="0"/>
          <w:sz w:val="24"/>
          <w:szCs w:val="24"/>
          <w:highlight w:val="none"/>
        </w:rPr>
        <w:t>】</w:t>
      </w:r>
      <w:r>
        <w:rPr>
          <w:rFonts w:hint="eastAsia" w:ascii="宋体" w:hAnsi="宋体" w:eastAsia="宋体" w:cs="宋体"/>
          <w:b/>
          <w:bCs w:val="0"/>
          <w:color w:val="auto"/>
          <w:kern w:val="0"/>
          <w:sz w:val="24"/>
          <w:szCs w:val="24"/>
          <w:highlight w:val="none"/>
          <w:lang w:val="en-US" w:eastAsia="zh-CN"/>
        </w:rPr>
        <w:t>3、供应商最终报价包括完成本项目的一切费用（包括且不限于税金等相关费用）</w:t>
      </w:r>
      <w:r>
        <w:rPr>
          <w:rFonts w:hint="eastAsia" w:ascii="宋体" w:hAnsi="宋体" w:eastAsia="宋体" w:cs="宋体"/>
          <w:b/>
          <w:bCs w:val="0"/>
          <w:color w:val="auto"/>
          <w:kern w:val="0"/>
          <w:sz w:val="24"/>
          <w:szCs w:val="24"/>
          <w:highlight w:val="none"/>
        </w:rPr>
        <w:t>。</w:t>
      </w:r>
      <w:r>
        <w:rPr>
          <w:rFonts w:hint="eastAsia" w:ascii="宋体" w:hAnsi="宋体" w:eastAsia="宋体" w:cs="宋体"/>
          <w:b/>
          <w:bCs w:val="0"/>
          <w:color w:val="auto"/>
          <w:kern w:val="0"/>
          <w:sz w:val="24"/>
          <w:szCs w:val="24"/>
          <w:highlight w:val="none"/>
          <w:lang w:val="en-US" w:eastAsia="zh-CN"/>
        </w:rPr>
        <w:t>4、供应商最后报价作为签约合同价格（相应按比例调整供应商投标工程量清单中的综合单价)。</w:t>
      </w:r>
    </w:p>
    <w:p w14:paraId="2FF916D3">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情况特殊,经磋商小组根据磋商现场情况，可以要求供应商适当进行多轮报价。</w:t>
      </w:r>
    </w:p>
    <w:p w14:paraId="30F7FD8D">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经磋商确定最终采购需求和提交最后报价的供应商后，由磋商小组采用综合评分法对提交最后报价的供应商的响应文件和最后报价进行综合评分。</w:t>
      </w:r>
    </w:p>
    <w:p w14:paraId="232C2920">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详细评审</w:t>
      </w:r>
    </w:p>
    <w:p w14:paraId="182F30FE">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磋商小组按本章评审方法规定的量化因素和分值进行打分，并计算出</w:t>
      </w:r>
      <w:r>
        <w:rPr>
          <w:rFonts w:hint="eastAsia" w:ascii="宋体" w:hAnsi="宋体" w:eastAsia="宋体" w:cs="宋体"/>
          <w:bCs/>
          <w:color w:val="auto"/>
          <w:kern w:val="0"/>
          <w:sz w:val="24"/>
          <w:szCs w:val="24"/>
          <w:highlight w:val="none"/>
          <w:lang w:eastAsia="zh-CN"/>
        </w:rPr>
        <w:t>总</w:t>
      </w:r>
      <w:r>
        <w:rPr>
          <w:rFonts w:hint="eastAsia" w:ascii="宋体" w:hAnsi="宋体" w:eastAsia="宋体" w:cs="宋体"/>
          <w:bCs/>
          <w:color w:val="auto"/>
          <w:kern w:val="0"/>
          <w:sz w:val="24"/>
          <w:szCs w:val="24"/>
          <w:highlight w:val="none"/>
        </w:rPr>
        <w:t>得分。供应商最终得分为所有磋商小组</w:t>
      </w:r>
      <w:r>
        <w:rPr>
          <w:rFonts w:hint="eastAsia" w:ascii="宋体" w:hAnsi="宋体" w:eastAsia="宋体" w:cs="宋体"/>
          <w:bCs/>
          <w:color w:val="auto"/>
          <w:kern w:val="0"/>
          <w:sz w:val="24"/>
          <w:szCs w:val="24"/>
          <w:highlight w:val="none"/>
          <w:lang w:eastAsia="zh-CN"/>
        </w:rPr>
        <w:t>成员</w:t>
      </w:r>
      <w:r>
        <w:rPr>
          <w:rFonts w:hint="eastAsia" w:ascii="宋体" w:hAnsi="宋体" w:eastAsia="宋体" w:cs="宋体"/>
          <w:bCs/>
          <w:color w:val="auto"/>
          <w:kern w:val="0"/>
          <w:sz w:val="24"/>
          <w:szCs w:val="24"/>
          <w:highlight w:val="none"/>
        </w:rPr>
        <w:t>打分的算术平均值，最终结果取至小数点后2位。</w:t>
      </w:r>
    </w:p>
    <w:p w14:paraId="66080762">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52B3305C">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响应文件的澄清</w:t>
      </w:r>
    </w:p>
    <w:p w14:paraId="79EF7008">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741FF731">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澄清、说明或补正不得超出响应文件的范围且不得改变响应文件的实质性内容，并构成响应文件的组成部分。</w:t>
      </w:r>
    </w:p>
    <w:p w14:paraId="7658A257">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磋商小组对供应商提交的澄清、说明或补正有疑问的，可以要求供应商进一步澄清、说明或补正，直至满足磋商小组的要求。</w:t>
      </w:r>
    </w:p>
    <w:p w14:paraId="5705A3B6">
      <w:pPr>
        <w:keepNext/>
        <w:keepLines/>
        <w:numPr>
          <w:ilvl w:val="1"/>
          <w:numId w:val="7"/>
        </w:numPr>
        <w:wordWrap w:val="0"/>
        <w:topLinePunct/>
        <w:spacing w:line="360" w:lineRule="auto"/>
        <w:outlineLvl w:val="2"/>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评审结果</w:t>
      </w:r>
    </w:p>
    <w:p w14:paraId="46076339">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除采购人授权直接确定成交人外，按照评审得分由高到低顺序推荐3名成交候选人，评审得分相同的，按照最后报价由低到高的顺序推荐。</w:t>
      </w:r>
    </w:p>
    <w:p w14:paraId="7BAAEAC3">
      <w:pPr>
        <w:numPr>
          <w:ilvl w:val="2"/>
          <w:numId w:val="7"/>
        </w:numPr>
        <w:wordWrap w:val="0"/>
        <w:topLinePunct/>
        <w:autoSpaceDE w:val="0"/>
        <w:autoSpaceDN w:val="0"/>
        <w:adjustRightInd w:val="0"/>
        <w:spacing w:before="40" w:line="360" w:lineRule="auto"/>
        <w:ind w:right="142" w:firstLine="560"/>
        <w:jc w:val="left"/>
        <w:rPr>
          <w:rFonts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 xml:space="preserve"> 磋商小组完成评审后，应当向采购人提交书面评审报告和成交候选人名单</w:t>
      </w:r>
      <w:r>
        <w:rPr>
          <w:rFonts w:hint="eastAsia" w:ascii="宋体" w:hAnsi="宋体" w:eastAsia="宋体" w:cs="宋体"/>
          <w:bCs/>
          <w:color w:val="auto"/>
          <w:kern w:val="0"/>
          <w:sz w:val="24"/>
          <w:szCs w:val="24"/>
          <w:highlight w:val="none"/>
        </w:rPr>
        <w:t>并编写评审报告。</w:t>
      </w:r>
    </w:p>
    <w:p w14:paraId="69D4F957">
      <w:pPr>
        <w:wordWrap w:val="0"/>
        <w:topLinePunct/>
        <w:spacing w:before="312" w:beforeLines="100" w:after="312" w:afterLines="100" w:line="360" w:lineRule="auto"/>
        <w:jc w:val="center"/>
        <w:outlineLvl w:val="0"/>
        <w:rPr>
          <w:rFonts w:ascii="宋体" w:hAnsi="宋体" w:eastAsia="宋体" w:cs="Courier New"/>
          <w:b/>
          <w:bCs/>
          <w:color w:val="auto"/>
          <w:sz w:val="30"/>
          <w:szCs w:val="30"/>
          <w:highlight w:val="none"/>
        </w:rPr>
      </w:pPr>
      <w:r>
        <w:rPr>
          <w:rFonts w:hint="eastAsia" w:ascii="宋体" w:hAnsi="宋体" w:eastAsia="宋体" w:cs="Courier New"/>
          <w:b/>
          <w:bCs/>
          <w:color w:val="auto"/>
          <w:sz w:val="32"/>
          <w:szCs w:val="32"/>
          <w:highlight w:val="none"/>
        </w:rPr>
        <w:br w:type="page"/>
      </w:r>
      <w:bookmarkStart w:id="515" w:name="_Toc23774437"/>
      <w:bookmarkStart w:id="516" w:name="_Toc19982"/>
      <w:r>
        <w:rPr>
          <w:rFonts w:hint="eastAsia" w:ascii="宋体" w:hAnsi="宋体" w:eastAsia="宋体" w:cs="Courier New"/>
          <w:b/>
          <w:bCs/>
          <w:color w:val="auto"/>
          <w:sz w:val="30"/>
          <w:szCs w:val="30"/>
          <w:highlight w:val="none"/>
        </w:rPr>
        <w:t>第四章  合同</w:t>
      </w:r>
      <w:bookmarkEnd w:id="514"/>
      <w:r>
        <w:rPr>
          <w:rFonts w:hint="eastAsia" w:ascii="宋体" w:hAnsi="宋体" w:eastAsia="宋体" w:cs="Courier New"/>
          <w:b/>
          <w:bCs/>
          <w:color w:val="auto"/>
          <w:sz w:val="30"/>
          <w:szCs w:val="30"/>
          <w:highlight w:val="none"/>
        </w:rPr>
        <w:t>条款及格式</w:t>
      </w:r>
      <w:bookmarkEnd w:id="515"/>
      <w:bookmarkEnd w:id="516"/>
    </w:p>
    <w:p w14:paraId="4F9CF761">
      <w:pPr>
        <w:jc w:val="left"/>
        <w:rPr>
          <w:rFonts w:ascii="Times New Roman" w:hAnsi="Times New Roman" w:eastAsia="仿宋_GB2312" w:cs="Times New Roman"/>
          <w:bCs/>
          <w:sz w:val="32"/>
          <w:szCs w:val="32"/>
        </w:rPr>
      </w:pPr>
      <w:bookmarkStart w:id="517" w:name="_Toc23967"/>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GF—2017—0201</w:t>
      </w:r>
      <w:r>
        <w:rPr>
          <w:rFonts w:hint="eastAsia" w:ascii="Times New Roman" w:hAnsi="Times New Roman" w:eastAsia="仿宋_GB2312" w:cs="Times New Roman"/>
          <w:bCs/>
          <w:sz w:val="32"/>
          <w:szCs w:val="32"/>
        </w:rPr>
        <w:t>）</w:t>
      </w:r>
    </w:p>
    <w:p w14:paraId="12C12A9F">
      <w:pPr>
        <w:jc w:val="center"/>
        <w:rPr>
          <w:rFonts w:ascii="Times New Roman" w:hAnsi="Times New Roman" w:eastAsia="华文中宋" w:cs="Times New Roman"/>
          <w:b/>
          <w:sz w:val="52"/>
          <w:szCs w:val="52"/>
        </w:rPr>
      </w:pPr>
    </w:p>
    <w:p w14:paraId="4120B502">
      <w:pPr>
        <w:jc w:val="center"/>
        <w:rPr>
          <w:rFonts w:ascii="Times New Roman" w:hAnsi="Times New Roman" w:eastAsia="华文中宋" w:cs="Times New Roman"/>
          <w:b/>
          <w:sz w:val="52"/>
          <w:szCs w:val="52"/>
        </w:rPr>
      </w:pPr>
    </w:p>
    <w:p w14:paraId="554566FC">
      <w:pPr>
        <w:jc w:val="center"/>
        <w:rPr>
          <w:rFonts w:ascii="Times New Roman" w:hAnsi="Times New Roman" w:eastAsia="华文中宋" w:cs="Times New Roman"/>
          <w:b/>
          <w:sz w:val="72"/>
          <w:szCs w:val="72"/>
        </w:rPr>
      </w:pPr>
    </w:p>
    <w:p w14:paraId="29605E74">
      <w:pPr>
        <w:jc w:val="center"/>
        <w:rPr>
          <w:rFonts w:ascii="Times New Roman" w:hAnsi="Times New Roman" w:eastAsia="黑体" w:cs="Times New Roman"/>
          <w:b/>
          <w:sz w:val="48"/>
          <w:szCs w:val="48"/>
        </w:rPr>
      </w:pPr>
      <w:r>
        <w:rPr>
          <w:rFonts w:hint="eastAsia" w:ascii="Times New Roman" w:hAnsi="Times New Roman" w:eastAsia="华文中宋" w:cs="Times New Roman"/>
          <w:b/>
          <w:sz w:val="56"/>
          <w:szCs w:val="56"/>
        </w:rPr>
        <w:t>建设工程施工合同</w:t>
      </w:r>
    </w:p>
    <w:p w14:paraId="398A40C1">
      <w:pPr>
        <w:rPr>
          <w:rFonts w:ascii="Times New Roman" w:hAnsi="Times New Roman" w:eastAsia="宋体" w:cs="Times New Roman"/>
          <w:b/>
          <w:sz w:val="28"/>
          <w:szCs w:val="28"/>
        </w:rPr>
      </w:pPr>
    </w:p>
    <w:p w14:paraId="18E1C7E6">
      <w:pPr>
        <w:rPr>
          <w:rFonts w:ascii="Times New Roman" w:hAnsi="Times New Roman" w:eastAsia="宋体" w:cs="Times New Roman"/>
          <w:b/>
          <w:sz w:val="28"/>
          <w:szCs w:val="28"/>
        </w:rPr>
      </w:pPr>
    </w:p>
    <w:p w14:paraId="5107A9F2">
      <w:pPr>
        <w:ind w:right="2719" w:rightChars="1295"/>
        <w:rPr>
          <w:rFonts w:ascii="Times New Roman" w:hAnsi="Times New Roman" w:eastAsia="宋体" w:cs="Times New Roman"/>
          <w:b/>
          <w:sz w:val="32"/>
          <w:szCs w:val="28"/>
        </w:rPr>
      </w:pPr>
    </w:p>
    <w:p w14:paraId="6FA43393">
      <w:pPr>
        <w:ind w:right="2719" w:rightChars="1295" w:firstLine="2480" w:firstLineChars="775"/>
        <w:jc w:val="center"/>
        <w:rPr>
          <w:rFonts w:ascii="Times New Roman" w:hAnsi="Times New Roman" w:eastAsia="宋体" w:cs="Times New Roman"/>
          <w:b/>
          <w:sz w:val="32"/>
          <w:szCs w:val="28"/>
        </w:rPr>
      </w:pPr>
    </w:p>
    <w:p w14:paraId="41FC689D">
      <w:pPr>
        <w:ind w:right="-92" w:rightChars="-44"/>
        <w:jc w:val="both"/>
        <w:rPr>
          <w:rFonts w:hint="eastAsia" w:ascii="Times New Roman" w:hAnsi="Times New Roman" w:eastAsia="宋体" w:cs="Times New Roman"/>
          <w:b w:val="0"/>
          <w:bCs/>
          <w:sz w:val="24"/>
          <w:szCs w:val="24"/>
          <w:lang w:eastAsia="zh-CN"/>
        </w:rPr>
      </w:pPr>
    </w:p>
    <w:p w14:paraId="2D3E6397">
      <w:pPr>
        <w:ind w:right="-92" w:rightChars="-44"/>
        <w:jc w:val="both"/>
        <w:rPr>
          <w:rFonts w:hint="eastAsia" w:ascii="Times New Roman" w:hAnsi="Times New Roman" w:eastAsia="宋体" w:cs="Times New Roman"/>
          <w:b w:val="0"/>
          <w:bCs/>
          <w:sz w:val="24"/>
          <w:szCs w:val="24"/>
          <w:lang w:eastAsia="zh-CN"/>
        </w:rPr>
      </w:pPr>
    </w:p>
    <w:p w14:paraId="41532191">
      <w:pPr>
        <w:ind w:right="-92" w:rightChars="-44"/>
        <w:jc w:val="both"/>
        <w:rPr>
          <w:rFonts w:hint="eastAsia" w:ascii="Times New Roman" w:hAnsi="Times New Roman" w:eastAsia="宋体" w:cs="Times New Roman"/>
          <w:b w:val="0"/>
          <w:bCs/>
          <w:sz w:val="24"/>
          <w:szCs w:val="24"/>
          <w:lang w:eastAsia="zh-CN"/>
        </w:rPr>
      </w:pPr>
    </w:p>
    <w:p w14:paraId="5E74A52E">
      <w:pPr>
        <w:ind w:right="-92" w:rightChars="-44"/>
        <w:jc w:val="both"/>
        <w:rPr>
          <w:rFonts w:hint="eastAsia" w:ascii="Times New Roman" w:hAnsi="Times New Roman" w:eastAsia="宋体" w:cs="Times New Roman"/>
          <w:b w:val="0"/>
          <w:bCs/>
          <w:sz w:val="24"/>
          <w:szCs w:val="24"/>
          <w:lang w:eastAsia="zh-CN"/>
        </w:rPr>
      </w:pPr>
    </w:p>
    <w:p w14:paraId="6574DEF4">
      <w:pPr>
        <w:ind w:right="-92" w:rightChars="-44"/>
        <w:jc w:val="center"/>
        <w:rPr>
          <w:rFonts w:ascii="Times New Roman" w:hAnsi="Times New Roman" w:eastAsia="宋体" w:cs="Times New Roman"/>
          <w:b w:val="0"/>
          <w:bCs/>
          <w:sz w:val="24"/>
          <w:szCs w:val="24"/>
        </w:rPr>
      </w:pPr>
      <w:r>
        <w:rPr>
          <w:rFonts w:hint="eastAsia" w:ascii="Times New Roman" w:hAnsi="Times New Roman" w:eastAsia="宋体" w:cs="Times New Roman"/>
          <w:b w:val="0"/>
          <w:bCs/>
          <w:sz w:val="24"/>
          <w:szCs w:val="24"/>
          <w:lang w:eastAsia="zh-CN"/>
        </w:rPr>
        <w:t>注：</w:t>
      </w:r>
      <w:r>
        <w:rPr>
          <w:rFonts w:hint="eastAsia" w:ascii="Times New Roman" w:hAnsi="Times New Roman" w:eastAsia="宋体" w:cs="Times New Roman"/>
          <w:b w:val="0"/>
          <w:bCs/>
          <w:sz w:val="24"/>
          <w:szCs w:val="24"/>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590BA0D2">
      <w:pPr>
        <w:ind w:right="2719" w:rightChars="1295"/>
        <w:rPr>
          <w:rFonts w:ascii="Times New Roman" w:hAnsi="Times New Roman" w:eastAsia="宋体" w:cs="Times New Roman"/>
          <w:b/>
          <w:sz w:val="32"/>
          <w:szCs w:val="28"/>
        </w:rPr>
      </w:pPr>
    </w:p>
    <w:p w14:paraId="5D24A69F">
      <w:pPr>
        <w:ind w:right="2719" w:rightChars="1295"/>
        <w:rPr>
          <w:rFonts w:ascii="Times New Roman" w:hAnsi="Times New Roman" w:eastAsia="宋体" w:cs="Times New Roman"/>
          <w:b/>
          <w:sz w:val="32"/>
          <w:szCs w:val="28"/>
        </w:rPr>
      </w:pPr>
    </w:p>
    <w:p w14:paraId="08FC9C33">
      <w:pPr>
        <w:ind w:right="2719" w:rightChars="1295" w:firstLine="1764" w:firstLineChars="840"/>
        <w:rPr>
          <w:rFonts w:ascii="Times New Roman" w:hAnsi="Times New Roman" w:eastAsia="宋体" w:cs="Times New Roman"/>
          <w:b/>
          <w:spacing w:val="90"/>
          <w:sz w:val="36"/>
          <w:szCs w:val="36"/>
        </w:rPr>
      </w:pPr>
      <w:r>
        <w:rPr>
          <w:rFonts w:ascii="Times New Roman" w:hAnsi="Times New Roman" w:eastAsia="宋体" w:cs="Times New Roman"/>
          <w:szCs w:val="20"/>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146685</wp:posOffset>
                </wp:positionV>
                <wp:extent cx="723900" cy="457200"/>
                <wp:effectExtent l="4445" t="4445" r="18415" b="107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23900" cy="457200"/>
                        </a:xfrm>
                        <a:prstGeom prst="rect">
                          <a:avLst/>
                        </a:prstGeom>
                        <a:noFill/>
                        <a:ln w="9525">
                          <a:solidFill>
                            <a:srgbClr val="FFFFFF"/>
                          </a:solidFill>
                          <a:miter lim="200000"/>
                        </a:ln>
                      </wps:spPr>
                      <wps:txbx>
                        <w:txbxContent>
                          <w:p w14:paraId="55004C59">
                            <w:pPr>
                              <w:rPr>
                                <w:b/>
                                <w:bCs/>
                                <w:sz w:val="36"/>
                              </w:rPr>
                            </w:pPr>
                            <w:r>
                              <w:rPr>
                                <w:rFonts w:hint="eastAsia"/>
                                <w:b/>
                                <w:bCs/>
                                <w:sz w:val="36"/>
                              </w:rPr>
                              <w:t>制定</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6pt;margin-top:11.55pt;height:36pt;width:57pt;z-index:251659264;mso-width-relative:page;mso-height-relative:page;" filled="f" stroked="t" coordsize="21600,21600" o:gfxdata="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yEW/2AAAAAkBAAAPAAAAAAAAAAEAIAAAACIAAABkcnMvZG93bnJldi54bWxQ&#10;SwECFAAUAAAACACHTuJA7XvNmzACAABQBAAADgAAAAAAAAABACAAAAAnAQAAZHJzL2Uyb0RvYy54&#10;bWxQSwUGAAAAAAYABgBZAQAAyQUAAAAA&#10;">
                <v:fill on="f" focussize="0,0"/>
                <v:stroke color="#FFFFFF" miterlimit="2" joinstyle="miter"/>
                <v:imagedata o:title=""/>
                <o:lock v:ext="edit" aspectratio="f"/>
                <v:textbox>
                  <w:txbxContent>
                    <w:p w14:paraId="55004C59">
                      <w:pPr>
                        <w:rPr>
                          <w:b/>
                          <w:bCs/>
                          <w:sz w:val="36"/>
                        </w:rPr>
                      </w:pPr>
                      <w:r>
                        <w:rPr>
                          <w:rFonts w:hint="eastAsia"/>
                          <w:b/>
                          <w:bCs/>
                          <w:sz w:val="36"/>
                        </w:rPr>
                        <w:t>制定</w:t>
                      </w:r>
                    </w:p>
                  </w:txbxContent>
                </v:textbox>
              </v:rect>
            </w:pict>
          </mc:Fallback>
        </mc:AlternateContent>
      </w:r>
      <w:r>
        <w:rPr>
          <w:rFonts w:hint="eastAsia" w:ascii="Times New Roman" w:hAnsi="Times New Roman" w:eastAsia="宋体" w:cs="Times New Roman"/>
          <w:b/>
          <w:spacing w:val="90"/>
          <w:sz w:val="36"/>
          <w:szCs w:val="36"/>
        </w:rPr>
        <w:t>住房城乡建设部</w:t>
      </w:r>
    </w:p>
    <w:p w14:paraId="5527A7E4">
      <w:pPr>
        <w:ind w:right="2719" w:rightChars="1295" w:firstLine="1785" w:firstLineChars="496"/>
        <w:rPr>
          <w:rFonts w:ascii="Times New Roman" w:hAnsi="Times New Roman" w:eastAsia="宋体" w:cs="Times New Roman"/>
          <w:b/>
          <w:sz w:val="36"/>
          <w:szCs w:val="36"/>
        </w:rPr>
      </w:pPr>
      <w:r>
        <w:rPr>
          <w:rFonts w:hint="eastAsia" w:ascii="Times New Roman" w:hAnsi="Times New Roman" w:eastAsia="宋体" w:cs="Times New Roman"/>
          <w:b/>
          <w:sz w:val="36"/>
          <w:szCs w:val="36"/>
        </w:rPr>
        <w:t>国家工商行政管理总局</w:t>
      </w:r>
    </w:p>
    <w:p w14:paraId="263E983C">
      <w:pPr>
        <w:spacing w:line="360" w:lineRule="auto"/>
        <w:rPr>
          <w:rFonts w:hint="eastAsia" w:ascii="宋体" w:hAnsi="宋体"/>
          <w:b/>
          <w:color w:val="auto"/>
          <w:sz w:val="28"/>
          <w:szCs w:val="28"/>
          <w:highlight w:val="none"/>
        </w:rPr>
      </w:pPr>
    </w:p>
    <w:p w14:paraId="69619112">
      <w:pPr>
        <w:spacing w:line="360" w:lineRule="auto"/>
        <w:rPr>
          <w:rFonts w:hint="eastAsia" w:ascii="宋体" w:hAnsi="宋体"/>
          <w:b/>
          <w:color w:val="auto"/>
          <w:sz w:val="24"/>
          <w:szCs w:val="24"/>
          <w:highlight w:val="none"/>
        </w:rPr>
      </w:pPr>
      <w:r>
        <w:rPr>
          <w:rFonts w:hint="eastAsia" w:ascii="宋体" w:hAnsi="宋体"/>
          <w:color w:val="auto"/>
          <w:sz w:val="28"/>
          <w:szCs w:val="28"/>
          <w:highlight w:val="none"/>
        </w:rPr>
        <w:t xml:space="preserve"> </w:t>
      </w:r>
      <w:r>
        <w:rPr>
          <w:rFonts w:hint="eastAsia" w:ascii="宋体" w:hAnsi="宋体"/>
          <w:color w:val="auto"/>
          <w:sz w:val="24"/>
          <w:szCs w:val="24"/>
          <w:highlight w:val="none"/>
        </w:rPr>
        <w:t>本文件所列内容为签订合同时的基本内容，签订合同时可补充细化，以双方最终签订合同为准。</w:t>
      </w:r>
    </w:p>
    <w:p w14:paraId="7D0968F7">
      <w:pPr>
        <w:pStyle w:val="2"/>
        <w:jc w:val="center"/>
        <w:outlineLvl w:val="9"/>
        <w:rPr>
          <w:rFonts w:hint="eastAsia" w:ascii="宋体" w:hAnsi="宋体"/>
          <w:color w:val="auto"/>
          <w:sz w:val="30"/>
          <w:szCs w:val="30"/>
          <w:highlight w:val="none"/>
        </w:rPr>
      </w:pPr>
    </w:p>
    <w:p w14:paraId="2838CAA2">
      <w:pPr>
        <w:keepNext/>
        <w:keepLines/>
        <w:spacing w:line="600" w:lineRule="exact"/>
        <w:jc w:val="center"/>
        <w:outlineLvl w:val="2"/>
        <w:rPr>
          <w:rFonts w:ascii="宋体" w:hAnsi="宋体" w:eastAsia="宋体" w:cs="宋体"/>
          <w:b/>
          <w:kern w:val="0"/>
          <w:sz w:val="32"/>
          <w:szCs w:val="32"/>
        </w:rPr>
      </w:pPr>
      <w:r>
        <w:rPr>
          <w:rFonts w:hint="eastAsia" w:ascii="宋体" w:hAnsi="宋体" w:eastAsia="宋体" w:cs="宋体"/>
          <w:b/>
          <w:kern w:val="0"/>
          <w:sz w:val="32"/>
          <w:szCs w:val="32"/>
        </w:rPr>
        <w:t>第一部分   合同协议书</w:t>
      </w:r>
    </w:p>
    <w:p w14:paraId="6A11B035">
      <w:pPr>
        <w:spacing w:line="660" w:lineRule="exact"/>
        <w:ind w:firstLine="1"/>
        <w:rPr>
          <w:rFonts w:ascii="宋体" w:hAnsi="宋体" w:eastAsia="宋体" w:cs="宋体"/>
          <w:b/>
          <w:sz w:val="24"/>
          <w:szCs w:val="24"/>
          <w:u w:val="single"/>
        </w:rPr>
      </w:pPr>
      <w:r>
        <w:rPr>
          <w:rFonts w:hint="eastAsia" w:ascii="宋体" w:hAnsi="宋体" w:eastAsia="宋体" w:cs="宋体"/>
          <w:b/>
          <w:sz w:val="24"/>
          <w:szCs w:val="24"/>
        </w:rPr>
        <w:t>发包人 (全称）：</w:t>
      </w:r>
      <w:r>
        <w:rPr>
          <w:rFonts w:hint="eastAsia" w:ascii="宋体" w:hAnsi="宋体" w:eastAsia="宋体" w:cs="宋体"/>
          <w:sz w:val="24"/>
          <w:szCs w:val="24"/>
          <w:u w:val="single"/>
          <w:lang w:eastAsia="zh-CN"/>
        </w:rPr>
        <w:t>三门峡市住房服务保障中心</w:t>
      </w:r>
    </w:p>
    <w:p w14:paraId="559D6F0D">
      <w:pPr>
        <w:spacing w:line="660" w:lineRule="exact"/>
        <w:rPr>
          <w:rFonts w:ascii="宋体" w:hAnsi="宋体" w:eastAsia="宋体" w:cs="宋体"/>
          <w:sz w:val="24"/>
          <w:szCs w:val="24"/>
        </w:rPr>
      </w:pPr>
      <w:r>
        <w:rPr>
          <w:rFonts w:hint="eastAsia" w:ascii="宋体" w:hAnsi="宋体" w:eastAsia="宋体" w:cs="宋体"/>
          <w:b/>
          <w:sz w:val="24"/>
          <w:szCs w:val="24"/>
        </w:rPr>
        <w:t>承包人（全称）：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2AC7B0E1">
      <w:pPr>
        <w:spacing w:line="380" w:lineRule="exact"/>
        <w:ind w:firstLine="424" w:firstLineChars="177"/>
        <w:rPr>
          <w:rFonts w:ascii="宋体" w:hAnsi="宋体" w:eastAsia="宋体" w:cs="宋体"/>
          <w:sz w:val="24"/>
          <w:szCs w:val="24"/>
        </w:rPr>
      </w:pPr>
    </w:p>
    <w:p w14:paraId="77053C3F">
      <w:pPr>
        <w:spacing w:line="680" w:lineRule="exact"/>
        <w:ind w:firstLine="480" w:firstLineChars="200"/>
        <w:rPr>
          <w:rFonts w:ascii="宋体" w:hAnsi="宋体" w:eastAsia="宋体" w:cs="宋体"/>
          <w:b/>
          <w:sz w:val="24"/>
          <w:szCs w:val="24"/>
          <w:shd w:val="clear" w:color="auto" w:fill="FFFFFF"/>
        </w:rPr>
      </w:pPr>
      <w:r>
        <w:rPr>
          <w:rFonts w:hint="eastAsia" w:ascii="宋体" w:hAnsi="宋体" w:eastAsia="宋体" w:cs="宋体"/>
          <w:sz w:val="24"/>
          <w:szCs w:val="24"/>
        </w:rPr>
        <w:t>根据《中华人民共和国民法典》、《中华人民共和国建筑法》及有关法律规定，遵循平等、自愿、公平和诚实信用的原则，双方就</w:t>
      </w:r>
      <w:r>
        <w:rPr>
          <w:rFonts w:hint="eastAsia" w:ascii="宋体" w:hAnsi="宋体" w:eastAsia="宋体" w:cs="宋体"/>
          <w:sz w:val="24"/>
          <w:szCs w:val="24"/>
          <w:u w:val="single"/>
          <w:lang w:eastAsia="zh-CN"/>
        </w:rPr>
        <w:t>三门峡市迎宾花园、南康乐家园（德馨园）、惠利花园住宅小区厨房加装推拉门工程</w:t>
      </w:r>
      <w:r>
        <w:rPr>
          <w:rFonts w:hint="eastAsia" w:ascii="宋体" w:hAnsi="宋体" w:eastAsia="宋体" w:cs="Times New Roman"/>
          <w:sz w:val="24"/>
          <w:szCs w:val="24"/>
        </w:rPr>
        <w:t>施工及</w:t>
      </w:r>
      <w:r>
        <w:rPr>
          <w:rFonts w:hint="eastAsia" w:ascii="宋体" w:hAnsi="宋体" w:eastAsia="宋体" w:cs="宋体"/>
          <w:sz w:val="24"/>
          <w:szCs w:val="24"/>
        </w:rPr>
        <w:t>有关事项协商一致，共同达成如下协议：</w:t>
      </w:r>
    </w:p>
    <w:p w14:paraId="7CE7A194">
      <w:pPr>
        <w:keepNext/>
        <w:keepLines/>
        <w:spacing w:before="120" w:after="120"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一、工程概况</w:t>
      </w:r>
    </w:p>
    <w:p w14:paraId="17CD7CC6">
      <w:pPr>
        <w:spacing w:line="680" w:lineRule="exact"/>
        <w:ind w:firstLine="480" w:firstLineChars="200"/>
        <w:jc w:val="left"/>
        <w:rPr>
          <w:rFonts w:hint="eastAsia" w:ascii="宋体" w:hAnsi="宋体" w:eastAsia="宋体" w:cs="宋体"/>
          <w:sz w:val="24"/>
          <w:szCs w:val="24"/>
          <w:u w:val="single"/>
          <w:shd w:val="clear" w:color="auto" w:fill="FFFFFF"/>
          <w:lang w:eastAsia="zh-CN"/>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lang w:eastAsia="zh-CN"/>
        </w:rPr>
        <w:t>三门峡市迎宾花园、南康乐家园（德馨园）、惠利花园住宅小区厨房加装推拉门工程</w:t>
      </w:r>
    </w:p>
    <w:p w14:paraId="33EA5651">
      <w:pPr>
        <w:spacing w:line="680" w:lineRule="exact"/>
        <w:ind w:firstLine="480" w:firstLineChars="200"/>
        <w:jc w:val="left"/>
        <w:rPr>
          <w:rFonts w:ascii="宋体" w:hAnsi="宋体" w:eastAsia="宋体" w:cs="宋体"/>
          <w:bCs/>
          <w:sz w:val="24"/>
          <w:szCs w:val="24"/>
          <w:u w:val="single"/>
        </w:rPr>
      </w:pPr>
      <w:r>
        <w:rPr>
          <w:rFonts w:hint="eastAsia" w:ascii="宋体" w:hAnsi="宋体" w:eastAsia="宋体" w:cs="宋体"/>
          <w:bCs/>
          <w:sz w:val="24"/>
          <w:szCs w:val="24"/>
        </w:rPr>
        <w:t>2.工程地点：</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u w:val="single"/>
          <w:shd w:val="clear" w:color="auto" w:fill="FFFFFF"/>
          <w:lang w:eastAsia="zh-CN"/>
        </w:rPr>
        <w:t>上述小区</w:t>
      </w:r>
      <w:r>
        <w:rPr>
          <w:rFonts w:hint="eastAsia" w:ascii="宋体" w:hAnsi="宋体" w:eastAsia="宋体" w:cs="宋体"/>
          <w:sz w:val="24"/>
          <w:szCs w:val="24"/>
          <w:u w:val="single"/>
          <w:shd w:val="clear" w:color="auto" w:fill="FFFFFF"/>
        </w:rPr>
        <w:t xml:space="preserve">     </w:t>
      </w:r>
    </w:p>
    <w:p w14:paraId="3E252771">
      <w:pPr>
        <w:widowControl/>
        <w:spacing w:before="100" w:beforeAutospacing="1" w:after="100" w:afterAutospacing="1" w:line="540" w:lineRule="exact"/>
        <w:ind w:firstLine="480" w:firstLineChars="200"/>
        <w:jc w:val="left"/>
        <w:rPr>
          <w:rFonts w:hint="default" w:ascii="宋体" w:hAnsi="宋体" w:eastAsia="宋体" w:cs="宋体"/>
          <w:spacing w:val="20"/>
          <w:kern w:val="0"/>
          <w:sz w:val="24"/>
          <w:szCs w:val="24"/>
          <w:u w:val="single"/>
          <w:lang w:val="en-US" w:eastAsia="zh-CN"/>
        </w:rPr>
      </w:pPr>
      <w:r>
        <w:rPr>
          <w:rFonts w:hint="eastAsia" w:ascii="宋体" w:hAnsi="宋体" w:eastAsia="宋体" w:cs="宋体"/>
          <w:bCs/>
          <w:kern w:val="0"/>
          <w:sz w:val="24"/>
          <w:szCs w:val="24"/>
        </w:rPr>
        <w:t>3.工程立项批准文号：</w:t>
      </w:r>
      <w:r>
        <w:rPr>
          <w:rFonts w:hint="eastAsia" w:ascii="宋体" w:hAnsi="宋体" w:eastAsia="宋体" w:cs="宋体"/>
          <w:bCs/>
          <w:kern w:val="0"/>
          <w:sz w:val="24"/>
          <w:szCs w:val="24"/>
          <w:u w:val="single"/>
          <w:lang w:val="en-US" w:eastAsia="zh-CN"/>
        </w:rPr>
        <w:t xml:space="preserve">            </w:t>
      </w:r>
    </w:p>
    <w:p w14:paraId="490FAFFD">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lang w:eastAsia="zh-CN"/>
        </w:rPr>
        <w:t>财政</w:t>
      </w:r>
      <w:r>
        <w:rPr>
          <w:rFonts w:hint="eastAsia" w:ascii="宋体" w:hAnsi="宋体" w:eastAsia="宋体" w:cs="宋体"/>
          <w:sz w:val="24"/>
          <w:szCs w:val="24"/>
          <w:u w:val="single"/>
        </w:rPr>
        <w:t>资金</w:t>
      </w:r>
      <w:r>
        <w:rPr>
          <w:rFonts w:hint="eastAsia" w:ascii="宋体" w:hAnsi="宋体" w:eastAsia="宋体" w:cs="宋体"/>
          <w:bCs/>
          <w:sz w:val="24"/>
          <w:szCs w:val="24"/>
        </w:rPr>
        <w:t>。</w:t>
      </w:r>
    </w:p>
    <w:p w14:paraId="150C3DF8">
      <w:pPr>
        <w:spacing w:line="680" w:lineRule="exact"/>
        <w:ind w:firstLine="480" w:firstLineChars="200"/>
        <w:rPr>
          <w:rFonts w:ascii="宋体" w:hAnsi="宋体" w:eastAsia="宋体" w:cs="Times New Roman"/>
          <w:sz w:val="24"/>
          <w:szCs w:val="24"/>
          <w:u w:val="single"/>
        </w:rPr>
      </w:pPr>
      <w:r>
        <w:rPr>
          <w:rFonts w:hint="eastAsia" w:ascii="宋体" w:hAnsi="宋体" w:eastAsia="宋体" w:cs="宋体"/>
          <w:bCs/>
          <w:sz w:val="24"/>
          <w:szCs w:val="24"/>
        </w:rPr>
        <w:t>5.工程内容：</w:t>
      </w:r>
      <w:r>
        <w:rPr>
          <w:rFonts w:hint="eastAsia" w:ascii="宋体" w:hAnsi="宋体" w:eastAsia="宋体" w:cs="宋体"/>
          <w:bCs/>
          <w:sz w:val="24"/>
          <w:szCs w:val="24"/>
          <w:u w:val="single"/>
          <w:lang w:val="en-US" w:eastAsia="zh-CN"/>
        </w:rPr>
        <w:t>三门峡市迎宾花园一期16#～26#楼、二期8#～15#楼，三期7#、29#、30#楼，四期32#、33#楼，共计24栋2080套厨房安装钛镁合金推拉门；康乐家园（德馨园）18#、19#、20#、35#、36#、37#、41#楼，共计458套厨房安装钛镁合金推拉门；惠利花园6#楼，共计10套厨房安装钛镁合金推拉门等工程。</w:t>
      </w:r>
    </w:p>
    <w:p w14:paraId="23DE3D26">
      <w:pPr>
        <w:spacing w:line="6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群体工程应附《承包人承揽工程项目一览表》（附件1）。</w:t>
      </w:r>
    </w:p>
    <w:p w14:paraId="0597DE69">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6.工程承包范围</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施工图及工程量清单范围内</w:t>
      </w:r>
      <w:r>
        <w:rPr>
          <w:rFonts w:hint="eastAsia" w:ascii="宋体" w:hAnsi="宋体" w:eastAsia="宋体" w:cs="宋体"/>
          <w:bCs/>
          <w:sz w:val="24"/>
          <w:szCs w:val="24"/>
          <w:u w:val="single"/>
        </w:rPr>
        <w:t xml:space="preserve"> </w:t>
      </w:r>
      <w:r>
        <w:rPr>
          <w:rFonts w:hint="eastAsia" w:ascii="宋体" w:hAnsi="宋体" w:eastAsia="宋体" w:cs="宋体"/>
          <w:sz w:val="24"/>
          <w:szCs w:val="24"/>
        </w:rPr>
        <w:t>。</w:t>
      </w:r>
    </w:p>
    <w:p w14:paraId="26CC0473">
      <w:pPr>
        <w:keepNext/>
        <w:keepLines/>
        <w:spacing w:line="680" w:lineRule="exact"/>
        <w:ind w:firstLine="480" w:firstLineChars="200"/>
        <w:outlineLvl w:val="3"/>
        <w:rPr>
          <w:rFonts w:ascii="宋体" w:hAnsi="宋体" w:eastAsia="宋体" w:cs="宋体"/>
          <w:b/>
          <w:bCs/>
          <w:sz w:val="24"/>
          <w:szCs w:val="24"/>
        </w:rPr>
      </w:pPr>
      <w:r>
        <w:rPr>
          <w:rFonts w:hint="eastAsia" w:ascii="宋体" w:hAnsi="宋体" w:eastAsia="宋体" w:cs="宋体"/>
          <w:b/>
          <w:bCs/>
          <w:sz w:val="24"/>
          <w:szCs w:val="24"/>
        </w:rPr>
        <w:t>二、合同工期</w:t>
      </w:r>
    </w:p>
    <w:p w14:paraId="57F6FBC6">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EAEE880">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D003412">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180</w:t>
      </w:r>
      <w:r>
        <w:rPr>
          <w:rFonts w:hint="eastAsia" w:ascii="宋体" w:hAnsi="宋体" w:eastAsia="宋体" w:cs="宋体"/>
          <w:sz w:val="24"/>
          <w:szCs w:val="24"/>
          <w:u w:val="single"/>
        </w:rPr>
        <w:t xml:space="preserve"> </w:t>
      </w:r>
      <w:r>
        <w:rPr>
          <w:rFonts w:hint="eastAsia" w:ascii="宋体" w:hAnsi="宋体" w:eastAsia="宋体" w:cs="宋体"/>
          <w:sz w:val="24"/>
          <w:szCs w:val="24"/>
        </w:rPr>
        <w:t>日历天。工期总日历天数与根据前述计划开竣工日期计算的工期天数不一致的，以工期总日历天数为准。</w:t>
      </w:r>
    </w:p>
    <w:p w14:paraId="0104243F">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三、质量</w:t>
      </w:r>
      <w:r>
        <w:rPr>
          <w:rFonts w:hint="eastAsia" w:ascii="宋体" w:hAnsi="宋体" w:eastAsia="宋体" w:cs="宋体"/>
          <w:b/>
          <w:bCs/>
          <w:sz w:val="24"/>
          <w:szCs w:val="24"/>
          <w:lang w:eastAsia="zh-CN"/>
        </w:rPr>
        <w:t>及安全</w:t>
      </w:r>
      <w:r>
        <w:rPr>
          <w:rFonts w:hint="eastAsia" w:ascii="宋体" w:hAnsi="宋体" w:eastAsia="宋体" w:cs="宋体"/>
          <w:b/>
          <w:bCs/>
          <w:sz w:val="24"/>
          <w:szCs w:val="24"/>
        </w:rPr>
        <w:t>标准</w:t>
      </w:r>
    </w:p>
    <w:p w14:paraId="60470B1B">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工程质量</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达到国家有关质量验收合格标准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EEABBA">
      <w:pPr>
        <w:pStyle w:val="27"/>
        <w:keepNext w:val="0"/>
        <w:keepLines w:val="0"/>
        <w:pageBreakBefore w:val="0"/>
        <w:widowControl w:val="0"/>
        <w:kinsoku/>
        <w:wordWrap/>
        <w:overflowPunct/>
        <w:topLinePunct w:val="0"/>
        <w:bidi w:val="0"/>
        <w:snapToGrid/>
        <w:spacing w:line="480" w:lineRule="auto"/>
        <w:textAlignment w:val="auto"/>
        <w:rPr>
          <w:rFonts w:hint="default" w:eastAsia="宋体"/>
          <w:u w:val="none"/>
          <w:lang w:val="en-US" w:eastAsia="zh-CN"/>
        </w:rPr>
      </w:pPr>
      <w:r>
        <w:rPr>
          <w:rFonts w:hint="eastAsia" w:hAnsi="宋体" w:cs="宋体"/>
          <w:sz w:val="24"/>
          <w:szCs w:val="24"/>
          <w:lang w:val="en-US" w:eastAsia="zh-CN"/>
        </w:rPr>
        <w:t xml:space="preserve">    安全标准：</w:t>
      </w:r>
      <w:r>
        <w:rPr>
          <w:rFonts w:hint="eastAsia" w:hAnsi="宋体" w:cs="宋体"/>
          <w:sz w:val="24"/>
          <w:szCs w:val="24"/>
          <w:u w:val="single"/>
          <w:lang w:val="en-US" w:eastAsia="zh-CN"/>
        </w:rPr>
        <w:t>零事故。</w:t>
      </w:r>
    </w:p>
    <w:p w14:paraId="5E479501">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四、签约合同价与合同价格形式</w:t>
      </w:r>
    </w:p>
    <w:p w14:paraId="30788394">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1.签约合同价为：</w:t>
      </w:r>
    </w:p>
    <w:p w14:paraId="160E8532">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r>
        <w:rPr>
          <w:rFonts w:hint="eastAsia" w:ascii="宋体" w:hAnsi="宋体" w:eastAsia="宋体" w:cs="Times New Roman"/>
          <w:sz w:val="24"/>
          <w:szCs w:val="24"/>
          <w:u w:val="single"/>
        </w:rPr>
        <w:t xml:space="preserve">      </w:t>
      </w:r>
      <w:r>
        <w:rPr>
          <w:rFonts w:hint="eastAsia" w:ascii="宋体" w:hAnsi="宋体" w:eastAsia="宋体" w:cs="宋体"/>
          <w:sz w:val="24"/>
          <w:szCs w:val="24"/>
        </w:rPr>
        <w:t>元）；</w:t>
      </w:r>
    </w:p>
    <w:p w14:paraId="046E4B1C">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其中：</w:t>
      </w:r>
    </w:p>
    <w:p w14:paraId="6566CCC9">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（1）安全文明施工费：</w:t>
      </w:r>
    </w:p>
    <w:p w14:paraId="332A7CAB">
      <w:pPr>
        <w:spacing w:line="680" w:lineRule="exact"/>
        <w:ind w:firstLine="480" w:firstLineChars="200"/>
        <w:rPr>
          <w:rFonts w:ascii="宋体" w:hAnsi="宋体" w:eastAsia="宋体" w:cs="宋体"/>
          <w:kern w:val="0"/>
          <w:sz w:val="24"/>
          <w:szCs w:val="24"/>
          <w:u w:val="single"/>
        </w:rPr>
      </w:pPr>
      <w:r>
        <w:rPr>
          <w:rFonts w:hint="eastAsia" w:ascii="宋体" w:hAnsi="宋体" w:eastAsia="宋体" w:cs="宋体"/>
          <w:sz w:val="24"/>
          <w:szCs w:val="24"/>
        </w:rPr>
        <w:t>人民币（大写）</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r>
        <w:rPr>
          <w:rFonts w:hint="eastAsia" w:ascii="宋体" w:hAnsi="宋体" w:eastAsia="宋体" w:cs="Times New Roman"/>
          <w:sz w:val="24"/>
          <w:szCs w:val="24"/>
          <w:u w:val="single"/>
        </w:rPr>
        <w:t xml:space="preserve">   </w:t>
      </w:r>
      <w:r>
        <w:rPr>
          <w:rFonts w:hint="eastAsia" w:ascii="宋体" w:hAnsi="宋体" w:eastAsia="宋体" w:cs="宋体"/>
          <w:sz w:val="24"/>
          <w:szCs w:val="24"/>
        </w:rPr>
        <w:t>元）；</w:t>
      </w:r>
    </w:p>
    <w:p w14:paraId="4F3F1DF6">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（2）材料和工程设备暂估价金额：</w:t>
      </w:r>
    </w:p>
    <w:p w14:paraId="713452AB">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2ECFD741">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（3）专业工程暂估价金额：</w:t>
      </w:r>
    </w:p>
    <w:p w14:paraId="6CADB8F9">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5FB88FDA">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（4）暂列金额：</w:t>
      </w:r>
    </w:p>
    <w:p w14:paraId="72D0F458">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0408BE3">
      <w:pPr>
        <w:spacing w:line="680" w:lineRule="exact"/>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rPr>
        <w:t>2.合同价格形式：</w:t>
      </w:r>
      <w:r>
        <w:rPr>
          <w:rFonts w:hint="eastAsia" w:ascii="宋体" w:hAnsi="宋体" w:eastAsia="宋体" w:cs="宋体"/>
          <w:sz w:val="24"/>
          <w:szCs w:val="24"/>
          <w:u w:val="single"/>
        </w:rPr>
        <w:t xml:space="preserve">    固定</w:t>
      </w:r>
      <w:r>
        <w:rPr>
          <w:rFonts w:hint="eastAsia" w:ascii="宋体" w:hAnsi="宋体" w:eastAsia="宋体" w:cs="宋体"/>
          <w:sz w:val="24"/>
          <w:szCs w:val="24"/>
          <w:u w:val="single"/>
          <w:lang w:eastAsia="zh-CN"/>
        </w:rPr>
        <w:t>综合</w:t>
      </w:r>
      <w:r>
        <w:rPr>
          <w:rFonts w:hint="eastAsia" w:ascii="宋体" w:hAnsi="宋体" w:eastAsia="宋体" w:cs="宋体"/>
          <w:sz w:val="24"/>
          <w:szCs w:val="24"/>
          <w:u w:val="single"/>
        </w:rPr>
        <w:t xml:space="preserve">单价合同    </w:t>
      </w:r>
    </w:p>
    <w:p w14:paraId="5C69CBF5">
      <w:pPr>
        <w:keepNext/>
        <w:keepLines/>
        <w:spacing w:line="680" w:lineRule="exact"/>
        <w:ind w:firstLine="480" w:firstLineChars="200"/>
        <w:outlineLvl w:val="3"/>
        <w:rPr>
          <w:rFonts w:ascii="宋体" w:hAnsi="宋体" w:eastAsia="宋体" w:cs="宋体"/>
          <w:b/>
          <w:bCs/>
          <w:sz w:val="24"/>
          <w:szCs w:val="24"/>
        </w:rPr>
      </w:pPr>
      <w:r>
        <w:rPr>
          <w:rFonts w:hint="eastAsia" w:ascii="宋体" w:hAnsi="宋体" w:eastAsia="宋体" w:cs="宋体"/>
          <w:b/>
          <w:bCs/>
          <w:sz w:val="24"/>
          <w:szCs w:val="24"/>
        </w:rPr>
        <w:t>五、项目经理</w:t>
      </w:r>
    </w:p>
    <w:p w14:paraId="05F2173B">
      <w:pPr>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承包人项目经理：</w:t>
      </w:r>
      <w:r>
        <w:rPr>
          <w:rFonts w:hint="eastAsia" w:ascii="MingLiU_HKSCS" w:hAnsi="MingLiU_HKSCS" w:eastAsia="宋体" w:cs="MingLiU_HKSCS"/>
          <w:sz w:val="24"/>
          <w:szCs w:val="24"/>
          <w:u w:val="single"/>
        </w:rPr>
        <w:t xml:space="preserve">        </w:t>
      </w:r>
      <w:r>
        <w:rPr>
          <w:rFonts w:hint="eastAsia" w:ascii="宋体" w:hAnsi="宋体" w:eastAsia="宋体" w:cs="宋体"/>
          <w:sz w:val="24"/>
          <w:szCs w:val="24"/>
        </w:rPr>
        <w:t>。</w:t>
      </w:r>
    </w:p>
    <w:p w14:paraId="3AE84137">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六、合同文件构成</w:t>
      </w:r>
    </w:p>
    <w:p w14:paraId="68834D45">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20A00B88">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（1）中标通知书；</w:t>
      </w:r>
    </w:p>
    <w:p w14:paraId="177B67C2">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（2）投标函及其附录； </w:t>
      </w:r>
    </w:p>
    <w:p w14:paraId="49004844">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（3）专用合同条款及其附件；</w:t>
      </w:r>
    </w:p>
    <w:p w14:paraId="3F2A7B29">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（4）通用合同条款；</w:t>
      </w:r>
    </w:p>
    <w:p w14:paraId="3A1EF8CD">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（5）技术标准和要求；</w:t>
      </w:r>
    </w:p>
    <w:p w14:paraId="46A02965">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（6）图纸；</w:t>
      </w:r>
    </w:p>
    <w:p w14:paraId="0317CB46">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（7）已标价工程量清单或预算书；</w:t>
      </w:r>
    </w:p>
    <w:p w14:paraId="17E1340E">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（8）其他合同文件。</w:t>
      </w:r>
    </w:p>
    <w:p w14:paraId="3D7972B3">
      <w:pPr>
        <w:autoSpaceDE w:val="0"/>
        <w:autoSpaceDN w:val="0"/>
        <w:adjustRightInd w:val="0"/>
        <w:spacing w:line="6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5B09C063">
      <w:pPr>
        <w:autoSpaceDE w:val="0"/>
        <w:autoSpaceDN w:val="0"/>
        <w:adjustRightInd w:val="0"/>
        <w:spacing w:line="680" w:lineRule="exact"/>
        <w:ind w:firstLine="480" w:firstLineChars="200"/>
        <w:rPr>
          <w:rFonts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74F5ECD0">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七、承诺</w:t>
      </w:r>
    </w:p>
    <w:p w14:paraId="5240E85B">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14:paraId="750557B3">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14:paraId="57E7A08B">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p>
    <w:p w14:paraId="08B13C5F">
      <w:pPr>
        <w:keepNext/>
        <w:keepLines/>
        <w:spacing w:line="680" w:lineRule="exact"/>
        <w:ind w:firstLine="480" w:firstLineChars="200"/>
        <w:outlineLvl w:val="3"/>
        <w:rPr>
          <w:rFonts w:ascii="宋体" w:hAnsi="宋体" w:eastAsia="宋体" w:cs="宋体"/>
          <w:b/>
          <w:bCs/>
          <w:sz w:val="24"/>
          <w:szCs w:val="24"/>
        </w:rPr>
      </w:pPr>
      <w:r>
        <w:rPr>
          <w:rFonts w:hint="eastAsia" w:ascii="宋体" w:hAnsi="宋体" w:eastAsia="宋体" w:cs="宋体"/>
          <w:b/>
          <w:bCs/>
          <w:sz w:val="24"/>
          <w:szCs w:val="24"/>
        </w:rPr>
        <w:t>八、词语含义</w:t>
      </w:r>
    </w:p>
    <w:p w14:paraId="02F332D4">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14:paraId="21A546BB">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九、签订时间</w:t>
      </w:r>
    </w:p>
    <w:p w14:paraId="0C0F0A31">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p>
    <w:p w14:paraId="462993BB">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十、签订地点</w:t>
      </w:r>
    </w:p>
    <w:p w14:paraId="07809F39">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sz w:val="24"/>
          <w:szCs w:val="24"/>
          <w:u w:val="single"/>
        </w:rPr>
        <w:t xml:space="preserve">         </w:t>
      </w:r>
      <w:r>
        <w:rPr>
          <w:rFonts w:hint="eastAsia" w:ascii="宋体" w:hAnsi="宋体" w:eastAsia="宋体" w:cs="宋体"/>
          <w:bCs/>
          <w:sz w:val="24"/>
          <w:szCs w:val="24"/>
        </w:rPr>
        <w:t>签订。</w:t>
      </w:r>
    </w:p>
    <w:p w14:paraId="4295305E">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十一、补充协议</w:t>
      </w:r>
    </w:p>
    <w:p w14:paraId="68BB1951">
      <w:pPr>
        <w:spacing w:line="680" w:lineRule="exact"/>
        <w:ind w:firstLine="480" w:firstLineChars="200"/>
        <w:rPr>
          <w:rFonts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1D9B90D0">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十二、合同生效</w:t>
      </w:r>
    </w:p>
    <w:p w14:paraId="43BF608E">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sz w:val="24"/>
          <w:szCs w:val="24"/>
          <w:u w:val="single"/>
        </w:rPr>
        <w:t xml:space="preserve">双方签字盖章后 </w:t>
      </w:r>
      <w:r>
        <w:rPr>
          <w:rFonts w:hint="eastAsia" w:ascii="宋体" w:hAnsi="宋体" w:eastAsia="宋体" w:cs="宋体"/>
          <w:bCs/>
          <w:sz w:val="24"/>
          <w:szCs w:val="24"/>
        </w:rPr>
        <w:t>生效。</w:t>
      </w:r>
    </w:p>
    <w:p w14:paraId="095A1824">
      <w:pPr>
        <w:keepNext/>
        <w:keepLines/>
        <w:spacing w:line="68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十三、合同份数</w:t>
      </w:r>
    </w:p>
    <w:p w14:paraId="6EFED266">
      <w:pPr>
        <w:spacing w:line="68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四</w:t>
      </w:r>
      <w:r>
        <w:rPr>
          <w:rFonts w:hint="eastAsia" w:ascii="宋体" w:hAnsi="宋体" w:eastAsia="宋体" w:cs="宋体"/>
          <w:bCs/>
          <w:sz w:val="24"/>
          <w:szCs w:val="24"/>
        </w:rPr>
        <w:t>份，均具有同等法律效力</w:t>
      </w:r>
      <w:r>
        <w:rPr>
          <w:rFonts w:hint="eastAsia" w:ascii="宋体" w:hAnsi="宋体" w:eastAsia="宋体" w:cs="宋体"/>
          <w:bCs/>
          <w:sz w:val="24"/>
          <w:szCs w:val="24"/>
          <w:lang w:eastAsia="zh-CN"/>
        </w:rPr>
        <w:t>。</w:t>
      </w:r>
    </w:p>
    <w:p w14:paraId="199F3353">
      <w:pPr>
        <w:adjustRightInd w:val="0"/>
        <w:snapToGrid w:val="0"/>
        <w:spacing w:line="700" w:lineRule="exact"/>
        <w:rPr>
          <w:rFonts w:ascii="宋体" w:hAnsi="宋体" w:eastAsia="宋体" w:cs="宋体"/>
          <w:b/>
          <w:sz w:val="24"/>
          <w:szCs w:val="24"/>
        </w:rPr>
      </w:pPr>
    </w:p>
    <w:p w14:paraId="79CC45C3">
      <w:pPr>
        <w:adjustRightInd w:val="0"/>
        <w:snapToGrid w:val="0"/>
        <w:spacing w:line="700" w:lineRule="exact"/>
        <w:rPr>
          <w:rFonts w:ascii="宋体" w:hAnsi="宋体" w:eastAsia="宋体" w:cs="宋体"/>
          <w:b/>
          <w:sz w:val="24"/>
          <w:szCs w:val="24"/>
        </w:rPr>
      </w:pPr>
    </w:p>
    <w:p w14:paraId="615DBE89">
      <w:pPr>
        <w:adjustRightInd w:val="0"/>
        <w:snapToGrid w:val="0"/>
        <w:spacing w:line="700" w:lineRule="exact"/>
        <w:rPr>
          <w:rFonts w:ascii="宋体" w:hAnsi="宋体" w:eastAsia="宋体" w:cs="宋体"/>
          <w:sz w:val="24"/>
          <w:szCs w:val="24"/>
        </w:rPr>
      </w:pPr>
      <w:r>
        <w:rPr>
          <w:rFonts w:hint="eastAsia" w:ascii="宋体" w:hAnsi="宋体" w:eastAsia="宋体" w:cs="宋体"/>
          <w:b/>
          <w:sz w:val="24"/>
          <w:szCs w:val="24"/>
        </w:rPr>
        <w:t>发包人：</w:t>
      </w:r>
      <w:r>
        <w:rPr>
          <w:rFonts w:hint="eastAsia" w:ascii="宋体" w:hAnsi="宋体" w:eastAsia="宋体" w:cs="宋体"/>
          <w:sz w:val="24"/>
          <w:szCs w:val="24"/>
        </w:rPr>
        <w:t xml:space="preserve">    （公章）             </w:t>
      </w:r>
      <w:r>
        <w:rPr>
          <w:rFonts w:hint="eastAsia" w:ascii="宋体" w:hAnsi="宋体" w:eastAsia="宋体" w:cs="宋体"/>
          <w:b/>
          <w:sz w:val="24"/>
          <w:szCs w:val="24"/>
        </w:rPr>
        <w:t>承包人：</w:t>
      </w:r>
      <w:r>
        <w:rPr>
          <w:rFonts w:hint="eastAsia" w:ascii="宋体" w:hAnsi="宋体" w:eastAsia="宋体" w:cs="宋体"/>
          <w:sz w:val="24"/>
          <w:szCs w:val="24"/>
        </w:rPr>
        <w:t xml:space="preserve">    （公章）       </w:t>
      </w:r>
    </w:p>
    <w:p w14:paraId="7678868A">
      <w:pPr>
        <w:adjustRightInd w:val="0"/>
        <w:snapToGrid w:val="0"/>
        <w:spacing w:line="700" w:lineRule="exact"/>
        <w:rPr>
          <w:rFonts w:ascii="宋体" w:hAnsi="宋体" w:eastAsia="宋体" w:cs="宋体"/>
          <w:b/>
          <w:sz w:val="24"/>
          <w:szCs w:val="24"/>
        </w:rPr>
      </w:pPr>
      <w:r>
        <w:rPr>
          <w:rFonts w:hint="eastAsia" w:ascii="宋体" w:hAnsi="宋体" w:eastAsia="宋体" w:cs="宋体"/>
          <w:b/>
          <w:sz w:val="24"/>
          <w:szCs w:val="24"/>
        </w:rPr>
        <w:t>法定代表人或其委托代理人         法定代表人或其委托代理人</w:t>
      </w:r>
    </w:p>
    <w:p w14:paraId="1FA02FBE">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（签字）                         （签字）</w:t>
      </w:r>
    </w:p>
    <w:p w14:paraId="1469C3EB">
      <w:pPr>
        <w:adjustRightInd w:val="0"/>
        <w:snapToGrid w:val="0"/>
        <w:spacing w:line="700" w:lineRule="exact"/>
        <w:rPr>
          <w:rFonts w:ascii="宋体" w:hAnsi="宋体" w:eastAsia="宋体" w:cs="宋体"/>
          <w:b/>
          <w:sz w:val="24"/>
          <w:szCs w:val="24"/>
          <w:u w:val="single"/>
        </w:rPr>
      </w:pPr>
      <w:r>
        <w:rPr>
          <w:rFonts w:hint="eastAsia" w:ascii="宋体" w:hAnsi="宋体" w:eastAsia="宋体" w:cs="宋体"/>
          <w:b/>
          <w:snapToGrid w:val="0"/>
          <w:kern w:val="0"/>
          <w:sz w:val="24"/>
          <w:szCs w:val="24"/>
        </w:rPr>
        <w:t>组织机构代码：</w:t>
      </w:r>
      <w:r>
        <w:rPr>
          <w:rFonts w:hint="eastAsia" w:ascii="宋体" w:hAnsi="宋体" w:eastAsia="宋体" w:cs="宋体"/>
          <w:snapToGrid w:val="0"/>
          <w:kern w:val="0"/>
          <w:sz w:val="24"/>
          <w:szCs w:val="24"/>
          <w:u w:val="single"/>
        </w:rPr>
        <w:t xml:space="preserve">               </w:t>
      </w:r>
      <w:r>
        <w:rPr>
          <w:rFonts w:hint="eastAsia" w:ascii="宋体" w:hAnsi="宋体" w:eastAsia="宋体" w:cs="宋体"/>
          <w:b/>
          <w:snapToGrid w:val="0"/>
          <w:kern w:val="0"/>
          <w:sz w:val="24"/>
          <w:szCs w:val="24"/>
        </w:rPr>
        <w:t>组织机构代码：</w:t>
      </w:r>
      <w:r>
        <w:rPr>
          <w:rFonts w:hint="eastAsia" w:ascii="宋体" w:hAnsi="宋体" w:eastAsia="宋体" w:cs="宋体"/>
          <w:bCs/>
          <w:snapToGrid w:val="0"/>
          <w:kern w:val="0"/>
          <w:sz w:val="24"/>
          <w:szCs w:val="24"/>
          <w:u w:val="single"/>
        </w:rPr>
        <w:t xml:space="preserve">            </w:t>
      </w:r>
    </w:p>
    <w:p w14:paraId="5820DFEA">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p>
    <w:p w14:paraId="0B7FF67B">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邮政编码：</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p>
    <w:p w14:paraId="0AEEB991">
      <w:pPr>
        <w:adjustRightInd w:val="0"/>
        <w:snapToGrid w:val="0"/>
        <w:spacing w:line="700" w:lineRule="exact"/>
        <w:rPr>
          <w:rFonts w:ascii="宋体" w:hAnsi="宋体" w:eastAsia="宋体" w:cs="宋体"/>
          <w:b/>
          <w:sz w:val="24"/>
          <w:szCs w:val="24"/>
          <w:u w:val="single"/>
        </w:rPr>
      </w:pPr>
      <w:r>
        <w:rPr>
          <w:rFonts w:hint="eastAsia" w:ascii="宋体" w:hAnsi="宋体" w:eastAsia="宋体" w:cs="宋体"/>
          <w:b/>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b/>
          <w:sz w:val="24"/>
          <w:szCs w:val="24"/>
        </w:rPr>
        <w:t>法定代表人：</w:t>
      </w:r>
      <w:r>
        <w:rPr>
          <w:rFonts w:hint="eastAsia" w:ascii="宋体" w:hAnsi="宋体" w:eastAsia="宋体" w:cs="宋体"/>
          <w:sz w:val="24"/>
          <w:szCs w:val="24"/>
          <w:u w:val="single"/>
        </w:rPr>
        <w:t xml:space="preserve">      </w:t>
      </w:r>
    </w:p>
    <w:p w14:paraId="73E88EC4">
      <w:pPr>
        <w:adjustRightInd w:val="0"/>
        <w:snapToGrid w:val="0"/>
        <w:spacing w:line="700" w:lineRule="exact"/>
        <w:rPr>
          <w:rFonts w:ascii="宋体" w:hAnsi="宋体" w:eastAsia="宋体" w:cs="宋体"/>
          <w:b/>
          <w:sz w:val="24"/>
          <w:szCs w:val="24"/>
          <w:u w:val="single"/>
        </w:rPr>
      </w:pPr>
      <w:r>
        <w:rPr>
          <w:rFonts w:hint="eastAsia" w:ascii="宋体" w:hAnsi="宋体" w:eastAsia="宋体" w:cs="宋体"/>
          <w:b/>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b/>
          <w:sz w:val="24"/>
          <w:szCs w:val="24"/>
        </w:rPr>
        <w:t>委托代理人：</w:t>
      </w:r>
      <w:r>
        <w:rPr>
          <w:rFonts w:hint="eastAsia" w:ascii="宋体" w:hAnsi="宋体" w:eastAsia="宋体" w:cs="宋体"/>
          <w:sz w:val="24"/>
          <w:szCs w:val="24"/>
          <w:u w:val="single"/>
        </w:rPr>
        <w:t xml:space="preserve"> </w:t>
      </w:r>
    </w:p>
    <w:p w14:paraId="7BCF02B8">
      <w:pPr>
        <w:adjustRightInd w:val="0"/>
        <w:snapToGrid w:val="0"/>
        <w:spacing w:line="700" w:lineRule="exact"/>
        <w:rPr>
          <w:rFonts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电   话：</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p>
    <w:p w14:paraId="1F49C845">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传    真：</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w:t>
      </w:r>
    </w:p>
    <w:p w14:paraId="1BD045E3">
      <w:pPr>
        <w:adjustRightInd w:val="0"/>
        <w:snapToGrid w:val="0"/>
        <w:spacing w:line="700" w:lineRule="exact"/>
        <w:rPr>
          <w:rFonts w:ascii="宋体" w:hAnsi="宋体" w:eastAsia="宋体" w:cs="宋体"/>
          <w:sz w:val="24"/>
          <w:szCs w:val="24"/>
        </w:rPr>
      </w:pP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w:t>
      </w:r>
    </w:p>
    <w:p w14:paraId="58B20996">
      <w:pPr>
        <w:adjustRightInd w:val="0"/>
        <w:snapToGrid w:val="0"/>
        <w:spacing w:line="700" w:lineRule="exact"/>
        <w:rPr>
          <w:rFonts w:ascii="宋体" w:hAnsi="宋体" w:eastAsia="宋体" w:cs="宋体"/>
          <w:spacing w:val="10"/>
          <w:sz w:val="24"/>
          <w:szCs w:val="24"/>
          <w:u w:val="single"/>
        </w:rPr>
      </w:pP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w:t>
      </w:r>
    </w:p>
    <w:p w14:paraId="3E92DE2F">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账    号：</w:t>
      </w:r>
      <w:r>
        <w:rPr>
          <w:rFonts w:hint="eastAsia" w:ascii="宋体" w:hAnsi="宋体" w:eastAsia="宋体" w:cs="宋体"/>
          <w:sz w:val="24"/>
          <w:szCs w:val="24"/>
          <w:u w:val="single"/>
        </w:rPr>
        <w:t xml:space="preserve">                   </w:t>
      </w:r>
      <w:r>
        <w:rPr>
          <w:rFonts w:hint="eastAsia" w:ascii="宋体" w:hAnsi="宋体" w:eastAsia="宋体" w:cs="宋体"/>
          <w:b/>
          <w:sz w:val="24"/>
          <w:szCs w:val="24"/>
        </w:rPr>
        <w:t>账    号：</w:t>
      </w:r>
      <w:r>
        <w:rPr>
          <w:rFonts w:hint="eastAsia" w:ascii="宋体" w:hAnsi="宋体" w:eastAsia="宋体" w:cs="宋体"/>
          <w:spacing w:val="10"/>
          <w:sz w:val="24"/>
          <w:szCs w:val="24"/>
          <w:u w:val="single"/>
        </w:rPr>
        <w:t xml:space="preserve">             </w:t>
      </w:r>
    </w:p>
    <w:p w14:paraId="6F2CF79F">
      <w:pPr>
        <w:snapToGrid w:val="0"/>
        <w:spacing w:line="660" w:lineRule="exact"/>
        <w:jc w:val="center"/>
        <w:rPr>
          <w:rFonts w:ascii="宋体" w:hAnsi="宋体" w:eastAsia="宋体" w:cs="宋体"/>
          <w:b/>
          <w:sz w:val="32"/>
          <w:szCs w:val="32"/>
        </w:rPr>
      </w:pPr>
      <w:r>
        <w:rPr>
          <w:rFonts w:hint="eastAsia" w:ascii="宋体" w:hAnsi="宋体" w:eastAsia="宋体" w:cs="宋体"/>
          <w:b/>
          <w:sz w:val="32"/>
          <w:szCs w:val="32"/>
        </w:rPr>
        <w:br w:type="page"/>
      </w:r>
    </w:p>
    <w:p w14:paraId="094A3283">
      <w:pPr>
        <w:keepNext/>
        <w:keepLines/>
        <w:spacing w:line="600" w:lineRule="exact"/>
        <w:jc w:val="center"/>
        <w:outlineLvl w:val="2"/>
        <w:rPr>
          <w:rFonts w:ascii="宋体" w:hAnsi="宋体" w:eastAsia="宋体" w:cs="宋体"/>
          <w:b/>
          <w:kern w:val="0"/>
          <w:sz w:val="32"/>
          <w:szCs w:val="32"/>
        </w:rPr>
      </w:pPr>
      <w:r>
        <w:rPr>
          <w:rFonts w:hint="eastAsia" w:ascii="宋体" w:hAnsi="宋体" w:eastAsia="宋体" w:cs="宋体"/>
          <w:b/>
          <w:kern w:val="0"/>
          <w:sz w:val="32"/>
          <w:szCs w:val="32"/>
        </w:rPr>
        <w:t>第二部分   通用合同条款</w:t>
      </w:r>
    </w:p>
    <w:p w14:paraId="31DE8A6B">
      <w:pPr>
        <w:snapToGrid w:val="0"/>
        <w:spacing w:line="660" w:lineRule="exact"/>
        <w:ind w:firstLine="567"/>
        <w:rPr>
          <w:rFonts w:ascii="宋体" w:hAnsi="宋体" w:eastAsia="宋体" w:cs="宋体"/>
          <w:sz w:val="24"/>
          <w:szCs w:val="24"/>
        </w:rPr>
      </w:pPr>
    </w:p>
    <w:p w14:paraId="61CBE5B9">
      <w:pPr>
        <w:snapToGrid w:val="0"/>
        <w:spacing w:line="660" w:lineRule="exact"/>
        <w:ind w:firstLine="567"/>
        <w:rPr>
          <w:rFonts w:ascii="宋体" w:hAnsi="宋体" w:eastAsia="宋体" w:cs="宋体"/>
          <w:sz w:val="24"/>
          <w:szCs w:val="24"/>
        </w:rPr>
      </w:pPr>
      <w:r>
        <w:rPr>
          <w:rFonts w:hint="eastAsia" w:ascii="宋体" w:hAnsi="宋体" w:eastAsia="宋体" w:cs="宋体"/>
          <w:sz w:val="24"/>
          <w:szCs w:val="24"/>
        </w:rPr>
        <w:t>通用合同条款直接引用《建设工程施工合同（示范文本）》（GF-2017-0201）</w:t>
      </w:r>
    </w:p>
    <w:p w14:paraId="5A02E3D2">
      <w:pPr>
        <w:snapToGrid w:val="0"/>
        <w:spacing w:line="600" w:lineRule="exact"/>
        <w:ind w:firstLine="759"/>
        <w:rPr>
          <w:rFonts w:ascii="宋体" w:hAnsi="宋体" w:eastAsia="宋体" w:cs="宋体"/>
          <w:sz w:val="24"/>
          <w:szCs w:val="24"/>
        </w:rPr>
      </w:pPr>
    </w:p>
    <w:p w14:paraId="578D726F">
      <w:pPr>
        <w:snapToGrid w:val="0"/>
        <w:spacing w:line="600" w:lineRule="exact"/>
        <w:ind w:firstLine="759"/>
        <w:rPr>
          <w:rFonts w:ascii="宋体" w:hAnsi="宋体" w:eastAsia="宋体" w:cs="宋体"/>
          <w:sz w:val="24"/>
          <w:szCs w:val="24"/>
        </w:rPr>
      </w:pPr>
    </w:p>
    <w:p w14:paraId="200599FC">
      <w:pPr>
        <w:snapToGrid w:val="0"/>
        <w:spacing w:line="600" w:lineRule="exact"/>
        <w:ind w:firstLine="759"/>
        <w:rPr>
          <w:rFonts w:ascii="宋体" w:hAnsi="宋体" w:eastAsia="宋体" w:cs="宋体"/>
          <w:sz w:val="24"/>
          <w:szCs w:val="24"/>
        </w:rPr>
      </w:pPr>
    </w:p>
    <w:p w14:paraId="3E91A777">
      <w:pPr>
        <w:snapToGrid w:val="0"/>
        <w:spacing w:line="600" w:lineRule="exact"/>
        <w:ind w:firstLine="759"/>
        <w:rPr>
          <w:rFonts w:ascii="宋体" w:hAnsi="宋体" w:eastAsia="宋体" w:cs="宋体"/>
          <w:sz w:val="24"/>
          <w:szCs w:val="24"/>
        </w:rPr>
      </w:pPr>
    </w:p>
    <w:p w14:paraId="45ACA2BB">
      <w:pPr>
        <w:keepNext/>
        <w:keepLines/>
        <w:spacing w:line="600" w:lineRule="exact"/>
        <w:jc w:val="center"/>
        <w:outlineLvl w:val="2"/>
        <w:rPr>
          <w:rFonts w:ascii="宋体" w:hAnsi="宋体" w:eastAsia="宋体" w:cs="宋体"/>
          <w:b/>
          <w:kern w:val="0"/>
          <w:sz w:val="32"/>
          <w:szCs w:val="32"/>
        </w:rPr>
      </w:pPr>
      <w:r>
        <w:rPr>
          <w:rFonts w:hint="eastAsia" w:ascii="宋体" w:hAnsi="宋体" w:eastAsia="宋体" w:cs="宋体"/>
          <w:b/>
          <w:kern w:val="0"/>
          <w:sz w:val="24"/>
          <w:szCs w:val="24"/>
        </w:rPr>
        <w:br w:type="page"/>
      </w:r>
      <w:r>
        <w:rPr>
          <w:rFonts w:hint="eastAsia" w:ascii="宋体" w:hAnsi="宋体" w:eastAsia="宋体" w:cs="宋体"/>
          <w:b/>
          <w:kern w:val="0"/>
          <w:sz w:val="32"/>
          <w:szCs w:val="32"/>
        </w:rPr>
        <w:t>第三部分   专用合同条款</w:t>
      </w:r>
    </w:p>
    <w:p w14:paraId="1839C767">
      <w:pPr>
        <w:keepNext/>
        <w:keepLines/>
        <w:spacing w:before="120" w:after="120" w:line="620" w:lineRule="exact"/>
        <w:ind w:firstLine="444" w:firstLineChars="185"/>
        <w:outlineLvl w:val="3"/>
        <w:rPr>
          <w:rFonts w:ascii="宋体" w:hAnsi="宋体" w:eastAsia="宋体" w:cs="宋体"/>
          <w:b/>
          <w:bCs/>
          <w:sz w:val="24"/>
          <w:szCs w:val="24"/>
        </w:rPr>
      </w:pPr>
      <w:r>
        <w:rPr>
          <w:rFonts w:hint="eastAsia" w:ascii="宋体" w:hAnsi="宋体" w:eastAsia="宋体" w:cs="宋体"/>
          <w:b/>
          <w:bCs/>
          <w:sz w:val="24"/>
          <w:szCs w:val="24"/>
        </w:rPr>
        <w:t>1. 一般约定</w:t>
      </w:r>
    </w:p>
    <w:p w14:paraId="66512152">
      <w:pPr>
        <w:spacing w:after="120" w:line="620" w:lineRule="exact"/>
        <w:ind w:firstLine="480" w:firstLineChars="200"/>
        <w:rPr>
          <w:rFonts w:ascii="宋体" w:hAnsi="宋体" w:eastAsia="宋体" w:cs="宋体"/>
          <w:b/>
          <w:sz w:val="24"/>
          <w:szCs w:val="24"/>
        </w:rPr>
      </w:pPr>
      <w:r>
        <w:rPr>
          <w:rFonts w:hint="eastAsia" w:ascii="宋体" w:hAnsi="宋体" w:eastAsia="宋体" w:cs="宋体"/>
          <w:b/>
          <w:sz w:val="24"/>
          <w:szCs w:val="24"/>
        </w:rPr>
        <w:t>1.1 词语定义</w:t>
      </w:r>
    </w:p>
    <w:p w14:paraId="44189BE3">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1.1.1合同</w:t>
      </w:r>
    </w:p>
    <w:p w14:paraId="63A33CB3">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1.1.1.10其他合同文件包括：</w:t>
      </w:r>
      <w:r>
        <w:rPr>
          <w:rFonts w:hint="eastAsia" w:ascii="宋体" w:hAnsi="宋体" w:eastAsia="宋体" w:cs="宋体"/>
          <w:sz w:val="24"/>
          <w:szCs w:val="24"/>
          <w:u w:val="single"/>
        </w:rPr>
        <w:t>合同协议书、中标通知书、投标函及其附录、专用合同条款及其附件、通用合同条款、技术标准和要求、预算书以及履行合同过程中双方管理者（或双方工地代表人）书面确认的对合同内容有实质性影响的会议纪要、签证、设计变更等资料</w:t>
      </w:r>
      <w:r>
        <w:rPr>
          <w:rFonts w:hint="eastAsia" w:ascii="宋体" w:hAnsi="宋体" w:eastAsia="宋体" w:cs="宋体"/>
          <w:sz w:val="24"/>
          <w:szCs w:val="24"/>
        </w:rPr>
        <w:t>。</w:t>
      </w:r>
    </w:p>
    <w:p w14:paraId="555A0A35">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1.1.2 合同当事人及其他相关方</w:t>
      </w:r>
    </w:p>
    <w:p w14:paraId="05797330">
      <w:pPr>
        <w:spacing w:line="620" w:lineRule="exact"/>
        <w:ind w:firstLine="480" w:firstLineChars="200"/>
        <w:rPr>
          <w:rFonts w:ascii="宋体" w:hAnsi="宋体" w:eastAsia="宋体" w:cs="宋体"/>
          <w:b/>
          <w:sz w:val="24"/>
          <w:szCs w:val="24"/>
        </w:rPr>
      </w:pPr>
      <w:r>
        <w:rPr>
          <w:rFonts w:hint="eastAsia" w:ascii="宋体" w:hAnsi="宋体" w:eastAsia="宋体" w:cs="宋体"/>
          <w:b/>
          <w:sz w:val="24"/>
          <w:szCs w:val="24"/>
        </w:rPr>
        <w:t>1.1.2.4监理人：</w:t>
      </w:r>
    </w:p>
    <w:p w14:paraId="6A8405A6">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82C0D7">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1FE91CB">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2E5DCA4">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ascii="Times New Roman" w:hAnsi="Times New Roman" w:eastAsia="宋体" w:cs="Times New Roman"/>
          <w:szCs w:val="24"/>
          <w:u w:val="single"/>
        </w:rPr>
        <w:t xml:space="preserve">          </w:t>
      </w:r>
      <w:r>
        <w:rPr>
          <w:rFonts w:ascii="Times New Roman" w:hAnsi="Times New Roman" w:eastAsia="宋体" w:cs="Times New Roman"/>
          <w:szCs w:val="24"/>
        </w:rPr>
        <w:t xml:space="preserve"> </w:t>
      </w:r>
      <w:r>
        <w:rPr>
          <w:rFonts w:hint="eastAsia" w:ascii="宋体" w:hAnsi="宋体" w:eastAsia="宋体" w:cs="宋体"/>
          <w:sz w:val="24"/>
          <w:szCs w:val="24"/>
        </w:rPr>
        <w:t>；</w:t>
      </w:r>
    </w:p>
    <w:p w14:paraId="2B2A0DEA">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A3049AC">
      <w:pPr>
        <w:spacing w:line="620" w:lineRule="exact"/>
        <w:ind w:firstLine="480" w:firstLineChars="200"/>
        <w:rPr>
          <w:rFonts w:ascii="宋体" w:hAnsi="宋体" w:eastAsia="宋体" w:cs="宋体"/>
          <w:b/>
          <w:sz w:val="24"/>
          <w:szCs w:val="24"/>
        </w:rPr>
      </w:pPr>
      <w:r>
        <w:rPr>
          <w:rFonts w:hint="eastAsia" w:ascii="宋体" w:hAnsi="宋体" w:eastAsia="宋体" w:cs="宋体"/>
          <w:b/>
          <w:sz w:val="24"/>
          <w:szCs w:val="24"/>
        </w:rPr>
        <w:t>1.1.2.5 设计人：</w:t>
      </w:r>
    </w:p>
    <w:p w14:paraId="6D9818EA">
      <w:pPr>
        <w:spacing w:line="620" w:lineRule="exact"/>
        <w:ind w:firstLine="480" w:firstLineChars="200"/>
        <w:rPr>
          <w:rFonts w:ascii="宋体" w:hAnsi="宋体" w:eastAsia="宋体" w:cs="宋体"/>
          <w:sz w:val="24"/>
          <w:szCs w:val="24"/>
        </w:rPr>
      </w:pPr>
      <w:r>
        <w:rPr>
          <w:rFonts w:hint="eastAsia" w:ascii="宋体" w:hAnsi="宋体" w:eastAsia="宋体" w:cs="Times New Roman"/>
          <w:sz w:val="24"/>
          <w:szCs w:val="24"/>
        </w:rPr>
        <w:t>名    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智博建筑设计集团有限公司</w:t>
      </w:r>
      <w:r>
        <w:rPr>
          <w:rFonts w:hint="eastAsia" w:ascii="宋体" w:hAnsi="宋体" w:eastAsia="宋体" w:cs="Times New Roman"/>
          <w:sz w:val="24"/>
          <w:szCs w:val="24"/>
          <w:u w:val="single"/>
        </w:rPr>
        <w:t xml:space="preserve"> </w:t>
      </w:r>
      <w:r>
        <w:rPr>
          <w:rFonts w:hint="eastAsia" w:ascii="宋体" w:hAnsi="宋体" w:eastAsia="宋体" w:cs="宋体"/>
          <w:b/>
          <w:sz w:val="24"/>
          <w:szCs w:val="24"/>
        </w:rPr>
        <w:t>；</w:t>
      </w:r>
    </w:p>
    <w:p w14:paraId="6FD824B0">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B3BD25">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694EAB94">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9D19C43">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71825D35">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1.1.3 工程和设备</w:t>
      </w:r>
    </w:p>
    <w:p w14:paraId="01FABB76">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符合通用条款规定的发包方提供的施工场地</w:t>
      </w:r>
      <w:r>
        <w:rPr>
          <w:rFonts w:hint="eastAsia" w:ascii="宋体" w:hAnsi="宋体" w:eastAsia="宋体" w:cs="宋体"/>
          <w:sz w:val="24"/>
          <w:szCs w:val="24"/>
        </w:rPr>
        <w:t>。</w:t>
      </w:r>
    </w:p>
    <w:p w14:paraId="53D78AB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sz w:val="24"/>
          <w:szCs w:val="24"/>
          <w:u w:val="single"/>
        </w:rPr>
        <w:t xml:space="preserve">   依据设计图纸确定   </w:t>
      </w:r>
      <w:r>
        <w:rPr>
          <w:rFonts w:hint="eastAsia" w:ascii="宋体" w:hAnsi="宋体" w:eastAsia="宋体" w:cs="宋体"/>
          <w:sz w:val="24"/>
          <w:szCs w:val="24"/>
        </w:rPr>
        <w:t>。</w:t>
      </w:r>
    </w:p>
    <w:p w14:paraId="229AC00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eastAsia="宋体" w:cs="宋体"/>
          <w:sz w:val="24"/>
          <w:szCs w:val="24"/>
          <w:u w:val="single"/>
        </w:rPr>
        <w:t>双方在合同履行过程中确定</w:t>
      </w:r>
      <w:r>
        <w:rPr>
          <w:rFonts w:hint="eastAsia" w:ascii="宋体" w:hAnsi="宋体" w:eastAsia="宋体" w:cs="宋体"/>
          <w:sz w:val="24"/>
          <w:szCs w:val="24"/>
        </w:rPr>
        <w:t>。</w:t>
      </w:r>
    </w:p>
    <w:p w14:paraId="22F9451E">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 xml:space="preserve">1.3法律 </w:t>
      </w:r>
    </w:p>
    <w:p w14:paraId="0A856232">
      <w:pPr>
        <w:autoSpaceDE w:val="0"/>
        <w:autoSpaceDN w:val="0"/>
        <w:adjustRightInd w:val="0"/>
        <w:spacing w:line="600" w:lineRule="exact"/>
        <w:ind w:left="596" w:leftChars="284"/>
        <w:jc w:val="left"/>
        <w:rPr>
          <w:rFonts w:ascii="宋体" w:hAnsi="宋体" w:eastAsia="宋体" w:cs="宋体"/>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470CFB40">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1.4 标准和规范</w:t>
      </w:r>
    </w:p>
    <w:p w14:paraId="324953A2">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1.4.1适用于工程的标准规范包括：</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7F6FA16A">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不采用   </w:t>
      </w:r>
      <w:r>
        <w:rPr>
          <w:rFonts w:hint="eastAsia" w:ascii="宋体" w:hAnsi="宋体" w:eastAsia="宋体" w:cs="宋体"/>
          <w:sz w:val="24"/>
          <w:szCs w:val="24"/>
        </w:rPr>
        <w:t>；</w:t>
      </w:r>
    </w:p>
    <w:p w14:paraId="6EE3DF5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不采用   </w:t>
      </w:r>
      <w:r>
        <w:rPr>
          <w:rFonts w:hint="eastAsia" w:ascii="宋体" w:hAnsi="宋体" w:eastAsia="宋体" w:cs="宋体"/>
          <w:sz w:val="24"/>
          <w:szCs w:val="24"/>
        </w:rPr>
        <w:t>；</w:t>
      </w:r>
    </w:p>
    <w:p w14:paraId="59A15038">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不采用   </w:t>
      </w:r>
      <w:r>
        <w:rPr>
          <w:rFonts w:hint="eastAsia" w:ascii="宋体" w:hAnsi="宋体" w:eastAsia="宋体" w:cs="宋体"/>
          <w:sz w:val="24"/>
          <w:szCs w:val="24"/>
        </w:rPr>
        <w:t xml:space="preserve">； </w:t>
      </w:r>
    </w:p>
    <w:p w14:paraId="66CB4258">
      <w:pPr>
        <w:spacing w:line="600" w:lineRule="exact"/>
        <w:ind w:firstLine="556" w:firstLineChars="232"/>
        <w:jc w:val="left"/>
        <w:rPr>
          <w:rFonts w:ascii="宋体" w:hAnsi="宋体" w:eastAsia="宋体" w:cs="宋体"/>
          <w:sz w:val="24"/>
          <w:szCs w:val="24"/>
        </w:rPr>
      </w:pPr>
      <w:r>
        <w:rPr>
          <w:rFonts w:hint="eastAsia" w:ascii="宋体" w:hAnsi="宋体" w:eastAsia="宋体" w:cs="宋体"/>
          <w:sz w:val="24"/>
          <w:szCs w:val="24"/>
        </w:rPr>
        <w:t>1.4.3</w:t>
      </w:r>
      <w:r>
        <w:rPr>
          <w:rFonts w:hint="eastAsia" w:ascii="宋体" w:hAnsi="宋体" w:eastAsia="宋体" w:cs="宋体"/>
          <w:spacing w:val="20"/>
          <w:sz w:val="24"/>
          <w:szCs w:val="24"/>
        </w:rPr>
        <w:t>发包人对工程的技术标准和功能要求的特殊要求：</w:t>
      </w:r>
      <w:r>
        <w:rPr>
          <w:rFonts w:hint="eastAsia" w:ascii="宋体" w:hAnsi="宋体" w:eastAsia="宋体" w:cs="宋体"/>
          <w:sz w:val="24"/>
          <w:szCs w:val="24"/>
          <w:u w:val="single"/>
        </w:rPr>
        <w:t xml:space="preserve">见通用条款 </w:t>
      </w:r>
      <w:r>
        <w:rPr>
          <w:rFonts w:hint="eastAsia" w:ascii="宋体" w:hAnsi="宋体" w:eastAsia="宋体" w:cs="宋体"/>
          <w:sz w:val="24"/>
          <w:szCs w:val="24"/>
        </w:rPr>
        <w:t>。</w:t>
      </w:r>
    </w:p>
    <w:p w14:paraId="7F254A0D">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1.5 合同文件的优先顺序</w:t>
      </w:r>
    </w:p>
    <w:p w14:paraId="268B242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合同文件组成及优先顺序为：</w:t>
      </w:r>
      <w:r>
        <w:rPr>
          <w:rFonts w:hint="eastAsia" w:ascii="宋体" w:hAnsi="宋体" w:eastAsia="宋体" w:cs="宋体"/>
          <w:sz w:val="24"/>
          <w:szCs w:val="24"/>
          <w:u w:val="single"/>
        </w:rPr>
        <w:t xml:space="preserve">  见通用条款 </w:t>
      </w:r>
      <w:r>
        <w:rPr>
          <w:rFonts w:hint="eastAsia" w:ascii="宋体" w:hAnsi="宋体" w:eastAsia="宋体" w:cs="宋体"/>
          <w:sz w:val="24"/>
          <w:szCs w:val="24"/>
        </w:rPr>
        <w:t>。</w:t>
      </w:r>
    </w:p>
    <w:p w14:paraId="0B5E526A">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1.6 图纸和承包人文件</w:t>
      </w:r>
      <w:r>
        <w:rPr>
          <w:rFonts w:hint="eastAsia" w:ascii="宋体" w:hAnsi="宋体" w:eastAsia="宋体" w:cs="宋体"/>
          <w:b/>
          <w:sz w:val="24"/>
          <w:szCs w:val="24"/>
        </w:rPr>
        <w:tab/>
      </w:r>
    </w:p>
    <w:p w14:paraId="09013866">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1.6.1 图纸的提供</w:t>
      </w:r>
    </w:p>
    <w:p w14:paraId="718C7432">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rPr>
        <w:t>合同签订当日</w:t>
      </w:r>
      <w:r>
        <w:rPr>
          <w:rFonts w:hint="eastAsia" w:ascii="宋体" w:hAnsi="宋体" w:eastAsia="宋体" w:cs="宋体"/>
          <w:sz w:val="24"/>
          <w:szCs w:val="24"/>
        </w:rPr>
        <w:t>；</w:t>
      </w:r>
    </w:p>
    <w:p w14:paraId="7D15BB89">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发包人向承包人提供图纸的数量：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套 </w:t>
      </w:r>
      <w:r>
        <w:rPr>
          <w:rFonts w:hint="eastAsia" w:ascii="宋体" w:hAnsi="宋体" w:eastAsia="宋体" w:cs="宋体"/>
          <w:sz w:val="24"/>
          <w:szCs w:val="24"/>
        </w:rPr>
        <w:t>；</w:t>
      </w:r>
    </w:p>
    <w:p w14:paraId="2FE633E9">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发包人向承包人提供图纸的内容：</w:t>
      </w:r>
      <w:r>
        <w:rPr>
          <w:rFonts w:hint="eastAsia" w:ascii="宋体" w:hAnsi="宋体" w:eastAsia="宋体" w:cs="宋体"/>
          <w:sz w:val="24"/>
          <w:szCs w:val="24"/>
          <w:u w:val="single"/>
        </w:rPr>
        <w:t xml:space="preserve"> 包括承包人施工范围全部内容的施工图 </w:t>
      </w:r>
      <w:r>
        <w:rPr>
          <w:rFonts w:hint="eastAsia" w:ascii="宋体" w:hAnsi="宋体" w:eastAsia="宋体" w:cs="宋体"/>
          <w:sz w:val="24"/>
          <w:szCs w:val="24"/>
        </w:rPr>
        <w:t>。</w:t>
      </w:r>
    </w:p>
    <w:p w14:paraId="386B98BF">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1.6.4 承包人文件</w:t>
      </w:r>
    </w:p>
    <w:p w14:paraId="2CDED698">
      <w:pPr>
        <w:spacing w:after="120"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需要由承包人提供的文件，包括：</w:t>
      </w:r>
      <w:r>
        <w:rPr>
          <w:rFonts w:hint="eastAsia" w:ascii="宋体" w:hAnsi="宋体" w:eastAsia="宋体" w:cs="宋体"/>
          <w:sz w:val="24"/>
          <w:szCs w:val="24"/>
          <w:u w:val="single"/>
        </w:rPr>
        <w:t xml:space="preserve"> 施工组织设计、专项施工方案等 </w:t>
      </w:r>
      <w:r>
        <w:rPr>
          <w:rFonts w:hint="eastAsia" w:ascii="宋体" w:hAnsi="宋体" w:eastAsia="宋体" w:cs="宋体"/>
          <w:sz w:val="24"/>
          <w:szCs w:val="24"/>
        </w:rPr>
        <w:t>；</w:t>
      </w:r>
    </w:p>
    <w:p w14:paraId="55B6AB9E">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承包人提供的文件的期限为：</w:t>
      </w:r>
      <w:r>
        <w:rPr>
          <w:rFonts w:hint="eastAsia" w:ascii="宋体" w:hAnsi="宋体" w:eastAsia="宋体" w:cs="宋体"/>
          <w:sz w:val="24"/>
          <w:szCs w:val="24"/>
          <w:u w:val="single"/>
        </w:rPr>
        <w:t xml:space="preserve"> 开工前7天 </w:t>
      </w:r>
      <w:r>
        <w:rPr>
          <w:rFonts w:hint="eastAsia" w:ascii="宋体" w:hAnsi="宋体" w:eastAsia="宋体" w:cs="宋体"/>
          <w:sz w:val="24"/>
          <w:szCs w:val="24"/>
        </w:rPr>
        <w:t>；</w:t>
      </w:r>
    </w:p>
    <w:p w14:paraId="64125759">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承包人提供的文件的数量为：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套  </w:t>
      </w:r>
      <w:r>
        <w:rPr>
          <w:rFonts w:hint="eastAsia" w:ascii="宋体" w:hAnsi="宋体" w:eastAsia="宋体" w:cs="宋体"/>
          <w:sz w:val="24"/>
          <w:szCs w:val="24"/>
        </w:rPr>
        <w:t xml:space="preserve"> ；</w:t>
      </w:r>
    </w:p>
    <w:p w14:paraId="17E140CD">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承包人提供的文件的形式为：</w:t>
      </w:r>
      <w:r>
        <w:rPr>
          <w:rFonts w:hint="eastAsia" w:ascii="宋体" w:hAnsi="宋体" w:eastAsia="宋体" w:cs="宋体"/>
          <w:sz w:val="24"/>
          <w:szCs w:val="24"/>
          <w:u w:val="single"/>
        </w:rPr>
        <w:t xml:space="preserve"> 书面文件 </w:t>
      </w:r>
      <w:r>
        <w:rPr>
          <w:rFonts w:hint="eastAsia" w:ascii="宋体" w:hAnsi="宋体" w:eastAsia="宋体" w:cs="宋体"/>
          <w:sz w:val="24"/>
          <w:szCs w:val="24"/>
        </w:rPr>
        <w:t>；</w:t>
      </w:r>
    </w:p>
    <w:p w14:paraId="64C44F56">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发包人审批承包人文件的期限：</w:t>
      </w:r>
      <w:r>
        <w:rPr>
          <w:rFonts w:hint="eastAsia" w:ascii="宋体" w:hAnsi="宋体" w:eastAsia="宋体" w:cs="宋体"/>
          <w:sz w:val="24"/>
          <w:szCs w:val="24"/>
          <w:u w:val="single"/>
        </w:rPr>
        <w:t xml:space="preserve">  收到后7天内  </w:t>
      </w:r>
      <w:r>
        <w:rPr>
          <w:rFonts w:hint="eastAsia" w:ascii="宋体" w:hAnsi="宋体" w:eastAsia="宋体" w:cs="宋体"/>
          <w:sz w:val="24"/>
          <w:szCs w:val="24"/>
        </w:rPr>
        <w:t>。</w:t>
      </w:r>
    </w:p>
    <w:p w14:paraId="463258DE">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1.6.5 现场图纸准备</w:t>
      </w:r>
    </w:p>
    <w:p w14:paraId="20E48FE6">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26FB1B47">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1.7 联络</w:t>
      </w:r>
    </w:p>
    <w:p w14:paraId="6229D22B">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 7 </w:t>
      </w:r>
      <w:r>
        <w:rPr>
          <w:rFonts w:hint="eastAsia" w:ascii="宋体" w:hAnsi="宋体" w:eastAsia="宋体" w:cs="宋体"/>
          <w:sz w:val="24"/>
          <w:szCs w:val="24"/>
        </w:rPr>
        <w:t>天内将与合同有关的通知、批准、证明、证书、指示、指令、要求、请求、同意、意见、确定和决定等书面函件送达对方当事人。</w:t>
      </w:r>
    </w:p>
    <w:p w14:paraId="70B45996">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 xml:space="preserve">  项目所在地发包人项目部  </w:t>
      </w:r>
      <w:r>
        <w:rPr>
          <w:rFonts w:hint="eastAsia" w:ascii="宋体" w:hAnsi="宋体" w:eastAsia="宋体" w:cs="宋体"/>
          <w:sz w:val="24"/>
          <w:szCs w:val="24"/>
        </w:rPr>
        <w:t>；</w:t>
      </w:r>
    </w:p>
    <w:p w14:paraId="04583A8D">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 xml:space="preserve">  发包人现场负责人  </w:t>
      </w:r>
      <w:r>
        <w:rPr>
          <w:rFonts w:hint="eastAsia" w:ascii="宋体" w:hAnsi="宋体" w:eastAsia="宋体" w:cs="宋体"/>
          <w:sz w:val="24"/>
          <w:szCs w:val="24"/>
        </w:rPr>
        <w:t>。</w:t>
      </w:r>
    </w:p>
    <w:p w14:paraId="291AE0D2">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rPr>
        <w:t xml:space="preserve">  项目所在地承包人项目部  </w:t>
      </w:r>
      <w:r>
        <w:rPr>
          <w:rFonts w:hint="eastAsia" w:ascii="宋体" w:hAnsi="宋体" w:eastAsia="宋体" w:cs="宋体"/>
          <w:sz w:val="24"/>
          <w:szCs w:val="24"/>
        </w:rPr>
        <w:t>；</w:t>
      </w:r>
    </w:p>
    <w:p w14:paraId="04394A46">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承包人指定的接收人为：</w:t>
      </w:r>
      <w:r>
        <w:rPr>
          <w:rFonts w:hint="eastAsia" w:ascii="宋体" w:hAnsi="宋体" w:eastAsia="宋体" w:cs="宋体"/>
          <w:sz w:val="24"/>
          <w:szCs w:val="24"/>
          <w:u w:val="single"/>
        </w:rPr>
        <w:t xml:space="preserve">  承包方项目经理  </w:t>
      </w:r>
      <w:r>
        <w:rPr>
          <w:rFonts w:hint="eastAsia" w:ascii="宋体" w:hAnsi="宋体" w:eastAsia="宋体" w:cs="宋体"/>
          <w:sz w:val="24"/>
          <w:szCs w:val="24"/>
        </w:rPr>
        <w:t>。</w:t>
      </w:r>
    </w:p>
    <w:p w14:paraId="71CC61B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 xml:space="preserve">  项目所在地监理办公室  </w:t>
      </w:r>
      <w:r>
        <w:rPr>
          <w:rFonts w:hint="eastAsia" w:ascii="宋体" w:hAnsi="宋体" w:eastAsia="宋体" w:cs="宋体"/>
          <w:sz w:val="24"/>
          <w:szCs w:val="24"/>
        </w:rPr>
        <w:t>；</w:t>
      </w:r>
    </w:p>
    <w:p w14:paraId="2332FC51">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 xml:space="preserve">  总监理工程师   </w:t>
      </w:r>
      <w:r>
        <w:rPr>
          <w:rFonts w:hint="eastAsia" w:ascii="宋体" w:hAnsi="宋体" w:eastAsia="宋体" w:cs="宋体"/>
          <w:sz w:val="24"/>
          <w:szCs w:val="24"/>
        </w:rPr>
        <w:t>。</w:t>
      </w:r>
    </w:p>
    <w:p w14:paraId="1D8B7DDD">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1.10 交通运输</w:t>
      </w:r>
    </w:p>
    <w:p w14:paraId="4D63A46C">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1.10.1 出入现场的权利</w:t>
      </w:r>
    </w:p>
    <w:p w14:paraId="57CB55EF">
      <w:pPr>
        <w:spacing w:line="600" w:lineRule="exact"/>
        <w:ind w:left="596" w:leftChars="284"/>
        <w:rPr>
          <w:rFonts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12C45E33">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1.10.3 场内交通</w:t>
      </w:r>
    </w:p>
    <w:p w14:paraId="73E82345">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sz w:val="24"/>
          <w:szCs w:val="24"/>
          <w:u w:val="single"/>
        </w:rPr>
        <w:t>以现场实际施工条件为准</w:t>
      </w:r>
      <w:r>
        <w:rPr>
          <w:rFonts w:hint="eastAsia" w:ascii="宋体" w:hAnsi="宋体" w:eastAsia="宋体" w:cs="宋体"/>
          <w:sz w:val="24"/>
          <w:szCs w:val="24"/>
        </w:rPr>
        <w:t>。</w:t>
      </w:r>
    </w:p>
    <w:p w14:paraId="70F5A25B">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sz w:val="24"/>
          <w:szCs w:val="24"/>
          <w:u w:val="single"/>
        </w:rPr>
        <w:t xml:space="preserve"> 承包人负责并承担全部费用 </w:t>
      </w:r>
      <w:r>
        <w:rPr>
          <w:rFonts w:hint="eastAsia" w:ascii="宋体" w:hAnsi="宋体" w:eastAsia="宋体" w:cs="宋体"/>
          <w:sz w:val="24"/>
          <w:szCs w:val="24"/>
        </w:rPr>
        <w:t>。</w:t>
      </w:r>
    </w:p>
    <w:p w14:paraId="5D56329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1.10.4超大件和超重件的运输</w:t>
      </w:r>
    </w:p>
    <w:p w14:paraId="2AF2F762">
      <w:pPr>
        <w:spacing w:line="600" w:lineRule="exact"/>
        <w:ind w:firstLine="432" w:firstLineChars="180"/>
        <w:jc w:val="left"/>
        <w:rPr>
          <w:rFonts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承包方 </w:t>
      </w:r>
      <w:r>
        <w:rPr>
          <w:rFonts w:hint="eastAsia" w:ascii="宋体" w:hAnsi="宋体" w:eastAsia="宋体" w:cs="宋体"/>
          <w:sz w:val="24"/>
          <w:szCs w:val="24"/>
        </w:rPr>
        <w:t>承担。</w:t>
      </w:r>
    </w:p>
    <w:p w14:paraId="74A4DF86">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1.11 知识产权</w:t>
      </w:r>
    </w:p>
    <w:p w14:paraId="1735021E">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26E46EA4">
      <w:pPr>
        <w:spacing w:line="600" w:lineRule="exact"/>
        <w:ind w:left="596" w:leftChars="284"/>
        <w:jc w:val="left"/>
        <w:rPr>
          <w:rFonts w:ascii="宋体" w:hAnsi="宋体" w:eastAsia="宋体" w:cs="宋体"/>
          <w:sz w:val="24"/>
          <w:szCs w:val="24"/>
        </w:rPr>
      </w:pPr>
      <w:r>
        <w:rPr>
          <w:rFonts w:hint="eastAsia" w:ascii="宋体" w:hAnsi="宋体" w:eastAsia="宋体" w:cs="宋体"/>
          <w:sz w:val="24"/>
          <w:szCs w:val="24"/>
        </w:rPr>
        <w:t>关于发包人提供的上述文件的使用限制的要求：</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506E1C13">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0EA816EC">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关于承包人提供的上述文件的使用限制的要求：</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387EC9EA">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40FC1946">
      <w:pPr>
        <w:spacing w:before="120" w:beforeLines="50" w:after="120" w:line="620" w:lineRule="exact"/>
        <w:ind w:firstLine="480" w:firstLineChars="200"/>
        <w:rPr>
          <w:rFonts w:ascii="宋体" w:hAnsi="宋体" w:eastAsia="宋体" w:cs="宋体"/>
          <w:sz w:val="24"/>
          <w:szCs w:val="24"/>
        </w:rPr>
      </w:pPr>
      <w:r>
        <w:rPr>
          <w:rFonts w:hint="eastAsia" w:ascii="宋体" w:hAnsi="宋体" w:eastAsia="宋体" w:cs="宋体"/>
          <w:sz w:val="24"/>
          <w:szCs w:val="24"/>
        </w:rPr>
        <w:t>1.13工程量清单错误的修正</w:t>
      </w:r>
    </w:p>
    <w:p w14:paraId="54B84358">
      <w:pPr>
        <w:spacing w:line="6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出现工程量清单错误时，是否调整合同价格：</w:t>
      </w:r>
      <w:r>
        <w:rPr>
          <w:rFonts w:hint="eastAsia" w:ascii="宋体" w:hAnsi="宋体" w:eastAsia="宋体" w:cs="宋体"/>
          <w:sz w:val="24"/>
          <w:szCs w:val="24"/>
          <w:u w:val="single"/>
        </w:rPr>
        <w:t xml:space="preserve">  调整  </w:t>
      </w:r>
      <w:r>
        <w:rPr>
          <w:rFonts w:hint="eastAsia" w:ascii="宋体" w:hAnsi="宋体" w:eastAsia="宋体" w:cs="宋体"/>
          <w:sz w:val="24"/>
          <w:szCs w:val="24"/>
        </w:rPr>
        <w:t>。</w:t>
      </w:r>
    </w:p>
    <w:p w14:paraId="5C668013">
      <w:pPr>
        <w:spacing w:line="620" w:lineRule="exact"/>
        <w:ind w:firstLine="480" w:firstLineChars="200"/>
        <w:rPr>
          <w:rFonts w:hint="eastAsia" w:asciiTheme="majorEastAsia" w:hAnsiTheme="majorEastAsia" w:eastAsiaTheme="majorEastAsia" w:cstheme="majorEastAsia"/>
          <w:b/>
          <w:bCs/>
          <w:color w:val="auto"/>
          <w:sz w:val="24"/>
          <w:szCs w:val="24"/>
          <w:highlight w:val="none"/>
          <w:u w:val="single"/>
          <w:lang w:eastAsia="zh-CN"/>
        </w:rPr>
      </w:pPr>
      <w:r>
        <w:rPr>
          <w:rFonts w:hint="eastAsia" w:ascii="宋体" w:hAnsi="宋体" w:eastAsia="宋体" w:cs="宋体"/>
          <w:sz w:val="24"/>
          <w:szCs w:val="24"/>
        </w:rPr>
        <w:t>允许调整合同价格的工程量偏</w:t>
      </w:r>
      <w:r>
        <w:rPr>
          <w:rFonts w:hint="eastAsia" w:ascii="宋体" w:hAnsi="宋体" w:eastAsia="宋体" w:cs="宋体"/>
          <w:color w:val="auto"/>
          <w:sz w:val="24"/>
          <w:szCs w:val="24"/>
        </w:rPr>
        <w:t>差范围：</w:t>
      </w:r>
      <w:r>
        <w:rPr>
          <w:rFonts w:hint="eastAsia" w:asciiTheme="majorEastAsia" w:hAnsiTheme="majorEastAsia" w:eastAsiaTheme="majorEastAsia" w:cstheme="majorEastAsia"/>
          <w:b/>
          <w:bCs/>
          <w:color w:val="auto"/>
          <w:sz w:val="24"/>
          <w:szCs w:val="24"/>
          <w:highlight w:val="none"/>
          <w:u w:val="single"/>
          <w:lang w:eastAsia="zh-CN"/>
        </w:rPr>
        <w:t>本项目采用固定综合单价合同、中标单位与采购人签订合同开工后至项目工程量完成</w:t>
      </w:r>
      <w:r>
        <w:rPr>
          <w:rFonts w:hint="eastAsia" w:asciiTheme="majorEastAsia" w:hAnsiTheme="majorEastAsia" w:eastAsiaTheme="majorEastAsia" w:cstheme="majorEastAsia"/>
          <w:b/>
          <w:bCs/>
          <w:color w:val="auto"/>
          <w:sz w:val="24"/>
          <w:szCs w:val="24"/>
          <w:highlight w:val="none"/>
          <w:u w:val="single"/>
          <w:lang w:val="en-US" w:eastAsia="zh-CN"/>
        </w:rPr>
        <w:t>85%（含85%），具备部分</w:t>
      </w:r>
      <w:r>
        <w:rPr>
          <w:rFonts w:hint="eastAsia" w:asciiTheme="majorEastAsia" w:hAnsiTheme="majorEastAsia" w:eastAsiaTheme="majorEastAsia" w:cstheme="majorEastAsia"/>
          <w:b/>
          <w:bCs/>
          <w:color w:val="auto"/>
          <w:sz w:val="24"/>
          <w:szCs w:val="24"/>
          <w:highlight w:val="none"/>
          <w:u w:val="single"/>
          <w:lang w:eastAsia="zh-CN"/>
        </w:rPr>
        <w:t>竣工验收完成条件期间，本项目中标综合单价不再调整（包括但不限于人工费、材料费及机械使用费等），工程量将根据竣工图纸、变更签证及现场验收记录据实调整，按实际完成且验收合格的工程量进行结算。</w:t>
      </w:r>
    </w:p>
    <w:p w14:paraId="3753145A">
      <w:pPr>
        <w:spacing w:line="620" w:lineRule="exact"/>
        <w:ind w:firstLine="480" w:firstLineChars="200"/>
        <w:rPr>
          <w:rFonts w:hint="eastAsia" w:ascii="宋体" w:hAnsi="宋体" w:eastAsia="宋体" w:cs="宋体"/>
          <w:color w:val="auto"/>
          <w:sz w:val="24"/>
          <w:szCs w:val="24"/>
          <w:u w:val="single"/>
          <w:lang w:eastAsia="zh-CN"/>
        </w:rPr>
      </w:pPr>
      <w:r>
        <w:rPr>
          <w:rFonts w:hint="eastAsia" w:asciiTheme="majorEastAsia" w:hAnsiTheme="majorEastAsia" w:eastAsiaTheme="majorEastAsia" w:cstheme="majorEastAsia"/>
          <w:b/>
          <w:bCs/>
          <w:color w:val="auto"/>
          <w:sz w:val="24"/>
          <w:szCs w:val="24"/>
          <w:highlight w:val="none"/>
          <w:u w:val="single"/>
          <w:lang w:eastAsia="zh-CN"/>
        </w:rPr>
        <w:t>如因保障房租户不在家（无法开门）等原因导致不能安装该户推拉门，则从施工合同约定的开工日期往后</w:t>
      </w:r>
      <w:r>
        <w:rPr>
          <w:rFonts w:hint="eastAsia" w:asciiTheme="majorEastAsia" w:hAnsiTheme="majorEastAsia" w:eastAsiaTheme="majorEastAsia" w:cstheme="majorEastAsia"/>
          <w:b/>
          <w:bCs/>
          <w:color w:val="auto"/>
          <w:sz w:val="24"/>
          <w:szCs w:val="24"/>
          <w:highlight w:val="none"/>
          <w:u w:val="single"/>
          <w:lang w:val="en-US" w:eastAsia="zh-CN"/>
        </w:rPr>
        <w:t>180日历天以外，该部分不能安装的推拉门累计数量达到总安装推拉门数量（2548户）的15%（含15%）时，那么该部分推拉门可以按照能够安装的施工当期定额价（如有）或市场价（由中标单位报出施工当期与设计要求同材质的推拉门市场价、采购人报请三门峡市财政评审中心评审后确定该价格）然后调整与中标综合单价的差价（包括但不限于</w:t>
      </w:r>
      <w:r>
        <w:rPr>
          <w:rFonts w:hint="eastAsia" w:asciiTheme="majorEastAsia" w:hAnsiTheme="majorEastAsia" w:eastAsiaTheme="majorEastAsia" w:cstheme="majorEastAsia"/>
          <w:b/>
          <w:bCs/>
          <w:color w:val="auto"/>
          <w:sz w:val="24"/>
          <w:szCs w:val="24"/>
          <w:highlight w:val="none"/>
          <w:u w:val="single"/>
          <w:lang w:eastAsia="zh-CN"/>
        </w:rPr>
        <w:t>人工费、材料费及机械使用费等）</w:t>
      </w:r>
      <w:r>
        <w:rPr>
          <w:rFonts w:hint="eastAsia" w:asciiTheme="majorEastAsia" w:hAnsiTheme="majorEastAsia" w:eastAsiaTheme="majorEastAsia" w:cstheme="majorEastAsia"/>
          <w:b/>
          <w:bCs/>
          <w:color w:val="auto"/>
          <w:sz w:val="24"/>
          <w:szCs w:val="24"/>
          <w:highlight w:val="none"/>
          <w:u w:val="single"/>
          <w:lang w:val="en-US" w:eastAsia="zh-CN"/>
        </w:rPr>
        <w:t>，依实调整。</w:t>
      </w:r>
    </w:p>
    <w:p w14:paraId="6F902E08">
      <w:pPr>
        <w:keepNext/>
        <w:keepLines/>
        <w:numPr>
          <w:ilvl w:val="0"/>
          <w:numId w:val="11"/>
        </w:numPr>
        <w:spacing w:before="120" w:after="120" w:line="620" w:lineRule="exact"/>
        <w:ind w:firstLine="417" w:firstLineChars="174"/>
        <w:outlineLvl w:val="3"/>
        <w:rPr>
          <w:rFonts w:hint="eastAsia" w:ascii="宋体" w:hAnsi="宋体" w:eastAsia="宋体" w:cs="宋体"/>
          <w:b/>
          <w:sz w:val="24"/>
          <w:szCs w:val="24"/>
          <w:lang w:val="en-US" w:eastAsia="zh-CN"/>
        </w:rPr>
      </w:pPr>
      <w:r>
        <w:rPr>
          <w:rFonts w:hint="eastAsia" w:ascii="宋体" w:hAnsi="宋体" w:eastAsia="宋体" w:cs="宋体"/>
          <w:b/>
          <w:bCs/>
          <w:sz w:val="24"/>
          <w:szCs w:val="24"/>
        </w:rPr>
        <w:t>发包人</w:t>
      </w:r>
      <w:r>
        <w:rPr>
          <w:rFonts w:hint="eastAsia" w:ascii="宋体" w:hAnsi="宋体" w:eastAsia="宋体" w:cs="宋体"/>
          <w:b/>
          <w:bCs/>
          <w:sz w:val="24"/>
          <w:szCs w:val="24"/>
          <w:lang w:val="en-US" w:eastAsia="zh-CN"/>
        </w:rPr>
        <w:t xml:space="preserve">  </w:t>
      </w:r>
    </w:p>
    <w:p w14:paraId="709498AC">
      <w:pPr>
        <w:keepNext/>
        <w:keepLines/>
        <w:numPr>
          <w:ilvl w:val="0"/>
          <w:numId w:val="0"/>
        </w:numPr>
        <w:spacing w:before="120" w:after="120" w:line="620" w:lineRule="exact"/>
        <w:outlineLvl w:val="3"/>
        <w:rPr>
          <w:rFonts w:hint="eastAsia" w:ascii="宋体" w:hAnsi="宋体" w:eastAsia="宋体" w:cs="宋体"/>
          <w:b/>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2.2 发包人代表</w:t>
      </w:r>
      <w:r>
        <w:rPr>
          <w:rFonts w:hint="eastAsia" w:ascii="宋体" w:hAnsi="宋体" w:eastAsia="宋体" w:cs="宋体"/>
          <w:b/>
          <w:sz w:val="24"/>
          <w:szCs w:val="24"/>
          <w:lang w:val="en-US" w:eastAsia="zh-CN"/>
        </w:rPr>
        <w:t xml:space="preserve">  </w:t>
      </w:r>
    </w:p>
    <w:p w14:paraId="682DD251">
      <w:pPr>
        <w:keepNext/>
        <w:keepLines/>
        <w:numPr>
          <w:ilvl w:val="0"/>
          <w:numId w:val="0"/>
        </w:numPr>
        <w:spacing w:before="120" w:after="120" w:line="620" w:lineRule="exact"/>
        <w:ind w:firstLine="480" w:firstLineChars="200"/>
        <w:outlineLvl w:val="3"/>
        <w:rPr>
          <w:rFonts w:ascii="宋体" w:hAnsi="宋体" w:eastAsia="宋体" w:cs="宋体"/>
          <w:sz w:val="24"/>
          <w:szCs w:val="24"/>
        </w:rPr>
      </w:pPr>
      <w:r>
        <w:rPr>
          <w:rFonts w:hint="eastAsia" w:ascii="宋体" w:hAnsi="宋体" w:eastAsia="宋体" w:cs="宋体"/>
          <w:sz w:val="24"/>
          <w:szCs w:val="24"/>
        </w:rPr>
        <w:t>发包人代表：</w:t>
      </w:r>
    </w:p>
    <w:p w14:paraId="7675309A">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6F4FB6D">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         </w:t>
      </w:r>
      <w:r>
        <w:rPr>
          <w:rFonts w:hint="eastAsia" w:ascii="宋体" w:hAnsi="宋体" w:eastAsia="宋体" w:cs="宋体"/>
          <w:sz w:val="24"/>
          <w:szCs w:val="24"/>
        </w:rPr>
        <w:t>；联系电话：</w:t>
      </w:r>
      <w:r>
        <w:rPr>
          <w:rFonts w:hint="eastAsia" w:ascii="宋体" w:hAnsi="宋体" w:eastAsia="宋体" w:cs="宋体"/>
          <w:spacing w:val="10"/>
          <w:sz w:val="24"/>
          <w:szCs w:val="24"/>
          <w:u w:val="single"/>
        </w:rPr>
        <w:t xml:space="preserve">      /        </w:t>
      </w:r>
      <w:r>
        <w:rPr>
          <w:rFonts w:hint="eastAsia" w:ascii="宋体" w:hAnsi="宋体" w:eastAsia="宋体" w:cs="宋体"/>
          <w:sz w:val="24"/>
          <w:szCs w:val="24"/>
        </w:rPr>
        <w:t>；</w:t>
      </w:r>
    </w:p>
    <w:p w14:paraId="01CC5162">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ACF53B5">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8C89910">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发包人对发包人代表的授权范围如下：</w:t>
      </w:r>
    </w:p>
    <w:p w14:paraId="02671FDE">
      <w:pPr>
        <w:spacing w:line="62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rPr>
        <w:t xml:space="preserve">检查工程质量、进度和安全文明施工中存在的问题，督促监理工程师行使职权，协调施工现场各方面的关系，审核工程进度报表等 </w:t>
      </w:r>
      <w:r>
        <w:rPr>
          <w:rFonts w:hint="eastAsia" w:ascii="宋体" w:hAnsi="宋体" w:eastAsia="宋体" w:cs="宋体"/>
          <w:sz w:val="24"/>
          <w:szCs w:val="24"/>
        </w:rPr>
        <w:t>。</w:t>
      </w:r>
    </w:p>
    <w:p w14:paraId="3A266828">
      <w:pPr>
        <w:spacing w:after="120" w:line="620" w:lineRule="exact"/>
        <w:ind w:firstLine="480" w:firstLineChars="200"/>
        <w:rPr>
          <w:rFonts w:ascii="宋体" w:hAnsi="宋体" w:eastAsia="宋体" w:cs="宋体"/>
          <w:b/>
          <w:sz w:val="24"/>
          <w:szCs w:val="24"/>
        </w:rPr>
      </w:pPr>
      <w:r>
        <w:rPr>
          <w:rFonts w:hint="eastAsia" w:ascii="宋体" w:hAnsi="宋体" w:eastAsia="宋体" w:cs="宋体"/>
          <w:b/>
          <w:sz w:val="24"/>
          <w:szCs w:val="24"/>
        </w:rPr>
        <w:t>2.4 施工现场、施工条件和基础资料的提供</w:t>
      </w:r>
    </w:p>
    <w:p w14:paraId="133A369B">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2.4.1 提供施工现场</w:t>
      </w:r>
      <w:r>
        <w:rPr>
          <w:rFonts w:hint="eastAsia" w:ascii="宋体" w:hAnsi="宋体" w:eastAsia="宋体" w:cs="宋体"/>
          <w:sz w:val="24"/>
          <w:szCs w:val="24"/>
          <w:lang w:eastAsia="zh-CN"/>
        </w:rPr>
        <w:t>：</w:t>
      </w:r>
      <w:r>
        <w:rPr>
          <w:rFonts w:hint="eastAsia" w:ascii="宋体" w:hAnsi="宋体" w:eastAsia="宋体" w:cs="宋体"/>
          <w:sz w:val="24"/>
          <w:szCs w:val="24"/>
        </w:rPr>
        <w:t>关于发包人移交施工现场的期限要求：</w:t>
      </w:r>
      <w:r>
        <w:rPr>
          <w:rFonts w:hint="eastAsia" w:ascii="宋体" w:hAnsi="宋体" w:eastAsia="宋体" w:cs="宋体"/>
          <w:sz w:val="24"/>
          <w:szCs w:val="24"/>
          <w:u w:val="single"/>
        </w:rPr>
        <w:t xml:space="preserve">  开工前2天  </w:t>
      </w:r>
      <w:r>
        <w:rPr>
          <w:rFonts w:hint="eastAsia" w:ascii="宋体" w:hAnsi="宋体" w:eastAsia="宋体" w:cs="宋体"/>
          <w:sz w:val="24"/>
          <w:szCs w:val="24"/>
        </w:rPr>
        <w:t>。</w:t>
      </w:r>
    </w:p>
    <w:p w14:paraId="2FACB72F">
      <w:pPr>
        <w:spacing w:line="620" w:lineRule="exact"/>
        <w:ind w:firstLine="480" w:firstLineChars="200"/>
        <w:rPr>
          <w:rFonts w:ascii="宋体" w:hAnsi="宋体" w:eastAsia="宋体" w:cs="宋体"/>
          <w:sz w:val="24"/>
          <w:szCs w:val="24"/>
        </w:rPr>
      </w:pPr>
      <w:r>
        <w:rPr>
          <w:rFonts w:hint="eastAsia" w:ascii="宋体" w:hAnsi="宋体" w:eastAsia="宋体" w:cs="宋体"/>
          <w:sz w:val="24"/>
          <w:szCs w:val="24"/>
        </w:rPr>
        <w:t>2.4.2 提供施工条件</w:t>
      </w:r>
      <w:r>
        <w:rPr>
          <w:rFonts w:hint="eastAsia" w:ascii="宋体" w:hAnsi="宋体" w:eastAsia="宋体" w:cs="宋体"/>
          <w:sz w:val="24"/>
          <w:szCs w:val="24"/>
          <w:lang w:eastAsia="zh-CN"/>
        </w:rPr>
        <w:t>：</w:t>
      </w:r>
      <w:r>
        <w:rPr>
          <w:rFonts w:hint="eastAsia" w:ascii="宋体" w:hAnsi="宋体" w:eastAsia="宋体" w:cs="宋体"/>
          <w:sz w:val="24"/>
          <w:szCs w:val="24"/>
        </w:rPr>
        <w:t>关于发包人应负责提供施工所需要的条件，包括：</w:t>
      </w:r>
    </w:p>
    <w:p w14:paraId="521D0EB3">
      <w:pPr>
        <w:spacing w:line="600" w:lineRule="exact"/>
        <w:ind w:left="119" w:leftChars="57" w:firstLine="360" w:firstLineChars="150"/>
        <w:jc w:val="left"/>
        <w:rPr>
          <w:rFonts w:ascii="宋体" w:hAnsi="宋体" w:eastAsia="宋体" w:cs="宋体"/>
          <w:sz w:val="24"/>
          <w:szCs w:val="24"/>
          <w:u w:val="single"/>
        </w:rPr>
      </w:pPr>
      <w:r>
        <w:rPr>
          <w:rFonts w:hint="eastAsia" w:ascii="宋体" w:hAnsi="宋体" w:eastAsia="宋体" w:cs="宋体"/>
          <w:sz w:val="24"/>
          <w:szCs w:val="24"/>
          <w:u w:val="single"/>
        </w:rPr>
        <w:t>施工道路、施工用水源、电源由承包人自行解决，施工水、电费及水电费的线路损耗由承包人支付，费用已经包括在合同价格中。</w:t>
      </w:r>
    </w:p>
    <w:p w14:paraId="1B0026B2">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2.5 资金来源证明及支付担保</w:t>
      </w:r>
    </w:p>
    <w:p w14:paraId="03DA6F3C">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6FA97EEF">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607588E8">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8895C62">
      <w:pPr>
        <w:keepNext/>
        <w:keepLines/>
        <w:spacing w:before="120" w:after="120" w:line="600" w:lineRule="exact"/>
        <w:ind w:firstLine="472" w:firstLineChars="197"/>
        <w:outlineLvl w:val="3"/>
        <w:rPr>
          <w:rFonts w:ascii="宋体" w:hAnsi="宋体" w:eastAsia="宋体" w:cs="宋体"/>
          <w:b/>
          <w:bCs/>
          <w:sz w:val="24"/>
          <w:szCs w:val="24"/>
        </w:rPr>
      </w:pPr>
      <w:r>
        <w:rPr>
          <w:rFonts w:hint="eastAsia" w:ascii="宋体" w:hAnsi="宋体" w:eastAsia="宋体" w:cs="宋体"/>
          <w:b/>
          <w:bCs/>
          <w:sz w:val="24"/>
          <w:szCs w:val="24"/>
        </w:rPr>
        <w:t>3. 承包人</w:t>
      </w:r>
    </w:p>
    <w:p w14:paraId="031C68A7">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3.1 承包人的一般义务</w:t>
      </w:r>
    </w:p>
    <w:p w14:paraId="71469473">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（5）承包人提交的竣工资料的内容：</w:t>
      </w:r>
      <w:r>
        <w:rPr>
          <w:rFonts w:hint="eastAsia" w:ascii="宋体" w:hAnsi="宋体" w:eastAsia="宋体" w:cs="宋体"/>
          <w:sz w:val="24"/>
          <w:szCs w:val="24"/>
          <w:u w:val="single"/>
        </w:rPr>
        <w:t xml:space="preserve">提供符合三门峡市城建档案馆和行政质检监督部门要求的竣工图及竣工资料、竣工结算资料等  </w:t>
      </w:r>
      <w:r>
        <w:rPr>
          <w:rFonts w:hint="eastAsia" w:ascii="宋体" w:hAnsi="宋体" w:eastAsia="宋体" w:cs="宋体"/>
          <w:sz w:val="24"/>
          <w:szCs w:val="24"/>
        </w:rPr>
        <w:t>。</w:t>
      </w:r>
    </w:p>
    <w:p w14:paraId="002AD63F">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 xml:space="preserve">    4套   </w:t>
      </w:r>
      <w:r>
        <w:rPr>
          <w:rFonts w:hint="eastAsia" w:ascii="宋体" w:hAnsi="宋体" w:eastAsia="宋体" w:cs="宋体"/>
          <w:sz w:val="24"/>
          <w:szCs w:val="24"/>
        </w:rPr>
        <w:t>。</w:t>
      </w:r>
    </w:p>
    <w:p w14:paraId="41E39F4A">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 xml:space="preserve"> 由承包人承担 </w:t>
      </w:r>
      <w:r>
        <w:rPr>
          <w:rFonts w:hint="eastAsia" w:ascii="宋体" w:hAnsi="宋体" w:eastAsia="宋体" w:cs="宋体"/>
          <w:sz w:val="24"/>
          <w:szCs w:val="24"/>
        </w:rPr>
        <w:t>。</w:t>
      </w:r>
    </w:p>
    <w:p w14:paraId="098AD37A">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 xml:space="preserve"> 竣工验收合格后7天 </w:t>
      </w:r>
      <w:r>
        <w:rPr>
          <w:rFonts w:hint="eastAsia" w:ascii="宋体" w:hAnsi="宋体" w:eastAsia="宋体" w:cs="宋体"/>
          <w:sz w:val="24"/>
          <w:szCs w:val="24"/>
        </w:rPr>
        <w:t>。</w:t>
      </w:r>
    </w:p>
    <w:p w14:paraId="2ADA488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sz w:val="24"/>
          <w:szCs w:val="24"/>
          <w:u w:val="single"/>
        </w:rPr>
        <w:t xml:space="preserve">  书面及电子文档  </w:t>
      </w:r>
      <w:r>
        <w:rPr>
          <w:rFonts w:hint="eastAsia" w:ascii="宋体" w:hAnsi="宋体" w:eastAsia="宋体" w:cs="宋体"/>
          <w:sz w:val="24"/>
          <w:szCs w:val="24"/>
        </w:rPr>
        <w:t>。</w:t>
      </w:r>
    </w:p>
    <w:p w14:paraId="5DA58F3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（6）承包人应履行的其他义务：</w:t>
      </w:r>
    </w:p>
    <w:p w14:paraId="41E6927A">
      <w:pPr>
        <w:spacing w:line="600" w:lineRule="exact"/>
        <w:ind w:firstLine="600" w:firstLineChars="250"/>
        <w:rPr>
          <w:rFonts w:ascii="宋体" w:hAnsi="宋体" w:eastAsia="宋体" w:cs="宋体"/>
          <w:sz w:val="24"/>
          <w:szCs w:val="24"/>
          <w:u w:val="single"/>
        </w:rPr>
      </w:pPr>
      <w:r>
        <w:rPr>
          <w:rFonts w:hint="eastAsia" w:ascii="宋体" w:hAnsi="宋体" w:eastAsia="宋体" w:cs="宋体"/>
          <w:sz w:val="24"/>
          <w:szCs w:val="24"/>
          <w:u w:val="single"/>
        </w:rPr>
        <w:t xml:space="preserve">a.向发包人、监理人提供施工现场办公室各1间免费使用。 </w:t>
      </w:r>
    </w:p>
    <w:p w14:paraId="3CF4D4F2">
      <w:pPr>
        <w:spacing w:line="600" w:lineRule="exact"/>
        <w:ind w:firstLine="600" w:firstLineChars="250"/>
        <w:rPr>
          <w:rFonts w:ascii="宋体" w:hAnsi="宋体" w:eastAsia="宋体" w:cs="宋体"/>
          <w:sz w:val="24"/>
          <w:szCs w:val="24"/>
          <w:u w:val="single"/>
        </w:rPr>
      </w:pPr>
      <w:r>
        <w:rPr>
          <w:rFonts w:hint="eastAsia" w:ascii="宋体" w:hAnsi="宋体" w:eastAsia="宋体" w:cs="宋体"/>
          <w:sz w:val="24"/>
          <w:szCs w:val="24"/>
          <w:u w:val="single"/>
        </w:rPr>
        <w:t>b.在施工中必须严格按照规范操作，并针对邻近建筑物实际情况，采取相应防护措施，对不按规范要求施工或未采取防护措施的，造成的损失由承包人承担。</w:t>
      </w:r>
    </w:p>
    <w:p w14:paraId="266C1F9A">
      <w:pPr>
        <w:spacing w:line="600" w:lineRule="exact"/>
        <w:ind w:firstLine="600" w:firstLineChars="250"/>
        <w:rPr>
          <w:rFonts w:ascii="宋体" w:hAnsi="宋体" w:eastAsia="宋体" w:cs="宋体"/>
          <w:sz w:val="24"/>
          <w:szCs w:val="24"/>
          <w:u w:val="single"/>
        </w:rPr>
      </w:pPr>
      <w:r>
        <w:rPr>
          <w:rFonts w:hint="eastAsia" w:ascii="宋体" w:hAnsi="宋体" w:eastAsia="宋体" w:cs="宋体"/>
          <w:sz w:val="24"/>
          <w:szCs w:val="24"/>
          <w:u w:val="single"/>
        </w:rPr>
        <w:t>c.本项目施工安全由承包人负总责。</w:t>
      </w:r>
    </w:p>
    <w:p w14:paraId="414EB3C9">
      <w:pPr>
        <w:spacing w:line="600" w:lineRule="exact"/>
        <w:ind w:firstLine="607" w:firstLineChars="253"/>
        <w:rPr>
          <w:rFonts w:ascii="宋体" w:hAnsi="宋体" w:eastAsia="宋体" w:cs="宋体"/>
          <w:sz w:val="24"/>
          <w:szCs w:val="24"/>
        </w:rPr>
      </w:pPr>
      <w:r>
        <w:rPr>
          <w:rFonts w:hint="eastAsia" w:ascii="宋体" w:hAnsi="宋体" w:eastAsia="宋体" w:cs="宋体"/>
          <w:sz w:val="24"/>
          <w:szCs w:val="24"/>
          <w:u w:val="single"/>
        </w:rPr>
        <w:t>d.按三门峡市有关部门要求，由承包人办理的有关施工场地交通、环卫和施工噪音管理等手续。</w:t>
      </w:r>
    </w:p>
    <w:p w14:paraId="6003D9AF">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3.2 项目经理</w:t>
      </w:r>
    </w:p>
    <w:p w14:paraId="280CDB2E">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3.2.1 项目经理：</w:t>
      </w:r>
    </w:p>
    <w:p w14:paraId="29401BAC">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4DFD85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1D2E63C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7800F5D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建造师注册证书号：</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310ABFB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217C5A70">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AC8B70">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CD0013F">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Times New Roman"/>
          <w:sz w:val="24"/>
          <w:szCs w:val="24"/>
          <w:u w:val="single"/>
        </w:rPr>
        <w:t xml:space="preserve">                      </w:t>
      </w:r>
      <w:r>
        <w:rPr>
          <w:rFonts w:hint="eastAsia" w:ascii="宋体" w:hAnsi="宋体" w:eastAsia="宋体" w:cs="宋体"/>
          <w:sz w:val="24"/>
          <w:szCs w:val="24"/>
        </w:rPr>
        <w:t>；</w:t>
      </w:r>
    </w:p>
    <w:p w14:paraId="15FC9029">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sz w:val="24"/>
          <w:szCs w:val="24"/>
          <w:u w:val="single"/>
        </w:rPr>
        <w:t xml:space="preserve"> 全权处理本项目的一切事务 </w:t>
      </w:r>
      <w:r>
        <w:rPr>
          <w:rFonts w:hint="eastAsia" w:ascii="宋体" w:hAnsi="宋体" w:eastAsia="宋体" w:cs="宋体"/>
          <w:sz w:val="24"/>
          <w:szCs w:val="24"/>
        </w:rPr>
        <w:t>。</w:t>
      </w:r>
    </w:p>
    <w:p w14:paraId="1F7AA8CC">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3.2.1 关于项目经理每月在施工现场的时间要求：</w:t>
      </w:r>
      <w:r>
        <w:rPr>
          <w:rFonts w:hint="eastAsia" w:ascii="宋体" w:hAnsi="宋体" w:eastAsia="宋体" w:cs="宋体"/>
          <w:sz w:val="24"/>
          <w:szCs w:val="24"/>
          <w:u w:val="single"/>
        </w:rPr>
        <w:t xml:space="preserve">每周在现场工作时间不得少于5天，每少一天支付违约金800元 </w:t>
      </w:r>
      <w:r>
        <w:rPr>
          <w:rFonts w:hint="eastAsia" w:ascii="宋体" w:hAnsi="宋体" w:eastAsia="宋体" w:cs="宋体"/>
          <w:sz w:val="24"/>
          <w:szCs w:val="24"/>
        </w:rPr>
        <w:t>。</w:t>
      </w:r>
    </w:p>
    <w:p w14:paraId="49856891">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3.2.2 承包人未提交劳动合同，以及没有为项目经理缴纳社会保险证明的违约责任：</w:t>
      </w:r>
      <w:r>
        <w:rPr>
          <w:rFonts w:hint="eastAsia" w:ascii="宋体" w:hAnsi="宋体" w:eastAsia="宋体" w:cs="宋体"/>
          <w:sz w:val="24"/>
          <w:szCs w:val="24"/>
          <w:u w:val="single"/>
        </w:rPr>
        <w:t xml:space="preserve">处以1万元违约金，责令限期提交劳动合同并补缴社会保险 </w:t>
      </w:r>
      <w:r>
        <w:rPr>
          <w:rFonts w:hint="eastAsia" w:ascii="宋体" w:hAnsi="宋体" w:eastAsia="宋体" w:cs="宋体"/>
          <w:sz w:val="24"/>
          <w:szCs w:val="24"/>
        </w:rPr>
        <w:t>。</w:t>
      </w:r>
    </w:p>
    <w:p w14:paraId="59B5EA68">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3.2.3 项目经理未经批准，擅自离开施工现场的违约责任：</w:t>
      </w:r>
      <w:r>
        <w:rPr>
          <w:rFonts w:hint="eastAsia" w:ascii="宋体" w:hAnsi="宋体" w:eastAsia="宋体" w:cs="宋体"/>
          <w:sz w:val="24"/>
          <w:szCs w:val="24"/>
          <w:u w:val="single"/>
        </w:rPr>
        <w:t xml:space="preserve">处以800元/天违约金，承包人承担上述违约给发包人造成的一切损失 </w:t>
      </w:r>
      <w:r>
        <w:rPr>
          <w:rFonts w:hint="eastAsia" w:ascii="宋体" w:hAnsi="宋体" w:eastAsia="宋体" w:cs="宋体"/>
          <w:sz w:val="24"/>
          <w:szCs w:val="24"/>
        </w:rPr>
        <w:t>。</w:t>
      </w:r>
    </w:p>
    <w:p w14:paraId="4223A683">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3.2.4 承包人擅自更换项目经理的违约责任：</w:t>
      </w:r>
      <w:r>
        <w:rPr>
          <w:rFonts w:hint="eastAsia" w:ascii="宋体" w:hAnsi="宋体" w:eastAsia="宋体" w:cs="宋体"/>
          <w:sz w:val="24"/>
          <w:szCs w:val="24"/>
          <w:u w:val="single"/>
        </w:rPr>
        <w:t>处以</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万元违约金，承包人承担上述违约给发包人造成的一切损失 </w:t>
      </w:r>
      <w:r>
        <w:rPr>
          <w:rFonts w:hint="eastAsia" w:ascii="宋体" w:hAnsi="宋体" w:eastAsia="宋体" w:cs="宋体"/>
          <w:sz w:val="24"/>
          <w:szCs w:val="24"/>
        </w:rPr>
        <w:t>。</w:t>
      </w:r>
    </w:p>
    <w:p w14:paraId="02ACABBB">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3.2.5 承包人无正当理由拒绝更换项目经理的违约责任：</w:t>
      </w:r>
      <w:r>
        <w:rPr>
          <w:rFonts w:hint="eastAsia" w:ascii="宋体" w:hAnsi="宋体" w:eastAsia="宋体" w:cs="宋体"/>
          <w:sz w:val="24"/>
          <w:szCs w:val="24"/>
          <w:u w:val="single"/>
        </w:rPr>
        <w:t>处以</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万元违约金，承包人承担上述违约给发包人造成的一切损失 </w:t>
      </w:r>
      <w:r>
        <w:rPr>
          <w:rFonts w:hint="eastAsia" w:ascii="宋体" w:hAnsi="宋体" w:eastAsia="宋体" w:cs="宋体"/>
          <w:sz w:val="24"/>
          <w:szCs w:val="24"/>
        </w:rPr>
        <w:t>。</w:t>
      </w:r>
    </w:p>
    <w:p w14:paraId="32FF44F5">
      <w:pPr>
        <w:spacing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3.3 承包人人员</w:t>
      </w:r>
    </w:p>
    <w:p w14:paraId="4835DE31">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w:t>
      </w:r>
      <w:r>
        <w:rPr>
          <w:rFonts w:hint="eastAsia" w:ascii="宋体" w:hAnsi="宋体" w:eastAsia="宋体" w:cs="宋体"/>
          <w:sz w:val="24"/>
          <w:szCs w:val="24"/>
          <w:u w:val="single"/>
        </w:rPr>
        <w:t xml:space="preserve"> 工程开工前2天 </w:t>
      </w:r>
      <w:r>
        <w:rPr>
          <w:rFonts w:hint="eastAsia" w:ascii="宋体" w:hAnsi="宋体" w:eastAsia="宋体" w:cs="宋体"/>
          <w:sz w:val="24"/>
          <w:szCs w:val="24"/>
        </w:rPr>
        <w:t>。</w:t>
      </w:r>
    </w:p>
    <w:p w14:paraId="7AECBA05">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3.3.2 承包人无正当理由拒绝撤换主要施工管理人员的违约责任：</w:t>
      </w:r>
      <w:r>
        <w:rPr>
          <w:rFonts w:hint="eastAsia" w:ascii="宋体" w:hAnsi="宋体" w:eastAsia="宋体" w:cs="宋体"/>
          <w:sz w:val="24"/>
          <w:szCs w:val="24"/>
          <w:u w:val="single"/>
        </w:rPr>
        <w:t>处以每人</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万元违约金，承包人承担上述违约给发包人造成的一切损失 </w:t>
      </w:r>
      <w:r>
        <w:rPr>
          <w:rFonts w:hint="eastAsia" w:ascii="宋体" w:hAnsi="宋体" w:eastAsia="宋体" w:cs="宋体"/>
          <w:sz w:val="24"/>
          <w:szCs w:val="24"/>
        </w:rPr>
        <w:t>。</w:t>
      </w:r>
    </w:p>
    <w:p w14:paraId="26F19E98">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3.3.3 承包人主要施工管理人员离开施工现场的批准要求：</w:t>
      </w:r>
      <w:r>
        <w:rPr>
          <w:rFonts w:hint="eastAsia" w:ascii="宋体" w:hAnsi="宋体" w:eastAsia="宋体" w:cs="宋体"/>
          <w:sz w:val="24"/>
          <w:szCs w:val="24"/>
          <w:u w:val="single"/>
        </w:rPr>
        <w:t xml:space="preserve">由发包人、总监理工程师书面批准后方可离开 </w:t>
      </w:r>
      <w:r>
        <w:rPr>
          <w:rFonts w:hint="eastAsia" w:ascii="宋体" w:hAnsi="宋体" w:eastAsia="宋体" w:cs="宋体"/>
          <w:sz w:val="24"/>
          <w:szCs w:val="24"/>
        </w:rPr>
        <w:t>。</w:t>
      </w:r>
    </w:p>
    <w:p w14:paraId="02ABBB07">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3.3.4 承包人擅自更换主要施工管理人员的违约责任：</w:t>
      </w:r>
      <w:r>
        <w:rPr>
          <w:rFonts w:hint="eastAsia" w:ascii="宋体" w:hAnsi="宋体" w:eastAsia="宋体" w:cs="宋体"/>
          <w:sz w:val="24"/>
          <w:szCs w:val="24"/>
          <w:u w:val="single"/>
        </w:rPr>
        <w:t>处以每人</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万元违约金，承包人承担上述违约给发包人造成的一切损失 </w:t>
      </w:r>
      <w:r>
        <w:rPr>
          <w:rFonts w:hint="eastAsia" w:ascii="宋体" w:hAnsi="宋体" w:eastAsia="宋体" w:cs="宋体"/>
          <w:sz w:val="24"/>
          <w:szCs w:val="24"/>
        </w:rPr>
        <w:t>。</w:t>
      </w:r>
    </w:p>
    <w:p w14:paraId="254928A0">
      <w:pPr>
        <w:spacing w:after="120" w:line="600" w:lineRule="exact"/>
        <w:ind w:firstLine="480" w:firstLineChars="200"/>
        <w:rPr>
          <w:rFonts w:ascii="宋体" w:hAnsi="宋体" w:eastAsia="宋体" w:cs="宋体"/>
          <w:b/>
          <w:sz w:val="24"/>
          <w:szCs w:val="24"/>
        </w:rPr>
      </w:pPr>
      <w:r>
        <w:rPr>
          <w:rFonts w:hint="eastAsia" w:ascii="宋体" w:hAnsi="宋体" w:eastAsia="宋体" w:cs="宋体"/>
          <w:sz w:val="24"/>
          <w:szCs w:val="24"/>
        </w:rPr>
        <w:t>承包人主要施工管理人员擅自离开施工现场的违约责任：</w:t>
      </w:r>
      <w:r>
        <w:rPr>
          <w:rFonts w:hint="eastAsia" w:ascii="宋体" w:hAnsi="宋体" w:eastAsia="宋体" w:cs="宋体"/>
          <w:sz w:val="24"/>
          <w:szCs w:val="24"/>
          <w:u w:val="single"/>
        </w:rPr>
        <w:t xml:space="preserve">处以每人每天600元违约金，承包人承担上述违约给发包人造成的一切损失 </w:t>
      </w:r>
      <w:r>
        <w:rPr>
          <w:rFonts w:hint="eastAsia" w:ascii="宋体" w:hAnsi="宋体" w:eastAsia="宋体" w:cs="宋体"/>
          <w:sz w:val="24"/>
          <w:szCs w:val="24"/>
        </w:rPr>
        <w:t>。</w:t>
      </w:r>
    </w:p>
    <w:p w14:paraId="798AEEA1">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3.5 分包</w:t>
      </w:r>
    </w:p>
    <w:p w14:paraId="67F59E37">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3.5.1 分包的一般约定</w:t>
      </w:r>
    </w:p>
    <w:p w14:paraId="305E2E1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sz w:val="24"/>
          <w:szCs w:val="24"/>
          <w:u w:val="single"/>
        </w:rPr>
        <w:t xml:space="preserve">   本工程不允许分包   </w:t>
      </w:r>
      <w:r>
        <w:rPr>
          <w:rFonts w:hint="eastAsia" w:ascii="宋体" w:hAnsi="宋体" w:eastAsia="宋体" w:cs="宋体"/>
          <w:sz w:val="24"/>
          <w:szCs w:val="24"/>
        </w:rPr>
        <w:t>。</w:t>
      </w:r>
    </w:p>
    <w:p w14:paraId="35741A0F">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2D19AFE">
      <w:pPr>
        <w:spacing w:line="600" w:lineRule="exact"/>
        <w:rPr>
          <w:rFonts w:ascii="宋体" w:hAnsi="宋体" w:eastAsia="宋体" w:cs="宋体"/>
          <w:sz w:val="24"/>
          <w:szCs w:val="24"/>
        </w:rPr>
      </w:pPr>
      <w:r>
        <w:rPr>
          <w:rFonts w:hint="eastAsia" w:ascii="宋体" w:hAnsi="宋体" w:eastAsia="宋体" w:cs="宋体"/>
          <w:sz w:val="24"/>
          <w:szCs w:val="24"/>
        </w:rPr>
        <w:t xml:space="preserve">    3.5.2分包的确定</w:t>
      </w:r>
    </w:p>
    <w:p w14:paraId="426A36CA">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A2D5422">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其他关于分包的约定：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E41AC50">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3.5.4 分包合同价款</w:t>
      </w:r>
    </w:p>
    <w:p w14:paraId="7037772C">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67F23BF">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3.6 工程照管与成品、半成品保护</w:t>
      </w:r>
    </w:p>
    <w:p w14:paraId="1FA91C5C">
      <w:pPr>
        <w:spacing w:before="120" w:after="120"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承包人负责照管工程及工程相关的材料、工程设备的起始时间：</w:t>
      </w:r>
    </w:p>
    <w:p w14:paraId="3B82C0C0">
      <w:pPr>
        <w:spacing w:before="120" w:after="120"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u w:val="single"/>
        </w:rPr>
        <w:t xml:space="preserve">承包人施工人员进场开始至验收合格并移交给使用单位期间由承包人负责，费用由承包人承担 </w:t>
      </w:r>
      <w:r>
        <w:rPr>
          <w:rFonts w:hint="eastAsia" w:ascii="宋体" w:hAnsi="宋体" w:eastAsia="宋体" w:cs="宋体"/>
          <w:sz w:val="24"/>
          <w:szCs w:val="24"/>
        </w:rPr>
        <w:t>。</w:t>
      </w:r>
    </w:p>
    <w:p w14:paraId="562C05A3">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3.7 履约担保</w:t>
      </w:r>
    </w:p>
    <w:p w14:paraId="156F3A3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3621347">
      <w:pPr>
        <w:spacing w:line="600" w:lineRule="exact"/>
        <w:ind w:firstLine="480" w:firstLineChars="200"/>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承包人提供履约担保的形式、金额及期限的：</w:t>
      </w:r>
      <w:r>
        <w:rPr>
          <w:rFonts w:hint="eastAsia" w:ascii="宋体" w:hAnsi="宋体" w:eastAsia="宋体" w:cs="宋体"/>
          <w:sz w:val="24"/>
          <w:szCs w:val="24"/>
          <w:u w:val="single"/>
          <w:lang w:val="en-US" w:eastAsia="zh-CN"/>
        </w:rPr>
        <w:t xml:space="preserve">           /         </w:t>
      </w:r>
    </w:p>
    <w:p w14:paraId="02E87BCC">
      <w:pPr>
        <w:spacing w:line="600" w:lineRule="exact"/>
        <w:ind w:firstLine="480" w:firstLineChars="200"/>
        <w:jc w:val="left"/>
        <w:rPr>
          <w:rFonts w:hint="default"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w:t>
      </w:r>
    </w:p>
    <w:p w14:paraId="098E0D57">
      <w:pPr>
        <w:keepNext/>
        <w:keepLines/>
        <w:adjustRightInd w:val="0"/>
        <w:snapToGrid w:val="0"/>
        <w:spacing w:line="640" w:lineRule="exact"/>
        <w:ind w:firstLine="487" w:firstLineChars="203"/>
        <w:outlineLvl w:val="9"/>
        <w:rPr>
          <w:rFonts w:hint="eastAsia" w:ascii="宋体" w:hAnsi="宋体" w:eastAsia="宋体" w:cs="宋体"/>
          <w:b/>
          <w:bCs/>
          <w:sz w:val="24"/>
          <w:szCs w:val="24"/>
        </w:rPr>
      </w:pPr>
    </w:p>
    <w:p w14:paraId="7D8AE53C">
      <w:pPr>
        <w:keepNext/>
        <w:keepLines/>
        <w:adjustRightInd w:val="0"/>
        <w:snapToGrid w:val="0"/>
        <w:spacing w:line="640" w:lineRule="exact"/>
        <w:ind w:firstLine="487" w:firstLineChars="203"/>
        <w:outlineLvl w:val="3"/>
        <w:rPr>
          <w:rFonts w:ascii="宋体" w:hAnsi="宋体" w:eastAsia="宋体" w:cs="宋体"/>
          <w:b/>
          <w:bCs/>
          <w:sz w:val="24"/>
          <w:szCs w:val="24"/>
        </w:rPr>
      </w:pPr>
      <w:r>
        <w:rPr>
          <w:rFonts w:hint="eastAsia" w:ascii="宋体" w:hAnsi="宋体" w:eastAsia="宋体" w:cs="宋体"/>
          <w:b/>
          <w:bCs/>
          <w:sz w:val="24"/>
          <w:szCs w:val="24"/>
        </w:rPr>
        <w:t>4. 监理人</w:t>
      </w:r>
    </w:p>
    <w:p w14:paraId="061EC993">
      <w:pPr>
        <w:adjustRightInd w:val="0"/>
        <w:snapToGrid w:val="0"/>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4.1监理人的一般规定</w:t>
      </w:r>
    </w:p>
    <w:p w14:paraId="4DADC013">
      <w:pPr>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4"/>
          <w:u w:val="single"/>
        </w:rPr>
        <w:t xml:space="preserve">  见监理合同  </w:t>
      </w:r>
      <w:r>
        <w:rPr>
          <w:rFonts w:hint="eastAsia" w:ascii="宋体" w:hAnsi="宋体" w:eastAsia="宋体" w:cs="宋体"/>
          <w:sz w:val="24"/>
          <w:szCs w:val="24"/>
        </w:rPr>
        <w:t>。</w:t>
      </w:r>
    </w:p>
    <w:p w14:paraId="3B062AC8">
      <w:pPr>
        <w:widowControl/>
        <w:spacing w:line="6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关于监理人的监理权限：</w:t>
      </w:r>
      <w:r>
        <w:rPr>
          <w:rFonts w:hint="eastAsia" w:ascii="宋体" w:hAnsi="宋体" w:eastAsia="宋体" w:cs="宋体"/>
          <w:kern w:val="0"/>
          <w:sz w:val="24"/>
          <w:szCs w:val="24"/>
          <w:u w:val="single"/>
        </w:rPr>
        <w:t xml:space="preserve">按照《建设工程监理规范》和《建设工程委托监理合同》的有关规定对工程施工行使监理职权。主要包括工程质量、安全文明施工、工程进度及工程投资等方面控制。工程开工、停工及设计变更、工程量签证需要取得发包人批准 </w:t>
      </w:r>
      <w:r>
        <w:rPr>
          <w:rFonts w:hint="eastAsia" w:ascii="宋体" w:hAnsi="宋体" w:eastAsia="宋体" w:cs="宋体"/>
          <w:kern w:val="0"/>
          <w:sz w:val="24"/>
          <w:szCs w:val="24"/>
        </w:rPr>
        <w:t xml:space="preserve">。 </w:t>
      </w:r>
    </w:p>
    <w:p w14:paraId="40057BF1">
      <w:pPr>
        <w:widowControl/>
        <w:spacing w:line="600" w:lineRule="exact"/>
        <w:ind w:firstLine="480" w:firstLineChars="200"/>
        <w:jc w:val="left"/>
        <w:rPr>
          <w:rFonts w:ascii="宋体" w:hAnsi="宋体" w:eastAsia="宋体" w:cs="宋体"/>
          <w:kern w:val="0"/>
          <w:sz w:val="24"/>
          <w:szCs w:val="24"/>
          <w:u w:val="single"/>
        </w:rPr>
      </w:pPr>
      <w:r>
        <w:rPr>
          <w:rFonts w:hint="eastAsia" w:ascii="宋体" w:hAnsi="宋体" w:eastAsia="宋体" w:cs="宋体"/>
          <w:kern w:val="0"/>
          <w:sz w:val="24"/>
          <w:szCs w:val="24"/>
        </w:rPr>
        <w:t>关于监理人在施工现场的办公场所、生活场所的提供和费用承担的约定：</w:t>
      </w:r>
      <w:r>
        <w:rPr>
          <w:rFonts w:hint="eastAsia" w:ascii="宋体" w:hAnsi="宋体" w:eastAsia="宋体" w:cs="宋体"/>
          <w:kern w:val="0"/>
          <w:sz w:val="24"/>
          <w:szCs w:val="24"/>
          <w:u w:val="single"/>
        </w:rPr>
        <w:t xml:space="preserve"> 承包人负责提供办公场所并承担费用 。</w:t>
      </w:r>
    </w:p>
    <w:p w14:paraId="5B08AD43">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4.2 监理人员</w:t>
      </w:r>
    </w:p>
    <w:p w14:paraId="4C664E3E">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总监理工程师：</w:t>
      </w:r>
    </w:p>
    <w:p w14:paraId="5FAC55C1">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F81AA4">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6E8604">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w:t>
      </w:r>
    </w:p>
    <w:p w14:paraId="7833A994">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8DBC82B">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电子信箱：</w:t>
      </w:r>
      <w:r>
        <w:rPr>
          <w:rFonts w:ascii="Times New Roman" w:hAnsi="Times New Roman" w:eastAsia="宋体" w:cs="Times New Roman"/>
          <w:szCs w:val="24"/>
          <w:u w:val="single"/>
        </w:rPr>
        <w:t xml:space="preserve">                 </w:t>
      </w:r>
      <w:r>
        <w:rPr>
          <w:rFonts w:hint="eastAsia" w:ascii="宋体" w:hAnsi="宋体" w:eastAsia="宋体" w:cs="宋体"/>
          <w:sz w:val="24"/>
          <w:szCs w:val="24"/>
        </w:rPr>
        <w:t>；</w:t>
      </w:r>
    </w:p>
    <w:p w14:paraId="153E1889">
      <w:pPr>
        <w:adjustRightInd w:val="0"/>
        <w:snapToGrid w:val="0"/>
        <w:spacing w:line="600" w:lineRule="exact"/>
        <w:ind w:left="4734" w:leftChars="203" w:hanging="4308" w:hangingChars="1795"/>
        <w:jc w:val="left"/>
        <w:rPr>
          <w:rFonts w:ascii="宋体" w:hAnsi="宋体" w:eastAsia="宋体" w:cs="宋体"/>
          <w:spacing w:val="-20"/>
          <w:kern w:val="0"/>
          <w:sz w:val="24"/>
          <w:szCs w:val="24"/>
        </w:rPr>
      </w:pPr>
      <w:r>
        <w:rPr>
          <w:rFonts w:hint="eastAsia" w:ascii="宋体" w:hAnsi="宋体" w:eastAsia="宋体" w:cs="宋体"/>
          <w:sz w:val="24"/>
          <w:szCs w:val="24"/>
        </w:rPr>
        <w:t>通信地址：</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w:t>
      </w:r>
    </w:p>
    <w:p w14:paraId="0BF48DD8">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B1D3388">
      <w:pPr>
        <w:spacing w:after="120" w:line="640" w:lineRule="exact"/>
        <w:ind w:firstLine="480" w:firstLineChars="200"/>
        <w:rPr>
          <w:rFonts w:ascii="宋体" w:hAnsi="宋体" w:eastAsia="宋体" w:cs="宋体"/>
          <w:b/>
          <w:sz w:val="24"/>
          <w:szCs w:val="24"/>
        </w:rPr>
      </w:pPr>
      <w:r>
        <w:rPr>
          <w:rFonts w:hint="eastAsia" w:ascii="宋体" w:hAnsi="宋体" w:eastAsia="宋体" w:cs="宋体"/>
          <w:b/>
          <w:sz w:val="24"/>
          <w:szCs w:val="24"/>
        </w:rPr>
        <w:t>4.4 商定或确定</w:t>
      </w:r>
    </w:p>
    <w:p w14:paraId="18058E64">
      <w:pPr>
        <w:adjustRightInd w:val="0"/>
        <w:snapToGrid w:val="0"/>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6D1FD3F4">
      <w:pPr>
        <w:adjustRightInd w:val="0"/>
        <w:snapToGrid w:val="0"/>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p>
    <w:p w14:paraId="4FB029F9">
      <w:pPr>
        <w:adjustRightInd w:val="0"/>
        <w:snapToGrid w:val="0"/>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B6D336C">
      <w:pPr>
        <w:adjustRightInd w:val="0"/>
        <w:snapToGrid w:val="0"/>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7FED421">
      <w:pPr>
        <w:keepNext/>
        <w:keepLines/>
        <w:adjustRightInd w:val="0"/>
        <w:snapToGrid w:val="0"/>
        <w:spacing w:line="600" w:lineRule="exact"/>
        <w:ind w:firstLine="513" w:firstLineChars="214"/>
        <w:outlineLvl w:val="3"/>
        <w:rPr>
          <w:rFonts w:ascii="宋体" w:hAnsi="宋体" w:eastAsia="宋体" w:cs="宋体"/>
          <w:b/>
          <w:bCs/>
          <w:sz w:val="24"/>
          <w:szCs w:val="24"/>
        </w:rPr>
      </w:pPr>
      <w:r>
        <w:rPr>
          <w:rFonts w:hint="eastAsia" w:ascii="宋体" w:hAnsi="宋体" w:eastAsia="宋体" w:cs="宋体"/>
          <w:b/>
          <w:bCs/>
          <w:sz w:val="24"/>
          <w:szCs w:val="24"/>
        </w:rPr>
        <w:t>5. 工程质量</w:t>
      </w:r>
    </w:p>
    <w:p w14:paraId="6824A77B">
      <w:pPr>
        <w:adjustRightInd w:val="0"/>
        <w:snapToGrid w:val="0"/>
        <w:spacing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5.1 质量要求</w:t>
      </w:r>
    </w:p>
    <w:p w14:paraId="3B629669">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必须符合设计图纸及相应施工规范的要求 </w:t>
      </w:r>
      <w:r>
        <w:rPr>
          <w:rFonts w:hint="eastAsia" w:ascii="宋体" w:hAnsi="宋体" w:eastAsia="宋体" w:cs="宋体"/>
          <w:sz w:val="24"/>
          <w:szCs w:val="24"/>
        </w:rPr>
        <w:t>。</w:t>
      </w:r>
    </w:p>
    <w:p w14:paraId="51D28C0B">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924528B">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5.3 隐蔽工程检查</w:t>
      </w:r>
    </w:p>
    <w:p w14:paraId="6D2C2588">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按照通用条款 </w:t>
      </w:r>
      <w:r>
        <w:rPr>
          <w:rFonts w:hint="eastAsia" w:ascii="宋体" w:hAnsi="宋体" w:eastAsia="宋体" w:cs="宋体"/>
          <w:sz w:val="24"/>
          <w:szCs w:val="24"/>
        </w:rPr>
        <w:t>。</w:t>
      </w:r>
    </w:p>
    <w:p w14:paraId="330D36E8">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04378E7F">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345E4E40">
      <w:pPr>
        <w:keepNext/>
        <w:keepLines/>
        <w:spacing w:before="120" w:after="120" w:line="600" w:lineRule="exact"/>
        <w:ind w:firstLine="458" w:firstLineChars="191"/>
        <w:outlineLvl w:val="3"/>
        <w:rPr>
          <w:rFonts w:ascii="宋体" w:hAnsi="宋体" w:eastAsia="宋体" w:cs="宋体"/>
          <w:b/>
          <w:bCs/>
          <w:sz w:val="24"/>
          <w:szCs w:val="24"/>
        </w:rPr>
      </w:pPr>
      <w:r>
        <w:rPr>
          <w:rFonts w:hint="eastAsia" w:ascii="宋体" w:hAnsi="宋体" w:eastAsia="宋体" w:cs="宋体"/>
          <w:b/>
          <w:bCs/>
          <w:sz w:val="24"/>
          <w:szCs w:val="24"/>
        </w:rPr>
        <w:t>6. 安全文明施工与环境保护</w:t>
      </w:r>
    </w:p>
    <w:p w14:paraId="363E744C">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6.1安全文明施工</w:t>
      </w:r>
    </w:p>
    <w:p w14:paraId="6E824B83">
      <w:pPr>
        <w:spacing w:line="600" w:lineRule="exact"/>
        <w:ind w:left="539" w:leftChars="257" w:firstLine="120" w:firstLineChars="50"/>
        <w:rPr>
          <w:rFonts w:ascii="宋体" w:hAnsi="宋体" w:eastAsia="宋体" w:cs="宋体"/>
          <w:kern w:val="0"/>
          <w:sz w:val="24"/>
          <w:szCs w:val="24"/>
        </w:rPr>
      </w:pPr>
      <w:r>
        <w:rPr>
          <w:rFonts w:hint="eastAsia" w:ascii="宋体" w:hAnsi="宋体" w:eastAsia="宋体" w:cs="宋体"/>
          <w:kern w:val="0"/>
          <w:sz w:val="24"/>
          <w:szCs w:val="24"/>
        </w:rPr>
        <w:t>6.1.1 项目安全生产的达标目标及相应事项的约定：</w:t>
      </w:r>
    </w:p>
    <w:p w14:paraId="301DC980">
      <w:pPr>
        <w:spacing w:line="600" w:lineRule="exact"/>
        <w:ind w:firstLine="480" w:firstLineChars="200"/>
        <w:rPr>
          <w:rFonts w:hint="default" w:ascii="宋体" w:hAnsi="宋体" w:eastAsia="宋体" w:cs="宋体"/>
          <w:kern w:val="0"/>
          <w:sz w:val="24"/>
          <w:szCs w:val="24"/>
          <w:highlight w:val="yellow"/>
          <w:u w:val="single"/>
          <w:lang w:val="en-US" w:eastAsia="zh-CN"/>
        </w:rPr>
      </w:pPr>
      <w:r>
        <w:rPr>
          <w:rFonts w:hint="eastAsia" w:ascii="宋体" w:hAnsi="宋体" w:eastAsia="宋体" w:cs="宋体"/>
          <w:kern w:val="0"/>
          <w:sz w:val="24"/>
          <w:szCs w:val="24"/>
          <w:u w:val="single"/>
          <w:lang w:val="en-US" w:eastAsia="zh-CN"/>
        </w:rPr>
        <w:t xml:space="preserve">                           零事故                </w:t>
      </w:r>
    </w:p>
    <w:p w14:paraId="307C6417">
      <w:pPr>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kern w:val="0"/>
          <w:sz w:val="24"/>
          <w:szCs w:val="24"/>
          <w:highlight w:val="none"/>
          <w:u w:val="single"/>
        </w:rPr>
        <w:t>承包人应遵守工程建设安全生产有关管理规定，严格按照</w:t>
      </w:r>
      <w:r>
        <w:rPr>
          <w:rFonts w:hint="eastAsia" w:ascii="宋体" w:hAnsi="宋体" w:eastAsia="宋体" w:cs="宋体"/>
          <w:color w:val="auto"/>
          <w:kern w:val="0"/>
          <w:sz w:val="24"/>
          <w:szCs w:val="24"/>
          <w:highlight w:val="none"/>
          <w:u w:val="single"/>
          <w:lang w:eastAsia="zh-CN"/>
        </w:rPr>
        <w:t>现行</w:t>
      </w:r>
      <w:r>
        <w:rPr>
          <w:rFonts w:hint="eastAsia" w:ascii="宋体" w:hAnsi="宋体" w:eastAsia="宋体" w:cs="宋体"/>
          <w:color w:val="auto"/>
          <w:kern w:val="0"/>
          <w:sz w:val="24"/>
          <w:szCs w:val="24"/>
          <w:highlight w:val="none"/>
          <w:u w:val="single"/>
        </w:rPr>
        <w:t>《建筑施工安全检查标准》的要求进行施工，随时接受行业安全检查人员依法实施的监督检查和监理及发包人的安全监督检查。采取必要的安全防护措施，消除事故隐患。其安全施工防护费用已经含在合同价款内。</w:t>
      </w:r>
      <w:r>
        <w:rPr>
          <w:rFonts w:hint="eastAsia" w:ascii="宋体" w:hAnsi="宋体" w:eastAsia="宋体" w:cs="宋体"/>
          <w:color w:val="auto"/>
          <w:sz w:val="24"/>
          <w:szCs w:val="24"/>
          <w:highlight w:val="none"/>
          <w:u w:val="single"/>
        </w:rPr>
        <w:t>由承包人负责</w:t>
      </w:r>
      <w:r>
        <w:rPr>
          <w:rFonts w:hint="eastAsia" w:ascii="宋体" w:hAnsi="宋体" w:eastAsia="宋体" w:cs="宋体"/>
          <w:color w:val="auto"/>
          <w:sz w:val="24"/>
          <w:szCs w:val="24"/>
          <w:highlight w:val="none"/>
          <w:u w:val="single"/>
          <w:lang w:eastAsia="zh-CN"/>
        </w:rPr>
        <w:t>施工范围内</w:t>
      </w:r>
      <w:r>
        <w:rPr>
          <w:rFonts w:hint="eastAsia" w:ascii="宋体" w:hAnsi="宋体" w:eastAsia="宋体" w:cs="宋体"/>
          <w:color w:val="auto"/>
          <w:sz w:val="24"/>
          <w:szCs w:val="24"/>
          <w:highlight w:val="none"/>
          <w:u w:val="single"/>
        </w:rPr>
        <w:t xml:space="preserve">全部治安保卫工作 </w:t>
      </w:r>
      <w:r>
        <w:rPr>
          <w:rFonts w:hint="eastAsia" w:ascii="宋体" w:hAnsi="宋体" w:eastAsia="宋体" w:cs="宋体"/>
          <w:sz w:val="24"/>
          <w:szCs w:val="24"/>
        </w:rPr>
        <w:t>。</w:t>
      </w:r>
    </w:p>
    <w:p w14:paraId="5B0654F8">
      <w:pPr>
        <w:spacing w:line="6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ascii="宋体" w:hAnsi="宋体" w:eastAsia="宋体" w:cs="宋体"/>
          <w:color w:val="auto"/>
          <w:sz w:val="24"/>
          <w:szCs w:val="24"/>
          <w:highlight w:val="none"/>
          <w:u w:val="single"/>
        </w:rPr>
        <w:t>开工7日前承包人提供施工场地</w:t>
      </w:r>
    </w:p>
    <w:p w14:paraId="4C10F1D4">
      <w:pPr>
        <w:spacing w:line="600" w:lineRule="exact"/>
        <w:jc w:val="left"/>
        <w:rPr>
          <w:rFonts w:ascii="宋体" w:hAnsi="宋体" w:eastAsia="宋体" w:cs="宋体"/>
          <w:sz w:val="24"/>
          <w:szCs w:val="24"/>
        </w:rPr>
      </w:pPr>
      <w:r>
        <w:rPr>
          <w:rFonts w:hint="eastAsia" w:ascii="宋体" w:hAnsi="宋体" w:eastAsia="宋体" w:cs="宋体"/>
          <w:color w:val="auto"/>
          <w:sz w:val="24"/>
          <w:szCs w:val="24"/>
          <w:highlight w:val="none"/>
          <w:u w:val="single"/>
        </w:rPr>
        <w:t xml:space="preserve">治安管理计划 </w:t>
      </w:r>
      <w:r>
        <w:rPr>
          <w:rFonts w:hint="eastAsia" w:ascii="宋体" w:hAnsi="宋体" w:eastAsia="宋体" w:cs="宋体"/>
          <w:color w:val="auto"/>
          <w:sz w:val="24"/>
          <w:szCs w:val="24"/>
          <w:highlight w:val="none"/>
        </w:rPr>
        <w:t>。</w:t>
      </w:r>
    </w:p>
    <w:p w14:paraId="44A505CD">
      <w:pPr>
        <w:spacing w:line="600" w:lineRule="exact"/>
        <w:ind w:firstLine="480" w:firstLineChars="200"/>
        <w:jc w:val="left"/>
        <w:rPr>
          <w:rFonts w:ascii="宋体" w:hAnsi="宋体" w:eastAsia="宋体" w:cs="宋体"/>
          <w:b/>
          <w:sz w:val="24"/>
          <w:szCs w:val="24"/>
        </w:rPr>
      </w:pPr>
      <w:r>
        <w:rPr>
          <w:rFonts w:hint="eastAsia" w:ascii="宋体" w:hAnsi="宋体" w:eastAsia="宋体" w:cs="宋体"/>
          <w:b/>
          <w:sz w:val="24"/>
          <w:szCs w:val="24"/>
        </w:rPr>
        <w:t>6.1.5 文明施工</w:t>
      </w:r>
    </w:p>
    <w:p w14:paraId="75C0A052">
      <w:pPr>
        <w:spacing w:line="600" w:lineRule="exact"/>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lang w:val="en-US" w:eastAsia="zh-CN"/>
        </w:rPr>
        <w:t xml:space="preserve">  </w:t>
      </w:r>
      <w:r>
        <w:rPr>
          <w:rFonts w:hint="eastAsia" w:cs="宋体" w:asciiTheme="minorEastAsia" w:hAnsiTheme="minorEastAsia" w:eastAsiaTheme="minorEastAsia"/>
          <w:sz w:val="24"/>
          <w:u w:val="single"/>
          <w:lang w:eastAsia="zh-CN"/>
        </w:rPr>
        <w:t>达到当地现行文明工地施工标准、</w:t>
      </w:r>
      <w:r>
        <w:rPr>
          <w:rFonts w:hint="eastAsia" w:ascii="宋体" w:hAnsi="宋体" w:eastAsia="宋体" w:cs="宋体"/>
          <w:color w:val="auto"/>
          <w:sz w:val="24"/>
          <w:szCs w:val="24"/>
          <w:highlight w:val="none"/>
          <w:u w:val="single"/>
        </w:rPr>
        <w:t>保证每日清理垃圾，符合当地有关文明施工的规定，费用由承包人承担。负责将施工及生活垃圾清运到场地以外的公共垃圾点，费用由承包人承担</w:t>
      </w:r>
      <w:r>
        <w:rPr>
          <w:rFonts w:hint="eastAsia" w:cs="宋体" w:asciiTheme="minorEastAsia" w:hAnsiTheme="minorEastAsia" w:eastAsiaTheme="minorEastAsia"/>
          <w:sz w:val="24"/>
        </w:rPr>
        <w:t>。</w:t>
      </w:r>
    </w:p>
    <w:p w14:paraId="6ADC3C17">
      <w:pPr>
        <w:spacing w:line="600" w:lineRule="exact"/>
        <w:ind w:firstLine="600" w:firstLineChars="250"/>
        <w:rPr>
          <w:rFonts w:hint="default" w:ascii="宋体" w:hAnsi="宋体" w:eastAsia="宋体" w:cs="宋体"/>
          <w:sz w:val="24"/>
          <w:szCs w:val="24"/>
          <w:lang w:val="en-US" w:eastAsia="zh-CN"/>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lang w:val="en-US" w:eastAsia="zh-CN"/>
        </w:rPr>
        <w:t xml:space="preserve"> </w:t>
      </w:r>
      <w:r>
        <w:rPr>
          <w:rFonts w:hint="eastAsia" w:cs="宋体" w:asciiTheme="minorEastAsia" w:hAnsiTheme="minorEastAsia" w:eastAsiaTheme="minorEastAsia"/>
          <w:sz w:val="24"/>
          <w:u w:val="single"/>
          <w:lang w:eastAsia="zh-CN"/>
        </w:rPr>
        <w:t>随工程进度支付，</w:t>
      </w:r>
      <w:r>
        <w:rPr>
          <w:rFonts w:hint="eastAsia" w:ascii="宋体" w:hAnsi="宋体" w:eastAsia="宋体" w:cs="宋体"/>
          <w:color w:val="auto"/>
          <w:sz w:val="24"/>
          <w:szCs w:val="24"/>
          <w:highlight w:val="none"/>
          <w:u w:val="single"/>
        </w:rPr>
        <w:t>安全文明施工措施费包含文明施工费、扬尘治理费环境保护费（根据河南省调增房建和市政工程施工现场扬尘污染防治费执行豫建设标【2016】47号中相关规定标准计取）临时设施费、安全施工费的各项费，安全文明施工措施费计价按照《豫建设标【2014】57号文》中相关规定足额计取安全文明施工措施费全部费用，此外不计取其他安全文明施工费用。安全文明施工项目不达标的和实际未实施的，该部分应计取的安全文明措施费，发包人</w:t>
      </w:r>
      <w:r>
        <w:rPr>
          <w:rFonts w:hint="eastAsia" w:ascii="宋体" w:hAnsi="宋体" w:eastAsia="宋体" w:cs="宋体"/>
          <w:color w:val="auto"/>
          <w:sz w:val="24"/>
          <w:szCs w:val="24"/>
          <w:highlight w:val="none"/>
          <w:u w:val="single"/>
          <w:lang w:eastAsia="zh-CN"/>
        </w:rPr>
        <w:t>有权</w:t>
      </w:r>
      <w:r>
        <w:rPr>
          <w:rFonts w:hint="eastAsia" w:ascii="宋体" w:hAnsi="宋体" w:eastAsia="宋体" w:cs="宋体"/>
          <w:color w:val="auto"/>
          <w:sz w:val="24"/>
          <w:szCs w:val="24"/>
          <w:highlight w:val="none"/>
          <w:u w:val="single"/>
        </w:rPr>
        <w:t xml:space="preserve">予以扣除，并有权酌情处罚，未明确内容按通用条款执行 </w:t>
      </w:r>
      <w:r>
        <w:rPr>
          <w:rFonts w:hint="eastAsia" w:ascii="宋体" w:hAnsi="宋体" w:eastAsia="宋体" w:cs="宋体"/>
          <w:color w:val="auto"/>
          <w:sz w:val="24"/>
          <w:szCs w:val="24"/>
          <w:highlight w:val="none"/>
        </w:rPr>
        <w:t>。</w:t>
      </w:r>
    </w:p>
    <w:p w14:paraId="6EB483D2">
      <w:pPr>
        <w:keepNext/>
        <w:keepLines/>
        <w:spacing w:before="120" w:after="120" w:line="600" w:lineRule="exact"/>
        <w:ind w:firstLine="458" w:firstLineChars="191"/>
        <w:outlineLvl w:val="3"/>
        <w:rPr>
          <w:rFonts w:ascii="宋体" w:hAnsi="宋体" w:eastAsia="宋体" w:cs="宋体"/>
          <w:b/>
          <w:bCs/>
          <w:sz w:val="24"/>
          <w:szCs w:val="24"/>
        </w:rPr>
      </w:pPr>
      <w:r>
        <w:rPr>
          <w:rFonts w:hint="eastAsia" w:ascii="宋体" w:hAnsi="宋体" w:eastAsia="宋体" w:cs="宋体"/>
          <w:b/>
          <w:bCs/>
          <w:sz w:val="24"/>
          <w:szCs w:val="24"/>
        </w:rPr>
        <w:t>7. 工期和进度</w:t>
      </w:r>
    </w:p>
    <w:p w14:paraId="679F7F13">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7.1 施工组织设计</w:t>
      </w:r>
    </w:p>
    <w:p w14:paraId="5D63CD22">
      <w:pPr>
        <w:autoSpaceDE w:val="0"/>
        <w:autoSpaceDN w:val="0"/>
        <w:adjustRightInd w:val="0"/>
        <w:spacing w:line="600" w:lineRule="exact"/>
        <w:ind w:firstLine="480" w:firstLineChars="200"/>
        <w:jc w:val="left"/>
        <w:rPr>
          <w:rFonts w:hint="eastAsia" w:ascii="宋体" w:hAnsi="宋体" w:cs="宋体" w:eastAsiaTheme="minorEastAsia"/>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single"/>
        </w:rPr>
        <w:t>包括详细施工方案、现场施工平面图、工程进度总计划、大型施工机械设备进场计划、劳动力进场计划、质量安全文明控制计划等，并经监理工程师</w:t>
      </w:r>
      <w:r>
        <w:rPr>
          <w:rFonts w:hint="eastAsia" w:ascii="宋体" w:hAnsi="宋体" w:cs="宋体"/>
          <w:color w:val="auto"/>
          <w:sz w:val="24"/>
          <w:szCs w:val="24"/>
          <w:highlight w:val="none"/>
          <w:u w:val="single"/>
          <w:lang w:eastAsia="zh-CN"/>
        </w:rPr>
        <w:t>审批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p>
    <w:p w14:paraId="1002E219">
      <w:pPr>
        <w:autoSpaceDE w:val="0"/>
        <w:autoSpaceDN w:val="0"/>
        <w:adjustRightIn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7.1.2 施工组织设计的提交和修改</w:t>
      </w:r>
    </w:p>
    <w:p w14:paraId="34B5A228">
      <w:pPr>
        <w:autoSpaceDE w:val="0"/>
        <w:autoSpaceDN w:val="0"/>
        <w:adjustRightInd w:val="0"/>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4"/>
          <w:u w:val="single"/>
        </w:rPr>
        <w:t xml:space="preserve"> 开工前7天  </w:t>
      </w:r>
      <w:r>
        <w:rPr>
          <w:rFonts w:hint="eastAsia" w:ascii="宋体" w:hAnsi="宋体" w:eastAsia="宋体" w:cs="宋体"/>
          <w:sz w:val="24"/>
          <w:szCs w:val="24"/>
        </w:rPr>
        <w:t>。</w:t>
      </w:r>
    </w:p>
    <w:p w14:paraId="100B0B9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发包人和监理人在收到详细的施工组织设计后确认或提出修改意见的期限：</w:t>
      </w:r>
    </w:p>
    <w:p w14:paraId="6F9E76EC">
      <w:pPr>
        <w:spacing w:line="600" w:lineRule="exact"/>
        <w:jc w:val="left"/>
        <w:rPr>
          <w:rFonts w:ascii="宋体" w:hAnsi="宋体" w:eastAsia="宋体" w:cs="宋体"/>
          <w:sz w:val="24"/>
          <w:szCs w:val="24"/>
          <w:u w:val="single"/>
        </w:rPr>
      </w:pPr>
      <w:r>
        <w:rPr>
          <w:rFonts w:hint="eastAsia" w:ascii="宋体" w:hAnsi="宋体" w:eastAsia="宋体" w:cs="宋体"/>
          <w:sz w:val="24"/>
          <w:szCs w:val="24"/>
          <w:u w:val="single"/>
        </w:rPr>
        <w:t xml:space="preserve"> 收到后7天内  </w:t>
      </w:r>
      <w:r>
        <w:rPr>
          <w:rFonts w:hint="eastAsia" w:ascii="宋体" w:hAnsi="宋体" w:eastAsia="宋体" w:cs="宋体"/>
          <w:sz w:val="24"/>
          <w:szCs w:val="24"/>
        </w:rPr>
        <w:t>。</w:t>
      </w:r>
    </w:p>
    <w:p w14:paraId="1ECE9650">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7.2 施工进度计划</w:t>
      </w:r>
    </w:p>
    <w:p w14:paraId="5D91162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7.2.2 施工进度计划的修订</w:t>
      </w:r>
    </w:p>
    <w:p w14:paraId="3EF63594">
      <w:pPr>
        <w:spacing w:line="600" w:lineRule="exact"/>
        <w:ind w:firstLine="516" w:firstLineChars="215"/>
        <w:jc w:val="left"/>
        <w:rPr>
          <w:rFonts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w:t>
      </w:r>
    </w:p>
    <w:p w14:paraId="322BE39F">
      <w:pPr>
        <w:spacing w:line="600" w:lineRule="exact"/>
        <w:jc w:val="left"/>
        <w:rPr>
          <w:rFonts w:ascii="宋体" w:hAnsi="宋体" w:eastAsia="宋体" w:cs="宋体"/>
          <w:sz w:val="24"/>
          <w:szCs w:val="24"/>
          <w:u w:val="single"/>
        </w:rPr>
      </w:pPr>
      <w:r>
        <w:rPr>
          <w:rFonts w:hint="eastAsia" w:ascii="宋体" w:hAnsi="宋体" w:eastAsia="宋体" w:cs="宋体"/>
          <w:sz w:val="24"/>
          <w:szCs w:val="24"/>
          <w:u w:val="single"/>
        </w:rPr>
        <w:t xml:space="preserve"> 收到后5天内  </w:t>
      </w:r>
      <w:r>
        <w:rPr>
          <w:rFonts w:hint="eastAsia" w:ascii="宋体" w:hAnsi="宋体" w:eastAsia="宋体" w:cs="宋体"/>
          <w:sz w:val="24"/>
          <w:szCs w:val="24"/>
        </w:rPr>
        <w:t>。</w:t>
      </w:r>
    </w:p>
    <w:p w14:paraId="5BA9718D">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7.3 开工</w:t>
      </w:r>
    </w:p>
    <w:p w14:paraId="67CA0FE9">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7.3.1 开工准备</w:t>
      </w:r>
    </w:p>
    <w:p w14:paraId="09935A86">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4"/>
          <w:u w:val="single"/>
        </w:rPr>
        <w:t xml:space="preserve"> 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 xml:space="preserve">天 </w:t>
      </w:r>
      <w:r>
        <w:rPr>
          <w:rFonts w:hint="eastAsia" w:ascii="宋体" w:hAnsi="宋体" w:eastAsia="宋体" w:cs="宋体"/>
          <w:sz w:val="24"/>
          <w:szCs w:val="24"/>
        </w:rPr>
        <w:t>。</w:t>
      </w:r>
    </w:p>
    <w:p w14:paraId="535F657A">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667B7BA">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60E98E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7.3.2开工通知</w:t>
      </w:r>
    </w:p>
    <w:p w14:paraId="38DA3339">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180 </w:t>
      </w:r>
      <w:r>
        <w:rPr>
          <w:rFonts w:hint="eastAsia" w:ascii="宋体" w:hAnsi="宋体" w:eastAsia="宋体" w:cs="宋体"/>
          <w:sz w:val="24"/>
          <w:szCs w:val="24"/>
        </w:rPr>
        <w:t>天内发出开工通知的，承包人有权提出价格调整要求，或者解除合同。</w:t>
      </w:r>
    </w:p>
    <w:p w14:paraId="09E2273A">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7.4 测量放线</w:t>
      </w:r>
    </w:p>
    <w:p w14:paraId="542C4782">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开工前2天  </w:t>
      </w:r>
      <w:r>
        <w:rPr>
          <w:rFonts w:hint="eastAsia" w:ascii="宋体" w:hAnsi="宋体" w:eastAsia="宋体" w:cs="宋体"/>
          <w:sz w:val="24"/>
          <w:szCs w:val="24"/>
        </w:rPr>
        <w:t>。</w:t>
      </w:r>
    </w:p>
    <w:p w14:paraId="50E63908">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7.5 工期延误</w:t>
      </w:r>
    </w:p>
    <w:p w14:paraId="665E4E4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7.5.1 因发包人原因导致工期延误</w:t>
      </w:r>
    </w:p>
    <w:p w14:paraId="3CE06B9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（7）因发包人原因导致工期延误的其他情形：</w:t>
      </w:r>
    </w:p>
    <w:p w14:paraId="4956B14E">
      <w:pPr>
        <w:spacing w:line="600" w:lineRule="exact"/>
        <w:ind w:firstLine="480" w:firstLineChars="200"/>
        <w:jc w:val="left"/>
        <w:rPr>
          <w:rFonts w:ascii="宋体" w:hAnsi="宋体" w:eastAsia="宋体" w:cs="宋体"/>
          <w:color w:val="auto"/>
          <w:sz w:val="24"/>
          <w:szCs w:val="24"/>
          <w:u w:val="single"/>
        </w:rPr>
      </w:pPr>
      <w:r>
        <w:rPr>
          <w:rFonts w:hint="eastAsia" w:ascii="宋体" w:hAnsi="宋体" w:eastAsia="宋体" w:cs="宋体"/>
          <w:sz w:val="24"/>
          <w:szCs w:val="24"/>
          <w:u w:val="single"/>
        </w:rPr>
        <w:t>①重大设计变更而影响施工进度；</w:t>
      </w:r>
      <w:r>
        <w:rPr>
          <w:rFonts w:hint="default" w:ascii="Calibri" w:hAnsi="Calibri" w:eastAsia="宋体" w:cs="Calibri"/>
          <w:sz w:val="24"/>
          <w:szCs w:val="24"/>
          <w:u w:val="single"/>
        </w:rPr>
        <w:t>②</w:t>
      </w:r>
      <w:r>
        <w:rPr>
          <w:rFonts w:hint="eastAsia" w:ascii="宋体" w:hAnsi="宋体" w:eastAsia="宋体" w:cs="宋体"/>
          <w:sz w:val="24"/>
          <w:szCs w:val="24"/>
          <w:u w:val="single"/>
        </w:rPr>
        <w:t>政策处理问题影响施工进度；</w:t>
      </w:r>
      <w:r>
        <w:rPr>
          <w:rFonts w:hint="default" w:ascii="Calibri" w:hAnsi="Calibri" w:eastAsia="宋体" w:cs="Calibri"/>
          <w:sz w:val="24"/>
          <w:szCs w:val="24"/>
          <w:u w:val="single"/>
        </w:rPr>
        <w:t>③</w:t>
      </w:r>
      <w:r>
        <w:rPr>
          <w:rFonts w:hint="eastAsia" w:ascii="宋体" w:hAnsi="宋体" w:eastAsia="宋体" w:cs="宋体"/>
          <w:sz w:val="24"/>
          <w:szCs w:val="24"/>
          <w:u w:val="single"/>
        </w:rPr>
        <w:t>不可抗力。以上延误工期情形须在发生后7日内办理签证，逾期不予</w:t>
      </w:r>
      <w:r>
        <w:rPr>
          <w:rFonts w:hint="eastAsia" w:ascii="宋体" w:hAnsi="宋体" w:eastAsia="宋体" w:cs="宋体"/>
          <w:color w:val="auto"/>
          <w:sz w:val="24"/>
          <w:szCs w:val="24"/>
          <w:u w:val="single"/>
        </w:rPr>
        <w:t>认可</w:t>
      </w:r>
      <w:r>
        <w:rPr>
          <w:rFonts w:hint="eastAsia" w:ascii="宋体" w:hAnsi="宋体" w:eastAsia="宋体" w:cs="宋体"/>
          <w:color w:val="auto"/>
          <w:sz w:val="24"/>
          <w:szCs w:val="24"/>
          <w:u w:val="single"/>
          <w:lang w:eastAsia="zh-CN"/>
        </w:rPr>
        <w:t>（由于上述原因造成的延期，施工单位可暂停施工直至具备重新开工的条件，但发包人不予补偿任何费用）</w:t>
      </w:r>
      <w:r>
        <w:rPr>
          <w:rFonts w:hint="eastAsia" w:ascii="宋体" w:hAnsi="宋体" w:eastAsia="宋体" w:cs="宋体"/>
          <w:color w:val="auto"/>
          <w:sz w:val="24"/>
          <w:szCs w:val="24"/>
        </w:rPr>
        <w:t>。</w:t>
      </w:r>
    </w:p>
    <w:p w14:paraId="36C0458A">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7.5.2 因承包人原因导致工期延误</w:t>
      </w:r>
    </w:p>
    <w:p w14:paraId="57CC349D">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因承包人原因造成工期延误，逾期竣工违约金的计算方法为：</w:t>
      </w:r>
    </w:p>
    <w:p w14:paraId="62C7A871">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u w:val="single"/>
        </w:rPr>
        <w:t>承包人必须严格按监理及发包人核定的施工组织进度计划执行，并确保各节点完成日期。若达不到节点工期要求，每延误一次扣除违约金</w:t>
      </w:r>
      <w:r>
        <w:rPr>
          <w:rFonts w:hint="eastAsia" w:ascii="宋体" w:hAnsi="宋体" w:eastAsia="宋体" w:cs="宋体"/>
          <w:sz w:val="24"/>
          <w:szCs w:val="24"/>
          <w:u w:val="single"/>
          <w:lang w:val="en-US" w:eastAsia="zh-CN"/>
        </w:rPr>
        <w:t>1000</w:t>
      </w:r>
      <w:r>
        <w:rPr>
          <w:rFonts w:hint="eastAsia" w:ascii="宋体" w:hAnsi="宋体" w:eastAsia="宋体" w:cs="宋体"/>
          <w:sz w:val="24"/>
          <w:szCs w:val="24"/>
          <w:u w:val="single"/>
        </w:rPr>
        <w:t>元，承包人最终确保总工期如约完成。给发包人造成损失的，承包人还应当赔偿发包人的全部损失，发包人可以直接在未支付的工程价款中予以扣除</w:t>
      </w:r>
      <w:r>
        <w:rPr>
          <w:rFonts w:hint="eastAsia" w:ascii="宋体" w:hAnsi="宋体" w:eastAsia="宋体" w:cs="宋体"/>
          <w:sz w:val="24"/>
          <w:szCs w:val="24"/>
        </w:rPr>
        <w:t>。</w:t>
      </w:r>
    </w:p>
    <w:p w14:paraId="66EB9A4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4"/>
          <w:u w:val="single"/>
        </w:rPr>
        <w:t xml:space="preserve"> 不超过工程造价的</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0% </w:t>
      </w:r>
      <w:r>
        <w:rPr>
          <w:rFonts w:hint="eastAsia" w:ascii="宋体" w:hAnsi="宋体" w:eastAsia="宋体" w:cs="宋体"/>
          <w:sz w:val="24"/>
          <w:szCs w:val="24"/>
        </w:rPr>
        <w:t>。</w:t>
      </w:r>
    </w:p>
    <w:p w14:paraId="0C978EA9">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7.6 不利物质条件</w:t>
      </w:r>
    </w:p>
    <w:p w14:paraId="57991921">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施工过程中发现</w:t>
      </w:r>
      <w:r>
        <w:rPr>
          <w:rFonts w:hint="eastAsia" w:ascii="宋体" w:hAnsi="宋体" w:eastAsia="宋体" w:cs="宋体"/>
          <w:sz w:val="24"/>
          <w:szCs w:val="24"/>
          <w:u w:val="single"/>
          <w:lang w:eastAsia="zh-CN"/>
        </w:rPr>
        <w:t>实际施工情况</w:t>
      </w:r>
      <w:r>
        <w:rPr>
          <w:rFonts w:hint="eastAsia" w:ascii="宋体" w:hAnsi="宋体" w:eastAsia="宋体" w:cs="宋体"/>
          <w:sz w:val="24"/>
          <w:szCs w:val="24"/>
          <w:u w:val="single"/>
        </w:rPr>
        <w:t xml:space="preserve">与施工图设计不符的，由设计单位进行设计变更，按照设计变更结算办法进行结算 </w:t>
      </w:r>
      <w:r>
        <w:rPr>
          <w:rFonts w:hint="eastAsia" w:ascii="宋体" w:hAnsi="宋体" w:eastAsia="宋体" w:cs="宋体"/>
          <w:sz w:val="24"/>
          <w:szCs w:val="24"/>
        </w:rPr>
        <w:t>。</w:t>
      </w:r>
    </w:p>
    <w:p w14:paraId="2271C317">
      <w:pPr>
        <w:spacing w:after="120" w:line="600" w:lineRule="exact"/>
        <w:ind w:firstLine="480" w:firstLineChars="200"/>
        <w:rPr>
          <w:rFonts w:ascii="宋体" w:hAnsi="宋体" w:eastAsia="宋体" w:cs="宋体"/>
          <w:b/>
          <w:sz w:val="24"/>
          <w:szCs w:val="24"/>
        </w:rPr>
      </w:pPr>
      <w:r>
        <w:rPr>
          <w:rFonts w:hint="eastAsia" w:ascii="宋体" w:hAnsi="宋体" w:eastAsia="宋体" w:cs="宋体"/>
          <w:b/>
          <w:sz w:val="24"/>
          <w:szCs w:val="24"/>
        </w:rPr>
        <w:t>7.7异常恶劣的气候条件</w:t>
      </w:r>
    </w:p>
    <w:p w14:paraId="6B43E5AA">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39850194">
      <w:pPr>
        <w:spacing w:line="360" w:lineRule="auto"/>
        <w:ind w:firstLine="480" w:firstLineChars="200"/>
        <w:jc w:val="left"/>
        <w:rPr>
          <w:rFonts w:ascii="宋体" w:hAnsi="宋体" w:eastAsia="宋体" w:cs="宋体"/>
          <w:color w:val="auto"/>
          <w:sz w:val="24"/>
          <w:szCs w:val="24"/>
          <w:u w:val="single"/>
        </w:rPr>
      </w:pPr>
      <w:r>
        <w:rPr>
          <w:rFonts w:hint="eastAsia" w:ascii="宋体" w:hAnsi="宋体" w:eastAsia="宋体" w:cs="宋体"/>
          <w:sz w:val="24"/>
          <w:szCs w:val="24"/>
        </w:rPr>
        <w:t>（1）</w:t>
      </w:r>
      <w:r>
        <w:rPr>
          <w:rFonts w:hint="eastAsia" w:ascii="宋体" w:hAnsi="宋体" w:eastAsia="宋体" w:cs="宋体"/>
          <w:sz w:val="24"/>
          <w:szCs w:val="24"/>
          <w:u w:val="single"/>
        </w:rPr>
        <w:t>20年一遇及以上的风、雨、雪、洪、且对工程进度造成实质影响。以政府气象部门出具的证明文件为准</w:t>
      </w:r>
      <w:r>
        <w:rPr>
          <w:rFonts w:hint="eastAsia" w:ascii="宋体" w:hAnsi="宋体" w:eastAsia="宋体" w:cs="宋体"/>
          <w:sz w:val="24"/>
          <w:szCs w:val="24"/>
          <w:u w:val="single"/>
          <w:lang w:eastAsia="zh-CN"/>
        </w:rPr>
        <w:t>，</w:t>
      </w:r>
      <w:r>
        <w:rPr>
          <w:rFonts w:hint="eastAsia" w:cs="宋体" w:asciiTheme="minorEastAsia" w:hAnsiTheme="minorEastAsia" w:eastAsiaTheme="minorEastAsia"/>
          <w:sz w:val="24"/>
          <w:u w:val="single"/>
        </w:rPr>
        <w:t>出现以上情况，工期</w:t>
      </w:r>
      <w:r>
        <w:rPr>
          <w:rFonts w:hint="eastAsia" w:cs="宋体" w:asciiTheme="minorEastAsia" w:hAnsiTheme="minorEastAsia" w:eastAsiaTheme="minorEastAsia"/>
          <w:color w:val="auto"/>
          <w:sz w:val="24"/>
          <w:u w:val="single"/>
        </w:rPr>
        <w:t>相应顺延</w:t>
      </w:r>
      <w:r>
        <w:rPr>
          <w:rFonts w:hint="eastAsia" w:cs="宋体" w:asciiTheme="minorEastAsia" w:hAnsiTheme="minorEastAsia"/>
          <w:color w:val="auto"/>
          <w:sz w:val="24"/>
          <w:u w:val="single"/>
          <w:lang w:eastAsia="zh-CN"/>
        </w:rPr>
        <w:t>（</w:t>
      </w:r>
      <w:r>
        <w:rPr>
          <w:rFonts w:hint="eastAsia" w:ascii="宋体" w:hAnsi="宋体" w:eastAsia="宋体" w:cs="宋体"/>
          <w:color w:val="auto"/>
          <w:sz w:val="24"/>
          <w:szCs w:val="24"/>
          <w:u w:val="single"/>
          <w:lang w:eastAsia="zh-CN"/>
        </w:rPr>
        <w:t>施工单位可暂停施工直至具备重新开工的条件，但发包人不予补偿任何费用）</w:t>
      </w:r>
      <w:r>
        <w:rPr>
          <w:rFonts w:hint="eastAsia" w:ascii="宋体" w:hAnsi="宋体" w:eastAsia="宋体" w:cs="宋体"/>
          <w:color w:val="auto"/>
          <w:sz w:val="24"/>
          <w:szCs w:val="24"/>
        </w:rPr>
        <w:t>。</w:t>
      </w:r>
      <w:r>
        <w:rPr>
          <w:rFonts w:hint="eastAsia" w:cs="宋体" w:asciiTheme="minorEastAsia" w:hAnsiTheme="minorEastAsia" w:eastAsiaTheme="minorEastAsia"/>
          <w:color w:val="auto"/>
          <w:sz w:val="24"/>
        </w:rPr>
        <w:t>。</w:t>
      </w:r>
    </w:p>
    <w:p w14:paraId="42D59F3C">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3ABED2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28C7E64">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7.9 提前竣工的奖励</w:t>
      </w:r>
    </w:p>
    <w:p w14:paraId="40FFFF55">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398E581">
      <w:pPr>
        <w:spacing w:line="600" w:lineRule="exact"/>
        <w:ind w:firstLine="480"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8.</w:t>
      </w:r>
      <w:r>
        <w:rPr>
          <w:rFonts w:hint="eastAsia" w:ascii="宋体" w:hAnsi="宋体" w:eastAsia="宋体" w:cs="宋体"/>
          <w:b/>
          <w:bCs/>
          <w:sz w:val="24"/>
          <w:szCs w:val="24"/>
        </w:rPr>
        <w:t>材料与设备</w:t>
      </w:r>
    </w:p>
    <w:p w14:paraId="29DF6E8E">
      <w:pPr>
        <w:numPr>
          <w:ilvl w:val="0"/>
          <w:numId w:val="0"/>
        </w:numPr>
        <w:spacing w:line="360" w:lineRule="auto"/>
        <w:ind w:leftChars="0"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8.1发包人有权对主要材料（设备）品牌和产地进行确认。履约过程中，承包人应将主要材料（设备）品牌报监理和发包人选择确认，并经发包人同意签字后方可使用，主要材料（设备）需经监理和发包人共同签字同意后方可使用。在施工期间，发包人可根据需要要求承包人更换材料（设备）品牌，竣工结算时据实调整，承包方需无条件配合。</w:t>
      </w:r>
    </w:p>
    <w:p w14:paraId="0576AC2B">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8.2 承包人采购材料与工程设备</w:t>
      </w:r>
    </w:p>
    <w:p w14:paraId="3737345F">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8.2.1 承包人承包范围内提供的材料和设备均由承包人自行采购。承包人采购的材料和设备应符合设计文件、招标文件的要求。合同执行过程中，发包人将对承包人提供的材料和设备进行确认，发包人有权更换不符合要求的材料和设备，承包人应无条件接受，费用不予调整。</w:t>
      </w:r>
    </w:p>
    <w:p w14:paraId="2F4FA9F6">
      <w:pPr>
        <w:spacing w:line="360" w:lineRule="auto"/>
        <w:ind w:firstLine="480" w:firstLineChars="200"/>
        <w:jc w:val="left"/>
        <w:rPr>
          <w:rFonts w:hint="eastAsia" w:ascii="宋体" w:hAnsi="宋体" w:eastAsia="宋体" w:cs="宋体"/>
          <w:b/>
          <w:bCs/>
          <w:sz w:val="24"/>
          <w:szCs w:val="24"/>
        </w:rPr>
      </w:pPr>
      <w:r>
        <w:rPr>
          <w:rFonts w:hint="eastAsia" w:cs="宋体" w:asciiTheme="minorEastAsia" w:hAnsiTheme="minorEastAsia" w:eastAsiaTheme="minorEastAsia"/>
          <w:sz w:val="24"/>
        </w:rPr>
        <w:t>8.</w:t>
      </w:r>
      <w:r>
        <w:rPr>
          <w:rFonts w:hint="eastAsia" w:cs="宋体" w:asciiTheme="minorEastAsia" w:hAnsiTheme="minorEastAsia"/>
          <w:sz w:val="24"/>
          <w:lang w:val="en-US" w:eastAsia="zh-CN"/>
        </w:rPr>
        <w:t>3</w:t>
      </w:r>
      <w:r>
        <w:rPr>
          <w:rFonts w:hint="eastAsia" w:cs="宋体" w:asciiTheme="minorEastAsia" w:hAnsiTheme="minorEastAsia" w:eastAsiaTheme="minorEastAsia"/>
          <w:sz w:val="24"/>
        </w:rPr>
        <w:t>在项目实施阶段，如承包人提供的材料设备未达到设计及发包人的要求，或采购供应影响了工程进度，发包人保留采购材料设备的权利，有权要求更换所选用的材料设备的生产厂家，或自行采购，即发包人有权采购后交承包人使用，承包人应无条件接受，采购的材料设备费用从承包人中标合同价款中扣减。</w:t>
      </w:r>
    </w:p>
    <w:p w14:paraId="0686DE4C">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8.4材料与工程设备的保管与使用</w:t>
      </w:r>
    </w:p>
    <w:p w14:paraId="4F0402FE">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sz w:val="24"/>
          <w:szCs w:val="24"/>
          <w:u w:val="single"/>
        </w:rPr>
        <w:t xml:space="preserve"> 由承包人承担  </w:t>
      </w:r>
      <w:r>
        <w:rPr>
          <w:rFonts w:hint="eastAsia" w:ascii="宋体" w:hAnsi="宋体" w:eastAsia="宋体" w:cs="宋体"/>
          <w:sz w:val="24"/>
          <w:szCs w:val="24"/>
        </w:rPr>
        <w:t>。</w:t>
      </w:r>
    </w:p>
    <w:p w14:paraId="62D15108">
      <w:pPr>
        <w:spacing w:after="120"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8.6 样品</w:t>
      </w:r>
      <w:r>
        <w:rPr>
          <w:rFonts w:hint="eastAsia" w:ascii="宋体" w:hAnsi="宋体" w:eastAsia="宋体" w:cs="宋体"/>
          <w:sz w:val="24"/>
          <w:szCs w:val="24"/>
          <w:lang w:val="en-US" w:eastAsia="zh-CN"/>
        </w:rPr>
        <w:t xml:space="preserve">    </w:t>
      </w:r>
    </w:p>
    <w:p w14:paraId="4AE34F92">
      <w:pPr>
        <w:autoSpaceDE w:val="0"/>
        <w:autoSpaceDN w:val="0"/>
        <w:adjustRightInd w:val="0"/>
        <w:spacing w:line="360" w:lineRule="auto"/>
        <w:ind w:firstLine="480" w:firstLineChars="200"/>
        <w:jc w:val="left"/>
        <w:rPr>
          <w:rFonts w:hint="default" w:ascii="宋体" w:hAnsi="宋体" w:eastAsia="宋体" w:cs="宋体"/>
          <w:sz w:val="24"/>
          <w:szCs w:val="24"/>
          <w:highlight w:val="yellow"/>
          <w:lang w:val="en-US" w:eastAsia="zh-CN"/>
        </w:rPr>
      </w:pPr>
      <w:r>
        <w:rPr>
          <w:rFonts w:hint="eastAsia" w:ascii="宋体" w:hAnsi="宋体" w:eastAsia="宋体" w:cs="宋体"/>
          <w:sz w:val="24"/>
          <w:szCs w:val="24"/>
        </w:rPr>
        <w:t>8.6.1 样品的报送与封存需要承包人报送样品的材料或工程设备，样品的种类、名称、规格、数量要求：</w:t>
      </w:r>
      <w:r>
        <w:rPr>
          <w:rFonts w:hint="eastAsia" w:ascii="宋体" w:hAnsi="宋体" w:eastAsia="宋体" w:cs="宋体"/>
          <w:sz w:val="24"/>
          <w:szCs w:val="24"/>
          <w:u w:val="single"/>
          <w:lang w:val="en-US" w:eastAsia="zh-CN"/>
        </w:rPr>
        <w:t xml:space="preserve">  </w:t>
      </w:r>
      <w:r>
        <w:rPr>
          <w:rFonts w:hint="eastAsia" w:cs="宋体" w:asciiTheme="minorEastAsia" w:hAnsiTheme="minorEastAsia" w:eastAsiaTheme="minorEastAsia"/>
          <w:sz w:val="24"/>
          <w:u w:val="single"/>
        </w:rPr>
        <w:t>样品一式</w:t>
      </w:r>
      <w:r>
        <w:rPr>
          <w:rFonts w:hint="eastAsia" w:cs="宋体" w:asciiTheme="minorEastAsia" w:hAnsiTheme="minorEastAsia"/>
          <w:sz w:val="24"/>
          <w:u w:val="single"/>
          <w:lang w:eastAsia="zh-CN"/>
        </w:rPr>
        <w:t>壹</w:t>
      </w:r>
      <w:r>
        <w:rPr>
          <w:rFonts w:hint="eastAsia" w:cs="宋体" w:asciiTheme="minorEastAsia" w:hAnsiTheme="minorEastAsia" w:eastAsiaTheme="minorEastAsia"/>
          <w:sz w:val="24"/>
          <w:u w:val="single"/>
        </w:rPr>
        <w:t>份报送监理单位，验收合格后封存于发包人指定场所</w:t>
      </w:r>
      <w:r>
        <w:rPr>
          <w:rFonts w:hint="eastAsia" w:cs="宋体" w:asciiTheme="minorEastAsia" w:hAnsiTheme="minorEastAsia" w:eastAsiaTheme="minorEastAsia"/>
          <w:sz w:val="24"/>
        </w:rPr>
        <w:t>。</w:t>
      </w:r>
    </w:p>
    <w:p w14:paraId="38CAB951">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8.8 施工设备和临时设施</w:t>
      </w:r>
    </w:p>
    <w:p w14:paraId="6A11E5E1">
      <w:pPr>
        <w:autoSpaceDE w:val="0"/>
        <w:autoSpaceDN w:val="0"/>
        <w:adjustRightIn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8.8.1 承包人提供的施工设备和临时设施</w:t>
      </w:r>
    </w:p>
    <w:p w14:paraId="270372E2">
      <w:pPr>
        <w:autoSpaceDE w:val="0"/>
        <w:autoSpaceDN w:val="0"/>
        <w:adjustRightInd w:val="0"/>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承包人应自行负责修建施工场地范围内的临时设施，承包人搭建的临时设施应服从发包人的整体安排，费用由承包人承担；场地内共用的临时设施由发包人指定一方承包人承建和管理，费用由各方按签约合同价的比例分摊</w:t>
      </w:r>
      <w:r>
        <w:rPr>
          <w:rFonts w:hint="eastAsia" w:ascii="宋体" w:hAnsi="宋体" w:eastAsia="宋体" w:cs="宋体"/>
          <w:sz w:val="24"/>
          <w:szCs w:val="24"/>
        </w:rPr>
        <w:t>。</w:t>
      </w:r>
    </w:p>
    <w:p w14:paraId="662FE733">
      <w:pPr>
        <w:keepNext/>
        <w:keepLines/>
        <w:spacing w:before="120" w:after="120" w:line="60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9. 试验与检验</w:t>
      </w:r>
    </w:p>
    <w:p w14:paraId="59D7039C">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9.1试验设备与试验人员</w:t>
      </w:r>
    </w:p>
    <w:p w14:paraId="54B3C66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9.1.2 试验设备</w:t>
      </w:r>
    </w:p>
    <w:p w14:paraId="4C0C04F7">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施工现场需要配置的试验场所：</w:t>
      </w:r>
      <w:r>
        <w:rPr>
          <w:rFonts w:hint="eastAsia" w:ascii="宋体" w:hAnsi="宋体" w:eastAsia="宋体" w:cs="宋体"/>
          <w:sz w:val="24"/>
          <w:szCs w:val="24"/>
          <w:u w:val="single"/>
        </w:rPr>
        <w:t xml:space="preserve">  按照质量监督部门及监理单位要求  </w:t>
      </w:r>
      <w:r>
        <w:rPr>
          <w:rFonts w:hint="eastAsia" w:ascii="宋体" w:hAnsi="宋体" w:eastAsia="宋体" w:cs="宋体"/>
          <w:sz w:val="24"/>
          <w:szCs w:val="24"/>
        </w:rPr>
        <w:t xml:space="preserve">。 </w:t>
      </w:r>
    </w:p>
    <w:p w14:paraId="29D62D49">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按照质量监督部门及监理单位要求  </w:t>
      </w:r>
      <w:r>
        <w:rPr>
          <w:rFonts w:hint="eastAsia" w:ascii="宋体" w:hAnsi="宋体" w:eastAsia="宋体" w:cs="宋体"/>
          <w:sz w:val="24"/>
          <w:szCs w:val="24"/>
        </w:rPr>
        <w:t>。</w:t>
      </w:r>
    </w:p>
    <w:p w14:paraId="42558628">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按照质量监督部门及监理单位要求  </w:t>
      </w:r>
      <w:r>
        <w:rPr>
          <w:rFonts w:hint="eastAsia" w:ascii="宋体" w:hAnsi="宋体" w:eastAsia="宋体" w:cs="宋体"/>
          <w:sz w:val="24"/>
          <w:szCs w:val="24"/>
        </w:rPr>
        <w:t>。</w:t>
      </w:r>
    </w:p>
    <w:p w14:paraId="1A16F5B9">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9.4 现场工艺试验 </w:t>
      </w:r>
    </w:p>
    <w:p w14:paraId="546FFA13">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按照质量监督部门及监理单位要求  </w:t>
      </w:r>
      <w:r>
        <w:rPr>
          <w:rFonts w:hint="eastAsia" w:ascii="宋体" w:hAnsi="宋体" w:eastAsia="宋体" w:cs="宋体"/>
          <w:sz w:val="24"/>
          <w:szCs w:val="24"/>
        </w:rPr>
        <w:t>。</w:t>
      </w:r>
    </w:p>
    <w:p w14:paraId="44198B25">
      <w:pPr>
        <w:keepNext/>
        <w:keepLines/>
        <w:spacing w:before="120" w:after="120" w:line="60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10. 变更</w:t>
      </w:r>
    </w:p>
    <w:p w14:paraId="45A71D7F">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10.1变更的范围</w:t>
      </w:r>
    </w:p>
    <w:p w14:paraId="1B72DC7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关于变更的范围的约定：</w:t>
      </w:r>
      <w:r>
        <w:rPr>
          <w:rFonts w:hint="eastAsia" w:ascii="宋体" w:hAnsi="宋体" w:eastAsia="宋体" w:cs="宋体"/>
          <w:sz w:val="24"/>
          <w:szCs w:val="24"/>
          <w:u w:val="single"/>
        </w:rPr>
        <w:t>增加或减少合同中任何工作，或追加额外的工作；改变合同中任何工作的质量标准或其他特性。最终工程量以实结算。变更引起的价格调整，施工阶段不予支付，待审核结算结束，按审核结算数额支付</w:t>
      </w:r>
      <w:r>
        <w:rPr>
          <w:rFonts w:hint="eastAsia" w:ascii="宋体" w:hAnsi="宋体" w:eastAsia="宋体" w:cs="宋体"/>
          <w:sz w:val="24"/>
          <w:szCs w:val="24"/>
        </w:rPr>
        <w:t>。</w:t>
      </w:r>
    </w:p>
    <w:p w14:paraId="31D794AC">
      <w:pPr>
        <w:spacing w:line="360" w:lineRule="auto"/>
        <w:ind w:firstLine="480" w:firstLineChars="200"/>
        <w:jc w:val="left"/>
        <w:rPr>
          <w:rFonts w:cs="宋体" w:asciiTheme="minorEastAsia" w:hAnsiTheme="minorEastAsia" w:eastAsiaTheme="minorEastAsia"/>
          <w:sz w:val="24"/>
        </w:rPr>
      </w:pPr>
      <w:r>
        <w:rPr>
          <w:rFonts w:hint="eastAsia" w:ascii="宋体" w:hAnsi="宋体" w:eastAsia="宋体" w:cs="宋体"/>
          <w:sz w:val="24"/>
          <w:szCs w:val="24"/>
          <w:lang w:val="en-US" w:eastAsia="zh-CN"/>
        </w:rPr>
        <w:t>10.1.1</w:t>
      </w:r>
      <w:r>
        <w:rPr>
          <w:rFonts w:hint="eastAsia" w:cs="宋体" w:asciiTheme="minorEastAsia" w:hAnsiTheme="minorEastAsia" w:eastAsiaTheme="minorEastAsia"/>
          <w:sz w:val="24"/>
          <w:u w:val="single"/>
        </w:rPr>
        <w:t>承包人如需对设计图纸进行变更，须经发包人及设计单位同意</w:t>
      </w:r>
      <w:r>
        <w:rPr>
          <w:rFonts w:hint="eastAsia" w:cs="宋体" w:asciiTheme="minorEastAsia" w:hAnsiTheme="minorEastAsia" w:eastAsiaTheme="minorEastAsia"/>
          <w:sz w:val="24"/>
        </w:rPr>
        <w:t>。</w:t>
      </w:r>
    </w:p>
    <w:p w14:paraId="5A2E5278">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sz w:val="24"/>
        </w:rPr>
        <w:t>10.1.</w:t>
      </w:r>
      <w:r>
        <w:rPr>
          <w:rFonts w:hint="eastAsia" w:cs="宋体" w:asciiTheme="minorEastAsia" w:hAnsiTheme="minorEastAsia"/>
          <w:color w:val="auto"/>
          <w:sz w:val="24"/>
          <w:lang w:val="en-US" w:eastAsia="zh-CN"/>
        </w:rPr>
        <w:t>2</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u w:val="single"/>
        </w:rPr>
        <w:t>因承包人施工质量问题或施工安排不当导致设计变更而发生的费用，均由承包人承担，工期不予顺延</w:t>
      </w:r>
      <w:r>
        <w:rPr>
          <w:rFonts w:hint="eastAsia" w:cs="宋体" w:asciiTheme="minorEastAsia" w:hAnsiTheme="minorEastAsia" w:eastAsiaTheme="minorEastAsia"/>
          <w:color w:val="auto"/>
          <w:sz w:val="24"/>
        </w:rPr>
        <w:t>。</w:t>
      </w:r>
    </w:p>
    <w:p w14:paraId="55D41652">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sz w:val="24"/>
          <w:lang w:val="en-US" w:eastAsia="zh-CN"/>
        </w:rPr>
        <w:t>3</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如深化图纸或技术施工方案由承包人进行设计，因设计质量问题引起的责任由承包人负责</w:t>
      </w:r>
      <w:r>
        <w:rPr>
          <w:rFonts w:hint="eastAsia" w:cs="宋体" w:asciiTheme="minorEastAsia" w:hAnsiTheme="minorEastAsia" w:eastAsiaTheme="minorEastAsia"/>
          <w:sz w:val="24"/>
        </w:rPr>
        <w:t>。</w:t>
      </w:r>
    </w:p>
    <w:p w14:paraId="731F1984">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sz w:val="24"/>
          <w:lang w:val="en-US" w:eastAsia="zh-CN"/>
        </w:rPr>
        <w:t>4</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除经发包人同意（书面确认）外，承包人不得擅自作出设计变更（特殊情况下，承包人作出的特殊工程处理应报发包人书面追认）</w:t>
      </w:r>
      <w:r>
        <w:rPr>
          <w:rFonts w:hint="eastAsia" w:cs="宋体" w:asciiTheme="minorEastAsia" w:hAnsiTheme="minorEastAsia" w:eastAsiaTheme="minorEastAsia"/>
          <w:sz w:val="24"/>
        </w:rPr>
        <w:t>。</w:t>
      </w:r>
    </w:p>
    <w:p w14:paraId="282CBC68">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sz w:val="24"/>
          <w:lang w:val="en-US" w:eastAsia="zh-CN"/>
        </w:rPr>
        <w:t>5</w:t>
      </w:r>
      <w:r>
        <w:rPr>
          <w:rFonts w:hint="eastAsia" w:cs="宋体" w:asciiTheme="minorEastAsia" w:hAnsiTheme="minorEastAsia" w:eastAsiaTheme="minorEastAsia"/>
          <w:sz w:val="24"/>
          <w:u w:val="single"/>
        </w:rPr>
        <w:t>本合同内“设计变更”一词意指合同文件所描绘或说明的工程在设计、品质和数量上的改变，包括工程数量的改变，其供应的物料的类别、标准的改变，各已完成或送抵工地的工作或物料的拆除及迁离（不合规格的工作或物料除外）</w:t>
      </w:r>
      <w:r>
        <w:rPr>
          <w:rFonts w:hint="eastAsia" w:cs="宋体" w:asciiTheme="minorEastAsia" w:hAnsiTheme="minorEastAsia" w:eastAsiaTheme="minorEastAsia"/>
          <w:sz w:val="24"/>
        </w:rPr>
        <w:t>。</w:t>
      </w:r>
    </w:p>
    <w:p w14:paraId="402D5580">
      <w:pPr>
        <w:spacing w:line="360" w:lineRule="auto"/>
        <w:ind w:firstLine="480" w:firstLineChars="200"/>
        <w:jc w:val="left"/>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10.1.</w:t>
      </w:r>
      <w:r>
        <w:rPr>
          <w:rFonts w:hint="eastAsia" w:cs="宋体" w:asciiTheme="minorEastAsia" w:hAnsiTheme="minorEastAsia"/>
          <w:sz w:val="24"/>
          <w:lang w:val="en-US" w:eastAsia="zh-CN"/>
        </w:rPr>
        <w:t>6</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现场签证（含设计变更签证、增减工程量签证）按照相关规范程序执行</w:t>
      </w:r>
    </w:p>
    <w:p w14:paraId="3AAC0DF5">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10.4 变更估价</w:t>
      </w:r>
    </w:p>
    <w:p w14:paraId="1E1FC41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10.4.1 变更估价原则</w:t>
      </w:r>
    </w:p>
    <w:p w14:paraId="13F57157">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关于变更估价的约定:</w:t>
      </w:r>
      <w:r>
        <w:rPr>
          <w:rFonts w:hint="eastAsia" w:ascii="宋体" w:hAnsi="宋体" w:eastAsia="宋体" w:cs="宋体"/>
          <w:sz w:val="24"/>
          <w:szCs w:val="24"/>
          <w:u w:val="single"/>
        </w:rPr>
        <w:t xml:space="preserve">  按专用条款12.1执行  </w:t>
      </w:r>
      <w:r>
        <w:rPr>
          <w:rFonts w:hint="eastAsia" w:ascii="宋体" w:hAnsi="宋体" w:eastAsia="宋体" w:cs="宋体"/>
          <w:sz w:val="24"/>
          <w:szCs w:val="24"/>
        </w:rPr>
        <w:t>。</w:t>
      </w:r>
    </w:p>
    <w:p w14:paraId="49F9C4D8">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10.5承包人的合理化建议</w:t>
      </w:r>
    </w:p>
    <w:p w14:paraId="565E24DC">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1FFFB16">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7901658">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90575EF">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10.7 暂估价</w:t>
      </w:r>
    </w:p>
    <w:p w14:paraId="71AE1ED8">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暂估价材料和工程设备的明细详见附件11：《暂估价一览表》。</w:t>
      </w:r>
    </w:p>
    <w:p w14:paraId="021ADD1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10.7.1 依法必须招标的暂估价项目</w:t>
      </w:r>
    </w:p>
    <w:p w14:paraId="32DB4987">
      <w:pPr>
        <w:spacing w:line="600" w:lineRule="exact"/>
        <w:ind w:firstLine="560" w:firstLineChars="200"/>
        <w:jc w:val="left"/>
        <w:rPr>
          <w:rFonts w:ascii="宋体" w:hAnsi="宋体" w:eastAsia="宋体" w:cs="宋体"/>
          <w:sz w:val="24"/>
          <w:szCs w:val="24"/>
        </w:rPr>
      </w:pPr>
      <w:r>
        <w:rPr>
          <w:rFonts w:hint="eastAsia" w:ascii="宋体" w:hAnsi="宋体" w:eastAsia="宋体" w:cs="宋体"/>
          <w:spacing w:val="20"/>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14:paraId="3A8DF8A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10.7.2 不属于依法必须招标的暂估价项目</w:t>
      </w:r>
    </w:p>
    <w:p w14:paraId="621E3A9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种方式确定。</w:t>
      </w:r>
    </w:p>
    <w:p w14:paraId="428DA7EB">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第3种方式：承包人直接实施的暂估价项目</w:t>
      </w:r>
    </w:p>
    <w:p w14:paraId="4021B9A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FC0B6E4">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10.8 暂列金额</w:t>
      </w:r>
    </w:p>
    <w:p w14:paraId="317E1A9D">
      <w:pPr>
        <w:ind w:firstLine="480" w:firstLineChars="200"/>
        <w:rPr>
          <w:rFonts w:ascii="宋体" w:hAnsi="宋体" w:eastAsia="宋体" w:cs="宋体"/>
          <w:color w:val="auto"/>
          <w:sz w:val="24"/>
          <w:szCs w:val="24"/>
        </w:rPr>
      </w:pPr>
      <w:r>
        <w:rPr>
          <w:rFonts w:hint="eastAsia" w:ascii="宋体" w:hAnsi="宋体" w:eastAsia="宋体" w:cs="宋体"/>
          <w:sz w:val="24"/>
          <w:szCs w:val="24"/>
        </w:rPr>
        <w:t>合同当事人关于暂列金额使用</w:t>
      </w:r>
      <w:r>
        <w:rPr>
          <w:rFonts w:hint="eastAsia" w:ascii="宋体" w:hAnsi="宋体" w:eastAsia="宋体" w:cs="宋体"/>
          <w:color w:val="auto"/>
          <w:sz w:val="24"/>
          <w:szCs w:val="24"/>
        </w:rPr>
        <w:t>的约定：</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lang w:val="en-US" w:eastAsia="zh-CN"/>
        </w:rPr>
        <w:t>暂列金额定为99973.65元，主要考虑用于零星维修及小区电梯使用配套费等项目（包括但不限于洞口拆除、恢复、垃圾清运等相关工作）。</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也</w:t>
      </w:r>
      <w:r>
        <w:rPr>
          <w:rFonts w:hint="eastAsia" w:ascii="宋体" w:hAnsi="宋体" w:eastAsia="宋体" w:cs="宋体"/>
          <w:i w:val="0"/>
          <w:iCs w:val="0"/>
          <w:caps w:val="0"/>
          <w:color w:val="auto"/>
          <w:spacing w:val="0"/>
          <w:sz w:val="24"/>
          <w:szCs w:val="24"/>
          <w:u w:val="single"/>
          <w:shd w:val="clear" w:fill="F4F4F4"/>
        </w:rPr>
        <w:t>用于施工合同签订时尚未确定或者不可预见的所需材料、设备、服务的采购，施工中可能发生的工程变更、合同约定调整因素出现时的工程价款调整以及发生的索赔、现场签证确认等的费用</w:t>
      </w:r>
      <w:r>
        <w:rPr>
          <w:rFonts w:hint="eastAsia" w:ascii="宋体" w:hAnsi="宋体" w:eastAsia="宋体" w:cs="宋体"/>
          <w:i w:val="0"/>
          <w:iCs w:val="0"/>
          <w:caps w:val="0"/>
          <w:color w:val="auto"/>
          <w:spacing w:val="0"/>
          <w:sz w:val="24"/>
          <w:szCs w:val="24"/>
          <w:u w:val="single"/>
          <w:shd w:val="clear" w:fill="F4F4F4"/>
          <w:lang w:eastAsia="zh-CN"/>
        </w:rPr>
        <w:t>。</w:t>
      </w:r>
    </w:p>
    <w:p w14:paraId="794A3F58">
      <w:pPr>
        <w:keepNext/>
        <w:keepLines/>
        <w:spacing w:before="120" w:after="120" w:line="600" w:lineRule="exact"/>
        <w:ind w:firstLine="417" w:firstLineChars="174"/>
        <w:outlineLvl w:val="3"/>
        <w:rPr>
          <w:rFonts w:ascii="宋体" w:hAnsi="宋体" w:eastAsia="宋体" w:cs="宋体"/>
          <w:b/>
          <w:bCs/>
          <w:sz w:val="24"/>
          <w:szCs w:val="24"/>
        </w:rPr>
      </w:pPr>
      <w:r>
        <w:rPr>
          <w:rFonts w:hint="eastAsia" w:ascii="宋体" w:hAnsi="宋体" w:eastAsia="宋体" w:cs="宋体"/>
          <w:b/>
          <w:bCs/>
          <w:sz w:val="24"/>
          <w:szCs w:val="24"/>
        </w:rPr>
        <w:t>11. 价格调整</w:t>
      </w:r>
    </w:p>
    <w:p w14:paraId="49893007">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11.1 市场价格波动引起的调整</w:t>
      </w:r>
    </w:p>
    <w:p w14:paraId="1E6F2850">
      <w:pPr>
        <w:spacing w:line="600" w:lineRule="exact"/>
        <w:ind w:firstLine="480" w:firstLineChars="200"/>
        <w:jc w:val="left"/>
        <w:rPr>
          <w:rFonts w:ascii="宋体" w:hAnsi="宋体" w:eastAsia="宋体" w:cs="宋体"/>
          <w:color w:val="auto"/>
          <w:sz w:val="24"/>
          <w:szCs w:val="24"/>
        </w:rPr>
      </w:pPr>
      <w:r>
        <w:rPr>
          <w:rFonts w:hint="eastAsia" w:ascii="宋体" w:hAnsi="宋体" w:eastAsia="宋体" w:cs="宋体"/>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合同约定的85%（含85%）工程量范围内不调整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6EB05A6">
      <w:pPr>
        <w:spacing w:line="600" w:lineRule="exact"/>
        <w:ind w:firstLine="480" w:firstLineChars="200"/>
        <w:jc w:val="left"/>
        <w:rPr>
          <w:rFonts w:ascii="宋体" w:hAnsi="宋体" w:eastAsia="宋体" w:cs="宋体"/>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种方式对合同价</w:t>
      </w:r>
      <w:r>
        <w:rPr>
          <w:rFonts w:hint="eastAsia" w:ascii="宋体" w:hAnsi="宋体" w:eastAsia="宋体" w:cs="宋体"/>
          <w:sz w:val="24"/>
          <w:szCs w:val="24"/>
        </w:rPr>
        <w:t>格进行调整：</w:t>
      </w:r>
    </w:p>
    <w:p w14:paraId="25976EC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第1种方式：采用价格指数进行价格调整。</w:t>
      </w:r>
    </w:p>
    <w:p w14:paraId="368AA3B2">
      <w:pPr>
        <w:spacing w:line="600" w:lineRule="exact"/>
        <w:ind w:left="119" w:leftChars="57" w:firstLine="340" w:firstLineChars="142"/>
        <w:jc w:val="left"/>
        <w:rPr>
          <w:rFonts w:ascii="宋体" w:hAnsi="宋体" w:eastAsia="宋体" w:cs="宋体"/>
          <w:sz w:val="24"/>
          <w:szCs w:val="24"/>
          <w:u w:val="single"/>
        </w:rPr>
      </w:pPr>
      <w:r>
        <w:rPr>
          <w:rFonts w:hint="eastAsia" w:ascii="宋体" w:hAnsi="宋体" w:eastAsia="宋体" w:cs="宋体"/>
          <w:sz w:val="24"/>
          <w:szCs w:val="24"/>
        </w:rPr>
        <w:t>关于各可调因子、定值和变值权重，以及基本价格指数及其来源的约定：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0AC5F2">
      <w:pPr>
        <w:spacing w:line="6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第2种方式：采用造价信息进行价格调整</w:t>
      </w:r>
      <w:r>
        <w:rPr>
          <w:rFonts w:hint="eastAsia" w:ascii="宋体" w:hAnsi="宋体" w:eastAsia="宋体" w:cs="宋体"/>
          <w:sz w:val="24"/>
          <w:szCs w:val="24"/>
          <w:highlight w:val="none"/>
          <w:lang w:eastAsia="zh-CN"/>
        </w:rPr>
        <w:t>，按施工当期三门峡市住房和城乡建设局发布的造价信息进行调整</w:t>
      </w:r>
      <w:r>
        <w:rPr>
          <w:rFonts w:hint="eastAsia" w:ascii="宋体" w:hAnsi="宋体" w:eastAsia="宋体" w:cs="宋体"/>
          <w:sz w:val="24"/>
          <w:szCs w:val="24"/>
          <w:highlight w:val="none"/>
        </w:rPr>
        <w:t>。</w:t>
      </w:r>
    </w:p>
    <w:p w14:paraId="21489EB3">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（2）关于基准价格的约定：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DF539F8">
      <w:pPr>
        <w:spacing w:line="620" w:lineRule="exact"/>
        <w:ind w:firstLine="480" w:firstLineChars="200"/>
        <w:rPr>
          <w:rFonts w:ascii="宋体" w:hAnsi="宋体" w:eastAsia="宋体" w:cs="宋体"/>
          <w:color w:val="auto"/>
          <w:sz w:val="24"/>
          <w:szCs w:val="24"/>
        </w:rPr>
      </w:pPr>
      <w:r>
        <w:rPr>
          <w:rFonts w:hint="eastAsia" w:ascii="宋体" w:hAnsi="宋体" w:eastAsia="宋体" w:cs="宋体"/>
          <w:sz w:val="24"/>
          <w:szCs w:val="24"/>
        </w:rPr>
        <w:t>第3种方式：其他价格调整方式：</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rPr>
        <w:t xml:space="preserve"> </w:t>
      </w:r>
      <w:r>
        <w:rPr>
          <w:rFonts w:hint="eastAsia" w:asciiTheme="majorEastAsia" w:hAnsiTheme="majorEastAsia" w:eastAsiaTheme="majorEastAsia" w:cstheme="majorEastAsia"/>
          <w:b/>
          <w:bCs/>
          <w:color w:val="auto"/>
          <w:sz w:val="24"/>
          <w:szCs w:val="24"/>
          <w:highlight w:val="none"/>
          <w:u w:val="single"/>
          <w:lang w:eastAsia="zh-CN"/>
        </w:rPr>
        <w:t>如因保障房租户不在家（无法开门）等原因导致不能安装该户推拉门，则从施工合同约定的开工日期往后</w:t>
      </w:r>
      <w:r>
        <w:rPr>
          <w:rFonts w:hint="eastAsia" w:asciiTheme="majorEastAsia" w:hAnsiTheme="majorEastAsia" w:eastAsiaTheme="majorEastAsia" w:cstheme="majorEastAsia"/>
          <w:b/>
          <w:bCs/>
          <w:color w:val="auto"/>
          <w:sz w:val="24"/>
          <w:szCs w:val="24"/>
          <w:highlight w:val="none"/>
          <w:u w:val="single"/>
          <w:lang w:val="en-US" w:eastAsia="zh-CN"/>
        </w:rPr>
        <w:t>180日历天以外，该部分不能安装的推拉门累计数量达到总安装推拉门数量（2548户）的15%（含15%）时，那么该部分推拉门可以按照能够安装的施工当期定额价（如有）或市场价（由中标单位报出施工当期与设计要求同材质的推拉门市场价、采购人报请三门峡市财政评审中心评审后确定该价格）然后调整与中标综合单价的差价（包括但不限于</w:t>
      </w:r>
      <w:r>
        <w:rPr>
          <w:rFonts w:hint="eastAsia" w:asciiTheme="majorEastAsia" w:hAnsiTheme="majorEastAsia" w:eastAsiaTheme="majorEastAsia" w:cstheme="majorEastAsia"/>
          <w:b/>
          <w:bCs/>
          <w:color w:val="auto"/>
          <w:sz w:val="24"/>
          <w:szCs w:val="24"/>
          <w:highlight w:val="none"/>
          <w:u w:val="single"/>
          <w:lang w:eastAsia="zh-CN"/>
        </w:rPr>
        <w:t>人工费、材料费及机械使用费等）</w:t>
      </w:r>
      <w:r>
        <w:rPr>
          <w:rFonts w:hint="eastAsia" w:asciiTheme="majorEastAsia" w:hAnsiTheme="majorEastAsia" w:eastAsiaTheme="majorEastAsia" w:cstheme="majorEastAsia"/>
          <w:b/>
          <w:bCs/>
          <w:color w:val="auto"/>
          <w:sz w:val="24"/>
          <w:szCs w:val="24"/>
          <w:highlight w:val="none"/>
          <w:u w:val="single"/>
          <w:lang w:val="en-US" w:eastAsia="zh-CN"/>
        </w:rPr>
        <w:t>，依实调整。</w:t>
      </w:r>
    </w:p>
    <w:p w14:paraId="41259BCA">
      <w:pPr>
        <w:keepNext/>
        <w:keepLines/>
        <w:spacing w:before="120" w:after="120" w:line="600" w:lineRule="exact"/>
        <w:ind w:firstLine="432" w:firstLineChars="180"/>
        <w:outlineLvl w:val="3"/>
        <w:rPr>
          <w:rFonts w:ascii="宋体" w:hAnsi="宋体" w:eastAsia="宋体" w:cs="宋体"/>
          <w:b/>
          <w:bCs/>
          <w:sz w:val="24"/>
          <w:szCs w:val="24"/>
        </w:rPr>
      </w:pPr>
      <w:r>
        <w:rPr>
          <w:rFonts w:hint="eastAsia" w:ascii="宋体" w:hAnsi="宋体" w:eastAsia="宋体" w:cs="宋体"/>
          <w:b/>
          <w:bCs/>
          <w:sz w:val="24"/>
          <w:szCs w:val="24"/>
        </w:rPr>
        <w:t>12. 合同价格、计量与支付</w:t>
      </w:r>
    </w:p>
    <w:p w14:paraId="426B0286">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12.1 合同价格形式</w:t>
      </w:r>
    </w:p>
    <w:p w14:paraId="2CE008AA">
      <w:pPr>
        <w:snapToGrid w:val="0"/>
        <w:spacing w:line="600" w:lineRule="exact"/>
        <w:ind w:firstLine="540" w:firstLineChars="225"/>
        <w:rPr>
          <w:rFonts w:ascii="宋体" w:hAnsi="宋体" w:eastAsia="宋体" w:cs="宋体"/>
          <w:sz w:val="24"/>
          <w:szCs w:val="24"/>
        </w:rPr>
      </w:pPr>
      <w:r>
        <w:rPr>
          <w:rFonts w:hint="eastAsia" w:ascii="宋体" w:hAnsi="宋体" w:eastAsia="宋体" w:cs="宋体"/>
          <w:sz w:val="24"/>
          <w:szCs w:val="24"/>
        </w:rPr>
        <w:t>1、单价合同。</w:t>
      </w:r>
    </w:p>
    <w:p w14:paraId="68E2071C">
      <w:pPr>
        <w:snapToGrid w:val="0"/>
        <w:spacing w:line="600" w:lineRule="exact"/>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综合单价包含的风险范围：</w:t>
      </w:r>
      <w:r>
        <w:rPr>
          <w:rFonts w:hint="eastAsia" w:ascii="宋体" w:hAnsi="宋体" w:eastAsia="宋体" w:cs="宋体"/>
          <w:sz w:val="24"/>
          <w:szCs w:val="24"/>
          <w:highlight w:val="none"/>
          <w:u w:val="single"/>
        </w:rPr>
        <w:t>（1）技术、管理费结算不予调整的风险；（2）合同中明示及隐含的风险及有经验的承包商可以或应该预见的，为完成整体工程内容所必须考虑的风险（</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）自然及社会因素造成的其他所有风险因素</w:t>
      </w:r>
      <w:r>
        <w:rPr>
          <w:rFonts w:hint="eastAsia" w:ascii="宋体" w:hAnsi="宋体" w:eastAsia="宋体" w:cs="宋体"/>
          <w:sz w:val="24"/>
          <w:szCs w:val="24"/>
          <w:highlight w:val="none"/>
        </w:rPr>
        <w:t>。</w:t>
      </w:r>
    </w:p>
    <w:p w14:paraId="119B9A72">
      <w:pPr>
        <w:snapToGrid w:val="0"/>
        <w:spacing w:line="600" w:lineRule="exact"/>
        <w:ind w:firstLine="540" w:firstLineChars="225"/>
        <w:rPr>
          <w:rFonts w:ascii="宋体" w:hAnsi="宋体" w:eastAsia="宋体" w:cs="宋体"/>
          <w:sz w:val="24"/>
          <w:szCs w:val="24"/>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风险系数由承包人根据工程实际情况考虑，风险费用已包含在合同中</w:t>
      </w:r>
      <w:r>
        <w:rPr>
          <w:rFonts w:hint="eastAsia" w:ascii="宋体" w:hAnsi="宋体" w:eastAsia="宋体" w:cs="宋体"/>
          <w:sz w:val="24"/>
          <w:szCs w:val="24"/>
        </w:rPr>
        <w:t>。</w:t>
      </w:r>
    </w:p>
    <w:p w14:paraId="74D6FF42">
      <w:pPr>
        <w:snapToGrid w:val="0"/>
        <w:spacing w:line="600" w:lineRule="exact"/>
        <w:ind w:firstLine="540" w:firstLineChars="225"/>
        <w:rPr>
          <w:rFonts w:ascii="宋体" w:hAnsi="宋体" w:eastAsia="宋体" w:cs="宋体"/>
          <w:color w:val="auto"/>
          <w:sz w:val="24"/>
          <w:szCs w:val="24"/>
          <w:highlight w:val="none"/>
        </w:rPr>
      </w:pPr>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lang w:val="en-US" w:eastAsia="zh-CN"/>
        </w:rPr>
        <w:t xml:space="preserve"> </w:t>
      </w:r>
      <w:r>
        <w:rPr>
          <w:rFonts w:hint="eastAsia" w:cs="宋体" w:asciiTheme="minorEastAsia" w:hAnsiTheme="minorEastAsia" w:eastAsiaTheme="minorEastAsia"/>
          <w:sz w:val="24"/>
          <w:u w:val="single"/>
        </w:rPr>
        <w:t>因市场价格波动引起的调整按第11.1款〔市场价格波动引起的调整〕约定执行，清单工程量量差、漏项、设计变更、现场签证，依实际发生变动的工程量，经发包人确认后，竣工结算时按下列有关规定调整合同价款</w:t>
      </w:r>
      <w:r>
        <w:rPr>
          <w:rFonts w:hint="eastAsia" w:ascii="宋体" w:hAnsi="宋体" w:eastAsia="宋体" w:cs="宋体"/>
          <w:color w:val="auto"/>
          <w:sz w:val="24"/>
          <w:szCs w:val="24"/>
          <w:highlight w:val="none"/>
        </w:rPr>
        <w:t>：</w:t>
      </w:r>
    </w:p>
    <w:p w14:paraId="01448954">
      <w:pPr>
        <w:snapToGrid w:val="0"/>
        <w:spacing w:line="600" w:lineRule="exact"/>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1.1、按照《建设工程工程量清单计价规范》（2013年）计算规则计算增减的工程量。</w:t>
      </w:r>
    </w:p>
    <w:p w14:paraId="270BCD19">
      <w:pPr>
        <w:snapToGrid w:val="0"/>
        <w:spacing w:line="600" w:lineRule="exact"/>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1.2、工程量增减幅度在±15%</w:t>
      </w:r>
      <w:r>
        <w:rPr>
          <w:rFonts w:hint="eastAsia" w:ascii="宋体" w:hAnsi="宋体" w:eastAsia="宋体" w:cs="宋体"/>
          <w:color w:val="auto"/>
          <w:sz w:val="24"/>
          <w:szCs w:val="24"/>
          <w:highlight w:val="none"/>
          <w:lang w:eastAsia="zh-CN"/>
        </w:rPr>
        <w:t>（含）</w:t>
      </w:r>
      <w:r>
        <w:rPr>
          <w:rFonts w:hint="eastAsia" w:ascii="宋体" w:hAnsi="宋体" w:eastAsia="宋体" w:cs="宋体"/>
          <w:color w:val="auto"/>
          <w:sz w:val="24"/>
          <w:szCs w:val="24"/>
          <w:highlight w:val="none"/>
        </w:rPr>
        <w:t>以内的按中标综合单价结算；</w:t>
      </w:r>
    </w:p>
    <w:p w14:paraId="35A57156">
      <w:pPr>
        <w:snapToGrid w:val="0"/>
        <w:spacing w:line="600" w:lineRule="exact"/>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1.3、工程量增减幅度在+15%以上的部分按中标综合单价的</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%计取，工程量减幅超过-15%以下的按中标综合单价扣除；</w:t>
      </w:r>
    </w:p>
    <w:p w14:paraId="3A856407">
      <w:pPr>
        <w:snapToGrid w:val="0"/>
        <w:spacing w:line="600" w:lineRule="exact"/>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如承包人投标文件的综合单价明显不合理〔与招标工程量清单中的综合单价相比变化幅度超过30%（不含）的视为不合理〕，工程量调整部分的结算单价参照发包人招标时公布的招标控制价的综合单价，即以招标控制价的综合单价乘以根据承包人中标总价和招标控制总价计算得出的优惠费率作为工程量调整部分的结算单价。</w:t>
      </w:r>
    </w:p>
    <w:p w14:paraId="40800FB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1.5、因变更所发生的清单缺项子目，如原清单中有类似的，可参考类似单价，无类似项目的，按《河南省</w:t>
      </w:r>
      <w:r>
        <w:rPr>
          <w:rFonts w:hint="eastAsia" w:ascii="宋体" w:hAnsi="宋体" w:eastAsia="宋体" w:cs="宋体"/>
          <w:color w:val="auto"/>
          <w:sz w:val="24"/>
          <w:szCs w:val="24"/>
          <w:highlight w:val="none"/>
          <w:lang w:eastAsia="zh-CN"/>
        </w:rPr>
        <w:t>房屋建筑与装饰工程预算定额》（</w:t>
      </w:r>
      <w:r>
        <w:rPr>
          <w:rFonts w:hint="eastAsia" w:ascii="宋体" w:hAnsi="宋体" w:eastAsia="宋体" w:cs="宋体"/>
          <w:color w:val="auto"/>
          <w:sz w:val="24"/>
          <w:szCs w:val="24"/>
          <w:highlight w:val="none"/>
          <w:lang w:val="en-US" w:eastAsia="zh-CN"/>
        </w:rPr>
        <w:t>HA  01-31-2016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,《河南省通用安装工程</w:t>
      </w:r>
      <w:r>
        <w:rPr>
          <w:rFonts w:hint="eastAsia" w:ascii="宋体" w:hAnsi="宋体" w:eastAsia="宋体" w:cs="宋体"/>
          <w:color w:val="auto"/>
          <w:sz w:val="24"/>
          <w:szCs w:val="24"/>
          <w:highlight w:val="none"/>
        </w:rPr>
        <w:t>预算定额》（HA</w:t>
      </w:r>
      <w:r>
        <w:rPr>
          <w:rFonts w:hint="eastAsia" w:ascii="宋体" w:hAnsi="宋体" w:eastAsia="宋体" w:cs="宋体"/>
          <w:color w:val="auto"/>
          <w:sz w:val="24"/>
          <w:szCs w:val="24"/>
          <w:highlight w:val="none"/>
          <w:lang w:val="en-US" w:eastAsia="zh-CN"/>
        </w:rPr>
        <w:t xml:space="preserve">  02</w:t>
      </w:r>
      <w:r>
        <w:rPr>
          <w:rFonts w:hint="eastAsia" w:ascii="宋体" w:hAnsi="宋体" w:eastAsia="宋体" w:cs="宋体"/>
          <w:color w:val="auto"/>
          <w:sz w:val="24"/>
          <w:szCs w:val="24"/>
          <w:highlight w:val="none"/>
        </w:rPr>
        <w:t>-31-2016）</w:t>
      </w:r>
      <w:r>
        <w:rPr>
          <w:rFonts w:hint="eastAsia" w:ascii="宋体" w:hAnsi="宋体" w:cs="宋体"/>
          <w:color w:val="auto"/>
          <w:sz w:val="24"/>
          <w:szCs w:val="24"/>
          <w:highlight w:val="none"/>
          <w:lang w:val="zh-CN"/>
        </w:rPr>
        <w:t>《河南省市政工程预算定额》(HAAl-31-2016)</w:t>
      </w:r>
      <w:r>
        <w:rPr>
          <w:rFonts w:hint="eastAsia" w:ascii="宋体" w:hAnsi="宋体" w:eastAsia="宋体" w:cs="宋体"/>
          <w:color w:val="auto"/>
          <w:sz w:val="24"/>
          <w:szCs w:val="24"/>
          <w:highlight w:val="none"/>
        </w:rPr>
        <w:t>及配套文件另行编制结算单价，乘以根据承包人中标价和招标控制价计算得出的优惠费率，即为结算单价。结算单价报三门峡市财政评审中心审定。</w:t>
      </w:r>
    </w:p>
    <w:p w14:paraId="5022CAFF">
      <w:pPr>
        <w:spacing w:line="460" w:lineRule="exact"/>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1.6、市场价格波动引起的调整按本合同11.1第</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种方式的约定计算。</w:t>
      </w:r>
    </w:p>
    <w:p w14:paraId="27949192">
      <w:pPr>
        <w:snapToGrid w:val="0"/>
        <w:spacing w:line="600" w:lineRule="exact"/>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1.7、当合同双方对调整综合单价发生争议时,由三门峡市审计局审定。</w:t>
      </w:r>
    </w:p>
    <w:p w14:paraId="33CC5B1C">
      <w:pPr>
        <w:snapToGrid w:val="0"/>
        <w:spacing w:line="600" w:lineRule="exact"/>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1.8、本工程最终结算价按</w:t>
      </w:r>
      <w:r>
        <w:rPr>
          <w:rFonts w:hint="eastAsia" w:ascii="宋体" w:hAnsi="宋体" w:cs="宋体"/>
          <w:b w:val="0"/>
          <w:bCs/>
          <w:color w:val="auto"/>
          <w:sz w:val="24"/>
          <w:szCs w:val="24"/>
          <w:highlight w:val="none"/>
          <w:lang w:eastAsia="zh-CN"/>
        </w:rPr>
        <w:t>有关部门</w:t>
      </w:r>
      <w:r>
        <w:rPr>
          <w:rFonts w:hint="eastAsia" w:ascii="宋体" w:hAnsi="宋体" w:eastAsia="宋体" w:cs="宋体"/>
          <w:b w:val="0"/>
          <w:bCs/>
          <w:color w:val="auto"/>
          <w:sz w:val="24"/>
          <w:szCs w:val="24"/>
          <w:highlight w:val="none"/>
        </w:rPr>
        <w:t>结算审计结果执行。</w:t>
      </w:r>
    </w:p>
    <w:p w14:paraId="4C6A9554">
      <w:pPr>
        <w:spacing w:line="680" w:lineRule="exact"/>
        <w:ind w:firstLine="480" w:firstLineChars="200"/>
        <w:rPr>
          <w:rFonts w:ascii="宋体" w:hAnsi="宋体" w:eastAsia="宋体" w:cs="宋体"/>
          <w:b/>
          <w:sz w:val="24"/>
          <w:szCs w:val="24"/>
          <w:u w:val="single"/>
        </w:rPr>
      </w:pPr>
    </w:p>
    <w:p w14:paraId="094EA14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2、总价合同。</w:t>
      </w:r>
    </w:p>
    <w:p w14:paraId="7DE57B5C">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6D4FB75">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风险费用的计算方法：</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E597F5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F2C5A7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1EF2775">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12.2 预付款</w:t>
      </w:r>
    </w:p>
    <w:p w14:paraId="54D77056">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12.2.1 预付款的支付</w:t>
      </w:r>
    </w:p>
    <w:p w14:paraId="40F345C6">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预付款支付比例或金额：</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ED1C49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预付款支付期限：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0AA49A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55562C8">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12.2.2 预付款担保</w:t>
      </w:r>
    </w:p>
    <w:p w14:paraId="780242D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承包人提交预付款担保的期限：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525958B">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预付款担保的形式为：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7231138">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12.3 计量</w:t>
      </w:r>
    </w:p>
    <w:p w14:paraId="540D766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12.3.1 计量原则</w:t>
      </w:r>
    </w:p>
    <w:p w14:paraId="0C9E26E9">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工程量计算规则：</w:t>
      </w:r>
      <w:r>
        <w:rPr>
          <w:rFonts w:hint="eastAsia" w:ascii="宋体" w:hAnsi="宋体" w:eastAsia="宋体" w:cs="宋体"/>
          <w:sz w:val="24"/>
          <w:szCs w:val="24"/>
          <w:u w:val="single"/>
        </w:rPr>
        <w:t xml:space="preserve">  按照现行国家计量规范《建设工程工程量清单计价规范》GB50500--2013规定的工程量计算规则计算 </w:t>
      </w:r>
      <w:r>
        <w:rPr>
          <w:rFonts w:hint="eastAsia" w:ascii="宋体" w:hAnsi="宋体" w:eastAsia="宋体" w:cs="宋体"/>
          <w:sz w:val="24"/>
          <w:szCs w:val="24"/>
        </w:rPr>
        <w:t>。</w:t>
      </w:r>
    </w:p>
    <w:p w14:paraId="157B1CCC">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12.3.2 计量周期</w:t>
      </w:r>
    </w:p>
    <w:p w14:paraId="6E45A626">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关于计量周期的约定：</w:t>
      </w:r>
    </w:p>
    <w:p w14:paraId="43195CC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u w:val="single"/>
        </w:rPr>
        <w:t xml:space="preserve">  工程完工后进行工程量核定（特殊情况除外） </w:t>
      </w:r>
      <w:r>
        <w:rPr>
          <w:rFonts w:hint="eastAsia" w:ascii="宋体" w:hAnsi="宋体" w:eastAsia="宋体" w:cs="宋体"/>
          <w:sz w:val="24"/>
          <w:szCs w:val="24"/>
        </w:rPr>
        <w:t>。</w:t>
      </w:r>
    </w:p>
    <w:p w14:paraId="75BECBA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12.3.3 单价合同的计量</w:t>
      </w:r>
    </w:p>
    <w:p w14:paraId="249249B2">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关于单价合同计量的约定：</w:t>
      </w:r>
    </w:p>
    <w:p w14:paraId="0F12C3C7">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u w:val="single"/>
        </w:rPr>
        <w:t xml:space="preserve"> 最终确定工程量按审计结果执行 </w:t>
      </w:r>
      <w:r>
        <w:rPr>
          <w:rFonts w:hint="eastAsia" w:ascii="宋体" w:hAnsi="宋体" w:eastAsia="宋体" w:cs="宋体"/>
          <w:sz w:val="24"/>
          <w:szCs w:val="24"/>
        </w:rPr>
        <w:t>。</w:t>
      </w:r>
    </w:p>
    <w:p w14:paraId="13EF01E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12.3.4 总价合同的计量</w:t>
      </w:r>
    </w:p>
    <w:p w14:paraId="7C5FC50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关于总价合同计量的约定：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BCC6958">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12.3.5</w:t>
      </w:r>
    </w:p>
    <w:p w14:paraId="60111349">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总价合同采用支付分解表计量支付的，是否适用第12.3.4项〔总价合同的计量〕约定进行计量：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EA7B2B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12.3.6 其他价格形式合同的计量</w:t>
      </w:r>
    </w:p>
    <w:p w14:paraId="0EFA5B9C">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DF58765">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12.4 工程进度款支付</w:t>
      </w:r>
    </w:p>
    <w:p w14:paraId="4B4D8473">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12.4.1 付款周期</w:t>
      </w:r>
    </w:p>
    <w:p w14:paraId="150C2DA3">
      <w:pPr>
        <w:spacing w:line="360" w:lineRule="auto"/>
        <w:ind w:firstLine="424" w:firstLineChars="177"/>
        <w:jc w:val="left"/>
        <w:rPr>
          <w:rFonts w:hint="eastAsia" w:eastAsia="宋体" w:cs="宋体" w:asciiTheme="minorEastAsia" w:hAnsiTheme="minorEastAsia"/>
          <w:color w:val="FF0000"/>
          <w:sz w:val="24"/>
          <w:u w:val="single"/>
          <w:lang w:val="en-US" w:eastAsia="zh-CN"/>
        </w:rPr>
      </w:pPr>
      <w:r>
        <w:rPr>
          <w:rFonts w:hint="eastAsia" w:ascii="宋体" w:hAnsi="宋体" w:eastAsia="宋体" w:cs="宋体"/>
          <w:sz w:val="24"/>
          <w:szCs w:val="24"/>
        </w:rPr>
        <w:t>关于付款周期的约定：</w:t>
      </w:r>
      <w:r>
        <w:rPr>
          <w:rFonts w:hint="eastAsia" w:ascii="宋体" w:hAnsi="宋体" w:eastAsia="宋体" w:cs="宋体"/>
          <w:sz w:val="24"/>
          <w:szCs w:val="24"/>
          <w:u w:val="single"/>
          <w:lang w:val="en-US" w:eastAsia="zh-CN"/>
        </w:rPr>
        <w:t xml:space="preserve">   /   。</w:t>
      </w:r>
    </w:p>
    <w:p w14:paraId="36EF477C">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12.4.2 进度付款申请单的编制</w:t>
      </w:r>
    </w:p>
    <w:p w14:paraId="55E52619">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关于进度付款申请单编制的约定：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5AFA3C8">
      <w:pPr>
        <w:spacing w:line="5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12.4.3 进度付款申请单的提交</w:t>
      </w:r>
    </w:p>
    <w:p w14:paraId="17B142AA">
      <w:pPr>
        <w:spacing w:line="360" w:lineRule="auto"/>
        <w:ind w:firstLine="480" w:firstLineChars="200"/>
        <w:jc w:val="left"/>
        <w:rPr>
          <w:rFonts w:cs="宋体" w:asciiTheme="minorEastAsia" w:hAnsiTheme="minorEastAsia" w:eastAsiaTheme="minorEastAsia"/>
          <w:sz w:val="24"/>
        </w:rPr>
      </w:pPr>
      <w:r>
        <w:rPr>
          <w:rFonts w:hint="eastAsia" w:ascii="宋体" w:hAnsi="宋体" w:eastAsia="宋体" w:cs="宋体"/>
          <w:sz w:val="24"/>
          <w:szCs w:val="24"/>
        </w:rPr>
        <w:t>（1）单价合同进度付款申请单提交的约定：</w:t>
      </w:r>
      <w:r>
        <w:rPr>
          <w:rFonts w:hint="eastAsia" w:ascii="宋体" w:hAnsi="宋体" w:eastAsia="宋体" w:cs="宋体"/>
          <w:sz w:val="24"/>
          <w:szCs w:val="24"/>
          <w:lang w:val="en-US" w:eastAsia="zh-CN"/>
        </w:rPr>
        <w:t xml:space="preserve"> </w:t>
      </w:r>
      <w:r>
        <w:rPr>
          <w:rFonts w:hint="eastAsia" w:cs="宋体" w:asciiTheme="minorEastAsia" w:hAnsiTheme="minorEastAsia" w:eastAsiaTheme="minorEastAsia"/>
          <w:sz w:val="24"/>
        </w:rPr>
        <w:t>1）</w:t>
      </w:r>
      <w:r>
        <w:rPr>
          <w:rFonts w:hint="eastAsia" w:cs="宋体" w:asciiTheme="minorEastAsia" w:hAnsiTheme="minorEastAsia" w:eastAsiaTheme="minorEastAsia"/>
          <w:sz w:val="24"/>
          <w:u w:val="single"/>
        </w:rPr>
        <w:t>承包人根据合同约定向总监理工程师及发包人代表递交已完工程量形象进度说明、形象进度照片、已完工程价款，由总监理工程师及发包人代表审核</w:t>
      </w:r>
      <w:r>
        <w:rPr>
          <w:rFonts w:hint="eastAsia" w:cs="宋体" w:asciiTheme="minorEastAsia" w:hAnsiTheme="minorEastAsia" w:eastAsiaTheme="minorEastAsia"/>
          <w:sz w:val="24"/>
        </w:rPr>
        <w:t>。</w:t>
      </w:r>
    </w:p>
    <w:p w14:paraId="0D4E1387">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进度款与质量挂钩，报送工程进度报表时，附监理人要求的质量证明文件，若所报工程质量达不到验收规范要求，发包人有权暂缓支付该部分工程款</w:t>
      </w:r>
      <w:r>
        <w:rPr>
          <w:rFonts w:hint="eastAsia" w:cs="宋体" w:asciiTheme="minorEastAsia" w:hAnsiTheme="minorEastAsia" w:eastAsiaTheme="minorEastAsia"/>
          <w:sz w:val="24"/>
        </w:rPr>
        <w:t>。</w:t>
      </w:r>
    </w:p>
    <w:p w14:paraId="74A4176B">
      <w:pPr>
        <w:spacing w:line="360" w:lineRule="auto"/>
        <w:ind w:firstLine="480" w:firstLineChars="200"/>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u w:val="single"/>
        </w:rPr>
        <w:t>承包人应保证发包人支付的工程进度款专款专用。如发现承包人将工程款挪作他用，发包人有权延期支付当期进度款，承包人向发包人支付违约金</w:t>
      </w:r>
      <w:r>
        <w:rPr>
          <w:rFonts w:hint="eastAsia" w:cs="宋体" w:asciiTheme="minorEastAsia" w:hAnsiTheme="minorEastAsia" w:eastAsiaTheme="minorEastAsia"/>
          <w:sz w:val="24"/>
          <w:u w:val="single"/>
          <w:lang w:eastAsia="zh-CN"/>
        </w:rPr>
        <w:t>伍万</w:t>
      </w:r>
      <w:r>
        <w:rPr>
          <w:rFonts w:hint="eastAsia" w:cs="宋体" w:asciiTheme="minorEastAsia" w:hAnsiTheme="minorEastAsia" w:eastAsiaTheme="minorEastAsia"/>
          <w:sz w:val="24"/>
          <w:u w:val="single"/>
        </w:rPr>
        <w:t>元</w:t>
      </w:r>
      <w:r>
        <w:rPr>
          <w:rFonts w:hint="eastAsia" w:cs="宋体" w:asciiTheme="minorEastAsia" w:hAnsiTheme="minorEastAsia" w:eastAsiaTheme="minorEastAsia"/>
          <w:sz w:val="24"/>
          <w:u w:val="single"/>
          <w:lang w:eastAsia="zh-CN"/>
        </w:rPr>
        <w:t>整</w:t>
      </w:r>
      <w:r>
        <w:rPr>
          <w:rFonts w:hint="eastAsia" w:cs="宋体" w:asciiTheme="minorEastAsia" w:hAnsiTheme="minorEastAsia" w:eastAsiaTheme="minorEastAsia"/>
          <w:sz w:val="24"/>
          <w:u w:val="single"/>
        </w:rPr>
        <w:t>/次</w:t>
      </w:r>
      <w:r>
        <w:rPr>
          <w:rFonts w:hint="eastAsia" w:cs="宋体" w:asciiTheme="minorEastAsia" w:hAnsiTheme="minorEastAsia" w:eastAsiaTheme="minorEastAsia"/>
          <w:sz w:val="24"/>
        </w:rPr>
        <w:t>。</w:t>
      </w:r>
    </w:p>
    <w:p w14:paraId="206BEDF5">
      <w:pPr>
        <w:spacing w:line="360" w:lineRule="auto"/>
        <w:ind w:firstLine="480" w:firstLineChars="200"/>
        <w:jc w:val="left"/>
        <w:rPr>
          <w:rFonts w:ascii="宋体" w:hAnsi="宋体" w:eastAsia="宋体" w:cs="宋体"/>
          <w:sz w:val="24"/>
          <w:szCs w:val="24"/>
          <w:u w:val="single"/>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u w:val="single"/>
        </w:rPr>
        <w:t>承包人不得拖欠农民工工资（承包人应按发包人要求提供农民工工资支付凭证）。若承包人（包括承包人合作的班组或劳务公司）发生拖欠农民工工资，经发包人核实无误，每发生一次，承包人向发包人支付违约金10000元/次</w:t>
      </w:r>
      <w:r>
        <w:rPr>
          <w:rFonts w:hint="eastAsia" w:cs="宋体" w:asciiTheme="minorEastAsia" w:hAnsiTheme="minorEastAsia" w:eastAsiaTheme="minorEastAsia"/>
          <w:sz w:val="24"/>
        </w:rPr>
        <w:t>。</w:t>
      </w:r>
    </w:p>
    <w:p w14:paraId="52B329D8">
      <w:pPr>
        <w:spacing w:line="5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（2）总价合同进度付款申请单提交的约定：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34D60E3">
      <w:pPr>
        <w:spacing w:line="58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（3）其他价格形式合同进度付款申请单提交的约定：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9E59A46">
      <w:pPr>
        <w:spacing w:line="5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12.4.4 进度款审核和支付</w:t>
      </w:r>
    </w:p>
    <w:p w14:paraId="2AA9BB62">
      <w:pPr>
        <w:spacing w:line="58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（1）监理人审查并报送发包人的期限：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D867BE4">
      <w:pPr>
        <w:spacing w:line="58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4F492F3">
      <w:pPr>
        <w:spacing w:line="5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454EF93">
      <w:pPr>
        <w:spacing w:line="580" w:lineRule="exact"/>
        <w:ind w:firstLine="600" w:firstLineChars="250"/>
        <w:jc w:val="left"/>
        <w:rPr>
          <w:rFonts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F41B49E">
      <w:pPr>
        <w:spacing w:line="580" w:lineRule="exact"/>
        <w:ind w:firstLine="600" w:firstLineChars="250"/>
        <w:jc w:val="left"/>
        <w:rPr>
          <w:rFonts w:ascii="宋体" w:hAnsi="宋体" w:eastAsia="宋体" w:cs="宋体"/>
          <w:sz w:val="24"/>
          <w:szCs w:val="24"/>
        </w:rPr>
      </w:pPr>
      <w:r>
        <w:rPr>
          <w:rFonts w:hint="eastAsia" w:ascii="宋体" w:hAnsi="宋体" w:eastAsia="宋体" w:cs="宋体"/>
          <w:sz w:val="24"/>
          <w:szCs w:val="24"/>
        </w:rPr>
        <w:t>12.4.6 支付分解表的编制</w:t>
      </w:r>
    </w:p>
    <w:p w14:paraId="139C5411">
      <w:pPr>
        <w:spacing w:line="58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3CA6843">
      <w:pPr>
        <w:adjustRightInd w:val="0"/>
        <w:snapToGrid w:val="0"/>
        <w:spacing w:line="58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CAB33D">
      <w:pPr>
        <w:keepNext/>
        <w:keepLines/>
        <w:adjustRightInd w:val="0"/>
        <w:snapToGrid w:val="0"/>
        <w:spacing w:before="120" w:after="120" w:line="60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13. 验收和工程试车</w:t>
      </w:r>
    </w:p>
    <w:p w14:paraId="0AAF0B82">
      <w:pPr>
        <w:adjustRightInd w:val="0"/>
        <w:snapToGrid w:val="0"/>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13.1 分部分项工程验收</w:t>
      </w:r>
    </w:p>
    <w:p w14:paraId="4F477255">
      <w:pPr>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1B52817E">
      <w:pPr>
        <w:spacing w:line="600" w:lineRule="exact"/>
        <w:ind w:firstLine="480" w:firstLineChars="200"/>
        <w:jc w:val="left"/>
        <w:rPr>
          <w:rFonts w:ascii="宋体" w:hAnsi="宋体" w:eastAsia="宋体" w:cs="宋体"/>
          <w:b/>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7E83CAE9">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13.2 竣工验收</w:t>
      </w:r>
    </w:p>
    <w:p w14:paraId="7CADBAC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13.2.2竣工验收程序</w:t>
      </w:r>
    </w:p>
    <w:p w14:paraId="4F0E698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关于竣工验收程序的约定：</w:t>
      </w:r>
    </w:p>
    <w:p w14:paraId="7209D57D">
      <w:pPr>
        <w:spacing w:line="360" w:lineRule="auto"/>
        <w:ind w:firstLine="480" w:firstLineChars="200"/>
        <w:jc w:val="left"/>
        <w:rPr>
          <w:rFonts w:cs="宋体" w:asciiTheme="minorEastAsia" w:hAnsiTheme="minorEastAsia" w:eastAsiaTheme="minorEastAsia"/>
          <w:kern w:val="0"/>
          <w:sz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13.2.2.1</w:t>
      </w:r>
      <w:r>
        <w:rPr>
          <w:rFonts w:hint="eastAsia" w:cs="宋体" w:asciiTheme="minorEastAsia" w:hAnsiTheme="minorEastAsia" w:eastAsiaTheme="minorEastAsia"/>
          <w:kern w:val="0"/>
          <w:sz w:val="24"/>
          <w:u w:val="single"/>
        </w:rPr>
        <w:t>竣工验收以现行国家施工及验收规范、强制性标准条文、技术法规、行业标准、政府有关规定及施工图纸等为依据，同时必须遵守竣工验收规定的要求</w:t>
      </w:r>
      <w:r>
        <w:rPr>
          <w:rFonts w:hint="eastAsia" w:cs="宋体" w:asciiTheme="minorEastAsia" w:hAnsiTheme="minorEastAsia" w:eastAsiaTheme="minorEastAsia"/>
          <w:kern w:val="0"/>
          <w:sz w:val="24"/>
        </w:rPr>
        <w:t>。</w:t>
      </w:r>
    </w:p>
    <w:p w14:paraId="1627D454">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13.2.2.2</w:t>
      </w:r>
      <w:r>
        <w:rPr>
          <w:rFonts w:hint="eastAsia" w:cs="宋体" w:asciiTheme="minorEastAsia" w:hAnsiTheme="minorEastAsia" w:eastAsiaTheme="minorEastAsia"/>
          <w:kern w:val="0"/>
          <w:sz w:val="24"/>
          <w:u w:val="single"/>
        </w:rPr>
        <w:t>承包人认为工程具备竣工验收条件后，应于竣工验收前15天向发包人提供完整的竣工验收所需资料和竣工验收申请。发包人收到申请后组织初步验收，初验提出的整改要求全部完成后，承包人协助发包人邀请政府有关部门到场参加验收，并在验收后7天内按整改意见完成整改</w:t>
      </w:r>
      <w:r>
        <w:rPr>
          <w:rFonts w:hint="eastAsia" w:cs="宋体" w:asciiTheme="minorEastAsia" w:hAnsiTheme="minorEastAsia" w:eastAsiaTheme="minorEastAsia"/>
          <w:kern w:val="0"/>
          <w:sz w:val="24"/>
          <w:u w:val="single"/>
          <w:lang w:val="en-US" w:eastAsia="zh-CN"/>
        </w:rPr>
        <w:t>,并由各有关部门出具验收结论</w:t>
      </w:r>
      <w:r>
        <w:rPr>
          <w:rFonts w:hint="eastAsia" w:cs="宋体" w:asciiTheme="minorEastAsia" w:hAnsiTheme="minorEastAsia" w:eastAsiaTheme="minorEastAsia"/>
          <w:kern w:val="0"/>
          <w:sz w:val="24"/>
          <w:u w:val="single"/>
        </w:rPr>
        <w:t>。</w:t>
      </w:r>
    </w:p>
    <w:p w14:paraId="3495A053">
      <w:pPr>
        <w:spacing w:line="360" w:lineRule="auto"/>
        <w:ind w:firstLine="480" w:firstLineChars="200"/>
        <w:jc w:val="left"/>
        <w:rPr>
          <w:rFonts w:ascii="宋体" w:hAnsi="宋体" w:eastAsia="宋体" w:cs="宋体"/>
          <w:sz w:val="24"/>
          <w:szCs w:val="24"/>
          <w:u w:val="single"/>
        </w:rPr>
      </w:pPr>
      <w:r>
        <w:rPr>
          <w:rFonts w:hint="eastAsia" w:cs="宋体" w:asciiTheme="minorEastAsia" w:hAnsiTheme="minorEastAsia" w:eastAsiaTheme="minorEastAsia"/>
          <w:kern w:val="0"/>
          <w:sz w:val="24"/>
        </w:rPr>
        <w:t>13.2.2.3</w:t>
      </w:r>
      <w:r>
        <w:rPr>
          <w:rFonts w:hint="eastAsia" w:cs="宋体" w:asciiTheme="minorEastAsia" w:hAnsiTheme="minorEastAsia" w:eastAsiaTheme="minorEastAsia"/>
          <w:kern w:val="0"/>
          <w:sz w:val="24"/>
          <w:u w:val="single"/>
        </w:rPr>
        <w:t>承包人在竣工验收后15日内向发包人移交完整的工程竣工资料、竣工图纸肆套及相应的电子版资料（竣工资料及竣工图纸必须准确真实的反映实际施工情况）；属于发包人应提供的资料由发包人负责及时提供给承包人，由承包人汇总整理后移交档案馆，费用由承包人承担</w:t>
      </w:r>
      <w:r>
        <w:rPr>
          <w:rFonts w:hint="eastAsia" w:cs="宋体" w:asciiTheme="minorEastAsia" w:hAnsiTheme="minorEastAsia" w:eastAsiaTheme="minorEastAsia"/>
          <w:kern w:val="0"/>
          <w:sz w:val="24"/>
        </w:rPr>
        <w:t>。</w:t>
      </w:r>
    </w:p>
    <w:p w14:paraId="13C671C2">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 xml:space="preserve"> 发包人不支付违约金 </w:t>
      </w:r>
      <w:r>
        <w:rPr>
          <w:rFonts w:hint="eastAsia" w:ascii="宋体" w:hAnsi="宋体" w:eastAsia="宋体" w:cs="宋体"/>
          <w:sz w:val="24"/>
          <w:szCs w:val="24"/>
        </w:rPr>
        <w:t>。</w:t>
      </w:r>
    </w:p>
    <w:p w14:paraId="6013EF06">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13.2.5移交、接收全部与部分工程</w:t>
      </w:r>
    </w:p>
    <w:p w14:paraId="26D7A6A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承包人向发包人移交工程的期限：</w:t>
      </w:r>
    </w:p>
    <w:p w14:paraId="6AC82D8F">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13.2.5.1 </w:t>
      </w:r>
      <w:r>
        <w:rPr>
          <w:rFonts w:hint="eastAsia" w:cs="宋体" w:asciiTheme="minorEastAsia" w:hAnsiTheme="minorEastAsia" w:eastAsiaTheme="minorEastAsia"/>
          <w:kern w:val="0"/>
          <w:sz w:val="24"/>
          <w:u w:val="single"/>
        </w:rPr>
        <w:t>承包人应在</w:t>
      </w:r>
      <w:r>
        <w:rPr>
          <w:rFonts w:hint="eastAsia" w:cs="宋体" w:asciiTheme="minorEastAsia" w:hAnsiTheme="minorEastAsia" w:eastAsiaTheme="minorEastAsia"/>
          <w:kern w:val="0"/>
          <w:sz w:val="24"/>
          <w:u w:val="single"/>
          <w:lang w:eastAsia="zh-CN"/>
        </w:rPr>
        <w:t>工程</w:t>
      </w:r>
      <w:r>
        <w:rPr>
          <w:rFonts w:hint="eastAsia" w:cs="宋体" w:asciiTheme="minorEastAsia" w:hAnsiTheme="minorEastAsia" w:eastAsiaTheme="minorEastAsia"/>
          <w:kern w:val="0"/>
          <w:sz w:val="24"/>
          <w:u w:val="single"/>
        </w:rPr>
        <w:t>竣工</w:t>
      </w:r>
      <w:r>
        <w:rPr>
          <w:rFonts w:hint="eastAsia" w:cs="宋体" w:asciiTheme="minorEastAsia" w:hAnsiTheme="minorEastAsia" w:eastAsiaTheme="minorEastAsia"/>
          <w:kern w:val="0"/>
          <w:sz w:val="24"/>
          <w:u w:val="single"/>
          <w:lang w:eastAsia="zh-CN"/>
        </w:rPr>
        <w:t>验收合格</w:t>
      </w:r>
      <w:r>
        <w:rPr>
          <w:rFonts w:hint="eastAsia" w:cs="宋体" w:asciiTheme="minorEastAsia" w:hAnsiTheme="minorEastAsia" w:eastAsiaTheme="minorEastAsia"/>
          <w:kern w:val="0"/>
          <w:sz w:val="24"/>
          <w:u w:val="single"/>
        </w:rPr>
        <w:t>后15日内填写工程移交书，经发包人签字后，视为工程移交完毕；承包人逾期未向发包人移交，承包人按竣工日期</w:t>
      </w:r>
      <w:r>
        <w:rPr>
          <w:rFonts w:hint="eastAsia" w:cs="宋体" w:asciiTheme="minorEastAsia" w:hAnsiTheme="minorEastAsia" w:eastAsiaTheme="minorEastAsia"/>
          <w:kern w:val="0"/>
          <w:sz w:val="24"/>
          <w:u w:val="single"/>
          <w:lang w:eastAsia="zh-CN"/>
        </w:rPr>
        <w:t>每</w:t>
      </w:r>
      <w:r>
        <w:rPr>
          <w:rFonts w:hint="eastAsia" w:cs="宋体" w:asciiTheme="minorEastAsia" w:hAnsiTheme="minorEastAsia" w:eastAsiaTheme="minorEastAsia"/>
          <w:kern w:val="0"/>
          <w:sz w:val="24"/>
          <w:u w:val="single"/>
        </w:rPr>
        <w:t>拖延</w:t>
      </w:r>
      <w:r>
        <w:rPr>
          <w:rFonts w:hint="eastAsia" w:cs="宋体" w:asciiTheme="minorEastAsia" w:hAnsiTheme="minorEastAsia" w:eastAsiaTheme="minorEastAsia"/>
          <w:kern w:val="0"/>
          <w:sz w:val="24"/>
          <w:u w:val="single"/>
          <w:lang w:eastAsia="zh-CN"/>
        </w:rPr>
        <w:t>一天</w:t>
      </w:r>
      <w:r>
        <w:rPr>
          <w:rFonts w:hint="eastAsia" w:cs="宋体" w:asciiTheme="minorEastAsia" w:hAnsiTheme="minorEastAsia" w:eastAsiaTheme="minorEastAsia"/>
          <w:kern w:val="0"/>
          <w:sz w:val="24"/>
          <w:u w:val="single"/>
        </w:rPr>
        <w:t>支付违约金</w:t>
      </w:r>
      <w:r>
        <w:rPr>
          <w:rFonts w:hint="eastAsia" w:cs="宋体" w:asciiTheme="minorEastAsia" w:hAnsiTheme="minorEastAsia" w:eastAsiaTheme="minorEastAsia"/>
          <w:kern w:val="0"/>
          <w:sz w:val="24"/>
          <w:u w:val="single"/>
          <w:lang w:val="en-US" w:eastAsia="zh-CN"/>
        </w:rPr>
        <w:t>500元/天</w:t>
      </w:r>
      <w:r>
        <w:rPr>
          <w:rFonts w:hint="eastAsia" w:cs="宋体" w:asciiTheme="minorEastAsia" w:hAnsiTheme="minorEastAsia" w:eastAsiaTheme="minorEastAsia"/>
          <w:kern w:val="0"/>
          <w:sz w:val="24"/>
        </w:rPr>
        <w:t>。</w:t>
      </w:r>
    </w:p>
    <w:p w14:paraId="3A020565">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13.2.5.2</w:t>
      </w:r>
      <w:r>
        <w:rPr>
          <w:rFonts w:hint="eastAsia" w:cs="宋体" w:asciiTheme="minorEastAsia" w:hAnsiTheme="minorEastAsia" w:eastAsiaTheme="minorEastAsia"/>
          <w:kern w:val="0"/>
          <w:sz w:val="24"/>
          <w:u w:val="single"/>
        </w:rPr>
        <w:t>工程在未移交发包人之前，承包人负责维护；如发包人提前使用，因使用损坏发生的修理费用由发包人承担</w:t>
      </w:r>
      <w:r>
        <w:rPr>
          <w:rFonts w:hint="eastAsia" w:cs="宋体" w:asciiTheme="minorEastAsia" w:hAnsiTheme="minorEastAsia" w:eastAsiaTheme="minorEastAsia"/>
          <w:kern w:val="0"/>
          <w:sz w:val="24"/>
        </w:rPr>
        <w:t>。</w:t>
      </w:r>
    </w:p>
    <w:p w14:paraId="28A6AFBB">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13.2.5.3</w:t>
      </w:r>
      <w:r>
        <w:rPr>
          <w:rFonts w:hint="eastAsia" w:cs="宋体" w:asciiTheme="minorEastAsia" w:hAnsiTheme="minorEastAsia" w:eastAsiaTheme="minorEastAsia"/>
          <w:kern w:val="0"/>
          <w:sz w:val="24"/>
          <w:u w:val="single"/>
        </w:rPr>
        <w:t>因特殊原因，部分单位工程甩项竣工时，双方协商订立甩项竣工协议，明确各方责任</w:t>
      </w:r>
      <w:r>
        <w:rPr>
          <w:rFonts w:hint="eastAsia" w:cs="宋体" w:asciiTheme="minorEastAsia" w:hAnsiTheme="minorEastAsia" w:eastAsiaTheme="minorEastAsia"/>
          <w:kern w:val="0"/>
          <w:sz w:val="24"/>
        </w:rPr>
        <w:t>。</w:t>
      </w:r>
    </w:p>
    <w:p w14:paraId="32652AF5">
      <w:pPr>
        <w:spacing w:line="360" w:lineRule="auto"/>
        <w:ind w:firstLine="480" w:firstLineChars="200"/>
        <w:jc w:val="left"/>
        <w:rPr>
          <w:rFonts w:ascii="宋体" w:hAnsi="宋体" w:eastAsia="宋体" w:cs="宋体"/>
          <w:sz w:val="24"/>
          <w:szCs w:val="24"/>
        </w:rPr>
      </w:pPr>
      <w:r>
        <w:rPr>
          <w:rFonts w:hint="eastAsia" w:cs="宋体" w:asciiTheme="minorEastAsia" w:hAnsiTheme="minorEastAsia" w:eastAsiaTheme="minorEastAsia"/>
          <w:kern w:val="0"/>
          <w:sz w:val="24"/>
        </w:rPr>
        <w:t>13.2.5.4</w:t>
      </w:r>
      <w:r>
        <w:rPr>
          <w:rFonts w:hint="eastAsia" w:cs="宋体" w:asciiTheme="minorEastAsia" w:hAnsiTheme="minorEastAsia" w:eastAsiaTheme="minorEastAsia"/>
          <w:kern w:val="0"/>
          <w:sz w:val="24"/>
          <w:u w:val="single"/>
        </w:rPr>
        <w:t>工程竣工验收并达到合同验收要求，承包人不得因经济纠纷而拒绝交付工程</w:t>
      </w:r>
      <w:r>
        <w:rPr>
          <w:rFonts w:hint="eastAsia" w:cs="宋体" w:asciiTheme="minorEastAsia" w:hAnsiTheme="minorEastAsia" w:eastAsiaTheme="minorEastAsia"/>
          <w:kern w:val="0"/>
          <w:sz w:val="24"/>
        </w:rPr>
        <w:t>。</w:t>
      </w:r>
    </w:p>
    <w:p w14:paraId="3C256511">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 xml:space="preserve"> 发包人不支付违约金 </w:t>
      </w:r>
      <w:r>
        <w:rPr>
          <w:rFonts w:hint="eastAsia" w:ascii="宋体" w:hAnsi="宋体" w:eastAsia="宋体" w:cs="宋体"/>
          <w:sz w:val="24"/>
          <w:szCs w:val="24"/>
        </w:rPr>
        <w:t>。</w:t>
      </w:r>
    </w:p>
    <w:p w14:paraId="6ADCE676">
      <w:pPr>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承包人未按时移交工程的，违约金的计算方法为：</w:t>
      </w:r>
      <w:r>
        <w:rPr>
          <w:rFonts w:hint="eastAsia" w:cs="宋体" w:asciiTheme="minorEastAsia" w:hAnsiTheme="minorEastAsia" w:eastAsiaTheme="minorEastAsia"/>
          <w:sz w:val="24"/>
          <w:u w:val="single"/>
        </w:rPr>
        <w:t>每拖延一天，向发包人支付壹仟元违约金</w:t>
      </w:r>
      <w:r>
        <w:rPr>
          <w:rFonts w:hint="eastAsia" w:cs="宋体" w:asciiTheme="minorEastAsia" w:hAnsiTheme="minorEastAsia" w:eastAsiaTheme="minorEastAsia"/>
          <w:sz w:val="24"/>
        </w:rPr>
        <w:t>。</w:t>
      </w:r>
    </w:p>
    <w:p w14:paraId="1DBF9969">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13.3 工程试车</w:t>
      </w:r>
    </w:p>
    <w:p w14:paraId="21AB003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13.3.1 试车程序</w:t>
      </w:r>
    </w:p>
    <w:p w14:paraId="2AE07385">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工程试车内容: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8856463">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p>
    <w:p w14:paraId="28BBEDF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p>
    <w:p w14:paraId="1B1D4EF3">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13.3.3 投料试车</w:t>
      </w:r>
    </w:p>
    <w:p w14:paraId="4010B032">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7AE853C">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13.6 竣工退场</w:t>
      </w:r>
    </w:p>
    <w:p w14:paraId="477D80F6">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13.6.1 竣工退场</w:t>
      </w:r>
    </w:p>
    <w:p w14:paraId="71DD10F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承包人完成竣工退场的期限：</w:t>
      </w:r>
    </w:p>
    <w:p w14:paraId="006B13A6">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13.6.1.1 </w:t>
      </w:r>
      <w:r>
        <w:rPr>
          <w:rFonts w:hint="eastAsia" w:cs="宋体" w:asciiTheme="minorEastAsia" w:hAnsiTheme="minorEastAsia" w:eastAsiaTheme="minorEastAsia"/>
          <w:kern w:val="0"/>
          <w:sz w:val="24"/>
          <w:u w:val="single"/>
        </w:rPr>
        <w:t>承包人应在竣工后30日内撤出竣工区域内全部临建、施工人员、机械设备和剩余材料（除收尾工程所需的以外）</w:t>
      </w:r>
      <w:r>
        <w:rPr>
          <w:rFonts w:hint="eastAsia" w:cs="宋体" w:asciiTheme="minorEastAsia" w:hAnsiTheme="minorEastAsia" w:eastAsiaTheme="minorEastAsia"/>
          <w:kern w:val="0"/>
          <w:sz w:val="24"/>
        </w:rPr>
        <w:t>。</w:t>
      </w:r>
    </w:p>
    <w:p w14:paraId="334A6444">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13.6.1.2</w:t>
      </w:r>
      <w:r>
        <w:rPr>
          <w:rFonts w:hint="eastAsia" w:cs="宋体" w:asciiTheme="minorEastAsia" w:hAnsiTheme="minorEastAsia" w:eastAsiaTheme="minorEastAsia"/>
          <w:kern w:val="0"/>
          <w:sz w:val="24"/>
          <w:u w:val="single"/>
        </w:rPr>
        <w:t>工程竣工验收合格后，双方须进行移交手续，分期竣工的工程，每一期工程须分别验收及移交。任何一方均不得无理拒收或不交。承包人应同时撤离有关工程的范围</w:t>
      </w:r>
      <w:r>
        <w:rPr>
          <w:rFonts w:hint="eastAsia" w:cs="宋体" w:asciiTheme="minorEastAsia" w:hAnsiTheme="minorEastAsia" w:eastAsiaTheme="minorEastAsia"/>
          <w:kern w:val="0"/>
          <w:sz w:val="24"/>
        </w:rPr>
        <w:t>。</w:t>
      </w:r>
    </w:p>
    <w:p w14:paraId="7762C69C">
      <w:pPr>
        <w:spacing w:line="360" w:lineRule="auto"/>
        <w:ind w:firstLine="480" w:firstLineChars="200"/>
        <w:jc w:val="left"/>
        <w:rPr>
          <w:rFonts w:ascii="宋体" w:hAnsi="宋体" w:eastAsia="宋体" w:cs="宋体"/>
          <w:sz w:val="24"/>
          <w:szCs w:val="24"/>
        </w:rPr>
      </w:pPr>
      <w:r>
        <w:rPr>
          <w:rFonts w:hint="eastAsia" w:cs="宋体" w:asciiTheme="minorEastAsia" w:hAnsiTheme="minorEastAsia" w:eastAsiaTheme="minorEastAsia"/>
          <w:kern w:val="0"/>
          <w:sz w:val="24"/>
        </w:rPr>
        <w:t>13.6.1.3</w:t>
      </w:r>
      <w:r>
        <w:rPr>
          <w:rFonts w:hint="eastAsia" w:cs="宋体" w:asciiTheme="minorEastAsia" w:hAnsiTheme="minorEastAsia" w:eastAsiaTheme="minorEastAsia"/>
          <w:kern w:val="0"/>
          <w:sz w:val="24"/>
          <w:u w:val="single"/>
        </w:rPr>
        <w:t>承包人在任何一期工程竣工验收合格后，无故不移交，并使发包人造成经济损失，承包人须负责赔偿全部发包人损失</w:t>
      </w:r>
      <w:r>
        <w:rPr>
          <w:rFonts w:hint="eastAsia" w:cs="宋体" w:asciiTheme="minorEastAsia" w:hAnsiTheme="minorEastAsia" w:eastAsiaTheme="minorEastAsia"/>
          <w:kern w:val="0"/>
          <w:sz w:val="24"/>
        </w:rPr>
        <w:t>。</w:t>
      </w:r>
    </w:p>
    <w:p w14:paraId="27F258D9">
      <w:pPr>
        <w:keepNext/>
        <w:keepLines/>
        <w:spacing w:before="120" w:after="120" w:line="60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14. 竣工结算</w:t>
      </w:r>
    </w:p>
    <w:p w14:paraId="2EE09408">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14.1 竣工付款申请</w:t>
      </w:r>
    </w:p>
    <w:p w14:paraId="7B2A583E">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承包人提交竣工付款申请单的期限：</w:t>
      </w:r>
      <w:r>
        <w:rPr>
          <w:rFonts w:hint="eastAsia" w:ascii="宋体" w:hAnsi="宋体" w:eastAsia="宋体" w:cs="宋体"/>
          <w:sz w:val="24"/>
          <w:szCs w:val="24"/>
          <w:u w:val="single"/>
        </w:rPr>
        <w:t xml:space="preserve">  工程竣工验收合格后60天内  </w:t>
      </w:r>
      <w:r>
        <w:rPr>
          <w:rFonts w:hint="eastAsia" w:ascii="宋体" w:hAnsi="宋体" w:eastAsia="宋体" w:cs="宋体"/>
          <w:sz w:val="24"/>
          <w:szCs w:val="24"/>
        </w:rPr>
        <w:t>。</w:t>
      </w:r>
    </w:p>
    <w:p w14:paraId="070AA696">
      <w:pPr>
        <w:spacing w:line="360" w:lineRule="auto"/>
        <w:ind w:firstLine="480" w:firstLineChars="200"/>
        <w:jc w:val="left"/>
        <w:rPr>
          <w:rFonts w:cs="宋体" w:asciiTheme="minorEastAsia" w:hAnsiTheme="minorEastAsia" w:eastAsiaTheme="minorEastAsia"/>
          <w:sz w:val="24"/>
          <w:u w:val="single"/>
        </w:rPr>
      </w:pPr>
      <w:r>
        <w:rPr>
          <w:rFonts w:hint="eastAsia" w:ascii="宋体" w:hAnsi="宋体" w:eastAsia="宋体" w:cs="宋体"/>
          <w:sz w:val="24"/>
          <w:szCs w:val="24"/>
        </w:rPr>
        <w:t>竣工付款申请单应包括的内容：</w:t>
      </w:r>
      <w:r>
        <w:rPr>
          <w:rFonts w:hint="eastAsia" w:ascii="宋体" w:hAnsi="宋体" w:eastAsia="宋体" w:cs="宋体"/>
          <w:sz w:val="24"/>
          <w:szCs w:val="24"/>
          <w:u w:val="single"/>
        </w:rPr>
        <w:t xml:space="preserve">  </w:t>
      </w:r>
      <w:r>
        <w:rPr>
          <w:rFonts w:hint="eastAsia" w:cs="宋体" w:asciiTheme="minorEastAsia" w:hAnsiTheme="minorEastAsia" w:eastAsiaTheme="minorEastAsia"/>
          <w:sz w:val="24"/>
          <w:u w:val="single"/>
        </w:rPr>
        <w:t>承包人在工程竣工后28天内向发包人递交竣工结算报告及完整的结算资料。承包人提交的结算资料应包含以下内容</w:t>
      </w:r>
      <w:r>
        <w:rPr>
          <w:rFonts w:hint="eastAsia" w:cs="宋体" w:asciiTheme="minorEastAsia" w:hAnsiTheme="minorEastAsia" w:eastAsiaTheme="minorEastAsia"/>
          <w:sz w:val="24"/>
        </w:rPr>
        <w:t>：</w:t>
      </w:r>
    </w:p>
    <w:p w14:paraId="6AB40D24">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u w:val="single"/>
        </w:rPr>
        <w:t>工程竣工验收报告</w:t>
      </w:r>
      <w:r>
        <w:rPr>
          <w:rFonts w:hint="eastAsia" w:cs="宋体" w:asciiTheme="minorEastAsia" w:hAnsiTheme="minorEastAsia" w:eastAsiaTheme="minorEastAsia"/>
          <w:sz w:val="24"/>
        </w:rPr>
        <w:t>；</w:t>
      </w:r>
    </w:p>
    <w:p w14:paraId="0953E18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施工组织设计</w:t>
      </w:r>
      <w:r>
        <w:rPr>
          <w:rFonts w:hint="eastAsia" w:cs="宋体" w:asciiTheme="minorEastAsia" w:hAnsiTheme="minorEastAsia" w:eastAsiaTheme="minorEastAsia"/>
          <w:kern w:val="0"/>
          <w:sz w:val="24"/>
          <w:u w:val="single"/>
        </w:rPr>
        <w:t>、施工方案、技术核定单</w:t>
      </w:r>
      <w:r>
        <w:rPr>
          <w:rFonts w:hint="eastAsia" w:cs="宋体" w:asciiTheme="minorEastAsia" w:hAnsiTheme="minorEastAsia" w:eastAsiaTheme="minorEastAsia"/>
          <w:sz w:val="24"/>
          <w:u w:val="single"/>
        </w:rPr>
        <w:t>、图纸会审记录</w:t>
      </w:r>
      <w:r>
        <w:rPr>
          <w:rFonts w:hint="eastAsia" w:cs="宋体" w:asciiTheme="minorEastAsia" w:hAnsiTheme="minorEastAsia" w:eastAsiaTheme="minorEastAsia"/>
          <w:sz w:val="24"/>
        </w:rPr>
        <w:t>；</w:t>
      </w:r>
    </w:p>
    <w:p w14:paraId="71D54910">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u w:val="single"/>
        </w:rPr>
        <w:t>加盖红章的《结算申请报告》</w:t>
      </w:r>
      <w:r>
        <w:rPr>
          <w:rFonts w:hint="eastAsia" w:cs="宋体" w:asciiTheme="minorEastAsia" w:hAnsiTheme="minorEastAsia" w:eastAsiaTheme="minorEastAsia"/>
          <w:sz w:val="24"/>
        </w:rPr>
        <w:t>；</w:t>
      </w:r>
    </w:p>
    <w:p w14:paraId="1B80367D">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u w:val="single"/>
        </w:rPr>
        <w:t>与结算相对应的有效合同、补充协议的复印件</w:t>
      </w:r>
      <w:r>
        <w:rPr>
          <w:rFonts w:hint="eastAsia" w:cs="宋体" w:asciiTheme="minorEastAsia" w:hAnsiTheme="minorEastAsia" w:eastAsiaTheme="minorEastAsia"/>
          <w:sz w:val="24"/>
        </w:rPr>
        <w:t>；</w:t>
      </w:r>
    </w:p>
    <w:p w14:paraId="2D3663C8">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u w:val="single"/>
        </w:rPr>
        <w:t>详细的工程结算造价书(含编制说明)</w:t>
      </w:r>
      <w:r>
        <w:rPr>
          <w:rFonts w:hint="eastAsia" w:cs="宋体" w:asciiTheme="minorEastAsia" w:hAnsiTheme="minorEastAsia" w:eastAsiaTheme="minorEastAsia"/>
          <w:sz w:val="24"/>
        </w:rPr>
        <w:t>；</w:t>
      </w:r>
    </w:p>
    <w:p w14:paraId="64AF424E">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sz w:val="24"/>
          <w:u w:val="single"/>
        </w:rPr>
        <w:t>工程施工过程中形成的洽谈记录/签证单等</w:t>
      </w:r>
      <w:r>
        <w:rPr>
          <w:rFonts w:hint="eastAsia" w:cs="宋体" w:asciiTheme="minorEastAsia" w:hAnsiTheme="minorEastAsia" w:eastAsiaTheme="minorEastAsia"/>
          <w:sz w:val="24"/>
        </w:rPr>
        <w:t>；</w:t>
      </w:r>
    </w:p>
    <w:p w14:paraId="3E814E0B">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w:t>
      </w:r>
      <w:r>
        <w:rPr>
          <w:rFonts w:hint="eastAsia" w:cs="宋体" w:asciiTheme="minorEastAsia" w:hAnsiTheme="minorEastAsia" w:eastAsiaTheme="minorEastAsia"/>
          <w:sz w:val="24"/>
          <w:u w:val="single"/>
        </w:rPr>
        <w:t>经相关人员签字确认的竣工图纸</w:t>
      </w:r>
      <w:r>
        <w:rPr>
          <w:rFonts w:hint="eastAsia" w:cs="宋体" w:asciiTheme="minorEastAsia" w:hAnsiTheme="minorEastAsia" w:eastAsiaTheme="minorEastAsia"/>
          <w:sz w:val="24"/>
        </w:rPr>
        <w:t>；</w:t>
      </w:r>
    </w:p>
    <w:p w14:paraId="234B6273">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8)</w:t>
      </w:r>
      <w:r>
        <w:rPr>
          <w:rFonts w:hint="eastAsia" w:cs="宋体" w:asciiTheme="minorEastAsia" w:hAnsiTheme="minorEastAsia" w:eastAsiaTheme="minorEastAsia"/>
          <w:sz w:val="24"/>
          <w:u w:val="single"/>
        </w:rPr>
        <w:t>甲、乙双方签认与结算有关的函件、会议纪要</w:t>
      </w:r>
      <w:r>
        <w:rPr>
          <w:rFonts w:hint="eastAsia" w:cs="宋体" w:asciiTheme="minorEastAsia" w:hAnsiTheme="minorEastAsia" w:eastAsiaTheme="minorEastAsia"/>
          <w:sz w:val="24"/>
        </w:rPr>
        <w:t>；</w:t>
      </w:r>
    </w:p>
    <w:p w14:paraId="6CD6531D">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9)</w:t>
      </w:r>
      <w:r>
        <w:rPr>
          <w:rFonts w:hint="eastAsia" w:cs="宋体" w:asciiTheme="minorEastAsia" w:hAnsiTheme="minorEastAsia" w:eastAsiaTheme="minorEastAsia"/>
          <w:sz w:val="24"/>
          <w:u w:val="single"/>
        </w:rPr>
        <w:t>符合发包人公司要求的经过统一编号的现场签证(后附设计变更/工程指令)资料的原件</w:t>
      </w:r>
      <w:r>
        <w:rPr>
          <w:rFonts w:hint="eastAsia" w:cs="宋体" w:asciiTheme="minorEastAsia" w:hAnsiTheme="minorEastAsia" w:eastAsiaTheme="minorEastAsia"/>
          <w:sz w:val="24"/>
        </w:rPr>
        <w:t>；</w:t>
      </w:r>
    </w:p>
    <w:p w14:paraId="2AAEF1B5">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10)</w:t>
      </w:r>
      <w:r>
        <w:rPr>
          <w:rFonts w:hint="eastAsia" w:cs="宋体" w:asciiTheme="minorEastAsia" w:hAnsiTheme="minorEastAsia" w:eastAsiaTheme="minorEastAsia"/>
          <w:sz w:val="24"/>
          <w:u w:val="single"/>
        </w:rPr>
        <w:t>其它与结算有关的资料</w:t>
      </w:r>
      <w:r>
        <w:rPr>
          <w:rFonts w:hint="eastAsia" w:cs="宋体" w:asciiTheme="minorEastAsia" w:hAnsiTheme="minorEastAsia" w:eastAsiaTheme="minorEastAsia"/>
          <w:sz w:val="24"/>
        </w:rPr>
        <w:t>。</w:t>
      </w:r>
    </w:p>
    <w:p w14:paraId="6B141FFD">
      <w:pPr>
        <w:spacing w:line="360" w:lineRule="auto"/>
        <w:ind w:firstLine="480" w:firstLineChars="200"/>
        <w:jc w:val="left"/>
        <w:rPr>
          <w:rFonts w:ascii="宋体" w:hAnsi="宋体" w:eastAsia="宋体" w:cs="宋体"/>
          <w:sz w:val="24"/>
          <w:szCs w:val="24"/>
          <w:u w:val="single"/>
        </w:rPr>
      </w:pPr>
      <w:r>
        <w:rPr>
          <w:rFonts w:hint="eastAsia" w:cs="宋体" w:asciiTheme="minorEastAsia" w:hAnsiTheme="minorEastAsia" w:eastAsiaTheme="minorEastAsia"/>
          <w:sz w:val="24"/>
        </w:rPr>
        <w:t>以上资料需装订成册。</w:t>
      </w:r>
    </w:p>
    <w:p w14:paraId="2F3508C1">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14.2 竣工结算审核</w:t>
      </w:r>
    </w:p>
    <w:p w14:paraId="749C225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发包人审批竣工付款申请单的期限：</w:t>
      </w:r>
    </w:p>
    <w:p w14:paraId="00002A8F">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u w:val="single"/>
        </w:rPr>
        <w:t>工程竣工验收合格后，在收到承包人合格的结算清单之后的28天内，发包人应完成初步审核并提交三门峡市</w:t>
      </w:r>
      <w:r>
        <w:rPr>
          <w:rFonts w:hint="eastAsia" w:ascii="宋体" w:hAnsi="宋体" w:eastAsia="宋体" w:cs="宋体"/>
          <w:sz w:val="24"/>
          <w:szCs w:val="24"/>
          <w:u w:val="single"/>
          <w:lang w:eastAsia="zh-CN"/>
        </w:rPr>
        <w:t>有关部门</w:t>
      </w:r>
      <w:r>
        <w:rPr>
          <w:rFonts w:hint="eastAsia" w:ascii="宋体" w:hAnsi="宋体" w:eastAsia="宋体" w:cs="宋体"/>
          <w:sz w:val="24"/>
          <w:szCs w:val="24"/>
          <w:u w:val="single"/>
        </w:rPr>
        <w:t xml:space="preserve">进行审计，审计完成后发包人应送给承包人一份副本  </w:t>
      </w:r>
      <w:r>
        <w:rPr>
          <w:rFonts w:hint="eastAsia" w:ascii="宋体" w:hAnsi="宋体" w:eastAsia="宋体" w:cs="宋体"/>
          <w:sz w:val="24"/>
          <w:szCs w:val="24"/>
        </w:rPr>
        <w:t>。</w:t>
      </w:r>
    </w:p>
    <w:p w14:paraId="1B4BDB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发包人完成竣工付款的期限：</w:t>
      </w:r>
      <w:r>
        <w:rPr>
          <w:rFonts w:hint="eastAsia" w:ascii="宋体" w:hAnsi="宋体" w:eastAsia="宋体" w:cs="宋体"/>
          <w:sz w:val="24"/>
          <w:szCs w:val="24"/>
          <w:u w:val="single"/>
        </w:rPr>
        <w:t xml:space="preserve">  结算审核完成后180天内</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cs="宋体" w:asciiTheme="minorEastAsia" w:hAnsiTheme="minorEastAsia" w:eastAsiaTheme="minorEastAsia"/>
          <w:sz w:val="24"/>
          <w:u w:val="single"/>
        </w:rPr>
        <w:t>对于承包人没有结算资料和依据的结算请求，发包人不予结算。承包人不能报送竣工结算资料，视为放弃；放弃部分发包人只计算变更减少部分，不再计算变更增加部分。</w:t>
      </w:r>
    </w:p>
    <w:p w14:paraId="3393C83F">
      <w:pPr>
        <w:spacing w:line="360" w:lineRule="auto"/>
        <w:ind w:firstLine="480" w:firstLineChars="200"/>
        <w:rPr>
          <w:rFonts w:cs="宋体" w:asciiTheme="minorEastAsia" w:hAnsiTheme="minorEastAsia" w:eastAsiaTheme="minorEastAsia"/>
          <w:sz w:val="24"/>
        </w:rPr>
      </w:pPr>
      <w:r>
        <w:rPr>
          <w:rFonts w:hint="eastAsia" w:ascii="宋体" w:hAnsi="宋体" w:eastAsia="宋体" w:cs="宋体"/>
          <w:sz w:val="24"/>
          <w:szCs w:val="24"/>
        </w:rPr>
        <w:t>关于竣工付款证书异议部分复核的方式和程序：</w:t>
      </w:r>
      <w:r>
        <w:rPr>
          <w:rFonts w:hint="eastAsia" w:cs="宋体" w:asciiTheme="minorEastAsia" w:hAnsiTheme="minorEastAsia" w:eastAsiaTheme="minorEastAsia"/>
          <w:sz w:val="24"/>
        </w:rPr>
        <w:t>1）</w:t>
      </w:r>
      <w:r>
        <w:rPr>
          <w:rFonts w:hint="eastAsia" w:cs="宋体" w:asciiTheme="minorEastAsia" w:hAnsiTheme="minorEastAsia" w:eastAsiaTheme="minorEastAsia"/>
          <w:sz w:val="24"/>
          <w:u w:val="single"/>
        </w:rPr>
        <w:t>承包人的异议应以书面的形式提出，内容具体、明确，并阐明理由、提供依据</w:t>
      </w:r>
      <w:r>
        <w:rPr>
          <w:rFonts w:hint="eastAsia" w:cs="宋体" w:asciiTheme="minorEastAsia" w:hAnsiTheme="minorEastAsia" w:eastAsiaTheme="minorEastAsia"/>
          <w:sz w:val="24"/>
        </w:rPr>
        <w:t>；</w:t>
      </w:r>
    </w:p>
    <w:p w14:paraId="51FD2FF0">
      <w:pPr>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针对承包人的异议，发包人在28天内进行复核，承包人予以配合；</w:t>
      </w:r>
    </w:p>
    <w:p w14:paraId="2EA9600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工程竣工结算补充约定如下：</w:t>
      </w:r>
    </w:p>
    <w:p w14:paraId="6866AC5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（1）工程竣工结算应根据下列依据编制和复核：</w:t>
      </w:r>
    </w:p>
    <w:p w14:paraId="3FFDA2A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1）建设工程工程量清单计价规范（GB50500-2013）；</w:t>
      </w:r>
    </w:p>
    <w:p w14:paraId="337806C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2）本工程合同；</w:t>
      </w:r>
    </w:p>
    <w:p w14:paraId="4F63566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3）招投标文件；</w:t>
      </w:r>
    </w:p>
    <w:p w14:paraId="4DA8A95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4）建设工程设计文件及相关资料；</w:t>
      </w:r>
    </w:p>
    <w:p w14:paraId="79751ED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5）发包人结算工作相关文件规定；</w:t>
      </w:r>
    </w:p>
    <w:p w14:paraId="208BA15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6）其他依据。</w:t>
      </w:r>
    </w:p>
    <w:p w14:paraId="181EE1C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（2）分部分项工程和措施项目中的单价项目应依据发承包双方确认的工程量与</w:t>
      </w:r>
      <w:r>
        <w:rPr>
          <w:rFonts w:hint="eastAsia" w:cs="宋体" w:asciiTheme="minorEastAsia" w:hAnsiTheme="minorEastAsia"/>
          <w:sz w:val="24"/>
          <w:lang w:eastAsia="zh-CN"/>
        </w:rPr>
        <w:t>乙方</w:t>
      </w:r>
      <w:r>
        <w:rPr>
          <w:rFonts w:hint="eastAsia" w:cs="宋体" w:asciiTheme="minorEastAsia" w:hAnsiTheme="minorEastAsia" w:eastAsiaTheme="minorEastAsia"/>
          <w:sz w:val="24"/>
        </w:rPr>
        <w:t>已标价工程量清单的</w:t>
      </w:r>
      <w:r>
        <w:rPr>
          <w:rFonts w:hint="eastAsia" w:cs="宋体" w:asciiTheme="minorEastAsia" w:hAnsiTheme="minorEastAsia"/>
          <w:sz w:val="24"/>
          <w:lang w:eastAsia="zh-CN"/>
        </w:rPr>
        <w:t>最终报价</w:t>
      </w:r>
      <w:r>
        <w:rPr>
          <w:rFonts w:hint="eastAsia" w:cs="宋体" w:asciiTheme="minorEastAsia" w:hAnsiTheme="minorEastAsia" w:eastAsiaTheme="minorEastAsia"/>
          <w:sz w:val="24"/>
        </w:rPr>
        <w:t>综合单价计算。</w:t>
      </w:r>
    </w:p>
    <w:p w14:paraId="328B2D2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（3）其他项目应按下列规定计价：</w:t>
      </w:r>
    </w:p>
    <w:p w14:paraId="3299122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l）计日工应按发包人实际签证确认的事项计算；</w:t>
      </w:r>
    </w:p>
    <w:p w14:paraId="203B37A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暂估价应按以下原则计算：发包人在招标工程量清单中给定暂估价的材料、工程设备、专业工程属于依法必须招标的，应以中标价为依据取代暂估价，调整合同价款；发包人在招标工程量清单中给定暂估价的材料、工程设备、专业工程不属于依法必须招标的，应由承包人按照合同约定采购或发包，经发包人确认单价后取代暂估价，调整合同价款；</w:t>
      </w:r>
    </w:p>
    <w:p w14:paraId="5D7E524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3）索赔费用应依据发承包双方确认的索赔事项和金额计算；</w:t>
      </w:r>
    </w:p>
    <w:p w14:paraId="3096F94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4）现场签证费用应依据发承包双方签证资料确认计算；</w:t>
      </w:r>
    </w:p>
    <w:p w14:paraId="44235182">
      <w:pPr>
        <w:spacing w:line="360" w:lineRule="auto"/>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sz w:val="24"/>
        </w:rPr>
        <w:t>5</w:t>
      </w:r>
      <w:r>
        <w:rPr>
          <w:rFonts w:hint="eastAsia" w:cs="宋体" w:asciiTheme="minorEastAsia" w:hAnsiTheme="minorEastAsia" w:eastAsiaTheme="minorEastAsia"/>
          <w:color w:val="auto"/>
          <w:sz w:val="24"/>
        </w:rPr>
        <w:t>）本合同总价款以中标价减去暂列金额为准；</w:t>
      </w:r>
      <w:r>
        <w:rPr>
          <w:rFonts w:hint="eastAsia" w:cs="宋体" w:asciiTheme="minorEastAsia" w:hAnsiTheme="minorEastAsia"/>
          <w:color w:val="auto"/>
          <w:sz w:val="24"/>
          <w:lang w:eastAsia="zh-CN"/>
        </w:rPr>
        <w:t>暂列金额的使用应以现场监理和建设单位负责人出具的有关证明文件为准。</w:t>
      </w:r>
    </w:p>
    <w:p w14:paraId="3B7009C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6）违约费用按照本合同约定计算，违约扣除款项在支付节点款项时扣除。</w:t>
      </w:r>
    </w:p>
    <w:p w14:paraId="46ED3A1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（4）规费和税金应按河南省建设主管部门的规定计算。</w:t>
      </w:r>
    </w:p>
    <w:p w14:paraId="5D2AD42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（5）发承包双方在合同工程实施过程中已经确认的工程计量结果和合同价款，在竣工结算办理中直接进入结算。</w:t>
      </w:r>
    </w:p>
    <w:p w14:paraId="6CE1723A">
      <w:pPr>
        <w:spacing w:line="360" w:lineRule="auto"/>
        <w:ind w:firstLine="480" w:firstLineChars="200"/>
        <w:rPr>
          <w:rFonts w:hint="eastAsia" w:ascii="宋体" w:hAnsi="宋体" w:cs="宋体" w:eastAsiaTheme="minorEastAsia"/>
          <w:color w:val="auto"/>
          <w:sz w:val="24"/>
          <w:szCs w:val="24"/>
          <w:u w:val="single"/>
          <w:lang w:eastAsia="zh-CN"/>
        </w:rPr>
      </w:pPr>
      <w:r>
        <w:rPr>
          <w:rFonts w:hint="eastAsia" w:cs="宋体" w:asciiTheme="minorEastAsia" w:hAnsiTheme="minorEastAsia" w:eastAsiaTheme="minorEastAsia"/>
          <w:color w:val="auto"/>
          <w:sz w:val="24"/>
        </w:rPr>
        <w:t>（6）承包人应按实编制报送工程结算书,</w:t>
      </w:r>
      <w:r>
        <w:rPr>
          <w:rFonts w:hint="eastAsia" w:cs="宋体" w:asciiTheme="minorEastAsia" w:hAnsiTheme="minorEastAsia"/>
          <w:color w:val="auto"/>
          <w:sz w:val="24"/>
          <w:lang w:eastAsia="zh-CN"/>
        </w:rPr>
        <w:t>以</w:t>
      </w:r>
      <w:r>
        <w:rPr>
          <w:rFonts w:hint="eastAsia" w:cs="宋体" w:asciiTheme="minorEastAsia" w:hAnsiTheme="minorEastAsia" w:eastAsiaTheme="minorEastAsia"/>
          <w:color w:val="auto"/>
          <w:sz w:val="24"/>
        </w:rPr>
        <w:t>经发包人委托的中介机构或审计部门审计后</w:t>
      </w:r>
      <w:r>
        <w:rPr>
          <w:rFonts w:hint="eastAsia" w:cs="宋体" w:asciiTheme="minorEastAsia" w:hAnsiTheme="minorEastAsia"/>
          <w:color w:val="auto"/>
          <w:sz w:val="24"/>
          <w:lang w:eastAsia="zh-CN"/>
        </w:rPr>
        <w:t>结果为准。</w:t>
      </w:r>
    </w:p>
    <w:p w14:paraId="284204FC">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14.4 最终结清</w:t>
      </w:r>
    </w:p>
    <w:p w14:paraId="3807DB9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14.4.1 最终结清申请单</w:t>
      </w:r>
    </w:p>
    <w:p w14:paraId="27694C1F">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 xml:space="preserve">     4份     </w:t>
      </w:r>
      <w:r>
        <w:rPr>
          <w:rFonts w:hint="eastAsia" w:ascii="宋体" w:hAnsi="宋体" w:eastAsia="宋体" w:cs="宋体"/>
          <w:sz w:val="24"/>
          <w:szCs w:val="24"/>
        </w:rPr>
        <w:t>。</w:t>
      </w:r>
    </w:p>
    <w:p w14:paraId="01415A5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 xml:space="preserve">     60天    </w:t>
      </w:r>
      <w:r>
        <w:rPr>
          <w:rFonts w:hint="eastAsia" w:ascii="宋体" w:hAnsi="宋体" w:eastAsia="宋体" w:cs="宋体"/>
          <w:sz w:val="24"/>
          <w:szCs w:val="24"/>
        </w:rPr>
        <w:t>。</w:t>
      </w:r>
    </w:p>
    <w:p w14:paraId="25FB0DE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14.4.2 最终结清证书和支付</w:t>
      </w:r>
    </w:p>
    <w:p w14:paraId="54847003">
      <w:pPr>
        <w:spacing w:line="600" w:lineRule="exact"/>
        <w:ind w:firstLine="360" w:firstLineChars="150"/>
        <w:rPr>
          <w:rFonts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ADC57D">
      <w:pPr>
        <w:spacing w:line="600" w:lineRule="exact"/>
        <w:ind w:firstLine="360" w:firstLineChars="150"/>
        <w:rPr>
          <w:rFonts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31B09F">
      <w:pPr>
        <w:keepNext/>
        <w:keepLines/>
        <w:spacing w:before="120" w:after="120" w:line="600" w:lineRule="exact"/>
        <w:ind w:firstLine="501" w:firstLineChars="209"/>
        <w:outlineLvl w:val="3"/>
        <w:rPr>
          <w:rFonts w:ascii="宋体" w:hAnsi="宋体" w:eastAsia="宋体" w:cs="宋体"/>
          <w:b/>
          <w:bCs/>
          <w:sz w:val="24"/>
          <w:szCs w:val="24"/>
        </w:rPr>
      </w:pPr>
      <w:r>
        <w:rPr>
          <w:rFonts w:hint="eastAsia" w:ascii="宋体" w:hAnsi="宋体" w:eastAsia="宋体" w:cs="宋体"/>
          <w:b/>
          <w:bCs/>
          <w:sz w:val="24"/>
          <w:szCs w:val="24"/>
        </w:rPr>
        <w:t>15. 缺陷责任期与保修</w:t>
      </w:r>
    </w:p>
    <w:p w14:paraId="252F7876">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15.2缺陷责任期</w:t>
      </w:r>
    </w:p>
    <w:p w14:paraId="349E6C20">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缺陷责任期的具体期限：</w:t>
      </w:r>
      <w:r>
        <w:rPr>
          <w:rFonts w:hint="eastAsia" w:ascii="宋体" w:hAnsi="宋体" w:eastAsia="宋体" w:cs="宋体"/>
          <w:sz w:val="24"/>
          <w:szCs w:val="24"/>
          <w:u w:val="single"/>
        </w:rPr>
        <w:t>从工程竣工验收合格之日起</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 xml:space="preserve">个月 </w:t>
      </w:r>
      <w:r>
        <w:rPr>
          <w:rFonts w:hint="eastAsia" w:ascii="宋体" w:hAnsi="宋体" w:eastAsia="宋体" w:cs="宋体"/>
          <w:sz w:val="24"/>
          <w:szCs w:val="24"/>
        </w:rPr>
        <w:t>。</w:t>
      </w:r>
    </w:p>
    <w:p w14:paraId="4F1DACED">
      <w:pPr>
        <w:snapToGrid w:val="0"/>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15.3 质量保证金</w:t>
      </w:r>
    </w:p>
    <w:p w14:paraId="1C3216D4">
      <w:pPr>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 xml:space="preserve">  是  </w:t>
      </w:r>
      <w:r>
        <w:rPr>
          <w:rFonts w:hint="eastAsia" w:ascii="宋体" w:hAnsi="宋体" w:eastAsia="宋体" w:cs="宋体"/>
          <w:sz w:val="24"/>
          <w:szCs w:val="24"/>
        </w:rPr>
        <w:t>。在工程项目竣工前，承包人按专用合同条款第3.7条提供履约担保的，发包人不得同时预留工程质量保证金。</w:t>
      </w:r>
    </w:p>
    <w:p w14:paraId="07B9319B">
      <w:pPr>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15.3.1 承包人提供质量保证金的方式</w:t>
      </w:r>
    </w:p>
    <w:p w14:paraId="51A0B7FC">
      <w:pPr>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7DEA27B2">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2882EF2">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3  </w:t>
      </w:r>
      <w:r>
        <w:rPr>
          <w:rFonts w:hint="eastAsia" w:ascii="宋体" w:hAnsi="宋体" w:eastAsia="宋体" w:cs="宋体"/>
          <w:sz w:val="24"/>
          <w:szCs w:val="24"/>
        </w:rPr>
        <w:t>%的工程款；</w:t>
      </w:r>
    </w:p>
    <w:p w14:paraId="05B11D32">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A49A2A9">
      <w:pPr>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15.3.2 质量保证金的扣留 </w:t>
      </w:r>
    </w:p>
    <w:p w14:paraId="5B63E06B">
      <w:pPr>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566377EF">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（1）在支付工程进度款时逐次扣留，在此情形下，质量保证金的计算基数不包括预付款的支付、扣回以及价格调整的金额；</w:t>
      </w:r>
    </w:p>
    <w:p w14:paraId="759A29F4">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（2）工程竣工结算时一次性扣留质量保证金；</w:t>
      </w:r>
    </w:p>
    <w:p w14:paraId="5A8BA49F">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D4EE82E">
      <w:pPr>
        <w:snapToGrid w:val="0"/>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缺陷责任期</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 xml:space="preserve">个月，质量保证金不计算利息 </w:t>
      </w:r>
      <w:r>
        <w:rPr>
          <w:rFonts w:hint="eastAsia" w:ascii="宋体" w:hAnsi="宋体" w:eastAsia="宋体" w:cs="宋体"/>
          <w:sz w:val="24"/>
          <w:szCs w:val="24"/>
        </w:rPr>
        <w:t>。</w:t>
      </w:r>
    </w:p>
    <w:p w14:paraId="33FD2583">
      <w:pPr>
        <w:snapToGrid w:val="0"/>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15.4保修</w:t>
      </w:r>
    </w:p>
    <w:p w14:paraId="55CDBEAC">
      <w:pPr>
        <w:autoSpaceDE w:val="0"/>
        <w:autoSpaceDN w:val="0"/>
        <w:adjustRightInd w:val="0"/>
        <w:snapToGri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15.4.1 保修责任</w:t>
      </w:r>
    </w:p>
    <w:p w14:paraId="456FC927">
      <w:pPr>
        <w:autoSpaceDE w:val="0"/>
        <w:autoSpaceDN w:val="0"/>
        <w:adjustRightInd w:val="0"/>
        <w:snapToGrid w:val="0"/>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工程保修期为：</w:t>
      </w:r>
      <w:r>
        <w:rPr>
          <w:rFonts w:hint="eastAsia" w:ascii="宋体" w:hAnsi="宋体" w:eastAsia="宋体" w:cs="宋体"/>
          <w:sz w:val="24"/>
          <w:szCs w:val="24"/>
          <w:u w:val="single"/>
        </w:rPr>
        <w:t xml:space="preserve"> 按照国家规定的保修期限；基础结构等项目按照设计文件规定的工程合理使用年限；国家没有规定同时设计文件未规定的项目从工程竣工验收合格之日起保修期12个月 </w:t>
      </w:r>
      <w:r>
        <w:rPr>
          <w:rFonts w:hint="eastAsia" w:ascii="宋体" w:hAnsi="宋体" w:eastAsia="宋体" w:cs="宋体"/>
          <w:sz w:val="24"/>
          <w:szCs w:val="24"/>
        </w:rPr>
        <w:t>。</w:t>
      </w:r>
    </w:p>
    <w:p w14:paraId="37F7B7C3">
      <w:pPr>
        <w:widowControl/>
        <w:shd w:val="clear" w:color="auto" w:fill="FFFFFF"/>
        <w:snapToGrid w:val="0"/>
        <w:spacing w:line="600" w:lineRule="exact"/>
        <w:ind w:left="100" w:leftChars="48" w:right="100" w:firstLine="480" w:firstLineChars="200"/>
        <w:rPr>
          <w:rFonts w:ascii="宋体" w:hAnsi="宋体" w:eastAsia="宋体" w:cs="宋体"/>
          <w:kern w:val="0"/>
          <w:sz w:val="24"/>
          <w:szCs w:val="24"/>
        </w:rPr>
      </w:pPr>
      <w:r>
        <w:rPr>
          <w:rFonts w:hint="eastAsia" w:ascii="宋体" w:hAnsi="宋体" w:eastAsia="宋体" w:cs="宋体"/>
          <w:kern w:val="0"/>
          <w:sz w:val="24"/>
          <w:szCs w:val="24"/>
        </w:rPr>
        <w:t>15.4.3 修复通知</w:t>
      </w:r>
    </w:p>
    <w:p w14:paraId="694D4FB9">
      <w:pPr>
        <w:spacing w:line="614" w:lineRule="exact"/>
        <w:ind w:firstLine="468" w:firstLineChars="195"/>
        <w:rPr>
          <w:rFonts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eastAsia="宋体" w:cs="宋体"/>
          <w:sz w:val="24"/>
          <w:szCs w:val="24"/>
          <w:u w:val="single"/>
        </w:rPr>
        <w:t xml:space="preserve">承包人应当在接到保修通知起24小时内到达现场进行保修。承包人不在约定期限内派人保修的，发包人可以委托他人修理，费用由承包人承担 </w:t>
      </w:r>
      <w:r>
        <w:rPr>
          <w:rFonts w:hint="eastAsia" w:ascii="宋体" w:hAnsi="宋体" w:eastAsia="宋体" w:cs="宋体"/>
          <w:sz w:val="24"/>
          <w:szCs w:val="24"/>
        </w:rPr>
        <w:t>。</w:t>
      </w:r>
    </w:p>
    <w:p w14:paraId="2AC1A379">
      <w:pPr>
        <w:keepNext/>
        <w:keepLines/>
        <w:spacing w:before="120" w:after="120" w:line="614" w:lineRule="exact"/>
        <w:ind w:firstLine="458" w:firstLineChars="191"/>
        <w:outlineLvl w:val="3"/>
        <w:rPr>
          <w:rFonts w:ascii="宋体" w:hAnsi="宋体" w:eastAsia="宋体" w:cs="宋体"/>
          <w:b/>
          <w:bCs/>
          <w:sz w:val="24"/>
          <w:szCs w:val="24"/>
        </w:rPr>
      </w:pPr>
      <w:r>
        <w:rPr>
          <w:rFonts w:hint="eastAsia" w:ascii="宋体" w:hAnsi="宋体" w:eastAsia="宋体" w:cs="宋体"/>
          <w:b/>
          <w:bCs/>
          <w:sz w:val="24"/>
          <w:szCs w:val="24"/>
        </w:rPr>
        <w:t>16. 违约</w:t>
      </w:r>
    </w:p>
    <w:p w14:paraId="5C855C4F">
      <w:pPr>
        <w:spacing w:after="120" w:line="614" w:lineRule="exact"/>
        <w:ind w:firstLine="480" w:firstLineChars="200"/>
        <w:rPr>
          <w:rFonts w:ascii="宋体" w:hAnsi="宋体" w:eastAsia="宋体" w:cs="宋体"/>
          <w:sz w:val="24"/>
          <w:szCs w:val="24"/>
        </w:rPr>
      </w:pPr>
      <w:r>
        <w:rPr>
          <w:rFonts w:hint="eastAsia" w:ascii="宋体" w:hAnsi="宋体" w:eastAsia="宋体" w:cs="宋体"/>
          <w:sz w:val="24"/>
          <w:szCs w:val="24"/>
        </w:rPr>
        <w:t>16.1 发包人违约</w:t>
      </w:r>
    </w:p>
    <w:p w14:paraId="5DAE37D2">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16.1.1发包人违约的情形</w:t>
      </w:r>
    </w:p>
    <w:p w14:paraId="17C6419A">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37CFFA7">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16.1.2 发包人违约的责任</w:t>
      </w:r>
    </w:p>
    <w:p w14:paraId="33AA1AB4">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发包人违约责任的承担方式和计算方法：</w:t>
      </w:r>
    </w:p>
    <w:p w14:paraId="275C5AB0">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eastAsia="宋体" w:cs="宋体"/>
          <w:sz w:val="24"/>
          <w:szCs w:val="24"/>
          <w:u w:val="single"/>
        </w:rPr>
        <w:t xml:space="preserve">  发包人不支付违约金 </w:t>
      </w:r>
      <w:r>
        <w:rPr>
          <w:rFonts w:hint="eastAsia" w:ascii="宋体" w:hAnsi="宋体" w:eastAsia="宋体" w:cs="宋体"/>
          <w:sz w:val="24"/>
          <w:szCs w:val="24"/>
        </w:rPr>
        <w:t>。</w:t>
      </w:r>
    </w:p>
    <w:p w14:paraId="537B0068">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（2）因发包人原因未能按合同约定支付合同价款的违约责任：</w:t>
      </w:r>
      <w:r>
        <w:rPr>
          <w:rFonts w:hint="eastAsia" w:ascii="宋体" w:hAnsi="宋体" w:eastAsia="宋体" w:cs="宋体"/>
          <w:sz w:val="24"/>
          <w:szCs w:val="24"/>
          <w:u w:val="single"/>
        </w:rPr>
        <w:t xml:space="preserve"> 发包人不支付违约金 </w:t>
      </w:r>
      <w:r>
        <w:rPr>
          <w:rFonts w:hint="eastAsia" w:ascii="宋体" w:hAnsi="宋体" w:eastAsia="宋体" w:cs="宋体"/>
          <w:sz w:val="24"/>
          <w:szCs w:val="24"/>
        </w:rPr>
        <w:t>。</w:t>
      </w:r>
    </w:p>
    <w:p w14:paraId="795A5B0A">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（3）发包人违反第10.1款〔变更的范围〕第（2）项</w:t>
      </w:r>
      <w:r>
        <w:rPr>
          <w:rFonts w:hint="eastAsia" w:ascii="宋体" w:hAnsi="宋体" w:eastAsia="宋体" w:cs="宋体"/>
          <w:spacing w:val="20"/>
          <w:sz w:val="24"/>
          <w:szCs w:val="24"/>
        </w:rPr>
        <w:t>约定，自行实施被取消的工作或转由他人实施的违约责任：</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20EC981">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sz w:val="24"/>
          <w:szCs w:val="24"/>
          <w:u w:val="single"/>
        </w:rPr>
        <w:t xml:space="preserve"> 工期顺延，发包人不支付违约金 </w:t>
      </w:r>
      <w:r>
        <w:rPr>
          <w:rFonts w:hint="eastAsia" w:ascii="宋体" w:hAnsi="宋体" w:eastAsia="宋体" w:cs="宋体"/>
          <w:sz w:val="24"/>
          <w:szCs w:val="24"/>
        </w:rPr>
        <w:t>。</w:t>
      </w:r>
    </w:p>
    <w:p w14:paraId="7C6A6265">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10"/>
          <w:sz w:val="24"/>
          <w:szCs w:val="24"/>
        </w:rPr>
        <w:t>因发包人违反合同约定造成暂停施工的违约责任：</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5D955459">
      <w:pPr>
        <w:spacing w:after="120" w:line="640" w:lineRule="exact"/>
        <w:ind w:firstLine="480" w:firstLineChars="200"/>
        <w:rPr>
          <w:rFonts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5D8D029A">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（7）其他：</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592C887">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16.1.3 因发包人违约解除合同</w:t>
      </w:r>
    </w:p>
    <w:p w14:paraId="1B5D590B">
      <w:pPr>
        <w:spacing w:after="120" w:line="560" w:lineRule="exact"/>
        <w:ind w:firstLine="480" w:firstLineChars="200"/>
        <w:rPr>
          <w:rFonts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180 </w:t>
      </w:r>
      <w:r>
        <w:rPr>
          <w:rFonts w:hint="eastAsia" w:ascii="宋体" w:hAnsi="宋体" w:eastAsia="宋体" w:cs="宋体"/>
          <w:sz w:val="24"/>
          <w:szCs w:val="24"/>
        </w:rPr>
        <w:t>天后发包人仍不纠正其违约行为并致使合同目的不能实现的，承包人有权解除合同。</w:t>
      </w:r>
    </w:p>
    <w:p w14:paraId="3860C02E">
      <w:pPr>
        <w:spacing w:after="120" w:line="560" w:lineRule="exact"/>
        <w:ind w:firstLine="480" w:firstLineChars="200"/>
        <w:rPr>
          <w:rFonts w:ascii="宋体" w:hAnsi="宋体" w:eastAsia="宋体" w:cs="宋体"/>
          <w:sz w:val="24"/>
          <w:szCs w:val="24"/>
        </w:rPr>
      </w:pPr>
      <w:r>
        <w:rPr>
          <w:rFonts w:hint="eastAsia" w:ascii="宋体" w:hAnsi="宋体" w:eastAsia="宋体" w:cs="宋体"/>
          <w:sz w:val="24"/>
          <w:szCs w:val="24"/>
        </w:rPr>
        <w:t>16.2 承包人违约</w:t>
      </w:r>
    </w:p>
    <w:p w14:paraId="5752BF16">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16.2.1 承包人违约的情形</w:t>
      </w:r>
    </w:p>
    <w:p w14:paraId="0D9E8BCA">
      <w:pPr>
        <w:snapToGrid w:val="0"/>
        <w:spacing w:line="560" w:lineRule="exact"/>
        <w:ind w:firstLine="623"/>
        <w:rPr>
          <w:rFonts w:ascii="宋体" w:hAnsi="宋体" w:eastAsia="宋体" w:cs="宋体"/>
          <w:sz w:val="24"/>
          <w:szCs w:val="24"/>
        </w:rPr>
      </w:pPr>
      <w:r>
        <w:rPr>
          <w:rFonts w:hint="eastAsia" w:ascii="宋体" w:hAnsi="宋体" w:eastAsia="宋体" w:cs="宋体"/>
          <w:sz w:val="24"/>
          <w:szCs w:val="24"/>
        </w:rPr>
        <w:t>承包人违约的其他情形：</w:t>
      </w:r>
    </w:p>
    <w:p w14:paraId="1BABC352">
      <w:pPr>
        <w:snapToGrid w:val="0"/>
        <w:spacing w:line="560" w:lineRule="exact"/>
        <w:ind w:firstLine="623"/>
        <w:rPr>
          <w:rFonts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napToGrid w:val="0"/>
          <w:kern w:val="0"/>
          <w:sz w:val="24"/>
          <w:szCs w:val="24"/>
          <w:u w:val="single"/>
        </w:rPr>
        <w:t>承包人应保证执行三门峡市建委三建字（2006）48号文件，在进行劳务作业分包时，必须使用有相应资质的劳务分包企业，禁止将劳务作业分包给包工头。若分包给没有资质的劳务分包企业，发包人将终止合同</w:t>
      </w:r>
      <w:r>
        <w:rPr>
          <w:rFonts w:hint="eastAsia" w:ascii="宋体" w:hAnsi="宋体" w:eastAsia="宋体" w:cs="宋体"/>
          <w:snapToGrid w:val="0"/>
          <w:kern w:val="0"/>
          <w:sz w:val="24"/>
          <w:szCs w:val="24"/>
        </w:rPr>
        <w:t>。</w:t>
      </w:r>
    </w:p>
    <w:p w14:paraId="55092D2A">
      <w:pPr>
        <w:snapToGrid w:val="0"/>
        <w:spacing w:line="560" w:lineRule="exact"/>
        <w:ind w:firstLine="623"/>
        <w:rPr>
          <w:rFonts w:ascii="宋体" w:hAnsi="宋体" w:eastAsia="宋体" w:cs="宋体"/>
          <w:sz w:val="24"/>
          <w:szCs w:val="24"/>
          <w:u w:val="single"/>
        </w:rPr>
      </w:pPr>
      <w:r>
        <w:rPr>
          <w:rFonts w:hint="eastAsia" w:ascii="宋体" w:hAnsi="宋体" w:eastAsia="宋体" w:cs="宋体"/>
          <w:sz w:val="24"/>
          <w:szCs w:val="24"/>
          <w:u w:val="single"/>
        </w:rPr>
        <w:t>2、质量监督单位、监理单位下达停工通知和整改通知的，每次处罚承包人3000元</w:t>
      </w:r>
      <w:r>
        <w:rPr>
          <w:rFonts w:hint="eastAsia" w:ascii="宋体" w:hAnsi="宋体" w:eastAsia="宋体" w:cs="宋体"/>
          <w:sz w:val="24"/>
          <w:szCs w:val="24"/>
        </w:rPr>
        <w:t>。</w:t>
      </w:r>
    </w:p>
    <w:p w14:paraId="2DA998E7">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16.2.2承包人违约的责任</w:t>
      </w:r>
    </w:p>
    <w:p w14:paraId="3330743A">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承包人违约责任的承担方式和计算方法：</w:t>
      </w:r>
    </w:p>
    <w:p w14:paraId="64C3A4B3">
      <w:pPr>
        <w:snapToGrid w:val="0"/>
        <w:spacing w:line="560" w:lineRule="exact"/>
        <w:ind w:firstLine="623"/>
        <w:rPr>
          <w:rFonts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pacing w:val="4"/>
          <w:sz w:val="24"/>
          <w:szCs w:val="24"/>
          <w:u w:val="single"/>
        </w:rPr>
        <w:t>承包人不得以任何形式将工程分包、转包，投标文件中载明的项目经理及主要管理人员未经发包人同意不得更换或缺席，否则发包人有权立即终止合同，收回工程项目，并要求承包人承担由此造成的损失。同时发包人将拒绝承包人参加今后的工程招投标，并有权要求承包人支付违约金</w:t>
      </w:r>
      <w:r>
        <w:rPr>
          <w:rFonts w:hint="eastAsia" w:ascii="宋体" w:hAnsi="宋体" w:eastAsia="宋体" w:cs="宋体"/>
          <w:spacing w:val="4"/>
          <w:sz w:val="24"/>
          <w:szCs w:val="24"/>
        </w:rPr>
        <w:t>。</w:t>
      </w:r>
    </w:p>
    <w:p w14:paraId="4288C25A">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若承包人承建的工程达不到现行建设工程施工及验收规范合格标准，无偿返工直至达到工程质量合格标准，并赔偿发包人由此造成的一切经济损失。同时支付不合格部分工程造价的10%的违约金。由此造成的工期延误，按7.5条款规定处罚</w:t>
      </w:r>
      <w:r>
        <w:rPr>
          <w:rFonts w:hint="eastAsia" w:ascii="宋体" w:hAnsi="宋体" w:eastAsia="宋体" w:cs="宋体"/>
          <w:sz w:val="24"/>
          <w:szCs w:val="24"/>
        </w:rPr>
        <w:t>。</w:t>
      </w:r>
    </w:p>
    <w:p w14:paraId="48960B86">
      <w:pPr>
        <w:autoSpaceDE w:val="0"/>
        <w:autoSpaceDN w:val="0"/>
        <w:adjustRightIn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承包人违反合同约定采购和使用不合格的材料和工程设备的除更换合格材料设备外每次支付违约金</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万元</w:t>
      </w:r>
      <w:r>
        <w:rPr>
          <w:rFonts w:hint="eastAsia" w:ascii="宋体" w:hAnsi="宋体" w:eastAsia="宋体" w:cs="宋体"/>
          <w:sz w:val="24"/>
          <w:szCs w:val="24"/>
        </w:rPr>
        <w:t>。</w:t>
      </w:r>
    </w:p>
    <w:p w14:paraId="6F8878B7">
      <w:pPr>
        <w:autoSpaceDE w:val="0"/>
        <w:autoSpaceDN w:val="0"/>
        <w:adjustRightIn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u w:val="single"/>
        </w:rPr>
        <w:t>承包人未经批准私自将已按照合同约定进入施工现场的材料或设备撤离施工现场的支付违约金</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万元</w:t>
      </w:r>
      <w:r>
        <w:rPr>
          <w:rFonts w:hint="eastAsia" w:ascii="宋体" w:hAnsi="宋体" w:eastAsia="宋体" w:cs="宋体"/>
          <w:sz w:val="24"/>
          <w:szCs w:val="24"/>
        </w:rPr>
        <w:t>。</w:t>
      </w:r>
    </w:p>
    <w:p w14:paraId="0E6FB413">
      <w:pPr>
        <w:autoSpaceDE w:val="0"/>
        <w:autoSpaceDN w:val="0"/>
        <w:adjustRightInd w:val="0"/>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承包人在缺陷责任期及保修期内，未能在合理期限对工程缺陷进行修复，或拒绝按发包人要求进行修复的；承包人未能按照合同约定履行其他义务的。由承包人承担全部费用并赔偿发包人全部损失</w:t>
      </w:r>
      <w:r>
        <w:rPr>
          <w:rFonts w:hint="eastAsia" w:ascii="宋体" w:hAnsi="宋体" w:eastAsia="宋体" w:cs="宋体"/>
          <w:sz w:val="24"/>
          <w:szCs w:val="24"/>
        </w:rPr>
        <w:t>。</w:t>
      </w:r>
    </w:p>
    <w:p w14:paraId="56B4E675">
      <w:pPr>
        <w:pStyle w:val="27"/>
        <w:spacing w:line="360" w:lineRule="auto"/>
        <w:ind w:firstLine="480" w:firstLineChars="200"/>
        <w:rPr>
          <w:rFonts w:asciiTheme="minorEastAsia" w:hAnsiTheme="minorEastAsia" w:eastAsiaTheme="minorEastAsia"/>
          <w:color w:val="auto"/>
          <w:u w:val="single"/>
        </w:rPr>
      </w:pPr>
      <w:r>
        <w:rPr>
          <w:rFonts w:hint="eastAsia" w:asciiTheme="minorEastAsia" w:hAnsiTheme="minorEastAsia" w:eastAsiaTheme="minorEastAsia"/>
          <w:color w:val="auto"/>
          <w:u w:val="single"/>
        </w:rPr>
        <w:t>由承包人完成或提供配合的工作，承包人拒绝完成或不能按合同要求完成或不提供配合，发包人可另行安排其他单位完成，所发生的全部费用从承包人工程款中扣除，影响工期的责任由承包人负责</w:t>
      </w:r>
      <w:r>
        <w:rPr>
          <w:rFonts w:hint="eastAsia" w:asciiTheme="minorEastAsia" w:hAnsiTheme="minorEastAsia" w:eastAsiaTheme="minorEastAsia"/>
          <w:color w:val="auto"/>
        </w:rPr>
        <w:t>。</w:t>
      </w:r>
    </w:p>
    <w:p w14:paraId="5331ED68">
      <w:pPr>
        <w:spacing w:line="360" w:lineRule="auto"/>
        <w:ind w:firstLine="480" w:firstLineChars="200"/>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u w:val="single"/>
        </w:rPr>
        <w:t>5）因承包人原因造成的安全事故，由承包人负责处理善后工作并承担由此引起的全部费用。若承包人不能及时解决，发包人有权从应付款项中扣除相应的赔、补偿款项并直接支付给事故受害方，承包人不得持任何异议。若出现重大安全事故，发包人有权扣罚</w:t>
      </w:r>
      <w:r>
        <w:rPr>
          <w:rFonts w:hint="eastAsia" w:cs="宋体" w:asciiTheme="minorEastAsia" w:hAnsiTheme="minorEastAsia" w:eastAsiaTheme="minorEastAsia"/>
          <w:kern w:val="0"/>
          <w:sz w:val="24"/>
          <w:u w:val="single"/>
          <w:lang w:eastAsia="zh-CN"/>
        </w:rPr>
        <w:t>合同价款，直至扣完</w:t>
      </w:r>
      <w:r>
        <w:rPr>
          <w:rFonts w:hint="eastAsia" w:cs="宋体" w:asciiTheme="minorEastAsia" w:hAnsiTheme="minorEastAsia" w:eastAsiaTheme="minorEastAsia"/>
          <w:kern w:val="0"/>
          <w:sz w:val="24"/>
        </w:rPr>
        <w:t>。</w:t>
      </w:r>
    </w:p>
    <w:p w14:paraId="1B031452">
      <w:pPr>
        <w:spacing w:line="360" w:lineRule="auto"/>
        <w:ind w:firstLine="480" w:firstLineChars="200"/>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u w:val="single"/>
        </w:rPr>
        <w:t>6）无论何方原因导致暂停施工，在暂停期间，承包人均应负责保护、保管并保证相应部分工程或者全部工程不致产生任何变质、损失或损害，并对施工现场提供安全保障，否则承担赔偿责任；承包人因此发生的照管费用由责任方承担</w:t>
      </w:r>
      <w:r>
        <w:rPr>
          <w:rFonts w:hint="eastAsia" w:cs="宋体" w:asciiTheme="minorEastAsia" w:hAnsiTheme="minorEastAsia" w:eastAsiaTheme="minorEastAsia"/>
          <w:kern w:val="0"/>
          <w:sz w:val="24"/>
        </w:rPr>
        <w:t>。</w:t>
      </w:r>
    </w:p>
    <w:p w14:paraId="4261E60D">
      <w:pPr>
        <w:spacing w:line="360" w:lineRule="auto"/>
        <w:ind w:firstLine="480" w:firstLineChars="200"/>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u w:val="single"/>
        </w:rPr>
        <w:t>承包人不得随意暂停施工，或者以暂停施工向发包人或者监理人施加压力获取不当利益。承包人暂停施工没有法律和合同依据的，应承担因此而造成的损失，且工期不予延长，复工及赶工等费用由承包人承担；若承包人的行为已经构成根本违约，发包人有权解除合同</w:t>
      </w:r>
      <w:r>
        <w:rPr>
          <w:rFonts w:hint="eastAsia" w:cs="宋体" w:asciiTheme="minorEastAsia" w:hAnsiTheme="minorEastAsia" w:eastAsiaTheme="minorEastAsia"/>
          <w:kern w:val="0"/>
          <w:sz w:val="24"/>
        </w:rPr>
        <w:t>。</w:t>
      </w:r>
    </w:p>
    <w:p w14:paraId="5FF58515">
      <w:pPr>
        <w:pStyle w:val="27"/>
        <w:spacing w:line="360" w:lineRule="auto"/>
        <w:ind w:firstLine="480" w:firstLineChars="200"/>
        <w:rPr>
          <w:rFonts w:asciiTheme="minorEastAsia" w:hAnsiTheme="minorEastAsia" w:eastAsiaTheme="minorEastAsia"/>
          <w:color w:val="auto"/>
          <w:u w:val="single"/>
        </w:rPr>
      </w:pPr>
      <w:r>
        <w:rPr>
          <w:rFonts w:hint="eastAsia" w:asciiTheme="minorEastAsia" w:hAnsiTheme="minorEastAsia" w:eastAsiaTheme="minorEastAsia"/>
          <w:color w:val="auto"/>
          <w:u w:val="single"/>
        </w:rPr>
        <w:t>7)在材料进场前，承包人须按发包人要求提交材料样品，样品经发包人确认后，承包人按样品的质量、技术标准与规格等标准采购。样品不符合发包人要求的，承包人须按发包人所示样品的质量、技术标准与规格等标准采购。承包人不按样品的质量、技术标准与规格等标准采购或不接受发包人所示样品的，应视为承包人违约，发包人有权对承包人处以违约处罚，处罚金额最高可达该种材料总价值的30%，且发包人有权自行采购并按实际采购价从承包人的合同价中扣除</w:t>
      </w:r>
      <w:r>
        <w:rPr>
          <w:rFonts w:hint="eastAsia" w:asciiTheme="minorEastAsia" w:hAnsiTheme="minorEastAsia" w:eastAsiaTheme="minorEastAsia"/>
          <w:color w:val="auto"/>
        </w:rPr>
        <w:t>。</w:t>
      </w:r>
    </w:p>
    <w:p w14:paraId="0A07A697">
      <w:pPr>
        <w:pStyle w:val="27"/>
        <w:spacing w:line="360" w:lineRule="auto"/>
        <w:ind w:firstLine="480" w:firstLineChars="200"/>
        <w:rPr>
          <w:rFonts w:asciiTheme="minorEastAsia" w:hAnsiTheme="minorEastAsia" w:eastAsiaTheme="minorEastAsia"/>
          <w:color w:val="auto"/>
          <w:u w:val="single"/>
        </w:rPr>
      </w:pPr>
      <w:r>
        <w:rPr>
          <w:rFonts w:hint="eastAsia" w:asciiTheme="minorEastAsia" w:hAnsiTheme="minorEastAsia" w:eastAsiaTheme="minorEastAsia"/>
          <w:color w:val="auto"/>
          <w:u w:val="single"/>
        </w:rPr>
        <w:t>8)承包人违反约定采购或使用不合格材料和工程设备的，由承包人负责更换和返工，因此而误期或出现质量事故或隐患的，责任由承包人承担，承包人还应按照违约采购或使用材料和工程设备价值的30%向发包人支付违约金</w:t>
      </w:r>
      <w:r>
        <w:rPr>
          <w:rFonts w:hint="eastAsia" w:asciiTheme="minorEastAsia" w:hAnsiTheme="minorEastAsia" w:eastAsiaTheme="minorEastAsia"/>
          <w:color w:val="auto"/>
        </w:rPr>
        <w:t>。</w:t>
      </w:r>
    </w:p>
    <w:p w14:paraId="1AC23C98">
      <w:pPr>
        <w:spacing w:line="360" w:lineRule="auto"/>
        <w:ind w:firstLine="480" w:firstLineChars="200"/>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u w:val="single"/>
        </w:rPr>
        <w:t>9)承包人不得因与发包人的索赔问题、工程款结算问题，以及承包人与其他单位或个人的纠纷，或者其他任何理由拒绝按照通用条款的规定退场，影响发包人对工程的接受和运营</w:t>
      </w:r>
      <w:r>
        <w:rPr>
          <w:rFonts w:hint="eastAsia" w:cs="宋体" w:asciiTheme="minorEastAsia" w:hAnsiTheme="minorEastAsia" w:eastAsiaTheme="minorEastAsia"/>
          <w:kern w:val="0"/>
          <w:sz w:val="24"/>
        </w:rPr>
        <w:t>。</w:t>
      </w:r>
    </w:p>
    <w:p w14:paraId="0D5AC7C9">
      <w:pPr>
        <w:spacing w:line="6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16.2.3 因承包人违约解除合同</w:t>
      </w:r>
    </w:p>
    <w:p w14:paraId="5B6598EB">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关于承包人违约解除合同的特别约定：</w:t>
      </w:r>
      <w:r>
        <w:rPr>
          <w:rFonts w:hint="eastAsia" w:ascii="宋体" w:hAnsi="宋体" w:eastAsia="宋体" w:cs="宋体"/>
          <w:sz w:val="24"/>
          <w:szCs w:val="24"/>
          <w:u w:val="single"/>
        </w:rPr>
        <w:t xml:space="preserve"> </w:t>
      </w:r>
      <w:r>
        <w:rPr>
          <w:rFonts w:hint="eastAsia" w:cs="宋体" w:asciiTheme="minorEastAsia" w:hAnsiTheme="minorEastAsia" w:eastAsiaTheme="minorEastAsia"/>
          <w:kern w:val="0"/>
          <w:sz w:val="24"/>
          <w:u w:val="single"/>
        </w:rPr>
        <w:t>合同解除之日起7个工作日内，承包人须会同发包人和监理人办理包括已完工程及已完工程量核算等交接手续，并清理退场。否则，已完工程及已完工程量核算等事项以发包人和监理人共同确认的数据为准</w:t>
      </w:r>
      <w:r>
        <w:rPr>
          <w:rFonts w:hint="eastAsia" w:cs="宋体" w:asciiTheme="minorEastAsia" w:hAnsiTheme="minorEastAsia" w:eastAsiaTheme="minorEastAsia"/>
          <w:kern w:val="0"/>
          <w:sz w:val="24"/>
        </w:rPr>
        <w:t>。</w:t>
      </w:r>
    </w:p>
    <w:p w14:paraId="61F6B052">
      <w:pPr>
        <w:spacing w:line="6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承包人承担  </w:t>
      </w:r>
      <w:r>
        <w:rPr>
          <w:rFonts w:hint="eastAsia" w:ascii="宋体" w:hAnsi="宋体" w:eastAsia="宋体" w:cs="宋体"/>
          <w:sz w:val="24"/>
          <w:szCs w:val="24"/>
        </w:rPr>
        <w:t>。</w:t>
      </w:r>
    </w:p>
    <w:p w14:paraId="648F7738">
      <w:pPr>
        <w:keepNext/>
        <w:keepLines/>
        <w:spacing w:line="64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 xml:space="preserve">17. 不可抗力 </w:t>
      </w:r>
    </w:p>
    <w:p w14:paraId="14F4CB61">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17.1 不可抗力的确认</w:t>
      </w:r>
    </w:p>
    <w:p w14:paraId="386DE06B">
      <w:pPr>
        <w:spacing w:line="6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 xml:space="preserve"> 与工程相关的政府重大政策变化 </w:t>
      </w:r>
      <w:r>
        <w:rPr>
          <w:rFonts w:hint="eastAsia" w:ascii="宋体" w:hAnsi="宋体" w:eastAsia="宋体" w:cs="宋体"/>
          <w:sz w:val="24"/>
          <w:szCs w:val="24"/>
        </w:rPr>
        <w:t>。</w:t>
      </w:r>
    </w:p>
    <w:p w14:paraId="0E5C5382">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17.4 因不可抗力解除合同</w:t>
      </w:r>
    </w:p>
    <w:p w14:paraId="7C315DE8">
      <w:pPr>
        <w:spacing w:line="6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180</w:t>
      </w:r>
      <w:r>
        <w:rPr>
          <w:rFonts w:hint="eastAsia" w:ascii="宋体" w:hAnsi="宋体" w:eastAsia="宋体" w:cs="宋体"/>
          <w:sz w:val="24"/>
          <w:szCs w:val="24"/>
        </w:rPr>
        <w:t>天内完成款项的支付。</w:t>
      </w:r>
    </w:p>
    <w:p w14:paraId="7E698473">
      <w:pPr>
        <w:keepNext/>
        <w:keepLines/>
        <w:spacing w:line="64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18. 保险</w:t>
      </w:r>
    </w:p>
    <w:p w14:paraId="2B031B3C">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18.1 工程保险</w:t>
      </w:r>
    </w:p>
    <w:p w14:paraId="0C9CCAF1">
      <w:pPr>
        <w:spacing w:line="6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关于工程保险的特别约定：</w:t>
      </w:r>
      <w:r>
        <w:rPr>
          <w:rFonts w:hint="eastAsia" w:ascii="宋体" w:hAnsi="宋体" w:eastAsia="宋体" w:cs="宋体"/>
          <w:sz w:val="24"/>
          <w:szCs w:val="24"/>
          <w:u w:val="single"/>
        </w:rPr>
        <w:t xml:space="preserve"> 本项目发包人不投保建筑工程一切险及安装工程一切险</w:t>
      </w:r>
      <w:r>
        <w:rPr>
          <w:rFonts w:hint="eastAsia" w:ascii="宋体" w:hAnsi="宋体" w:eastAsia="宋体" w:cs="宋体"/>
          <w:sz w:val="24"/>
          <w:szCs w:val="24"/>
          <w:u w:val="single"/>
          <w:lang w:eastAsia="zh-CN"/>
        </w:rPr>
        <w:t>，由承包人自行投保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18DFFE">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18.3 其他保险</w:t>
      </w:r>
    </w:p>
    <w:p w14:paraId="2308B017">
      <w:pPr>
        <w:spacing w:line="6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承包人应为施工现场的全部人员（</w:t>
      </w:r>
      <w:r>
        <w:rPr>
          <w:rFonts w:hint="eastAsia" w:ascii="宋体" w:hAnsi="宋体" w:eastAsia="宋体" w:cs="宋体"/>
          <w:sz w:val="24"/>
          <w:szCs w:val="24"/>
          <w:u w:val="single"/>
          <w:lang w:eastAsia="zh-CN"/>
        </w:rPr>
        <w:t>不</w:t>
      </w:r>
      <w:r>
        <w:rPr>
          <w:rFonts w:hint="eastAsia" w:ascii="宋体" w:hAnsi="宋体" w:eastAsia="宋体" w:cs="宋体"/>
          <w:sz w:val="24"/>
          <w:szCs w:val="24"/>
          <w:u w:val="single"/>
        </w:rPr>
        <w:t>包括发包人派驻人员及第三方人员）办理意外伤害保险，费用由承包人承担</w:t>
      </w:r>
      <w:r>
        <w:rPr>
          <w:rFonts w:hint="eastAsia" w:ascii="宋体" w:hAnsi="宋体" w:eastAsia="宋体" w:cs="宋体"/>
          <w:sz w:val="24"/>
          <w:szCs w:val="24"/>
        </w:rPr>
        <w:t>。</w:t>
      </w:r>
    </w:p>
    <w:p w14:paraId="24B364ED">
      <w:pPr>
        <w:spacing w:line="6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 xml:space="preserve"> 按通用条款执行 </w:t>
      </w:r>
      <w:r>
        <w:rPr>
          <w:rFonts w:hint="eastAsia" w:ascii="宋体" w:hAnsi="宋体" w:eastAsia="宋体" w:cs="宋体"/>
          <w:sz w:val="24"/>
          <w:szCs w:val="24"/>
        </w:rPr>
        <w:t>。</w:t>
      </w:r>
    </w:p>
    <w:p w14:paraId="44BFFD55">
      <w:pPr>
        <w:spacing w:line="640" w:lineRule="exact"/>
        <w:ind w:firstLine="480" w:firstLineChars="200"/>
        <w:rPr>
          <w:rFonts w:ascii="宋体" w:hAnsi="宋体" w:eastAsia="宋体" w:cs="宋体"/>
          <w:sz w:val="24"/>
          <w:szCs w:val="24"/>
        </w:rPr>
      </w:pPr>
      <w:r>
        <w:rPr>
          <w:rFonts w:hint="eastAsia" w:ascii="宋体" w:hAnsi="宋体" w:eastAsia="宋体" w:cs="宋体"/>
          <w:sz w:val="24"/>
          <w:szCs w:val="24"/>
        </w:rPr>
        <w:t>18.7 通知义务</w:t>
      </w:r>
    </w:p>
    <w:p w14:paraId="5FB660C8">
      <w:pPr>
        <w:spacing w:line="6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 xml:space="preserve"> 按通用条款执行 </w:t>
      </w:r>
      <w:r>
        <w:rPr>
          <w:rFonts w:hint="eastAsia" w:ascii="宋体" w:hAnsi="宋体" w:eastAsia="宋体" w:cs="宋体"/>
          <w:sz w:val="24"/>
          <w:szCs w:val="24"/>
        </w:rPr>
        <w:t>。</w:t>
      </w:r>
    </w:p>
    <w:p w14:paraId="41A7577D">
      <w:pPr>
        <w:keepNext/>
        <w:keepLines/>
        <w:spacing w:before="120" w:after="120" w:line="600" w:lineRule="exact"/>
        <w:ind w:firstLine="422" w:firstLineChars="176"/>
        <w:outlineLvl w:val="3"/>
        <w:rPr>
          <w:rFonts w:ascii="宋体" w:hAnsi="宋体" w:eastAsia="宋体" w:cs="宋体"/>
          <w:b/>
          <w:bCs/>
          <w:sz w:val="24"/>
          <w:szCs w:val="24"/>
        </w:rPr>
      </w:pPr>
      <w:r>
        <w:rPr>
          <w:rFonts w:hint="eastAsia" w:ascii="宋体" w:hAnsi="宋体" w:eastAsia="宋体" w:cs="宋体"/>
          <w:b/>
          <w:bCs/>
          <w:sz w:val="24"/>
          <w:szCs w:val="24"/>
        </w:rPr>
        <w:t>20. 争议解决</w:t>
      </w:r>
    </w:p>
    <w:p w14:paraId="09962876">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20.3 争议评审</w:t>
      </w:r>
    </w:p>
    <w:p w14:paraId="4B31A0FE">
      <w:pPr>
        <w:spacing w:line="600" w:lineRule="exact"/>
        <w:ind w:left="149" w:leftChars="71" w:firstLine="360" w:firstLineChars="150"/>
        <w:jc w:val="left"/>
        <w:rPr>
          <w:rFonts w:ascii="宋体" w:hAnsi="宋体" w:eastAsia="宋体" w:cs="宋体"/>
          <w:sz w:val="24"/>
          <w:szCs w:val="24"/>
          <w:u w:val="single"/>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04B24CF1">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20.3.1 争议评审小组的确定</w:t>
      </w:r>
    </w:p>
    <w:p w14:paraId="59EC4604">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3268AE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4810C02">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D58DB3B">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C55A310">
      <w:pPr>
        <w:autoSpaceDE w:val="0"/>
        <w:autoSpaceDN w:val="0"/>
        <w:adjustRightInd w:val="0"/>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20.3.2 争议评审小组的决定</w:t>
      </w:r>
    </w:p>
    <w:p w14:paraId="02EC042D">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7593A14">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20.4仲裁或诉讼</w:t>
      </w:r>
    </w:p>
    <w:p w14:paraId="7F8716DA">
      <w:pPr>
        <w:spacing w:after="120" w:line="6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因合同及合同有关事项发生的争议，按下列第 </w:t>
      </w:r>
      <w:r>
        <w:rPr>
          <w:rFonts w:hint="eastAsia" w:ascii="宋体" w:hAnsi="宋体" w:eastAsia="宋体" w:cs="宋体"/>
          <w:sz w:val="24"/>
          <w:szCs w:val="24"/>
          <w:u w:val="single"/>
        </w:rPr>
        <w:t xml:space="preserve">  1  种</w:t>
      </w:r>
      <w:r>
        <w:rPr>
          <w:rFonts w:hint="eastAsia" w:ascii="宋体" w:hAnsi="宋体" w:eastAsia="宋体" w:cs="宋体"/>
          <w:sz w:val="24"/>
          <w:szCs w:val="24"/>
        </w:rPr>
        <w:t>方式解决：</w:t>
      </w:r>
    </w:p>
    <w:p w14:paraId="1CE9AD7B">
      <w:pPr>
        <w:spacing w:line="60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（1）向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仲裁委员会申请仲裁；</w:t>
      </w:r>
    </w:p>
    <w:p w14:paraId="320DB773">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合同所在地</w:t>
      </w:r>
      <w:r>
        <w:rPr>
          <w:rFonts w:hint="eastAsia" w:ascii="宋体" w:hAnsi="宋体" w:eastAsia="宋体" w:cs="宋体"/>
          <w:sz w:val="24"/>
          <w:szCs w:val="24"/>
        </w:rPr>
        <w:t>人民法院起诉。</w:t>
      </w:r>
    </w:p>
    <w:p w14:paraId="59BC6DA8">
      <w:pPr>
        <w:spacing w:line="60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20.5  本合同未尽事宜，双方协商解决。</w:t>
      </w:r>
    </w:p>
    <w:p w14:paraId="254BC875">
      <w:pPr>
        <w:spacing w:before="120" w:beforeLines="50" w:after="120" w:afterLines="50" w:line="440" w:lineRule="exact"/>
        <w:jc w:val="center"/>
        <w:rPr>
          <w:rFonts w:ascii="宋体" w:hAnsi="宋体" w:eastAsia="宋体" w:cs="宋体"/>
          <w:b/>
          <w:sz w:val="32"/>
          <w:szCs w:val="32"/>
        </w:rPr>
      </w:pPr>
    </w:p>
    <w:p w14:paraId="224379B3">
      <w:pPr>
        <w:spacing w:before="120" w:beforeLines="50" w:after="120" w:afterLines="50" w:line="440" w:lineRule="exact"/>
        <w:jc w:val="center"/>
        <w:rPr>
          <w:rFonts w:ascii="宋体" w:hAnsi="宋体" w:eastAsia="宋体" w:cs="宋体"/>
          <w:b/>
          <w:sz w:val="32"/>
          <w:szCs w:val="32"/>
        </w:rPr>
      </w:pPr>
    </w:p>
    <w:p w14:paraId="22CE66DF">
      <w:pPr>
        <w:spacing w:before="120" w:beforeLines="50" w:after="120" w:afterLines="50" w:line="440" w:lineRule="exact"/>
        <w:rPr>
          <w:rFonts w:ascii="宋体" w:hAnsi="宋体" w:eastAsia="宋体" w:cs="宋体"/>
          <w:b/>
          <w:sz w:val="32"/>
          <w:szCs w:val="32"/>
        </w:rPr>
      </w:pPr>
      <w:r>
        <w:rPr>
          <w:rFonts w:hint="eastAsia" w:ascii="宋体" w:hAnsi="宋体" w:eastAsia="宋体" w:cs="宋体"/>
          <w:b/>
          <w:sz w:val="32"/>
          <w:szCs w:val="32"/>
        </w:rPr>
        <w:br w:type="page"/>
      </w:r>
    </w:p>
    <w:p w14:paraId="483CC6CD">
      <w:pPr>
        <w:spacing w:before="120" w:beforeLines="50" w:after="120" w:afterLines="50" w:line="440" w:lineRule="exact"/>
        <w:jc w:val="center"/>
        <w:rPr>
          <w:rFonts w:ascii="宋体" w:hAnsi="宋体" w:eastAsia="宋体" w:cs="宋体"/>
          <w:sz w:val="24"/>
          <w:szCs w:val="24"/>
        </w:rPr>
      </w:pPr>
      <w:r>
        <w:rPr>
          <w:rFonts w:hint="eastAsia" w:ascii="宋体" w:hAnsi="宋体" w:eastAsia="宋体" w:cs="宋体"/>
          <w:b/>
          <w:sz w:val="32"/>
          <w:szCs w:val="32"/>
        </w:rPr>
        <w:t>工程质量保修书</w:t>
      </w:r>
    </w:p>
    <w:p w14:paraId="328D9F35">
      <w:pPr>
        <w:spacing w:line="660" w:lineRule="exact"/>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rPr>
        <w:t>发包人（全称）：</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eastAsia="zh-CN"/>
        </w:rPr>
        <w:t>三门峡市住房服务保障中心</w:t>
      </w:r>
      <w:r>
        <w:rPr>
          <w:rFonts w:ascii="Times New Roman" w:hAnsi="Times New Roman" w:eastAsia="宋体" w:cs="Times New Roman"/>
          <w:sz w:val="24"/>
          <w:szCs w:val="24"/>
          <w:u w:val="single"/>
        </w:rPr>
        <w:t xml:space="preserve">     </w:t>
      </w:r>
    </w:p>
    <w:p w14:paraId="380BC6CA">
      <w:pPr>
        <w:spacing w:line="660" w:lineRule="exact"/>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rPr>
        <w:t>承包人（全称）：</w:t>
      </w:r>
      <w:r>
        <w:rPr>
          <w:rFonts w:ascii="Times New Roman" w:hAnsi="Times New Roman" w:eastAsia="宋体" w:cs="Times New Roman"/>
          <w:bCs/>
          <w:sz w:val="24"/>
          <w:szCs w:val="24"/>
          <w:u w:val="single"/>
        </w:rPr>
        <w:t xml:space="preserve">                              </w:t>
      </w:r>
    </w:p>
    <w:p w14:paraId="01FC14F2">
      <w:pPr>
        <w:ind w:firstLine="480" w:firstLineChars="200"/>
        <w:rPr>
          <w:rFonts w:ascii="Times New Roman" w:hAnsi="Times New Roman" w:eastAsia="宋体" w:cs="Times New Roman"/>
          <w:sz w:val="24"/>
          <w:szCs w:val="24"/>
        </w:rPr>
      </w:pPr>
    </w:p>
    <w:p w14:paraId="7877EEB2">
      <w:pPr>
        <w:spacing w:line="480" w:lineRule="exact"/>
        <w:ind w:firstLine="480" w:firstLineChars="200"/>
        <w:rPr>
          <w:rFonts w:ascii="Times New Roman" w:hAnsi="Times New Roman" w:eastAsia="宋体" w:cs="Times New Roman"/>
          <w:sz w:val="24"/>
          <w:szCs w:val="24"/>
          <w:u w:val="single"/>
          <w:shd w:val="clear" w:color="auto" w:fill="FFFFFF"/>
        </w:rPr>
      </w:pPr>
      <w:r>
        <w:rPr>
          <w:rFonts w:hint="eastAsia" w:ascii="Times New Roman" w:hAnsi="Times New Roman" w:eastAsia="宋体" w:cs="Times New Roman"/>
          <w:sz w:val="24"/>
          <w:szCs w:val="24"/>
        </w:rPr>
        <w:t>发包人和承包人根据《中华人民共和国建筑法》和《建设工程质量管理条例》，经协商一致就</w:t>
      </w:r>
      <w:r>
        <w:rPr>
          <w:rFonts w:hint="eastAsia" w:ascii="Times New Roman" w:hAnsi="Times New Roman" w:eastAsia="宋体" w:cs="Times New Roman"/>
          <w:sz w:val="24"/>
          <w:szCs w:val="24"/>
          <w:u w:val="single"/>
          <w:lang w:eastAsia="zh-CN"/>
        </w:rPr>
        <w:t>三门峡市迎宾花园、南康乐家园（德馨园）、惠利花园住宅小区厨房加装推拉门工程</w:t>
      </w:r>
      <w:r>
        <w:rPr>
          <w:rFonts w:hint="eastAsia" w:ascii="Times New Roman" w:hAnsi="Times New Roman" w:eastAsia="宋体" w:cs="Times New Roman"/>
          <w:sz w:val="24"/>
          <w:szCs w:val="24"/>
        </w:rPr>
        <w:t>（工程全称）签订工程质量保修书。</w:t>
      </w:r>
    </w:p>
    <w:p w14:paraId="116DF8D2">
      <w:pPr>
        <w:spacing w:line="48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一、工程质量保修范围和内容</w:t>
      </w:r>
    </w:p>
    <w:p w14:paraId="6E3BBDFA">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承包人在质量保修期内，按照有关法律规定和合同约定，承担工程质量保修责任。</w:t>
      </w:r>
    </w:p>
    <w:p w14:paraId="21AA81B6">
      <w:pPr>
        <w:spacing w:line="480" w:lineRule="exact"/>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质量保修范围包括</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工程，以及双方约定的其他项目。具体保修的内容，双方约定如下：</w:t>
      </w:r>
    </w:p>
    <w:p w14:paraId="10AC04D7">
      <w:pPr>
        <w:widowControl/>
        <w:adjustRightInd w:val="0"/>
        <w:snapToGrid w:val="0"/>
        <w:spacing w:line="480" w:lineRule="exact"/>
        <w:ind w:firstLine="480" w:firstLineChars="200"/>
        <w:rPr>
          <w:rFonts w:ascii="Times New Roman" w:hAnsi="Times New Roman" w:eastAsia="宋体" w:cs="Times New Roman"/>
          <w:snapToGrid w:val="0"/>
          <w:kern w:val="0"/>
          <w:sz w:val="24"/>
          <w:szCs w:val="24"/>
          <w:u w:val="single"/>
        </w:rPr>
      </w:pPr>
      <w:r>
        <w:rPr>
          <w:rFonts w:hint="eastAsia" w:ascii="Times New Roman" w:hAnsi="Times New Roman" w:eastAsia="宋体" w:cs="Times New Roman"/>
          <w:snapToGrid w:val="0"/>
          <w:kern w:val="0"/>
          <w:sz w:val="24"/>
          <w:szCs w:val="24"/>
          <w:u w:val="single"/>
        </w:rPr>
        <w:t>承包人承建的全部工程</w:t>
      </w:r>
      <w:r>
        <w:rPr>
          <w:rFonts w:hint="eastAsia" w:ascii="Times New Roman" w:hAnsi="Times New Roman" w:eastAsia="宋体" w:cs="Times New Roman"/>
          <w:kern w:val="0"/>
          <w:sz w:val="24"/>
          <w:szCs w:val="24"/>
        </w:rPr>
        <w:t>。</w:t>
      </w:r>
    </w:p>
    <w:p w14:paraId="64D9BFE9">
      <w:pPr>
        <w:spacing w:line="48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二、质量保修期</w:t>
      </w:r>
    </w:p>
    <w:p w14:paraId="0431174B">
      <w:pPr>
        <w:spacing w:line="480" w:lineRule="exact"/>
        <w:ind w:firstLine="480" w:firstLineChars="200"/>
        <w:rPr>
          <w:rFonts w:ascii="Times New Roman" w:hAnsi="Times New Roman" w:eastAsia="宋体" w:cs="Times New Roman"/>
          <w:snapToGrid w:val="0"/>
          <w:sz w:val="24"/>
          <w:szCs w:val="24"/>
        </w:rPr>
      </w:pPr>
      <w:r>
        <w:rPr>
          <w:rFonts w:hint="eastAsia" w:ascii="Times New Roman" w:hAnsi="Times New Roman" w:eastAsia="宋体" w:cs="Times New Roman"/>
          <w:sz w:val="24"/>
          <w:szCs w:val="24"/>
        </w:rPr>
        <w:t>根据《建设工程质量管理条例》及有关规定，</w:t>
      </w:r>
      <w:r>
        <w:rPr>
          <w:rFonts w:hint="eastAsia" w:ascii="Times New Roman" w:hAnsi="Times New Roman" w:eastAsia="宋体" w:cs="Times New Roman"/>
          <w:snapToGrid w:val="0"/>
          <w:sz w:val="24"/>
          <w:szCs w:val="24"/>
        </w:rPr>
        <w:t>质量保修期从工程实际竣工验收合格之日算起。分单项竣工验收的工程，按单项工程分别计算质量保修期。</w:t>
      </w:r>
    </w:p>
    <w:p w14:paraId="29B67779">
      <w:pPr>
        <w:widowControl/>
        <w:adjustRightInd w:val="0"/>
        <w:snapToGrid w:val="0"/>
        <w:spacing w:line="48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双方根据国家有关规定，结合具体工程约定质量保修期如下：</w:t>
      </w:r>
    </w:p>
    <w:p w14:paraId="3320F949">
      <w:pPr>
        <w:spacing w:line="480" w:lineRule="exact"/>
        <w:ind w:firstLine="480" w:firstLineChars="200"/>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u w:val="single"/>
        </w:rPr>
        <w:t>按照国家规定的保修期限；基础结构等项目按照设计文件规定的工程合理使用年限；国家没有规定同时设计文件未规定的项目从工程竣工验收合格之日起保修期</w:t>
      </w:r>
      <w:r>
        <w:rPr>
          <w:rFonts w:ascii="Times New Roman" w:hAnsi="Times New Roman" w:eastAsia="宋体" w:cs="Times New Roman"/>
          <w:b/>
          <w:sz w:val="24"/>
          <w:szCs w:val="24"/>
          <w:u w:val="single"/>
        </w:rPr>
        <w:t>12</w:t>
      </w:r>
      <w:r>
        <w:rPr>
          <w:rFonts w:hint="eastAsia" w:ascii="Times New Roman" w:hAnsi="Times New Roman" w:eastAsia="宋体" w:cs="Times New Roman"/>
          <w:b/>
          <w:sz w:val="24"/>
          <w:szCs w:val="24"/>
          <w:u w:val="single"/>
        </w:rPr>
        <w:t>个月。</w:t>
      </w:r>
    </w:p>
    <w:p w14:paraId="743D9FD9">
      <w:pPr>
        <w:spacing w:line="48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三、缺陷责任期</w:t>
      </w:r>
    </w:p>
    <w:p w14:paraId="2F9883A9">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工程缺陷责任期为</w:t>
      </w:r>
      <w:r>
        <w:rPr>
          <w:rFonts w:hint="eastAsia" w:ascii="Times New Roman" w:hAnsi="Times New Roman" w:eastAsia="宋体" w:cs="Times New Roman"/>
          <w:sz w:val="24"/>
          <w:szCs w:val="24"/>
          <w:u w:val="single"/>
          <w:lang w:val="en-US" w:eastAsia="zh-CN"/>
        </w:rPr>
        <w:t>24</w:t>
      </w:r>
      <w:r>
        <w:rPr>
          <w:rFonts w:hint="eastAsia" w:ascii="Times New Roman" w:hAnsi="Times New Roman" w:eastAsia="宋体" w:cs="Times New Roman"/>
          <w:sz w:val="24"/>
          <w:szCs w:val="24"/>
        </w:rPr>
        <w:t>个月，缺陷责任期自工程竣工验收合格之日起计算。单位工程先于全部工程进行验收，单位工程缺陷责任期自单位工程验收合格之日起算。</w:t>
      </w:r>
    </w:p>
    <w:p w14:paraId="3978C318">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质量保修期</w:t>
      </w:r>
      <w:r>
        <w:rPr>
          <w:rFonts w:hint="eastAsia" w:ascii="Times New Roman" w:hAnsi="Times New Roman" w:eastAsia="宋体" w:cs="Times New Roman"/>
          <w:sz w:val="24"/>
          <w:szCs w:val="24"/>
        </w:rPr>
        <w:t>终止后，发包人应退还剩余的质量保证金。</w:t>
      </w:r>
    </w:p>
    <w:p w14:paraId="47975D79">
      <w:pPr>
        <w:spacing w:line="48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四、质量保修责任</w:t>
      </w:r>
    </w:p>
    <w:p w14:paraId="6F2F68D4">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．属于保修范围、内容的项目，承包人应当在接到保修通知之日起</w:t>
      </w:r>
      <w:r>
        <w:rPr>
          <w:rFonts w:ascii="Times New Roman" w:hAnsi="Times New Roman" w:eastAsia="宋体" w:cs="Times New Roman"/>
          <w:sz w:val="24"/>
          <w:szCs w:val="24"/>
        </w:rPr>
        <w:t>7</w:t>
      </w:r>
      <w:r>
        <w:rPr>
          <w:rFonts w:hint="eastAsia" w:ascii="Times New Roman" w:hAnsi="Times New Roman" w:eastAsia="宋体" w:cs="Times New Roman"/>
          <w:sz w:val="24"/>
          <w:szCs w:val="24"/>
        </w:rPr>
        <w:t>天内派人保修。承包人不在约定期限内派人保修的，发包人可以委托他人修理。</w:t>
      </w:r>
    </w:p>
    <w:p w14:paraId="54FABF00">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．发生紧急事故需抢修的，承包人在接到事故通知后，应当立即到达事故现场抢修。</w:t>
      </w:r>
    </w:p>
    <w:p w14:paraId="30FF829C">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AE1658">
      <w:pPr>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．质量保修完成后，由发包人组织验收。</w:t>
      </w:r>
    </w:p>
    <w:p w14:paraId="67FF76AE">
      <w:pPr>
        <w:spacing w:line="48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五、保修费用</w:t>
      </w:r>
    </w:p>
    <w:p w14:paraId="41B40C90">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保修费用由造成质量缺陷的责任方承担。</w:t>
      </w:r>
    </w:p>
    <w:p w14:paraId="2D5AB586">
      <w:pPr>
        <w:spacing w:line="480" w:lineRule="exact"/>
        <w:ind w:firstLine="480" w:firstLineChars="200"/>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rPr>
        <w:t>六、双方约定的其他工程质量保修事项：</w:t>
      </w:r>
    </w:p>
    <w:p w14:paraId="2AC503E2">
      <w:pPr>
        <w:widowControl/>
        <w:adjustRightInd w:val="0"/>
        <w:snapToGrid w:val="0"/>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、本工程双方约定承包人向发包人支付工程质量保修金为工程造价的</w:t>
      </w:r>
      <w:r>
        <w:rPr>
          <w:rFonts w:ascii="Times New Roman" w:hAnsi="Times New Roman" w:eastAsia="宋体" w:cs="Times New Roman"/>
          <w:kern w:val="0"/>
          <w:sz w:val="24"/>
          <w:szCs w:val="24"/>
          <w:u w:val="single"/>
        </w:rPr>
        <w:t>3%</w:t>
      </w:r>
      <w:r>
        <w:rPr>
          <w:rFonts w:hint="eastAsia" w:ascii="Times New Roman" w:hAnsi="Times New Roman" w:eastAsia="宋体" w:cs="Times New Roman"/>
          <w:kern w:val="0"/>
          <w:sz w:val="24"/>
          <w:szCs w:val="24"/>
        </w:rPr>
        <w:t>。质量保修金银行利率为</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无</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rPr>
        <w:t>。</w:t>
      </w:r>
    </w:p>
    <w:p w14:paraId="31C2E8E7">
      <w:pPr>
        <w:widowControl/>
        <w:adjustRightInd w:val="0"/>
        <w:snapToGrid w:val="0"/>
        <w:spacing w:line="4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、发包人在</w:t>
      </w:r>
      <w:r>
        <w:rPr>
          <w:rFonts w:hint="eastAsia" w:ascii="Times New Roman" w:hAnsi="Times New Roman" w:eastAsia="宋体" w:cs="Times New Roman"/>
          <w:kern w:val="0"/>
          <w:sz w:val="24"/>
          <w:szCs w:val="24"/>
          <w:lang w:eastAsia="zh-CN"/>
        </w:rPr>
        <w:t>质量保修</w:t>
      </w:r>
      <w:r>
        <w:rPr>
          <w:rFonts w:hint="eastAsia" w:ascii="Times New Roman" w:hAnsi="Times New Roman" w:eastAsia="宋体" w:cs="Times New Roman"/>
          <w:kern w:val="0"/>
          <w:sz w:val="24"/>
          <w:szCs w:val="24"/>
        </w:rPr>
        <w:t>期</w:t>
      </w:r>
      <w:r>
        <w:rPr>
          <w:rFonts w:ascii="Times New Roman" w:hAnsi="Times New Roman" w:eastAsia="宋体" w:cs="Times New Roman"/>
          <w:kern w:val="0"/>
          <w:sz w:val="24"/>
          <w:szCs w:val="24"/>
        </w:rPr>
        <w:t>12</w:t>
      </w:r>
      <w:r>
        <w:rPr>
          <w:rFonts w:hint="eastAsia" w:ascii="Times New Roman" w:hAnsi="Times New Roman" w:eastAsia="宋体" w:cs="Times New Roman"/>
          <w:kern w:val="0"/>
          <w:sz w:val="24"/>
          <w:szCs w:val="24"/>
        </w:rPr>
        <w:t>个月满后，将剩余保修金返还承包人。</w:t>
      </w:r>
    </w:p>
    <w:p w14:paraId="39A21045">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工程质量保修书由发包人、承包人在工程竣工验收前共同签署，作为施工合同附件，其有效期限至保修期满。</w:t>
      </w:r>
    </w:p>
    <w:p w14:paraId="3BEE89F0">
      <w:pPr>
        <w:adjustRightInd w:val="0"/>
        <w:snapToGrid w:val="0"/>
        <w:spacing w:line="600" w:lineRule="exact"/>
        <w:rPr>
          <w:rFonts w:ascii="宋体" w:hAnsi="宋体" w:eastAsia="宋体" w:cs="Times New Roman"/>
          <w:sz w:val="24"/>
          <w:szCs w:val="24"/>
          <w:u w:val="single"/>
        </w:rPr>
      </w:pPr>
      <w:r>
        <w:rPr>
          <w:rFonts w:hint="eastAsia" w:ascii="宋体" w:hAnsi="宋体" w:eastAsia="宋体" w:cs="Times New Roman"/>
          <w:b/>
          <w:sz w:val="24"/>
          <w:szCs w:val="24"/>
        </w:rPr>
        <w:t>发包人（公章）：                承包人（公章）：</w:t>
      </w:r>
    </w:p>
    <w:p w14:paraId="43D30507">
      <w:pPr>
        <w:adjustRightInd w:val="0"/>
        <w:snapToGrid w:val="0"/>
        <w:spacing w:line="600" w:lineRule="exact"/>
        <w:rPr>
          <w:rFonts w:ascii="宋体" w:hAnsi="宋体" w:eastAsia="宋体" w:cs="Times New Roman"/>
          <w:sz w:val="24"/>
          <w:szCs w:val="24"/>
          <w:u w:val="single"/>
        </w:rPr>
      </w:pPr>
      <w:r>
        <w:rPr>
          <w:rFonts w:hint="eastAsia" w:ascii="宋体" w:hAnsi="宋体" w:eastAsia="宋体" w:cs="Times New Roman"/>
          <w:b/>
          <w:sz w:val="24"/>
          <w:szCs w:val="24"/>
        </w:rPr>
        <w:t>地    址：</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地    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113E078A">
      <w:pPr>
        <w:adjustRightInd w:val="0"/>
        <w:snapToGrid w:val="0"/>
        <w:spacing w:line="600" w:lineRule="exact"/>
        <w:rPr>
          <w:rFonts w:ascii="宋体" w:hAnsi="宋体" w:eastAsia="宋体" w:cs="Times New Roman"/>
          <w:sz w:val="24"/>
          <w:szCs w:val="24"/>
          <w:u w:val="single"/>
        </w:rPr>
      </w:pPr>
      <w:r>
        <w:rPr>
          <w:rFonts w:hint="eastAsia" w:ascii="宋体" w:hAnsi="宋体" w:eastAsia="宋体" w:cs="Times New Roman"/>
          <w:b/>
          <w:sz w:val="24"/>
          <w:szCs w:val="24"/>
        </w:rPr>
        <w:t>法定代表人（签字）：            法定代表人（签字）：</w:t>
      </w:r>
    </w:p>
    <w:p w14:paraId="29B55DB4">
      <w:pPr>
        <w:adjustRightInd w:val="0"/>
        <w:snapToGrid w:val="0"/>
        <w:spacing w:line="600" w:lineRule="exact"/>
        <w:rPr>
          <w:rFonts w:ascii="宋体" w:hAnsi="宋体" w:eastAsia="宋体" w:cs="Times New Roman"/>
          <w:sz w:val="24"/>
          <w:szCs w:val="24"/>
          <w:u w:val="single"/>
        </w:rPr>
      </w:pPr>
      <w:r>
        <w:rPr>
          <w:rFonts w:hint="eastAsia" w:ascii="宋体" w:hAnsi="宋体" w:eastAsia="宋体" w:cs="Times New Roman"/>
          <w:b/>
          <w:sz w:val="24"/>
          <w:szCs w:val="24"/>
        </w:rPr>
        <w:t>委托代理人（签字）：            委托代理人（签字）：</w:t>
      </w:r>
    </w:p>
    <w:p w14:paraId="71AF15FE">
      <w:pPr>
        <w:adjustRightInd w:val="0"/>
        <w:snapToGrid w:val="0"/>
        <w:spacing w:line="600" w:lineRule="exact"/>
        <w:rPr>
          <w:rFonts w:ascii="宋体" w:hAnsi="宋体" w:eastAsia="宋体" w:cs="Times New Roman"/>
          <w:sz w:val="24"/>
          <w:szCs w:val="24"/>
        </w:rPr>
      </w:pPr>
      <w:r>
        <w:rPr>
          <w:rFonts w:hint="eastAsia" w:ascii="宋体" w:hAnsi="宋体" w:eastAsia="宋体" w:cs="Times New Roman"/>
          <w:b/>
          <w:sz w:val="24"/>
          <w:szCs w:val="24"/>
        </w:rPr>
        <w:t>电    话：</w:t>
      </w:r>
      <w:r>
        <w:rPr>
          <w:rFonts w:hint="eastAsia" w:ascii="宋体" w:hAnsi="宋体" w:eastAsia="宋体" w:cs="Times New Roman"/>
          <w:spacing w:val="10"/>
          <w:sz w:val="24"/>
          <w:szCs w:val="24"/>
          <w:u w:val="single"/>
        </w:rPr>
        <w:t xml:space="preserve">                  </w:t>
      </w:r>
      <w:r>
        <w:rPr>
          <w:rFonts w:hint="eastAsia" w:ascii="宋体" w:hAnsi="宋体" w:eastAsia="宋体" w:cs="Times New Roman"/>
          <w:b/>
          <w:sz w:val="24"/>
          <w:szCs w:val="24"/>
        </w:rPr>
        <w:t>电    话：</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3D632DF0">
      <w:pPr>
        <w:adjustRightInd w:val="0"/>
        <w:snapToGrid w:val="0"/>
        <w:spacing w:line="600" w:lineRule="exact"/>
        <w:rPr>
          <w:rFonts w:ascii="宋体" w:hAnsi="宋体" w:eastAsia="宋体" w:cs="Times New Roman"/>
          <w:b/>
          <w:sz w:val="24"/>
          <w:szCs w:val="24"/>
        </w:rPr>
      </w:pPr>
      <w:r>
        <w:rPr>
          <w:rFonts w:hint="eastAsia" w:ascii="宋体" w:hAnsi="宋体" w:eastAsia="宋体" w:cs="Times New Roman"/>
          <w:b/>
          <w:sz w:val="24"/>
          <w:szCs w:val="24"/>
        </w:rPr>
        <w:t>传    真：</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传    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46145EF8">
      <w:pPr>
        <w:adjustRightInd w:val="0"/>
        <w:snapToGrid w:val="0"/>
        <w:spacing w:line="600" w:lineRule="exact"/>
        <w:rPr>
          <w:rFonts w:ascii="宋体" w:hAnsi="宋体" w:eastAsia="宋体" w:cs="Times New Roman"/>
          <w:b/>
          <w:sz w:val="24"/>
          <w:szCs w:val="24"/>
          <w:u w:val="single"/>
        </w:rPr>
      </w:pPr>
      <w:r>
        <w:rPr>
          <w:rFonts w:hint="eastAsia" w:ascii="宋体" w:hAnsi="宋体" w:eastAsia="宋体" w:cs="Times New Roman"/>
          <w:b/>
          <w:sz w:val="24"/>
          <w:szCs w:val="24"/>
        </w:rPr>
        <w:t>开户银行：</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开户银行：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546F90EB">
      <w:pPr>
        <w:adjustRightInd w:val="0"/>
        <w:snapToGrid w:val="0"/>
        <w:spacing w:line="600" w:lineRule="exact"/>
        <w:rPr>
          <w:rFonts w:ascii="宋体" w:hAnsi="宋体" w:eastAsia="宋体" w:cs="Times New Roman"/>
          <w:b/>
          <w:sz w:val="24"/>
          <w:szCs w:val="24"/>
          <w:u w:val="single"/>
        </w:rPr>
      </w:pPr>
      <w:r>
        <w:rPr>
          <w:rFonts w:hint="eastAsia" w:ascii="宋体" w:hAnsi="宋体" w:eastAsia="宋体" w:cs="Times New Roman"/>
          <w:b/>
          <w:sz w:val="24"/>
          <w:szCs w:val="24"/>
        </w:rPr>
        <w:t>账    号：</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 xml:space="preserve"> 账    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14:paraId="32EBB9A6">
      <w:pPr>
        <w:adjustRightInd w:val="0"/>
        <w:snapToGrid w:val="0"/>
        <w:spacing w:line="600" w:lineRule="exact"/>
        <w:rPr>
          <w:rFonts w:ascii="宋体" w:hAnsi="宋体" w:eastAsia="宋体" w:cs="Times New Roman"/>
          <w:sz w:val="24"/>
          <w:szCs w:val="24"/>
        </w:rPr>
      </w:pPr>
      <w:r>
        <w:rPr>
          <w:rFonts w:hint="eastAsia" w:ascii="宋体" w:hAnsi="宋体" w:eastAsia="宋体" w:cs="Times New Roman"/>
          <w:b/>
          <w:sz w:val="24"/>
          <w:szCs w:val="24"/>
        </w:rPr>
        <w:t>邮政编码：</w:t>
      </w:r>
      <w:r>
        <w:rPr>
          <w:rFonts w:hint="eastAsia" w:ascii="宋体" w:hAnsi="宋体" w:eastAsia="宋体" w:cs="Times New Roman"/>
          <w:spacing w:val="10"/>
          <w:sz w:val="24"/>
          <w:szCs w:val="24"/>
          <w:u w:val="single"/>
        </w:rPr>
        <w:t xml:space="preserve">     </w:t>
      </w:r>
      <w:r>
        <w:rPr>
          <w:rFonts w:hint="eastAsia" w:ascii="宋体" w:hAnsi="宋体" w:eastAsia="宋体" w:cs="Times New Roman"/>
          <w:spacing w:val="10"/>
          <w:sz w:val="24"/>
          <w:szCs w:val="24"/>
          <w:u w:val="single"/>
          <w:lang w:val="en-US" w:eastAsia="zh-CN"/>
        </w:rPr>
        <w:t xml:space="preserve">          </w:t>
      </w:r>
      <w:r>
        <w:rPr>
          <w:rFonts w:hint="eastAsia" w:ascii="宋体" w:hAnsi="宋体" w:eastAsia="宋体" w:cs="Times New Roman"/>
          <w:spacing w:val="10"/>
          <w:sz w:val="24"/>
          <w:szCs w:val="24"/>
          <w:u w:val="single"/>
        </w:rPr>
        <w:t xml:space="preserve">  </w:t>
      </w:r>
      <w:r>
        <w:rPr>
          <w:rFonts w:hint="eastAsia" w:ascii="宋体" w:hAnsi="宋体" w:eastAsia="宋体" w:cs="Times New Roman"/>
          <w:b/>
          <w:sz w:val="24"/>
          <w:szCs w:val="24"/>
        </w:rPr>
        <w:t xml:space="preserve"> 邮政编码：</w:t>
      </w:r>
      <w:r>
        <w:rPr>
          <w:rFonts w:hint="eastAsia" w:ascii="宋体" w:hAnsi="宋体" w:eastAsia="宋体" w:cs="Times New Roman"/>
          <w:sz w:val="24"/>
          <w:szCs w:val="24"/>
          <w:u w:val="single"/>
        </w:rPr>
        <w:t xml:space="preserve">               </w:t>
      </w:r>
    </w:p>
    <w:p w14:paraId="26D1CB2C">
      <w:pPr>
        <w:jc w:val="center"/>
        <w:rPr>
          <w:rFonts w:ascii="宋体" w:hAnsi="宋体" w:eastAsia="宋体" w:cs="Times New Roman"/>
          <w:b/>
          <w:sz w:val="32"/>
          <w:szCs w:val="32"/>
        </w:rPr>
      </w:pPr>
    </w:p>
    <w:p w14:paraId="66AA5790">
      <w:pPr>
        <w:jc w:val="center"/>
        <w:rPr>
          <w:rFonts w:ascii="宋体" w:hAnsi="宋体" w:eastAsia="宋体" w:cs="Times New Roman"/>
          <w:b/>
          <w:sz w:val="32"/>
          <w:szCs w:val="32"/>
        </w:rPr>
      </w:pPr>
    </w:p>
    <w:p w14:paraId="459325F0">
      <w:pPr>
        <w:jc w:val="center"/>
        <w:rPr>
          <w:rFonts w:ascii="宋体" w:hAnsi="宋体" w:eastAsia="宋体" w:cs="Times New Roman"/>
          <w:b/>
          <w:sz w:val="32"/>
          <w:szCs w:val="32"/>
        </w:rPr>
      </w:pPr>
    </w:p>
    <w:p w14:paraId="610F15D3">
      <w:pPr>
        <w:spacing w:line="360" w:lineRule="auto"/>
        <w:ind w:firstLine="480" w:firstLineChars="200"/>
        <w:jc w:val="center"/>
        <w:rPr>
          <w:rFonts w:hint="eastAsia" w:ascii="宋体" w:hAnsi="宋体"/>
          <w:color w:val="auto"/>
          <w:sz w:val="24"/>
          <w:highlight w:val="none"/>
        </w:rPr>
      </w:pPr>
    </w:p>
    <w:p w14:paraId="3E8DD702">
      <w:pPr>
        <w:spacing w:line="360" w:lineRule="auto"/>
        <w:ind w:firstLine="480" w:firstLineChars="200"/>
        <w:jc w:val="center"/>
        <w:rPr>
          <w:rFonts w:hint="eastAsia" w:ascii="宋体" w:hAnsi="宋体"/>
          <w:color w:val="auto"/>
          <w:sz w:val="24"/>
          <w:highlight w:val="none"/>
        </w:rPr>
      </w:pPr>
    </w:p>
    <w:p w14:paraId="5EA94434">
      <w:pPr>
        <w:wordWrap w:val="0"/>
        <w:topLinePunct/>
        <w:spacing w:before="312" w:beforeLines="100" w:after="312" w:afterLines="100" w:line="360" w:lineRule="auto"/>
        <w:jc w:val="both"/>
        <w:outlineLvl w:val="9"/>
        <w:rPr>
          <w:rFonts w:hint="eastAsia" w:ascii="宋体" w:hAnsi="宋体" w:eastAsia="宋体" w:cs="Courier New"/>
          <w:b/>
          <w:bCs/>
          <w:color w:val="auto"/>
          <w:sz w:val="30"/>
          <w:szCs w:val="30"/>
          <w:highlight w:val="none"/>
        </w:rPr>
      </w:pPr>
      <w:bookmarkStart w:id="518" w:name="_Toc23774490"/>
    </w:p>
    <w:p w14:paraId="54DEC9B5">
      <w:pPr>
        <w:spacing w:after="240" w:afterLines="100" w:line="380" w:lineRule="exact"/>
        <w:jc w:val="center"/>
        <w:outlineLvl w:val="0"/>
        <w:rPr>
          <w:rFonts w:ascii="宋体" w:hAnsi="宋体" w:eastAsia="宋体" w:cs="Times New Roman"/>
          <w:b/>
          <w:sz w:val="32"/>
          <w:szCs w:val="32"/>
        </w:rPr>
      </w:pPr>
      <w:bookmarkStart w:id="519" w:name="_Toc24498"/>
      <w:r>
        <w:rPr>
          <w:rFonts w:hint="eastAsia" w:ascii="宋体" w:hAnsi="宋体" w:eastAsia="宋体" w:cs="Courier New"/>
          <w:b/>
          <w:bCs/>
          <w:color w:val="auto"/>
          <w:sz w:val="30"/>
          <w:szCs w:val="30"/>
          <w:highlight w:val="none"/>
        </w:rPr>
        <w:t>第</w:t>
      </w:r>
      <w:r>
        <w:rPr>
          <w:rFonts w:hint="eastAsia" w:ascii="宋体" w:hAnsi="宋体" w:eastAsia="宋体" w:cs="Courier New"/>
          <w:b/>
          <w:bCs/>
          <w:color w:val="auto"/>
          <w:sz w:val="30"/>
          <w:szCs w:val="30"/>
          <w:highlight w:val="none"/>
          <w:lang w:eastAsia="zh-CN"/>
        </w:rPr>
        <w:t>五</w:t>
      </w:r>
      <w:r>
        <w:rPr>
          <w:rFonts w:hint="eastAsia" w:ascii="宋体" w:hAnsi="宋体" w:eastAsia="宋体" w:cs="Courier New"/>
          <w:b/>
          <w:bCs/>
          <w:color w:val="auto"/>
          <w:sz w:val="30"/>
          <w:szCs w:val="30"/>
          <w:highlight w:val="none"/>
        </w:rPr>
        <w:t xml:space="preserve">章  </w:t>
      </w:r>
      <w:bookmarkEnd w:id="517"/>
      <w:bookmarkEnd w:id="518"/>
      <w:bookmarkStart w:id="520" w:name="_Toc3615"/>
      <w:bookmarkStart w:id="521" w:name="_Toc23774491"/>
      <w:r>
        <w:rPr>
          <w:rFonts w:hint="eastAsia" w:ascii="宋体" w:hAnsi="宋体" w:eastAsia="宋体" w:cs="Times New Roman"/>
          <w:b/>
          <w:sz w:val="32"/>
          <w:szCs w:val="32"/>
        </w:rPr>
        <w:t>工程量清单</w:t>
      </w:r>
      <w:bookmarkEnd w:id="519"/>
    </w:p>
    <w:p w14:paraId="1652020C">
      <w:pPr>
        <w:spacing w:after="240" w:afterLines="100" w:line="380" w:lineRule="exact"/>
        <w:rPr>
          <w:rFonts w:ascii="宋体" w:hAnsi="宋体" w:eastAsia="宋体" w:cs="宋体"/>
          <w:sz w:val="24"/>
          <w:szCs w:val="24"/>
        </w:rPr>
      </w:pPr>
      <w:r>
        <w:rPr>
          <w:rFonts w:hint="eastAsia" w:ascii="宋体" w:hAnsi="宋体" w:eastAsia="宋体" w:cs="宋体"/>
          <w:sz w:val="24"/>
          <w:szCs w:val="24"/>
        </w:rPr>
        <w:t>1、工程量清单说明</w:t>
      </w:r>
    </w:p>
    <w:p w14:paraId="7FAA3EF0">
      <w:pPr>
        <w:spacing w:line="430" w:lineRule="exact"/>
        <w:ind w:left="1"/>
        <w:rPr>
          <w:rFonts w:ascii="宋体" w:hAnsi="宋体" w:eastAsia="宋体" w:cs="宋体"/>
          <w:sz w:val="24"/>
          <w:szCs w:val="24"/>
        </w:rPr>
      </w:pPr>
      <w:r>
        <w:rPr>
          <w:rFonts w:hint="eastAsia" w:ascii="宋体" w:hAnsi="宋体" w:eastAsia="宋体" w:cs="宋体"/>
          <w:sz w:val="24"/>
          <w:szCs w:val="24"/>
        </w:rPr>
        <w:t>1.1本工程量清单是</w:t>
      </w:r>
      <w:r>
        <w:rPr>
          <w:rFonts w:hint="eastAsia" w:ascii="宋体" w:hAnsi="宋体" w:eastAsia="宋体" w:cs="宋体"/>
          <w:sz w:val="24"/>
          <w:szCs w:val="24"/>
          <w:lang w:eastAsia="zh-CN"/>
        </w:rPr>
        <w:t>磋商文件</w:t>
      </w:r>
      <w:r>
        <w:rPr>
          <w:rFonts w:hint="eastAsia" w:ascii="宋体" w:hAnsi="宋体" w:eastAsia="宋体" w:cs="宋体"/>
          <w:sz w:val="24"/>
          <w:szCs w:val="24"/>
        </w:rPr>
        <w:t>中包括的、有合同约束力的图纸以及有关工程量清单的国家标准、行业标准、合同条款中约定的工程量计算规则编制。约定计量规则中没有子母，其工程量按照有合同约束力的图纸所标示尺寸的理论净量计算。计量采用中华人民共和国法定的基本计量单位。</w:t>
      </w:r>
    </w:p>
    <w:p w14:paraId="368DBAD2">
      <w:pPr>
        <w:spacing w:line="430" w:lineRule="exact"/>
        <w:ind w:left="1"/>
        <w:rPr>
          <w:rFonts w:ascii="宋体" w:hAnsi="宋体" w:eastAsia="宋体" w:cs="宋体"/>
          <w:sz w:val="24"/>
          <w:szCs w:val="24"/>
        </w:rPr>
      </w:pPr>
      <w:r>
        <w:rPr>
          <w:rFonts w:hint="eastAsia" w:ascii="宋体" w:hAnsi="宋体" w:eastAsia="宋体" w:cs="宋体"/>
          <w:sz w:val="24"/>
          <w:szCs w:val="24"/>
        </w:rPr>
        <w:t>1.2本工程量清单应与</w:t>
      </w:r>
      <w:r>
        <w:rPr>
          <w:rFonts w:hint="eastAsia" w:ascii="宋体" w:hAnsi="宋体" w:eastAsia="宋体" w:cs="宋体"/>
          <w:sz w:val="24"/>
          <w:szCs w:val="24"/>
          <w:lang w:eastAsia="zh-CN"/>
        </w:rPr>
        <w:t>磋商文件</w:t>
      </w:r>
      <w:r>
        <w:rPr>
          <w:rFonts w:hint="eastAsia" w:ascii="宋体" w:hAnsi="宋体" w:eastAsia="宋体" w:cs="宋体"/>
          <w:sz w:val="24"/>
          <w:szCs w:val="24"/>
        </w:rPr>
        <w:t>中的投标人须知、通用合同条款、专用合同条款、技术标准和要求及图纸等章节内容一起阅读和理解。</w:t>
      </w:r>
    </w:p>
    <w:p w14:paraId="1CE15CEC">
      <w:pPr>
        <w:spacing w:line="430" w:lineRule="exact"/>
        <w:ind w:left="847" w:hanging="847" w:hangingChars="353"/>
        <w:rPr>
          <w:rFonts w:ascii="宋体" w:hAnsi="宋体" w:eastAsia="宋体" w:cs="宋体"/>
          <w:sz w:val="24"/>
          <w:szCs w:val="24"/>
        </w:rPr>
      </w:pPr>
    </w:p>
    <w:p w14:paraId="613D8C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Courier New"/>
          <w:b/>
          <w:bCs/>
          <w:color w:val="auto"/>
          <w:sz w:val="30"/>
          <w:szCs w:val="30"/>
          <w:highlight w:val="none"/>
        </w:rPr>
      </w:pPr>
    </w:p>
    <w:p w14:paraId="25628437">
      <w:pPr>
        <w:jc w:val="center"/>
        <w:outlineLvl w:val="0"/>
        <w:rPr>
          <w:rFonts w:ascii="宋体" w:hAnsi="宋体" w:eastAsia="宋体" w:cs="Times New Roman"/>
          <w:sz w:val="24"/>
          <w:szCs w:val="24"/>
        </w:rPr>
      </w:pPr>
      <w:r>
        <w:rPr>
          <w:rFonts w:hint="eastAsia" w:asciiTheme="minorEastAsia" w:hAnsiTheme="minorEastAsia" w:eastAsiaTheme="minorEastAsia" w:cstheme="minorEastAsia"/>
          <w:b/>
          <w:bCs/>
          <w:color w:val="auto"/>
          <w:sz w:val="28"/>
          <w:szCs w:val="28"/>
          <w:highlight w:val="none"/>
          <w:u w:val="none"/>
        </w:rPr>
        <w:br w:type="page"/>
      </w:r>
      <w:bookmarkStart w:id="522" w:name="_Toc10609"/>
      <w:r>
        <w:rPr>
          <w:rFonts w:hint="eastAsia" w:ascii="宋体" w:hAnsi="宋体" w:eastAsia="宋体" w:cs="Times New Roman"/>
          <w:b/>
          <w:sz w:val="32"/>
          <w:szCs w:val="32"/>
        </w:rPr>
        <w:t xml:space="preserve">第六章    </w:t>
      </w:r>
      <w:r>
        <w:rPr>
          <w:rFonts w:hint="eastAsia" w:ascii="Times New Roman" w:hAnsi="Times New Roman" w:eastAsia="宋体" w:cs="Times New Roman"/>
          <w:b/>
          <w:sz w:val="32"/>
          <w:szCs w:val="32"/>
        </w:rPr>
        <w:t>技术标准和</w:t>
      </w:r>
      <w:r>
        <w:rPr>
          <w:rFonts w:hint="eastAsia" w:ascii="Times New Roman" w:hAnsi="Times New Roman" w:eastAsia="宋体" w:cs="Times New Roman"/>
          <w:b/>
          <w:sz w:val="32"/>
          <w:szCs w:val="32"/>
          <w:lang w:eastAsia="zh-CN"/>
        </w:rPr>
        <w:t>采购</w:t>
      </w:r>
      <w:bookmarkEnd w:id="522"/>
      <w:r>
        <w:rPr>
          <w:rFonts w:hint="eastAsia" w:ascii="Times New Roman" w:hAnsi="Times New Roman" w:eastAsia="宋体" w:cs="Times New Roman"/>
          <w:b/>
          <w:sz w:val="32"/>
          <w:szCs w:val="32"/>
          <w:lang w:eastAsia="zh-CN"/>
        </w:rPr>
        <w:t>需求</w:t>
      </w:r>
    </w:p>
    <w:p w14:paraId="7C7DF85D">
      <w:pPr>
        <w:spacing w:line="487" w:lineRule="atLeast"/>
        <w:jc w:val="left"/>
        <w:rPr>
          <w:rFonts w:ascii="宋体" w:hAnsi="宋体" w:eastAsia="宋体" w:cs="Times New Roman"/>
          <w:sz w:val="24"/>
          <w:szCs w:val="24"/>
        </w:rPr>
      </w:pPr>
      <w:r>
        <w:rPr>
          <w:rFonts w:hint="eastAsia" w:ascii="宋体" w:hAnsi="宋体" w:eastAsia="宋体" w:cs="Times New Roman"/>
          <w:sz w:val="24"/>
          <w:szCs w:val="24"/>
        </w:rPr>
        <w:t>一、适用范围</w:t>
      </w:r>
    </w:p>
    <w:p w14:paraId="0FEFA33B">
      <w:pPr>
        <w:spacing w:line="487" w:lineRule="atLeast"/>
        <w:ind w:firstLine="759"/>
        <w:rPr>
          <w:rFonts w:ascii="宋体" w:hAnsi="宋体" w:eastAsia="宋体" w:cs="Times New Roman"/>
          <w:sz w:val="24"/>
          <w:szCs w:val="24"/>
        </w:rPr>
      </w:pPr>
      <w:r>
        <w:rPr>
          <w:rFonts w:hint="eastAsia" w:ascii="宋体" w:hAnsi="宋体" w:eastAsia="宋体" w:cs="Times New Roman"/>
          <w:sz w:val="24"/>
          <w:szCs w:val="24"/>
        </w:rPr>
        <w:t>规范及技术要求的详细内容均已注明于施工图和有关文件之中。该规范仅适用于本工程施工。</w:t>
      </w:r>
    </w:p>
    <w:p w14:paraId="497B629E">
      <w:pPr>
        <w:spacing w:line="487" w:lineRule="atLeast"/>
        <w:rPr>
          <w:rFonts w:ascii="宋体" w:hAnsi="宋体" w:eastAsia="宋体" w:cs="Times New Roman"/>
          <w:sz w:val="24"/>
          <w:szCs w:val="24"/>
        </w:rPr>
      </w:pPr>
      <w:r>
        <w:rPr>
          <w:rFonts w:hint="eastAsia" w:ascii="宋体" w:hAnsi="宋体" w:eastAsia="宋体" w:cs="Times New Roman"/>
          <w:sz w:val="24"/>
          <w:szCs w:val="24"/>
        </w:rPr>
        <w:t>二、实施的有关标准与法规</w:t>
      </w:r>
    </w:p>
    <w:p w14:paraId="7BA69245">
      <w:pPr>
        <w:spacing w:line="487"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3DF8C788">
      <w:pPr>
        <w:spacing w:line="487"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9EA3283">
      <w:pPr>
        <w:spacing w:line="487" w:lineRule="atLeast"/>
        <w:rPr>
          <w:rFonts w:ascii="宋体" w:hAnsi="宋体" w:eastAsia="宋体" w:cs="Times New Roman"/>
          <w:sz w:val="24"/>
          <w:szCs w:val="24"/>
        </w:rPr>
      </w:pPr>
      <w:r>
        <w:rPr>
          <w:rFonts w:hint="eastAsia" w:ascii="宋体" w:hAnsi="宋体" w:eastAsia="宋体" w:cs="Times New Roman"/>
          <w:sz w:val="24"/>
          <w:szCs w:val="24"/>
        </w:rPr>
        <w:t>以上技术规范标准与新技术规范标准不一致时，以新技术规范标准为准。</w:t>
      </w:r>
    </w:p>
    <w:p w14:paraId="2E3639EF">
      <w:pPr>
        <w:spacing w:line="487"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3、工程除满足规范和标准要求外，还应满足以下特殊要求：施工中所有的预埋件、预留孔洞、管件等，必须在施工时，准确定位预埋和预留。</w:t>
      </w:r>
    </w:p>
    <w:p w14:paraId="0DE2DF47">
      <w:pPr>
        <w:spacing w:line="487" w:lineRule="atLeas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4、所有采购的原材料招标人提供样品的严格按样品采购。未提供样品的，材料生产厂家及规格质量以招标人及监理单位认可为准。</w:t>
      </w:r>
    </w:p>
    <w:p w14:paraId="24325FFD">
      <w:pPr>
        <w:spacing w:line="487" w:lineRule="atLeas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三、采购需求：</w:t>
      </w:r>
    </w:p>
    <w:p w14:paraId="784971E2">
      <w:pPr>
        <w:spacing w:line="487" w:lineRule="atLeast"/>
        <w:ind w:firstLine="480" w:firstLineChars="200"/>
        <w:rPr>
          <w:rFonts w:hint="eastAsia" w:ascii="宋体" w:hAnsi="宋体" w:eastAsia="宋体" w:cs="Courier New"/>
          <w:b w:val="0"/>
          <w:bCs w:val="0"/>
          <w:color w:val="auto"/>
          <w:sz w:val="24"/>
          <w:szCs w:val="24"/>
          <w:highlight w:val="none"/>
        </w:rPr>
      </w:pPr>
      <w:r>
        <w:rPr>
          <w:rFonts w:hint="eastAsia" w:ascii="宋体" w:hAnsi="宋体" w:eastAsia="宋体" w:cs="Times New Roman"/>
          <w:sz w:val="24"/>
          <w:szCs w:val="24"/>
          <w:lang w:val="en-US" w:eastAsia="zh-CN"/>
        </w:rPr>
        <w:t>1、</w:t>
      </w:r>
      <w:r>
        <w:rPr>
          <w:rFonts w:hint="eastAsia" w:ascii="宋体" w:hAnsi="宋体" w:eastAsia="宋体" w:cs="Courier New"/>
          <w:b w:val="0"/>
          <w:bCs w:val="0"/>
          <w:color w:val="auto"/>
          <w:sz w:val="24"/>
          <w:szCs w:val="24"/>
          <w:highlight w:val="none"/>
        </w:rPr>
        <w:t>边封材质及规格</w:t>
      </w:r>
      <w:r>
        <w:rPr>
          <w:rFonts w:hint="eastAsia" w:ascii="宋体" w:hAnsi="宋体" w:eastAsia="宋体" w:cs="Courier New"/>
          <w:b w:val="0"/>
          <w:bCs w:val="0"/>
          <w:color w:val="auto"/>
          <w:sz w:val="24"/>
          <w:szCs w:val="24"/>
          <w:highlight w:val="none"/>
          <w:lang w:eastAsia="zh-CN"/>
        </w:rPr>
        <w:t>：</w:t>
      </w:r>
      <w:r>
        <w:rPr>
          <w:rFonts w:hint="eastAsia" w:ascii="宋体" w:hAnsi="宋体" w:eastAsia="宋体" w:cs="Courier New"/>
          <w:b w:val="0"/>
          <w:bCs w:val="0"/>
          <w:color w:val="auto"/>
          <w:sz w:val="24"/>
          <w:szCs w:val="24"/>
          <w:highlight w:val="none"/>
        </w:rPr>
        <w:t>钛镁合金88*30*1.2mm(壁厚)：</w:t>
      </w:r>
    </w:p>
    <w:p w14:paraId="69839BAF">
      <w:pPr>
        <w:spacing w:line="487" w:lineRule="atLeast"/>
        <w:ind w:firstLine="480" w:firstLineChars="200"/>
        <w:rPr>
          <w:rFonts w:hint="eastAsia" w:ascii="宋体" w:hAnsi="宋体" w:eastAsia="宋体" w:cs="Courier New"/>
          <w:b w:val="0"/>
          <w:bCs w:val="0"/>
          <w:color w:val="auto"/>
          <w:sz w:val="24"/>
          <w:szCs w:val="24"/>
          <w:highlight w:val="none"/>
        </w:rPr>
      </w:pPr>
      <w:r>
        <w:rPr>
          <w:rFonts w:hint="eastAsia" w:ascii="宋体" w:hAnsi="宋体" w:eastAsia="宋体" w:cs="Courier New"/>
          <w:b w:val="0"/>
          <w:bCs w:val="0"/>
          <w:color w:val="auto"/>
          <w:sz w:val="24"/>
          <w:szCs w:val="24"/>
          <w:highlight w:val="none"/>
          <w:lang w:val="en-US" w:eastAsia="zh-CN"/>
        </w:rPr>
        <w:t>2、</w:t>
      </w:r>
      <w:r>
        <w:rPr>
          <w:rFonts w:hint="eastAsia" w:ascii="宋体" w:hAnsi="宋体" w:eastAsia="宋体" w:cs="Courier New"/>
          <w:b w:val="0"/>
          <w:bCs w:val="0"/>
          <w:color w:val="auto"/>
          <w:sz w:val="24"/>
          <w:szCs w:val="24"/>
          <w:highlight w:val="none"/>
        </w:rPr>
        <w:t>地轨（下滑）采用</w:t>
      </w:r>
      <w:r>
        <w:rPr>
          <w:rFonts w:hint="eastAsia" w:ascii="宋体" w:hAnsi="宋体" w:eastAsia="宋体" w:cs="Courier New"/>
          <w:b w:val="0"/>
          <w:bCs w:val="0"/>
          <w:color w:val="auto"/>
          <w:sz w:val="24"/>
          <w:szCs w:val="24"/>
          <w:highlight w:val="none"/>
          <w:lang w:eastAsia="zh-CN"/>
        </w:rPr>
        <w:t>：</w:t>
      </w:r>
      <w:r>
        <w:rPr>
          <w:rFonts w:hint="eastAsia" w:ascii="宋体" w:hAnsi="宋体" w:eastAsia="宋体" w:cs="Courier New"/>
          <w:b w:val="0"/>
          <w:bCs w:val="0"/>
          <w:color w:val="auto"/>
          <w:sz w:val="24"/>
          <w:szCs w:val="24"/>
          <w:highlight w:val="none"/>
        </w:rPr>
        <w:t>二道不锈钢自粘轨道条，壁厚2.0mm</w:t>
      </w:r>
    </w:p>
    <w:p w14:paraId="0048C3F2">
      <w:pPr>
        <w:spacing w:line="487" w:lineRule="atLeast"/>
        <w:ind w:firstLine="480" w:firstLineChars="200"/>
        <w:rPr>
          <w:rFonts w:hint="eastAsia" w:ascii="宋体" w:hAnsi="宋体" w:eastAsia="宋体" w:cs="Courier New"/>
          <w:b w:val="0"/>
          <w:bCs w:val="0"/>
          <w:color w:val="auto"/>
          <w:sz w:val="24"/>
          <w:szCs w:val="24"/>
          <w:highlight w:val="none"/>
        </w:rPr>
      </w:pPr>
      <w:r>
        <w:rPr>
          <w:rFonts w:hint="eastAsia" w:ascii="宋体" w:hAnsi="宋体" w:eastAsia="宋体" w:cs="Courier New"/>
          <w:b w:val="0"/>
          <w:bCs w:val="0"/>
          <w:color w:val="auto"/>
          <w:sz w:val="24"/>
          <w:szCs w:val="24"/>
          <w:highlight w:val="none"/>
          <w:lang w:val="en-US" w:eastAsia="zh-CN"/>
        </w:rPr>
        <w:t>3、</w:t>
      </w:r>
      <w:r>
        <w:rPr>
          <w:rFonts w:hint="eastAsia" w:ascii="宋体" w:hAnsi="宋体" w:eastAsia="宋体" w:cs="Courier New"/>
          <w:b w:val="0"/>
          <w:bCs w:val="0"/>
          <w:color w:val="auto"/>
          <w:sz w:val="24"/>
          <w:szCs w:val="24"/>
          <w:highlight w:val="none"/>
        </w:rPr>
        <w:t>缓冲上滑</w:t>
      </w:r>
      <w:r>
        <w:rPr>
          <w:rFonts w:hint="eastAsia" w:ascii="宋体" w:hAnsi="宋体" w:eastAsia="宋体" w:cs="Courier New"/>
          <w:b w:val="0"/>
          <w:bCs w:val="0"/>
          <w:color w:val="auto"/>
          <w:sz w:val="24"/>
          <w:szCs w:val="24"/>
          <w:highlight w:val="none"/>
          <w:lang w:eastAsia="zh-CN"/>
        </w:rPr>
        <w:t>：</w:t>
      </w:r>
      <w:r>
        <w:rPr>
          <w:rFonts w:hint="eastAsia" w:ascii="宋体" w:hAnsi="宋体" w:eastAsia="宋体" w:cs="Courier New"/>
          <w:b w:val="0"/>
          <w:bCs w:val="0"/>
          <w:color w:val="auto"/>
          <w:sz w:val="24"/>
          <w:szCs w:val="24"/>
          <w:highlight w:val="none"/>
        </w:rPr>
        <w:t>采用钛镁合金材质88*40*1.2mm(壁厚)</w:t>
      </w:r>
    </w:p>
    <w:p w14:paraId="02BD4C83">
      <w:pPr>
        <w:spacing w:line="487" w:lineRule="atLeast"/>
        <w:ind w:firstLine="480" w:firstLineChars="200"/>
        <w:rPr>
          <w:rFonts w:hint="eastAsia" w:ascii="宋体" w:hAnsi="宋体" w:eastAsia="宋体" w:cs="Courier New"/>
          <w:b w:val="0"/>
          <w:bCs w:val="0"/>
          <w:color w:val="auto"/>
          <w:sz w:val="24"/>
          <w:szCs w:val="24"/>
          <w:highlight w:val="none"/>
        </w:rPr>
      </w:pPr>
      <w:r>
        <w:rPr>
          <w:rFonts w:hint="eastAsia" w:ascii="宋体" w:hAnsi="宋体" w:eastAsia="宋体" w:cs="Courier New"/>
          <w:b w:val="0"/>
          <w:bCs w:val="0"/>
          <w:color w:val="auto"/>
          <w:sz w:val="24"/>
          <w:szCs w:val="24"/>
          <w:highlight w:val="none"/>
          <w:lang w:val="en-US" w:eastAsia="zh-CN"/>
        </w:rPr>
        <w:t>4、</w:t>
      </w:r>
      <w:r>
        <w:rPr>
          <w:rFonts w:hint="eastAsia" w:ascii="宋体" w:hAnsi="宋体" w:eastAsia="宋体" w:cs="Courier New"/>
          <w:b w:val="0"/>
          <w:bCs w:val="0"/>
          <w:color w:val="auto"/>
          <w:sz w:val="24"/>
          <w:szCs w:val="24"/>
          <w:highlight w:val="none"/>
        </w:rPr>
        <w:t>门框材质及规格</w:t>
      </w:r>
      <w:r>
        <w:rPr>
          <w:rFonts w:hint="eastAsia" w:ascii="宋体" w:hAnsi="宋体" w:eastAsia="宋体" w:cs="Courier New"/>
          <w:b w:val="0"/>
          <w:bCs w:val="0"/>
          <w:color w:val="auto"/>
          <w:sz w:val="24"/>
          <w:szCs w:val="24"/>
          <w:highlight w:val="none"/>
          <w:lang w:eastAsia="zh-CN"/>
        </w:rPr>
        <w:t>：</w:t>
      </w:r>
      <w:r>
        <w:rPr>
          <w:rFonts w:hint="eastAsia" w:ascii="宋体" w:hAnsi="宋体" w:eastAsia="宋体" w:cs="Courier New"/>
          <w:b w:val="0"/>
          <w:bCs w:val="0"/>
          <w:color w:val="auto"/>
          <w:sz w:val="24"/>
          <w:szCs w:val="24"/>
          <w:highlight w:val="none"/>
        </w:rPr>
        <w:t>钛镁合金40*35*2.0(壁厚)</w:t>
      </w:r>
    </w:p>
    <w:p w14:paraId="6475182D">
      <w:pPr>
        <w:spacing w:line="487" w:lineRule="atLeast"/>
        <w:ind w:firstLine="480" w:firstLineChars="200"/>
        <w:rPr>
          <w:rFonts w:hint="eastAsia" w:ascii="宋体" w:hAnsi="宋体" w:eastAsia="宋体" w:cs="Courier New"/>
          <w:b w:val="0"/>
          <w:bCs w:val="0"/>
          <w:color w:val="auto"/>
          <w:sz w:val="24"/>
          <w:szCs w:val="24"/>
          <w:highlight w:val="none"/>
        </w:rPr>
      </w:pPr>
      <w:r>
        <w:rPr>
          <w:rFonts w:hint="eastAsia" w:ascii="宋体" w:hAnsi="宋体" w:eastAsia="宋体" w:cs="Courier New"/>
          <w:b w:val="0"/>
          <w:bCs w:val="0"/>
          <w:color w:val="auto"/>
          <w:sz w:val="24"/>
          <w:szCs w:val="24"/>
          <w:highlight w:val="none"/>
          <w:lang w:val="en-US" w:eastAsia="zh-CN"/>
        </w:rPr>
        <w:t>5、</w:t>
      </w:r>
      <w:r>
        <w:rPr>
          <w:rFonts w:hint="eastAsia" w:ascii="宋体" w:hAnsi="宋体" w:eastAsia="宋体" w:cs="Courier New"/>
          <w:b w:val="0"/>
          <w:bCs w:val="0"/>
          <w:color w:val="auto"/>
          <w:sz w:val="24"/>
          <w:szCs w:val="24"/>
          <w:highlight w:val="none"/>
        </w:rPr>
        <w:t>玻璃品种、厚度:5+12A+5双层钢化中空透明玻璃</w:t>
      </w:r>
    </w:p>
    <w:p w14:paraId="5BA38A5B">
      <w:pPr>
        <w:spacing w:line="487" w:lineRule="atLeast"/>
        <w:ind w:firstLine="480" w:firstLineChars="200"/>
        <w:rPr>
          <w:rFonts w:hint="eastAsia" w:ascii="宋体" w:hAnsi="宋体" w:eastAsia="宋体" w:cs="Courier New"/>
          <w:b w:val="0"/>
          <w:bCs w:val="0"/>
          <w:color w:val="auto"/>
          <w:sz w:val="24"/>
          <w:szCs w:val="24"/>
          <w:highlight w:val="none"/>
        </w:rPr>
      </w:pPr>
      <w:r>
        <w:rPr>
          <w:rFonts w:hint="eastAsia" w:ascii="宋体" w:hAnsi="宋体" w:eastAsia="宋体" w:cs="Courier New"/>
          <w:b w:val="0"/>
          <w:bCs w:val="0"/>
          <w:color w:val="auto"/>
          <w:sz w:val="24"/>
          <w:szCs w:val="24"/>
          <w:highlight w:val="none"/>
          <w:lang w:val="en-US" w:eastAsia="zh-CN"/>
        </w:rPr>
        <w:t>6、</w:t>
      </w:r>
      <w:r>
        <w:rPr>
          <w:rFonts w:hint="eastAsia" w:ascii="宋体" w:hAnsi="宋体" w:eastAsia="宋体" w:cs="Courier New"/>
          <w:b w:val="0"/>
          <w:bCs w:val="0"/>
          <w:color w:val="auto"/>
          <w:sz w:val="24"/>
          <w:szCs w:val="24"/>
          <w:highlight w:val="none"/>
        </w:rPr>
        <w:t>选用图集：12YJ4-1-第6页-TM1-1524</w:t>
      </w:r>
    </w:p>
    <w:p w14:paraId="50AEE946">
      <w:pPr>
        <w:spacing w:line="487" w:lineRule="atLeast"/>
        <w:ind w:firstLine="480" w:firstLineChars="200"/>
        <w:rPr>
          <w:rFonts w:hint="eastAsia" w:ascii="宋体" w:hAnsi="宋体" w:eastAsia="宋体" w:cs="Courier New"/>
          <w:b w:val="0"/>
          <w:bCs w:val="0"/>
          <w:color w:val="auto"/>
          <w:sz w:val="24"/>
          <w:szCs w:val="24"/>
          <w:highlight w:val="none"/>
          <w:lang w:eastAsia="zh-CN"/>
        </w:rPr>
      </w:pPr>
      <w:r>
        <w:rPr>
          <w:rFonts w:hint="eastAsia" w:ascii="宋体" w:hAnsi="宋体" w:eastAsia="宋体" w:cs="Courier New"/>
          <w:b w:val="0"/>
          <w:bCs w:val="0"/>
          <w:color w:val="auto"/>
          <w:sz w:val="24"/>
          <w:szCs w:val="24"/>
          <w:highlight w:val="none"/>
          <w:lang w:val="en-US" w:eastAsia="zh-CN"/>
        </w:rPr>
        <w:t>7、</w:t>
      </w:r>
      <w:r>
        <w:rPr>
          <w:rFonts w:hint="eastAsia" w:ascii="宋体" w:hAnsi="宋体" w:eastAsia="宋体" w:cs="Courier New"/>
          <w:b w:val="0"/>
          <w:bCs w:val="0"/>
          <w:color w:val="auto"/>
          <w:sz w:val="24"/>
          <w:szCs w:val="24"/>
          <w:highlight w:val="none"/>
        </w:rPr>
        <w:t>综合单价包含：成品推拉门制作及安装（含五金、锁具、阻尼器等)，综合考虑人材机等风险因素</w:t>
      </w:r>
      <w:r>
        <w:rPr>
          <w:rFonts w:hint="eastAsia" w:ascii="宋体" w:hAnsi="宋体" w:eastAsia="宋体" w:cs="Courier New"/>
          <w:b w:val="0"/>
          <w:bCs w:val="0"/>
          <w:color w:val="auto"/>
          <w:sz w:val="24"/>
          <w:szCs w:val="24"/>
          <w:highlight w:val="none"/>
          <w:lang w:eastAsia="zh-CN"/>
        </w:rPr>
        <w:t>。</w:t>
      </w:r>
    </w:p>
    <w:p w14:paraId="3585A9A5">
      <w:pPr>
        <w:numPr>
          <w:ilvl w:val="0"/>
          <w:numId w:val="0"/>
        </w:numPr>
        <w:wordWrap w:val="0"/>
        <w:topLinePunct/>
        <w:spacing w:before="312" w:beforeLines="100" w:after="312" w:afterLines="100" w:line="360" w:lineRule="auto"/>
        <w:ind w:firstLine="2560" w:firstLineChars="800"/>
        <w:jc w:val="both"/>
        <w:outlineLvl w:val="0"/>
        <w:rPr>
          <w:rFonts w:hint="eastAsia" w:ascii="宋体" w:hAnsi="宋体" w:eastAsia="宋体" w:cs="Courier New"/>
          <w:b/>
          <w:bCs/>
          <w:color w:val="auto"/>
          <w:sz w:val="32"/>
          <w:szCs w:val="32"/>
          <w:highlight w:val="none"/>
          <w:lang w:eastAsia="zh-CN"/>
        </w:rPr>
      </w:pPr>
      <w:bookmarkStart w:id="523" w:name="_Toc24099"/>
    </w:p>
    <w:p w14:paraId="70896E61">
      <w:pPr>
        <w:numPr>
          <w:ilvl w:val="0"/>
          <w:numId w:val="0"/>
        </w:numPr>
        <w:wordWrap w:val="0"/>
        <w:topLinePunct/>
        <w:spacing w:before="312" w:beforeLines="100" w:after="312" w:afterLines="100" w:line="360" w:lineRule="auto"/>
        <w:ind w:firstLine="2560" w:firstLineChars="800"/>
        <w:jc w:val="both"/>
        <w:outlineLvl w:val="0"/>
        <w:rPr>
          <w:rFonts w:hint="eastAsia" w:ascii="宋体" w:hAnsi="宋体" w:eastAsia="宋体" w:cs="Courier New"/>
          <w:b/>
          <w:bCs/>
          <w:color w:val="auto"/>
          <w:sz w:val="32"/>
          <w:szCs w:val="32"/>
          <w:highlight w:val="none"/>
        </w:rPr>
      </w:pPr>
      <w:r>
        <w:rPr>
          <w:rFonts w:hint="eastAsia" w:ascii="宋体" w:hAnsi="宋体" w:eastAsia="宋体" w:cs="Courier New"/>
          <w:b/>
          <w:bCs/>
          <w:color w:val="auto"/>
          <w:sz w:val="32"/>
          <w:szCs w:val="32"/>
          <w:highlight w:val="none"/>
          <w:lang w:eastAsia="zh-CN"/>
        </w:rPr>
        <w:t>第七章</w:t>
      </w:r>
      <w:r>
        <w:rPr>
          <w:rFonts w:hint="eastAsia" w:ascii="宋体" w:hAnsi="宋体" w:eastAsia="宋体" w:cs="Courier New"/>
          <w:b/>
          <w:bCs/>
          <w:color w:val="auto"/>
          <w:sz w:val="32"/>
          <w:szCs w:val="32"/>
          <w:highlight w:val="none"/>
        </w:rPr>
        <w:t xml:space="preserve"> 响应文件格式</w:t>
      </w:r>
      <w:bookmarkEnd w:id="497"/>
      <w:bookmarkEnd w:id="520"/>
      <w:bookmarkEnd w:id="521"/>
      <w:bookmarkEnd w:id="523"/>
    </w:p>
    <w:p w14:paraId="09F611C4">
      <w:pPr>
        <w:keepNext/>
        <w:keepLines/>
        <w:wordWrap w:val="0"/>
        <w:topLinePunct/>
        <w:spacing w:line="416" w:lineRule="auto"/>
        <w:jc w:val="center"/>
        <w:outlineLvl w:val="9"/>
        <w:rPr>
          <w:rFonts w:hint="eastAsia" w:ascii="宋体" w:hAnsi="宋体" w:eastAsia="宋体" w:cs="宋体"/>
          <w:b/>
          <w:bCs/>
          <w:color w:val="auto"/>
          <w:sz w:val="44"/>
          <w:szCs w:val="44"/>
          <w:highlight w:val="none"/>
        </w:rPr>
      </w:pPr>
    </w:p>
    <w:p w14:paraId="34228611">
      <w:pPr>
        <w:keepNext/>
        <w:keepLines/>
        <w:wordWrap w:val="0"/>
        <w:topLinePunct/>
        <w:spacing w:line="416" w:lineRule="auto"/>
        <w:jc w:val="center"/>
        <w:outlineLvl w:val="1"/>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（项目名称）</w:t>
      </w:r>
    </w:p>
    <w:p w14:paraId="587F12D9">
      <w:pPr>
        <w:wordWrap w:val="0"/>
        <w:topLinePunct/>
        <w:spacing w:before="312" w:beforeLines="100" w:after="312" w:afterLines="100" w:line="360" w:lineRule="auto"/>
        <w:jc w:val="center"/>
        <w:rPr>
          <w:rFonts w:ascii="宋体" w:hAnsi="宋体" w:eastAsia="宋体" w:cs="Courier New"/>
          <w:b/>
          <w:bCs/>
          <w:color w:val="auto"/>
          <w:sz w:val="84"/>
          <w:szCs w:val="84"/>
          <w:highlight w:val="none"/>
        </w:rPr>
      </w:pPr>
    </w:p>
    <w:p w14:paraId="31F359E1">
      <w:pPr>
        <w:wordWrap w:val="0"/>
        <w:topLinePunct/>
        <w:spacing w:before="312" w:beforeLines="100" w:after="312" w:afterLines="100" w:line="360" w:lineRule="auto"/>
        <w:jc w:val="center"/>
        <w:rPr>
          <w:rFonts w:ascii="宋体" w:hAnsi="宋体" w:eastAsia="宋体" w:cs="Courier New"/>
          <w:b/>
          <w:bCs/>
          <w:color w:val="auto"/>
          <w:sz w:val="84"/>
          <w:szCs w:val="84"/>
          <w:highlight w:val="none"/>
        </w:rPr>
      </w:pPr>
      <w:r>
        <w:rPr>
          <w:rFonts w:hint="eastAsia" w:ascii="宋体" w:hAnsi="宋体" w:eastAsia="宋体" w:cs="Courier New"/>
          <w:b/>
          <w:bCs/>
          <w:color w:val="auto"/>
          <w:sz w:val="84"/>
          <w:szCs w:val="84"/>
          <w:highlight w:val="none"/>
        </w:rPr>
        <w:t>响应文件</w:t>
      </w:r>
    </w:p>
    <w:p w14:paraId="3DC55D1A">
      <w:pPr>
        <w:wordWrap w:val="0"/>
        <w:topLinePunct/>
        <w:spacing w:before="312" w:beforeLines="100" w:after="312" w:afterLines="100" w:line="360" w:lineRule="auto"/>
        <w:ind w:firstLine="2940" w:firstLineChars="1050"/>
        <w:rPr>
          <w:rFonts w:ascii="宋体" w:hAnsi="宋体" w:eastAsia="宋体" w:cs="Courier New"/>
          <w:b/>
          <w:bCs/>
          <w:color w:val="auto"/>
          <w:sz w:val="30"/>
          <w:szCs w:val="30"/>
          <w:highlight w:val="none"/>
        </w:rPr>
      </w:pPr>
      <w:r>
        <w:rPr>
          <w:rFonts w:hint="eastAsia" w:ascii="宋体" w:hAnsi="宋体" w:eastAsia="宋体" w:cs="Courier New"/>
          <w:color w:val="auto"/>
          <w:sz w:val="28"/>
          <w:szCs w:val="28"/>
          <w:highlight w:val="none"/>
        </w:rPr>
        <w:t>项目编号：</w:t>
      </w:r>
    </w:p>
    <w:p w14:paraId="11280054">
      <w:pPr>
        <w:wordWrap w:val="0"/>
        <w:topLinePunct/>
        <w:spacing w:before="312" w:beforeLines="100" w:after="312" w:afterLines="100" w:line="360" w:lineRule="auto"/>
        <w:jc w:val="center"/>
        <w:rPr>
          <w:rFonts w:ascii="宋体" w:hAnsi="宋体" w:eastAsia="宋体" w:cs="Courier New"/>
          <w:bCs/>
          <w:color w:val="auto"/>
          <w:sz w:val="32"/>
          <w:szCs w:val="21"/>
          <w:highlight w:val="none"/>
        </w:rPr>
      </w:pPr>
    </w:p>
    <w:p w14:paraId="751EEADD">
      <w:pPr>
        <w:wordWrap w:val="0"/>
        <w:topLinePunct/>
        <w:spacing w:before="312" w:beforeLines="100" w:after="312" w:afterLines="100" w:line="360" w:lineRule="auto"/>
        <w:jc w:val="center"/>
        <w:rPr>
          <w:rFonts w:ascii="宋体" w:hAnsi="宋体" w:eastAsia="宋体" w:cs="Courier New"/>
          <w:b/>
          <w:bCs/>
          <w:color w:val="auto"/>
          <w:sz w:val="32"/>
          <w:szCs w:val="21"/>
          <w:highlight w:val="none"/>
          <w:u w:val="single"/>
        </w:rPr>
      </w:pPr>
    </w:p>
    <w:p w14:paraId="300382D3">
      <w:pPr>
        <w:wordWrap w:val="0"/>
        <w:topLinePunct/>
        <w:spacing w:before="312" w:beforeLines="100" w:after="312" w:afterLines="100" w:line="360" w:lineRule="auto"/>
        <w:jc w:val="center"/>
        <w:rPr>
          <w:rFonts w:ascii="宋体" w:hAnsi="宋体" w:eastAsia="宋体" w:cs="Courier New"/>
          <w:b/>
          <w:bCs/>
          <w:color w:val="auto"/>
          <w:sz w:val="32"/>
          <w:szCs w:val="21"/>
          <w:highlight w:val="none"/>
          <w:u w:val="single"/>
        </w:rPr>
      </w:pPr>
    </w:p>
    <w:p w14:paraId="7CD6CD2F">
      <w:pPr>
        <w:wordWrap w:val="0"/>
        <w:topLinePunct/>
        <w:spacing w:before="312" w:beforeLines="100" w:after="312" w:afterLines="100" w:line="360" w:lineRule="auto"/>
        <w:jc w:val="center"/>
        <w:rPr>
          <w:rFonts w:ascii="宋体" w:hAnsi="宋体" w:eastAsia="宋体" w:cs="Courier New"/>
          <w:b/>
          <w:bCs/>
          <w:color w:val="auto"/>
          <w:sz w:val="32"/>
          <w:szCs w:val="21"/>
          <w:highlight w:val="none"/>
          <w:u w:val="single"/>
        </w:rPr>
      </w:pPr>
    </w:p>
    <w:p w14:paraId="5DA1DDD9">
      <w:pPr>
        <w:wordWrap w:val="0"/>
        <w:topLinePunct/>
        <w:spacing w:before="312" w:beforeLines="100" w:after="312" w:afterLines="100" w:line="360" w:lineRule="auto"/>
        <w:jc w:val="center"/>
        <w:rPr>
          <w:rFonts w:ascii="宋体" w:hAnsi="宋体" w:eastAsia="宋体" w:cs="Courier New"/>
          <w:b/>
          <w:bCs/>
          <w:color w:val="auto"/>
          <w:sz w:val="32"/>
          <w:szCs w:val="21"/>
          <w:highlight w:val="none"/>
          <w:u w:val="single"/>
        </w:rPr>
      </w:pPr>
      <w:r>
        <w:rPr>
          <w:rFonts w:hint="eastAsia" w:ascii="宋体" w:hAnsi="宋体" w:eastAsia="宋体" w:cs="Courier New"/>
          <w:b/>
          <w:bCs/>
          <w:color w:val="auto"/>
          <w:sz w:val="32"/>
          <w:szCs w:val="21"/>
          <w:highlight w:val="none"/>
        </w:rPr>
        <w:t>供  应  商：</w:t>
      </w:r>
      <w:r>
        <w:rPr>
          <w:rFonts w:hint="eastAsia" w:ascii="宋体" w:hAnsi="宋体" w:eastAsia="宋体" w:cs="Courier New"/>
          <w:b/>
          <w:bCs/>
          <w:color w:val="auto"/>
          <w:sz w:val="32"/>
          <w:szCs w:val="21"/>
          <w:highlight w:val="none"/>
          <w:u w:val="single"/>
        </w:rPr>
        <w:t xml:space="preserve">                 </w:t>
      </w:r>
      <w:r>
        <w:rPr>
          <w:rFonts w:hint="eastAsia" w:ascii="宋体" w:hAnsi="宋体" w:eastAsia="宋体" w:cs="Courier New"/>
          <w:b/>
          <w:bCs/>
          <w:color w:val="auto"/>
          <w:sz w:val="32"/>
          <w:szCs w:val="21"/>
          <w:highlight w:val="none"/>
        </w:rPr>
        <w:t>（盖单位章）</w:t>
      </w:r>
    </w:p>
    <w:p w14:paraId="6A18AB0B">
      <w:pPr>
        <w:wordWrap w:val="0"/>
        <w:topLinePunct/>
        <w:spacing w:before="312" w:beforeLines="100" w:after="312" w:afterLines="100" w:line="360" w:lineRule="auto"/>
        <w:jc w:val="center"/>
        <w:rPr>
          <w:rFonts w:ascii="宋体" w:hAnsi="宋体" w:eastAsia="宋体" w:cs="Courier New"/>
          <w:b/>
          <w:bCs/>
          <w:color w:val="auto"/>
          <w:sz w:val="30"/>
          <w:szCs w:val="30"/>
          <w:highlight w:val="none"/>
        </w:rPr>
      </w:pPr>
      <w:r>
        <w:rPr>
          <w:rFonts w:hint="eastAsia" w:ascii="宋体" w:hAnsi="宋体" w:eastAsia="宋体" w:cs="Courier New"/>
          <w:b/>
          <w:bCs/>
          <w:color w:val="auto"/>
          <w:sz w:val="30"/>
          <w:szCs w:val="30"/>
          <w:highlight w:val="none"/>
        </w:rPr>
        <w:t>法定代表人：</w:t>
      </w:r>
      <w:r>
        <w:rPr>
          <w:rFonts w:hint="eastAsia" w:ascii="宋体" w:hAnsi="宋体" w:eastAsia="宋体" w:cs="Courier New"/>
          <w:b/>
          <w:bCs/>
          <w:color w:val="auto"/>
          <w:sz w:val="30"/>
          <w:szCs w:val="30"/>
          <w:highlight w:val="none"/>
          <w:u w:val="single"/>
        </w:rPr>
        <w:t xml:space="preserve">                  </w:t>
      </w:r>
      <w:r>
        <w:rPr>
          <w:rFonts w:hint="eastAsia" w:ascii="宋体" w:hAnsi="宋体" w:eastAsia="宋体" w:cs="Courier New"/>
          <w:b/>
          <w:bCs/>
          <w:color w:val="auto"/>
          <w:sz w:val="30"/>
          <w:szCs w:val="30"/>
          <w:highlight w:val="none"/>
        </w:rPr>
        <w:t>（签字或盖章）</w:t>
      </w:r>
    </w:p>
    <w:p w14:paraId="00A8B851">
      <w:pPr>
        <w:wordWrap w:val="0"/>
        <w:topLinePunct/>
        <w:spacing w:before="312" w:beforeLines="100" w:after="312" w:afterLines="100" w:line="360" w:lineRule="auto"/>
        <w:jc w:val="center"/>
        <w:rPr>
          <w:rFonts w:ascii="宋体" w:hAnsi="宋体" w:eastAsia="宋体" w:cs="Courier New"/>
          <w:b/>
          <w:bCs/>
          <w:color w:val="auto"/>
          <w:sz w:val="30"/>
          <w:szCs w:val="30"/>
          <w:highlight w:val="none"/>
        </w:rPr>
      </w:pPr>
      <w:r>
        <w:rPr>
          <w:rFonts w:hint="eastAsia" w:ascii="宋体" w:hAnsi="宋体" w:eastAsia="宋体" w:cs="Courier New"/>
          <w:b/>
          <w:bCs/>
          <w:color w:val="auto"/>
          <w:sz w:val="30"/>
          <w:szCs w:val="30"/>
          <w:highlight w:val="none"/>
        </w:rPr>
        <w:t>日      期：</w:t>
      </w:r>
      <w:r>
        <w:rPr>
          <w:rFonts w:hint="eastAsia" w:ascii="宋体" w:hAnsi="宋体" w:eastAsia="宋体" w:cs="Courier New"/>
          <w:b/>
          <w:bCs/>
          <w:color w:val="auto"/>
          <w:sz w:val="30"/>
          <w:szCs w:val="30"/>
          <w:highlight w:val="none"/>
          <w:u w:val="single"/>
        </w:rPr>
        <w:t xml:space="preserve">    </w:t>
      </w:r>
      <w:r>
        <w:rPr>
          <w:rFonts w:hint="eastAsia" w:ascii="宋体" w:hAnsi="宋体" w:eastAsia="宋体" w:cs="Courier New"/>
          <w:b/>
          <w:bCs/>
          <w:color w:val="auto"/>
          <w:sz w:val="30"/>
          <w:szCs w:val="30"/>
          <w:highlight w:val="none"/>
        </w:rPr>
        <w:t xml:space="preserve"> 年 </w:t>
      </w:r>
      <w:r>
        <w:rPr>
          <w:rFonts w:hint="eastAsia" w:ascii="宋体" w:hAnsi="宋体" w:eastAsia="宋体" w:cs="Courier New"/>
          <w:b/>
          <w:bCs/>
          <w:color w:val="auto"/>
          <w:sz w:val="30"/>
          <w:szCs w:val="30"/>
          <w:highlight w:val="none"/>
          <w:u w:val="single"/>
        </w:rPr>
        <w:t xml:space="preserve">   </w:t>
      </w:r>
      <w:r>
        <w:rPr>
          <w:rFonts w:hint="eastAsia" w:ascii="宋体" w:hAnsi="宋体" w:eastAsia="宋体" w:cs="Courier New"/>
          <w:b/>
          <w:bCs/>
          <w:color w:val="auto"/>
          <w:sz w:val="30"/>
          <w:szCs w:val="30"/>
          <w:highlight w:val="none"/>
        </w:rPr>
        <w:t>月</w:t>
      </w:r>
      <w:r>
        <w:rPr>
          <w:rFonts w:hint="eastAsia" w:ascii="宋体" w:hAnsi="宋体" w:eastAsia="宋体" w:cs="Courier New"/>
          <w:b/>
          <w:bCs/>
          <w:color w:val="auto"/>
          <w:sz w:val="30"/>
          <w:szCs w:val="30"/>
          <w:highlight w:val="none"/>
          <w:u w:val="single"/>
        </w:rPr>
        <w:t xml:space="preserve">   </w:t>
      </w:r>
      <w:r>
        <w:rPr>
          <w:rFonts w:hint="eastAsia" w:ascii="宋体" w:hAnsi="宋体" w:eastAsia="宋体" w:cs="Courier New"/>
          <w:b/>
          <w:bCs/>
          <w:color w:val="auto"/>
          <w:sz w:val="30"/>
          <w:szCs w:val="30"/>
          <w:highlight w:val="none"/>
        </w:rPr>
        <w:t>日</w:t>
      </w:r>
    </w:p>
    <w:p w14:paraId="3B994077">
      <w:pPr>
        <w:widowControl/>
        <w:jc w:val="left"/>
        <w:rPr>
          <w:rFonts w:ascii="宋体" w:hAnsi="宋体" w:eastAsia="宋体" w:cs="Courier New"/>
          <w:b/>
          <w:bCs/>
          <w:color w:val="auto"/>
          <w:sz w:val="30"/>
          <w:szCs w:val="30"/>
          <w:highlight w:val="none"/>
        </w:rPr>
      </w:pPr>
      <w:r>
        <w:rPr>
          <w:rFonts w:ascii="宋体" w:hAnsi="宋体" w:eastAsia="宋体" w:cs="Courier New"/>
          <w:b/>
          <w:bCs/>
          <w:color w:val="auto"/>
          <w:sz w:val="30"/>
          <w:szCs w:val="30"/>
          <w:highlight w:val="none"/>
        </w:rPr>
        <w:br w:type="page"/>
      </w:r>
    </w:p>
    <w:p w14:paraId="6B94EB27">
      <w:pPr>
        <w:widowControl/>
        <w:jc w:val="center"/>
        <w:rPr>
          <w:rFonts w:hint="eastAsia" w:ascii="宋体" w:hAnsi="宋体" w:eastAsia="宋体" w:cs="Courier New"/>
          <w:b/>
          <w:bCs/>
          <w:color w:val="auto"/>
          <w:sz w:val="36"/>
          <w:szCs w:val="36"/>
          <w:highlight w:val="none"/>
          <w:lang w:eastAsia="zh-CN"/>
        </w:rPr>
      </w:pPr>
      <w:r>
        <w:rPr>
          <w:rFonts w:hint="eastAsia" w:ascii="宋体" w:hAnsi="宋体" w:eastAsia="宋体" w:cs="Courier New"/>
          <w:b/>
          <w:bCs/>
          <w:color w:val="auto"/>
          <w:sz w:val="36"/>
          <w:szCs w:val="36"/>
          <w:highlight w:val="none"/>
          <w:lang w:eastAsia="zh-CN"/>
        </w:rPr>
        <w:t>目</w:t>
      </w:r>
      <w:r>
        <w:rPr>
          <w:rFonts w:hint="eastAsia" w:ascii="宋体" w:hAnsi="宋体" w:eastAsia="宋体" w:cs="Courier New"/>
          <w:b/>
          <w:bCs/>
          <w:color w:val="auto"/>
          <w:sz w:val="36"/>
          <w:szCs w:val="36"/>
          <w:highlight w:val="none"/>
          <w:lang w:val="en-US" w:eastAsia="zh-CN"/>
        </w:rPr>
        <w:t xml:space="preserve">   </w:t>
      </w:r>
      <w:r>
        <w:rPr>
          <w:rFonts w:hint="eastAsia" w:ascii="宋体" w:hAnsi="宋体" w:eastAsia="宋体" w:cs="Courier New"/>
          <w:b/>
          <w:bCs/>
          <w:color w:val="auto"/>
          <w:sz w:val="36"/>
          <w:szCs w:val="36"/>
          <w:highlight w:val="none"/>
          <w:lang w:eastAsia="zh-CN"/>
        </w:rPr>
        <w:t>录</w:t>
      </w:r>
    </w:p>
    <w:p w14:paraId="62B9E7C9">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rPr>
        <w:t>一、报价函及报价函附录</w:t>
      </w:r>
    </w:p>
    <w:p w14:paraId="2C20EC1B">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rPr>
        <w:t>二、法定代表人身份证明</w:t>
      </w:r>
    </w:p>
    <w:p w14:paraId="53285862">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rPr>
        <w:t>三、</w:t>
      </w:r>
      <w:r>
        <w:rPr>
          <w:rFonts w:ascii="宋体" w:hAnsi="宋体" w:eastAsia="宋体" w:cs="Courier New"/>
          <w:b/>
          <w:bCs/>
          <w:color w:val="auto"/>
          <w:sz w:val="28"/>
          <w:szCs w:val="30"/>
          <w:highlight w:val="none"/>
        </w:rPr>
        <w:t>授权委托书</w:t>
      </w:r>
    </w:p>
    <w:p w14:paraId="2A866E98">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rPr>
        <w:t>四、</w:t>
      </w:r>
      <w:r>
        <w:rPr>
          <w:rFonts w:ascii="宋体" w:hAnsi="宋体" w:eastAsia="宋体" w:cs="Courier New"/>
          <w:b/>
          <w:bCs/>
          <w:color w:val="auto"/>
          <w:sz w:val="28"/>
          <w:szCs w:val="30"/>
          <w:highlight w:val="none"/>
        </w:rPr>
        <w:t>供应商资格证明文件</w:t>
      </w:r>
    </w:p>
    <w:p w14:paraId="125E19F7">
      <w:pPr>
        <w:widowControl/>
        <w:jc w:val="left"/>
        <w:rPr>
          <w:rFonts w:hint="eastAsia"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rPr>
        <w:t>五、已标价工程量清单</w:t>
      </w:r>
    </w:p>
    <w:p w14:paraId="669439B3">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lang w:eastAsia="zh-CN"/>
        </w:rPr>
        <w:t>六、</w:t>
      </w:r>
      <w:r>
        <w:rPr>
          <w:rFonts w:ascii="宋体" w:hAnsi="宋体" w:eastAsia="宋体" w:cs="Courier New"/>
          <w:b/>
          <w:bCs/>
          <w:color w:val="auto"/>
          <w:sz w:val="28"/>
          <w:szCs w:val="30"/>
          <w:highlight w:val="none"/>
        </w:rPr>
        <w:t>施工组织设计</w:t>
      </w:r>
    </w:p>
    <w:p w14:paraId="7E68B09B">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lang w:eastAsia="zh-CN"/>
        </w:rPr>
        <w:t>七</w:t>
      </w:r>
      <w:r>
        <w:rPr>
          <w:rFonts w:hint="eastAsia" w:ascii="宋体" w:hAnsi="宋体" w:eastAsia="宋体" w:cs="Courier New"/>
          <w:b/>
          <w:bCs/>
          <w:color w:val="auto"/>
          <w:sz w:val="28"/>
          <w:szCs w:val="30"/>
          <w:highlight w:val="none"/>
        </w:rPr>
        <w:t>、</w:t>
      </w:r>
      <w:r>
        <w:rPr>
          <w:rFonts w:ascii="宋体" w:hAnsi="宋体" w:eastAsia="宋体" w:cs="Courier New"/>
          <w:b/>
          <w:bCs/>
          <w:color w:val="auto"/>
          <w:sz w:val="28"/>
          <w:szCs w:val="30"/>
          <w:highlight w:val="none"/>
        </w:rPr>
        <w:t>项目管理机构</w:t>
      </w:r>
    </w:p>
    <w:p w14:paraId="04489D8B">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lang w:eastAsia="zh-CN"/>
        </w:rPr>
        <w:t>八</w:t>
      </w:r>
      <w:r>
        <w:rPr>
          <w:rFonts w:hint="eastAsia" w:ascii="宋体" w:hAnsi="宋体" w:eastAsia="宋体" w:cs="Courier New"/>
          <w:b/>
          <w:bCs/>
          <w:color w:val="auto"/>
          <w:sz w:val="28"/>
          <w:szCs w:val="30"/>
          <w:highlight w:val="none"/>
        </w:rPr>
        <w:t>、</w:t>
      </w:r>
      <w:r>
        <w:rPr>
          <w:rFonts w:ascii="宋体" w:hAnsi="宋体" w:eastAsia="宋体" w:cs="Courier New"/>
          <w:b/>
          <w:bCs/>
          <w:color w:val="auto"/>
          <w:sz w:val="28"/>
          <w:szCs w:val="30"/>
          <w:highlight w:val="none"/>
        </w:rPr>
        <w:t>近年完成的类似项目清单</w:t>
      </w:r>
    </w:p>
    <w:p w14:paraId="0F105949">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lang w:eastAsia="zh-CN"/>
        </w:rPr>
        <w:t>九</w:t>
      </w:r>
      <w:r>
        <w:rPr>
          <w:rFonts w:hint="eastAsia" w:ascii="宋体" w:hAnsi="宋体" w:eastAsia="宋体" w:cs="Courier New"/>
          <w:b/>
          <w:bCs/>
          <w:color w:val="auto"/>
          <w:sz w:val="28"/>
          <w:szCs w:val="30"/>
          <w:highlight w:val="none"/>
        </w:rPr>
        <w:t>、</w:t>
      </w:r>
      <w:r>
        <w:rPr>
          <w:rFonts w:ascii="宋体" w:hAnsi="宋体" w:eastAsia="宋体" w:cs="Courier New"/>
          <w:b/>
          <w:bCs/>
          <w:color w:val="auto"/>
          <w:sz w:val="28"/>
          <w:szCs w:val="30"/>
          <w:highlight w:val="none"/>
        </w:rPr>
        <w:t>服务承诺</w:t>
      </w:r>
    </w:p>
    <w:p w14:paraId="04C48C12">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lang w:eastAsia="zh-CN"/>
        </w:rPr>
        <w:t>十</w:t>
      </w:r>
      <w:r>
        <w:rPr>
          <w:rFonts w:hint="eastAsia" w:ascii="宋体" w:hAnsi="宋体" w:eastAsia="宋体" w:cs="Courier New"/>
          <w:b/>
          <w:bCs/>
          <w:color w:val="auto"/>
          <w:sz w:val="28"/>
          <w:szCs w:val="30"/>
          <w:highlight w:val="none"/>
        </w:rPr>
        <w:t>、</w:t>
      </w:r>
      <w:r>
        <w:rPr>
          <w:rFonts w:ascii="宋体" w:hAnsi="宋体" w:eastAsia="宋体" w:cs="Courier New"/>
          <w:b/>
          <w:bCs/>
          <w:color w:val="auto"/>
          <w:sz w:val="28"/>
          <w:szCs w:val="30"/>
          <w:highlight w:val="none"/>
        </w:rPr>
        <w:t>磋商文件要求提供的其它资料</w:t>
      </w:r>
    </w:p>
    <w:p w14:paraId="5B8B6BA3">
      <w:pPr>
        <w:widowControl/>
        <w:jc w:val="left"/>
        <w:rPr>
          <w:rFonts w:ascii="宋体" w:hAnsi="宋体" w:eastAsia="宋体" w:cs="Courier New"/>
          <w:b/>
          <w:bCs/>
          <w:color w:val="auto"/>
          <w:sz w:val="28"/>
          <w:szCs w:val="30"/>
          <w:highlight w:val="none"/>
        </w:rPr>
      </w:pPr>
      <w:r>
        <w:rPr>
          <w:rFonts w:hint="eastAsia" w:ascii="宋体" w:hAnsi="宋体" w:eastAsia="宋体" w:cs="Courier New"/>
          <w:b/>
          <w:bCs/>
          <w:color w:val="auto"/>
          <w:sz w:val="28"/>
          <w:szCs w:val="30"/>
          <w:highlight w:val="none"/>
        </w:rPr>
        <w:t>十</w:t>
      </w:r>
      <w:r>
        <w:rPr>
          <w:rFonts w:hint="eastAsia" w:ascii="宋体" w:hAnsi="宋体" w:eastAsia="宋体" w:cs="Courier New"/>
          <w:b/>
          <w:bCs/>
          <w:color w:val="auto"/>
          <w:sz w:val="28"/>
          <w:szCs w:val="30"/>
          <w:highlight w:val="none"/>
          <w:lang w:eastAsia="zh-CN"/>
        </w:rPr>
        <w:t>一</w:t>
      </w:r>
      <w:r>
        <w:rPr>
          <w:rFonts w:hint="eastAsia" w:ascii="宋体" w:hAnsi="宋体" w:eastAsia="宋体" w:cs="Courier New"/>
          <w:b/>
          <w:bCs/>
          <w:color w:val="auto"/>
          <w:sz w:val="28"/>
          <w:szCs w:val="30"/>
          <w:highlight w:val="none"/>
        </w:rPr>
        <w:t>、</w:t>
      </w:r>
      <w:r>
        <w:rPr>
          <w:rFonts w:ascii="宋体" w:hAnsi="宋体" w:eastAsia="宋体" w:cs="Courier New"/>
          <w:b/>
          <w:bCs/>
          <w:color w:val="auto"/>
          <w:sz w:val="28"/>
          <w:szCs w:val="30"/>
          <w:highlight w:val="none"/>
        </w:rPr>
        <w:t>供应商认为有必要提供的其它资料</w:t>
      </w:r>
    </w:p>
    <w:p w14:paraId="72FEB2E3">
      <w:pPr>
        <w:widowControl/>
        <w:jc w:val="left"/>
        <w:rPr>
          <w:rFonts w:ascii="宋体" w:hAnsi="宋体" w:eastAsia="宋体" w:cs="Courier New"/>
          <w:b/>
          <w:bCs/>
          <w:color w:val="auto"/>
          <w:sz w:val="30"/>
          <w:szCs w:val="30"/>
          <w:highlight w:val="none"/>
        </w:rPr>
      </w:pPr>
      <w:r>
        <w:rPr>
          <w:rFonts w:ascii="宋体" w:hAnsi="宋体" w:eastAsia="宋体" w:cs="Courier New"/>
          <w:b/>
          <w:bCs/>
          <w:color w:val="auto"/>
          <w:sz w:val="30"/>
          <w:szCs w:val="30"/>
          <w:highlight w:val="none"/>
        </w:rPr>
        <w:br w:type="page"/>
      </w:r>
    </w:p>
    <w:p w14:paraId="7865B3FB">
      <w:pPr>
        <w:keepNext/>
        <w:keepLines/>
        <w:numPr>
          <w:ilvl w:val="0"/>
          <w:numId w:val="12"/>
        </w:numPr>
        <w:tabs>
          <w:tab w:val="left" w:pos="840"/>
        </w:tabs>
        <w:wordWrap w:val="0"/>
        <w:topLinePunct/>
        <w:spacing w:line="360" w:lineRule="auto"/>
        <w:outlineLvl w:val="1"/>
        <w:rPr>
          <w:rFonts w:ascii="宋体" w:hAnsi="宋体" w:eastAsia="宋体" w:cs="宋体"/>
          <w:bCs/>
          <w:sz w:val="28"/>
          <w:szCs w:val="28"/>
          <w:highlight w:val="none"/>
        </w:rPr>
      </w:pPr>
      <w:bookmarkStart w:id="524" w:name="_Toc2421"/>
      <w:bookmarkStart w:id="525" w:name="_Toc23774492"/>
      <w:r>
        <w:rPr>
          <w:rFonts w:hint="eastAsia" w:ascii="宋体" w:hAnsi="宋体" w:eastAsia="宋体"/>
          <w:b/>
          <w:sz w:val="28"/>
          <w:szCs w:val="28"/>
          <w:highlight w:val="none"/>
          <w:lang w:val="zh-CN"/>
        </w:rPr>
        <w:t>报价函</w:t>
      </w:r>
      <w:bookmarkEnd w:id="524"/>
      <w:r>
        <w:rPr>
          <w:rFonts w:hint="eastAsia" w:ascii="宋体" w:hAnsi="宋体" w:eastAsia="宋体"/>
          <w:b/>
          <w:sz w:val="28"/>
          <w:szCs w:val="28"/>
          <w:highlight w:val="none"/>
          <w:lang w:val="zh-CN"/>
        </w:rPr>
        <w:t>及报价函附录</w:t>
      </w:r>
      <w:bookmarkEnd w:id="525"/>
    </w:p>
    <w:p w14:paraId="186B61D6">
      <w:pPr>
        <w:keepNext/>
        <w:keepLines/>
        <w:wordWrap w:val="0"/>
        <w:topLinePunct/>
        <w:spacing w:line="360" w:lineRule="auto"/>
        <w:jc w:val="center"/>
        <w:outlineLvl w:val="2"/>
        <w:rPr>
          <w:rFonts w:ascii="宋体" w:hAnsi="宋体" w:eastAsia="宋体"/>
          <w:b/>
          <w:bCs/>
          <w:sz w:val="28"/>
          <w:szCs w:val="28"/>
          <w:highlight w:val="none"/>
        </w:rPr>
      </w:pPr>
      <w:r>
        <w:rPr>
          <w:rFonts w:hint="eastAsia" w:ascii="宋体" w:hAnsi="宋体" w:eastAsia="宋体"/>
          <w:b/>
          <w:bCs/>
          <w:sz w:val="28"/>
          <w:szCs w:val="28"/>
          <w:highlight w:val="none"/>
          <w:lang w:val="zh-CN"/>
        </w:rPr>
        <w:t>（一）报价函</w:t>
      </w:r>
    </w:p>
    <w:p w14:paraId="1FB6B5AC">
      <w:pPr>
        <w:wordWrap w:val="0"/>
        <w:topLinePunct/>
        <w:spacing w:line="460" w:lineRule="exact"/>
        <w:rPr>
          <w:rFonts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w:t>
      </w:r>
    </w:p>
    <w:p w14:paraId="5D07CEB7">
      <w:pPr>
        <w:widowControl/>
        <w:numPr>
          <w:ilvl w:val="0"/>
          <w:numId w:val="13"/>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我方已仔细研究了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rPr>
        <w:tab/>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（项目名称）项目竞争性磋商文件的全部内容，愿以人民币（大写）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元）的总报价，工期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，质量标准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，按合同约定完成全部工作。</w:t>
      </w:r>
    </w:p>
    <w:p w14:paraId="5A65693B">
      <w:pPr>
        <w:widowControl/>
        <w:numPr>
          <w:ilvl w:val="0"/>
          <w:numId w:val="13"/>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如果我方成交，我方将按竞争性磋商文件的规定签订并严格履行合同中的责任和义务，在签订合同时不向你方提出附加条件，在合同约定的期限内完成合同规定的全部内容。</w:t>
      </w:r>
    </w:p>
    <w:p w14:paraId="69133E81">
      <w:pPr>
        <w:widowControl/>
        <w:numPr>
          <w:ilvl w:val="0"/>
          <w:numId w:val="13"/>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我方已详细审查全部竞争性磋商文件，包括修改文件以及全部参考资料和有关附件。我方完全理解并同意放弃对这方面有不明及误解的权力。</w:t>
      </w:r>
    </w:p>
    <w:p w14:paraId="55526F02">
      <w:pPr>
        <w:widowControl/>
        <w:numPr>
          <w:ilvl w:val="0"/>
          <w:numId w:val="13"/>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磋商有效期为响应文件递交截止之日起</w:t>
      </w:r>
      <w:r>
        <w:rPr>
          <w:rFonts w:hint="eastAsia" w:ascii="宋体" w:hAnsi="宋体" w:eastAsia="宋体" w:cs="宋体"/>
          <w:kern w:val="0"/>
          <w:sz w:val="28"/>
          <w:szCs w:val="28"/>
          <w:highlight w:val="none"/>
          <w:u w:val="single"/>
        </w:rPr>
        <w:t xml:space="preserve"> 60</w:t>
      </w:r>
      <w:r>
        <w:rPr>
          <w:rFonts w:hint="eastAsia" w:ascii="宋体" w:hAnsi="宋体" w:eastAsia="宋体" w:cs="宋体"/>
          <w:kern w:val="0"/>
          <w:sz w:val="28"/>
          <w:szCs w:val="28"/>
          <w:highlight w:val="none"/>
        </w:rPr>
        <w:t>日历天。</w:t>
      </w:r>
    </w:p>
    <w:p w14:paraId="354B6CD2">
      <w:pPr>
        <w:widowControl/>
        <w:numPr>
          <w:ilvl w:val="0"/>
          <w:numId w:val="13"/>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我方在此声明，所递交的响应文件及有关资料内容完整、真实和准确，且不存在第二章“供应商须知”第 1.4.2 项规定的任何一种情形。</w:t>
      </w:r>
    </w:p>
    <w:p w14:paraId="6EDD1CDB">
      <w:pPr>
        <w:widowControl/>
        <w:numPr>
          <w:ilvl w:val="0"/>
          <w:numId w:val="13"/>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我方在此声明，参加政府采购活动前三年内，在经营活动中没有重大违法记录；未被依法暂停或者取消投标资格；未被责令停产停业、暂扣或者吊销许可证、暂扣或者吊销执照；</w:t>
      </w:r>
    </w:p>
    <w:p w14:paraId="085FFEA1">
      <w:pPr>
        <w:widowControl/>
        <w:numPr>
          <w:ilvl w:val="0"/>
          <w:numId w:val="13"/>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我方同意提供按照贵方可能要求的与其磋商有关的一切数据或资料，完全理解贵方不一定接受最低价的响应。</w:t>
      </w:r>
    </w:p>
    <w:p w14:paraId="51E7903C">
      <w:pPr>
        <w:wordWrap w:val="0"/>
        <w:topLinePunct/>
        <w:spacing w:line="460" w:lineRule="exact"/>
        <w:jc w:val="right"/>
        <w:rPr>
          <w:rFonts w:ascii="宋体" w:hAnsi="宋体" w:eastAsia="宋体" w:cs="宋体"/>
          <w:sz w:val="28"/>
          <w:szCs w:val="28"/>
          <w:highlight w:val="none"/>
        </w:rPr>
      </w:pPr>
    </w:p>
    <w:p w14:paraId="5227A792">
      <w:pPr>
        <w:wordWrap w:val="0"/>
        <w:topLinePunct/>
        <w:spacing w:line="460" w:lineRule="exact"/>
        <w:jc w:val="right"/>
        <w:rPr>
          <w:rFonts w:ascii="宋体" w:hAnsi="宋体" w:eastAsia="宋体" w:cs="宋体"/>
          <w:sz w:val="28"/>
          <w:szCs w:val="28"/>
          <w:highlight w:val="none"/>
        </w:rPr>
      </w:pPr>
    </w:p>
    <w:p w14:paraId="0DB097C5">
      <w:pPr>
        <w:wordWrap w:val="0"/>
        <w:topLinePunct/>
        <w:spacing w:line="460" w:lineRule="exact"/>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5A53163E">
      <w:pPr>
        <w:wordWrap w:val="0"/>
        <w:topLinePunct/>
        <w:spacing w:line="460" w:lineRule="exact"/>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EB52396">
      <w:pPr>
        <w:wordWrap w:val="0"/>
        <w:topLinePunct/>
        <w:spacing w:line="460" w:lineRule="exact"/>
        <w:ind w:firstLine="3500" w:firstLineChars="1250"/>
        <w:jc w:val="right"/>
        <w:rPr>
          <w:rFonts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649902D">
      <w:pPr>
        <w:wordWrap w:val="0"/>
        <w:topLinePunct/>
        <w:spacing w:after="156" w:afterLines="50" w:line="360" w:lineRule="auto"/>
        <w:rPr>
          <w:rFonts w:ascii="宋体" w:hAnsi="宋体" w:eastAsia="宋体" w:cs="宋体"/>
          <w:sz w:val="28"/>
          <w:szCs w:val="28"/>
          <w:highlight w:val="none"/>
        </w:rPr>
        <w:sectPr>
          <w:headerReference r:id="rId3" w:type="default"/>
          <w:footerReference r:id="rId4" w:type="default"/>
          <w:pgSz w:w="11907" w:h="16840"/>
          <w:pgMar w:top="1400" w:right="1418" w:bottom="1089" w:left="1418" w:header="624" w:footer="748" w:gutter="0"/>
          <w:cols w:space="720" w:num="1"/>
          <w:docGrid w:type="linesAndChars" w:linePitch="312" w:charSpace="0"/>
        </w:sectPr>
      </w:pPr>
    </w:p>
    <w:p w14:paraId="2592F902">
      <w:pPr>
        <w:keepNext/>
        <w:keepLines/>
        <w:wordWrap w:val="0"/>
        <w:topLinePunct/>
        <w:spacing w:line="360" w:lineRule="auto"/>
        <w:jc w:val="center"/>
        <w:outlineLvl w:val="2"/>
        <w:rPr>
          <w:rFonts w:ascii="宋体" w:hAnsi="宋体" w:eastAsia="宋体"/>
          <w:b/>
          <w:bCs/>
          <w:sz w:val="28"/>
          <w:szCs w:val="28"/>
          <w:highlight w:val="none"/>
          <w:lang w:val="zh-CN"/>
        </w:rPr>
      </w:pPr>
      <w:bookmarkStart w:id="526" w:name="_Toc21386"/>
      <w:bookmarkStart w:id="527" w:name="_Toc21652"/>
      <w:r>
        <w:rPr>
          <w:rFonts w:hint="eastAsia" w:ascii="宋体" w:hAnsi="宋体" w:eastAsia="宋体"/>
          <w:b/>
          <w:bCs/>
          <w:sz w:val="28"/>
          <w:szCs w:val="28"/>
          <w:highlight w:val="none"/>
        </w:rPr>
        <w:t>（二）报价函附录（第一轮报价）</w:t>
      </w:r>
      <w:bookmarkEnd w:id="526"/>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59"/>
        <w:gridCol w:w="1512"/>
        <w:gridCol w:w="3594"/>
      </w:tblGrid>
      <w:tr w14:paraId="088C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1F396B0B">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2718F961">
            <w:pPr>
              <w:widowControl/>
              <w:wordWrap w:val="0"/>
              <w:topLinePunct/>
              <w:spacing w:line="360" w:lineRule="auto"/>
              <w:jc w:val="center"/>
              <w:rPr>
                <w:rFonts w:ascii="宋体" w:hAnsi="宋体" w:eastAsia="宋体" w:cs="宋体"/>
                <w:sz w:val="28"/>
                <w:szCs w:val="28"/>
                <w:highlight w:val="none"/>
              </w:rPr>
            </w:pPr>
          </w:p>
        </w:tc>
      </w:tr>
      <w:tr w14:paraId="7957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78814F0B">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供应商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750A0550">
            <w:pPr>
              <w:widowControl/>
              <w:wordWrap w:val="0"/>
              <w:topLinePunct/>
              <w:spacing w:line="360" w:lineRule="auto"/>
              <w:jc w:val="center"/>
              <w:rPr>
                <w:rFonts w:ascii="宋体" w:hAnsi="宋体" w:eastAsia="宋体" w:cs="宋体"/>
                <w:sz w:val="28"/>
                <w:szCs w:val="28"/>
                <w:highlight w:val="none"/>
              </w:rPr>
            </w:pPr>
          </w:p>
        </w:tc>
      </w:tr>
      <w:tr w14:paraId="7F41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2694" w:type="dxa"/>
            <w:tcBorders>
              <w:top w:val="single" w:color="auto" w:sz="4" w:space="0"/>
              <w:left w:val="single" w:color="auto" w:sz="4" w:space="0"/>
              <w:right w:val="single" w:color="auto" w:sz="4" w:space="0"/>
            </w:tcBorders>
            <w:noWrap w:val="0"/>
            <w:vAlign w:val="center"/>
          </w:tcPr>
          <w:p w14:paraId="2C9492A5">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磋商总报价</w:t>
            </w:r>
          </w:p>
        </w:tc>
        <w:tc>
          <w:tcPr>
            <w:tcW w:w="6965" w:type="dxa"/>
            <w:gridSpan w:val="3"/>
            <w:tcBorders>
              <w:top w:val="single" w:color="auto" w:sz="4" w:space="0"/>
              <w:left w:val="single" w:color="auto" w:sz="4" w:space="0"/>
              <w:right w:val="single" w:color="auto" w:sz="4" w:space="0"/>
            </w:tcBorders>
            <w:noWrap w:val="0"/>
            <w:vAlign w:val="center"/>
          </w:tcPr>
          <w:p w14:paraId="54557B2D">
            <w:pPr>
              <w:widowControl/>
              <w:wordWrap w:val="0"/>
              <w:topLinePunct/>
              <w:spacing w:line="360" w:lineRule="auto"/>
              <w:rPr>
                <w:rFonts w:ascii="宋体" w:hAnsi="宋体" w:eastAsia="宋体" w:cs="宋体"/>
                <w:b/>
                <w:bCs/>
                <w:sz w:val="28"/>
                <w:szCs w:val="28"/>
                <w:highlight w:val="none"/>
              </w:rPr>
            </w:pPr>
          </w:p>
          <w:p w14:paraId="5EE33158">
            <w:pPr>
              <w:widowControl/>
              <w:wordWrap w:val="0"/>
              <w:topLinePunct/>
              <w:spacing w:line="360" w:lineRule="auto"/>
              <w:rPr>
                <w:rFonts w:ascii="宋体" w:hAnsi="宋体" w:eastAsia="宋体"/>
                <w:sz w:val="28"/>
                <w:szCs w:val="28"/>
                <w:highlight w:val="none"/>
              </w:rPr>
            </w:pPr>
            <w:r>
              <w:rPr>
                <w:rFonts w:hint="eastAsia" w:ascii="宋体" w:hAnsi="宋体" w:eastAsia="宋体"/>
                <w:sz w:val="28"/>
                <w:szCs w:val="28"/>
                <w:highlight w:val="none"/>
              </w:rPr>
              <w:t>大写：</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w:t>
            </w:r>
          </w:p>
          <w:p w14:paraId="183B4955">
            <w:pPr>
              <w:widowControl/>
              <w:wordWrap w:val="0"/>
              <w:topLinePunct/>
              <w:spacing w:line="360" w:lineRule="auto"/>
              <w:rPr>
                <w:rFonts w:ascii="宋体" w:hAnsi="宋体" w:eastAsia="宋体" w:cs="宋体"/>
                <w:b/>
                <w:bCs/>
                <w:sz w:val="28"/>
                <w:szCs w:val="28"/>
                <w:highlight w:val="none"/>
              </w:rPr>
            </w:pPr>
            <w:r>
              <w:rPr>
                <w:rFonts w:hint="eastAsia" w:ascii="宋体" w:hAnsi="宋体" w:eastAsia="宋体"/>
                <w:sz w:val="28"/>
                <w:szCs w:val="28"/>
                <w:highlight w:val="none"/>
              </w:rPr>
              <w:t>小写：</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w:t>
            </w:r>
          </w:p>
        </w:tc>
      </w:tr>
      <w:tr w14:paraId="5215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20E6612D">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0EBA302C">
            <w:pPr>
              <w:widowControl/>
              <w:wordWrap w:val="0"/>
              <w:topLinePunct/>
              <w:spacing w:line="360" w:lineRule="auto"/>
              <w:jc w:val="center"/>
              <w:rPr>
                <w:rFonts w:ascii="宋体" w:hAnsi="宋体" w:eastAsia="宋体" w:cs="宋体"/>
                <w:sz w:val="28"/>
                <w:szCs w:val="28"/>
                <w:highlight w:val="none"/>
              </w:rPr>
            </w:pPr>
          </w:p>
        </w:tc>
      </w:tr>
      <w:tr w14:paraId="255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4C970A54">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质量标准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20482342">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达到国家规定质量验收合格标准</w:t>
            </w:r>
          </w:p>
        </w:tc>
      </w:tr>
      <w:tr w14:paraId="58F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3D282D71">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安全目标</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6F39C2ED">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零事故</w:t>
            </w:r>
          </w:p>
        </w:tc>
      </w:tr>
      <w:tr w14:paraId="0B5D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38084B7">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2BA979B">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FECAACE">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3594" w:type="dxa"/>
            <w:tcBorders>
              <w:top w:val="single" w:color="auto" w:sz="4" w:space="0"/>
              <w:left w:val="single" w:color="auto" w:sz="4" w:space="0"/>
              <w:bottom w:val="single" w:color="auto" w:sz="4" w:space="0"/>
              <w:right w:val="single" w:color="auto" w:sz="4" w:space="0"/>
            </w:tcBorders>
            <w:noWrap w:val="0"/>
            <w:vAlign w:val="center"/>
          </w:tcPr>
          <w:p w14:paraId="49157664">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注册证号：</w:t>
            </w:r>
          </w:p>
        </w:tc>
      </w:tr>
      <w:tr w14:paraId="0B92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85A3F0E">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16A63CC">
            <w:pPr>
              <w:widowControl/>
              <w:wordWrap w:val="0"/>
              <w:topLinePunct/>
              <w:spacing w:line="360" w:lineRule="auto"/>
              <w:jc w:val="left"/>
              <w:rPr>
                <w:rFonts w:ascii="宋体" w:hAnsi="宋体" w:eastAsia="宋体" w:cs="宋体"/>
                <w:sz w:val="28"/>
                <w:szCs w:val="28"/>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C596D9E">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594" w:type="dxa"/>
            <w:tcBorders>
              <w:top w:val="single" w:color="auto" w:sz="4" w:space="0"/>
              <w:left w:val="single" w:color="auto" w:sz="4" w:space="0"/>
              <w:bottom w:val="single" w:color="auto" w:sz="4" w:space="0"/>
              <w:right w:val="single" w:color="auto" w:sz="4" w:space="0"/>
            </w:tcBorders>
            <w:noWrap w:val="0"/>
            <w:vAlign w:val="center"/>
          </w:tcPr>
          <w:p w14:paraId="4E1A1869">
            <w:pPr>
              <w:widowControl/>
              <w:wordWrap w:val="0"/>
              <w:topLinePunct/>
              <w:spacing w:line="360" w:lineRule="auto"/>
              <w:jc w:val="left"/>
              <w:rPr>
                <w:rFonts w:ascii="宋体" w:hAnsi="宋体" w:eastAsia="宋体" w:cs="宋体"/>
                <w:sz w:val="28"/>
                <w:szCs w:val="28"/>
                <w:highlight w:val="none"/>
              </w:rPr>
            </w:pPr>
          </w:p>
        </w:tc>
      </w:tr>
      <w:tr w14:paraId="15F7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F60BC22">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磋商有效期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1B7114ED">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响应文件递交截止之日起</w:t>
            </w:r>
            <w:r>
              <w:rPr>
                <w:rFonts w:hint="eastAsia" w:ascii="宋体" w:hAnsi="宋体" w:eastAsia="宋体" w:cs="宋体"/>
                <w:sz w:val="28"/>
                <w:szCs w:val="28"/>
                <w:highlight w:val="none"/>
                <w:u w:val="single"/>
              </w:rPr>
              <w:t xml:space="preserve"> 60</w:t>
            </w:r>
            <w:r>
              <w:rPr>
                <w:rFonts w:hint="eastAsia" w:ascii="宋体" w:hAnsi="宋体" w:eastAsia="宋体" w:cs="宋体"/>
                <w:sz w:val="28"/>
                <w:szCs w:val="28"/>
                <w:highlight w:val="none"/>
              </w:rPr>
              <w:t>日历天</w:t>
            </w:r>
          </w:p>
        </w:tc>
      </w:tr>
      <w:tr w14:paraId="3B1E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4D1DDE6">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14AA581B">
            <w:pPr>
              <w:widowControl/>
              <w:wordWrap w:val="0"/>
              <w:topLinePunct/>
              <w:spacing w:line="360" w:lineRule="auto"/>
              <w:rPr>
                <w:rFonts w:ascii="宋体" w:hAnsi="宋体" w:eastAsia="宋体" w:cs="宋体"/>
                <w:sz w:val="28"/>
                <w:szCs w:val="28"/>
                <w:highlight w:val="none"/>
              </w:rPr>
            </w:pPr>
          </w:p>
        </w:tc>
      </w:tr>
    </w:tbl>
    <w:p w14:paraId="69E35334">
      <w:pPr>
        <w:wordWrap w:val="0"/>
        <w:topLinePunct/>
        <w:spacing w:line="360" w:lineRule="auto"/>
        <w:jc w:val="right"/>
        <w:rPr>
          <w:rFonts w:ascii="宋体" w:hAnsi="宋体" w:eastAsia="宋体" w:cs="宋体"/>
          <w:sz w:val="28"/>
          <w:szCs w:val="28"/>
          <w:highlight w:val="none"/>
        </w:rPr>
      </w:pPr>
    </w:p>
    <w:p w14:paraId="572CAF02">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18FFCDD7">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EE41596">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b/>
          <w:sz w:val="28"/>
          <w:szCs w:val="28"/>
          <w:highlight w:val="none"/>
          <w:lang w:val="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295B2673">
      <w:pPr>
        <w:keepNext/>
        <w:keepLines/>
        <w:tabs>
          <w:tab w:val="left" w:pos="840"/>
        </w:tabs>
        <w:wordWrap w:val="0"/>
        <w:topLinePunct/>
        <w:spacing w:line="360" w:lineRule="auto"/>
        <w:ind w:firstLine="2811" w:firstLineChars="1000"/>
        <w:outlineLvl w:val="9"/>
        <w:rPr>
          <w:rFonts w:ascii="宋体" w:hAnsi="宋体" w:eastAsia="宋体"/>
          <w:b/>
          <w:sz w:val="28"/>
          <w:szCs w:val="28"/>
          <w:highlight w:val="none"/>
          <w:lang w:val="zh-CN"/>
        </w:rPr>
      </w:pPr>
    </w:p>
    <w:p w14:paraId="5C077699">
      <w:pPr>
        <w:keepNext/>
        <w:keepLines/>
        <w:numPr>
          <w:ilvl w:val="0"/>
          <w:numId w:val="12"/>
        </w:numPr>
        <w:tabs>
          <w:tab w:val="left" w:pos="840"/>
        </w:tabs>
        <w:wordWrap w:val="0"/>
        <w:topLinePunct/>
        <w:spacing w:line="360" w:lineRule="auto"/>
        <w:outlineLvl w:val="1"/>
        <w:rPr>
          <w:rFonts w:ascii="宋体" w:hAnsi="宋体" w:eastAsia="宋体" w:cs="宋体"/>
          <w:bCs/>
          <w:sz w:val="28"/>
          <w:szCs w:val="28"/>
          <w:highlight w:val="none"/>
        </w:rPr>
      </w:pPr>
      <w:r>
        <w:rPr>
          <w:rFonts w:hint="eastAsia" w:ascii="宋体" w:hAnsi="宋体" w:eastAsia="宋体"/>
          <w:b/>
          <w:sz w:val="24"/>
          <w:szCs w:val="24"/>
          <w:highlight w:val="none"/>
          <w:lang w:val="zh-CN"/>
        </w:rPr>
        <w:br w:type="page"/>
      </w:r>
      <w:bookmarkEnd w:id="527"/>
      <w:bookmarkStart w:id="528" w:name="_Toc23774493"/>
      <w:bookmarkStart w:id="529" w:name="_Toc22029"/>
      <w:bookmarkStart w:id="530" w:name="_Toc265572092"/>
      <w:r>
        <w:rPr>
          <w:rFonts w:hint="eastAsia" w:ascii="宋体" w:hAnsi="宋体" w:eastAsia="宋体"/>
          <w:b/>
          <w:sz w:val="28"/>
          <w:szCs w:val="28"/>
          <w:highlight w:val="none"/>
          <w:lang w:val="zh-CN"/>
        </w:rPr>
        <w:t>法定代表人身份证明</w:t>
      </w:r>
      <w:bookmarkEnd w:id="528"/>
    </w:p>
    <w:p w14:paraId="59D0E114">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响 应 人：</w:t>
      </w:r>
      <w:r>
        <w:rPr>
          <w:rFonts w:hint="eastAsia" w:ascii="宋体" w:hAnsi="宋体" w:eastAsia="宋体" w:cs="宋体"/>
          <w:sz w:val="28"/>
          <w:szCs w:val="28"/>
          <w:highlight w:val="none"/>
          <w:u w:val="single"/>
        </w:rPr>
        <w:t xml:space="preserve">                                                  </w:t>
      </w:r>
    </w:p>
    <w:p w14:paraId="195FB99F">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p>
    <w:p w14:paraId="2B8E6580">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 xml:space="preserve">                                                  </w:t>
      </w:r>
    </w:p>
    <w:p w14:paraId="3E8DCFE9">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7763504">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7C6B6426">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姓    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    别：</w:t>
      </w:r>
      <w:r>
        <w:rPr>
          <w:rFonts w:hint="eastAsia" w:ascii="宋体" w:hAnsi="宋体" w:eastAsia="宋体" w:cs="宋体"/>
          <w:sz w:val="28"/>
          <w:szCs w:val="28"/>
          <w:highlight w:val="none"/>
          <w:u w:val="single"/>
        </w:rPr>
        <w:t xml:space="preserve">                </w:t>
      </w:r>
    </w:p>
    <w:p w14:paraId="6F9E8193">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年    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    务：</w:t>
      </w:r>
      <w:r>
        <w:rPr>
          <w:rFonts w:hint="eastAsia" w:ascii="宋体" w:hAnsi="宋体" w:eastAsia="宋体" w:cs="宋体"/>
          <w:sz w:val="28"/>
          <w:szCs w:val="28"/>
          <w:highlight w:val="none"/>
          <w:u w:val="single"/>
        </w:rPr>
        <w:t xml:space="preserve">                </w:t>
      </w:r>
    </w:p>
    <w:p w14:paraId="1D6F4925">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w:t>
      </w:r>
    </w:p>
    <w:p w14:paraId="71CF393C">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特此证明。</w:t>
      </w:r>
    </w:p>
    <w:p w14:paraId="099CEE4E">
      <w:pPr>
        <w:wordWrap w:val="0"/>
        <w:topLinePunct/>
        <w:spacing w:after="120"/>
        <w:ind w:left="420" w:leftChars="200"/>
        <w:rPr>
          <w:rFonts w:ascii="宋体" w:hAnsi="宋体" w:eastAsia="宋体" w:cs="宋体"/>
          <w:sz w:val="28"/>
          <w:szCs w:val="28"/>
          <w:highlight w:val="none"/>
        </w:rPr>
      </w:pPr>
      <w:r>
        <w:rPr>
          <w:rFonts w:hint="eastAsia" w:ascii="宋体" w:hAnsi="宋体" w:eastAsia="宋体" w:cs="宋体"/>
          <w:sz w:val="28"/>
          <w:szCs w:val="28"/>
          <w:highlight w:val="none"/>
        </w:rPr>
        <w:t>附：法定代表人身份证</w:t>
      </w:r>
      <w:r>
        <w:rPr>
          <w:rFonts w:hint="eastAsia" w:ascii="宋体" w:hAnsi="宋体" w:eastAsia="宋体"/>
          <w:sz w:val="28"/>
          <w:szCs w:val="28"/>
          <w:highlight w:val="none"/>
        </w:rPr>
        <w:t>复印件（或扫描件）</w:t>
      </w:r>
    </w:p>
    <w:p w14:paraId="666162AA">
      <w:pPr>
        <w:wordWrap w:val="0"/>
        <w:topLinePunct/>
        <w:spacing w:after="120"/>
        <w:ind w:left="420" w:leftChars="200" w:firstLine="420" w:firstLineChars="200"/>
        <w:rPr>
          <w:rFonts w:ascii="宋体" w:hAnsi="宋体" w:eastAsia="宋体" w:cs="宋体"/>
          <w:szCs w:val="21"/>
          <w:highlight w:val="none"/>
        </w:rPr>
      </w:pPr>
    </w:p>
    <w:p w14:paraId="11BCD77A">
      <w:pPr>
        <w:wordWrap w:val="0"/>
        <w:topLinePunct/>
        <w:spacing w:line="360" w:lineRule="auto"/>
        <w:jc w:val="right"/>
        <w:rPr>
          <w:rFonts w:ascii="宋体" w:hAnsi="宋体" w:eastAsia="宋体" w:cs="宋体"/>
          <w:sz w:val="28"/>
          <w:szCs w:val="28"/>
          <w:highlight w:val="none"/>
        </w:rPr>
      </w:pPr>
    </w:p>
    <w:p w14:paraId="76A0A419">
      <w:pPr>
        <w:wordWrap w:val="0"/>
        <w:topLinePunct/>
        <w:spacing w:line="360" w:lineRule="auto"/>
        <w:jc w:val="right"/>
        <w:rPr>
          <w:rFonts w:ascii="宋体" w:hAnsi="宋体" w:eastAsia="宋体" w:cs="宋体"/>
          <w:sz w:val="28"/>
          <w:szCs w:val="28"/>
          <w:highlight w:val="none"/>
        </w:rPr>
      </w:pPr>
    </w:p>
    <w:p w14:paraId="321F1C1D">
      <w:pPr>
        <w:wordWrap w:val="0"/>
        <w:topLinePunct/>
        <w:spacing w:line="360" w:lineRule="auto"/>
        <w:jc w:val="right"/>
        <w:rPr>
          <w:rFonts w:ascii="宋体" w:hAnsi="宋体" w:eastAsia="宋体" w:cs="宋体"/>
          <w:sz w:val="28"/>
          <w:szCs w:val="28"/>
          <w:highlight w:val="none"/>
        </w:rPr>
      </w:pPr>
    </w:p>
    <w:p w14:paraId="5979E967">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084D7B5B">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AA420F4">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56DE3183">
      <w:pPr>
        <w:wordWrap w:val="0"/>
        <w:topLinePunct/>
        <w:spacing w:line="360" w:lineRule="auto"/>
        <w:rPr>
          <w:rFonts w:ascii="宋体" w:hAnsi="宋体" w:eastAsia="宋体" w:cs="宋体"/>
          <w:szCs w:val="21"/>
          <w:highlight w:val="none"/>
        </w:rPr>
      </w:pPr>
    </w:p>
    <w:p w14:paraId="2B6002F2">
      <w:pPr>
        <w:keepNext/>
        <w:keepLines/>
        <w:numPr>
          <w:ilvl w:val="0"/>
          <w:numId w:val="12"/>
        </w:numPr>
        <w:tabs>
          <w:tab w:val="left" w:pos="840"/>
        </w:tabs>
        <w:wordWrap w:val="0"/>
        <w:topLinePunct/>
        <w:spacing w:line="360" w:lineRule="auto"/>
        <w:outlineLvl w:val="1"/>
        <w:rPr>
          <w:rFonts w:ascii="宋体" w:hAnsi="宋体" w:eastAsia="宋体" w:cs="宋体"/>
          <w:bCs/>
          <w:sz w:val="28"/>
          <w:szCs w:val="28"/>
          <w:highlight w:val="none"/>
        </w:rPr>
      </w:pPr>
      <w:r>
        <w:rPr>
          <w:rFonts w:ascii="宋体" w:hAnsi="宋体" w:eastAsia="宋体" w:cs="宋体"/>
          <w:b/>
          <w:bCs/>
          <w:sz w:val="24"/>
          <w:szCs w:val="21"/>
          <w:highlight w:val="none"/>
        </w:rPr>
        <w:br w:type="page"/>
      </w:r>
      <w:bookmarkStart w:id="531" w:name="_Toc23774494"/>
      <w:r>
        <w:rPr>
          <w:rFonts w:hint="eastAsia" w:ascii="宋体" w:hAnsi="宋体" w:eastAsia="宋体"/>
          <w:b/>
          <w:sz w:val="28"/>
          <w:szCs w:val="28"/>
          <w:highlight w:val="none"/>
          <w:lang w:val="zh-CN"/>
        </w:rPr>
        <w:t>授权委托书</w:t>
      </w:r>
      <w:bookmarkEnd w:id="531"/>
    </w:p>
    <w:p w14:paraId="7320DE7D">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（姓名）为我方代理人。代理人根据授权，以我方名义签署、澄清、说明、补正、递交、撤回、修改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（项目名称）响应文件、签订合同和处理有关事宜，其法律后果由我方承担。</w:t>
      </w:r>
    </w:p>
    <w:p w14:paraId="2350BA0D">
      <w:pPr>
        <w:wordWrap w:val="0"/>
        <w:topLinePunct/>
        <w:spacing w:before="156" w:beforeLines="5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委托期限：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00DF5742">
      <w:pPr>
        <w:wordWrap w:val="0"/>
        <w:topLinePunct/>
        <w:spacing w:before="312" w:beforeLines="100" w:after="312" w:afterLines="10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2839FF00">
      <w:pPr>
        <w:wordWrap w:val="0"/>
        <w:topLinePunct/>
        <w:spacing w:after="312" w:afterLines="10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附：委托代理人身份证复印件</w:t>
      </w:r>
      <w:r>
        <w:rPr>
          <w:rFonts w:hint="eastAsia" w:ascii="宋体" w:hAnsi="宋体" w:eastAsia="宋体"/>
          <w:sz w:val="28"/>
          <w:szCs w:val="28"/>
          <w:highlight w:val="none"/>
        </w:rPr>
        <w:t>（或扫描件）</w:t>
      </w:r>
    </w:p>
    <w:p w14:paraId="4856E713">
      <w:pPr>
        <w:wordWrap w:val="0"/>
        <w:topLinePunct/>
        <w:spacing w:line="360" w:lineRule="auto"/>
        <w:rPr>
          <w:rFonts w:ascii="宋体" w:hAnsi="宋体" w:eastAsia="宋体" w:cs="宋体"/>
          <w:szCs w:val="21"/>
          <w:highlight w:val="none"/>
        </w:rPr>
      </w:pPr>
    </w:p>
    <w:p w14:paraId="106D2E76">
      <w:pPr>
        <w:wordWrap w:val="0"/>
        <w:topLinePunct/>
        <w:spacing w:line="360" w:lineRule="auto"/>
        <w:rPr>
          <w:rFonts w:ascii="宋体" w:hAnsi="宋体" w:eastAsia="宋体" w:cs="宋体"/>
          <w:szCs w:val="21"/>
          <w:highlight w:val="none"/>
        </w:rPr>
      </w:pPr>
    </w:p>
    <w:p w14:paraId="51598211">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604418DF">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00ABE17">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FC365A4">
      <w:pPr>
        <w:wordWrap w:val="0"/>
        <w:topLinePunct/>
        <w:spacing w:before="312" w:beforeLines="100" w:after="156" w:afterLines="50" w:line="360" w:lineRule="auto"/>
        <w:rPr>
          <w:rFonts w:ascii="宋体" w:hAnsi="宋体" w:eastAsia="宋体" w:cs="宋体"/>
          <w:szCs w:val="21"/>
          <w:highlight w:val="none"/>
        </w:rPr>
      </w:pPr>
    </w:p>
    <w:p w14:paraId="14D5EB0B">
      <w:pPr>
        <w:wordWrap w:val="0"/>
        <w:topLinePunct/>
        <w:spacing w:before="312" w:beforeLines="100" w:after="156" w:afterLines="50" w:line="360" w:lineRule="auto"/>
        <w:rPr>
          <w:rFonts w:ascii="宋体" w:hAnsi="宋体" w:eastAsia="宋体" w:cs="宋体"/>
          <w:szCs w:val="21"/>
          <w:highlight w:val="none"/>
        </w:rPr>
      </w:pPr>
    </w:p>
    <w:p w14:paraId="699D939A">
      <w:pPr>
        <w:wordWrap w:val="0"/>
        <w:topLinePunct/>
        <w:spacing w:before="312" w:beforeLines="100" w:after="156" w:afterLines="50" w:line="360" w:lineRule="auto"/>
        <w:rPr>
          <w:rFonts w:ascii="宋体" w:hAnsi="宋体" w:eastAsia="宋体" w:cs="宋体"/>
          <w:szCs w:val="21"/>
          <w:highlight w:val="none"/>
        </w:rPr>
      </w:pPr>
    </w:p>
    <w:p w14:paraId="6F2AF0FC">
      <w:pPr>
        <w:wordWrap w:val="0"/>
        <w:topLinePunct/>
        <w:spacing w:before="312" w:beforeLines="100" w:after="156" w:afterLines="50" w:line="360" w:lineRule="auto"/>
        <w:rPr>
          <w:rFonts w:ascii="宋体" w:hAnsi="宋体" w:eastAsia="宋体" w:cs="宋体"/>
          <w:szCs w:val="21"/>
          <w:highlight w:val="none"/>
        </w:rPr>
      </w:pPr>
    </w:p>
    <w:p w14:paraId="3864EAF3">
      <w:pPr>
        <w:wordWrap w:val="0"/>
        <w:topLinePunct/>
        <w:spacing w:before="312" w:beforeLines="100" w:after="156" w:afterLines="50" w:line="360" w:lineRule="auto"/>
        <w:rPr>
          <w:rFonts w:ascii="宋体" w:hAnsi="宋体" w:eastAsia="宋体" w:cs="宋体"/>
          <w:sz w:val="28"/>
          <w:szCs w:val="28"/>
          <w:highlight w:val="none"/>
        </w:rPr>
      </w:pPr>
    </w:p>
    <w:p w14:paraId="3CCB8EC6">
      <w:pPr>
        <w:wordWrap w:val="0"/>
        <w:topLinePunct/>
        <w:spacing w:line="360" w:lineRule="auto"/>
        <w:rPr>
          <w:rFonts w:ascii="宋体" w:hAnsi="宋体" w:eastAsia="宋体" w:cs="宋体"/>
          <w:b/>
          <w:sz w:val="24"/>
          <w:szCs w:val="21"/>
          <w:highlight w:val="none"/>
        </w:rPr>
      </w:pPr>
    </w:p>
    <w:p w14:paraId="086EE3C7">
      <w:pPr>
        <w:keepNext/>
        <w:keepLines/>
        <w:numPr>
          <w:ilvl w:val="0"/>
          <w:numId w:val="12"/>
        </w:numPr>
        <w:tabs>
          <w:tab w:val="left" w:pos="840"/>
        </w:tabs>
        <w:wordWrap w:val="0"/>
        <w:topLinePunct/>
        <w:spacing w:line="360" w:lineRule="auto"/>
        <w:outlineLvl w:val="1"/>
        <w:rPr>
          <w:rFonts w:ascii="宋体" w:hAnsi="宋体" w:eastAsia="宋体"/>
          <w:b/>
          <w:sz w:val="28"/>
          <w:szCs w:val="28"/>
          <w:highlight w:val="none"/>
          <w:lang w:val="zh-CN"/>
        </w:rPr>
      </w:pPr>
      <w:bookmarkStart w:id="532" w:name="_Toc23774495"/>
      <w:r>
        <w:rPr>
          <w:rFonts w:hint="eastAsia" w:ascii="宋体" w:hAnsi="宋体" w:eastAsia="宋体"/>
          <w:b/>
          <w:sz w:val="28"/>
          <w:szCs w:val="28"/>
          <w:highlight w:val="none"/>
          <w:lang w:val="zh-CN"/>
        </w:rPr>
        <w:t>供应商资格证明文件</w:t>
      </w:r>
      <w:bookmarkEnd w:id="529"/>
      <w:bookmarkEnd w:id="532"/>
    </w:p>
    <w:p w14:paraId="00D8116F">
      <w:pPr>
        <w:wordWrap w:val="0"/>
        <w:topLinePunct/>
        <w:spacing w:line="360" w:lineRule="auto"/>
        <w:rPr>
          <w:rFonts w:ascii="宋体" w:hAnsi="宋体" w:eastAsia="宋体" w:cs="宋体"/>
          <w:szCs w:val="21"/>
          <w:highlight w:val="none"/>
        </w:rPr>
      </w:pPr>
    </w:p>
    <w:p w14:paraId="28594C6E">
      <w:pPr>
        <w:autoSpaceDE w:val="0"/>
        <w:autoSpaceDN w:val="0"/>
        <w:adjustRightInd w:val="0"/>
        <w:spacing w:line="360" w:lineRule="auto"/>
        <w:ind w:left="425"/>
        <w:jc w:val="center"/>
        <w:rPr>
          <w:rFonts w:ascii="宋体" w:hAnsi="宋体" w:eastAsia="宋体" w:cs="黑体"/>
          <w:b/>
          <w:kern w:val="0"/>
          <w:sz w:val="28"/>
          <w:szCs w:val="28"/>
          <w:highlight w:val="none"/>
        </w:rPr>
      </w:pPr>
      <w:bookmarkStart w:id="533" w:name="_Toc428351719"/>
      <w:bookmarkStart w:id="534" w:name="_Toc463011363"/>
      <w:bookmarkStart w:id="535" w:name="_Toc462934384"/>
      <w:bookmarkStart w:id="536" w:name="_Toc455678211"/>
      <w:bookmarkStart w:id="537" w:name="_Toc480385614"/>
      <w:bookmarkStart w:id="538" w:name="_Toc481092974"/>
      <w:bookmarkStart w:id="539" w:name="_Toc480226503"/>
      <w:bookmarkStart w:id="540" w:name="_Toc454788099"/>
      <w:bookmarkStart w:id="541" w:name="_Toc428276628"/>
      <w:r>
        <w:rPr>
          <w:rFonts w:hint="eastAsia" w:ascii="宋体" w:hAnsi="宋体" w:eastAsia="宋体" w:cs="黑体"/>
          <w:b/>
          <w:kern w:val="0"/>
          <w:sz w:val="28"/>
          <w:szCs w:val="28"/>
          <w:highlight w:val="none"/>
        </w:rPr>
        <w:t>4.1资格证明文件等</w:t>
      </w:r>
    </w:p>
    <w:bookmarkEnd w:id="533"/>
    <w:bookmarkEnd w:id="534"/>
    <w:bookmarkEnd w:id="535"/>
    <w:bookmarkEnd w:id="536"/>
    <w:bookmarkEnd w:id="537"/>
    <w:bookmarkEnd w:id="538"/>
    <w:bookmarkEnd w:id="539"/>
    <w:bookmarkEnd w:id="540"/>
    <w:bookmarkEnd w:id="541"/>
    <w:tbl>
      <w:tblPr>
        <w:tblStyle w:val="13"/>
        <w:tblW w:w="0" w:type="auto"/>
        <w:tblInd w:w="296"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743803EE">
        <w:tblPrEx>
          <w:tblCellMar>
            <w:top w:w="0" w:type="dxa"/>
            <w:left w:w="0" w:type="dxa"/>
            <w:bottom w:w="0" w:type="dxa"/>
            <w:right w:w="0" w:type="dxa"/>
          </w:tblCellMar>
        </w:tblPrEx>
        <w:trPr>
          <w:trHeight w:val="561"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E4FD7FE">
            <w:pPr>
              <w:kinsoku w:val="0"/>
              <w:overflowPunct w:val="0"/>
              <w:autoSpaceDE w:val="0"/>
              <w:autoSpaceDN w:val="0"/>
              <w:adjustRightInd w:val="0"/>
              <w:spacing w:before="9"/>
              <w:jc w:val="center"/>
              <w:rPr>
                <w:rFonts w:ascii="宋体" w:hAnsi="宋体" w:eastAsia="宋体" w:cs="宋体"/>
                <w:b/>
                <w:bCs/>
                <w:kern w:val="0"/>
                <w:sz w:val="15"/>
                <w:szCs w:val="15"/>
                <w:highlight w:val="none"/>
              </w:rPr>
            </w:pPr>
          </w:p>
          <w:p w14:paraId="3109B7FB">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供应商名称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536E70FE">
            <w:pPr>
              <w:kinsoku w:val="0"/>
              <w:overflowPunct w:val="0"/>
              <w:autoSpaceDE w:val="0"/>
              <w:autoSpaceDN w:val="0"/>
              <w:adjustRightInd w:val="0"/>
              <w:jc w:val="center"/>
              <w:rPr>
                <w:rFonts w:ascii="宋体" w:hAnsi="宋体" w:eastAsia="宋体"/>
                <w:kern w:val="0"/>
                <w:sz w:val="20"/>
                <w:szCs w:val="20"/>
                <w:highlight w:val="none"/>
              </w:rPr>
            </w:pPr>
          </w:p>
        </w:tc>
      </w:tr>
      <w:tr w14:paraId="6C82D117">
        <w:tblPrEx>
          <w:tblCellMar>
            <w:top w:w="0" w:type="dxa"/>
            <w:left w:w="0" w:type="dxa"/>
            <w:bottom w:w="0" w:type="dxa"/>
            <w:right w:w="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D59B4C">
            <w:pPr>
              <w:kinsoku w:val="0"/>
              <w:overflowPunct w:val="0"/>
              <w:autoSpaceDE w:val="0"/>
              <w:autoSpaceDN w:val="0"/>
              <w:adjustRightInd w:val="0"/>
              <w:spacing w:before="8"/>
              <w:jc w:val="center"/>
              <w:rPr>
                <w:rFonts w:ascii="宋体" w:hAnsi="宋体" w:eastAsia="宋体" w:cs="宋体"/>
                <w:b/>
                <w:bCs/>
                <w:kern w:val="0"/>
                <w:sz w:val="17"/>
                <w:szCs w:val="17"/>
                <w:highlight w:val="none"/>
              </w:rPr>
            </w:pPr>
          </w:p>
          <w:p w14:paraId="667855EA">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noWrap w:val="0"/>
            <w:vAlign w:val="center"/>
          </w:tcPr>
          <w:p w14:paraId="1F99067F">
            <w:pPr>
              <w:kinsoku w:val="0"/>
              <w:overflowPunct w:val="0"/>
              <w:autoSpaceDE w:val="0"/>
              <w:autoSpaceDN w:val="0"/>
              <w:adjustRightInd w:val="0"/>
              <w:jc w:val="center"/>
              <w:rPr>
                <w:rFonts w:ascii="宋体" w:hAnsi="宋体" w:eastAsia="宋体"/>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77AE1CB">
            <w:pPr>
              <w:kinsoku w:val="0"/>
              <w:overflowPunct w:val="0"/>
              <w:autoSpaceDE w:val="0"/>
              <w:autoSpaceDN w:val="0"/>
              <w:adjustRightInd w:val="0"/>
              <w:spacing w:before="8"/>
              <w:jc w:val="center"/>
              <w:rPr>
                <w:rFonts w:ascii="宋体" w:hAnsi="宋体" w:eastAsia="宋体" w:cs="宋体"/>
                <w:b/>
                <w:bCs/>
                <w:kern w:val="0"/>
                <w:sz w:val="17"/>
                <w:szCs w:val="17"/>
                <w:highlight w:val="none"/>
              </w:rPr>
            </w:pPr>
          </w:p>
          <w:p w14:paraId="16A4BCF7">
            <w:pPr>
              <w:kinsoku w:val="0"/>
              <w:overflowPunct w:val="0"/>
              <w:autoSpaceDE w:val="0"/>
              <w:autoSpaceDN w:val="0"/>
              <w:adjustRightInd w:val="0"/>
              <w:ind w:left="97" w:right="90"/>
              <w:jc w:val="center"/>
              <w:rPr>
                <w:rFonts w:ascii="宋体" w:hAnsi="宋体" w:eastAsia="宋体" w:cs="宋体"/>
                <w:kern w:val="0"/>
                <w:szCs w:val="21"/>
                <w:highlight w:val="none"/>
              </w:rPr>
            </w:pPr>
            <w:r>
              <w:rPr>
                <w:rFonts w:hint="eastAsia" w:ascii="宋体" w:hAnsi="宋体" w:eastAsia="宋体" w:cs="宋体"/>
                <w:kern w:val="0"/>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4BA24E65">
            <w:pPr>
              <w:kinsoku w:val="0"/>
              <w:overflowPunct w:val="0"/>
              <w:autoSpaceDE w:val="0"/>
              <w:autoSpaceDN w:val="0"/>
              <w:adjustRightInd w:val="0"/>
              <w:jc w:val="center"/>
              <w:rPr>
                <w:rFonts w:ascii="宋体" w:hAnsi="宋体" w:eastAsia="宋体"/>
                <w:kern w:val="0"/>
                <w:sz w:val="20"/>
                <w:szCs w:val="20"/>
                <w:highlight w:val="none"/>
              </w:rPr>
            </w:pPr>
          </w:p>
        </w:tc>
      </w:tr>
      <w:tr w14:paraId="5471586B">
        <w:tblPrEx>
          <w:tblCellMar>
            <w:top w:w="0" w:type="dxa"/>
            <w:left w:w="0" w:type="dxa"/>
            <w:bottom w:w="0" w:type="dxa"/>
            <w:right w:w="0" w:type="dxa"/>
          </w:tblCellMar>
        </w:tblPrEx>
        <w:trPr>
          <w:trHeight w:val="605"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FE105">
            <w:pPr>
              <w:kinsoku w:val="0"/>
              <w:overflowPunct w:val="0"/>
              <w:autoSpaceDE w:val="0"/>
              <w:autoSpaceDN w:val="0"/>
              <w:adjustRightInd w:val="0"/>
              <w:jc w:val="center"/>
              <w:rPr>
                <w:rFonts w:ascii="宋体" w:hAnsi="宋体" w:eastAsia="宋体" w:cs="宋体"/>
                <w:b/>
                <w:bCs/>
                <w:kern w:val="0"/>
                <w:sz w:val="20"/>
                <w:szCs w:val="20"/>
                <w:highlight w:val="none"/>
              </w:rPr>
            </w:pPr>
          </w:p>
          <w:p w14:paraId="6671F7DA">
            <w:pPr>
              <w:kinsoku w:val="0"/>
              <w:overflowPunct w:val="0"/>
              <w:autoSpaceDE w:val="0"/>
              <w:autoSpaceDN w:val="0"/>
              <w:adjustRightInd w:val="0"/>
              <w:spacing w:before="10"/>
              <w:jc w:val="center"/>
              <w:rPr>
                <w:rFonts w:ascii="宋体" w:hAnsi="宋体" w:eastAsia="宋体" w:cs="宋体"/>
                <w:b/>
                <w:bCs/>
                <w:kern w:val="0"/>
                <w:szCs w:val="21"/>
                <w:highlight w:val="none"/>
              </w:rPr>
            </w:pPr>
          </w:p>
          <w:p w14:paraId="714975D4">
            <w:pPr>
              <w:kinsoku w:val="0"/>
              <w:overflowPunct w:val="0"/>
              <w:autoSpaceDE w:val="0"/>
              <w:autoSpaceDN w:val="0"/>
              <w:adjustRightInd w:val="0"/>
              <w:spacing w:before="1"/>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6055731">
            <w:pPr>
              <w:kinsoku w:val="0"/>
              <w:overflowPunct w:val="0"/>
              <w:autoSpaceDE w:val="0"/>
              <w:autoSpaceDN w:val="0"/>
              <w:adjustRightInd w:val="0"/>
              <w:spacing w:before="6"/>
              <w:jc w:val="center"/>
              <w:rPr>
                <w:rFonts w:ascii="宋体" w:hAnsi="宋体" w:eastAsia="宋体" w:cs="宋体"/>
                <w:b/>
                <w:bCs/>
                <w:kern w:val="0"/>
                <w:sz w:val="17"/>
                <w:szCs w:val="17"/>
                <w:highlight w:val="none"/>
              </w:rPr>
            </w:pPr>
          </w:p>
          <w:p w14:paraId="063A7196">
            <w:pPr>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center"/>
          </w:tcPr>
          <w:p w14:paraId="745BA5AA">
            <w:pPr>
              <w:kinsoku w:val="0"/>
              <w:overflowPunct w:val="0"/>
              <w:autoSpaceDE w:val="0"/>
              <w:autoSpaceDN w:val="0"/>
              <w:adjustRightInd w:val="0"/>
              <w:jc w:val="center"/>
              <w:rPr>
                <w:rFonts w:ascii="宋体" w:hAnsi="宋体" w:eastAsia="宋体"/>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89DCF14">
            <w:pPr>
              <w:kinsoku w:val="0"/>
              <w:overflowPunct w:val="0"/>
              <w:autoSpaceDE w:val="0"/>
              <w:autoSpaceDN w:val="0"/>
              <w:adjustRightInd w:val="0"/>
              <w:spacing w:before="6"/>
              <w:jc w:val="center"/>
              <w:rPr>
                <w:rFonts w:ascii="宋体" w:hAnsi="宋体" w:eastAsia="宋体" w:cs="宋体"/>
                <w:b/>
                <w:bCs/>
                <w:kern w:val="0"/>
                <w:sz w:val="17"/>
                <w:szCs w:val="17"/>
                <w:highlight w:val="none"/>
              </w:rPr>
            </w:pPr>
          </w:p>
          <w:p w14:paraId="324A3E81">
            <w:pPr>
              <w:kinsoku w:val="0"/>
              <w:overflowPunct w:val="0"/>
              <w:autoSpaceDE w:val="0"/>
              <w:autoSpaceDN w:val="0"/>
              <w:adjustRightInd w:val="0"/>
              <w:ind w:left="97" w:right="90"/>
              <w:jc w:val="center"/>
              <w:rPr>
                <w:rFonts w:ascii="宋体" w:hAnsi="宋体" w:eastAsia="宋体" w:cs="宋体"/>
                <w:kern w:val="0"/>
                <w:szCs w:val="21"/>
                <w:highlight w:val="none"/>
              </w:rPr>
            </w:pPr>
            <w:r>
              <w:rPr>
                <w:rFonts w:hint="eastAsia" w:ascii="宋体" w:hAnsi="宋体" w:eastAsia="宋体" w:cs="宋体"/>
                <w:kern w:val="0"/>
                <w:szCs w:val="21"/>
                <w:highlight w:val="none"/>
              </w:rPr>
              <w:t>电</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3EA34C3">
            <w:pPr>
              <w:kinsoku w:val="0"/>
              <w:overflowPunct w:val="0"/>
              <w:autoSpaceDE w:val="0"/>
              <w:autoSpaceDN w:val="0"/>
              <w:adjustRightInd w:val="0"/>
              <w:jc w:val="center"/>
              <w:rPr>
                <w:rFonts w:ascii="宋体" w:hAnsi="宋体" w:eastAsia="宋体"/>
                <w:kern w:val="0"/>
                <w:sz w:val="20"/>
                <w:szCs w:val="20"/>
                <w:highlight w:val="none"/>
              </w:rPr>
            </w:pPr>
          </w:p>
        </w:tc>
      </w:tr>
      <w:tr w14:paraId="3CE1C9CB">
        <w:tblPrEx>
          <w:tblCellMar>
            <w:top w:w="0" w:type="dxa"/>
            <w:left w:w="0" w:type="dxa"/>
            <w:bottom w:w="0" w:type="dxa"/>
            <w:right w:w="0" w:type="dxa"/>
          </w:tblCellMar>
        </w:tblPrEx>
        <w:trPr>
          <w:trHeight w:val="612" w:hRule="atLeast"/>
        </w:trPr>
        <w:tc>
          <w:tcPr>
            <w:tcW w:w="1728" w:type="dxa"/>
            <w:vMerge w:val="continue"/>
            <w:tcBorders>
              <w:top w:val="nil"/>
              <w:left w:val="single" w:color="000000" w:sz="4" w:space="0"/>
              <w:bottom w:val="single" w:color="000000" w:sz="4" w:space="0"/>
              <w:right w:val="single" w:color="000000" w:sz="4" w:space="0"/>
            </w:tcBorders>
            <w:noWrap w:val="0"/>
            <w:vAlign w:val="center"/>
          </w:tcPr>
          <w:p w14:paraId="786DB6C9">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FAE0756">
            <w:pPr>
              <w:kinsoku w:val="0"/>
              <w:overflowPunct w:val="0"/>
              <w:autoSpaceDE w:val="0"/>
              <w:autoSpaceDN w:val="0"/>
              <w:adjustRightInd w:val="0"/>
              <w:spacing w:before="10"/>
              <w:jc w:val="center"/>
              <w:rPr>
                <w:rFonts w:ascii="宋体" w:hAnsi="宋体" w:eastAsia="宋体" w:cs="宋体"/>
                <w:b/>
                <w:bCs/>
                <w:kern w:val="0"/>
                <w:sz w:val="17"/>
                <w:szCs w:val="17"/>
                <w:highlight w:val="none"/>
              </w:rPr>
            </w:pPr>
          </w:p>
          <w:p w14:paraId="035F27EF">
            <w:pPr>
              <w:tabs>
                <w:tab w:val="left" w:pos="427"/>
              </w:tabs>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传</w:t>
            </w:r>
            <w:r>
              <w:rPr>
                <w:rFonts w:ascii="宋体" w:hAnsi="宋体" w:eastAsia="宋体" w:cs="宋体"/>
                <w:kern w:val="0"/>
                <w:szCs w:val="21"/>
                <w:highlight w:val="none"/>
              </w:rPr>
              <w:tab/>
            </w:r>
            <w:r>
              <w:rPr>
                <w:rFonts w:hint="eastAsia" w:ascii="宋体" w:hAnsi="宋体" w:eastAsia="宋体" w:cs="宋体"/>
                <w:kern w:val="0"/>
                <w:szCs w:val="21"/>
                <w:highlight w:val="none"/>
              </w:rPr>
              <w:t>真</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center"/>
          </w:tcPr>
          <w:p w14:paraId="5C391F7A">
            <w:pPr>
              <w:kinsoku w:val="0"/>
              <w:overflowPunct w:val="0"/>
              <w:autoSpaceDE w:val="0"/>
              <w:autoSpaceDN w:val="0"/>
              <w:adjustRightInd w:val="0"/>
              <w:jc w:val="center"/>
              <w:rPr>
                <w:rFonts w:ascii="宋体" w:hAnsi="宋体" w:eastAsia="宋体"/>
                <w:kern w:val="0"/>
                <w:sz w:val="20"/>
                <w:szCs w:val="20"/>
                <w:highlight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CBACFDA">
            <w:pPr>
              <w:kinsoku w:val="0"/>
              <w:overflowPunct w:val="0"/>
              <w:autoSpaceDE w:val="0"/>
              <w:autoSpaceDN w:val="0"/>
              <w:adjustRightInd w:val="0"/>
              <w:spacing w:before="10"/>
              <w:jc w:val="center"/>
              <w:rPr>
                <w:rFonts w:ascii="宋体" w:hAnsi="宋体" w:eastAsia="宋体" w:cs="宋体"/>
                <w:b/>
                <w:bCs/>
                <w:kern w:val="0"/>
                <w:sz w:val="17"/>
                <w:szCs w:val="17"/>
                <w:highlight w:val="none"/>
              </w:rPr>
            </w:pPr>
          </w:p>
          <w:p w14:paraId="7A875474">
            <w:pPr>
              <w:kinsoku w:val="0"/>
              <w:overflowPunct w:val="0"/>
              <w:autoSpaceDE w:val="0"/>
              <w:autoSpaceDN w:val="0"/>
              <w:adjustRightInd w:val="0"/>
              <w:ind w:left="97" w:right="90"/>
              <w:jc w:val="center"/>
              <w:rPr>
                <w:rFonts w:ascii="宋体" w:hAnsi="宋体" w:eastAsia="宋体" w:cs="宋体"/>
                <w:kern w:val="0"/>
                <w:szCs w:val="21"/>
                <w:highlight w:val="none"/>
              </w:rPr>
            </w:pPr>
            <w:r>
              <w:rPr>
                <w:rFonts w:hint="eastAsia" w:ascii="宋体" w:hAnsi="宋体" w:eastAsia="宋体" w:cs="宋体"/>
                <w:kern w:val="0"/>
                <w:szCs w:val="21"/>
                <w:highlight w:val="none"/>
              </w:rPr>
              <w:t>网</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9EFCDE4">
            <w:pPr>
              <w:kinsoku w:val="0"/>
              <w:overflowPunct w:val="0"/>
              <w:autoSpaceDE w:val="0"/>
              <w:autoSpaceDN w:val="0"/>
              <w:adjustRightInd w:val="0"/>
              <w:jc w:val="center"/>
              <w:rPr>
                <w:rFonts w:ascii="宋体" w:hAnsi="宋体" w:eastAsia="宋体"/>
                <w:kern w:val="0"/>
                <w:sz w:val="20"/>
                <w:szCs w:val="20"/>
                <w:highlight w:val="none"/>
              </w:rPr>
            </w:pPr>
          </w:p>
        </w:tc>
      </w:tr>
      <w:tr w14:paraId="355DF230">
        <w:tblPrEx>
          <w:tblCellMar>
            <w:top w:w="0" w:type="dxa"/>
            <w:left w:w="0" w:type="dxa"/>
            <w:bottom w:w="0" w:type="dxa"/>
            <w:right w:w="0" w:type="dxa"/>
          </w:tblCellMar>
        </w:tblPrEx>
        <w:trPr>
          <w:trHeight w:val="614"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9C2F97B">
            <w:pPr>
              <w:kinsoku w:val="0"/>
              <w:overflowPunct w:val="0"/>
              <w:autoSpaceDE w:val="0"/>
              <w:autoSpaceDN w:val="0"/>
              <w:adjustRightInd w:val="0"/>
              <w:spacing w:before="11"/>
              <w:jc w:val="center"/>
              <w:rPr>
                <w:rFonts w:ascii="宋体" w:hAnsi="宋体" w:eastAsia="宋体" w:cs="宋体"/>
                <w:b/>
                <w:bCs/>
                <w:kern w:val="0"/>
                <w:sz w:val="17"/>
                <w:szCs w:val="17"/>
                <w:highlight w:val="none"/>
              </w:rPr>
            </w:pPr>
          </w:p>
          <w:p w14:paraId="67CFC6E7">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2ACED029">
            <w:pPr>
              <w:kinsoku w:val="0"/>
              <w:overflowPunct w:val="0"/>
              <w:autoSpaceDE w:val="0"/>
              <w:autoSpaceDN w:val="0"/>
              <w:adjustRightInd w:val="0"/>
              <w:jc w:val="center"/>
              <w:rPr>
                <w:rFonts w:ascii="宋体" w:hAnsi="宋体" w:eastAsia="宋体"/>
                <w:kern w:val="0"/>
                <w:sz w:val="20"/>
                <w:szCs w:val="20"/>
                <w:highlight w:val="none"/>
              </w:rPr>
            </w:pPr>
          </w:p>
        </w:tc>
      </w:tr>
      <w:tr w14:paraId="28FF957B">
        <w:tblPrEx>
          <w:tblCellMar>
            <w:top w:w="0" w:type="dxa"/>
            <w:left w:w="0" w:type="dxa"/>
            <w:bottom w:w="0" w:type="dxa"/>
            <w:right w:w="0" w:type="dxa"/>
          </w:tblCellMar>
        </w:tblPrEx>
        <w:trPr>
          <w:trHeight w:val="60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23C463">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1B7744E4">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CB011B1">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72446484">
            <w:pPr>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96A5F94">
            <w:pPr>
              <w:kinsoku w:val="0"/>
              <w:overflowPunct w:val="0"/>
              <w:autoSpaceDE w:val="0"/>
              <w:autoSpaceDN w:val="0"/>
              <w:adjustRightInd w:val="0"/>
              <w:jc w:val="center"/>
              <w:rPr>
                <w:rFonts w:ascii="宋体" w:hAnsi="宋体" w:eastAsia="宋体"/>
                <w:kern w:val="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08DAB82">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7F1130A9">
            <w:pPr>
              <w:kinsoku w:val="0"/>
              <w:overflowPunct w:val="0"/>
              <w:autoSpaceDE w:val="0"/>
              <w:autoSpaceDN w:val="0"/>
              <w:adjustRightInd w:val="0"/>
              <w:ind w:left="209"/>
              <w:jc w:val="center"/>
              <w:rPr>
                <w:rFonts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14:paraId="6FFE366A">
            <w:pPr>
              <w:kinsoku w:val="0"/>
              <w:overflowPunct w:val="0"/>
              <w:autoSpaceDE w:val="0"/>
              <w:autoSpaceDN w:val="0"/>
              <w:adjustRightInd w:val="0"/>
              <w:jc w:val="center"/>
              <w:rPr>
                <w:rFonts w:ascii="宋体" w:hAnsi="宋体" w:eastAsia="宋体"/>
                <w:kern w:val="0"/>
                <w:sz w:val="20"/>
                <w:szCs w:val="20"/>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1D1394F">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3A3189F6">
            <w:pPr>
              <w:kinsoku w:val="0"/>
              <w:overflowPunct w:val="0"/>
              <w:autoSpaceDE w:val="0"/>
              <w:autoSpaceDN w:val="0"/>
              <w:adjustRightInd w:val="0"/>
              <w:ind w:left="197" w:right="192"/>
              <w:jc w:val="center"/>
              <w:rPr>
                <w:rFonts w:ascii="宋体" w:hAnsi="宋体" w:eastAsia="宋体" w:cs="宋体"/>
                <w:kern w:val="0"/>
                <w:szCs w:val="21"/>
                <w:highlight w:val="none"/>
              </w:rPr>
            </w:pPr>
            <w:r>
              <w:rPr>
                <w:rFonts w:hint="eastAsia" w:ascii="宋体" w:hAnsi="宋体" w:eastAsia="宋体" w:cs="宋体"/>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C47AA6">
            <w:pPr>
              <w:kinsoku w:val="0"/>
              <w:overflowPunct w:val="0"/>
              <w:autoSpaceDE w:val="0"/>
              <w:autoSpaceDN w:val="0"/>
              <w:adjustRightInd w:val="0"/>
              <w:jc w:val="center"/>
              <w:rPr>
                <w:rFonts w:ascii="宋体" w:hAnsi="宋体" w:eastAsia="宋体"/>
                <w:kern w:val="0"/>
                <w:sz w:val="20"/>
                <w:szCs w:val="20"/>
                <w:highlight w:val="none"/>
              </w:rPr>
            </w:pPr>
          </w:p>
        </w:tc>
      </w:tr>
      <w:tr w14:paraId="25A57C1E">
        <w:tblPrEx>
          <w:tblCellMar>
            <w:top w:w="0" w:type="dxa"/>
            <w:left w:w="0" w:type="dxa"/>
            <w:bottom w:w="0" w:type="dxa"/>
            <w:right w:w="0" w:type="dxa"/>
          </w:tblCellMar>
        </w:tblPrEx>
        <w:trPr>
          <w:trHeight w:val="602"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04A2BE">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2E4549FD">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E1C7D49">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38BD2AB4">
            <w:pPr>
              <w:kinsoku w:val="0"/>
              <w:overflowPunct w:val="0"/>
              <w:autoSpaceDE w:val="0"/>
              <w:autoSpaceDN w:val="0"/>
              <w:adjustRightInd w:val="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57D5253">
            <w:pPr>
              <w:kinsoku w:val="0"/>
              <w:overflowPunct w:val="0"/>
              <w:autoSpaceDE w:val="0"/>
              <w:autoSpaceDN w:val="0"/>
              <w:adjustRightInd w:val="0"/>
              <w:jc w:val="center"/>
              <w:rPr>
                <w:rFonts w:ascii="宋体" w:hAnsi="宋体" w:eastAsia="宋体"/>
                <w:kern w:val="0"/>
                <w:sz w:val="20"/>
                <w:szCs w:val="2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38666673">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2713D9E7">
            <w:pPr>
              <w:kinsoku w:val="0"/>
              <w:overflowPunct w:val="0"/>
              <w:autoSpaceDE w:val="0"/>
              <w:autoSpaceDN w:val="0"/>
              <w:adjustRightInd w:val="0"/>
              <w:ind w:left="209"/>
              <w:jc w:val="center"/>
              <w:rPr>
                <w:rFonts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14:paraId="533E3360">
            <w:pPr>
              <w:kinsoku w:val="0"/>
              <w:overflowPunct w:val="0"/>
              <w:autoSpaceDE w:val="0"/>
              <w:autoSpaceDN w:val="0"/>
              <w:adjustRightInd w:val="0"/>
              <w:jc w:val="center"/>
              <w:rPr>
                <w:rFonts w:ascii="宋体" w:hAnsi="宋体" w:eastAsia="宋体"/>
                <w:kern w:val="0"/>
                <w:sz w:val="20"/>
                <w:szCs w:val="20"/>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13B1828">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2571090D">
            <w:pPr>
              <w:kinsoku w:val="0"/>
              <w:overflowPunct w:val="0"/>
              <w:autoSpaceDE w:val="0"/>
              <w:autoSpaceDN w:val="0"/>
              <w:adjustRightInd w:val="0"/>
              <w:ind w:left="197" w:right="192"/>
              <w:jc w:val="center"/>
              <w:rPr>
                <w:rFonts w:ascii="宋体" w:hAnsi="宋体" w:eastAsia="宋体" w:cs="宋体"/>
                <w:kern w:val="0"/>
                <w:szCs w:val="21"/>
                <w:highlight w:val="none"/>
              </w:rPr>
            </w:pPr>
            <w:r>
              <w:rPr>
                <w:rFonts w:hint="eastAsia" w:ascii="宋体" w:hAnsi="宋体" w:eastAsia="宋体" w:cs="宋体"/>
                <w:kern w:val="0"/>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497C0F">
            <w:pPr>
              <w:kinsoku w:val="0"/>
              <w:overflowPunct w:val="0"/>
              <w:autoSpaceDE w:val="0"/>
              <w:autoSpaceDN w:val="0"/>
              <w:adjustRightInd w:val="0"/>
              <w:jc w:val="center"/>
              <w:rPr>
                <w:rFonts w:ascii="宋体" w:hAnsi="宋体" w:eastAsia="宋体"/>
                <w:kern w:val="0"/>
                <w:sz w:val="20"/>
                <w:szCs w:val="20"/>
                <w:highlight w:val="none"/>
              </w:rPr>
            </w:pPr>
          </w:p>
        </w:tc>
      </w:tr>
      <w:tr w14:paraId="057DADB1">
        <w:tblPrEx>
          <w:tblCellMar>
            <w:top w:w="0" w:type="dxa"/>
            <w:left w:w="0" w:type="dxa"/>
            <w:bottom w:w="0" w:type="dxa"/>
            <w:right w:w="0" w:type="dxa"/>
          </w:tblCellMar>
        </w:tblPrEx>
        <w:trPr>
          <w:trHeight w:val="623"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63FC88">
            <w:pPr>
              <w:kinsoku w:val="0"/>
              <w:overflowPunct w:val="0"/>
              <w:autoSpaceDE w:val="0"/>
              <w:autoSpaceDN w:val="0"/>
              <w:adjustRightInd w:val="0"/>
              <w:spacing w:before="2"/>
              <w:jc w:val="center"/>
              <w:rPr>
                <w:rFonts w:ascii="宋体" w:hAnsi="宋体" w:eastAsia="宋体" w:cs="宋体"/>
                <w:b/>
                <w:bCs/>
                <w:kern w:val="0"/>
                <w:sz w:val="18"/>
                <w:szCs w:val="18"/>
                <w:highlight w:val="none"/>
              </w:rPr>
            </w:pPr>
          </w:p>
          <w:p w14:paraId="0BF8E2BA">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9D09A10">
            <w:pPr>
              <w:kinsoku w:val="0"/>
              <w:overflowPunct w:val="0"/>
              <w:autoSpaceDE w:val="0"/>
              <w:autoSpaceDN w:val="0"/>
              <w:adjustRightInd w:val="0"/>
              <w:jc w:val="center"/>
              <w:rPr>
                <w:rFonts w:ascii="宋体" w:hAnsi="宋体" w:eastAsia="宋体"/>
                <w:kern w:val="0"/>
                <w:sz w:val="20"/>
                <w:szCs w:val="2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40076592">
            <w:pPr>
              <w:kinsoku w:val="0"/>
              <w:overflowPunct w:val="0"/>
              <w:autoSpaceDE w:val="0"/>
              <w:autoSpaceDN w:val="0"/>
              <w:adjustRightInd w:val="0"/>
              <w:spacing w:before="2"/>
              <w:jc w:val="center"/>
              <w:rPr>
                <w:rFonts w:ascii="宋体" w:hAnsi="宋体" w:eastAsia="宋体" w:cs="宋体"/>
                <w:b/>
                <w:bCs/>
                <w:kern w:val="0"/>
                <w:sz w:val="18"/>
                <w:szCs w:val="18"/>
                <w:highlight w:val="none"/>
              </w:rPr>
            </w:pPr>
          </w:p>
          <w:p w14:paraId="5440216A">
            <w:pPr>
              <w:kinsoku w:val="0"/>
              <w:overflowPunct w:val="0"/>
              <w:autoSpaceDE w:val="0"/>
              <w:autoSpaceDN w:val="0"/>
              <w:adjustRightInd w:val="0"/>
              <w:ind w:left="1896" w:right="1784"/>
              <w:jc w:val="center"/>
              <w:rPr>
                <w:rFonts w:ascii="宋体" w:hAnsi="宋体" w:eastAsia="宋体" w:cs="宋体"/>
                <w:kern w:val="0"/>
                <w:szCs w:val="21"/>
                <w:highlight w:val="none"/>
              </w:rPr>
            </w:pPr>
            <w:r>
              <w:rPr>
                <w:rFonts w:hint="eastAsia" w:ascii="宋体" w:hAnsi="宋体" w:eastAsia="宋体" w:cs="宋体"/>
                <w:kern w:val="0"/>
                <w:szCs w:val="21"/>
                <w:highlight w:val="none"/>
              </w:rPr>
              <w:t>员工总人数：</w:t>
            </w:r>
          </w:p>
        </w:tc>
      </w:tr>
      <w:tr w14:paraId="1317C8D6">
        <w:tblPrEx>
          <w:tblCellMar>
            <w:top w:w="0" w:type="dxa"/>
            <w:left w:w="0" w:type="dxa"/>
            <w:bottom w:w="0" w:type="dxa"/>
            <w:right w:w="0" w:type="dxa"/>
          </w:tblCellMar>
        </w:tblPrEx>
        <w:trPr>
          <w:trHeight w:val="65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065DAFA">
            <w:pPr>
              <w:kinsoku w:val="0"/>
              <w:overflowPunct w:val="0"/>
              <w:autoSpaceDE w:val="0"/>
              <w:autoSpaceDN w:val="0"/>
              <w:adjustRightInd w:val="0"/>
              <w:spacing w:before="8"/>
              <w:jc w:val="center"/>
              <w:rPr>
                <w:rFonts w:ascii="宋体" w:hAnsi="宋体" w:eastAsia="宋体" w:cs="宋体"/>
                <w:b/>
                <w:bCs/>
                <w:kern w:val="0"/>
                <w:sz w:val="19"/>
                <w:szCs w:val="19"/>
                <w:highlight w:val="none"/>
              </w:rPr>
            </w:pPr>
          </w:p>
          <w:p w14:paraId="5B01F521">
            <w:pPr>
              <w:kinsoku w:val="0"/>
              <w:overflowPunct w:val="0"/>
              <w:autoSpaceDE w:val="0"/>
              <w:autoSpaceDN w:val="0"/>
              <w:adjustRightInd w:val="0"/>
              <w:ind w:left="234"/>
              <w:jc w:val="center"/>
              <w:rPr>
                <w:rFonts w:ascii="宋体" w:hAnsi="宋体" w:eastAsia="宋体" w:cs="宋体"/>
                <w:kern w:val="0"/>
                <w:szCs w:val="21"/>
                <w:highlight w:val="none"/>
              </w:rPr>
            </w:pPr>
            <w:r>
              <w:rPr>
                <w:rFonts w:hint="eastAsia" w:ascii="宋体" w:hAnsi="宋体" w:eastAsia="宋体" w:cs="宋体"/>
                <w:kern w:val="0"/>
                <w:szCs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DF923A6">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9076D">
            <w:pPr>
              <w:kinsoku w:val="0"/>
              <w:overflowPunct w:val="0"/>
              <w:autoSpaceDE w:val="0"/>
              <w:autoSpaceDN w:val="0"/>
              <w:adjustRightInd w:val="0"/>
              <w:jc w:val="center"/>
              <w:rPr>
                <w:rFonts w:ascii="宋体" w:hAnsi="宋体" w:eastAsia="宋体" w:cs="宋体"/>
                <w:b/>
                <w:bCs/>
                <w:kern w:val="0"/>
                <w:sz w:val="20"/>
                <w:szCs w:val="20"/>
                <w:highlight w:val="none"/>
              </w:rPr>
            </w:pPr>
          </w:p>
          <w:p w14:paraId="25AE8DB1">
            <w:pPr>
              <w:kinsoku w:val="0"/>
              <w:overflowPunct w:val="0"/>
              <w:autoSpaceDE w:val="0"/>
              <w:autoSpaceDN w:val="0"/>
              <w:adjustRightInd w:val="0"/>
              <w:jc w:val="center"/>
              <w:rPr>
                <w:rFonts w:ascii="宋体" w:hAnsi="宋体" w:eastAsia="宋体" w:cs="宋体"/>
                <w:b/>
                <w:bCs/>
                <w:kern w:val="0"/>
                <w:sz w:val="20"/>
                <w:szCs w:val="20"/>
                <w:highlight w:val="none"/>
              </w:rPr>
            </w:pPr>
          </w:p>
          <w:p w14:paraId="057F526A">
            <w:pPr>
              <w:kinsoku w:val="0"/>
              <w:overflowPunct w:val="0"/>
              <w:autoSpaceDE w:val="0"/>
              <w:autoSpaceDN w:val="0"/>
              <w:adjustRightInd w:val="0"/>
              <w:jc w:val="center"/>
              <w:rPr>
                <w:rFonts w:ascii="宋体" w:hAnsi="宋体" w:eastAsia="宋体" w:cs="宋体"/>
                <w:b/>
                <w:bCs/>
                <w:kern w:val="0"/>
                <w:sz w:val="20"/>
                <w:szCs w:val="20"/>
                <w:highlight w:val="none"/>
              </w:rPr>
            </w:pPr>
          </w:p>
          <w:p w14:paraId="30D77F76">
            <w:pPr>
              <w:kinsoku w:val="0"/>
              <w:overflowPunct w:val="0"/>
              <w:autoSpaceDE w:val="0"/>
              <w:autoSpaceDN w:val="0"/>
              <w:adjustRightInd w:val="0"/>
              <w:jc w:val="center"/>
              <w:rPr>
                <w:rFonts w:ascii="宋体" w:hAnsi="宋体" w:eastAsia="宋体" w:cs="宋体"/>
                <w:b/>
                <w:bCs/>
                <w:kern w:val="0"/>
                <w:sz w:val="20"/>
                <w:szCs w:val="20"/>
                <w:highlight w:val="none"/>
              </w:rPr>
            </w:pPr>
          </w:p>
          <w:p w14:paraId="2ED9D51C">
            <w:pPr>
              <w:kinsoku w:val="0"/>
              <w:overflowPunct w:val="0"/>
              <w:autoSpaceDE w:val="0"/>
              <w:autoSpaceDN w:val="0"/>
              <w:adjustRightInd w:val="0"/>
              <w:jc w:val="center"/>
              <w:rPr>
                <w:rFonts w:ascii="宋体" w:hAnsi="宋体" w:eastAsia="宋体" w:cs="宋体"/>
                <w:b/>
                <w:bCs/>
                <w:kern w:val="0"/>
                <w:sz w:val="20"/>
                <w:szCs w:val="20"/>
                <w:highlight w:val="none"/>
              </w:rPr>
            </w:pPr>
          </w:p>
          <w:p w14:paraId="1FF06F44">
            <w:pPr>
              <w:kinsoku w:val="0"/>
              <w:overflowPunct w:val="0"/>
              <w:autoSpaceDE w:val="0"/>
              <w:autoSpaceDN w:val="0"/>
              <w:adjustRightInd w:val="0"/>
              <w:spacing w:before="8"/>
              <w:jc w:val="center"/>
              <w:rPr>
                <w:rFonts w:ascii="宋体" w:hAnsi="宋体" w:eastAsia="宋体" w:cs="宋体"/>
                <w:b/>
                <w:bCs/>
                <w:kern w:val="0"/>
                <w:sz w:val="16"/>
                <w:szCs w:val="16"/>
                <w:highlight w:val="none"/>
              </w:rPr>
            </w:pPr>
          </w:p>
          <w:p w14:paraId="1E903748">
            <w:pPr>
              <w:kinsoku w:val="0"/>
              <w:overflowPunct w:val="0"/>
              <w:autoSpaceDE w:val="0"/>
              <w:autoSpaceDN w:val="0"/>
              <w:adjustRightInd w:val="0"/>
              <w:ind w:left="209"/>
              <w:jc w:val="center"/>
              <w:rPr>
                <w:rFonts w:ascii="宋体" w:hAnsi="宋体" w:eastAsia="宋体" w:cs="宋体"/>
                <w:kern w:val="0"/>
                <w:szCs w:val="21"/>
                <w:highlight w:val="none"/>
              </w:rPr>
            </w:pPr>
            <w:r>
              <w:rPr>
                <w:rFonts w:hint="eastAsia" w:ascii="宋体" w:hAnsi="宋体" w:eastAsia="宋体" w:cs="宋体"/>
                <w:kern w:val="0"/>
                <w:szCs w:val="21"/>
                <w:highlight w:val="none"/>
              </w:rPr>
              <w:t>其中</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14:paraId="28695069">
            <w:pPr>
              <w:kinsoku w:val="0"/>
              <w:overflowPunct w:val="0"/>
              <w:autoSpaceDE w:val="0"/>
              <w:autoSpaceDN w:val="0"/>
              <w:adjustRightInd w:val="0"/>
              <w:spacing w:before="8"/>
              <w:jc w:val="center"/>
              <w:rPr>
                <w:rFonts w:ascii="宋体" w:hAnsi="宋体" w:eastAsia="宋体" w:cs="宋体"/>
                <w:b/>
                <w:bCs/>
                <w:kern w:val="0"/>
                <w:sz w:val="19"/>
                <w:szCs w:val="19"/>
                <w:highlight w:val="none"/>
              </w:rPr>
            </w:pPr>
          </w:p>
          <w:p w14:paraId="58CE8DD4">
            <w:pPr>
              <w:kinsoku w:val="0"/>
              <w:overflowPunct w:val="0"/>
              <w:autoSpaceDE w:val="0"/>
              <w:autoSpaceDN w:val="0"/>
              <w:adjustRightInd w:val="0"/>
              <w:ind w:left="727"/>
              <w:jc w:val="center"/>
              <w:rPr>
                <w:rFonts w:ascii="宋体" w:hAnsi="宋体" w:eastAsia="宋体" w:cs="宋体"/>
                <w:kern w:val="0"/>
                <w:szCs w:val="21"/>
                <w:highlight w:val="none"/>
              </w:rPr>
            </w:pPr>
            <w:r>
              <w:rPr>
                <w:rFonts w:hint="eastAsia" w:ascii="宋体" w:hAnsi="宋体" w:eastAsia="宋体" w:cs="宋体"/>
                <w:kern w:val="0"/>
                <w:szCs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center"/>
          </w:tcPr>
          <w:p w14:paraId="3F631971">
            <w:pPr>
              <w:kinsoku w:val="0"/>
              <w:overflowPunct w:val="0"/>
              <w:autoSpaceDE w:val="0"/>
              <w:autoSpaceDN w:val="0"/>
              <w:adjustRightInd w:val="0"/>
              <w:jc w:val="center"/>
              <w:rPr>
                <w:rFonts w:ascii="宋体" w:hAnsi="宋体" w:eastAsia="宋体"/>
                <w:kern w:val="0"/>
                <w:sz w:val="20"/>
                <w:szCs w:val="20"/>
                <w:highlight w:val="none"/>
              </w:rPr>
            </w:pPr>
          </w:p>
        </w:tc>
      </w:tr>
      <w:tr w14:paraId="0DCFAF05">
        <w:tblPrEx>
          <w:tblCellMar>
            <w:top w:w="0" w:type="dxa"/>
            <w:left w:w="0" w:type="dxa"/>
            <w:bottom w:w="0" w:type="dxa"/>
            <w:right w:w="0" w:type="dxa"/>
          </w:tblCellMar>
        </w:tblPrEx>
        <w:trPr>
          <w:trHeight w:val="61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F69132">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66EDF499">
            <w:pPr>
              <w:kinsoku w:val="0"/>
              <w:overflowPunct w:val="0"/>
              <w:autoSpaceDE w:val="0"/>
              <w:autoSpaceDN w:val="0"/>
              <w:adjustRightInd w:val="0"/>
              <w:ind w:left="339"/>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5E7C84C">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noWrap w:val="0"/>
            <w:vAlign w:val="center"/>
          </w:tcPr>
          <w:p w14:paraId="465C504A">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14:paraId="448AFBE3">
            <w:pPr>
              <w:kinsoku w:val="0"/>
              <w:overflowPunct w:val="0"/>
              <w:autoSpaceDE w:val="0"/>
              <w:autoSpaceDN w:val="0"/>
              <w:adjustRightInd w:val="0"/>
              <w:spacing w:before="9"/>
              <w:jc w:val="center"/>
              <w:rPr>
                <w:rFonts w:ascii="宋体" w:hAnsi="宋体" w:eastAsia="宋体" w:cs="宋体"/>
                <w:b/>
                <w:bCs/>
                <w:kern w:val="0"/>
                <w:sz w:val="17"/>
                <w:szCs w:val="17"/>
                <w:highlight w:val="none"/>
              </w:rPr>
            </w:pPr>
          </w:p>
          <w:p w14:paraId="003EE052">
            <w:pPr>
              <w:kinsoku w:val="0"/>
              <w:overflowPunct w:val="0"/>
              <w:autoSpaceDE w:val="0"/>
              <w:autoSpaceDN w:val="0"/>
              <w:adjustRightInd w:val="0"/>
              <w:ind w:left="518"/>
              <w:jc w:val="center"/>
              <w:rPr>
                <w:rFonts w:ascii="宋体" w:hAnsi="宋体" w:eastAsia="宋体" w:cs="宋体"/>
                <w:kern w:val="0"/>
                <w:szCs w:val="21"/>
                <w:highlight w:val="none"/>
              </w:rPr>
            </w:pPr>
            <w:r>
              <w:rPr>
                <w:rFonts w:hint="eastAsia" w:ascii="宋体" w:hAnsi="宋体" w:eastAsia="宋体" w:cs="宋体"/>
                <w:kern w:val="0"/>
                <w:szCs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center"/>
          </w:tcPr>
          <w:p w14:paraId="0681F2A1">
            <w:pPr>
              <w:kinsoku w:val="0"/>
              <w:overflowPunct w:val="0"/>
              <w:autoSpaceDE w:val="0"/>
              <w:autoSpaceDN w:val="0"/>
              <w:adjustRightInd w:val="0"/>
              <w:jc w:val="center"/>
              <w:rPr>
                <w:rFonts w:ascii="宋体" w:hAnsi="宋体" w:eastAsia="宋体"/>
                <w:kern w:val="0"/>
                <w:sz w:val="20"/>
                <w:szCs w:val="20"/>
                <w:highlight w:val="none"/>
              </w:rPr>
            </w:pPr>
          </w:p>
        </w:tc>
      </w:tr>
      <w:tr w14:paraId="53949380">
        <w:tblPrEx>
          <w:tblCellMar>
            <w:top w:w="0" w:type="dxa"/>
            <w:left w:w="0" w:type="dxa"/>
            <w:bottom w:w="0" w:type="dxa"/>
            <w:right w:w="0" w:type="dxa"/>
          </w:tblCellMar>
        </w:tblPrEx>
        <w:trPr>
          <w:trHeight w:val="604"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8AD3B8">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06F37E00">
            <w:pPr>
              <w:kinsoku w:val="0"/>
              <w:overflowPunct w:val="0"/>
              <w:autoSpaceDE w:val="0"/>
              <w:autoSpaceDN w:val="0"/>
              <w:adjustRightInd w:val="0"/>
              <w:spacing w:before="1"/>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E1E1D47">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noWrap w:val="0"/>
            <w:vAlign w:val="center"/>
          </w:tcPr>
          <w:p w14:paraId="54F72A9A">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14:paraId="0ACD9A69">
            <w:pPr>
              <w:kinsoku w:val="0"/>
              <w:overflowPunct w:val="0"/>
              <w:autoSpaceDE w:val="0"/>
              <w:autoSpaceDN w:val="0"/>
              <w:adjustRightInd w:val="0"/>
              <w:spacing w:before="5"/>
              <w:jc w:val="center"/>
              <w:rPr>
                <w:rFonts w:ascii="宋体" w:hAnsi="宋体" w:eastAsia="宋体" w:cs="宋体"/>
                <w:b/>
                <w:bCs/>
                <w:kern w:val="0"/>
                <w:sz w:val="17"/>
                <w:szCs w:val="17"/>
                <w:highlight w:val="none"/>
              </w:rPr>
            </w:pPr>
          </w:p>
          <w:p w14:paraId="1FC85D3B">
            <w:pPr>
              <w:kinsoku w:val="0"/>
              <w:overflowPunct w:val="0"/>
              <w:autoSpaceDE w:val="0"/>
              <w:autoSpaceDN w:val="0"/>
              <w:adjustRightInd w:val="0"/>
              <w:spacing w:before="1"/>
              <w:ind w:left="518"/>
              <w:jc w:val="center"/>
              <w:rPr>
                <w:rFonts w:ascii="宋体" w:hAnsi="宋体" w:eastAsia="宋体" w:cs="宋体"/>
                <w:kern w:val="0"/>
                <w:szCs w:val="21"/>
                <w:highlight w:val="none"/>
              </w:rPr>
            </w:pPr>
            <w:r>
              <w:rPr>
                <w:rFonts w:hint="eastAsia" w:ascii="宋体" w:hAnsi="宋体" w:eastAsia="宋体" w:cs="宋体"/>
                <w:kern w:val="0"/>
                <w:szCs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center"/>
          </w:tcPr>
          <w:p w14:paraId="2383AB3F">
            <w:pPr>
              <w:kinsoku w:val="0"/>
              <w:overflowPunct w:val="0"/>
              <w:autoSpaceDE w:val="0"/>
              <w:autoSpaceDN w:val="0"/>
              <w:adjustRightInd w:val="0"/>
              <w:jc w:val="center"/>
              <w:rPr>
                <w:rFonts w:ascii="宋体" w:hAnsi="宋体" w:eastAsia="宋体"/>
                <w:kern w:val="0"/>
                <w:sz w:val="20"/>
                <w:szCs w:val="20"/>
                <w:highlight w:val="none"/>
              </w:rPr>
            </w:pPr>
          </w:p>
        </w:tc>
      </w:tr>
      <w:tr w14:paraId="16D7EAF8">
        <w:tblPrEx>
          <w:tblCellMar>
            <w:top w:w="0" w:type="dxa"/>
            <w:left w:w="0" w:type="dxa"/>
            <w:bottom w:w="0" w:type="dxa"/>
            <w:right w:w="0" w:type="dxa"/>
          </w:tblCellMar>
        </w:tblPrEx>
        <w:trPr>
          <w:trHeight w:val="626"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2430685">
            <w:pPr>
              <w:kinsoku w:val="0"/>
              <w:overflowPunct w:val="0"/>
              <w:autoSpaceDE w:val="0"/>
              <w:autoSpaceDN w:val="0"/>
              <w:adjustRightInd w:val="0"/>
              <w:spacing w:before="5"/>
              <w:jc w:val="center"/>
              <w:rPr>
                <w:rFonts w:ascii="宋体" w:hAnsi="宋体" w:eastAsia="宋体" w:cs="宋体"/>
                <w:b/>
                <w:bCs/>
                <w:kern w:val="0"/>
                <w:sz w:val="18"/>
                <w:szCs w:val="18"/>
                <w:highlight w:val="none"/>
              </w:rPr>
            </w:pPr>
          </w:p>
          <w:p w14:paraId="25ADE138">
            <w:pPr>
              <w:kinsoku w:val="0"/>
              <w:overflowPunct w:val="0"/>
              <w:autoSpaceDE w:val="0"/>
              <w:autoSpaceDN w:val="0"/>
              <w:adjustRightInd w:val="0"/>
              <w:ind w:left="442"/>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9C45533">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noWrap w:val="0"/>
            <w:vAlign w:val="center"/>
          </w:tcPr>
          <w:p w14:paraId="15AB9F8A">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14:paraId="1BC5D71F">
            <w:pPr>
              <w:kinsoku w:val="0"/>
              <w:overflowPunct w:val="0"/>
              <w:autoSpaceDE w:val="0"/>
              <w:autoSpaceDN w:val="0"/>
              <w:adjustRightInd w:val="0"/>
              <w:spacing w:before="5"/>
              <w:jc w:val="center"/>
              <w:rPr>
                <w:rFonts w:ascii="宋体" w:hAnsi="宋体" w:eastAsia="宋体" w:cs="宋体"/>
                <w:b/>
                <w:bCs/>
                <w:kern w:val="0"/>
                <w:sz w:val="18"/>
                <w:szCs w:val="18"/>
                <w:highlight w:val="none"/>
              </w:rPr>
            </w:pPr>
          </w:p>
          <w:p w14:paraId="5788FC28">
            <w:pPr>
              <w:kinsoku w:val="0"/>
              <w:overflowPunct w:val="0"/>
              <w:autoSpaceDE w:val="0"/>
              <w:autoSpaceDN w:val="0"/>
              <w:adjustRightInd w:val="0"/>
              <w:ind w:left="518"/>
              <w:jc w:val="center"/>
              <w:rPr>
                <w:rFonts w:ascii="宋体" w:hAnsi="宋体" w:eastAsia="宋体" w:cs="宋体"/>
                <w:kern w:val="0"/>
                <w:szCs w:val="21"/>
                <w:highlight w:val="none"/>
              </w:rPr>
            </w:pPr>
            <w:r>
              <w:rPr>
                <w:rFonts w:hint="eastAsia" w:ascii="宋体" w:hAnsi="宋体" w:eastAsia="宋体" w:cs="宋体"/>
                <w:kern w:val="0"/>
                <w:szCs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center"/>
          </w:tcPr>
          <w:p w14:paraId="2319382B">
            <w:pPr>
              <w:kinsoku w:val="0"/>
              <w:overflowPunct w:val="0"/>
              <w:autoSpaceDE w:val="0"/>
              <w:autoSpaceDN w:val="0"/>
              <w:adjustRightInd w:val="0"/>
              <w:jc w:val="center"/>
              <w:rPr>
                <w:rFonts w:ascii="宋体" w:hAnsi="宋体" w:eastAsia="宋体"/>
                <w:kern w:val="0"/>
                <w:sz w:val="20"/>
                <w:szCs w:val="20"/>
                <w:highlight w:val="none"/>
              </w:rPr>
            </w:pPr>
          </w:p>
        </w:tc>
      </w:tr>
      <w:tr w14:paraId="753647A0">
        <w:tblPrEx>
          <w:tblCellMar>
            <w:top w:w="0" w:type="dxa"/>
            <w:left w:w="0" w:type="dxa"/>
            <w:bottom w:w="0" w:type="dxa"/>
            <w:right w:w="0"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E8B56E">
            <w:pPr>
              <w:kinsoku w:val="0"/>
              <w:overflowPunct w:val="0"/>
              <w:autoSpaceDE w:val="0"/>
              <w:autoSpaceDN w:val="0"/>
              <w:adjustRightInd w:val="0"/>
              <w:spacing w:before="6"/>
              <w:jc w:val="center"/>
              <w:rPr>
                <w:rFonts w:ascii="宋体" w:hAnsi="宋体" w:eastAsia="宋体" w:cs="宋体"/>
                <w:b/>
                <w:bCs/>
                <w:kern w:val="0"/>
                <w:sz w:val="17"/>
                <w:szCs w:val="17"/>
                <w:highlight w:val="none"/>
              </w:rPr>
            </w:pPr>
          </w:p>
          <w:p w14:paraId="5869A0A6">
            <w:pPr>
              <w:kinsoku w:val="0"/>
              <w:overflowPunct w:val="0"/>
              <w:autoSpaceDE w:val="0"/>
              <w:autoSpaceDN w:val="0"/>
              <w:adjustRightInd w:val="0"/>
              <w:ind w:left="633" w:right="625"/>
              <w:jc w:val="center"/>
              <w:rPr>
                <w:rFonts w:ascii="宋体" w:hAnsi="宋体" w:eastAsia="宋体" w:cs="宋体"/>
                <w:kern w:val="0"/>
                <w:szCs w:val="21"/>
                <w:highlight w:val="none"/>
              </w:rPr>
            </w:pPr>
            <w:r>
              <w:rPr>
                <w:rFonts w:hint="eastAsia" w:ascii="宋体" w:hAnsi="宋体" w:eastAsia="宋体" w:cs="宋体"/>
                <w:kern w:val="0"/>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25FF0D6">
            <w:pPr>
              <w:kinsoku w:val="0"/>
              <w:overflowPunct w:val="0"/>
              <w:autoSpaceDE w:val="0"/>
              <w:autoSpaceDN w:val="0"/>
              <w:adjustRightInd w:val="0"/>
              <w:jc w:val="center"/>
              <w:rPr>
                <w:rFonts w:ascii="宋体" w:hAnsi="宋体" w:eastAsia="宋体"/>
                <w:kern w:val="0"/>
                <w:sz w:val="20"/>
                <w:szCs w:val="20"/>
                <w:highlight w:val="none"/>
              </w:rPr>
            </w:pPr>
          </w:p>
        </w:tc>
        <w:tc>
          <w:tcPr>
            <w:tcW w:w="840" w:type="dxa"/>
            <w:vMerge w:val="continue"/>
            <w:tcBorders>
              <w:top w:val="nil"/>
              <w:left w:val="single" w:color="000000" w:sz="4" w:space="0"/>
              <w:bottom w:val="single" w:color="000000" w:sz="4" w:space="0"/>
              <w:right w:val="single" w:color="000000" w:sz="4" w:space="0"/>
            </w:tcBorders>
            <w:noWrap w:val="0"/>
            <w:vAlign w:val="center"/>
          </w:tcPr>
          <w:p w14:paraId="29B6526D">
            <w:pPr>
              <w:kinsoku w:val="0"/>
              <w:wordWrap w:val="0"/>
              <w:overflowPunct w:val="0"/>
              <w:topLinePunct/>
              <w:adjustRightInd w:val="0"/>
              <w:spacing w:before="8" w:after="1" w:line="360" w:lineRule="atLeast"/>
              <w:ind w:left="63" w:leftChars="30" w:right="63" w:rightChars="30" w:firstLine="40"/>
              <w:jc w:val="center"/>
              <w:textAlignment w:val="baseline"/>
              <w:rPr>
                <w:rFonts w:ascii="宋体" w:hAnsi="宋体" w:eastAsia="宋体" w:cs="宋体"/>
                <w:b/>
                <w:bCs/>
                <w:kern w:val="0"/>
                <w:sz w:val="2"/>
                <w:szCs w:val="2"/>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14:paraId="275E5521">
            <w:pPr>
              <w:kinsoku w:val="0"/>
              <w:overflowPunct w:val="0"/>
              <w:autoSpaceDE w:val="0"/>
              <w:autoSpaceDN w:val="0"/>
              <w:adjustRightInd w:val="0"/>
              <w:spacing w:before="6"/>
              <w:rPr>
                <w:rFonts w:ascii="宋体" w:hAnsi="宋体" w:eastAsia="宋体" w:cs="宋体"/>
                <w:b/>
                <w:bCs/>
                <w:kern w:val="0"/>
                <w:sz w:val="17"/>
                <w:szCs w:val="17"/>
                <w:highlight w:val="none"/>
              </w:rPr>
            </w:pPr>
          </w:p>
          <w:p w14:paraId="3FDC4300">
            <w:pPr>
              <w:tabs>
                <w:tab w:val="left" w:pos="426"/>
              </w:tabs>
              <w:kinsoku w:val="0"/>
              <w:overflowPunct w:val="0"/>
              <w:autoSpaceDE w:val="0"/>
              <w:autoSpaceDN w:val="0"/>
              <w:adjustRightInd w:val="0"/>
              <w:ind w:left="6"/>
              <w:jc w:val="center"/>
              <w:rPr>
                <w:rFonts w:ascii="宋体" w:hAnsi="宋体" w:eastAsia="宋体" w:cs="宋体"/>
                <w:kern w:val="0"/>
                <w:szCs w:val="21"/>
                <w:highlight w:val="none"/>
              </w:rPr>
            </w:pPr>
            <w:r>
              <w:rPr>
                <w:rFonts w:hint="eastAsia" w:ascii="宋体" w:hAnsi="宋体" w:eastAsia="宋体" w:cs="宋体"/>
                <w:kern w:val="0"/>
                <w:szCs w:val="21"/>
                <w:highlight w:val="none"/>
              </w:rPr>
              <w:t>技</w:t>
            </w:r>
            <w:r>
              <w:rPr>
                <w:rFonts w:ascii="宋体" w:hAnsi="宋体" w:eastAsia="宋体" w:cs="宋体"/>
                <w:kern w:val="0"/>
                <w:szCs w:val="21"/>
                <w:highlight w:val="none"/>
              </w:rPr>
              <w:tab/>
            </w:r>
            <w:r>
              <w:rPr>
                <w:rFonts w:hint="eastAsia" w:ascii="宋体" w:hAnsi="宋体" w:eastAsia="宋体" w:cs="宋体"/>
                <w:kern w:val="0"/>
                <w:szCs w:val="21"/>
                <w:highlight w:val="none"/>
              </w:rPr>
              <w:t>工</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center"/>
          </w:tcPr>
          <w:p w14:paraId="2BDC1973">
            <w:pPr>
              <w:kinsoku w:val="0"/>
              <w:overflowPunct w:val="0"/>
              <w:autoSpaceDE w:val="0"/>
              <w:autoSpaceDN w:val="0"/>
              <w:adjustRightInd w:val="0"/>
              <w:jc w:val="center"/>
              <w:rPr>
                <w:rFonts w:ascii="宋体" w:hAnsi="宋体" w:eastAsia="宋体"/>
                <w:kern w:val="0"/>
                <w:sz w:val="20"/>
                <w:szCs w:val="20"/>
                <w:highlight w:val="none"/>
              </w:rPr>
            </w:pPr>
          </w:p>
        </w:tc>
      </w:tr>
      <w:tr w14:paraId="761C6EEE">
        <w:tblPrEx>
          <w:tblCellMar>
            <w:top w:w="0" w:type="dxa"/>
            <w:left w:w="0" w:type="dxa"/>
            <w:bottom w:w="0" w:type="dxa"/>
            <w:right w:w="0" w:type="dxa"/>
          </w:tblCellMar>
        </w:tblPrEx>
        <w:trPr>
          <w:trHeight w:val="188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C6DF63A">
            <w:pPr>
              <w:kinsoku w:val="0"/>
              <w:overflowPunct w:val="0"/>
              <w:autoSpaceDE w:val="0"/>
              <w:autoSpaceDN w:val="0"/>
              <w:adjustRightInd w:val="0"/>
              <w:jc w:val="center"/>
              <w:rPr>
                <w:rFonts w:ascii="宋体" w:hAnsi="宋体" w:eastAsia="宋体" w:cs="宋体"/>
                <w:kern w:val="0"/>
                <w:szCs w:val="21"/>
                <w:highlight w:val="none"/>
              </w:rPr>
            </w:pPr>
            <w:r>
              <w:rPr>
                <w:rFonts w:hint="eastAsia" w:ascii="宋体" w:hAnsi="宋体" w:eastAsia="宋体" w:cs="宋体"/>
                <w:kern w:val="0"/>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23E628FF">
            <w:pPr>
              <w:kinsoku w:val="0"/>
              <w:overflowPunct w:val="0"/>
              <w:autoSpaceDE w:val="0"/>
              <w:autoSpaceDN w:val="0"/>
              <w:adjustRightInd w:val="0"/>
              <w:jc w:val="center"/>
              <w:rPr>
                <w:rFonts w:ascii="宋体" w:hAnsi="宋体" w:eastAsia="宋体"/>
                <w:kern w:val="0"/>
                <w:sz w:val="20"/>
                <w:szCs w:val="20"/>
                <w:highlight w:val="none"/>
              </w:rPr>
            </w:pPr>
          </w:p>
        </w:tc>
      </w:tr>
      <w:tr w14:paraId="39252C85">
        <w:tblPrEx>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2DA2314">
            <w:pPr>
              <w:kinsoku w:val="0"/>
              <w:overflowPunct w:val="0"/>
              <w:autoSpaceDE w:val="0"/>
              <w:autoSpaceDN w:val="0"/>
              <w:adjustRightInd w:val="0"/>
              <w:spacing w:before="10"/>
              <w:jc w:val="center"/>
              <w:rPr>
                <w:rFonts w:ascii="宋体" w:hAnsi="宋体" w:eastAsia="宋体" w:cs="宋体"/>
                <w:b/>
                <w:bCs/>
                <w:kern w:val="0"/>
                <w:sz w:val="17"/>
                <w:szCs w:val="17"/>
                <w:highlight w:val="none"/>
              </w:rPr>
            </w:pPr>
          </w:p>
          <w:p w14:paraId="300D221C">
            <w:pPr>
              <w:kinsoku w:val="0"/>
              <w:overflowPunct w:val="0"/>
              <w:autoSpaceDE w:val="0"/>
              <w:autoSpaceDN w:val="0"/>
              <w:adjustRightInd w:val="0"/>
              <w:ind w:left="633" w:right="625"/>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57642C03">
            <w:pPr>
              <w:kinsoku w:val="0"/>
              <w:overflowPunct w:val="0"/>
              <w:autoSpaceDE w:val="0"/>
              <w:autoSpaceDN w:val="0"/>
              <w:adjustRightInd w:val="0"/>
              <w:jc w:val="center"/>
              <w:rPr>
                <w:rFonts w:ascii="宋体" w:hAnsi="宋体" w:eastAsia="宋体"/>
                <w:kern w:val="0"/>
                <w:sz w:val="20"/>
                <w:szCs w:val="20"/>
                <w:highlight w:val="none"/>
              </w:rPr>
            </w:pPr>
          </w:p>
        </w:tc>
      </w:tr>
    </w:tbl>
    <w:p w14:paraId="67D05B45">
      <w:pPr>
        <w:autoSpaceDE w:val="0"/>
        <w:autoSpaceDN w:val="0"/>
        <w:adjustRightInd w:val="0"/>
        <w:spacing w:line="360" w:lineRule="auto"/>
        <w:jc w:val="left"/>
        <w:rPr>
          <w:rFonts w:ascii="宋体" w:hAnsi="宋体" w:eastAsia="宋体" w:cs="宋体"/>
          <w:kern w:val="0"/>
          <w:sz w:val="24"/>
          <w:szCs w:val="24"/>
          <w:highlight w:val="none"/>
        </w:rPr>
      </w:pPr>
    </w:p>
    <w:p w14:paraId="7DB4210F">
      <w:pPr>
        <w:autoSpaceDE w:val="0"/>
        <w:autoSpaceDN w:val="0"/>
        <w:adjustRightInd w:val="0"/>
        <w:spacing w:line="360" w:lineRule="auto"/>
        <w:jc w:val="left"/>
        <w:rPr>
          <w:rFonts w:ascii="宋体" w:hAnsi="宋体" w:eastAsia="宋体" w:cs="宋体"/>
          <w:kern w:val="0"/>
          <w:sz w:val="24"/>
          <w:szCs w:val="24"/>
          <w:highlight w:val="none"/>
        </w:rPr>
      </w:pPr>
    </w:p>
    <w:p w14:paraId="1DD8A237">
      <w:pPr>
        <w:autoSpaceDE w:val="0"/>
        <w:autoSpaceDN w:val="0"/>
        <w:adjustRightInd w:val="0"/>
        <w:spacing w:line="360" w:lineRule="auto"/>
        <w:ind w:left="425"/>
        <w:jc w:val="center"/>
        <w:rPr>
          <w:rFonts w:ascii="宋体" w:hAnsi="宋体" w:eastAsia="宋体" w:cs="黑体"/>
          <w:b/>
          <w:kern w:val="0"/>
          <w:sz w:val="28"/>
          <w:szCs w:val="28"/>
          <w:highlight w:val="none"/>
        </w:rPr>
      </w:pPr>
    </w:p>
    <w:p w14:paraId="69A8435B">
      <w:pPr>
        <w:autoSpaceDE w:val="0"/>
        <w:autoSpaceDN w:val="0"/>
        <w:adjustRightInd w:val="0"/>
        <w:spacing w:line="360" w:lineRule="auto"/>
        <w:ind w:left="425"/>
        <w:jc w:val="center"/>
        <w:rPr>
          <w:rFonts w:ascii="宋体" w:hAnsi="宋体" w:eastAsia="宋体" w:cs="黑体"/>
          <w:b/>
          <w:kern w:val="0"/>
          <w:sz w:val="28"/>
          <w:szCs w:val="28"/>
          <w:highlight w:val="none"/>
        </w:rPr>
      </w:pPr>
      <w:r>
        <w:rPr>
          <w:rFonts w:hint="eastAsia" w:ascii="宋体" w:hAnsi="宋体" w:eastAsia="宋体" w:cs="黑体"/>
          <w:b/>
          <w:kern w:val="0"/>
          <w:sz w:val="28"/>
          <w:szCs w:val="28"/>
          <w:highlight w:val="none"/>
        </w:rPr>
        <w:t>4.2具备履行合同所必需的设备和专业技术能力的声明函</w:t>
      </w:r>
    </w:p>
    <w:p w14:paraId="098490E4">
      <w:pPr>
        <w:autoSpaceDE w:val="0"/>
        <w:autoSpaceDN w:val="0"/>
        <w:adjustRightInd w:val="0"/>
        <w:spacing w:line="360" w:lineRule="auto"/>
        <w:ind w:left="425"/>
        <w:jc w:val="center"/>
        <w:rPr>
          <w:rFonts w:ascii="宋体" w:hAnsi="宋体" w:eastAsia="宋体" w:cs="黑体"/>
          <w:b/>
          <w:kern w:val="0"/>
          <w:sz w:val="28"/>
          <w:szCs w:val="28"/>
          <w:highlight w:val="none"/>
        </w:rPr>
      </w:pPr>
    </w:p>
    <w:p w14:paraId="371E2319">
      <w:pPr>
        <w:wordWrap w:val="0"/>
        <w:topLinePunct/>
        <w:spacing w:before="156" w:beforeLines="50" w:after="156" w:afterLines="50" w:line="360" w:lineRule="auto"/>
        <w:ind w:left="757" w:leftChars="227" w:hanging="280" w:hangingChars="100"/>
        <w:rPr>
          <w:rFonts w:ascii="宋体" w:hAnsi="宋体" w:eastAsia="宋体" w:cs="宋体"/>
          <w:sz w:val="28"/>
          <w:szCs w:val="28"/>
          <w:highlight w:val="none"/>
        </w:rPr>
      </w:pPr>
      <w:r>
        <w:rPr>
          <w:rFonts w:hint="eastAsia" w:ascii="宋体" w:hAnsi="宋体" w:eastAsia="宋体" w:cs="宋体"/>
          <w:sz w:val="28"/>
          <w:szCs w:val="28"/>
          <w:highlight w:val="none"/>
          <w:u w:val="single"/>
        </w:rPr>
        <w:t>采购人名称</w:t>
      </w:r>
      <w:r>
        <w:rPr>
          <w:rFonts w:hint="eastAsia" w:ascii="宋体" w:hAnsi="宋体" w:eastAsia="宋体" w:cs="宋体"/>
          <w:sz w:val="28"/>
          <w:szCs w:val="28"/>
          <w:highlight w:val="none"/>
        </w:rPr>
        <w:t>：</w:t>
      </w:r>
    </w:p>
    <w:p w14:paraId="5E5AEBBD">
      <w:pPr>
        <w:wordWrap w:val="0"/>
        <w:topLinePunct/>
        <w:spacing w:before="156" w:beforeLines="50" w:after="156" w:afterLines="50" w:line="360" w:lineRule="auto"/>
        <w:ind w:left="689" w:leftChars="328"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rPr>
        <w:t>我单位具备履行合同所必需的人员、设备</w:t>
      </w:r>
      <w:r>
        <w:rPr>
          <w:rFonts w:hint="eastAsia" w:ascii="宋体" w:hAnsi="宋体" w:eastAsia="宋体" w:cs="宋体"/>
          <w:sz w:val="28"/>
          <w:szCs w:val="28"/>
          <w:highlight w:val="none"/>
          <w:lang w:eastAsia="zh-CN"/>
        </w:rPr>
        <w:t>、资金</w:t>
      </w:r>
      <w:r>
        <w:rPr>
          <w:rFonts w:hint="eastAsia" w:ascii="宋体" w:hAnsi="宋体" w:eastAsia="宋体" w:cs="宋体"/>
          <w:sz w:val="28"/>
          <w:szCs w:val="28"/>
          <w:highlight w:val="none"/>
        </w:rPr>
        <w:t>和专业技术能力，特此声明。</w:t>
      </w:r>
    </w:p>
    <w:p w14:paraId="2D9F08FA">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4F23E088">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2FFA458A">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40045E1F">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0832955E">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00C18CAE">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28DF58BC">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80EBE61">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2C5713AA">
      <w:pPr>
        <w:wordWrap w:val="0"/>
        <w:topLinePunct/>
        <w:spacing w:line="360" w:lineRule="auto"/>
        <w:rPr>
          <w:rFonts w:ascii="宋体" w:hAnsi="宋体" w:eastAsia="宋体" w:cs="宋体"/>
          <w:szCs w:val="21"/>
          <w:highlight w:val="none"/>
        </w:rPr>
      </w:pPr>
    </w:p>
    <w:p w14:paraId="5265D208">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72B16594">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7366FD30">
      <w:pPr>
        <w:wordWrap w:val="0"/>
        <w:topLinePunct/>
        <w:spacing w:before="156" w:beforeLines="50" w:after="156" w:afterLines="50" w:line="360" w:lineRule="auto"/>
        <w:ind w:firstLine="482" w:firstLineChars="200"/>
        <w:rPr>
          <w:rFonts w:ascii="宋体" w:hAnsi="宋体" w:eastAsia="宋体" w:cs="宋体"/>
          <w:b/>
          <w:bCs/>
          <w:sz w:val="24"/>
          <w:szCs w:val="24"/>
          <w:highlight w:val="none"/>
        </w:rPr>
      </w:pPr>
    </w:p>
    <w:p w14:paraId="3E801C1B">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6B9F828F">
      <w:pPr>
        <w:wordWrap w:val="0"/>
        <w:topLinePunct/>
        <w:spacing w:before="156" w:beforeLines="50" w:after="156" w:afterLines="50" w:line="360" w:lineRule="auto"/>
        <w:ind w:left="687" w:leftChars="227" w:hanging="210" w:hangingChars="100"/>
        <w:rPr>
          <w:rFonts w:ascii="宋体" w:hAnsi="宋体" w:eastAsia="宋体" w:cs="宋体"/>
          <w:szCs w:val="21"/>
          <w:highlight w:val="none"/>
        </w:rPr>
      </w:pPr>
    </w:p>
    <w:p w14:paraId="7C6F95F9">
      <w:pPr>
        <w:wordWrap w:val="0"/>
        <w:topLinePunct/>
        <w:spacing w:before="156" w:beforeLines="50" w:after="156" w:afterLines="50" w:line="360" w:lineRule="auto"/>
        <w:rPr>
          <w:rFonts w:ascii="宋体" w:hAnsi="宋体" w:eastAsia="宋体" w:cs="宋体"/>
          <w:szCs w:val="21"/>
          <w:highlight w:val="none"/>
        </w:rPr>
      </w:pPr>
    </w:p>
    <w:p w14:paraId="47AC3DC2">
      <w:pPr>
        <w:wordWrap w:val="0"/>
        <w:topLinePunct/>
        <w:spacing w:line="360" w:lineRule="auto"/>
        <w:rPr>
          <w:rFonts w:ascii="宋体" w:hAnsi="宋体" w:eastAsia="宋体" w:cs="黑体"/>
          <w:b/>
          <w:sz w:val="28"/>
          <w:szCs w:val="28"/>
          <w:highlight w:val="none"/>
        </w:rPr>
      </w:pPr>
    </w:p>
    <w:p w14:paraId="2423FCD3">
      <w:pPr>
        <w:widowControl/>
        <w:jc w:val="left"/>
        <w:rPr>
          <w:rFonts w:ascii="宋体" w:hAnsi="宋体" w:eastAsia="宋体" w:cs="宋体"/>
          <w:b/>
          <w:bCs/>
          <w:sz w:val="28"/>
          <w:szCs w:val="28"/>
          <w:highlight w:val="none"/>
        </w:rPr>
      </w:pPr>
      <w:bookmarkStart w:id="542" w:name="_Toc23774497"/>
      <w:bookmarkStart w:id="543" w:name="_Toc16946"/>
    </w:p>
    <w:p w14:paraId="4F87EE43">
      <w:pPr>
        <w:keepNext/>
        <w:keepLines/>
        <w:numPr>
          <w:ilvl w:val="0"/>
          <w:numId w:val="12"/>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已标价工程量清单</w:t>
      </w:r>
    </w:p>
    <w:p w14:paraId="4BF0291C">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2A840DBF">
      <w:pPr>
        <w:keepNext/>
        <w:keepLines/>
        <w:numPr>
          <w:ilvl w:val="0"/>
          <w:numId w:val="12"/>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施工组织设计</w:t>
      </w:r>
      <w:bookmarkEnd w:id="542"/>
    </w:p>
    <w:p w14:paraId="062CB6F5">
      <w:pPr>
        <w:wordWrap w:val="0"/>
        <w:topLinePunct/>
        <w:spacing w:line="360" w:lineRule="auto"/>
        <w:ind w:firstLine="480" w:firstLineChars="200"/>
        <w:rPr>
          <w:rFonts w:ascii="宋体" w:hAnsi="宋体" w:eastAsia="宋体"/>
          <w:sz w:val="24"/>
          <w:szCs w:val="24"/>
          <w:highlight w:val="none"/>
        </w:rPr>
      </w:pPr>
      <w:r>
        <w:rPr>
          <w:rFonts w:ascii="宋体" w:hAnsi="宋体" w:eastAsia="宋体"/>
          <w:bCs/>
          <w:sz w:val="24"/>
          <w:szCs w:val="24"/>
          <w:highlight w:val="none"/>
        </w:rPr>
        <w:t>1</w:t>
      </w:r>
      <w:r>
        <w:rPr>
          <w:rFonts w:hint="eastAsia" w:ascii="宋体" w:hAnsi="宋体" w:eastAsia="宋体"/>
          <w:bCs/>
          <w:sz w:val="24"/>
          <w:szCs w:val="24"/>
          <w:highlight w:val="none"/>
        </w:rPr>
        <w:t>、供应商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0B92AB84">
      <w:pPr>
        <w:wordWrap w:val="0"/>
        <w:topLinePunct/>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施工组织设计除采用文字表述外</w:t>
      </w:r>
      <w:r>
        <w:rPr>
          <w:rFonts w:hint="eastAsia" w:ascii="宋体" w:hAnsi="宋体" w:eastAsia="宋体"/>
          <w:sz w:val="24"/>
          <w:szCs w:val="24"/>
          <w:highlight w:val="none"/>
        </w:rPr>
        <w:t>一般需</w:t>
      </w:r>
      <w:r>
        <w:rPr>
          <w:rFonts w:ascii="宋体" w:hAnsi="宋体" w:eastAsia="宋体"/>
          <w:sz w:val="24"/>
          <w:szCs w:val="24"/>
          <w:highlight w:val="none"/>
        </w:rPr>
        <w:t>附下列图表</w:t>
      </w:r>
      <w:r>
        <w:rPr>
          <w:rFonts w:hint="eastAsia" w:ascii="宋体" w:hAnsi="宋体" w:eastAsia="宋体"/>
          <w:sz w:val="24"/>
          <w:szCs w:val="24"/>
          <w:highlight w:val="none"/>
        </w:rPr>
        <w:t>，</w:t>
      </w:r>
      <w:r>
        <w:rPr>
          <w:rFonts w:ascii="宋体" w:hAnsi="宋体" w:eastAsia="宋体"/>
          <w:sz w:val="24"/>
          <w:szCs w:val="24"/>
          <w:highlight w:val="none"/>
        </w:rPr>
        <w:t>图表及格式要求附后。</w:t>
      </w:r>
    </w:p>
    <w:p w14:paraId="4AA3E0D7">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附表一  拟投入本</w:t>
      </w:r>
      <w:r>
        <w:rPr>
          <w:rFonts w:hint="eastAsia" w:ascii="宋体" w:hAnsi="宋体" w:eastAsia="宋体"/>
          <w:sz w:val="24"/>
          <w:szCs w:val="24"/>
          <w:highlight w:val="none"/>
        </w:rPr>
        <w:t>工程</w:t>
      </w:r>
      <w:r>
        <w:rPr>
          <w:rFonts w:ascii="宋体" w:hAnsi="宋体" w:eastAsia="宋体"/>
          <w:sz w:val="24"/>
          <w:szCs w:val="24"/>
          <w:highlight w:val="none"/>
        </w:rPr>
        <w:t>的主要施工设备表</w:t>
      </w:r>
    </w:p>
    <w:p w14:paraId="4265DB1C">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附表二  拟投入本</w:t>
      </w:r>
      <w:r>
        <w:rPr>
          <w:rFonts w:hint="eastAsia" w:ascii="宋体" w:hAnsi="宋体" w:eastAsia="宋体"/>
          <w:sz w:val="24"/>
          <w:szCs w:val="24"/>
          <w:highlight w:val="none"/>
        </w:rPr>
        <w:t>工程</w:t>
      </w:r>
      <w:r>
        <w:rPr>
          <w:rFonts w:ascii="宋体" w:hAnsi="宋体" w:eastAsia="宋体"/>
          <w:sz w:val="24"/>
          <w:szCs w:val="24"/>
          <w:highlight w:val="none"/>
        </w:rPr>
        <w:t>的</w:t>
      </w:r>
      <w:r>
        <w:rPr>
          <w:rFonts w:hint="eastAsia" w:ascii="宋体" w:hAnsi="宋体" w:eastAsia="宋体"/>
          <w:sz w:val="24"/>
          <w:szCs w:val="24"/>
          <w:highlight w:val="none"/>
        </w:rPr>
        <w:t>试验</w:t>
      </w:r>
      <w:r>
        <w:rPr>
          <w:rFonts w:ascii="宋体" w:hAnsi="宋体" w:eastAsia="宋体"/>
          <w:sz w:val="24"/>
          <w:szCs w:val="24"/>
          <w:highlight w:val="none"/>
        </w:rPr>
        <w:t>和检测仪器设备表</w:t>
      </w:r>
    </w:p>
    <w:p w14:paraId="7149C083">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附表三  拟投入本</w:t>
      </w:r>
      <w:r>
        <w:rPr>
          <w:rFonts w:hint="eastAsia" w:ascii="宋体" w:hAnsi="宋体" w:eastAsia="宋体"/>
          <w:sz w:val="24"/>
          <w:szCs w:val="24"/>
          <w:highlight w:val="none"/>
        </w:rPr>
        <w:t>工程</w:t>
      </w:r>
      <w:r>
        <w:rPr>
          <w:rFonts w:ascii="宋体" w:hAnsi="宋体" w:eastAsia="宋体"/>
          <w:sz w:val="24"/>
          <w:szCs w:val="24"/>
          <w:highlight w:val="none"/>
        </w:rPr>
        <w:t>的劳动力计划表</w:t>
      </w:r>
    </w:p>
    <w:p w14:paraId="32EB972E">
      <w:pPr>
        <w:tabs>
          <w:tab w:val="left" w:pos="720"/>
        </w:tabs>
        <w:wordWrap w:val="0"/>
        <w:topLinePunct/>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附表</w:t>
      </w:r>
      <w:r>
        <w:rPr>
          <w:rFonts w:hint="eastAsia" w:ascii="宋体" w:hAnsi="宋体" w:eastAsia="宋体"/>
          <w:sz w:val="24"/>
          <w:szCs w:val="24"/>
          <w:highlight w:val="none"/>
        </w:rPr>
        <w:t>四</w:t>
      </w:r>
      <w:r>
        <w:rPr>
          <w:rFonts w:ascii="宋体" w:hAnsi="宋体" w:eastAsia="宋体"/>
          <w:sz w:val="24"/>
          <w:szCs w:val="24"/>
          <w:highlight w:val="none"/>
        </w:rPr>
        <w:t xml:space="preserve">  计划</w:t>
      </w:r>
      <w:r>
        <w:rPr>
          <w:rFonts w:hint="eastAsia" w:ascii="宋体" w:hAnsi="宋体" w:eastAsia="宋体"/>
          <w:sz w:val="24"/>
          <w:szCs w:val="24"/>
          <w:highlight w:val="none"/>
        </w:rPr>
        <w:t>开工日期</w:t>
      </w:r>
      <w:r>
        <w:rPr>
          <w:rFonts w:ascii="宋体" w:hAnsi="宋体" w:eastAsia="宋体"/>
          <w:sz w:val="24"/>
          <w:szCs w:val="24"/>
          <w:highlight w:val="none"/>
        </w:rPr>
        <w:t>、</w:t>
      </w:r>
      <w:r>
        <w:rPr>
          <w:rFonts w:hint="eastAsia" w:ascii="宋体" w:hAnsi="宋体" w:eastAsia="宋体"/>
          <w:sz w:val="24"/>
          <w:szCs w:val="24"/>
          <w:highlight w:val="none"/>
        </w:rPr>
        <w:t>完工</w:t>
      </w:r>
      <w:r>
        <w:rPr>
          <w:rFonts w:ascii="宋体" w:hAnsi="宋体" w:eastAsia="宋体"/>
          <w:sz w:val="24"/>
          <w:szCs w:val="24"/>
          <w:highlight w:val="none"/>
        </w:rPr>
        <w:t>日期和施工进度网络图</w:t>
      </w:r>
    </w:p>
    <w:p w14:paraId="0CE3C109">
      <w:pPr>
        <w:tabs>
          <w:tab w:val="left" w:pos="720"/>
        </w:tabs>
        <w:wordWrap w:val="0"/>
        <w:topLinePunct/>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附表五  施工总平面图</w:t>
      </w:r>
    </w:p>
    <w:p w14:paraId="40C0E08E">
      <w:pPr>
        <w:wordWrap w:val="0"/>
        <w:topLinePunct/>
        <w:rPr>
          <w:rFonts w:ascii="宋体" w:hAnsi="宋体" w:eastAsia="宋体"/>
          <w:szCs w:val="21"/>
          <w:highlight w:val="none"/>
        </w:rPr>
      </w:pPr>
    </w:p>
    <w:p w14:paraId="73A68C08">
      <w:pPr>
        <w:keepNext/>
        <w:keepLines/>
        <w:wordWrap w:val="0"/>
        <w:topLinePunct/>
        <w:spacing w:line="500" w:lineRule="exact"/>
        <w:outlineLvl w:val="2"/>
        <w:rPr>
          <w:rFonts w:ascii="宋体" w:hAnsi="宋体" w:eastAsia="宋体" w:cs="宋体"/>
          <w:sz w:val="28"/>
          <w:szCs w:val="28"/>
          <w:highlight w:val="none"/>
        </w:rPr>
      </w:pPr>
      <w:bookmarkStart w:id="544" w:name="_Toc502396525"/>
      <w:bookmarkStart w:id="545" w:name="_Toc13985"/>
      <w:bookmarkStart w:id="546" w:name="_Toc485740292"/>
      <w:bookmarkStart w:id="547" w:name="_Toc7940"/>
      <w:r>
        <w:rPr>
          <w:rFonts w:ascii="宋体" w:hAnsi="宋体" w:eastAsia="宋体" w:cs="宋体"/>
          <w:sz w:val="28"/>
          <w:szCs w:val="28"/>
          <w:highlight w:val="none"/>
        </w:rPr>
        <w:br w:type="page"/>
      </w:r>
      <w:r>
        <w:rPr>
          <w:rFonts w:ascii="宋体" w:hAnsi="宋体" w:eastAsia="宋体" w:cs="宋体"/>
          <w:sz w:val="28"/>
          <w:szCs w:val="28"/>
          <w:highlight w:val="none"/>
        </w:rPr>
        <w:t>附表一：</w:t>
      </w:r>
      <w:r>
        <w:rPr>
          <w:rFonts w:hint="eastAsia" w:ascii="宋体" w:hAnsi="宋体" w:eastAsia="宋体" w:cs="宋体"/>
          <w:sz w:val="28"/>
          <w:szCs w:val="28"/>
          <w:highlight w:val="none"/>
        </w:rPr>
        <w:t>投入本工程的主要施工设备表</w:t>
      </w:r>
      <w:bookmarkEnd w:id="544"/>
      <w:bookmarkEnd w:id="545"/>
      <w:bookmarkEnd w:id="546"/>
      <w:bookmarkEnd w:id="547"/>
    </w:p>
    <w:p w14:paraId="378DF5A6">
      <w:pPr>
        <w:wordWrap w:val="0"/>
        <w:topLinePunct/>
        <w:spacing w:line="360" w:lineRule="auto"/>
        <w:jc w:val="center"/>
        <w:rPr>
          <w:rFonts w:ascii="宋体" w:hAnsi="宋体" w:eastAsia="宋体"/>
          <w:b/>
          <w:sz w:val="24"/>
          <w:szCs w:val="24"/>
          <w:highlight w:val="none"/>
        </w:rPr>
      </w:pPr>
      <w:bookmarkStart w:id="548" w:name="_Toc502396526"/>
      <w:bookmarkStart w:id="549" w:name="_Toc23195"/>
      <w:bookmarkStart w:id="550" w:name="_Toc26827"/>
      <w:bookmarkStart w:id="551" w:name="_Toc485740293"/>
      <w:r>
        <w:rPr>
          <w:rFonts w:ascii="宋体" w:hAnsi="宋体" w:eastAsia="宋体"/>
          <w:b/>
          <w:sz w:val="24"/>
          <w:szCs w:val="24"/>
          <w:highlight w:val="none"/>
        </w:rPr>
        <w:t>投入本</w:t>
      </w:r>
      <w:r>
        <w:rPr>
          <w:rFonts w:hint="eastAsia" w:ascii="宋体" w:hAnsi="宋体" w:eastAsia="宋体"/>
          <w:b/>
          <w:sz w:val="24"/>
          <w:szCs w:val="24"/>
          <w:highlight w:val="none"/>
        </w:rPr>
        <w:t>工程</w:t>
      </w:r>
      <w:r>
        <w:rPr>
          <w:rFonts w:ascii="宋体" w:hAnsi="宋体" w:eastAsia="宋体"/>
          <w:b/>
          <w:sz w:val="24"/>
          <w:szCs w:val="24"/>
          <w:highlight w:val="none"/>
        </w:rPr>
        <w:t>的主要施工设备表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1"/>
        <w:gridCol w:w="991"/>
        <w:gridCol w:w="672"/>
        <w:gridCol w:w="739"/>
        <w:gridCol w:w="1213"/>
        <w:gridCol w:w="875"/>
        <w:gridCol w:w="1055"/>
        <w:gridCol w:w="521"/>
      </w:tblGrid>
      <w:tr w14:paraId="190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center"/>
          </w:tcPr>
          <w:p w14:paraId="04BD4CA7">
            <w:pPr>
              <w:topLinePunct/>
              <w:spacing w:line="360" w:lineRule="auto"/>
              <w:jc w:val="center"/>
              <w:rPr>
                <w:rFonts w:ascii="宋体" w:hAnsi="宋体" w:eastAsia="宋体"/>
                <w:szCs w:val="21"/>
                <w:highlight w:val="none"/>
              </w:rPr>
            </w:pPr>
            <w:r>
              <w:rPr>
                <w:rFonts w:ascii="宋体" w:hAnsi="宋体" w:eastAsia="宋体"/>
                <w:szCs w:val="21"/>
                <w:highlight w:val="none"/>
              </w:rPr>
              <w:t>序号</w:t>
            </w:r>
          </w:p>
        </w:tc>
        <w:tc>
          <w:tcPr>
            <w:tcW w:w="1087" w:type="dxa"/>
            <w:noWrap w:val="0"/>
            <w:vAlign w:val="center"/>
          </w:tcPr>
          <w:p w14:paraId="2B705CC3">
            <w:pPr>
              <w:wordWrap w:val="0"/>
              <w:topLinePunct/>
              <w:spacing w:line="360" w:lineRule="auto"/>
              <w:jc w:val="center"/>
              <w:rPr>
                <w:rFonts w:ascii="宋体" w:hAnsi="宋体" w:eastAsia="宋体"/>
                <w:szCs w:val="21"/>
                <w:highlight w:val="none"/>
              </w:rPr>
            </w:pPr>
            <w:r>
              <w:rPr>
                <w:rFonts w:ascii="宋体" w:hAnsi="宋体" w:eastAsia="宋体"/>
                <w:szCs w:val="21"/>
                <w:highlight w:val="none"/>
              </w:rPr>
              <w:t>设备名称</w:t>
            </w:r>
          </w:p>
        </w:tc>
        <w:tc>
          <w:tcPr>
            <w:tcW w:w="761" w:type="dxa"/>
            <w:noWrap w:val="0"/>
            <w:vAlign w:val="center"/>
          </w:tcPr>
          <w:p w14:paraId="03A50521">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型号</w:t>
            </w:r>
          </w:p>
          <w:p w14:paraId="22F54F33">
            <w:pPr>
              <w:wordWrap w:val="0"/>
              <w:topLinePunct/>
              <w:spacing w:line="360" w:lineRule="auto"/>
              <w:jc w:val="center"/>
              <w:rPr>
                <w:rFonts w:ascii="宋体" w:hAnsi="宋体" w:eastAsia="宋体"/>
                <w:szCs w:val="21"/>
                <w:highlight w:val="none"/>
              </w:rPr>
            </w:pPr>
            <w:r>
              <w:rPr>
                <w:rFonts w:ascii="宋体" w:hAnsi="宋体" w:eastAsia="宋体"/>
                <w:szCs w:val="21"/>
                <w:highlight w:val="none"/>
              </w:rPr>
              <w:t>规格</w:t>
            </w:r>
          </w:p>
        </w:tc>
        <w:tc>
          <w:tcPr>
            <w:tcW w:w="991" w:type="dxa"/>
            <w:noWrap w:val="0"/>
            <w:vAlign w:val="center"/>
          </w:tcPr>
          <w:p w14:paraId="4D38870A">
            <w:pPr>
              <w:wordWrap w:val="0"/>
              <w:topLinePunct/>
              <w:spacing w:line="360" w:lineRule="auto"/>
              <w:jc w:val="center"/>
              <w:rPr>
                <w:rFonts w:ascii="宋体" w:hAnsi="宋体" w:eastAsia="宋体"/>
                <w:szCs w:val="21"/>
                <w:highlight w:val="none"/>
              </w:rPr>
            </w:pPr>
            <w:r>
              <w:rPr>
                <w:rFonts w:ascii="宋体" w:hAnsi="宋体" w:eastAsia="宋体"/>
                <w:szCs w:val="21"/>
                <w:highlight w:val="none"/>
              </w:rPr>
              <w:t>数量</w:t>
            </w:r>
          </w:p>
        </w:tc>
        <w:tc>
          <w:tcPr>
            <w:tcW w:w="672" w:type="dxa"/>
            <w:noWrap w:val="0"/>
            <w:vAlign w:val="center"/>
          </w:tcPr>
          <w:p w14:paraId="064C27AD">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国别</w:t>
            </w:r>
          </w:p>
          <w:p w14:paraId="474C7846">
            <w:pPr>
              <w:wordWrap w:val="0"/>
              <w:topLinePunct/>
              <w:spacing w:line="360" w:lineRule="auto"/>
              <w:jc w:val="center"/>
              <w:rPr>
                <w:rFonts w:ascii="宋体" w:hAnsi="宋体" w:eastAsia="宋体"/>
                <w:szCs w:val="21"/>
                <w:highlight w:val="none"/>
              </w:rPr>
            </w:pPr>
            <w:r>
              <w:rPr>
                <w:rFonts w:ascii="宋体" w:hAnsi="宋体" w:eastAsia="宋体"/>
                <w:szCs w:val="21"/>
                <w:highlight w:val="none"/>
              </w:rPr>
              <w:t>产地</w:t>
            </w:r>
          </w:p>
        </w:tc>
        <w:tc>
          <w:tcPr>
            <w:tcW w:w="739" w:type="dxa"/>
            <w:noWrap w:val="0"/>
            <w:vAlign w:val="center"/>
          </w:tcPr>
          <w:p w14:paraId="52EDA58D">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制造</w:t>
            </w:r>
          </w:p>
          <w:p w14:paraId="3DBF6AC8">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年份</w:t>
            </w:r>
          </w:p>
        </w:tc>
        <w:tc>
          <w:tcPr>
            <w:tcW w:w="1213" w:type="dxa"/>
            <w:noWrap w:val="0"/>
            <w:vAlign w:val="center"/>
          </w:tcPr>
          <w:p w14:paraId="5FC28952">
            <w:pPr>
              <w:wordWrap w:val="0"/>
              <w:topLinePunct/>
              <w:spacing w:line="360" w:lineRule="auto"/>
              <w:jc w:val="center"/>
              <w:rPr>
                <w:rFonts w:ascii="宋体" w:hAnsi="宋体" w:eastAsia="宋体"/>
                <w:szCs w:val="21"/>
                <w:highlight w:val="none"/>
              </w:rPr>
            </w:pPr>
            <w:r>
              <w:rPr>
                <w:rFonts w:ascii="宋体" w:hAnsi="宋体" w:eastAsia="宋体"/>
                <w:szCs w:val="21"/>
                <w:highlight w:val="none"/>
              </w:rPr>
              <w:t>额定功率（</w:t>
            </w:r>
            <w:r>
              <w:rPr>
                <w:rFonts w:hint="eastAsia" w:ascii="宋体" w:hAnsi="宋体" w:eastAsia="宋体"/>
                <w:szCs w:val="21"/>
                <w:highlight w:val="none"/>
              </w:rPr>
              <w:t>K</w:t>
            </w:r>
            <w:r>
              <w:rPr>
                <w:rFonts w:ascii="宋体" w:hAnsi="宋体" w:eastAsia="宋体"/>
                <w:szCs w:val="21"/>
                <w:highlight w:val="none"/>
              </w:rPr>
              <w:t>W）</w:t>
            </w:r>
          </w:p>
        </w:tc>
        <w:tc>
          <w:tcPr>
            <w:tcW w:w="875" w:type="dxa"/>
            <w:noWrap w:val="0"/>
            <w:vAlign w:val="center"/>
          </w:tcPr>
          <w:p w14:paraId="7642B5F5">
            <w:pPr>
              <w:wordWrap w:val="0"/>
              <w:topLinePunct/>
              <w:spacing w:line="360" w:lineRule="auto"/>
              <w:jc w:val="center"/>
              <w:rPr>
                <w:rFonts w:ascii="宋体" w:hAnsi="宋体" w:eastAsia="宋体"/>
                <w:szCs w:val="21"/>
                <w:highlight w:val="none"/>
              </w:rPr>
            </w:pPr>
            <w:r>
              <w:rPr>
                <w:rFonts w:ascii="宋体" w:hAnsi="宋体" w:eastAsia="宋体"/>
                <w:szCs w:val="21"/>
                <w:highlight w:val="none"/>
              </w:rPr>
              <w:t>生产</w:t>
            </w:r>
          </w:p>
          <w:p w14:paraId="6DEEA125">
            <w:pPr>
              <w:wordWrap w:val="0"/>
              <w:topLinePunct/>
              <w:spacing w:line="360" w:lineRule="auto"/>
              <w:jc w:val="center"/>
              <w:rPr>
                <w:rFonts w:ascii="宋体" w:hAnsi="宋体" w:eastAsia="宋体"/>
                <w:szCs w:val="21"/>
                <w:highlight w:val="none"/>
              </w:rPr>
            </w:pPr>
            <w:r>
              <w:rPr>
                <w:rFonts w:ascii="宋体" w:hAnsi="宋体" w:eastAsia="宋体"/>
                <w:szCs w:val="21"/>
                <w:highlight w:val="none"/>
              </w:rPr>
              <w:t>能力</w:t>
            </w:r>
          </w:p>
        </w:tc>
        <w:tc>
          <w:tcPr>
            <w:tcW w:w="1055" w:type="dxa"/>
            <w:noWrap w:val="0"/>
            <w:vAlign w:val="center"/>
          </w:tcPr>
          <w:p w14:paraId="6F25BE5B">
            <w:pPr>
              <w:wordWrap w:val="0"/>
              <w:topLinePunct/>
              <w:spacing w:line="360" w:lineRule="auto"/>
              <w:jc w:val="center"/>
              <w:rPr>
                <w:rFonts w:ascii="宋体" w:hAnsi="宋体" w:eastAsia="宋体"/>
                <w:szCs w:val="21"/>
                <w:highlight w:val="none"/>
              </w:rPr>
            </w:pPr>
            <w:r>
              <w:rPr>
                <w:rFonts w:ascii="宋体" w:hAnsi="宋体" w:eastAsia="宋体"/>
                <w:szCs w:val="21"/>
                <w:highlight w:val="none"/>
              </w:rPr>
              <w:t>用于施工部位</w:t>
            </w:r>
          </w:p>
        </w:tc>
        <w:tc>
          <w:tcPr>
            <w:tcW w:w="521" w:type="dxa"/>
            <w:noWrap w:val="0"/>
            <w:vAlign w:val="center"/>
          </w:tcPr>
          <w:p w14:paraId="2A926212">
            <w:pPr>
              <w:wordWrap w:val="0"/>
              <w:topLinePunct/>
              <w:spacing w:line="360" w:lineRule="auto"/>
              <w:jc w:val="center"/>
              <w:rPr>
                <w:rFonts w:ascii="宋体" w:hAnsi="宋体" w:eastAsia="宋体"/>
                <w:szCs w:val="21"/>
                <w:highlight w:val="none"/>
              </w:rPr>
            </w:pPr>
            <w:r>
              <w:rPr>
                <w:rFonts w:ascii="宋体" w:hAnsi="宋体" w:eastAsia="宋体"/>
                <w:szCs w:val="21"/>
                <w:highlight w:val="none"/>
              </w:rPr>
              <w:t>备注</w:t>
            </w:r>
          </w:p>
        </w:tc>
      </w:tr>
      <w:tr w14:paraId="5656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center"/>
          </w:tcPr>
          <w:p w14:paraId="464D43E7">
            <w:pPr>
              <w:wordWrap w:val="0"/>
              <w:topLinePunct/>
              <w:spacing w:line="360" w:lineRule="auto"/>
              <w:rPr>
                <w:rFonts w:ascii="宋体" w:hAnsi="宋体" w:eastAsia="宋体"/>
                <w:szCs w:val="24"/>
                <w:highlight w:val="none"/>
              </w:rPr>
            </w:pPr>
          </w:p>
        </w:tc>
        <w:tc>
          <w:tcPr>
            <w:tcW w:w="1087" w:type="dxa"/>
            <w:noWrap w:val="0"/>
            <w:vAlign w:val="center"/>
          </w:tcPr>
          <w:p w14:paraId="1B4262AE">
            <w:pPr>
              <w:wordWrap w:val="0"/>
              <w:topLinePunct/>
              <w:spacing w:line="360" w:lineRule="auto"/>
              <w:rPr>
                <w:rFonts w:ascii="宋体" w:hAnsi="宋体" w:eastAsia="宋体"/>
                <w:szCs w:val="24"/>
                <w:highlight w:val="none"/>
              </w:rPr>
            </w:pPr>
          </w:p>
        </w:tc>
        <w:tc>
          <w:tcPr>
            <w:tcW w:w="761" w:type="dxa"/>
            <w:noWrap w:val="0"/>
            <w:vAlign w:val="center"/>
          </w:tcPr>
          <w:p w14:paraId="1EF06CC2">
            <w:pPr>
              <w:wordWrap w:val="0"/>
              <w:topLinePunct/>
              <w:spacing w:line="360" w:lineRule="auto"/>
              <w:rPr>
                <w:rFonts w:ascii="宋体" w:hAnsi="宋体" w:eastAsia="宋体"/>
                <w:szCs w:val="24"/>
                <w:highlight w:val="none"/>
              </w:rPr>
            </w:pPr>
          </w:p>
        </w:tc>
        <w:tc>
          <w:tcPr>
            <w:tcW w:w="991" w:type="dxa"/>
            <w:noWrap w:val="0"/>
            <w:vAlign w:val="center"/>
          </w:tcPr>
          <w:p w14:paraId="345A312D">
            <w:pPr>
              <w:wordWrap w:val="0"/>
              <w:topLinePunct/>
              <w:spacing w:line="360" w:lineRule="auto"/>
              <w:rPr>
                <w:rFonts w:ascii="宋体" w:hAnsi="宋体" w:eastAsia="宋体"/>
                <w:szCs w:val="24"/>
                <w:highlight w:val="none"/>
              </w:rPr>
            </w:pPr>
          </w:p>
        </w:tc>
        <w:tc>
          <w:tcPr>
            <w:tcW w:w="672" w:type="dxa"/>
            <w:noWrap w:val="0"/>
            <w:vAlign w:val="center"/>
          </w:tcPr>
          <w:p w14:paraId="78B687A0">
            <w:pPr>
              <w:wordWrap w:val="0"/>
              <w:topLinePunct/>
              <w:spacing w:line="360" w:lineRule="auto"/>
              <w:rPr>
                <w:rFonts w:ascii="宋体" w:hAnsi="宋体" w:eastAsia="宋体"/>
                <w:szCs w:val="24"/>
                <w:highlight w:val="none"/>
              </w:rPr>
            </w:pPr>
          </w:p>
        </w:tc>
        <w:tc>
          <w:tcPr>
            <w:tcW w:w="739" w:type="dxa"/>
            <w:noWrap w:val="0"/>
            <w:vAlign w:val="center"/>
          </w:tcPr>
          <w:p w14:paraId="03D5206B">
            <w:pPr>
              <w:wordWrap w:val="0"/>
              <w:topLinePunct/>
              <w:spacing w:line="360" w:lineRule="auto"/>
              <w:rPr>
                <w:rFonts w:ascii="宋体" w:hAnsi="宋体" w:eastAsia="宋体"/>
                <w:szCs w:val="24"/>
                <w:highlight w:val="none"/>
              </w:rPr>
            </w:pPr>
          </w:p>
        </w:tc>
        <w:tc>
          <w:tcPr>
            <w:tcW w:w="1213" w:type="dxa"/>
            <w:noWrap w:val="0"/>
            <w:vAlign w:val="center"/>
          </w:tcPr>
          <w:p w14:paraId="451D77D7">
            <w:pPr>
              <w:wordWrap w:val="0"/>
              <w:topLinePunct/>
              <w:spacing w:line="360" w:lineRule="auto"/>
              <w:rPr>
                <w:rFonts w:ascii="宋体" w:hAnsi="宋体" w:eastAsia="宋体"/>
                <w:szCs w:val="24"/>
                <w:highlight w:val="none"/>
              </w:rPr>
            </w:pPr>
          </w:p>
        </w:tc>
        <w:tc>
          <w:tcPr>
            <w:tcW w:w="875" w:type="dxa"/>
            <w:noWrap w:val="0"/>
            <w:vAlign w:val="center"/>
          </w:tcPr>
          <w:p w14:paraId="390867A6">
            <w:pPr>
              <w:wordWrap w:val="0"/>
              <w:topLinePunct/>
              <w:spacing w:line="360" w:lineRule="auto"/>
              <w:rPr>
                <w:rFonts w:ascii="宋体" w:hAnsi="宋体" w:eastAsia="宋体"/>
                <w:szCs w:val="24"/>
                <w:highlight w:val="none"/>
              </w:rPr>
            </w:pPr>
          </w:p>
        </w:tc>
        <w:tc>
          <w:tcPr>
            <w:tcW w:w="1055" w:type="dxa"/>
            <w:noWrap w:val="0"/>
            <w:vAlign w:val="center"/>
          </w:tcPr>
          <w:p w14:paraId="235FB349">
            <w:pPr>
              <w:wordWrap w:val="0"/>
              <w:topLinePunct/>
              <w:spacing w:line="360" w:lineRule="auto"/>
              <w:rPr>
                <w:rFonts w:ascii="宋体" w:hAnsi="宋体" w:eastAsia="宋体"/>
                <w:szCs w:val="24"/>
                <w:highlight w:val="none"/>
              </w:rPr>
            </w:pPr>
          </w:p>
        </w:tc>
        <w:tc>
          <w:tcPr>
            <w:tcW w:w="521" w:type="dxa"/>
            <w:noWrap w:val="0"/>
            <w:vAlign w:val="center"/>
          </w:tcPr>
          <w:p w14:paraId="5434520F">
            <w:pPr>
              <w:wordWrap w:val="0"/>
              <w:topLinePunct/>
              <w:spacing w:line="360" w:lineRule="auto"/>
              <w:rPr>
                <w:rFonts w:ascii="宋体" w:hAnsi="宋体" w:eastAsia="宋体"/>
                <w:szCs w:val="24"/>
                <w:highlight w:val="none"/>
              </w:rPr>
            </w:pPr>
          </w:p>
        </w:tc>
      </w:tr>
      <w:tr w14:paraId="6BDB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center"/>
          </w:tcPr>
          <w:p w14:paraId="38E852CC">
            <w:pPr>
              <w:wordWrap w:val="0"/>
              <w:topLinePunct/>
              <w:spacing w:line="360" w:lineRule="auto"/>
              <w:rPr>
                <w:rFonts w:ascii="宋体" w:hAnsi="宋体" w:eastAsia="宋体"/>
                <w:szCs w:val="24"/>
                <w:highlight w:val="none"/>
              </w:rPr>
            </w:pPr>
          </w:p>
        </w:tc>
        <w:tc>
          <w:tcPr>
            <w:tcW w:w="1087" w:type="dxa"/>
            <w:noWrap w:val="0"/>
            <w:vAlign w:val="center"/>
          </w:tcPr>
          <w:p w14:paraId="238605D4">
            <w:pPr>
              <w:wordWrap w:val="0"/>
              <w:topLinePunct/>
              <w:spacing w:line="360" w:lineRule="auto"/>
              <w:rPr>
                <w:rFonts w:ascii="宋体" w:hAnsi="宋体" w:eastAsia="宋体"/>
                <w:szCs w:val="24"/>
                <w:highlight w:val="none"/>
              </w:rPr>
            </w:pPr>
          </w:p>
        </w:tc>
        <w:tc>
          <w:tcPr>
            <w:tcW w:w="761" w:type="dxa"/>
            <w:noWrap w:val="0"/>
            <w:vAlign w:val="center"/>
          </w:tcPr>
          <w:p w14:paraId="478687A3">
            <w:pPr>
              <w:wordWrap w:val="0"/>
              <w:topLinePunct/>
              <w:spacing w:line="360" w:lineRule="auto"/>
              <w:rPr>
                <w:rFonts w:ascii="宋体" w:hAnsi="宋体" w:eastAsia="宋体"/>
                <w:szCs w:val="24"/>
                <w:highlight w:val="none"/>
              </w:rPr>
            </w:pPr>
          </w:p>
        </w:tc>
        <w:tc>
          <w:tcPr>
            <w:tcW w:w="991" w:type="dxa"/>
            <w:noWrap w:val="0"/>
            <w:vAlign w:val="center"/>
          </w:tcPr>
          <w:p w14:paraId="7D3C9F56">
            <w:pPr>
              <w:wordWrap w:val="0"/>
              <w:topLinePunct/>
              <w:spacing w:line="360" w:lineRule="auto"/>
              <w:rPr>
                <w:rFonts w:ascii="宋体" w:hAnsi="宋体" w:eastAsia="宋体"/>
                <w:szCs w:val="24"/>
                <w:highlight w:val="none"/>
              </w:rPr>
            </w:pPr>
          </w:p>
        </w:tc>
        <w:tc>
          <w:tcPr>
            <w:tcW w:w="672" w:type="dxa"/>
            <w:noWrap w:val="0"/>
            <w:vAlign w:val="center"/>
          </w:tcPr>
          <w:p w14:paraId="025D770C">
            <w:pPr>
              <w:wordWrap w:val="0"/>
              <w:topLinePunct/>
              <w:spacing w:line="360" w:lineRule="auto"/>
              <w:rPr>
                <w:rFonts w:ascii="宋体" w:hAnsi="宋体" w:eastAsia="宋体"/>
                <w:szCs w:val="24"/>
                <w:highlight w:val="none"/>
              </w:rPr>
            </w:pPr>
          </w:p>
        </w:tc>
        <w:tc>
          <w:tcPr>
            <w:tcW w:w="739" w:type="dxa"/>
            <w:noWrap w:val="0"/>
            <w:vAlign w:val="center"/>
          </w:tcPr>
          <w:p w14:paraId="6A64ADBF">
            <w:pPr>
              <w:wordWrap w:val="0"/>
              <w:topLinePunct/>
              <w:spacing w:line="360" w:lineRule="auto"/>
              <w:rPr>
                <w:rFonts w:ascii="宋体" w:hAnsi="宋体" w:eastAsia="宋体"/>
                <w:szCs w:val="24"/>
                <w:highlight w:val="none"/>
              </w:rPr>
            </w:pPr>
          </w:p>
        </w:tc>
        <w:tc>
          <w:tcPr>
            <w:tcW w:w="1213" w:type="dxa"/>
            <w:noWrap w:val="0"/>
            <w:vAlign w:val="center"/>
          </w:tcPr>
          <w:p w14:paraId="3397E31B">
            <w:pPr>
              <w:wordWrap w:val="0"/>
              <w:topLinePunct/>
              <w:spacing w:line="360" w:lineRule="auto"/>
              <w:rPr>
                <w:rFonts w:ascii="宋体" w:hAnsi="宋体" w:eastAsia="宋体"/>
                <w:szCs w:val="24"/>
                <w:highlight w:val="none"/>
              </w:rPr>
            </w:pPr>
          </w:p>
        </w:tc>
        <w:tc>
          <w:tcPr>
            <w:tcW w:w="875" w:type="dxa"/>
            <w:noWrap w:val="0"/>
            <w:vAlign w:val="center"/>
          </w:tcPr>
          <w:p w14:paraId="1E41CE60">
            <w:pPr>
              <w:wordWrap w:val="0"/>
              <w:topLinePunct/>
              <w:spacing w:line="360" w:lineRule="auto"/>
              <w:rPr>
                <w:rFonts w:ascii="宋体" w:hAnsi="宋体" w:eastAsia="宋体"/>
                <w:szCs w:val="24"/>
                <w:highlight w:val="none"/>
              </w:rPr>
            </w:pPr>
          </w:p>
        </w:tc>
        <w:tc>
          <w:tcPr>
            <w:tcW w:w="1055" w:type="dxa"/>
            <w:noWrap w:val="0"/>
            <w:vAlign w:val="center"/>
          </w:tcPr>
          <w:p w14:paraId="742E3933">
            <w:pPr>
              <w:wordWrap w:val="0"/>
              <w:topLinePunct/>
              <w:spacing w:line="360" w:lineRule="auto"/>
              <w:rPr>
                <w:rFonts w:ascii="宋体" w:hAnsi="宋体" w:eastAsia="宋体"/>
                <w:szCs w:val="24"/>
                <w:highlight w:val="none"/>
              </w:rPr>
            </w:pPr>
          </w:p>
        </w:tc>
        <w:tc>
          <w:tcPr>
            <w:tcW w:w="521" w:type="dxa"/>
            <w:noWrap w:val="0"/>
            <w:vAlign w:val="center"/>
          </w:tcPr>
          <w:p w14:paraId="75FA7FB2">
            <w:pPr>
              <w:wordWrap w:val="0"/>
              <w:topLinePunct/>
              <w:spacing w:line="360" w:lineRule="auto"/>
              <w:rPr>
                <w:rFonts w:ascii="宋体" w:hAnsi="宋体" w:eastAsia="宋体"/>
                <w:szCs w:val="24"/>
                <w:highlight w:val="none"/>
              </w:rPr>
            </w:pPr>
          </w:p>
        </w:tc>
      </w:tr>
      <w:tr w14:paraId="00DB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D202B3B">
            <w:pPr>
              <w:wordWrap w:val="0"/>
              <w:topLinePunct/>
              <w:spacing w:line="360" w:lineRule="auto"/>
              <w:rPr>
                <w:rFonts w:ascii="宋体" w:hAnsi="宋体" w:eastAsia="宋体"/>
                <w:szCs w:val="24"/>
                <w:highlight w:val="none"/>
              </w:rPr>
            </w:pPr>
          </w:p>
        </w:tc>
        <w:tc>
          <w:tcPr>
            <w:tcW w:w="1087" w:type="dxa"/>
            <w:noWrap w:val="0"/>
            <w:vAlign w:val="top"/>
          </w:tcPr>
          <w:p w14:paraId="1426A01B">
            <w:pPr>
              <w:wordWrap w:val="0"/>
              <w:topLinePunct/>
              <w:spacing w:line="360" w:lineRule="auto"/>
              <w:rPr>
                <w:rFonts w:ascii="宋体" w:hAnsi="宋体" w:eastAsia="宋体"/>
                <w:szCs w:val="24"/>
                <w:highlight w:val="none"/>
              </w:rPr>
            </w:pPr>
          </w:p>
        </w:tc>
        <w:tc>
          <w:tcPr>
            <w:tcW w:w="761" w:type="dxa"/>
            <w:noWrap w:val="0"/>
            <w:vAlign w:val="top"/>
          </w:tcPr>
          <w:p w14:paraId="2C393A9E">
            <w:pPr>
              <w:wordWrap w:val="0"/>
              <w:topLinePunct/>
              <w:spacing w:line="360" w:lineRule="auto"/>
              <w:rPr>
                <w:rFonts w:ascii="宋体" w:hAnsi="宋体" w:eastAsia="宋体"/>
                <w:szCs w:val="24"/>
                <w:highlight w:val="none"/>
              </w:rPr>
            </w:pPr>
          </w:p>
        </w:tc>
        <w:tc>
          <w:tcPr>
            <w:tcW w:w="991" w:type="dxa"/>
            <w:noWrap w:val="0"/>
            <w:vAlign w:val="top"/>
          </w:tcPr>
          <w:p w14:paraId="16CDB177">
            <w:pPr>
              <w:wordWrap w:val="0"/>
              <w:topLinePunct/>
              <w:spacing w:line="360" w:lineRule="auto"/>
              <w:rPr>
                <w:rFonts w:ascii="宋体" w:hAnsi="宋体" w:eastAsia="宋体"/>
                <w:szCs w:val="24"/>
                <w:highlight w:val="none"/>
              </w:rPr>
            </w:pPr>
          </w:p>
        </w:tc>
        <w:tc>
          <w:tcPr>
            <w:tcW w:w="672" w:type="dxa"/>
            <w:noWrap w:val="0"/>
            <w:vAlign w:val="top"/>
          </w:tcPr>
          <w:p w14:paraId="6389E200">
            <w:pPr>
              <w:wordWrap w:val="0"/>
              <w:topLinePunct/>
              <w:spacing w:line="360" w:lineRule="auto"/>
              <w:rPr>
                <w:rFonts w:ascii="宋体" w:hAnsi="宋体" w:eastAsia="宋体"/>
                <w:szCs w:val="24"/>
                <w:highlight w:val="none"/>
              </w:rPr>
            </w:pPr>
          </w:p>
        </w:tc>
        <w:tc>
          <w:tcPr>
            <w:tcW w:w="739" w:type="dxa"/>
            <w:noWrap w:val="0"/>
            <w:vAlign w:val="top"/>
          </w:tcPr>
          <w:p w14:paraId="7C02AA45">
            <w:pPr>
              <w:wordWrap w:val="0"/>
              <w:topLinePunct/>
              <w:spacing w:line="360" w:lineRule="auto"/>
              <w:rPr>
                <w:rFonts w:ascii="宋体" w:hAnsi="宋体" w:eastAsia="宋体"/>
                <w:szCs w:val="24"/>
                <w:highlight w:val="none"/>
              </w:rPr>
            </w:pPr>
          </w:p>
        </w:tc>
        <w:tc>
          <w:tcPr>
            <w:tcW w:w="1213" w:type="dxa"/>
            <w:noWrap w:val="0"/>
            <w:vAlign w:val="top"/>
          </w:tcPr>
          <w:p w14:paraId="58E3F5B6">
            <w:pPr>
              <w:wordWrap w:val="0"/>
              <w:topLinePunct/>
              <w:spacing w:line="360" w:lineRule="auto"/>
              <w:rPr>
                <w:rFonts w:ascii="宋体" w:hAnsi="宋体" w:eastAsia="宋体"/>
                <w:szCs w:val="24"/>
                <w:highlight w:val="none"/>
              </w:rPr>
            </w:pPr>
          </w:p>
        </w:tc>
        <w:tc>
          <w:tcPr>
            <w:tcW w:w="875" w:type="dxa"/>
            <w:noWrap w:val="0"/>
            <w:vAlign w:val="top"/>
          </w:tcPr>
          <w:p w14:paraId="19E9A804">
            <w:pPr>
              <w:wordWrap w:val="0"/>
              <w:topLinePunct/>
              <w:spacing w:line="360" w:lineRule="auto"/>
              <w:rPr>
                <w:rFonts w:ascii="宋体" w:hAnsi="宋体" w:eastAsia="宋体"/>
                <w:szCs w:val="24"/>
                <w:highlight w:val="none"/>
              </w:rPr>
            </w:pPr>
          </w:p>
        </w:tc>
        <w:tc>
          <w:tcPr>
            <w:tcW w:w="1055" w:type="dxa"/>
            <w:noWrap w:val="0"/>
            <w:vAlign w:val="top"/>
          </w:tcPr>
          <w:p w14:paraId="02BAA103">
            <w:pPr>
              <w:wordWrap w:val="0"/>
              <w:topLinePunct/>
              <w:spacing w:line="360" w:lineRule="auto"/>
              <w:rPr>
                <w:rFonts w:ascii="宋体" w:hAnsi="宋体" w:eastAsia="宋体"/>
                <w:szCs w:val="24"/>
                <w:highlight w:val="none"/>
              </w:rPr>
            </w:pPr>
          </w:p>
        </w:tc>
        <w:tc>
          <w:tcPr>
            <w:tcW w:w="521" w:type="dxa"/>
            <w:noWrap w:val="0"/>
            <w:vAlign w:val="top"/>
          </w:tcPr>
          <w:p w14:paraId="14BDD973">
            <w:pPr>
              <w:wordWrap w:val="0"/>
              <w:topLinePunct/>
              <w:spacing w:line="360" w:lineRule="auto"/>
              <w:rPr>
                <w:rFonts w:ascii="宋体" w:hAnsi="宋体" w:eastAsia="宋体"/>
                <w:szCs w:val="24"/>
                <w:highlight w:val="none"/>
              </w:rPr>
            </w:pPr>
          </w:p>
        </w:tc>
      </w:tr>
      <w:tr w14:paraId="792B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52B4E32">
            <w:pPr>
              <w:wordWrap w:val="0"/>
              <w:topLinePunct/>
              <w:spacing w:line="360" w:lineRule="auto"/>
              <w:rPr>
                <w:rFonts w:ascii="宋体" w:hAnsi="宋体" w:eastAsia="宋体"/>
                <w:szCs w:val="24"/>
                <w:highlight w:val="none"/>
              </w:rPr>
            </w:pPr>
          </w:p>
        </w:tc>
        <w:tc>
          <w:tcPr>
            <w:tcW w:w="1087" w:type="dxa"/>
            <w:noWrap w:val="0"/>
            <w:vAlign w:val="top"/>
          </w:tcPr>
          <w:p w14:paraId="4E3971FB">
            <w:pPr>
              <w:wordWrap w:val="0"/>
              <w:topLinePunct/>
              <w:spacing w:line="360" w:lineRule="auto"/>
              <w:rPr>
                <w:rFonts w:ascii="宋体" w:hAnsi="宋体" w:eastAsia="宋体"/>
                <w:szCs w:val="24"/>
                <w:highlight w:val="none"/>
              </w:rPr>
            </w:pPr>
          </w:p>
        </w:tc>
        <w:tc>
          <w:tcPr>
            <w:tcW w:w="761" w:type="dxa"/>
            <w:noWrap w:val="0"/>
            <w:vAlign w:val="top"/>
          </w:tcPr>
          <w:p w14:paraId="4AE5BD2F">
            <w:pPr>
              <w:wordWrap w:val="0"/>
              <w:topLinePunct/>
              <w:spacing w:line="360" w:lineRule="auto"/>
              <w:rPr>
                <w:rFonts w:ascii="宋体" w:hAnsi="宋体" w:eastAsia="宋体"/>
                <w:szCs w:val="24"/>
                <w:highlight w:val="none"/>
              </w:rPr>
            </w:pPr>
          </w:p>
        </w:tc>
        <w:tc>
          <w:tcPr>
            <w:tcW w:w="991" w:type="dxa"/>
            <w:noWrap w:val="0"/>
            <w:vAlign w:val="top"/>
          </w:tcPr>
          <w:p w14:paraId="5D223A92">
            <w:pPr>
              <w:wordWrap w:val="0"/>
              <w:topLinePunct/>
              <w:spacing w:line="360" w:lineRule="auto"/>
              <w:rPr>
                <w:rFonts w:ascii="宋体" w:hAnsi="宋体" w:eastAsia="宋体"/>
                <w:szCs w:val="24"/>
                <w:highlight w:val="none"/>
              </w:rPr>
            </w:pPr>
          </w:p>
        </w:tc>
        <w:tc>
          <w:tcPr>
            <w:tcW w:w="672" w:type="dxa"/>
            <w:noWrap w:val="0"/>
            <w:vAlign w:val="top"/>
          </w:tcPr>
          <w:p w14:paraId="7A6ACBA3">
            <w:pPr>
              <w:wordWrap w:val="0"/>
              <w:topLinePunct/>
              <w:spacing w:line="360" w:lineRule="auto"/>
              <w:rPr>
                <w:rFonts w:ascii="宋体" w:hAnsi="宋体" w:eastAsia="宋体"/>
                <w:szCs w:val="24"/>
                <w:highlight w:val="none"/>
              </w:rPr>
            </w:pPr>
          </w:p>
        </w:tc>
        <w:tc>
          <w:tcPr>
            <w:tcW w:w="739" w:type="dxa"/>
            <w:noWrap w:val="0"/>
            <w:vAlign w:val="top"/>
          </w:tcPr>
          <w:p w14:paraId="0F09DED8">
            <w:pPr>
              <w:wordWrap w:val="0"/>
              <w:topLinePunct/>
              <w:spacing w:line="360" w:lineRule="auto"/>
              <w:rPr>
                <w:rFonts w:ascii="宋体" w:hAnsi="宋体" w:eastAsia="宋体"/>
                <w:szCs w:val="24"/>
                <w:highlight w:val="none"/>
              </w:rPr>
            </w:pPr>
          </w:p>
        </w:tc>
        <w:tc>
          <w:tcPr>
            <w:tcW w:w="1213" w:type="dxa"/>
            <w:noWrap w:val="0"/>
            <w:vAlign w:val="top"/>
          </w:tcPr>
          <w:p w14:paraId="101C977C">
            <w:pPr>
              <w:wordWrap w:val="0"/>
              <w:topLinePunct/>
              <w:spacing w:line="360" w:lineRule="auto"/>
              <w:rPr>
                <w:rFonts w:ascii="宋体" w:hAnsi="宋体" w:eastAsia="宋体"/>
                <w:szCs w:val="24"/>
                <w:highlight w:val="none"/>
              </w:rPr>
            </w:pPr>
          </w:p>
        </w:tc>
        <w:tc>
          <w:tcPr>
            <w:tcW w:w="875" w:type="dxa"/>
            <w:noWrap w:val="0"/>
            <w:vAlign w:val="top"/>
          </w:tcPr>
          <w:p w14:paraId="4F289906">
            <w:pPr>
              <w:wordWrap w:val="0"/>
              <w:topLinePunct/>
              <w:spacing w:line="360" w:lineRule="auto"/>
              <w:rPr>
                <w:rFonts w:ascii="宋体" w:hAnsi="宋体" w:eastAsia="宋体"/>
                <w:szCs w:val="24"/>
                <w:highlight w:val="none"/>
              </w:rPr>
            </w:pPr>
          </w:p>
        </w:tc>
        <w:tc>
          <w:tcPr>
            <w:tcW w:w="1055" w:type="dxa"/>
            <w:noWrap w:val="0"/>
            <w:vAlign w:val="top"/>
          </w:tcPr>
          <w:p w14:paraId="093CEC65">
            <w:pPr>
              <w:wordWrap w:val="0"/>
              <w:topLinePunct/>
              <w:spacing w:line="360" w:lineRule="auto"/>
              <w:rPr>
                <w:rFonts w:ascii="宋体" w:hAnsi="宋体" w:eastAsia="宋体"/>
                <w:szCs w:val="24"/>
                <w:highlight w:val="none"/>
              </w:rPr>
            </w:pPr>
          </w:p>
        </w:tc>
        <w:tc>
          <w:tcPr>
            <w:tcW w:w="521" w:type="dxa"/>
            <w:noWrap w:val="0"/>
            <w:vAlign w:val="top"/>
          </w:tcPr>
          <w:p w14:paraId="1C8F2182">
            <w:pPr>
              <w:wordWrap w:val="0"/>
              <w:topLinePunct/>
              <w:spacing w:line="360" w:lineRule="auto"/>
              <w:rPr>
                <w:rFonts w:ascii="宋体" w:hAnsi="宋体" w:eastAsia="宋体"/>
                <w:szCs w:val="24"/>
                <w:highlight w:val="none"/>
              </w:rPr>
            </w:pPr>
          </w:p>
        </w:tc>
      </w:tr>
      <w:tr w14:paraId="03DD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147C2F13">
            <w:pPr>
              <w:wordWrap w:val="0"/>
              <w:topLinePunct/>
              <w:spacing w:line="360" w:lineRule="auto"/>
              <w:rPr>
                <w:rFonts w:ascii="宋体" w:hAnsi="宋体" w:eastAsia="宋体"/>
                <w:szCs w:val="24"/>
                <w:highlight w:val="none"/>
              </w:rPr>
            </w:pPr>
          </w:p>
        </w:tc>
        <w:tc>
          <w:tcPr>
            <w:tcW w:w="1087" w:type="dxa"/>
            <w:noWrap w:val="0"/>
            <w:vAlign w:val="top"/>
          </w:tcPr>
          <w:p w14:paraId="424EE527">
            <w:pPr>
              <w:wordWrap w:val="0"/>
              <w:topLinePunct/>
              <w:spacing w:line="360" w:lineRule="auto"/>
              <w:rPr>
                <w:rFonts w:ascii="宋体" w:hAnsi="宋体" w:eastAsia="宋体"/>
                <w:szCs w:val="24"/>
                <w:highlight w:val="none"/>
              </w:rPr>
            </w:pPr>
          </w:p>
        </w:tc>
        <w:tc>
          <w:tcPr>
            <w:tcW w:w="761" w:type="dxa"/>
            <w:noWrap w:val="0"/>
            <w:vAlign w:val="top"/>
          </w:tcPr>
          <w:p w14:paraId="296068FA">
            <w:pPr>
              <w:wordWrap w:val="0"/>
              <w:topLinePunct/>
              <w:spacing w:line="360" w:lineRule="auto"/>
              <w:rPr>
                <w:rFonts w:ascii="宋体" w:hAnsi="宋体" w:eastAsia="宋体"/>
                <w:szCs w:val="24"/>
                <w:highlight w:val="none"/>
              </w:rPr>
            </w:pPr>
          </w:p>
        </w:tc>
        <w:tc>
          <w:tcPr>
            <w:tcW w:w="991" w:type="dxa"/>
            <w:noWrap w:val="0"/>
            <w:vAlign w:val="top"/>
          </w:tcPr>
          <w:p w14:paraId="3A8F55C5">
            <w:pPr>
              <w:wordWrap w:val="0"/>
              <w:topLinePunct/>
              <w:spacing w:line="360" w:lineRule="auto"/>
              <w:rPr>
                <w:rFonts w:ascii="宋体" w:hAnsi="宋体" w:eastAsia="宋体"/>
                <w:szCs w:val="24"/>
                <w:highlight w:val="none"/>
              </w:rPr>
            </w:pPr>
          </w:p>
        </w:tc>
        <w:tc>
          <w:tcPr>
            <w:tcW w:w="672" w:type="dxa"/>
            <w:noWrap w:val="0"/>
            <w:vAlign w:val="top"/>
          </w:tcPr>
          <w:p w14:paraId="7614F2C3">
            <w:pPr>
              <w:wordWrap w:val="0"/>
              <w:topLinePunct/>
              <w:spacing w:line="360" w:lineRule="auto"/>
              <w:rPr>
                <w:rFonts w:ascii="宋体" w:hAnsi="宋体" w:eastAsia="宋体"/>
                <w:szCs w:val="24"/>
                <w:highlight w:val="none"/>
              </w:rPr>
            </w:pPr>
          </w:p>
        </w:tc>
        <w:tc>
          <w:tcPr>
            <w:tcW w:w="739" w:type="dxa"/>
            <w:noWrap w:val="0"/>
            <w:vAlign w:val="top"/>
          </w:tcPr>
          <w:p w14:paraId="158FD037">
            <w:pPr>
              <w:wordWrap w:val="0"/>
              <w:topLinePunct/>
              <w:spacing w:line="360" w:lineRule="auto"/>
              <w:rPr>
                <w:rFonts w:ascii="宋体" w:hAnsi="宋体" w:eastAsia="宋体"/>
                <w:szCs w:val="24"/>
                <w:highlight w:val="none"/>
              </w:rPr>
            </w:pPr>
          </w:p>
        </w:tc>
        <w:tc>
          <w:tcPr>
            <w:tcW w:w="1213" w:type="dxa"/>
            <w:noWrap w:val="0"/>
            <w:vAlign w:val="top"/>
          </w:tcPr>
          <w:p w14:paraId="6429696E">
            <w:pPr>
              <w:wordWrap w:val="0"/>
              <w:topLinePunct/>
              <w:spacing w:line="360" w:lineRule="auto"/>
              <w:rPr>
                <w:rFonts w:ascii="宋体" w:hAnsi="宋体" w:eastAsia="宋体"/>
                <w:szCs w:val="24"/>
                <w:highlight w:val="none"/>
              </w:rPr>
            </w:pPr>
          </w:p>
        </w:tc>
        <w:tc>
          <w:tcPr>
            <w:tcW w:w="875" w:type="dxa"/>
            <w:noWrap w:val="0"/>
            <w:vAlign w:val="top"/>
          </w:tcPr>
          <w:p w14:paraId="7E836158">
            <w:pPr>
              <w:wordWrap w:val="0"/>
              <w:topLinePunct/>
              <w:spacing w:line="360" w:lineRule="auto"/>
              <w:rPr>
                <w:rFonts w:ascii="宋体" w:hAnsi="宋体" w:eastAsia="宋体"/>
                <w:szCs w:val="24"/>
                <w:highlight w:val="none"/>
              </w:rPr>
            </w:pPr>
          </w:p>
        </w:tc>
        <w:tc>
          <w:tcPr>
            <w:tcW w:w="1055" w:type="dxa"/>
            <w:noWrap w:val="0"/>
            <w:vAlign w:val="top"/>
          </w:tcPr>
          <w:p w14:paraId="3C507B11">
            <w:pPr>
              <w:wordWrap w:val="0"/>
              <w:topLinePunct/>
              <w:spacing w:line="360" w:lineRule="auto"/>
              <w:rPr>
                <w:rFonts w:ascii="宋体" w:hAnsi="宋体" w:eastAsia="宋体"/>
                <w:szCs w:val="24"/>
                <w:highlight w:val="none"/>
              </w:rPr>
            </w:pPr>
          </w:p>
        </w:tc>
        <w:tc>
          <w:tcPr>
            <w:tcW w:w="521" w:type="dxa"/>
            <w:noWrap w:val="0"/>
            <w:vAlign w:val="top"/>
          </w:tcPr>
          <w:p w14:paraId="30F08B0C">
            <w:pPr>
              <w:wordWrap w:val="0"/>
              <w:topLinePunct/>
              <w:spacing w:line="360" w:lineRule="auto"/>
              <w:rPr>
                <w:rFonts w:ascii="宋体" w:hAnsi="宋体" w:eastAsia="宋体"/>
                <w:szCs w:val="24"/>
                <w:highlight w:val="none"/>
              </w:rPr>
            </w:pPr>
          </w:p>
        </w:tc>
      </w:tr>
      <w:tr w14:paraId="6691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6DFEDDAB">
            <w:pPr>
              <w:wordWrap w:val="0"/>
              <w:topLinePunct/>
              <w:spacing w:line="360" w:lineRule="auto"/>
              <w:rPr>
                <w:rFonts w:ascii="宋体" w:hAnsi="宋体" w:eastAsia="宋体"/>
                <w:szCs w:val="24"/>
                <w:highlight w:val="none"/>
              </w:rPr>
            </w:pPr>
          </w:p>
        </w:tc>
        <w:tc>
          <w:tcPr>
            <w:tcW w:w="1087" w:type="dxa"/>
            <w:noWrap w:val="0"/>
            <w:vAlign w:val="top"/>
          </w:tcPr>
          <w:p w14:paraId="2C24883D">
            <w:pPr>
              <w:wordWrap w:val="0"/>
              <w:topLinePunct/>
              <w:spacing w:line="360" w:lineRule="auto"/>
              <w:rPr>
                <w:rFonts w:ascii="宋体" w:hAnsi="宋体" w:eastAsia="宋体"/>
                <w:szCs w:val="24"/>
                <w:highlight w:val="none"/>
              </w:rPr>
            </w:pPr>
          </w:p>
        </w:tc>
        <w:tc>
          <w:tcPr>
            <w:tcW w:w="761" w:type="dxa"/>
            <w:noWrap w:val="0"/>
            <w:vAlign w:val="top"/>
          </w:tcPr>
          <w:p w14:paraId="1E08ED86">
            <w:pPr>
              <w:wordWrap w:val="0"/>
              <w:topLinePunct/>
              <w:spacing w:line="360" w:lineRule="auto"/>
              <w:rPr>
                <w:rFonts w:ascii="宋体" w:hAnsi="宋体" w:eastAsia="宋体"/>
                <w:szCs w:val="24"/>
                <w:highlight w:val="none"/>
              </w:rPr>
            </w:pPr>
          </w:p>
        </w:tc>
        <w:tc>
          <w:tcPr>
            <w:tcW w:w="991" w:type="dxa"/>
            <w:noWrap w:val="0"/>
            <w:vAlign w:val="top"/>
          </w:tcPr>
          <w:p w14:paraId="0B1E4E11">
            <w:pPr>
              <w:wordWrap w:val="0"/>
              <w:topLinePunct/>
              <w:spacing w:line="360" w:lineRule="auto"/>
              <w:rPr>
                <w:rFonts w:ascii="宋体" w:hAnsi="宋体" w:eastAsia="宋体"/>
                <w:szCs w:val="24"/>
                <w:highlight w:val="none"/>
              </w:rPr>
            </w:pPr>
          </w:p>
        </w:tc>
        <w:tc>
          <w:tcPr>
            <w:tcW w:w="672" w:type="dxa"/>
            <w:noWrap w:val="0"/>
            <w:vAlign w:val="top"/>
          </w:tcPr>
          <w:p w14:paraId="254F9D4E">
            <w:pPr>
              <w:wordWrap w:val="0"/>
              <w:topLinePunct/>
              <w:spacing w:line="360" w:lineRule="auto"/>
              <w:rPr>
                <w:rFonts w:ascii="宋体" w:hAnsi="宋体" w:eastAsia="宋体"/>
                <w:szCs w:val="24"/>
                <w:highlight w:val="none"/>
              </w:rPr>
            </w:pPr>
          </w:p>
        </w:tc>
        <w:tc>
          <w:tcPr>
            <w:tcW w:w="739" w:type="dxa"/>
            <w:noWrap w:val="0"/>
            <w:vAlign w:val="top"/>
          </w:tcPr>
          <w:p w14:paraId="6A96B011">
            <w:pPr>
              <w:wordWrap w:val="0"/>
              <w:topLinePunct/>
              <w:spacing w:line="360" w:lineRule="auto"/>
              <w:rPr>
                <w:rFonts w:ascii="宋体" w:hAnsi="宋体" w:eastAsia="宋体"/>
                <w:szCs w:val="24"/>
                <w:highlight w:val="none"/>
              </w:rPr>
            </w:pPr>
          </w:p>
        </w:tc>
        <w:tc>
          <w:tcPr>
            <w:tcW w:w="1213" w:type="dxa"/>
            <w:noWrap w:val="0"/>
            <w:vAlign w:val="top"/>
          </w:tcPr>
          <w:p w14:paraId="4C357F09">
            <w:pPr>
              <w:wordWrap w:val="0"/>
              <w:topLinePunct/>
              <w:spacing w:line="360" w:lineRule="auto"/>
              <w:rPr>
                <w:rFonts w:ascii="宋体" w:hAnsi="宋体" w:eastAsia="宋体"/>
                <w:szCs w:val="24"/>
                <w:highlight w:val="none"/>
              </w:rPr>
            </w:pPr>
          </w:p>
        </w:tc>
        <w:tc>
          <w:tcPr>
            <w:tcW w:w="875" w:type="dxa"/>
            <w:noWrap w:val="0"/>
            <w:vAlign w:val="top"/>
          </w:tcPr>
          <w:p w14:paraId="28BD49ED">
            <w:pPr>
              <w:wordWrap w:val="0"/>
              <w:topLinePunct/>
              <w:spacing w:line="360" w:lineRule="auto"/>
              <w:rPr>
                <w:rFonts w:ascii="宋体" w:hAnsi="宋体" w:eastAsia="宋体"/>
                <w:szCs w:val="24"/>
                <w:highlight w:val="none"/>
              </w:rPr>
            </w:pPr>
          </w:p>
        </w:tc>
        <w:tc>
          <w:tcPr>
            <w:tcW w:w="1055" w:type="dxa"/>
            <w:noWrap w:val="0"/>
            <w:vAlign w:val="top"/>
          </w:tcPr>
          <w:p w14:paraId="5A920427">
            <w:pPr>
              <w:wordWrap w:val="0"/>
              <w:topLinePunct/>
              <w:spacing w:line="360" w:lineRule="auto"/>
              <w:rPr>
                <w:rFonts w:ascii="宋体" w:hAnsi="宋体" w:eastAsia="宋体"/>
                <w:szCs w:val="24"/>
                <w:highlight w:val="none"/>
              </w:rPr>
            </w:pPr>
          </w:p>
        </w:tc>
        <w:tc>
          <w:tcPr>
            <w:tcW w:w="521" w:type="dxa"/>
            <w:noWrap w:val="0"/>
            <w:vAlign w:val="top"/>
          </w:tcPr>
          <w:p w14:paraId="0516BD9D">
            <w:pPr>
              <w:wordWrap w:val="0"/>
              <w:topLinePunct/>
              <w:spacing w:line="360" w:lineRule="auto"/>
              <w:rPr>
                <w:rFonts w:ascii="宋体" w:hAnsi="宋体" w:eastAsia="宋体"/>
                <w:szCs w:val="24"/>
                <w:highlight w:val="none"/>
              </w:rPr>
            </w:pPr>
          </w:p>
        </w:tc>
      </w:tr>
      <w:tr w14:paraId="18F1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EDAF5CD">
            <w:pPr>
              <w:wordWrap w:val="0"/>
              <w:topLinePunct/>
              <w:spacing w:line="360" w:lineRule="auto"/>
              <w:rPr>
                <w:rFonts w:ascii="宋体" w:hAnsi="宋体" w:eastAsia="宋体"/>
                <w:szCs w:val="24"/>
                <w:highlight w:val="none"/>
              </w:rPr>
            </w:pPr>
          </w:p>
        </w:tc>
        <w:tc>
          <w:tcPr>
            <w:tcW w:w="1087" w:type="dxa"/>
            <w:noWrap w:val="0"/>
            <w:vAlign w:val="top"/>
          </w:tcPr>
          <w:p w14:paraId="74F48220">
            <w:pPr>
              <w:wordWrap w:val="0"/>
              <w:topLinePunct/>
              <w:spacing w:line="360" w:lineRule="auto"/>
              <w:rPr>
                <w:rFonts w:ascii="宋体" w:hAnsi="宋体" w:eastAsia="宋体"/>
                <w:szCs w:val="24"/>
                <w:highlight w:val="none"/>
              </w:rPr>
            </w:pPr>
          </w:p>
        </w:tc>
        <w:tc>
          <w:tcPr>
            <w:tcW w:w="761" w:type="dxa"/>
            <w:noWrap w:val="0"/>
            <w:vAlign w:val="top"/>
          </w:tcPr>
          <w:p w14:paraId="146DB247">
            <w:pPr>
              <w:wordWrap w:val="0"/>
              <w:topLinePunct/>
              <w:spacing w:line="360" w:lineRule="auto"/>
              <w:rPr>
                <w:rFonts w:ascii="宋体" w:hAnsi="宋体" w:eastAsia="宋体"/>
                <w:szCs w:val="24"/>
                <w:highlight w:val="none"/>
              </w:rPr>
            </w:pPr>
          </w:p>
        </w:tc>
        <w:tc>
          <w:tcPr>
            <w:tcW w:w="991" w:type="dxa"/>
            <w:noWrap w:val="0"/>
            <w:vAlign w:val="top"/>
          </w:tcPr>
          <w:p w14:paraId="70A82945">
            <w:pPr>
              <w:wordWrap w:val="0"/>
              <w:topLinePunct/>
              <w:spacing w:line="360" w:lineRule="auto"/>
              <w:rPr>
                <w:rFonts w:ascii="宋体" w:hAnsi="宋体" w:eastAsia="宋体"/>
                <w:szCs w:val="24"/>
                <w:highlight w:val="none"/>
              </w:rPr>
            </w:pPr>
          </w:p>
        </w:tc>
        <w:tc>
          <w:tcPr>
            <w:tcW w:w="672" w:type="dxa"/>
            <w:noWrap w:val="0"/>
            <w:vAlign w:val="top"/>
          </w:tcPr>
          <w:p w14:paraId="2A06C4C4">
            <w:pPr>
              <w:wordWrap w:val="0"/>
              <w:topLinePunct/>
              <w:spacing w:line="360" w:lineRule="auto"/>
              <w:rPr>
                <w:rFonts w:ascii="宋体" w:hAnsi="宋体" w:eastAsia="宋体"/>
                <w:szCs w:val="24"/>
                <w:highlight w:val="none"/>
              </w:rPr>
            </w:pPr>
          </w:p>
        </w:tc>
        <w:tc>
          <w:tcPr>
            <w:tcW w:w="739" w:type="dxa"/>
            <w:noWrap w:val="0"/>
            <w:vAlign w:val="top"/>
          </w:tcPr>
          <w:p w14:paraId="3B51BDB9">
            <w:pPr>
              <w:wordWrap w:val="0"/>
              <w:topLinePunct/>
              <w:spacing w:line="360" w:lineRule="auto"/>
              <w:rPr>
                <w:rFonts w:ascii="宋体" w:hAnsi="宋体" w:eastAsia="宋体"/>
                <w:szCs w:val="24"/>
                <w:highlight w:val="none"/>
              </w:rPr>
            </w:pPr>
          </w:p>
        </w:tc>
        <w:tc>
          <w:tcPr>
            <w:tcW w:w="1213" w:type="dxa"/>
            <w:noWrap w:val="0"/>
            <w:vAlign w:val="top"/>
          </w:tcPr>
          <w:p w14:paraId="101AAFF3">
            <w:pPr>
              <w:wordWrap w:val="0"/>
              <w:topLinePunct/>
              <w:spacing w:line="360" w:lineRule="auto"/>
              <w:rPr>
                <w:rFonts w:ascii="宋体" w:hAnsi="宋体" w:eastAsia="宋体"/>
                <w:szCs w:val="24"/>
                <w:highlight w:val="none"/>
              </w:rPr>
            </w:pPr>
          </w:p>
        </w:tc>
        <w:tc>
          <w:tcPr>
            <w:tcW w:w="875" w:type="dxa"/>
            <w:noWrap w:val="0"/>
            <w:vAlign w:val="top"/>
          </w:tcPr>
          <w:p w14:paraId="1F4F50CA">
            <w:pPr>
              <w:wordWrap w:val="0"/>
              <w:topLinePunct/>
              <w:spacing w:line="360" w:lineRule="auto"/>
              <w:rPr>
                <w:rFonts w:ascii="宋体" w:hAnsi="宋体" w:eastAsia="宋体"/>
                <w:szCs w:val="24"/>
                <w:highlight w:val="none"/>
              </w:rPr>
            </w:pPr>
          </w:p>
        </w:tc>
        <w:tc>
          <w:tcPr>
            <w:tcW w:w="1055" w:type="dxa"/>
            <w:noWrap w:val="0"/>
            <w:vAlign w:val="top"/>
          </w:tcPr>
          <w:p w14:paraId="2FD8E07F">
            <w:pPr>
              <w:wordWrap w:val="0"/>
              <w:topLinePunct/>
              <w:spacing w:line="360" w:lineRule="auto"/>
              <w:rPr>
                <w:rFonts w:ascii="宋体" w:hAnsi="宋体" w:eastAsia="宋体"/>
                <w:szCs w:val="24"/>
                <w:highlight w:val="none"/>
              </w:rPr>
            </w:pPr>
          </w:p>
        </w:tc>
        <w:tc>
          <w:tcPr>
            <w:tcW w:w="521" w:type="dxa"/>
            <w:noWrap w:val="0"/>
            <w:vAlign w:val="top"/>
          </w:tcPr>
          <w:p w14:paraId="27EB2BD1">
            <w:pPr>
              <w:wordWrap w:val="0"/>
              <w:topLinePunct/>
              <w:spacing w:line="360" w:lineRule="auto"/>
              <w:rPr>
                <w:rFonts w:ascii="宋体" w:hAnsi="宋体" w:eastAsia="宋体"/>
                <w:szCs w:val="24"/>
                <w:highlight w:val="none"/>
              </w:rPr>
            </w:pPr>
          </w:p>
        </w:tc>
      </w:tr>
      <w:tr w14:paraId="064D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A23462F">
            <w:pPr>
              <w:wordWrap w:val="0"/>
              <w:topLinePunct/>
              <w:spacing w:line="360" w:lineRule="auto"/>
              <w:rPr>
                <w:rFonts w:ascii="宋体" w:hAnsi="宋体" w:eastAsia="宋体"/>
                <w:szCs w:val="24"/>
                <w:highlight w:val="none"/>
              </w:rPr>
            </w:pPr>
          </w:p>
        </w:tc>
        <w:tc>
          <w:tcPr>
            <w:tcW w:w="1087" w:type="dxa"/>
            <w:noWrap w:val="0"/>
            <w:vAlign w:val="top"/>
          </w:tcPr>
          <w:p w14:paraId="7D8A75A1">
            <w:pPr>
              <w:wordWrap w:val="0"/>
              <w:topLinePunct/>
              <w:spacing w:line="360" w:lineRule="auto"/>
              <w:rPr>
                <w:rFonts w:ascii="宋体" w:hAnsi="宋体" w:eastAsia="宋体"/>
                <w:szCs w:val="24"/>
                <w:highlight w:val="none"/>
              </w:rPr>
            </w:pPr>
          </w:p>
        </w:tc>
        <w:tc>
          <w:tcPr>
            <w:tcW w:w="761" w:type="dxa"/>
            <w:noWrap w:val="0"/>
            <w:vAlign w:val="top"/>
          </w:tcPr>
          <w:p w14:paraId="58215C60">
            <w:pPr>
              <w:wordWrap w:val="0"/>
              <w:topLinePunct/>
              <w:spacing w:line="360" w:lineRule="auto"/>
              <w:rPr>
                <w:rFonts w:ascii="宋体" w:hAnsi="宋体" w:eastAsia="宋体"/>
                <w:szCs w:val="24"/>
                <w:highlight w:val="none"/>
              </w:rPr>
            </w:pPr>
          </w:p>
        </w:tc>
        <w:tc>
          <w:tcPr>
            <w:tcW w:w="991" w:type="dxa"/>
            <w:noWrap w:val="0"/>
            <w:vAlign w:val="top"/>
          </w:tcPr>
          <w:p w14:paraId="7BD92B66">
            <w:pPr>
              <w:wordWrap w:val="0"/>
              <w:topLinePunct/>
              <w:spacing w:line="360" w:lineRule="auto"/>
              <w:rPr>
                <w:rFonts w:ascii="宋体" w:hAnsi="宋体" w:eastAsia="宋体"/>
                <w:szCs w:val="24"/>
                <w:highlight w:val="none"/>
              </w:rPr>
            </w:pPr>
          </w:p>
        </w:tc>
        <w:tc>
          <w:tcPr>
            <w:tcW w:w="672" w:type="dxa"/>
            <w:noWrap w:val="0"/>
            <w:vAlign w:val="top"/>
          </w:tcPr>
          <w:p w14:paraId="1DF99D98">
            <w:pPr>
              <w:wordWrap w:val="0"/>
              <w:topLinePunct/>
              <w:spacing w:line="360" w:lineRule="auto"/>
              <w:rPr>
                <w:rFonts w:ascii="宋体" w:hAnsi="宋体" w:eastAsia="宋体"/>
                <w:szCs w:val="24"/>
                <w:highlight w:val="none"/>
              </w:rPr>
            </w:pPr>
          </w:p>
        </w:tc>
        <w:tc>
          <w:tcPr>
            <w:tcW w:w="739" w:type="dxa"/>
            <w:noWrap w:val="0"/>
            <w:vAlign w:val="top"/>
          </w:tcPr>
          <w:p w14:paraId="4CDB0716">
            <w:pPr>
              <w:wordWrap w:val="0"/>
              <w:topLinePunct/>
              <w:spacing w:line="360" w:lineRule="auto"/>
              <w:rPr>
                <w:rFonts w:ascii="宋体" w:hAnsi="宋体" w:eastAsia="宋体"/>
                <w:szCs w:val="24"/>
                <w:highlight w:val="none"/>
              </w:rPr>
            </w:pPr>
          </w:p>
        </w:tc>
        <w:tc>
          <w:tcPr>
            <w:tcW w:w="1213" w:type="dxa"/>
            <w:noWrap w:val="0"/>
            <w:vAlign w:val="top"/>
          </w:tcPr>
          <w:p w14:paraId="18AC0198">
            <w:pPr>
              <w:wordWrap w:val="0"/>
              <w:topLinePunct/>
              <w:spacing w:line="360" w:lineRule="auto"/>
              <w:rPr>
                <w:rFonts w:ascii="宋体" w:hAnsi="宋体" w:eastAsia="宋体"/>
                <w:szCs w:val="24"/>
                <w:highlight w:val="none"/>
              </w:rPr>
            </w:pPr>
          </w:p>
        </w:tc>
        <w:tc>
          <w:tcPr>
            <w:tcW w:w="875" w:type="dxa"/>
            <w:noWrap w:val="0"/>
            <w:vAlign w:val="top"/>
          </w:tcPr>
          <w:p w14:paraId="74DDC1E6">
            <w:pPr>
              <w:wordWrap w:val="0"/>
              <w:topLinePunct/>
              <w:spacing w:line="360" w:lineRule="auto"/>
              <w:rPr>
                <w:rFonts w:ascii="宋体" w:hAnsi="宋体" w:eastAsia="宋体"/>
                <w:szCs w:val="24"/>
                <w:highlight w:val="none"/>
              </w:rPr>
            </w:pPr>
          </w:p>
        </w:tc>
        <w:tc>
          <w:tcPr>
            <w:tcW w:w="1055" w:type="dxa"/>
            <w:noWrap w:val="0"/>
            <w:vAlign w:val="top"/>
          </w:tcPr>
          <w:p w14:paraId="1F3CF17E">
            <w:pPr>
              <w:wordWrap w:val="0"/>
              <w:topLinePunct/>
              <w:spacing w:line="360" w:lineRule="auto"/>
              <w:rPr>
                <w:rFonts w:ascii="宋体" w:hAnsi="宋体" w:eastAsia="宋体"/>
                <w:szCs w:val="24"/>
                <w:highlight w:val="none"/>
              </w:rPr>
            </w:pPr>
          </w:p>
        </w:tc>
        <w:tc>
          <w:tcPr>
            <w:tcW w:w="521" w:type="dxa"/>
            <w:noWrap w:val="0"/>
            <w:vAlign w:val="top"/>
          </w:tcPr>
          <w:p w14:paraId="649DCD34">
            <w:pPr>
              <w:wordWrap w:val="0"/>
              <w:topLinePunct/>
              <w:spacing w:line="360" w:lineRule="auto"/>
              <w:rPr>
                <w:rFonts w:ascii="宋体" w:hAnsi="宋体" w:eastAsia="宋体"/>
                <w:szCs w:val="24"/>
                <w:highlight w:val="none"/>
              </w:rPr>
            </w:pPr>
          </w:p>
        </w:tc>
      </w:tr>
      <w:tr w14:paraId="342B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31C2243D">
            <w:pPr>
              <w:wordWrap w:val="0"/>
              <w:topLinePunct/>
              <w:spacing w:line="360" w:lineRule="auto"/>
              <w:rPr>
                <w:rFonts w:ascii="宋体" w:hAnsi="宋体" w:eastAsia="宋体"/>
                <w:szCs w:val="24"/>
                <w:highlight w:val="none"/>
              </w:rPr>
            </w:pPr>
          </w:p>
        </w:tc>
        <w:tc>
          <w:tcPr>
            <w:tcW w:w="1087" w:type="dxa"/>
            <w:noWrap w:val="0"/>
            <w:vAlign w:val="top"/>
          </w:tcPr>
          <w:p w14:paraId="5163C947">
            <w:pPr>
              <w:wordWrap w:val="0"/>
              <w:topLinePunct/>
              <w:spacing w:line="360" w:lineRule="auto"/>
              <w:rPr>
                <w:rFonts w:ascii="宋体" w:hAnsi="宋体" w:eastAsia="宋体"/>
                <w:szCs w:val="24"/>
                <w:highlight w:val="none"/>
              </w:rPr>
            </w:pPr>
          </w:p>
        </w:tc>
        <w:tc>
          <w:tcPr>
            <w:tcW w:w="761" w:type="dxa"/>
            <w:noWrap w:val="0"/>
            <w:vAlign w:val="top"/>
          </w:tcPr>
          <w:p w14:paraId="0BAAD569">
            <w:pPr>
              <w:wordWrap w:val="0"/>
              <w:topLinePunct/>
              <w:spacing w:line="360" w:lineRule="auto"/>
              <w:rPr>
                <w:rFonts w:ascii="宋体" w:hAnsi="宋体" w:eastAsia="宋体"/>
                <w:szCs w:val="24"/>
                <w:highlight w:val="none"/>
              </w:rPr>
            </w:pPr>
          </w:p>
        </w:tc>
        <w:tc>
          <w:tcPr>
            <w:tcW w:w="991" w:type="dxa"/>
            <w:noWrap w:val="0"/>
            <w:vAlign w:val="top"/>
          </w:tcPr>
          <w:p w14:paraId="64F46A6C">
            <w:pPr>
              <w:wordWrap w:val="0"/>
              <w:topLinePunct/>
              <w:spacing w:line="360" w:lineRule="auto"/>
              <w:rPr>
                <w:rFonts w:ascii="宋体" w:hAnsi="宋体" w:eastAsia="宋体"/>
                <w:szCs w:val="24"/>
                <w:highlight w:val="none"/>
              </w:rPr>
            </w:pPr>
          </w:p>
        </w:tc>
        <w:tc>
          <w:tcPr>
            <w:tcW w:w="672" w:type="dxa"/>
            <w:noWrap w:val="0"/>
            <w:vAlign w:val="top"/>
          </w:tcPr>
          <w:p w14:paraId="18EF736B">
            <w:pPr>
              <w:wordWrap w:val="0"/>
              <w:topLinePunct/>
              <w:spacing w:line="360" w:lineRule="auto"/>
              <w:rPr>
                <w:rFonts w:ascii="宋体" w:hAnsi="宋体" w:eastAsia="宋体"/>
                <w:szCs w:val="24"/>
                <w:highlight w:val="none"/>
              </w:rPr>
            </w:pPr>
          </w:p>
        </w:tc>
        <w:tc>
          <w:tcPr>
            <w:tcW w:w="739" w:type="dxa"/>
            <w:noWrap w:val="0"/>
            <w:vAlign w:val="top"/>
          </w:tcPr>
          <w:p w14:paraId="7F1B1AF2">
            <w:pPr>
              <w:wordWrap w:val="0"/>
              <w:topLinePunct/>
              <w:spacing w:line="360" w:lineRule="auto"/>
              <w:rPr>
                <w:rFonts w:ascii="宋体" w:hAnsi="宋体" w:eastAsia="宋体"/>
                <w:szCs w:val="24"/>
                <w:highlight w:val="none"/>
              </w:rPr>
            </w:pPr>
          </w:p>
        </w:tc>
        <w:tc>
          <w:tcPr>
            <w:tcW w:w="1213" w:type="dxa"/>
            <w:noWrap w:val="0"/>
            <w:vAlign w:val="top"/>
          </w:tcPr>
          <w:p w14:paraId="3E46CD1D">
            <w:pPr>
              <w:wordWrap w:val="0"/>
              <w:topLinePunct/>
              <w:spacing w:line="360" w:lineRule="auto"/>
              <w:rPr>
                <w:rFonts w:ascii="宋体" w:hAnsi="宋体" w:eastAsia="宋体"/>
                <w:szCs w:val="24"/>
                <w:highlight w:val="none"/>
              </w:rPr>
            </w:pPr>
          </w:p>
        </w:tc>
        <w:tc>
          <w:tcPr>
            <w:tcW w:w="875" w:type="dxa"/>
            <w:noWrap w:val="0"/>
            <w:vAlign w:val="top"/>
          </w:tcPr>
          <w:p w14:paraId="1B3A6F39">
            <w:pPr>
              <w:wordWrap w:val="0"/>
              <w:topLinePunct/>
              <w:spacing w:line="360" w:lineRule="auto"/>
              <w:rPr>
                <w:rFonts w:ascii="宋体" w:hAnsi="宋体" w:eastAsia="宋体"/>
                <w:szCs w:val="24"/>
                <w:highlight w:val="none"/>
              </w:rPr>
            </w:pPr>
          </w:p>
        </w:tc>
        <w:tc>
          <w:tcPr>
            <w:tcW w:w="1055" w:type="dxa"/>
            <w:noWrap w:val="0"/>
            <w:vAlign w:val="top"/>
          </w:tcPr>
          <w:p w14:paraId="01817BA9">
            <w:pPr>
              <w:wordWrap w:val="0"/>
              <w:topLinePunct/>
              <w:spacing w:line="360" w:lineRule="auto"/>
              <w:rPr>
                <w:rFonts w:ascii="宋体" w:hAnsi="宋体" w:eastAsia="宋体"/>
                <w:szCs w:val="24"/>
                <w:highlight w:val="none"/>
              </w:rPr>
            </w:pPr>
          </w:p>
        </w:tc>
        <w:tc>
          <w:tcPr>
            <w:tcW w:w="521" w:type="dxa"/>
            <w:noWrap w:val="0"/>
            <w:vAlign w:val="top"/>
          </w:tcPr>
          <w:p w14:paraId="7E26B3DB">
            <w:pPr>
              <w:wordWrap w:val="0"/>
              <w:topLinePunct/>
              <w:spacing w:line="360" w:lineRule="auto"/>
              <w:rPr>
                <w:rFonts w:ascii="宋体" w:hAnsi="宋体" w:eastAsia="宋体"/>
                <w:szCs w:val="24"/>
                <w:highlight w:val="none"/>
              </w:rPr>
            </w:pPr>
          </w:p>
        </w:tc>
      </w:tr>
      <w:tr w14:paraId="5DFB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CA84B1B">
            <w:pPr>
              <w:wordWrap w:val="0"/>
              <w:topLinePunct/>
              <w:spacing w:line="360" w:lineRule="auto"/>
              <w:rPr>
                <w:rFonts w:ascii="宋体" w:hAnsi="宋体" w:eastAsia="宋体"/>
                <w:szCs w:val="24"/>
                <w:highlight w:val="none"/>
              </w:rPr>
            </w:pPr>
          </w:p>
        </w:tc>
        <w:tc>
          <w:tcPr>
            <w:tcW w:w="1087" w:type="dxa"/>
            <w:noWrap w:val="0"/>
            <w:vAlign w:val="top"/>
          </w:tcPr>
          <w:p w14:paraId="2C60165C">
            <w:pPr>
              <w:wordWrap w:val="0"/>
              <w:topLinePunct/>
              <w:spacing w:line="360" w:lineRule="auto"/>
              <w:rPr>
                <w:rFonts w:ascii="宋体" w:hAnsi="宋体" w:eastAsia="宋体"/>
                <w:szCs w:val="24"/>
                <w:highlight w:val="none"/>
              </w:rPr>
            </w:pPr>
          </w:p>
        </w:tc>
        <w:tc>
          <w:tcPr>
            <w:tcW w:w="761" w:type="dxa"/>
            <w:noWrap w:val="0"/>
            <w:vAlign w:val="top"/>
          </w:tcPr>
          <w:p w14:paraId="7F78435C">
            <w:pPr>
              <w:wordWrap w:val="0"/>
              <w:topLinePunct/>
              <w:spacing w:line="360" w:lineRule="auto"/>
              <w:rPr>
                <w:rFonts w:ascii="宋体" w:hAnsi="宋体" w:eastAsia="宋体"/>
                <w:szCs w:val="24"/>
                <w:highlight w:val="none"/>
              </w:rPr>
            </w:pPr>
          </w:p>
        </w:tc>
        <w:tc>
          <w:tcPr>
            <w:tcW w:w="991" w:type="dxa"/>
            <w:noWrap w:val="0"/>
            <w:vAlign w:val="top"/>
          </w:tcPr>
          <w:p w14:paraId="061F371A">
            <w:pPr>
              <w:wordWrap w:val="0"/>
              <w:topLinePunct/>
              <w:spacing w:line="360" w:lineRule="auto"/>
              <w:rPr>
                <w:rFonts w:ascii="宋体" w:hAnsi="宋体" w:eastAsia="宋体"/>
                <w:szCs w:val="24"/>
                <w:highlight w:val="none"/>
              </w:rPr>
            </w:pPr>
          </w:p>
        </w:tc>
        <w:tc>
          <w:tcPr>
            <w:tcW w:w="672" w:type="dxa"/>
            <w:noWrap w:val="0"/>
            <w:vAlign w:val="top"/>
          </w:tcPr>
          <w:p w14:paraId="72E9649F">
            <w:pPr>
              <w:wordWrap w:val="0"/>
              <w:topLinePunct/>
              <w:spacing w:line="360" w:lineRule="auto"/>
              <w:rPr>
                <w:rFonts w:ascii="宋体" w:hAnsi="宋体" w:eastAsia="宋体"/>
                <w:szCs w:val="24"/>
                <w:highlight w:val="none"/>
              </w:rPr>
            </w:pPr>
          </w:p>
        </w:tc>
        <w:tc>
          <w:tcPr>
            <w:tcW w:w="739" w:type="dxa"/>
            <w:noWrap w:val="0"/>
            <w:vAlign w:val="top"/>
          </w:tcPr>
          <w:p w14:paraId="2A798145">
            <w:pPr>
              <w:wordWrap w:val="0"/>
              <w:topLinePunct/>
              <w:spacing w:line="360" w:lineRule="auto"/>
              <w:rPr>
                <w:rFonts w:ascii="宋体" w:hAnsi="宋体" w:eastAsia="宋体"/>
                <w:szCs w:val="24"/>
                <w:highlight w:val="none"/>
              </w:rPr>
            </w:pPr>
          </w:p>
        </w:tc>
        <w:tc>
          <w:tcPr>
            <w:tcW w:w="1213" w:type="dxa"/>
            <w:noWrap w:val="0"/>
            <w:vAlign w:val="top"/>
          </w:tcPr>
          <w:p w14:paraId="3A64E61C">
            <w:pPr>
              <w:wordWrap w:val="0"/>
              <w:topLinePunct/>
              <w:spacing w:line="360" w:lineRule="auto"/>
              <w:rPr>
                <w:rFonts w:ascii="宋体" w:hAnsi="宋体" w:eastAsia="宋体"/>
                <w:szCs w:val="24"/>
                <w:highlight w:val="none"/>
              </w:rPr>
            </w:pPr>
          </w:p>
        </w:tc>
        <w:tc>
          <w:tcPr>
            <w:tcW w:w="875" w:type="dxa"/>
            <w:noWrap w:val="0"/>
            <w:vAlign w:val="top"/>
          </w:tcPr>
          <w:p w14:paraId="4A1E390E">
            <w:pPr>
              <w:wordWrap w:val="0"/>
              <w:topLinePunct/>
              <w:spacing w:line="360" w:lineRule="auto"/>
              <w:rPr>
                <w:rFonts w:ascii="宋体" w:hAnsi="宋体" w:eastAsia="宋体"/>
                <w:szCs w:val="24"/>
                <w:highlight w:val="none"/>
              </w:rPr>
            </w:pPr>
          </w:p>
        </w:tc>
        <w:tc>
          <w:tcPr>
            <w:tcW w:w="1055" w:type="dxa"/>
            <w:noWrap w:val="0"/>
            <w:vAlign w:val="top"/>
          </w:tcPr>
          <w:p w14:paraId="211B6610">
            <w:pPr>
              <w:wordWrap w:val="0"/>
              <w:topLinePunct/>
              <w:spacing w:line="360" w:lineRule="auto"/>
              <w:rPr>
                <w:rFonts w:ascii="宋体" w:hAnsi="宋体" w:eastAsia="宋体"/>
                <w:szCs w:val="24"/>
                <w:highlight w:val="none"/>
              </w:rPr>
            </w:pPr>
          </w:p>
        </w:tc>
        <w:tc>
          <w:tcPr>
            <w:tcW w:w="521" w:type="dxa"/>
            <w:noWrap w:val="0"/>
            <w:vAlign w:val="top"/>
          </w:tcPr>
          <w:p w14:paraId="0C22FFFA">
            <w:pPr>
              <w:wordWrap w:val="0"/>
              <w:topLinePunct/>
              <w:spacing w:line="360" w:lineRule="auto"/>
              <w:rPr>
                <w:rFonts w:ascii="宋体" w:hAnsi="宋体" w:eastAsia="宋体"/>
                <w:szCs w:val="24"/>
                <w:highlight w:val="none"/>
              </w:rPr>
            </w:pPr>
          </w:p>
        </w:tc>
      </w:tr>
      <w:tr w14:paraId="4CB7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0BBA191">
            <w:pPr>
              <w:wordWrap w:val="0"/>
              <w:topLinePunct/>
              <w:spacing w:line="360" w:lineRule="auto"/>
              <w:rPr>
                <w:rFonts w:ascii="宋体" w:hAnsi="宋体" w:eastAsia="宋体"/>
                <w:szCs w:val="24"/>
                <w:highlight w:val="none"/>
              </w:rPr>
            </w:pPr>
          </w:p>
        </w:tc>
        <w:tc>
          <w:tcPr>
            <w:tcW w:w="1087" w:type="dxa"/>
            <w:noWrap w:val="0"/>
            <w:vAlign w:val="top"/>
          </w:tcPr>
          <w:p w14:paraId="67922FDE">
            <w:pPr>
              <w:wordWrap w:val="0"/>
              <w:topLinePunct/>
              <w:spacing w:line="360" w:lineRule="auto"/>
              <w:rPr>
                <w:rFonts w:ascii="宋体" w:hAnsi="宋体" w:eastAsia="宋体"/>
                <w:szCs w:val="24"/>
                <w:highlight w:val="none"/>
              </w:rPr>
            </w:pPr>
          </w:p>
        </w:tc>
        <w:tc>
          <w:tcPr>
            <w:tcW w:w="761" w:type="dxa"/>
            <w:noWrap w:val="0"/>
            <w:vAlign w:val="top"/>
          </w:tcPr>
          <w:p w14:paraId="00E1B27D">
            <w:pPr>
              <w:wordWrap w:val="0"/>
              <w:topLinePunct/>
              <w:spacing w:line="360" w:lineRule="auto"/>
              <w:rPr>
                <w:rFonts w:ascii="宋体" w:hAnsi="宋体" w:eastAsia="宋体"/>
                <w:szCs w:val="24"/>
                <w:highlight w:val="none"/>
              </w:rPr>
            </w:pPr>
          </w:p>
        </w:tc>
        <w:tc>
          <w:tcPr>
            <w:tcW w:w="991" w:type="dxa"/>
            <w:noWrap w:val="0"/>
            <w:vAlign w:val="top"/>
          </w:tcPr>
          <w:p w14:paraId="0FF5938A">
            <w:pPr>
              <w:wordWrap w:val="0"/>
              <w:topLinePunct/>
              <w:spacing w:line="360" w:lineRule="auto"/>
              <w:rPr>
                <w:rFonts w:ascii="宋体" w:hAnsi="宋体" w:eastAsia="宋体"/>
                <w:szCs w:val="24"/>
                <w:highlight w:val="none"/>
              </w:rPr>
            </w:pPr>
          </w:p>
        </w:tc>
        <w:tc>
          <w:tcPr>
            <w:tcW w:w="672" w:type="dxa"/>
            <w:noWrap w:val="0"/>
            <w:vAlign w:val="top"/>
          </w:tcPr>
          <w:p w14:paraId="0DCBA8E5">
            <w:pPr>
              <w:wordWrap w:val="0"/>
              <w:topLinePunct/>
              <w:spacing w:line="360" w:lineRule="auto"/>
              <w:rPr>
                <w:rFonts w:ascii="宋体" w:hAnsi="宋体" w:eastAsia="宋体"/>
                <w:szCs w:val="24"/>
                <w:highlight w:val="none"/>
              </w:rPr>
            </w:pPr>
          </w:p>
        </w:tc>
        <w:tc>
          <w:tcPr>
            <w:tcW w:w="739" w:type="dxa"/>
            <w:noWrap w:val="0"/>
            <w:vAlign w:val="top"/>
          </w:tcPr>
          <w:p w14:paraId="0FB070DB">
            <w:pPr>
              <w:wordWrap w:val="0"/>
              <w:topLinePunct/>
              <w:spacing w:line="360" w:lineRule="auto"/>
              <w:rPr>
                <w:rFonts w:ascii="宋体" w:hAnsi="宋体" w:eastAsia="宋体"/>
                <w:szCs w:val="24"/>
                <w:highlight w:val="none"/>
              </w:rPr>
            </w:pPr>
          </w:p>
        </w:tc>
        <w:tc>
          <w:tcPr>
            <w:tcW w:w="1213" w:type="dxa"/>
            <w:noWrap w:val="0"/>
            <w:vAlign w:val="top"/>
          </w:tcPr>
          <w:p w14:paraId="359C2F89">
            <w:pPr>
              <w:wordWrap w:val="0"/>
              <w:topLinePunct/>
              <w:spacing w:line="360" w:lineRule="auto"/>
              <w:rPr>
                <w:rFonts w:ascii="宋体" w:hAnsi="宋体" w:eastAsia="宋体"/>
                <w:szCs w:val="24"/>
                <w:highlight w:val="none"/>
              </w:rPr>
            </w:pPr>
          </w:p>
        </w:tc>
        <w:tc>
          <w:tcPr>
            <w:tcW w:w="875" w:type="dxa"/>
            <w:noWrap w:val="0"/>
            <w:vAlign w:val="top"/>
          </w:tcPr>
          <w:p w14:paraId="3B3A3268">
            <w:pPr>
              <w:wordWrap w:val="0"/>
              <w:topLinePunct/>
              <w:spacing w:line="360" w:lineRule="auto"/>
              <w:rPr>
                <w:rFonts w:ascii="宋体" w:hAnsi="宋体" w:eastAsia="宋体"/>
                <w:szCs w:val="24"/>
                <w:highlight w:val="none"/>
              </w:rPr>
            </w:pPr>
          </w:p>
        </w:tc>
        <w:tc>
          <w:tcPr>
            <w:tcW w:w="1055" w:type="dxa"/>
            <w:noWrap w:val="0"/>
            <w:vAlign w:val="top"/>
          </w:tcPr>
          <w:p w14:paraId="1F99AD1B">
            <w:pPr>
              <w:wordWrap w:val="0"/>
              <w:topLinePunct/>
              <w:spacing w:line="360" w:lineRule="auto"/>
              <w:rPr>
                <w:rFonts w:ascii="宋体" w:hAnsi="宋体" w:eastAsia="宋体"/>
                <w:szCs w:val="24"/>
                <w:highlight w:val="none"/>
              </w:rPr>
            </w:pPr>
          </w:p>
        </w:tc>
        <w:tc>
          <w:tcPr>
            <w:tcW w:w="521" w:type="dxa"/>
            <w:noWrap w:val="0"/>
            <w:vAlign w:val="top"/>
          </w:tcPr>
          <w:p w14:paraId="101B9128">
            <w:pPr>
              <w:wordWrap w:val="0"/>
              <w:topLinePunct/>
              <w:spacing w:line="360" w:lineRule="auto"/>
              <w:rPr>
                <w:rFonts w:ascii="宋体" w:hAnsi="宋体" w:eastAsia="宋体"/>
                <w:szCs w:val="24"/>
                <w:highlight w:val="none"/>
              </w:rPr>
            </w:pPr>
          </w:p>
        </w:tc>
      </w:tr>
      <w:tr w14:paraId="2D38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F4ED2B1">
            <w:pPr>
              <w:wordWrap w:val="0"/>
              <w:topLinePunct/>
              <w:spacing w:line="360" w:lineRule="auto"/>
              <w:rPr>
                <w:rFonts w:ascii="宋体" w:hAnsi="宋体" w:eastAsia="宋体"/>
                <w:szCs w:val="24"/>
                <w:highlight w:val="none"/>
              </w:rPr>
            </w:pPr>
          </w:p>
        </w:tc>
        <w:tc>
          <w:tcPr>
            <w:tcW w:w="1087" w:type="dxa"/>
            <w:noWrap w:val="0"/>
            <w:vAlign w:val="top"/>
          </w:tcPr>
          <w:p w14:paraId="0C1236AF">
            <w:pPr>
              <w:wordWrap w:val="0"/>
              <w:topLinePunct/>
              <w:spacing w:line="360" w:lineRule="auto"/>
              <w:rPr>
                <w:rFonts w:ascii="宋体" w:hAnsi="宋体" w:eastAsia="宋体"/>
                <w:szCs w:val="24"/>
                <w:highlight w:val="none"/>
              </w:rPr>
            </w:pPr>
          </w:p>
        </w:tc>
        <w:tc>
          <w:tcPr>
            <w:tcW w:w="761" w:type="dxa"/>
            <w:noWrap w:val="0"/>
            <w:vAlign w:val="top"/>
          </w:tcPr>
          <w:p w14:paraId="3B14AEF9">
            <w:pPr>
              <w:wordWrap w:val="0"/>
              <w:topLinePunct/>
              <w:spacing w:line="360" w:lineRule="auto"/>
              <w:rPr>
                <w:rFonts w:ascii="宋体" w:hAnsi="宋体" w:eastAsia="宋体"/>
                <w:szCs w:val="24"/>
                <w:highlight w:val="none"/>
              </w:rPr>
            </w:pPr>
          </w:p>
        </w:tc>
        <w:tc>
          <w:tcPr>
            <w:tcW w:w="991" w:type="dxa"/>
            <w:noWrap w:val="0"/>
            <w:vAlign w:val="top"/>
          </w:tcPr>
          <w:p w14:paraId="3DC86522">
            <w:pPr>
              <w:wordWrap w:val="0"/>
              <w:topLinePunct/>
              <w:spacing w:line="360" w:lineRule="auto"/>
              <w:rPr>
                <w:rFonts w:ascii="宋体" w:hAnsi="宋体" w:eastAsia="宋体"/>
                <w:szCs w:val="24"/>
                <w:highlight w:val="none"/>
              </w:rPr>
            </w:pPr>
          </w:p>
        </w:tc>
        <w:tc>
          <w:tcPr>
            <w:tcW w:w="672" w:type="dxa"/>
            <w:noWrap w:val="0"/>
            <w:vAlign w:val="top"/>
          </w:tcPr>
          <w:p w14:paraId="3682E9DA">
            <w:pPr>
              <w:wordWrap w:val="0"/>
              <w:topLinePunct/>
              <w:spacing w:line="360" w:lineRule="auto"/>
              <w:rPr>
                <w:rFonts w:ascii="宋体" w:hAnsi="宋体" w:eastAsia="宋体"/>
                <w:szCs w:val="24"/>
                <w:highlight w:val="none"/>
              </w:rPr>
            </w:pPr>
          </w:p>
        </w:tc>
        <w:tc>
          <w:tcPr>
            <w:tcW w:w="739" w:type="dxa"/>
            <w:noWrap w:val="0"/>
            <w:vAlign w:val="top"/>
          </w:tcPr>
          <w:p w14:paraId="49C48527">
            <w:pPr>
              <w:wordWrap w:val="0"/>
              <w:topLinePunct/>
              <w:spacing w:line="360" w:lineRule="auto"/>
              <w:rPr>
                <w:rFonts w:ascii="宋体" w:hAnsi="宋体" w:eastAsia="宋体"/>
                <w:szCs w:val="24"/>
                <w:highlight w:val="none"/>
              </w:rPr>
            </w:pPr>
          </w:p>
        </w:tc>
        <w:tc>
          <w:tcPr>
            <w:tcW w:w="1213" w:type="dxa"/>
            <w:noWrap w:val="0"/>
            <w:vAlign w:val="top"/>
          </w:tcPr>
          <w:p w14:paraId="5DC114ED">
            <w:pPr>
              <w:wordWrap w:val="0"/>
              <w:topLinePunct/>
              <w:spacing w:line="360" w:lineRule="auto"/>
              <w:rPr>
                <w:rFonts w:ascii="宋体" w:hAnsi="宋体" w:eastAsia="宋体"/>
                <w:szCs w:val="24"/>
                <w:highlight w:val="none"/>
              </w:rPr>
            </w:pPr>
          </w:p>
        </w:tc>
        <w:tc>
          <w:tcPr>
            <w:tcW w:w="875" w:type="dxa"/>
            <w:noWrap w:val="0"/>
            <w:vAlign w:val="top"/>
          </w:tcPr>
          <w:p w14:paraId="69E363AC">
            <w:pPr>
              <w:wordWrap w:val="0"/>
              <w:topLinePunct/>
              <w:spacing w:line="360" w:lineRule="auto"/>
              <w:rPr>
                <w:rFonts w:ascii="宋体" w:hAnsi="宋体" w:eastAsia="宋体"/>
                <w:szCs w:val="24"/>
                <w:highlight w:val="none"/>
              </w:rPr>
            </w:pPr>
          </w:p>
        </w:tc>
        <w:tc>
          <w:tcPr>
            <w:tcW w:w="1055" w:type="dxa"/>
            <w:noWrap w:val="0"/>
            <w:vAlign w:val="top"/>
          </w:tcPr>
          <w:p w14:paraId="0824F62C">
            <w:pPr>
              <w:wordWrap w:val="0"/>
              <w:topLinePunct/>
              <w:spacing w:line="360" w:lineRule="auto"/>
              <w:rPr>
                <w:rFonts w:ascii="宋体" w:hAnsi="宋体" w:eastAsia="宋体"/>
                <w:szCs w:val="24"/>
                <w:highlight w:val="none"/>
              </w:rPr>
            </w:pPr>
          </w:p>
        </w:tc>
        <w:tc>
          <w:tcPr>
            <w:tcW w:w="521" w:type="dxa"/>
            <w:noWrap w:val="0"/>
            <w:vAlign w:val="top"/>
          </w:tcPr>
          <w:p w14:paraId="6C8B1F3A">
            <w:pPr>
              <w:wordWrap w:val="0"/>
              <w:topLinePunct/>
              <w:spacing w:line="360" w:lineRule="auto"/>
              <w:rPr>
                <w:rFonts w:ascii="宋体" w:hAnsi="宋体" w:eastAsia="宋体"/>
                <w:szCs w:val="24"/>
                <w:highlight w:val="none"/>
              </w:rPr>
            </w:pPr>
          </w:p>
        </w:tc>
      </w:tr>
      <w:tr w14:paraId="59AB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19CEDEBF">
            <w:pPr>
              <w:wordWrap w:val="0"/>
              <w:topLinePunct/>
              <w:spacing w:line="360" w:lineRule="auto"/>
              <w:rPr>
                <w:rFonts w:ascii="宋体" w:hAnsi="宋体" w:eastAsia="宋体"/>
                <w:szCs w:val="24"/>
                <w:highlight w:val="none"/>
              </w:rPr>
            </w:pPr>
          </w:p>
        </w:tc>
        <w:tc>
          <w:tcPr>
            <w:tcW w:w="1087" w:type="dxa"/>
            <w:noWrap w:val="0"/>
            <w:vAlign w:val="top"/>
          </w:tcPr>
          <w:p w14:paraId="3114B492">
            <w:pPr>
              <w:wordWrap w:val="0"/>
              <w:topLinePunct/>
              <w:spacing w:line="360" w:lineRule="auto"/>
              <w:rPr>
                <w:rFonts w:ascii="宋体" w:hAnsi="宋体" w:eastAsia="宋体"/>
                <w:szCs w:val="24"/>
                <w:highlight w:val="none"/>
              </w:rPr>
            </w:pPr>
          </w:p>
        </w:tc>
        <w:tc>
          <w:tcPr>
            <w:tcW w:w="761" w:type="dxa"/>
            <w:noWrap w:val="0"/>
            <w:vAlign w:val="top"/>
          </w:tcPr>
          <w:p w14:paraId="477C663A">
            <w:pPr>
              <w:wordWrap w:val="0"/>
              <w:topLinePunct/>
              <w:spacing w:line="360" w:lineRule="auto"/>
              <w:rPr>
                <w:rFonts w:ascii="宋体" w:hAnsi="宋体" w:eastAsia="宋体"/>
                <w:szCs w:val="24"/>
                <w:highlight w:val="none"/>
              </w:rPr>
            </w:pPr>
          </w:p>
        </w:tc>
        <w:tc>
          <w:tcPr>
            <w:tcW w:w="991" w:type="dxa"/>
            <w:noWrap w:val="0"/>
            <w:vAlign w:val="top"/>
          </w:tcPr>
          <w:p w14:paraId="6D96A842">
            <w:pPr>
              <w:wordWrap w:val="0"/>
              <w:topLinePunct/>
              <w:spacing w:line="360" w:lineRule="auto"/>
              <w:rPr>
                <w:rFonts w:ascii="宋体" w:hAnsi="宋体" w:eastAsia="宋体"/>
                <w:szCs w:val="24"/>
                <w:highlight w:val="none"/>
              </w:rPr>
            </w:pPr>
          </w:p>
        </w:tc>
        <w:tc>
          <w:tcPr>
            <w:tcW w:w="672" w:type="dxa"/>
            <w:noWrap w:val="0"/>
            <w:vAlign w:val="top"/>
          </w:tcPr>
          <w:p w14:paraId="42B2BAC5">
            <w:pPr>
              <w:wordWrap w:val="0"/>
              <w:topLinePunct/>
              <w:spacing w:line="360" w:lineRule="auto"/>
              <w:rPr>
                <w:rFonts w:ascii="宋体" w:hAnsi="宋体" w:eastAsia="宋体"/>
                <w:szCs w:val="24"/>
                <w:highlight w:val="none"/>
              </w:rPr>
            </w:pPr>
          </w:p>
        </w:tc>
        <w:tc>
          <w:tcPr>
            <w:tcW w:w="739" w:type="dxa"/>
            <w:noWrap w:val="0"/>
            <w:vAlign w:val="top"/>
          </w:tcPr>
          <w:p w14:paraId="6EA8A461">
            <w:pPr>
              <w:wordWrap w:val="0"/>
              <w:topLinePunct/>
              <w:spacing w:line="360" w:lineRule="auto"/>
              <w:rPr>
                <w:rFonts w:ascii="宋体" w:hAnsi="宋体" w:eastAsia="宋体"/>
                <w:szCs w:val="24"/>
                <w:highlight w:val="none"/>
              </w:rPr>
            </w:pPr>
          </w:p>
        </w:tc>
        <w:tc>
          <w:tcPr>
            <w:tcW w:w="1213" w:type="dxa"/>
            <w:noWrap w:val="0"/>
            <w:vAlign w:val="top"/>
          </w:tcPr>
          <w:p w14:paraId="24749FE4">
            <w:pPr>
              <w:wordWrap w:val="0"/>
              <w:topLinePunct/>
              <w:spacing w:line="360" w:lineRule="auto"/>
              <w:rPr>
                <w:rFonts w:ascii="宋体" w:hAnsi="宋体" w:eastAsia="宋体"/>
                <w:szCs w:val="24"/>
                <w:highlight w:val="none"/>
              </w:rPr>
            </w:pPr>
          </w:p>
        </w:tc>
        <w:tc>
          <w:tcPr>
            <w:tcW w:w="875" w:type="dxa"/>
            <w:noWrap w:val="0"/>
            <w:vAlign w:val="top"/>
          </w:tcPr>
          <w:p w14:paraId="1E97CCC2">
            <w:pPr>
              <w:wordWrap w:val="0"/>
              <w:topLinePunct/>
              <w:spacing w:line="360" w:lineRule="auto"/>
              <w:rPr>
                <w:rFonts w:ascii="宋体" w:hAnsi="宋体" w:eastAsia="宋体"/>
                <w:szCs w:val="24"/>
                <w:highlight w:val="none"/>
              </w:rPr>
            </w:pPr>
          </w:p>
        </w:tc>
        <w:tc>
          <w:tcPr>
            <w:tcW w:w="1055" w:type="dxa"/>
            <w:noWrap w:val="0"/>
            <w:vAlign w:val="top"/>
          </w:tcPr>
          <w:p w14:paraId="5FBADD48">
            <w:pPr>
              <w:wordWrap w:val="0"/>
              <w:topLinePunct/>
              <w:spacing w:line="360" w:lineRule="auto"/>
              <w:rPr>
                <w:rFonts w:ascii="宋体" w:hAnsi="宋体" w:eastAsia="宋体"/>
                <w:szCs w:val="24"/>
                <w:highlight w:val="none"/>
              </w:rPr>
            </w:pPr>
          </w:p>
        </w:tc>
        <w:tc>
          <w:tcPr>
            <w:tcW w:w="521" w:type="dxa"/>
            <w:noWrap w:val="0"/>
            <w:vAlign w:val="top"/>
          </w:tcPr>
          <w:p w14:paraId="1180AA7F">
            <w:pPr>
              <w:wordWrap w:val="0"/>
              <w:topLinePunct/>
              <w:spacing w:line="360" w:lineRule="auto"/>
              <w:rPr>
                <w:rFonts w:ascii="宋体" w:hAnsi="宋体" w:eastAsia="宋体"/>
                <w:szCs w:val="24"/>
                <w:highlight w:val="none"/>
              </w:rPr>
            </w:pPr>
          </w:p>
        </w:tc>
      </w:tr>
      <w:tr w14:paraId="144C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04DC29B1">
            <w:pPr>
              <w:wordWrap w:val="0"/>
              <w:topLinePunct/>
              <w:spacing w:line="360" w:lineRule="auto"/>
              <w:rPr>
                <w:rFonts w:ascii="宋体" w:hAnsi="宋体" w:eastAsia="宋体"/>
                <w:szCs w:val="24"/>
                <w:highlight w:val="none"/>
              </w:rPr>
            </w:pPr>
          </w:p>
        </w:tc>
        <w:tc>
          <w:tcPr>
            <w:tcW w:w="1087" w:type="dxa"/>
            <w:noWrap w:val="0"/>
            <w:vAlign w:val="top"/>
          </w:tcPr>
          <w:p w14:paraId="0F3E81BD">
            <w:pPr>
              <w:wordWrap w:val="0"/>
              <w:topLinePunct/>
              <w:spacing w:line="360" w:lineRule="auto"/>
              <w:rPr>
                <w:rFonts w:ascii="宋体" w:hAnsi="宋体" w:eastAsia="宋体"/>
                <w:szCs w:val="24"/>
                <w:highlight w:val="none"/>
              </w:rPr>
            </w:pPr>
          </w:p>
        </w:tc>
        <w:tc>
          <w:tcPr>
            <w:tcW w:w="761" w:type="dxa"/>
            <w:noWrap w:val="0"/>
            <w:vAlign w:val="top"/>
          </w:tcPr>
          <w:p w14:paraId="22193070">
            <w:pPr>
              <w:wordWrap w:val="0"/>
              <w:topLinePunct/>
              <w:spacing w:line="360" w:lineRule="auto"/>
              <w:rPr>
                <w:rFonts w:ascii="宋体" w:hAnsi="宋体" w:eastAsia="宋体"/>
                <w:szCs w:val="24"/>
                <w:highlight w:val="none"/>
              </w:rPr>
            </w:pPr>
          </w:p>
        </w:tc>
        <w:tc>
          <w:tcPr>
            <w:tcW w:w="991" w:type="dxa"/>
            <w:noWrap w:val="0"/>
            <w:vAlign w:val="top"/>
          </w:tcPr>
          <w:p w14:paraId="043624AF">
            <w:pPr>
              <w:wordWrap w:val="0"/>
              <w:topLinePunct/>
              <w:spacing w:line="360" w:lineRule="auto"/>
              <w:rPr>
                <w:rFonts w:ascii="宋体" w:hAnsi="宋体" w:eastAsia="宋体"/>
                <w:szCs w:val="24"/>
                <w:highlight w:val="none"/>
              </w:rPr>
            </w:pPr>
          </w:p>
        </w:tc>
        <w:tc>
          <w:tcPr>
            <w:tcW w:w="672" w:type="dxa"/>
            <w:noWrap w:val="0"/>
            <w:vAlign w:val="top"/>
          </w:tcPr>
          <w:p w14:paraId="3F03E565">
            <w:pPr>
              <w:wordWrap w:val="0"/>
              <w:topLinePunct/>
              <w:spacing w:line="360" w:lineRule="auto"/>
              <w:rPr>
                <w:rFonts w:ascii="宋体" w:hAnsi="宋体" w:eastAsia="宋体"/>
                <w:szCs w:val="24"/>
                <w:highlight w:val="none"/>
              </w:rPr>
            </w:pPr>
          </w:p>
        </w:tc>
        <w:tc>
          <w:tcPr>
            <w:tcW w:w="739" w:type="dxa"/>
            <w:noWrap w:val="0"/>
            <w:vAlign w:val="top"/>
          </w:tcPr>
          <w:p w14:paraId="1828CEED">
            <w:pPr>
              <w:wordWrap w:val="0"/>
              <w:topLinePunct/>
              <w:spacing w:line="360" w:lineRule="auto"/>
              <w:rPr>
                <w:rFonts w:ascii="宋体" w:hAnsi="宋体" w:eastAsia="宋体"/>
                <w:szCs w:val="24"/>
                <w:highlight w:val="none"/>
              </w:rPr>
            </w:pPr>
          </w:p>
        </w:tc>
        <w:tc>
          <w:tcPr>
            <w:tcW w:w="1213" w:type="dxa"/>
            <w:noWrap w:val="0"/>
            <w:vAlign w:val="top"/>
          </w:tcPr>
          <w:p w14:paraId="31E5294A">
            <w:pPr>
              <w:wordWrap w:val="0"/>
              <w:topLinePunct/>
              <w:spacing w:line="360" w:lineRule="auto"/>
              <w:rPr>
                <w:rFonts w:ascii="宋体" w:hAnsi="宋体" w:eastAsia="宋体"/>
                <w:szCs w:val="24"/>
                <w:highlight w:val="none"/>
              </w:rPr>
            </w:pPr>
          </w:p>
        </w:tc>
        <w:tc>
          <w:tcPr>
            <w:tcW w:w="875" w:type="dxa"/>
            <w:noWrap w:val="0"/>
            <w:vAlign w:val="top"/>
          </w:tcPr>
          <w:p w14:paraId="6639695D">
            <w:pPr>
              <w:wordWrap w:val="0"/>
              <w:topLinePunct/>
              <w:spacing w:line="360" w:lineRule="auto"/>
              <w:rPr>
                <w:rFonts w:ascii="宋体" w:hAnsi="宋体" w:eastAsia="宋体"/>
                <w:szCs w:val="24"/>
                <w:highlight w:val="none"/>
              </w:rPr>
            </w:pPr>
          </w:p>
        </w:tc>
        <w:tc>
          <w:tcPr>
            <w:tcW w:w="1055" w:type="dxa"/>
            <w:noWrap w:val="0"/>
            <w:vAlign w:val="top"/>
          </w:tcPr>
          <w:p w14:paraId="6E4F20DB">
            <w:pPr>
              <w:wordWrap w:val="0"/>
              <w:topLinePunct/>
              <w:spacing w:line="360" w:lineRule="auto"/>
              <w:rPr>
                <w:rFonts w:ascii="宋体" w:hAnsi="宋体" w:eastAsia="宋体"/>
                <w:szCs w:val="24"/>
                <w:highlight w:val="none"/>
              </w:rPr>
            </w:pPr>
          </w:p>
        </w:tc>
        <w:tc>
          <w:tcPr>
            <w:tcW w:w="521" w:type="dxa"/>
            <w:noWrap w:val="0"/>
            <w:vAlign w:val="top"/>
          </w:tcPr>
          <w:p w14:paraId="1E04E3BA">
            <w:pPr>
              <w:wordWrap w:val="0"/>
              <w:topLinePunct/>
              <w:spacing w:line="360" w:lineRule="auto"/>
              <w:rPr>
                <w:rFonts w:ascii="宋体" w:hAnsi="宋体" w:eastAsia="宋体"/>
                <w:szCs w:val="24"/>
                <w:highlight w:val="none"/>
              </w:rPr>
            </w:pPr>
          </w:p>
        </w:tc>
      </w:tr>
      <w:tr w14:paraId="50AD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21280850">
            <w:pPr>
              <w:wordWrap w:val="0"/>
              <w:topLinePunct/>
              <w:spacing w:line="360" w:lineRule="auto"/>
              <w:rPr>
                <w:rFonts w:ascii="宋体" w:hAnsi="宋体" w:eastAsia="宋体"/>
                <w:szCs w:val="24"/>
                <w:highlight w:val="none"/>
              </w:rPr>
            </w:pPr>
          </w:p>
        </w:tc>
        <w:tc>
          <w:tcPr>
            <w:tcW w:w="1087" w:type="dxa"/>
            <w:noWrap w:val="0"/>
            <w:vAlign w:val="top"/>
          </w:tcPr>
          <w:p w14:paraId="0F3832B2">
            <w:pPr>
              <w:wordWrap w:val="0"/>
              <w:topLinePunct/>
              <w:spacing w:line="360" w:lineRule="auto"/>
              <w:rPr>
                <w:rFonts w:ascii="宋体" w:hAnsi="宋体" w:eastAsia="宋体"/>
                <w:szCs w:val="24"/>
                <w:highlight w:val="none"/>
              </w:rPr>
            </w:pPr>
          </w:p>
        </w:tc>
        <w:tc>
          <w:tcPr>
            <w:tcW w:w="761" w:type="dxa"/>
            <w:noWrap w:val="0"/>
            <w:vAlign w:val="top"/>
          </w:tcPr>
          <w:p w14:paraId="39855A74">
            <w:pPr>
              <w:wordWrap w:val="0"/>
              <w:topLinePunct/>
              <w:spacing w:line="360" w:lineRule="auto"/>
              <w:rPr>
                <w:rFonts w:ascii="宋体" w:hAnsi="宋体" w:eastAsia="宋体"/>
                <w:szCs w:val="24"/>
                <w:highlight w:val="none"/>
              </w:rPr>
            </w:pPr>
          </w:p>
        </w:tc>
        <w:tc>
          <w:tcPr>
            <w:tcW w:w="991" w:type="dxa"/>
            <w:noWrap w:val="0"/>
            <w:vAlign w:val="top"/>
          </w:tcPr>
          <w:p w14:paraId="54A65FD6">
            <w:pPr>
              <w:wordWrap w:val="0"/>
              <w:topLinePunct/>
              <w:spacing w:line="360" w:lineRule="auto"/>
              <w:rPr>
                <w:rFonts w:ascii="宋体" w:hAnsi="宋体" w:eastAsia="宋体"/>
                <w:szCs w:val="24"/>
                <w:highlight w:val="none"/>
              </w:rPr>
            </w:pPr>
          </w:p>
        </w:tc>
        <w:tc>
          <w:tcPr>
            <w:tcW w:w="672" w:type="dxa"/>
            <w:noWrap w:val="0"/>
            <w:vAlign w:val="top"/>
          </w:tcPr>
          <w:p w14:paraId="62996F46">
            <w:pPr>
              <w:wordWrap w:val="0"/>
              <w:topLinePunct/>
              <w:spacing w:line="360" w:lineRule="auto"/>
              <w:rPr>
                <w:rFonts w:ascii="宋体" w:hAnsi="宋体" w:eastAsia="宋体"/>
                <w:szCs w:val="24"/>
                <w:highlight w:val="none"/>
              </w:rPr>
            </w:pPr>
          </w:p>
        </w:tc>
        <w:tc>
          <w:tcPr>
            <w:tcW w:w="739" w:type="dxa"/>
            <w:noWrap w:val="0"/>
            <w:vAlign w:val="top"/>
          </w:tcPr>
          <w:p w14:paraId="077332AD">
            <w:pPr>
              <w:wordWrap w:val="0"/>
              <w:topLinePunct/>
              <w:spacing w:line="360" w:lineRule="auto"/>
              <w:rPr>
                <w:rFonts w:ascii="宋体" w:hAnsi="宋体" w:eastAsia="宋体"/>
                <w:szCs w:val="24"/>
                <w:highlight w:val="none"/>
              </w:rPr>
            </w:pPr>
          </w:p>
        </w:tc>
        <w:tc>
          <w:tcPr>
            <w:tcW w:w="1213" w:type="dxa"/>
            <w:noWrap w:val="0"/>
            <w:vAlign w:val="top"/>
          </w:tcPr>
          <w:p w14:paraId="2559214B">
            <w:pPr>
              <w:wordWrap w:val="0"/>
              <w:topLinePunct/>
              <w:spacing w:line="360" w:lineRule="auto"/>
              <w:rPr>
                <w:rFonts w:ascii="宋体" w:hAnsi="宋体" w:eastAsia="宋体"/>
                <w:szCs w:val="24"/>
                <w:highlight w:val="none"/>
              </w:rPr>
            </w:pPr>
          </w:p>
        </w:tc>
        <w:tc>
          <w:tcPr>
            <w:tcW w:w="875" w:type="dxa"/>
            <w:noWrap w:val="0"/>
            <w:vAlign w:val="top"/>
          </w:tcPr>
          <w:p w14:paraId="182BBE4A">
            <w:pPr>
              <w:wordWrap w:val="0"/>
              <w:topLinePunct/>
              <w:spacing w:line="360" w:lineRule="auto"/>
              <w:rPr>
                <w:rFonts w:ascii="宋体" w:hAnsi="宋体" w:eastAsia="宋体"/>
                <w:szCs w:val="24"/>
                <w:highlight w:val="none"/>
              </w:rPr>
            </w:pPr>
          </w:p>
        </w:tc>
        <w:tc>
          <w:tcPr>
            <w:tcW w:w="1055" w:type="dxa"/>
            <w:noWrap w:val="0"/>
            <w:vAlign w:val="top"/>
          </w:tcPr>
          <w:p w14:paraId="438C8E89">
            <w:pPr>
              <w:wordWrap w:val="0"/>
              <w:topLinePunct/>
              <w:spacing w:line="360" w:lineRule="auto"/>
              <w:rPr>
                <w:rFonts w:ascii="宋体" w:hAnsi="宋体" w:eastAsia="宋体"/>
                <w:szCs w:val="24"/>
                <w:highlight w:val="none"/>
              </w:rPr>
            </w:pPr>
          </w:p>
        </w:tc>
        <w:tc>
          <w:tcPr>
            <w:tcW w:w="521" w:type="dxa"/>
            <w:noWrap w:val="0"/>
            <w:vAlign w:val="top"/>
          </w:tcPr>
          <w:p w14:paraId="58E4B4C0">
            <w:pPr>
              <w:wordWrap w:val="0"/>
              <w:topLinePunct/>
              <w:spacing w:line="360" w:lineRule="auto"/>
              <w:rPr>
                <w:rFonts w:ascii="宋体" w:hAnsi="宋体" w:eastAsia="宋体"/>
                <w:szCs w:val="24"/>
                <w:highlight w:val="none"/>
              </w:rPr>
            </w:pPr>
          </w:p>
        </w:tc>
      </w:tr>
      <w:tr w14:paraId="7D43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4B89F3F1">
            <w:pPr>
              <w:wordWrap w:val="0"/>
              <w:topLinePunct/>
              <w:spacing w:line="360" w:lineRule="auto"/>
              <w:rPr>
                <w:rFonts w:ascii="宋体" w:hAnsi="宋体" w:eastAsia="宋体"/>
                <w:szCs w:val="24"/>
                <w:highlight w:val="none"/>
              </w:rPr>
            </w:pPr>
          </w:p>
        </w:tc>
        <w:tc>
          <w:tcPr>
            <w:tcW w:w="1087" w:type="dxa"/>
            <w:noWrap w:val="0"/>
            <w:vAlign w:val="top"/>
          </w:tcPr>
          <w:p w14:paraId="531E801F">
            <w:pPr>
              <w:wordWrap w:val="0"/>
              <w:topLinePunct/>
              <w:spacing w:line="360" w:lineRule="auto"/>
              <w:rPr>
                <w:rFonts w:ascii="宋体" w:hAnsi="宋体" w:eastAsia="宋体"/>
                <w:szCs w:val="24"/>
                <w:highlight w:val="none"/>
              </w:rPr>
            </w:pPr>
          </w:p>
        </w:tc>
        <w:tc>
          <w:tcPr>
            <w:tcW w:w="761" w:type="dxa"/>
            <w:noWrap w:val="0"/>
            <w:vAlign w:val="top"/>
          </w:tcPr>
          <w:p w14:paraId="0FFC5307">
            <w:pPr>
              <w:wordWrap w:val="0"/>
              <w:topLinePunct/>
              <w:spacing w:line="360" w:lineRule="auto"/>
              <w:rPr>
                <w:rFonts w:ascii="宋体" w:hAnsi="宋体" w:eastAsia="宋体"/>
                <w:szCs w:val="24"/>
                <w:highlight w:val="none"/>
              </w:rPr>
            </w:pPr>
          </w:p>
        </w:tc>
        <w:tc>
          <w:tcPr>
            <w:tcW w:w="991" w:type="dxa"/>
            <w:noWrap w:val="0"/>
            <w:vAlign w:val="top"/>
          </w:tcPr>
          <w:p w14:paraId="1C10E69C">
            <w:pPr>
              <w:wordWrap w:val="0"/>
              <w:topLinePunct/>
              <w:spacing w:line="360" w:lineRule="auto"/>
              <w:rPr>
                <w:rFonts w:ascii="宋体" w:hAnsi="宋体" w:eastAsia="宋体"/>
                <w:szCs w:val="24"/>
                <w:highlight w:val="none"/>
              </w:rPr>
            </w:pPr>
          </w:p>
        </w:tc>
        <w:tc>
          <w:tcPr>
            <w:tcW w:w="672" w:type="dxa"/>
            <w:noWrap w:val="0"/>
            <w:vAlign w:val="top"/>
          </w:tcPr>
          <w:p w14:paraId="6820EA56">
            <w:pPr>
              <w:wordWrap w:val="0"/>
              <w:topLinePunct/>
              <w:spacing w:line="360" w:lineRule="auto"/>
              <w:rPr>
                <w:rFonts w:ascii="宋体" w:hAnsi="宋体" w:eastAsia="宋体"/>
                <w:szCs w:val="24"/>
                <w:highlight w:val="none"/>
              </w:rPr>
            </w:pPr>
          </w:p>
        </w:tc>
        <w:tc>
          <w:tcPr>
            <w:tcW w:w="739" w:type="dxa"/>
            <w:noWrap w:val="0"/>
            <w:vAlign w:val="top"/>
          </w:tcPr>
          <w:p w14:paraId="39F2EECB">
            <w:pPr>
              <w:wordWrap w:val="0"/>
              <w:topLinePunct/>
              <w:spacing w:line="360" w:lineRule="auto"/>
              <w:rPr>
                <w:rFonts w:ascii="宋体" w:hAnsi="宋体" w:eastAsia="宋体"/>
                <w:szCs w:val="24"/>
                <w:highlight w:val="none"/>
              </w:rPr>
            </w:pPr>
          </w:p>
        </w:tc>
        <w:tc>
          <w:tcPr>
            <w:tcW w:w="1213" w:type="dxa"/>
            <w:noWrap w:val="0"/>
            <w:vAlign w:val="top"/>
          </w:tcPr>
          <w:p w14:paraId="4098FBC7">
            <w:pPr>
              <w:wordWrap w:val="0"/>
              <w:topLinePunct/>
              <w:spacing w:line="360" w:lineRule="auto"/>
              <w:rPr>
                <w:rFonts w:ascii="宋体" w:hAnsi="宋体" w:eastAsia="宋体"/>
                <w:szCs w:val="24"/>
                <w:highlight w:val="none"/>
              </w:rPr>
            </w:pPr>
          </w:p>
        </w:tc>
        <w:tc>
          <w:tcPr>
            <w:tcW w:w="875" w:type="dxa"/>
            <w:noWrap w:val="0"/>
            <w:vAlign w:val="top"/>
          </w:tcPr>
          <w:p w14:paraId="67F6AD19">
            <w:pPr>
              <w:wordWrap w:val="0"/>
              <w:topLinePunct/>
              <w:spacing w:line="360" w:lineRule="auto"/>
              <w:rPr>
                <w:rFonts w:ascii="宋体" w:hAnsi="宋体" w:eastAsia="宋体"/>
                <w:szCs w:val="24"/>
                <w:highlight w:val="none"/>
              </w:rPr>
            </w:pPr>
          </w:p>
        </w:tc>
        <w:tc>
          <w:tcPr>
            <w:tcW w:w="1055" w:type="dxa"/>
            <w:noWrap w:val="0"/>
            <w:vAlign w:val="top"/>
          </w:tcPr>
          <w:p w14:paraId="4D7A82CC">
            <w:pPr>
              <w:wordWrap w:val="0"/>
              <w:topLinePunct/>
              <w:spacing w:line="360" w:lineRule="auto"/>
              <w:rPr>
                <w:rFonts w:ascii="宋体" w:hAnsi="宋体" w:eastAsia="宋体"/>
                <w:szCs w:val="24"/>
                <w:highlight w:val="none"/>
              </w:rPr>
            </w:pPr>
          </w:p>
        </w:tc>
        <w:tc>
          <w:tcPr>
            <w:tcW w:w="521" w:type="dxa"/>
            <w:noWrap w:val="0"/>
            <w:vAlign w:val="top"/>
          </w:tcPr>
          <w:p w14:paraId="74DDED0E">
            <w:pPr>
              <w:wordWrap w:val="0"/>
              <w:topLinePunct/>
              <w:spacing w:line="360" w:lineRule="auto"/>
              <w:rPr>
                <w:rFonts w:ascii="宋体" w:hAnsi="宋体" w:eastAsia="宋体"/>
                <w:szCs w:val="24"/>
                <w:highlight w:val="none"/>
              </w:rPr>
            </w:pPr>
          </w:p>
        </w:tc>
      </w:tr>
      <w:tr w14:paraId="7291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3A806A00">
            <w:pPr>
              <w:wordWrap w:val="0"/>
              <w:topLinePunct/>
              <w:spacing w:line="360" w:lineRule="auto"/>
              <w:rPr>
                <w:rFonts w:ascii="宋体" w:hAnsi="宋体" w:eastAsia="宋体"/>
                <w:szCs w:val="24"/>
                <w:highlight w:val="none"/>
              </w:rPr>
            </w:pPr>
          </w:p>
        </w:tc>
        <w:tc>
          <w:tcPr>
            <w:tcW w:w="1087" w:type="dxa"/>
            <w:noWrap w:val="0"/>
            <w:vAlign w:val="top"/>
          </w:tcPr>
          <w:p w14:paraId="0FDB4D6C">
            <w:pPr>
              <w:wordWrap w:val="0"/>
              <w:topLinePunct/>
              <w:spacing w:line="360" w:lineRule="auto"/>
              <w:rPr>
                <w:rFonts w:ascii="宋体" w:hAnsi="宋体" w:eastAsia="宋体"/>
                <w:szCs w:val="24"/>
                <w:highlight w:val="none"/>
              </w:rPr>
            </w:pPr>
          </w:p>
        </w:tc>
        <w:tc>
          <w:tcPr>
            <w:tcW w:w="761" w:type="dxa"/>
            <w:noWrap w:val="0"/>
            <w:vAlign w:val="top"/>
          </w:tcPr>
          <w:p w14:paraId="5386687B">
            <w:pPr>
              <w:wordWrap w:val="0"/>
              <w:topLinePunct/>
              <w:spacing w:line="360" w:lineRule="auto"/>
              <w:rPr>
                <w:rFonts w:ascii="宋体" w:hAnsi="宋体" w:eastAsia="宋体"/>
                <w:szCs w:val="24"/>
                <w:highlight w:val="none"/>
              </w:rPr>
            </w:pPr>
          </w:p>
        </w:tc>
        <w:tc>
          <w:tcPr>
            <w:tcW w:w="991" w:type="dxa"/>
            <w:noWrap w:val="0"/>
            <w:vAlign w:val="top"/>
          </w:tcPr>
          <w:p w14:paraId="5AEC7C1D">
            <w:pPr>
              <w:wordWrap w:val="0"/>
              <w:topLinePunct/>
              <w:spacing w:line="360" w:lineRule="auto"/>
              <w:rPr>
                <w:rFonts w:ascii="宋体" w:hAnsi="宋体" w:eastAsia="宋体"/>
                <w:szCs w:val="24"/>
                <w:highlight w:val="none"/>
              </w:rPr>
            </w:pPr>
          </w:p>
        </w:tc>
        <w:tc>
          <w:tcPr>
            <w:tcW w:w="672" w:type="dxa"/>
            <w:noWrap w:val="0"/>
            <w:vAlign w:val="top"/>
          </w:tcPr>
          <w:p w14:paraId="43F79513">
            <w:pPr>
              <w:wordWrap w:val="0"/>
              <w:topLinePunct/>
              <w:spacing w:line="360" w:lineRule="auto"/>
              <w:rPr>
                <w:rFonts w:ascii="宋体" w:hAnsi="宋体" w:eastAsia="宋体"/>
                <w:szCs w:val="24"/>
                <w:highlight w:val="none"/>
              </w:rPr>
            </w:pPr>
          </w:p>
        </w:tc>
        <w:tc>
          <w:tcPr>
            <w:tcW w:w="739" w:type="dxa"/>
            <w:noWrap w:val="0"/>
            <w:vAlign w:val="top"/>
          </w:tcPr>
          <w:p w14:paraId="7685810A">
            <w:pPr>
              <w:wordWrap w:val="0"/>
              <w:topLinePunct/>
              <w:spacing w:line="360" w:lineRule="auto"/>
              <w:rPr>
                <w:rFonts w:ascii="宋体" w:hAnsi="宋体" w:eastAsia="宋体"/>
                <w:szCs w:val="24"/>
                <w:highlight w:val="none"/>
              </w:rPr>
            </w:pPr>
          </w:p>
        </w:tc>
        <w:tc>
          <w:tcPr>
            <w:tcW w:w="1213" w:type="dxa"/>
            <w:noWrap w:val="0"/>
            <w:vAlign w:val="top"/>
          </w:tcPr>
          <w:p w14:paraId="618070A0">
            <w:pPr>
              <w:wordWrap w:val="0"/>
              <w:topLinePunct/>
              <w:spacing w:line="360" w:lineRule="auto"/>
              <w:rPr>
                <w:rFonts w:ascii="宋体" w:hAnsi="宋体" w:eastAsia="宋体"/>
                <w:szCs w:val="24"/>
                <w:highlight w:val="none"/>
              </w:rPr>
            </w:pPr>
          </w:p>
        </w:tc>
        <w:tc>
          <w:tcPr>
            <w:tcW w:w="875" w:type="dxa"/>
            <w:noWrap w:val="0"/>
            <w:vAlign w:val="top"/>
          </w:tcPr>
          <w:p w14:paraId="13EB21A6">
            <w:pPr>
              <w:wordWrap w:val="0"/>
              <w:topLinePunct/>
              <w:spacing w:line="360" w:lineRule="auto"/>
              <w:rPr>
                <w:rFonts w:ascii="宋体" w:hAnsi="宋体" w:eastAsia="宋体"/>
                <w:szCs w:val="24"/>
                <w:highlight w:val="none"/>
              </w:rPr>
            </w:pPr>
          </w:p>
        </w:tc>
        <w:tc>
          <w:tcPr>
            <w:tcW w:w="1055" w:type="dxa"/>
            <w:noWrap w:val="0"/>
            <w:vAlign w:val="top"/>
          </w:tcPr>
          <w:p w14:paraId="1891255B">
            <w:pPr>
              <w:wordWrap w:val="0"/>
              <w:topLinePunct/>
              <w:spacing w:line="360" w:lineRule="auto"/>
              <w:rPr>
                <w:rFonts w:ascii="宋体" w:hAnsi="宋体" w:eastAsia="宋体"/>
                <w:szCs w:val="24"/>
                <w:highlight w:val="none"/>
              </w:rPr>
            </w:pPr>
          </w:p>
        </w:tc>
        <w:tc>
          <w:tcPr>
            <w:tcW w:w="521" w:type="dxa"/>
            <w:noWrap w:val="0"/>
            <w:vAlign w:val="top"/>
          </w:tcPr>
          <w:p w14:paraId="47DADA93">
            <w:pPr>
              <w:wordWrap w:val="0"/>
              <w:topLinePunct/>
              <w:spacing w:line="360" w:lineRule="auto"/>
              <w:rPr>
                <w:rFonts w:ascii="宋体" w:hAnsi="宋体" w:eastAsia="宋体"/>
                <w:szCs w:val="24"/>
                <w:highlight w:val="none"/>
              </w:rPr>
            </w:pPr>
          </w:p>
        </w:tc>
      </w:tr>
      <w:tr w14:paraId="4350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775F64B7">
            <w:pPr>
              <w:wordWrap w:val="0"/>
              <w:topLinePunct/>
              <w:spacing w:line="360" w:lineRule="auto"/>
              <w:rPr>
                <w:rFonts w:ascii="宋体" w:hAnsi="宋体" w:eastAsia="宋体"/>
                <w:szCs w:val="24"/>
                <w:highlight w:val="none"/>
              </w:rPr>
            </w:pPr>
          </w:p>
        </w:tc>
        <w:tc>
          <w:tcPr>
            <w:tcW w:w="1087" w:type="dxa"/>
            <w:noWrap w:val="0"/>
            <w:vAlign w:val="top"/>
          </w:tcPr>
          <w:p w14:paraId="51A52FFD">
            <w:pPr>
              <w:wordWrap w:val="0"/>
              <w:topLinePunct/>
              <w:spacing w:line="360" w:lineRule="auto"/>
              <w:rPr>
                <w:rFonts w:ascii="宋体" w:hAnsi="宋体" w:eastAsia="宋体"/>
                <w:szCs w:val="24"/>
                <w:highlight w:val="none"/>
              </w:rPr>
            </w:pPr>
          </w:p>
        </w:tc>
        <w:tc>
          <w:tcPr>
            <w:tcW w:w="761" w:type="dxa"/>
            <w:noWrap w:val="0"/>
            <w:vAlign w:val="top"/>
          </w:tcPr>
          <w:p w14:paraId="0CC0DC7E">
            <w:pPr>
              <w:wordWrap w:val="0"/>
              <w:topLinePunct/>
              <w:spacing w:line="360" w:lineRule="auto"/>
              <w:rPr>
                <w:rFonts w:ascii="宋体" w:hAnsi="宋体" w:eastAsia="宋体"/>
                <w:szCs w:val="24"/>
                <w:highlight w:val="none"/>
              </w:rPr>
            </w:pPr>
          </w:p>
        </w:tc>
        <w:tc>
          <w:tcPr>
            <w:tcW w:w="991" w:type="dxa"/>
            <w:noWrap w:val="0"/>
            <w:vAlign w:val="top"/>
          </w:tcPr>
          <w:p w14:paraId="78F6A2F9">
            <w:pPr>
              <w:wordWrap w:val="0"/>
              <w:topLinePunct/>
              <w:spacing w:line="360" w:lineRule="auto"/>
              <w:rPr>
                <w:rFonts w:ascii="宋体" w:hAnsi="宋体" w:eastAsia="宋体"/>
                <w:szCs w:val="24"/>
                <w:highlight w:val="none"/>
              </w:rPr>
            </w:pPr>
          </w:p>
        </w:tc>
        <w:tc>
          <w:tcPr>
            <w:tcW w:w="672" w:type="dxa"/>
            <w:noWrap w:val="0"/>
            <w:vAlign w:val="top"/>
          </w:tcPr>
          <w:p w14:paraId="06622F58">
            <w:pPr>
              <w:wordWrap w:val="0"/>
              <w:topLinePunct/>
              <w:spacing w:line="360" w:lineRule="auto"/>
              <w:rPr>
                <w:rFonts w:ascii="宋体" w:hAnsi="宋体" w:eastAsia="宋体"/>
                <w:szCs w:val="24"/>
                <w:highlight w:val="none"/>
              </w:rPr>
            </w:pPr>
          </w:p>
        </w:tc>
        <w:tc>
          <w:tcPr>
            <w:tcW w:w="739" w:type="dxa"/>
            <w:noWrap w:val="0"/>
            <w:vAlign w:val="top"/>
          </w:tcPr>
          <w:p w14:paraId="42CC4777">
            <w:pPr>
              <w:wordWrap w:val="0"/>
              <w:topLinePunct/>
              <w:spacing w:line="360" w:lineRule="auto"/>
              <w:rPr>
                <w:rFonts w:ascii="宋体" w:hAnsi="宋体" w:eastAsia="宋体"/>
                <w:szCs w:val="24"/>
                <w:highlight w:val="none"/>
              </w:rPr>
            </w:pPr>
          </w:p>
        </w:tc>
        <w:tc>
          <w:tcPr>
            <w:tcW w:w="1213" w:type="dxa"/>
            <w:noWrap w:val="0"/>
            <w:vAlign w:val="top"/>
          </w:tcPr>
          <w:p w14:paraId="68CCE9AB">
            <w:pPr>
              <w:wordWrap w:val="0"/>
              <w:topLinePunct/>
              <w:spacing w:line="360" w:lineRule="auto"/>
              <w:rPr>
                <w:rFonts w:ascii="宋体" w:hAnsi="宋体" w:eastAsia="宋体"/>
                <w:szCs w:val="24"/>
                <w:highlight w:val="none"/>
              </w:rPr>
            </w:pPr>
          </w:p>
        </w:tc>
        <w:tc>
          <w:tcPr>
            <w:tcW w:w="875" w:type="dxa"/>
            <w:noWrap w:val="0"/>
            <w:vAlign w:val="top"/>
          </w:tcPr>
          <w:p w14:paraId="0A4C3B8B">
            <w:pPr>
              <w:wordWrap w:val="0"/>
              <w:topLinePunct/>
              <w:spacing w:line="360" w:lineRule="auto"/>
              <w:rPr>
                <w:rFonts w:ascii="宋体" w:hAnsi="宋体" w:eastAsia="宋体"/>
                <w:szCs w:val="24"/>
                <w:highlight w:val="none"/>
              </w:rPr>
            </w:pPr>
          </w:p>
        </w:tc>
        <w:tc>
          <w:tcPr>
            <w:tcW w:w="1055" w:type="dxa"/>
            <w:noWrap w:val="0"/>
            <w:vAlign w:val="top"/>
          </w:tcPr>
          <w:p w14:paraId="43C10BBB">
            <w:pPr>
              <w:wordWrap w:val="0"/>
              <w:topLinePunct/>
              <w:spacing w:line="360" w:lineRule="auto"/>
              <w:rPr>
                <w:rFonts w:ascii="宋体" w:hAnsi="宋体" w:eastAsia="宋体"/>
                <w:szCs w:val="24"/>
                <w:highlight w:val="none"/>
              </w:rPr>
            </w:pPr>
          </w:p>
        </w:tc>
        <w:tc>
          <w:tcPr>
            <w:tcW w:w="521" w:type="dxa"/>
            <w:noWrap w:val="0"/>
            <w:vAlign w:val="top"/>
          </w:tcPr>
          <w:p w14:paraId="7E88215F">
            <w:pPr>
              <w:wordWrap w:val="0"/>
              <w:topLinePunct/>
              <w:spacing w:line="360" w:lineRule="auto"/>
              <w:rPr>
                <w:rFonts w:ascii="宋体" w:hAnsi="宋体" w:eastAsia="宋体"/>
                <w:szCs w:val="24"/>
                <w:highlight w:val="none"/>
              </w:rPr>
            </w:pPr>
          </w:p>
        </w:tc>
      </w:tr>
      <w:tr w14:paraId="4D49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52B19EB6">
            <w:pPr>
              <w:wordWrap w:val="0"/>
              <w:topLinePunct/>
              <w:spacing w:line="360" w:lineRule="auto"/>
              <w:rPr>
                <w:rFonts w:ascii="宋体" w:hAnsi="宋体" w:eastAsia="宋体"/>
                <w:szCs w:val="24"/>
                <w:highlight w:val="none"/>
              </w:rPr>
            </w:pPr>
          </w:p>
        </w:tc>
        <w:tc>
          <w:tcPr>
            <w:tcW w:w="1087" w:type="dxa"/>
            <w:noWrap w:val="0"/>
            <w:vAlign w:val="top"/>
          </w:tcPr>
          <w:p w14:paraId="4EF5B15F">
            <w:pPr>
              <w:wordWrap w:val="0"/>
              <w:topLinePunct/>
              <w:spacing w:line="360" w:lineRule="auto"/>
              <w:rPr>
                <w:rFonts w:ascii="宋体" w:hAnsi="宋体" w:eastAsia="宋体"/>
                <w:szCs w:val="24"/>
                <w:highlight w:val="none"/>
              </w:rPr>
            </w:pPr>
          </w:p>
        </w:tc>
        <w:tc>
          <w:tcPr>
            <w:tcW w:w="761" w:type="dxa"/>
            <w:noWrap w:val="0"/>
            <w:vAlign w:val="top"/>
          </w:tcPr>
          <w:p w14:paraId="46265810">
            <w:pPr>
              <w:wordWrap w:val="0"/>
              <w:topLinePunct/>
              <w:spacing w:line="360" w:lineRule="auto"/>
              <w:rPr>
                <w:rFonts w:ascii="宋体" w:hAnsi="宋体" w:eastAsia="宋体"/>
                <w:szCs w:val="24"/>
                <w:highlight w:val="none"/>
              </w:rPr>
            </w:pPr>
          </w:p>
        </w:tc>
        <w:tc>
          <w:tcPr>
            <w:tcW w:w="991" w:type="dxa"/>
            <w:noWrap w:val="0"/>
            <w:vAlign w:val="top"/>
          </w:tcPr>
          <w:p w14:paraId="1F6637B5">
            <w:pPr>
              <w:wordWrap w:val="0"/>
              <w:topLinePunct/>
              <w:spacing w:line="360" w:lineRule="auto"/>
              <w:rPr>
                <w:rFonts w:ascii="宋体" w:hAnsi="宋体" w:eastAsia="宋体"/>
                <w:szCs w:val="24"/>
                <w:highlight w:val="none"/>
              </w:rPr>
            </w:pPr>
          </w:p>
        </w:tc>
        <w:tc>
          <w:tcPr>
            <w:tcW w:w="672" w:type="dxa"/>
            <w:noWrap w:val="0"/>
            <w:vAlign w:val="top"/>
          </w:tcPr>
          <w:p w14:paraId="039973ED">
            <w:pPr>
              <w:wordWrap w:val="0"/>
              <w:topLinePunct/>
              <w:spacing w:line="360" w:lineRule="auto"/>
              <w:rPr>
                <w:rFonts w:ascii="宋体" w:hAnsi="宋体" w:eastAsia="宋体"/>
                <w:szCs w:val="24"/>
                <w:highlight w:val="none"/>
              </w:rPr>
            </w:pPr>
          </w:p>
        </w:tc>
        <w:tc>
          <w:tcPr>
            <w:tcW w:w="739" w:type="dxa"/>
            <w:noWrap w:val="0"/>
            <w:vAlign w:val="top"/>
          </w:tcPr>
          <w:p w14:paraId="38F358DD">
            <w:pPr>
              <w:wordWrap w:val="0"/>
              <w:topLinePunct/>
              <w:spacing w:line="360" w:lineRule="auto"/>
              <w:rPr>
                <w:rFonts w:ascii="宋体" w:hAnsi="宋体" w:eastAsia="宋体"/>
                <w:szCs w:val="24"/>
                <w:highlight w:val="none"/>
              </w:rPr>
            </w:pPr>
          </w:p>
        </w:tc>
        <w:tc>
          <w:tcPr>
            <w:tcW w:w="1213" w:type="dxa"/>
            <w:noWrap w:val="0"/>
            <w:vAlign w:val="top"/>
          </w:tcPr>
          <w:p w14:paraId="4F148FA8">
            <w:pPr>
              <w:wordWrap w:val="0"/>
              <w:topLinePunct/>
              <w:spacing w:line="360" w:lineRule="auto"/>
              <w:rPr>
                <w:rFonts w:ascii="宋体" w:hAnsi="宋体" w:eastAsia="宋体"/>
                <w:szCs w:val="24"/>
                <w:highlight w:val="none"/>
              </w:rPr>
            </w:pPr>
          </w:p>
        </w:tc>
        <w:tc>
          <w:tcPr>
            <w:tcW w:w="875" w:type="dxa"/>
            <w:noWrap w:val="0"/>
            <w:vAlign w:val="top"/>
          </w:tcPr>
          <w:p w14:paraId="1249D9ED">
            <w:pPr>
              <w:wordWrap w:val="0"/>
              <w:topLinePunct/>
              <w:spacing w:line="360" w:lineRule="auto"/>
              <w:rPr>
                <w:rFonts w:ascii="宋体" w:hAnsi="宋体" w:eastAsia="宋体"/>
                <w:szCs w:val="24"/>
                <w:highlight w:val="none"/>
              </w:rPr>
            </w:pPr>
          </w:p>
        </w:tc>
        <w:tc>
          <w:tcPr>
            <w:tcW w:w="1055" w:type="dxa"/>
            <w:noWrap w:val="0"/>
            <w:vAlign w:val="top"/>
          </w:tcPr>
          <w:p w14:paraId="3D3CAABE">
            <w:pPr>
              <w:wordWrap w:val="0"/>
              <w:topLinePunct/>
              <w:spacing w:line="360" w:lineRule="auto"/>
              <w:rPr>
                <w:rFonts w:ascii="宋体" w:hAnsi="宋体" w:eastAsia="宋体"/>
                <w:szCs w:val="24"/>
                <w:highlight w:val="none"/>
              </w:rPr>
            </w:pPr>
          </w:p>
        </w:tc>
        <w:tc>
          <w:tcPr>
            <w:tcW w:w="521" w:type="dxa"/>
            <w:noWrap w:val="0"/>
            <w:vAlign w:val="top"/>
          </w:tcPr>
          <w:p w14:paraId="41B64D7B">
            <w:pPr>
              <w:wordWrap w:val="0"/>
              <w:topLinePunct/>
              <w:spacing w:line="360" w:lineRule="auto"/>
              <w:rPr>
                <w:rFonts w:ascii="宋体" w:hAnsi="宋体" w:eastAsia="宋体"/>
                <w:szCs w:val="24"/>
                <w:highlight w:val="none"/>
              </w:rPr>
            </w:pPr>
          </w:p>
        </w:tc>
      </w:tr>
      <w:tr w14:paraId="3BC5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10EDA0BC">
            <w:pPr>
              <w:wordWrap w:val="0"/>
              <w:topLinePunct/>
              <w:spacing w:line="360" w:lineRule="auto"/>
              <w:rPr>
                <w:rFonts w:ascii="宋体" w:hAnsi="宋体" w:eastAsia="宋体"/>
                <w:szCs w:val="24"/>
                <w:highlight w:val="none"/>
              </w:rPr>
            </w:pPr>
          </w:p>
        </w:tc>
        <w:tc>
          <w:tcPr>
            <w:tcW w:w="1087" w:type="dxa"/>
            <w:noWrap w:val="0"/>
            <w:vAlign w:val="top"/>
          </w:tcPr>
          <w:p w14:paraId="7B6F45F9">
            <w:pPr>
              <w:wordWrap w:val="0"/>
              <w:topLinePunct/>
              <w:spacing w:line="360" w:lineRule="auto"/>
              <w:rPr>
                <w:rFonts w:ascii="宋体" w:hAnsi="宋体" w:eastAsia="宋体"/>
                <w:szCs w:val="24"/>
                <w:highlight w:val="none"/>
              </w:rPr>
            </w:pPr>
          </w:p>
        </w:tc>
        <w:tc>
          <w:tcPr>
            <w:tcW w:w="761" w:type="dxa"/>
            <w:noWrap w:val="0"/>
            <w:vAlign w:val="top"/>
          </w:tcPr>
          <w:p w14:paraId="65422518">
            <w:pPr>
              <w:wordWrap w:val="0"/>
              <w:topLinePunct/>
              <w:spacing w:line="360" w:lineRule="auto"/>
              <w:rPr>
                <w:rFonts w:ascii="宋体" w:hAnsi="宋体" w:eastAsia="宋体"/>
                <w:szCs w:val="24"/>
                <w:highlight w:val="none"/>
              </w:rPr>
            </w:pPr>
          </w:p>
        </w:tc>
        <w:tc>
          <w:tcPr>
            <w:tcW w:w="991" w:type="dxa"/>
            <w:noWrap w:val="0"/>
            <w:vAlign w:val="top"/>
          </w:tcPr>
          <w:p w14:paraId="46BB7425">
            <w:pPr>
              <w:wordWrap w:val="0"/>
              <w:topLinePunct/>
              <w:spacing w:line="360" w:lineRule="auto"/>
              <w:rPr>
                <w:rFonts w:ascii="宋体" w:hAnsi="宋体" w:eastAsia="宋体"/>
                <w:szCs w:val="24"/>
                <w:highlight w:val="none"/>
              </w:rPr>
            </w:pPr>
          </w:p>
        </w:tc>
        <w:tc>
          <w:tcPr>
            <w:tcW w:w="672" w:type="dxa"/>
            <w:noWrap w:val="0"/>
            <w:vAlign w:val="top"/>
          </w:tcPr>
          <w:p w14:paraId="619968E7">
            <w:pPr>
              <w:wordWrap w:val="0"/>
              <w:topLinePunct/>
              <w:spacing w:line="360" w:lineRule="auto"/>
              <w:rPr>
                <w:rFonts w:ascii="宋体" w:hAnsi="宋体" w:eastAsia="宋体"/>
                <w:szCs w:val="24"/>
                <w:highlight w:val="none"/>
              </w:rPr>
            </w:pPr>
          </w:p>
        </w:tc>
        <w:tc>
          <w:tcPr>
            <w:tcW w:w="739" w:type="dxa"/>
            <w:noWrap w:val="0"/>
            <w:vAlign w:val="top"/>
          </w:tcPr>
          <w:p w14:paraId="3A9286DE">
            <w:pPr>
              <w:wordWrap w:val="0"/>
              <w:topLinePunct/>
              <w:spacing w:line="360" w:lineRule="auto"/>
              <w:rPr>
                <w:rFonts w:ascii="宋体" w:hAnsi="宋体" w:eastAsia="宋体"/>
                <w:szCs w:val="24"/>
                <w:highlight w:val="none"/>
              </w:rPr>
            </w:pPr>
          </w:p>
        </w:tc>
        <w:tc>
          <w:tcPr>
            <w:tcW w:w="1213" w:type="dxa"/>
            <w:noWrap w:val="0"/>
            <w:vAlign w:val="top"/>
          </w:tcPr>
          <w:p w14:paraId="49301269">
            <w:pPr>
              <w:wordWrap w:val="0"/>
              <w:topLinePunct/>
              <w:spacing w:line="360" w:lineRule="auto"/>
              <w:rPr>
                <w:rFonts w:ascii="宋体" w:hAnsi="宋体" w:eastAsia="宋体"/>
                <w:szCs w:val="24"/>
                <w:highlight w:val="none"/>
              </w:rPr>
            </w:pPr>
          </w:p>
        </w:tc>
        <w:tc>
          <w:tcPr>
            <w:tcW w:w="875" w:type="dxa"/>
            <w:noWrap w:val="0"/>
            <w:vAlign w:val="top"/>
          </w:tcPr>
          <w:p w14:paraId="0BF0678D">
            <w:pPr>
              <w:wordWrap w:val="0"/>
              <w:topLinePunct/>
              <w:spacing w:line="360" w:lineRule="auto"/>
              <w:rPr>
                <w:rFonts w:ascii="宋体" w:hAnsi="宋体" w:eastAsia="宋体"/>
                <w:szCs w:val="24"/>
                <w:highlight w:val="none"/>
              </w:rPr>
            </w:pPr>
          </w:p>
        </w:tc>
        <w:tc>
          <w:tcPr>
            <w:tcW w:w="1055" w:type="dxa"/>
            <w:noWrap w:val="0"/>
            <w:vAlign w:val="top"/>
          </w:tcPr>
          <w:p w14:paraId="394AFB49">
            <w:pPr>
              <w:wordWrap w:val="0"/>
              <w:topLinePunct/>
              <w:spacing w:line="360" w:lineRule="auto"/>
              <w:rPr>
                <w:rFonts w:ascii="宋体" w:hAnsi="宋体" w:eastAsia="宋体"/>
                <w:szCs w:val="24"/>
                <w:highlight w:val="none"/>
              </w:rPr>
            </w:pPr>
          </w:p>
        </w:tc>
        <w:tc>
          <w:tcPr>
            <w:tcW w:w="521" w:type="dxa"/>
            <w:noWrap w:val="0"/>
            <w:vAlign w:val="top"/>
          </w:tcPr>
          <w:p w14:paraId="29E14BD3">
            <w:pPr>
              <w:wordWrap w:val="0"/>
              <w:topLinePunct/>
              <w:spacing w:line="360" w:lineRule="auto"/>
              <w:rPr>
                <w:rFonts w:ascii="宋体" w:hAnsi="宋体" w:eastAsia="宋体"/>
                <w:szCs w:val="24"/>
                <w:highlight w:val="none"/>
              </w:rPr>
            </w:pPr>
          </w:p>
        </w:tc>
      </w:tr>
      <w:tr w14:paraId="13A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noWrap w:val="0"/>
            <w:vAlign w:val="top"/>
          </w:tcPr>
          <w:p w14:paraId="47036872">
            <w:pPr>
              <w:wordWrap w:val="0"/>
              <w:topLinePunct/>
              <w:spacing w:line="360" w:lineRule="auto"/>
              <w:rPr>
                <w:rFonts w:ascii="宋体" w:hAnsi="宋体" w:eastAsia="宋体"/>
                <w:szCs w:val="24"/>
                <w:highlight w:val="none"/>
              </w:rPr>
            </w:pPr>
          </w:p>
        </w:tc>
        <w:tc>
          <w:tcPr>
            <w:tcW w:w="1087" w:type="dxa"/>
            <w:noWrap w:val="0"/>
            <w:vAlign w:val="top"/>
          </w:tcPr>
          <w:p w14:paraId="3A5CFC2D">
            <w:pPr>
              <w:wordWrap w:val="0"/>
              <w:topLinePunct/>
              <w:spacing w:line="360" w:lineRule="auto"/>
              <w:rPr>
                <w:rFonts w:ascii="宋体" w:hAnsi="宋体" w:eastAsia="宋体"/>
                <w:szCs w:val="24"/>
                <w:highlight w:val="none"/>
              </w:rPr>
            </w:pPr>
          </w:p>
        </w:tc>
        <w:tc>
          <w:tcPr>
            <w:tcW w:w="761" w:type="dxa"/>
            <w:noWrap w:val="0"/>
            <w:vAlign w:val="top"/>
          </w:tcPr>
          <w:p w14:paraId="4B638E78">
            <w:pPr>
              <w:wordWrap w:val="0"/>
              <w:topLinePunct/>
              <w:spacing w:line="360" w:lineRule="auto"/>
              <w:rPr>
                <w:rFonts w:ascii="宋体" w:hAnsi="宋体" w:eastAsia="宋体"/>
                <w:szCs w:val="24"/>
                <w:highlight w:val="none"/>
              </w:rPr>
            </w:pPr>
          </w:p>
        </w:tc>
        <w:tc>
          <w:tcPr>
            <w:tcW w:w="991" w:type="dxa"/>
            <w:noWrap w:val="0"/>
            <w:vAlign w:val="top"/>
          </w:tcPr>
          <w:p w14:paraId="64E26BD0">
            <w:pPr>
              <w:wordWrap w:val="0"/>
              <w:topLinePunct/>
              <w:spacing w:line="360" w:lineRule="auto"/>
              <w:rPr>
                <w:rFonts w:ascii="宋体" w:hAnsi="宋体" w:eastAsia="宋体"/>
                <w:szCs w:val="24"/>
                <w:highlight w:val="none"/>
              </w:rPr>
            </w:pPr>
          </w:p>
        </w:tc>
        <w:tc>
          <w:tcPr>
            <w:tcW w:w="672" w:type="dxa"/>
            <w:noWrap w:val="0"/>
            <w:vAlign w:val="top"/>
          </w:tcPr>
          <w:p w14:paraId="5D17DB2D">
            <w:pPr>
              <w:wordWrap w:val="0"/>
              <w:topLinePunct/>
              <w:spacing w:line="360" w:lineRule="auto"/>
              <w:rPr>
                <w:rFonts w:ascii="宋体" w:hAnsi="宋体" w:eastAsia="宋体"/>
                <w:szCs w:val="24"/>
                <w:highlight w:val="none"/>
              </w:rPr>
            </w:pPr>
          </w:p>
        </w:tc>
        <w:tc>
          <w:tcPr>
            <w:tcW w:w="739" w:type="dxa"/>
            <w:noWrap w:val="0"/>
            <w:vAlign w:val="top"/>
          </w:tcPr>
          <w:p w14:paraId="5F887084">
            <w:pPr>
              <w:wordWrap w:val="0"/>
              <w:topLinePunct/>
              <w:spacing w:line="360" w:lineRule="auto"/>
              <w:rPr>
                <w:rFonts w:ascii="宋体" w:hAnsi="宋体" w:eastAsia="宋体"/>
                <w:szCs w:val="24"/>
                <w:highlight w:val="none"/>
              </w:rPr>
            </w:pPr>
          </w:p>
        </w:tc>
        <w:tc>
          <w:tcPr>
            <w:tcW w:w="1213" w:type="dxa"/>
            <w:noWrap w:val="0"/>
            <w:vAlign w:val="top"/>
          </w:tcPr>
          <w:p w14:paraId="112596DF">
            <w:pPr>
              <w:wordWrap w:val="0"/>
              <w:topLinePunct/>
              <w:spacing w:line="360" w:lineRule="auto"/>
              <w:rPr>
                <w:rFonts w:ascii="宋体" w:hAnsi="宋体" w:eastAsia="宋体"/>
                <w:szCs w:val="24"/>
                <w:highlight w:val="none"/>
              </w:rPr>
            </w:pPr>
          </w:p>
        </w:tc>
        <w:tc>
          <w:tcPr>
            <w:tcW w:w="875" w:type="dxa"/>
            <w:noWrap w:val="0"/>
            <w:vAlign w:val="top"/>
          </w:tcPr>
          <w:p w14:paraId="4A429089">
            <w:pPr>
              <w:wordWrap w:val="0"/>
              <w:topLinePunct/>
              <w:spacing w:line="360" w:lineRule="auto"/>
              <w:rPr>
                <w:rFonts w:ascii="宋体" w:hAnsi="宋体" w:eastAsia="宋体"/>
                <w:szCs w:val="24"/>
                <w:highlight w:val="none"/>
              </w:rPr>
            </w:pPr>
          </w:p>
        </w:tc>
        <w:tc>
          <w:tcPr>
            <w:tcW w:w="1055" w:type="dxa"/>
            <w:noWrap w:val="0"/>
            <w:vAlign w:val="top"/>
          </w:tcPr>
          <w:p w14:paraId="1CC12455">
            <w:pPr>
              <w:wordWrap w:val="0"/>
              <w:topLinePunct/>
              <w:spacing w:line="360" w:lineRule="auto"/>
              <w:rPr>
                <w:rFonts w:ascii="宋体" w:hAnsi="宋体" w:eastAsia="宋体"/>
                <w:szCs w:val="24"/>
                <w:highlight w:val="none"/>
              </w:rPr>
            </w:pPr>
          </w:p>
        </w:tc>
        <w:tc>
          <w:tcPr>
            <w:tcW w:w="521" w:type="dxa"/>
            <w:noWrap w:val="0"/>
            <w:vAlign w:val="top"/>
          </w:tcPr>
          <w:p w14:paraId="7AB293F7">
            <w:pPr>
              <w:wordWrap w:val="0"/>
              <w:topLinePunct/>
              <w:spacing w:line="360" w:lineRule="auto"/>
              <w:rPr>
                <w:rFonts w:ascii="宋体" w:hAnsi="宋体" w:eastAsia="宋体"/>
                <w:szCs w:val="24"/>
                <w:highlight w:val="none"/>
              </w:rPr>
            </w:pPr>
          </w:p>
        </w:tc>
      </w:tr>
    </w:tbl>
    <w:p w14:paraId="552C513A">
      <w:pPr>
        <w:wordWrap w:val="0"/>
        <w:topLinePunct/>
        <w:spacing w:line="220" w:lineRule="atLeast"/>
        <w:rPr>
          <w:rFonts w:ascii="宋体" w:hAnsi="宋体" w:eastAsia="宋体" w:cs="宋体"/>
          <w:sz w:val="24"/>
          <w:szCs w:val="20"/>
          <w:highlight w:val="none"/>
        </w:rPr>
      </w:pPr>
    </w:p>
    <w:p w14:paraId="6A1EED87">
      <w:pPr>
        <w:keepNext/>
        <w:keepLines/>
        <w:wordWrap w:val="0"/>
        <w:topLinePunct/>
        <w:spacing w:line="500" w:lineRule="exact"/>
        <w:outlineLvl w:val="2"/>
        <w:rPr>
          <w:rFonts w:ascii="宋体" w:hAnsi="宋体" w:eastAsia="宋体" w:cs="宋体"/>
          <w:b/>
          <w:sz w:val="28"/>
          <w:szCs w:val="28"/>
          <w:highlight w:val="none"/>
        </w:rPr>
      </w:pPr>
      <w:r>
        <w:rPr>
          <w:rFonts w:ascii="宋体" w:hAnsi="宋体" w:eastAsia="宋体" w:cs="宋体"/>
          <w:sz w:val="28"/>
          <w:szCs w:val="28"/>
          <w:highlight w:val="none"/>
        </w:rPr>
        <w:br w:type="page"/>
      </w:r>
      <w:r>
        <w:rPr>
          <w:rFonts w:ascii="宋体" w:hAnsi="宋体" w:eastAsia="宋体" w:cs="宋体"/>
          <w:sz w:val="28"/>
          <w:szCs w:val="28"/>
          <w:highlight w:val="none"/>
        </w:rPr>
        <w:t>附表二：</w:t>
      </w:r>
      <w:r>
        <w:rPr>
          <w:rFonts w:hint="eastAsia" w:ascii="宋体" w:hAnsi="宋体" w:eastAsia="宋体" w:cs="宋体"/>
          <w:sz w:val="28"/>
          <w:szCs w:val="28"/>
          <w:highlight w:val="none"/>
        </w:rPr>
        <w:t>拟投入本工程的试验和检测仪器设备表</w:t>
      </w:r>
      <w:bookmarkEnd w:id="548"/>
      <w:bookmarkEnd w:id="549"/>
      <w:bookmarkEnd w:id="550"/>
      <w:bookmarkEnd w:id="551"/>
    </w:p>
    <w:p w14:paraId="60DAD0A6">
      <w:pPr>
        <w:wordWrap w:val="0"/>
        <w:topLinePunct/>
        <w:spacing w:line="500" w:lineRule="exact"/>
        <w:jc w:val="center"/>
        <w:rPr>
          <w:rFonts w:ascii="宋体" w:hAnsi="宋体" w:eastAsia="宋体"/>
          <w:b/>
          <w:sz w:val="28"/>
          <w:szCs w:val="28"/>
          <w:highlight w:val="none"/>
        </w:rPr>
      </w:pPr>
      <w:r>
        <w:rPr>
          <w:rFonts w:ascii="宋体" w:hAnsi="宋体" w:eastAsia="宋体"/>
          <w:b/>
          <w:sz w:val="28"/>
          <w:szCs w:val="28"/>
          <w:highlight w:val="none"/>
        </w:rPr>
        <w:t>拟</w:t>
      </w:r>
      <w:r>
        <w:rPr>
          <w:rFonts w:hint="eastAsia" w:ascii="宋体" w:hAnsi="宋体" w:eastAsia="宋体"/>
          <w:b/>
          <w:sz w:val="28"/>
          <w:szCs w:val="28"/>
          <w:highlight w:val="none"/>
        </w:rPr>
        <w:t>投入</w:t>
      </w:r>
      <w:r>
        <w:rPr>
          <w:rFonts w:ascii="宋体" w:hAnsi="宋体" w:eastAsia="宋体"/>
          <w:b/>
          <w:sz w:val="28"/>
          <w:szCs w:val="28"/>
          <w:highlight w:val="none"/>
        </w:rPr>
        <w:t>本</w:t>
      </w:r>
      <w:r>
        <w:rPr>
          <w:rFonts w:hint="eastAsia" w:ascii="宋体" w:hAnsi="宋体" w:eastAsia="宋体"/>
          <w:b/>
          <w:sz w:val="28"/>
          <w:szCs w:val="28"/>
          <w:highlight w:val="none"/>
        </w:rPr>
        <w:t>工程</w:t>
      </w:r>
      <w:r>
        <w:rPr>
          <w:rFonts w:ascii="宋体" w:hAnsi="宋体" w:eastAsia="宋体"/>
          <w:b/>
          <w:sz w:val="28"/>
          <w:szCs w:val="28"/>
          <w:highlight w:val="none"/>
        </w:rPr>
        <w:t>的</w:t>
      </w:r>
      <w:r>
        <w:rPr>
          <w:rFonts w:hint="eastAsia" w:ascii="宋体" w:hAnsi="宋体" w:eastAsia="宋体"/>
          <w:b/>
          <w:sz w:val="28"/>
          <w:szCs w:val="28"/>
          <w:highlight w:val="none"/>
        </w:rPr>
        <w:t>试</w:t>
      </w:r>
      <w:r>
        <w:rPr>
          <w:rFonts w:ascii="宋体" w:hAnsi="宋体" w:eastAsia="宋体"/>
          <w:b/>
          <w:sz w:val="28"/>
          <w:szCs w:val="28"/>
          <w:highlight w:val="none"/>
        </w:rPr>
        <w:t>验和检测仪器设备表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24"/>
        <w:gridCol w:w="1090"/>
        <w:gridCol w:w="664"/>
        <w:gridCol w:w="990"/>
        <w:gridCol w:w="1157"/>
        <w:gridCol w:w="991"/>
        <w:gridCol w:w="1142"/>
        <w:gridCol w:w="685"/>
      </w:tblGrid>
      <w:tr w14:paraId="1E03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14:paraId="14AB5302">
            <w:pPr>
              <w:topLinePunct/>
              <w:spacing w:line="500" w:lineRule="exact"/>
              <w:jc w:val="center"/>
              <w:rPr>
                <w:rFonts w:ascii="宋体" w:hAnsi="宋体" w:eastAsia="宋体"/>
                <w:szCs w:val="21"/>
                <w:highlight w:val="none"/>
              </w:rPr>
            </w:pPr>
            <w:r>
              <w:rPr>
                <w:rFonts w:ascii="宋体" w:hAnsi="宋体" w:eastAsia="宋体"/>
                <w:szCs w:val="21"/>
                <w:highlight w:val="none"/>
              </w:rPr>
              <w:t>序号</w:t>
            </w:r>
          </w:p>
        </w:tc>
        <w:tc>
          <w:tcPr>
            <w:tcW w:w="1224" w:type="dxa"/>
            <w:noWrap w:val="0"/>
            <w:vAlign w:val="center"/>
          </w:tcPr>
          <w:p w14:paraId="5C7529B2">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仪器设备名称</w:t>
            </w:r>
          </w:p>
        </w:tc>
        <w:tc>
          <w:tcPr>
            <w:tcW w:w="1090" w:type="dxa"/>
            <w:noWrap w:val="0"/>
            <w:vAlign w:val="center"/>
          </w:tcPr>
          <w:p w14:paraId="42279C15">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型号规格</w:t>
            </w:r>
          </w:p>
        </w:tc>
        <w:tc>
          <w:tcPr>
            <w:tcW w:w="664" w:type="dxa"/>
            <w:noWrap w:val="0"/>
            <w:vAlign w:val="center"/>
          </w:tcPr>
          <w:p w14:paraId="3552FB22">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数量</w:t>
            </w:r>
          </w:p>
        </w:tc>
        <w:tc>
          <w:tcPr>
            <w:tcW w:w="990" w:type="dxa"/>
            <w:noWrap w:val="0"/>
            <w:vAlign w:val="center"/>
          </w:tcPr>
          <w:p w14:paraId="7A386B39">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国别</w:t>
            </w:r>
          </w:p>
          <w:p w14:paraId="133F6A41">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产地</w:t>
            </w:r>
          </w:p>
        </w:tc>
        <w:tc>
          <w:tcPr>
            <w:tcW w:w="1157" w:type="dxa"/>
            <w:noWrap w:val="0"/>
            <w:vAlign w:val="center"/>
          </w:tcPr>
          <w:p w14:paraId="3930DBE9">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制造年份</w:t>
            </w:r>
          </w:p>
        </w:tc>
        <w:tc>
          <w:tcPr>
            <w:tcW w:w="991" w:type="dxa"/>
            <w:noWrap w:val="0"/>
            <w:vAlign w:val="center"/>
          </w:tcPr>
          <w:p w14:paraId="6BF43BCD">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已使用台时数</w:t>
            </w:r>
          </w:p>
        </w:tc>
        <w:tc>
          <w:tcPr>
            <w:tcW w:w="1142" w:type="dxa"/>
            <w:noWrap w:val="0"/>
            <w:vAlign w:val="center"/>
          </w:tcPr>
          <w:p w14:paraId="62C78DE3">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用途</w:t>
            </w:r>
          </w:p>
        </w:tc>
        <w:tc>
          <w:tcPr>
            <w:tcW w:w="685" w:type="dxa"/>
            <w:noWrap w:val="0"/>
            <w:vAlign w:val="center"/>
          </w:tcPr>
          <w:p w14:paraId="2E09B9B3">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备注</w:t>
            </w:r>
          </w:p>
        </w:tc>
      </w:tr>
      <w:tr w14:paraId="0CB1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14:paraId="0813FFE1">
            <w:pPr>
              <w:wordWrap w:val="0"/>
              <w:topLinePunct/>
              <w:spacing w:line="500" w:lineRule="exact"/>
              <w:rPr>
                <w:rFonts w:ascii="宋体" w:hAnsi="宋体" w:eastAsia="宋体"/>
                <w:szCs w:val="24"/>
                <w:highlight w:val="none"/>
              </w:rPr>
            </w:pPr>
          </w:p>
        </w:tc>
        <w:tc>
          <w:tcPr>
            <w:tcW w:w="1224" w:type="dxa"/>
            <w:noWrap w:val="0"/>
            <w:vAlign w:val="center"/>
          </w:tcPr>
          <w:p w14:paraId="48EDAA68">
            <w:pPr>
              <w:wordWrap w:val="0"/>
              <w:topLinePunct/>
              <w:spacing w:line="500" w:lineRule="exact"/>
              <w:rPr>
                <w:rFonts w:ascii="宋体" w:hAnsi="宋体" w:eastAsia="宋体"/>
                <w:szCs w:val="24"/>
                <w:highlight w:val="none"/>
              </w:rPr>
            </w:pPr>
          </w:p>
        </w:tc>
        <w:tc>
          <w:tcPr>
            <w:tcW w:w="1090" w:type="dxa"/>
            <w:noWrap w:val="0"/>
            <w:vAlign w:val="center"/>
          </w:tcPr>
          <w:p w14:paraId="547E9838">
            <w:pPr>
              <w:wordWrap w:val="0"/>
              <w:topLinePunct/>
              <w:spacing w:line="500" w:lineRule="exact"/>
              <w:rPr>
                <w:rFonts w:ascii="宋体" w:hAnsi="宋体" w:eastAsia="宋体"/>
                <w:szCs w:val="24"/>
                <w:highlight w:val="none"/>
              </w:rPr>
            </w:pPr>
          </w:p>
        </w:tc>
        <w:tc>
          <w:tcPr>
            <w:tcW w:w="664" w:type="dxa"/>
            <w:noWrap w:val="0"/>
            <w:vAlign w:val="center"/>
          </w:tcPr>
          <w:p w14:paraId="54920557">
            <w:pPr>
              <w:wordWrap w:val="0"/>
              <w:topLinePunct/>
              <w:spacing w:line="500" w:lineRule="exact"/>
              <w:rPr>
                <w:rFonts w:ascii="宋体" w:hAnsi="宋体" w:eastAsia="宋体"/>
                <w:szCs w:val="24"/>
                <w:highlight w:val="none"/>
              </w:rPr>
            </w:pPr>
          </w:p>
        </w:tc>
        <w:tc>
          <w:tcPr>
            <w:tcW w:w="990" w:type="dxa"/>
            <w:noWrap w:val="0"/>
            <w:vAlign w:val="center"/>
          </w:tcPr>
          <w:p w14:paraId="09639BCB">
            <w:pPr>
              <w:wordWrap w:val="0"/>
              <w:topLinePunct/>
              <w:spacing w:line="500" w:lineRule="exact"/>
              <w:rPr>
                <w:rFonts w:ascii="宋体" w:hAnsi="宋体" w:eastAsia="宋体"/>
                <w:szCs w:val="24"/>
                <w:highlight w:val="none"/>
              </w:rPr>
            </w:pPr>
          </w:p>
        </w:tc>
        <w:tc>
          <w:tcPr>
            <w:tcW w:w="1157" w:type="dxa"/>
            <w:noWrap w:val="0"/>
            <w:vAlign w:val="center"/>
          </w:tcPr>
          <w:p w14:paraId="5F29900C">
            <w:pPr>
              <w:wordWrap w:val="0"/>
              <w:topLinePunct/>
              <w:spacing w:line="500" w:lineRule="exact"/>
              <w:rPr>
                <w:rFonts w:ascii="宋体" w:hAnsi="宋体" w:eastAsia="宋体"/>
                <w:szCs w:val="24"/>
                <w:highlight w:val="none"/>
              </w:rPr>
            </w:pPr>
          </w:p>
        </w:tc>
        <w:tc>
          <w:tcPr>
            <w:tcW w:w="991" w:type="dxa"/>
            <w:noWrap w:val="0"/>
            <w:vAlign w:val="center"/>
          </w:tcPr>
          <w:p w14:paraId="4935FE22">
            <w:pPr>
              <w:wordWrap w:val="0"/>
              <w:topLinePunct/>
              <w:spacing w:line="500" w:lineRule="exact"/>
              <w:rPr>
                <w:rFonts w:ascii="宋体" w:hAnsi="宋体" w:eastAsia="宋体"/>
                <w:szCs w:val="24"/>
                <w:highlight w:val="none"/>
              </w:rPr>
            </w:pPr>
          </w:p>
        </w:tc>
        <w:tc>
          <w:tcPr>
            <w:tcW w:w="1142" w:type="dxa"/>
            <w:noWrap w:val="0"/>
            <w:vAlign w:val="center"/>
          </w:tcPr>
          <w:p w14:paraId="3173A3C8">
            <w:pPr>
              <w:wordWrap w:val="0"/>
              <w:topLinePunct/>
              <w:spacing w:line="500" w:lineRule="exact"/>
              <w:rPr>
                <w:rFonts w:ascii="宋体" w:hAnsi="宋体" w:eastAsia="宋体"/>
                <w:szCs w:val="24"/>
                <w:highlight w:val="none"/>
              </w:rPr>
            </w:pPr>
          </w:p>
        </w:tc>
        <w:tc>
          <w:tcPr>
            <w:tcW w:w="685" w:type="dxa"/>
            <w:noWrap w:val="0"/>
            <w:vAlign w:val="center"/>
          </w:tcPr>
          <w:p w14:paraId="3AC424BE">
            <w:pPr>
              <w:wordWrap w:val="0"/>
              <w:topLinePunct/>
              <w:spacing w:line="500" w:lineRule="exact"/>
              <w:rPr>
                <w:rFonts w:ascii="宋体" w:hAnsi="宋体" w:eastAsia="宋体"/>
                <w:szCs w:val="24"/>
                <w:highlight w:val="none"/>
              </w:rPr>
            </w:pPr>
          </w:p>
        </w:tc>
      </w:tr>
      <w:tr w14:paraId="6CD0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14:paraId="5D0EB091">
            <w:pPr>
              <w:wordWrap w:val="0"/>
              <w:topLinePunct/>
              <w:spacing w:line="500" w:lineRule="exact"/>
              <w:rPr>
                <w:rFonts w:ascii="宋体" w:hAnsi="宋体" w:eastAsia="宋体"/>
                <w:szCs w:val="24"/>
                <w:highlight w:val="none"/>
              </w:rPr>
            </w:pPr>
          </w:p>
        </w:tc>
        <w:tc>
          <w:tcPr>
            <w:tcW w:w="1224" w:type="dxa"/>
            <w:noWrap w:val="0"/>
            <w:vAlign w:val="center"/>
          </w:tcPr>
          <w:p w14:paraId="1412833A">
            <w:pPr>
              <w:wordWrap w:val="0"/>
              <w:topLinePunct/>
              <w:spacing w:line="500" w:lineRule="exact"/>
              <w:rPr>
                <w:rFonts w:ascii="宋体" w:hAnsi="宋体" w:eastAsia="宋体"/>
                <w:szCs w:val="24"/>
                <w:highlight w:val="none"/>
              </w:rPr>
            </w:pPr>
          </w:p>
        </w:tc>
        <w:tc>
          <w:tcPr>
            <w:tcW w:w="1090" w:type="dxa"/>
            <w:noWrap w:val="0"/>
            <w:vAlign w:val="center"/>
          </w:tcPr>
          <w:p w14:paraId="4C5B6418">
            <w:pPr>
              <w:wordWrap w:val="0"/>
              <w:topLinePunct/>
              <w:spacing w:line="500" w:lineRule="exact"/>
              <w:rPr>
                <w:rFonts w:ascii="宋体" w:hAnsi="宋体" w:eastAsia="宋体"/>
                <w:szCs w:val="24"/>
                <w:highlight w:val="none"/>
              </w:rPr>
            </w:pPr>
          </w:p>
        </w:tc>
        <w:tc>
          <w:tcPr>
            <w:tcW w:w="664" w:type="dxa"/>
            <w:noWrap w:val="0"/>
            <w:vAlign w:val="center"/>
          </w:tcPr>
          <w:p w14:paraId="3F2FAA16">
            <w:pPr>
              <w:wordWrap w:val="0"/>
              <w:topLinePunct/>
              <w:spacing w:line="500" w:lineRule="exact"/>
              <w:rPr>
                <w:rFonts w:ascii="宋体" w:hAnsi="宋体" w:eastAsia="宋体"/>
                <w:szCs w:val="24"/>
                <w:highlight w:val="none"/>
              </w:rPr>
            </w:pPr>
          </w:p>
        </w:tc>
        <w:tc>
          <w:tcPr>
            <w:tcW w:w="990" w:type="dxa"/>
            <w:noWrap w:val="0"/>
            <w:vAlign w:val="center"/>
          </w:tcPr>
          <w:p w14:paraId="5D7BC251">
            <w:pPr>
              <w:wordWrap w:val="0"/>
              <w:topLinePunct/>
              <w:spacing w:line="500" w:lineRule="exact"/>
              <w:rPr>
                <w:rFonts w:ascii="宋体" w:hAnsi="宋体" w:eastAsia="宋体"/>
                <w:szCs w:val="24"/>
                <w:highlight w:val="none"/>
              </w:rPr>
            </w:pPr>
          </w:p>
        </w:tc>
        <w:tc>
          <w:tcPr>
            <w:tcW w:w="1157" w:type="dxa"/>
            <w:noWrap w:val="0"/>
            <w:vAlign w:val="center"/>
          </w:tcPr>
          <w:p w14:paraId="16A4C5E9">
            <w:pPr>
              <w:wordWrap w:val="0"/>
              <w:topLinePunct/>
              <w:spacing w:line="500" w:lineRule="exact"/>
              <w:rPr>
                <w:rFonts w:ascii="宋体" w:hAnsi="宋体" w:eastAsia="宋体"/>
                <w:szCs w:val="24"/>
                <w:highlight w:val="none"/>
              </w:rPr>
            </w:pPr>
          </w:p>
        </w:tc>
        <w:tc>
          <w:tcPr>
            <w:tcW w:w="991" w:type="dxa"/>
            <w:noWrap w:val="0"/>
            <w:vAlign w:val="center"/>
          </w:tcPr>
          <w:p w14:paraId="342F6812">
            <w:pPr>
              <w:wordWrap w:val="0"/>
              <w:topLinePunct/>
              <w:spacing w:line="500" w:lineRule="exact"/>
              <w:rPr>
                <w:rFonts w:ascii="宋体" w:hAnsi="宋体" w:eastAsia="宋体"/>
                <w:szCs w:val="24"/>
                <w:highlight w:val="none"/>
              </w:rPr>
            </w:pPr>
          </w:p>
        </w:tc>
        <w:tc>
          <w:tcPr>
            <w:tcW w:w="1142" w:type="dxa"/>
            <w:noWrap w:val="0"/>
            <w:vAlign w:val="center"/>
          </w:tcPr>
          <w:p w14:paraId="40060CDB">
            <w:pPr>
              <w:wordWrap w:val="0"/>
              <w:topLinePunct/>
              <w:spacing w:line="500" w:lineRule="exact"/>
              <w:rPr>
                <w:rFonts w:ascii="宋体" w:hAnsi="宋体" w:eastAsia="宋体"/>
                <w:szCs w:val="24"/>
                <w:highlight w:val="none"/>
              </w:rPr>
            </w:pPr>
          </w:p>
        </w:tc>
        <w:tc>
          <w:tcPr>
            <w:tcW w:w="685" w:type="dxa"/>
            <w:noWrap w:val="0"/>
            <w:vAlign w:val="center"/>
          </w:tcPr>
          <w:p w14:paraId="0087929A">
            <w:pPr>
              <w:wordWrap w:val="0"/>
              <w:topLinePunct/>
              <w:spacing w:line="500" w:lineRule="exact"/>
              <w:rPr>
                <w:rFonts w:ascii="宋体" w:hAnsi="宋体" w:eastAsia="宋体"/>
                <w:szCs w:val="24"/>
                <w:highlight w:val="none"/>
              </w:rPr>
            </w:pPr>
          </w:p>
        </w:tc>
      </w:tr>
      <w:tr w14:paraId="4A1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1D950398">
            <w:pPr>
              <w:wordWrap w:val="0"/>
              <w:topLinePunct/>
              <w:spacing w:line="500" w:lineRule="exact"/>
              <w:rPr>
                <w:rFonts w:ascii="宋体" w:hAnsi="宋体" w:eastAsia="宋体"/>
                <w:szCs w:val="24"/>
                <w:highlight w:val="none"/>
              </w:rPr>
            </w:pPr>
          </w:p>
        </w:tc>
        <w:tc>
          <w:tcPr>
            <w:tcW w:w="1224" w:type="dxa"/>
            <w:noWrap w:val="0"/>
            <w:vAlign w:val="top"/>
          </w:tcPr>
          <w:p w14:paraId="1A0ADF5C">
            <w:pPr>
              <w:wordWrap w:val="0"/>
              <w:topLinePunct/>
              <w:spacing w:line="500" w:lineRule="exact"/>
              <w:rPr>
                <w:rFonts w:ascii="宋体" w:hAnsi="宋体" w:eastAsia="宋体"/>
                <w:szCs w:val="24"/>
                <w:highlight w:val="none"/>
              </w:rPr>
            </w:pPr>
          </w:p>
        </w:tc>
        <w:tc>
          <w:tcPr>
            <w:tcW w:w="1090" w:type="dxa"/>
            <w:noWrap w:val="0"/>
            <w:vAlign w:val="top"/>
          </w:tcPr>
          <w:p w14:paraId="671EA258">
            <w:pPr>
              <w:wordWrap w:val="0"/>
              <w:topLinePunct/>
              <w:spacing w:line="500" w:lineRule="exact"/>
              <w:rPr>
                <w:rFonts w:ascii="宋体" w:hAnsi="宋体" w:eastAsia="宋体"/>
                <w:szCs w:val="24"/>
                <w:highlight w:val="none"/>
              </w:rPr>
            </w:pPr>
          </w:p>
        </w:tc>
        <w:tc>
          <w:tcPr>
            <w:tcW w:w="664" w:type="dxa"/>
            <w:noWrap w:val="0"/>
            <w:vAlign w:val="top"/>
          </w:tcPr>
          <w:p w14:paraId="7F68367E">
            <w:pPr>
              <w:wordWrap w:val="0"/>
              <w:topLinePunct/>
              <w:spacing w:line="500" w:lineRule="exact"/>
              <w:rPr>
                <w:rFonts w:ascii="宋体" w:hAnsi="宋体" w:eastAsia="宋体"/>
                <w:szCs w:val="24"/>
                <w:highlight w:val="none"/>
              </w:rPr>
            </w:pPr>
          </w:p>
        </w:tc>
        <w:tc>
          <w:tcPr>
            <w:tcW w:w="990" w:type="dxa"/>
            <w:noWrap w:val="0"/>
            <w:vAlign w:val="top"/>
          </w:tcPr>
          <w:p w14:paraId="5D05C5CA">
            <w:pPr>
              <w:wordWrap w:val="0"/>
              <w:topLinePunct/>
              <w:spacing w:line="500" w:lineRule="exact"/>
              <w:rPr>
                <w:rFonts w:ascii="宋体" w:hAnsi="宋体" w:eastAsia="宋体"/>
                <w:szCs w:val="24"/>
                <w:highlight w:val="none"/>
              </w:rPr>
            </w:pPr>
          </w:p>
        </w:tc>
        <w:tc>
          <w:tcPr>
            <w:tcW w:w="1157" w:type="dxa"/>
            <w:noWrap w:val="0"/>
            <w:vAlign w:val="top"/>
          </w:tcPr>
          <w:p w14:paraId="00344F82">
            <w:pPr>
              <w:wordWrap w:val="0"/>
              <w:topLinePunct/>
              <w:spacing w:line="500" w:lineRule="exact"/>
              <w:rPr>
                <w:rFonts w:ascii="宋体" w:hAnsi="宋体" w:eastAsia="宋体"/>
                <w:szCs w:val="24"/>
                <w:highlight w:val="none"/>
              </w:rPr>
            </w:pPr>
          </w:p>
        </w:tc>
        <w:tc>
          <w:tcPr>
            <w:tcW w:w="991" w:type="dxa"/>
            <w:noWrap w:val="0"/>
            <w:vAlign w:val="top"/>
          </w:tcPr>
          <w:p w14:paraId="49014701">
            <w:pPr>
              <w:wordWrap w:val="0"/>
              <w:topLinePunct/>
              <w:spacing w:line="500" w:lineRule="exact"/>
              <w:rPr>
                <w:rFonts w:ascii="宋体" w:hAnsi="宋体" w:eastAsia="宋体"/>
                <w:szCs w:val="24"/>
                <w:highlight w:val="none"/>
              </w:rPr>
            </w:pPr>
          </w:p>
        </w:tc>
        <w:tc>
          <w:tcPr>
            <w:tcW w:w="1142" w:type="dxa"/>
            <w:noWrap w:val="0"/>
            <w:vAlign w:val="top"/>
          </w:tcPr>
          <w:p w14:paraId="7256101A">
            <w:pPr>
              <w:wordWrap w:val="0"/>
              <w:topLinePunct/>
              <w:spacing w:line="500" w:lineRule="exact"/>
              <w:rPr>
                <w:rFonts w:ascii="宋体" w:hAnsi="宋体" w:eastAsia="宋体"/>
                <w:szCs w:val="24"/>
                <w:highlight w:val="none"/>
              </w:rPr>
            </w:pPr>
          </w:p>
        </w:tc>
        <w:tc>
          <w:tcPr>
            <w:tcW w:w="685" w:type="dxa"/>
            <w:noWrap w:val="0"/>
            <w:vAlign w:val="top"/>
          </w:tcPr>
          <w:p w14:paraId="4C96BE58">
            <w:pPr>
              <w:wordWrap w:val="0"/>
              <w:topLinePunct/>
              <w:spacing w:line="500" w:lineRule="exact"/>
              <w:rPr>
                <w:rFonts w:ascii="宋体" w:hAnsi="宋体" w:eastAsia="宋体"/>
                <w:szCs w:val="24"/>
                <w:highlight w:val="none"/>
              </w:rPr>
            </w:pPr>
          </w:p>
        </w:tc>
      </w:tr>
      <w:tr w14:paraId="7A94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362E8E80">
            <w:pPr>
              <w:wordWrap w:val="0"/>
              <w:topLinePunct/>
              <w:spacing w:line="500" w:lineRule="exact"/>
              <w:rPr>
                <w:rFonts w:ascii="宋体" w:hAnsi="宋体" w:eastAsia="宋体"/>
                <w:szCs w:val="24"/>
                <w:highlight w:val="none"/>
              </w:rPr>
            </w:pPr>
          </w:p>
        </w:tc>
        <w:tc>
          <w:tcPr>
            <w:tcW w:w="1224" w:type="dxa"/>
            <w:noWrap w:val="0"/>
            <w:vAlign w:val="top"/>
          </w:tcPr>
          <w:p w14:paraId="77D82390">
            <w:pPr>
              <w:wordWrap w:val="0"/>
              <w:topLinePunct/>
              <w:spacing w:line="500" w:lineRule="exact"/>
              <w:rPr>
                <w:rFonts w:ascii="宋体" w:hAnsi="宋体" w:eastAsia="宋体"/>
                <w:szCs w:val="24"/>
                <w:highlight w:val="none"/>
              </w:rPr>
            </w:pPr>
          </w:p>
        </w:tc>
        <w:tc>
          <w:tcPr>
            <w:tcW w:w="1090" w:type="dxa"/>
            <w:noWrap w:val="0"/>
            <w:vAlign w:val="top"/>
          </w:tcPr>
          <w:p w14:paraId="61B150B8">
            <w:pPr>
              <w:wordWrap w:val="0"/>
              <w:topLinePunct/>
              <w:spacing w:line="500" w:lineRule="exact"/>
              <w:rPr>
                <w:rFonts w:ascii="宋体" w:hAnsi="宋体" w:eastAsia="宋体"/>
                <w:szCs w:val="24"/>
                <w:highlight w:val="none"/>
              </w:rPr>
            </w:pPr>
          </w:p>
        </w:tc>
        <w:tc>
          <w:tcPr>
            <w:tcW w:w="664" w:type="dxa"/>
            <w:noWrap w:val="0"/>
            <w:vAlign w:val="top"/>
          </w:tcPr>
          <w:p w14:paraId="4F4A0E68">
            <w:pPr>
              <w:wordWrap w:val="0"/>
              <w:topLinePunct/>
              <w:spacing w:line="500" w:lineRule="exact"/>
              <w:rPr>
                <w:rFonts w:ascii="宋体" w:hAnsi="宋体" w:eastAsia="宋体"/>
                <w:szCs w:val="24"/>
                <w:highlight w:val="none"/>
              </w:rPr>
            </w:pPr>
          </w:p>
        </w:tc>
        <w:tc>
          <w:tcPr>
            <w:tcW w:w="990" w:type="dxa"/>
            <w:noWrap w:val="0"/>
            <w:vAlign w:val="top"/>
          </w:tcPr>
          <w:p w14:paraId="6DBAD511">
            <w:pPr>
              <w:wordWrap w:val="0"/>
              <w:topLinePunct/>
              <w:spacing w:line="500" w:lineRule="exact"/>
              <w:rPr>
                <w:rFonts w:ascii="宋体" w:hAnsi="宋体" w:eastAsia="宋体"/>
                <w:szCs w:val="24"/>
                <w:highlight w:val="none"/>
              </w:rPr>
            </w:pPr>
          </w:p>
        </w:tc>
        <w:tc>
          <w:tcPr>
            <w:tcW w:w="1157" w:type="dxa"/>
            <w:noWrap w:val="0"/>
            <w:vAlign w:val="top"/>
          </w:tcPr>
          <w:p w14:paraId="06E86DC8">
            <w:pPr>
              <w:wordWrap w:val="0"/>
              <w:topLinePunct/>
              <w:spacing w:line="500" w:lineRule="exact"/>
              <w:rPr>
                <w:rFonts w:ascii="宋体" w:hAnsi="宋体" w:eastAsia="宋体"/>
                <w:szCs w:val="24"/>
                <w:highlight w:val="none"/>
              </w:rPr>
            </w:pPr>
          </w:p>
        </w:tc>
        <w:tc>
          <w:tcPr>
            <w:tcW w:w="991" w:type="dxa"/>
            <w:noWrap w:val="0"/>
            <w:vAlign w:val="top"/>
          </w:tcPr>
          <w:p w14:paraId="7E62E4E1">
            <w:pPr>
              <w:wordWrap w:val="0"/>
              <w:topLinePunct/>
              <w:spacing w:line="500" w:lineRule="exact"/>
              <w:rPr>
                <w:rFonts w:ascii="宋体" w:hAnsi="宋体" w:eastAsia="宋体"/>
                <w:szCs w:val="24"/>
                <w:highlight w:val="none"/>
              </w:rPr>
            </w:pPr>
          </w:p>
        </w:tc>
        <w:tc>
          <w:tcPr>
            <w:tcW w:w="1142" w:type="dxa"/>
            <w:noWrap w:val="0"/>
            <w:vAlign w:val="top"/>
          </w:tcPr>
          <w:p w14:paraId="36A81EA0">
            <w:pPr>
              <w:wordWrap w:val="0"/>
              <w:topLinePunct/>
              <w:spacing w:line="500" w:lineRule="exact"/>
              <w:rPr>
                <w:rFonts w:ascii="宋体" w:hAnsi="宋体" w:eastAsia="宋体"/>
                <w:szCs w:val="24"/>
                <w:highlight w:val="none"/>
              </w:rPr>
            </w:pPr>
          </w:p>
        </w:tc>
        <w:tc>
          <w:tcPr>
            <w:tcW w:w="685" w:type="dxa"/>
            <w:noWrap w:val="0"/>
            <w:vAlign w:val="top"/>
          </w:tcPr>
          <w:p w14:paraId="5497B069">
            <w:pPr>
              <w:wordWrap w:val="0"/>
              <w:topLinePunct/>
              <w:spacing w:line="500" w:lineRule="exact"/>
              <w:rPr>
                <w:rFonts w:ascii="宋体" w:hAnsi="宋体" w:eastAsia="宋体"/>
                <w:szCs w:val="24"/>
                <w:highlight w:val="none"/>
              </w:rPr>
            </w:pPr>
          </w:p>
        </w:tc>
      </w:tr>
      <w:tr w14:paraId="6B24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42B44EE4">
            <w:pPr>
              <w:wordWrap w:val="0"/>
              <w:topLinePunct/>
              <w:spacing w:line="500" w:lineRule="exact"/>
              <w:rPr>
                <w:rFonts w:ascii="宋体" w:hAnsi="宋体" w:eastAsia="宋体"/>
                <w:szCs w:val="24"/>
                <w:highlight w:val="none"/>
              </w:rPr>
            </w:pPr>
          </w:p>
        </w:tc>
        <w:tc>
          <w:tcPr>
            <w:tcW w:w="1224" w:type="dxa"/>
            <w:noWrap w:val="0"/>
            <w:vAlign w:val="top"/>
          </w:tcPr>
          <w:p w14:paraId="556AC84C">
            <w:pPr>
              <w:wordWrap w:val="0"/>
              <w:topLinePunct/>
              <w:spacing w:line="500" w:lineRule="exact"/>
              <w:rPr>
                <w:rFonts w:ascii="宋体" w:hAnsi="宋体" w:eastAsia="宋体"/>
                <w:szCs w:val="24"/>
                <w:highlight w:val="none"/>
              </w:rPr>
            </w:pPr>
          </w:p>
        </w:tc>
        <w:tc>
          <w:tcPr>
            <w:tcW w:w="1090" w:type="dxa"/>
            <w:noWrap w:val="0"/>
            <w:vAlign w:val="top"/>
          </w:tcPr>
          <w:p w14:paraId="7F995A0D">
            <w:pPr>
              <w:wordWrap w:val="0"/>
              <w:topLinePunct/>
              <w:spacing w:line="500" w:lineRule="exact"/>
              <w:rPr>
                <w:rFonts w:ascii="宋体" w:hAnsi="宋体" w:eastAsia="宋体"/>
                <w:szCs w:val="24"/>
                <w:highlight w:val="none"/>
              </w:rPr>
            </w:pPr>
          </w:p>
        </w:tc>
        <w:tc>
          <w:tcPr>
            <w:tcW w:w="664" w:type="dxa"/>
            <w:noWrap w:val="0"/>
            <w:vAlign w:val="top"/>
          </w:tcPr>
          <w:p w14:paraId="4D91D7A7">
            <w:pPr>
              <w:wordWrap w:val="0"/>
              <w:topLinePunct/>
              <w:spacing w:line="500" w:lineRule="exact"/>
              <w:rPr>
                <w:rFonts w:ascii="宋体" w:hAnsi="宋体" w:eastAsia="宋体"/>
                <w:szCs w:val="24"/>
                <w:highlight w:val="none"/>
              </w:rPr>
            </w:pPr>
          </w:p>
        </w:tc>
        <w:tc>
          <w:tcPr>
            <w:tcW w:w="990" w:type="dxa"/>
            <w:noWrap w:val="0"/>
            <w:vAlign w:val="top"/>
          </w:tcPr>
          <w:p w14:paraId="4C8CC968">
            <w:pPr>
              <w:wordWrap w:val="0"/>
              <w:topLinePunct/>
              <w:spacing w:line="500" w:lineRule="exact"/>
              <w:rPr>
                <w:rFonts w:ascii="宋体" w:hAnsi="宋体" w:eastAsia="宋体"/>
                <w:szCs w:val="24"/>
                <w:highlight w:val="none"/>
              </w:rPr>
            </w:pPr>
          </w:p>
        </w:tc>
        <w:tc>
          <w:tcPr>
            <w:tcW w:w="1157" w:type="dxa"/>
            <w:noWrap w:val="0"/>
            <w:vAlign w:val="top"/>
          </w:tcPr>
          <w:p w14:paraId="1BDE4F50">
            <w:pPr>
              <w:wordWrap w:val="0"/>
              <w:topLinePunct/>
              <w:spacing w:line="500" w:lineRule="exact"/>
              <w:rPr>
                <w:rFonts w:ascii="宋体" w:hAnsi="宋体" w:eastAsia="宋体"/>
                <w:szCs w:val="24"/>
                <w:highlight w:val="none"/>
              </w:rPr>
            </w:pPr>
          </w:p>
        </w:tc>
        <w:tc>
          <w:tcPr>
            <w:tcW w:w="991" w:type="dxa"/>
            <w:noWrap w:val="0"/>
            <w:vAlign w:val="top"/>
          </w:tcPr>
          <w:p w14:paraId="6E9EC47E">
            <w:pPr>
              <w:wordWrap w:val="0"/>
              <w:topLinePunct/>
              <w:spacing w:line="500" w:lineRule="exact"/>
              <w:rPr>
                <w:rFonts w:ascii="宋体" w:hAnsi="宋体" w:eastAsia="宋体"/>
                <w:szCs w:val="24"/>
                <w:highlight w:val="none"/>
              </w:rPr>
            </w:pPr>
          </w:p>
        </w:tc>
        <w:tc>
          <w:tcPr>
            <w:tcW w:w="1142" w:type="dxa"/>
            <w:noWrap w:val="0"/>
            <w:vAlign w:val="top"/>
          </w:tcPr>
          <w:p w14:paraId="43A2A2AF">
            <w:pPr>
              <w:wordWrap w:val="0"/>
              <w:topLinePunct/>
              <w:spacing w:line="500" w:lineRule="exact"/>
              <w:rPr>
                <w:rFonts w:ascii="宋体" w:hAnsi="宋体" w:eastAsia="宋体"/>
                <w:szCs w:val="24"/>
                <w:highlight w:val="none"/>
              </w:rPr>
            </w:pPr>
          </w:p>
        </w:tc>
        <w:tc>
          <w:tcPr>
            <w:tcW w:w="685" w:type="dxa"/>
            <w:noWrap w:val="0"/>
            <w:vAlign w:val="top"/>
          </w:tcPr>
          <w:p w14:paraId="4AD3F3FD">
            <w:pPr>
              <w:wordWrap w:val="0"/>
              <w:topLinePunct/>
              <w:spacing w:line="500" w:lineRule="exact"/>
              <w:rPr>
                <w:rFonts w:ascii="宋体" w:hAnsi="宋体" w:eastAsia="宋体"/>
                <w:szCs w:val="24"/>
                <w:highlight w:val="none"/>
              </w:rPr>
            </w:pPr>
          </w:p>
        </w:tc>
      </w:tr>
      <w:tr w14:paraId="2A7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08B8C7D0">
            <w:pPr>
              <w:wordWrap w:val="0"/>
              <w:topLinePunct/>
              <w:spacing w:line="500" w:lineRule="exact"/>
              <w:rPr>
                <w:rFonts w:ascii="宋体" w:hAnsi="宋体" w:eastAsia="宋体"/>
                <w:szCs w:val="24"/>
                <w:highlight w:val="none"/>
              </w:rPr>
            </w:pPr>
          </w:p>
        </w:tc>
        <w:tc>
          <w:tcPr>
            <w:tcW w:w="1224" w:type="dxa"/>
            <w:noWrap w:val="0"/>
            <w:vAlign w:val="top"/>
          </w:tcPr>
          <w:p w14:paraId="3DA7EF51">
            <w:pPr>
              <w:wordWrap w:val="0"/>
              <w:topLinePunct/>
              <w:spacing w:line="500" w:lineRule="exact"/>
              <w:rPr>
                <w:rFonts w:ascii="宋体" w:hAnsi="宋体" w:eastAsia="宋体"/>
                <w:szCs w:val="24"/>
                <w:highlight w:val="none"/>
              </w:rPr>
            </w:pPr>
          </w:p>
        </w:tc>
        <w:tc>
          <w:tcPr>
            <w:tcW w:w="1090" w:type="dxa"/>
            <w:noWrap w:val="0"/>
            <w:vAlign w:val="top"/>
          </w:tcPr>
          <w:p w14:paraId="0ED9D085">
            <w:pPr>
              <w:wordWrap w:val="0"/>
              <w:topLinePunct/>
              <w:spacing w:line="500" w:lineRule="exact"/>
              <w:rPr>
                <w:rFonts w:ascii="宋体" w:hAnsi="宋体" w:eastAsia="宋体"/>
                <w:szCs w:val="24"/>
                <w:highlight w:val="none"/>
              </w:rPr>
            </w:pPr>
          </w:p>
        </w:tc>
        <w:tc>
          <w:tcPr>
            <w:tcW w:w="664" w:type="dxa"/>
            <w:noWrap w:val="0"/>
            <w:vAlign w:val="top"/>
          </w:tcPr>
          <w:p w14:paraId="297DCFAC">
            <w:pPr>
              <w:wordWrap w:val="0"/>
              <w:topLinePunct/>
              <w:spacing w:line="500" w:lineRule="exact"/>
              <w:rPr>
                <w:rFonts w:ascii="宋体" w:hAnsi="宋体" w:eastAsia="宋体"/>
                <w:szCs w:val="24"/>
                <w:highlight w:val="none"/>
              </w:rPr>
            </w:pPr>
          </w:p>
        </w:tc>
        <w:tc>
          <w:tcPr>
            <w:tcW w:w="990" w:type="dxa"/>
            <w:noWrap w:val="0"/>
            <w:vAlign w:val="top"/>
          </w:tcPr>
          <w:p w14:paraId="1E47A747">
            <w:pPr>
              <w:wordWrap w:val="0"/>
              <w:topLinePunct/>
              <w:spacing w:line="500" w:lineRule="exact"/>
              <w:rPr>
                <w:rFonts w:ascii="宋体" w:hAnsi="宋体" w:eastAsia="宋体"/>
                <w:szCs w:val="24"/>
                <w:highlight w:val="none"/>
              </w:rPr>
            </w:pPr>
          </w:p>
        </w:tc>
        <w:tc>
          <w:tcPr>
            <w:tcW w:w="1157" w:type="dxa"/>
            <w:noWrap w:val="0"/>
            <w:vAlign w:val="top"/>
          </w:tcPr>
          <w:p w14:paraId="23100D5E">
            <w:pPr>
              <w:wordWrap w:val="0"/>
              <w:topLinePunct/>
              <w:spacing w:line="500" w:lineRule="exact"/>
              <w:rPr>
                <w:rFonts w:ascii="宋体" w:hAnsi="宋体" w:eastAsia="宋体"/>
                <w:szCs w:val="24"/>
                <w:highlight w:val="none"/>
              </w:rPr>
            </w:pPr>
          </w:p>
        </w:tc>
        <w:tc>
          <w:tcPr>
            <w:tcW w:w="991" w:type="dxa"/>
            <w:noWrap w:val="0"/>
            <w:vAlign w:val="top"/>
          </w:tcPr>
          <w:p w14:paraId="72060D92">
            <w:pPr>
              <w:wordWrap w:val="0"/>
              <w:topLinePunct/>
              <w:spacing w:line="500" w:lineRule="exact"/>
              <w:rPr>
                <w:rFonts w:ascii="宋体" w:hAnsi="宋体" w:eastAsia="宋体"/>
                <w:szCs w:val="24"/>
                <w:highlight w:val="none"/>
              </w:rPr>
            </w:pPr>
          </w:p>
        </w:tc>
        <w:tc>
          <w:tcPr>
            <w:tcW w:w="1142" w:type="dxa"/>
            <w:noWrap w:val="0"/>
            <w:vAlign w:val="top"/>
          </w:tcPr>
          <w:p w14:paraId="0E2B3AA9">
            <w:pPr>
              <w:wordWrap w:val="0"/>
              <w:topLinePunct/>
              <w:spacing w:line="500" w:lineRule="exact"/>
              <w:rPr>
                <w:rFonts w:ascii="宋体" w:hAnsi="宋体" w:eastAsia="宋体"/>
                <w:szCs w:val="24"/>
                <w:highlight w:val="none"/>
              </w:rPr>
            </w:pPr>
          </w:p>
        </w:tc>
        <w:tc>
          <w:tcPr>
            <w:tcW w:w="685" w:type="dxa"/>
            <w:noWrap w:val="0"/>
            <w:vAlign w:val="top"/>
          </w:tcPr>
          <w:p w14:paraId="4E69B953">
            <w:pPr>
              <w:wordWrap w:val="0"/>
              <w:topLinePunct/>
              <w:spacing w:line="500" w:lineRule="exact"/>
              <w:rPr>
                <w:rFonts w:ascii="宋体" w:hAnsi="宋体" w:eastAsia="宋体"/>
                <w:szCs w:val="24"/>
                <w:highlight w:val="none"/>
              </w:rPr>
            </w:pPr>
          </w:p>
        </w:tc>
      </w:tr>
      <w:tr w14:paraId="0D69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47A6F5CA">
            <w:pPr>
              <w:wordWrap w:val="0"/>
              <w:topLinePunct/>
              <w:spacing w:line="500" w:lineRule="exact"/>
              <w:rPr>
                <w:rFonts w:ascii="宋体" w:hAnsi="宋体" w:eastAsia="宋体"/>
                <w:szCs w:val="24"/>
                <w:highlight w:val="none"/>
              </w:rPr>
            </w:pPr>
          </w:p>
        </w:tc>
        <w:tc>
          <w:tcPr>
            <w:tcW w:w="1224" w:type="dxa"/>
            <w:noWrap w:val="0"/>
            <w:vAlign w:val="top"/>
          </w:tcPr>
          <w:p w14:paraId="5E727A05">
            <w:pPr>
              <w:wordWrap w:val="0"/>
              <w:topLinePunct/>
              <w:spacing w:line="500" w:lineRule="exact"/>
              <w:rPr>
                <w:rFonts w:ascii="宋体" w:hAnsi="宋体" w:eastAsia="宋体"/>
                <w:szCs w:val="24"/>
                <w:highlight w:val="none"/>
              </w:rPr>
            </w:pPr>
          </w:p>
        </w:tc>
        <w:tc>
          <w:tcPr>
            <w:tcW w:w="1090" w:type="dxa"/>
            <w:noWrap w:val="0"/>
            <w:vAlign w:val="top"/>
          </w:tcPr>
          <w:p w14:paraId="7AEB6BFB">
            <w:pPr>
              <w:wordWrap w:val="0"/>
              <w:topLinePunct/>
              <w:spacing w:line="500" w:lineRule="exact"/>
              <w:rPr>
                <w:rFonts w:ascii="宋体" w:hAnsi="宋体" w:eastAsia="宋体"/>
                <w:szCs w:val="24"/>
                <w:highlight w:val="none"/>
              </w:rPr>
            </w:pPr>
          </w:p>
        </w:tc>
        <w:tc>
          <w:tcPr>
            <w:tcW w:w="664" w:type="dxa"/>
            <w:noWrap w:val="0"/>
            <w:vAlign w:val="top"/>
          </w:tcPr>
          <w:p w14:paraId="3DB72165">
            <w:pPr>
              <w:wordWrap w:val="0"/>
              <w:topLinePunct/>
              <w:spacing w:line="500" w:lineRule="exact"/>
              <w:rPr>
                <w:rFonts w:ascii="宋体" w:hAnsi="宋体" w:eastAsia="宋体"/>
                <w:szCs w:val="24"/>
                <w:highlight w:val="none"/>
              </w:rPr>
            </w:pPr>
          </w:p>
        </w:tc>
        <w:tc>
          <w:tcPr>
            <w:tcW w:w="990" w:type="dxa"/>
            <w:noWrap w:val="0"/>
            <w:vAlign w:val="top"/>
          </w:tcPr>
          <w:p w14:paraId="3579A844">
            <w:pPr>
              <w:wordWrap w:val="0"/>
              <w:topLinePunct/>
              <w:spacing w:line="500" w:lineRule="exact"/>
              <w:rPr>
                <w:rFonts w:ascii="宋体" w:hAnsi="宋体" w:eastAsia="宋体"/>
                <w:szCs w:val="24"/>
                <w:highlight w:val="none"/>
              </w:rPr>
            </w:pPr>
          </w:p>
        </w:tc>
        <w:tc>
          <w:tcPr>
            <w:tcW w:w="1157" w:type="dxa"/>
            <w:noWrap w:val="0"/>
            <w:vAlign w:val="top"/>
          </w:tcPr>
          <w:p w14:paraId="1C7E0F04">
            <w:pPr>
              <w:wordWrap w:val="0"/>
              <w:topLinePunct/>
              <w:spacing w:line="500" w:lineRule="exact"/>
              <w:rPr>
                <w:rFonts w:ascii="宋体" w:hAnsi="宋体" w:eastAsia="宋体"/>
                <w:szCs w:val="24"/>
                <w:highlight w:val="none"/>
              </w:rPr>
            </w:pPr>
          </w:p>
        </w:tc>
        <w:tc>
          <w:tcPr>
            <w:tcW w:w="991" w:type="dxa"/>
            <w:noWrap w:val="0"/>
            <w:vAlign w:val="top"/>
          </w:tcPr>
          <w:p w14:paraId="6464D8F6">
            <w:pPr>
              <w:wordWrap w:val="0"/>
              <w:topLinePunct/>
              <w:spacing w:line="500" w:lineRule="exact"/>
              <w:rPr>
                <w:rFonts w:ascii="宋体" w:hAnsi="宋体" w:eastAsia="宋体"/>
                <w:szCs w:val="24"/>
                <w:highlight w:val="none"/>
              </w:rPr>
            </w:pPr>
          </w:p>
        </w:tc>
        <w:tc>
          <w:tcPr>
            <w:tcW w:w="1142" w:type="dxa"/>
            <w:noWrap w:val="0"/>
            <w:vAlign w:val="top"/>
          </w:tcPr>
          <w:p w14:paraId="0C85A849">
            <w:pPr>
              <w:wordWrap w:val="0"/>
              <w:topLinePunct/>
              <w:spacing w:line="500" w:lineRule="exact"/>
              <w:rPr>
                <w:rFonts w:ascii="宋体" w:hAnsi="宋体" w:eastAsia="宋体"/>
                <w:szCs w:val="24"/>
                <w:highlight w:val="none"/>
              </w:rPr>
            </w:pPr>
          </w:p>
        </w:tc>
        <w:tc>
          <w:tcPr>
            <w:tcW w:w="685" w:type="dxa"/>
            <w:noWrap w:val="0"/>
            <w:vAlign w:val="top"/>
          </w:tcPr>
          <w:p w14:paraId="1FA90634">
            <w:pPr>
              <w:wordWrap w:val="0"/>
              <w:topLinePunct/>
              <w:spacing w:line="500" w:lineRule="exact"/>
              <w:rPr>
                <w:rFonts w:ascii="宋体" w:hAnsi="宋体" w:eastAsia="宋体"/>
                <w:szCs w:val="24"/>
                <w:highlight w:val="none"/>
              </w:rPr>
            </w:pPr>
          </w:p>
        </w:tc>
      </w:tr>
      <w:tr w14:paraId="7D35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0560BD5C">
            <w:pPr>
              <w:wordWrap w:val="0"/>
              <w:topLinePunct/>
              <w:spacing w:line="500" w:lineRule="exact"/>
              <w:rPr>
                <w:rFonts w:ascii="宋体" w:hAnsi="宋体" w:eastAsia="宋体"/>
                <w:szCs w:val="24"/>
                <w:highlight w:val="none"/>
              </w:rPr>
            </w:pPr>
          </w:p>
        </w:tc>
        <w:tc>
          <w:tcPr>
            <w:tcW w:w="1224" w:type="dxa"/>
            <w:noWrap w:val="0"/>
            <w:vAlign w:val="top"/>
          </w:tcPr>
          <w:p w14:paraId="1AF618D8">
            <w:pPr>
              <w:wordWrap w:val="0"/>
              <w:topLinePunct/>
              <w:spacing w:line="500" w:lineRule="exact"/>
              <w:rPr>
                <w:rFonts w:ascii="宋体" w:hAnsi="宋体" w:eastAsia="宋体"/>
                <w:szCs w:val="24"/>
                <w:highlight w:val="none"/>
              </w:rPr>
            </w:pPr>
          </w:p>
        </w:tc>
        <w:tc>
          <w:tcPr>
            <w:tcW w:w="1090" w:type="dxa"/>
            <w:noWrap w:val="0"/>
            <w:vAlign w:val="top"/>
          </w:tcPr>
          <w:p w14:paraId="2EB38EB4">
            <w:pPr>
              <w:wordWrap w:val="0"/>
              <w:topLinePunct/>
              <w:spacing w:line="500" w:lineRule="exact"/>
              <w:rPr>
                <w:rFonts w:ascii="宋体" w:hAnsi="宋体" w:eastAsia="宋体"/>
                <w:szCs w:val="24"/>
                <w:highlight w:val="none"/>
              </w:rPr>
            </w:pPr>
          </w:p>
        </w:tc>
        <w:tc>
          <w:tcPr>
            <w:tcW w:w="664" w:type="dxa"/>
            <w:noWrap w:val="0"/>
            <w:vAlign w:val="top"/>
          </w:tcPr>
          <w:p w14:paraId="65A24E4C">
            <w:pPr>
              <w:wordWrap w:val="0"/>
              <w:topLinePunct/>
              <w:spacing w:line="500" w:lineRule="exact"/>
              <w:rPr>
                <w:rFonts w:ascii="宋体" w:hAnsi="宋体" w:eastAsia="宋体"/>
                <w:szCs w:val="24"/>
                <w:highlight w:val="none"/>
              </w:rPr>
            </w:pPr>
          </w:p>
        </w:tc>
        <w:tc>
          <w:tcPr>
            <w:tcW w:w="990" w:type="dxa"/>
            <w:noWrap w:val="0"/>
            <w:vAlign w:val="top"/>
          </w:tcPr>
          <w:p w14:paraId="686910EB">
            <w:pPr>
              <w:wordWrap w:val="0"/>
              <w:topLinePunct/>
              <w:spacing w:line="500" w:lineRule="exact"/>
              <w:rPr>
                <w:rFonts w:ascii="宋体" w:hAnsi="宋体" w:eastAsia="宋体"/>
                <w:szCs w:val="24"/>
                <w:highlight w:val="none"/>
              </w:rPr>
            </w:pPr>
          </w:p>
        </w:tc>
        <w:tc>
          <w:tcPr>
            <w:tcW w:w="1157" w:type="dxa"/>
            <w:noWrap w:val="0"/>
            <w:vAlign w:val="top"/>
          </w:tcPr>
          <w:p w14:paraId="7CC1ADA8">
            <w:pPr>
              <w:wordWrap w:val="0"/>
              <w:topLinePunct/>
              <w:spacing w:line="500" w:lineRule="exact"/>
              <w:rPr>
                <w:rFonts w:ascii="宋体" w:hAnsi="宋体" w:eastAsia="宋体"/>
                <w:szCs w:val="24"/>
                <w:highlight w:val="none"/>
              </w:rPr>
            </w:pPr>
          </w:p>
        </w:tc>
        <w:tc>
          <w:tcPr>
            <w:tcW w:w="991" w:type="dxa"/>
            <w:noWrap w:val="0"/>
            <w:vAlign w:val="top"/>
          </w:tcPr>
          <w:p w14:paraId="55795DFC">
            <w:pPr>
              <w:wordWrap w:val="0"/>
              <w:topLinePunct/>
              <w:spacing w:line="500" w:lineRule="exact"/>
              <w:rPr>
                <w:rFonts w:ascii="宋体" w:hAnsi="宋体" w:eastAsia="宋体"/>
                <w:szCs w:val="24"/>
                <w:highlight w:val="none"/>
              </w:rPr>
            </w:pPr>
          </w:p>
        </w:tc>
        <w:tc>
          <w:tcPr>
            <w:tcW w:w="1142" w:type="dxa"/>
            <w:noWrap w:val="0"/>
            <w:vAlign w:val="top"/>
          </w:tcPr>
          <w:p w14:paraId="6469A0CC">
            <w:pPr>
              <w:wordWrap w:val="0"/>
              <w:topLinePunct/>
              <w:spacing w:line="500" w:lineRule="exact"/>
              <w:rPr>
                <w:rFonts w:ascii="宋体" w:hAnsi="宋体" w:eastAsia="宋体"/>
                <w:szCs w:val="24"/>
                <w:highlight w:val="none"/>
              </w:rPr>
            </w:pPr>
          </w:p>
        </w:tc>
        <w:tc>
          <w:tcPr>
            <w:tcW w:w="685" w:type="dxa"/>
            <w:noWrap w:val="0"/>
            <w:vAlign w:val="top"/>
          </w:tcPr>
          <w:p w14:paraId="5E51FC54">
            <w:pPr>
              <w:wordWrap w:val="0"/>
              <w:topLinePunct/>
              <w:spacing w:line="500" w:lineRule="exact"/>
              <w:rPr>
                <w:rFonts w:ascii="宋体" w:hAnsi="宋体" w:eastAsia="宋体"/>
                <w:szCs w:val="24"/>
                <w:highlight w:val="none"/>
              </w:rPr>
            </w:pPr>
          </w:p>
        </w:tc>
      </w:tr>
      <w:tr w14:paraId="648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72B32610">
            <w:pPr>
              <w:wordWrap w:val="0"/>
              <w:topLinePunct/>
              <w:spacing w:line="500" w:lineRule="exact"/>
              <w:rPr>
                <w:rFonts w:ascii="宋体" w:hAnsi="宋体" w:eastAsia="宋体"/>
                <w:szCs w:val="24"/>
                <w:highlight w:val="none"/>
              </w:rPr>
            </w:pPr>
          </w:p>
        </w:tc>
        <w:tc>
          <w:tcPr>
            <w:tcW w:w="1224" w:type="dxa"/>
            <w:noWrap w:val="0"/>
            <w:vAlign w:val="top"/>
          </w:tcPr>
          <w:p w14:paraId="5D350AEF">
            <w:pPr>
              <w:wordWrap w:val="0"/>
              <w:topLinePunct/>
              <w:spacing w:line="500" w:lineRule="exact"/>
              <w:rPr>
                <w:rFonts w:ascii="宋体" w:hAnsi="宋体" w:eastAsia="宋体"/>
                <w:szCs w:val="24"/>
                <w:highlight w:val="none"/>
              </w:rPr>
            </w:pPr>
          </w:p>
        </w:tc>
        <w:tc>
          <w:tcPr>
            <w:tcW w:w="1090" w:type="dxa"/>
            <w:noWrap w:val="0"/>
            <w:vAlign w:val="top"/>
          </w:tcPr>
          <w:p w14:paraId="7EF7AEC6">
            <w:pPr>
              <w:wordWrap w:val="0"/>
              <w:topLinePunct/>
              <w:spacing w:line="500" w:lineRule="exact"/>
              <w:rPr>
                <w:rFonts w:ascii="宋体" w:hAnsi="宋体" w:eastAsia="宋体"/>
                <w:szCs w:val="24"/>
                <w:highlight w:val="none"/>
              </w:rPr>
            </w:pPr>
          </w:p>
        </w:tc>
        <w:tc>
          <w:tcPr>
            <w:tcW w:w="664" w:type="dxa"/>
            <w:noWrap w:val="0"/>
            <w:vAlign w:val="top"/>
          </w:tcPr>
          <w:p w14:paraId="26DFA13B">
            <w:pPr>
              <w:wordWrap w:val="0"/>
              <w:topLinePunct/>
              <w:spacing w:line="500" w:lineRule="exact"/>
              <w:rPr>
                <w:rFonts w:ascii="宋体" w:hAnsi="宋体" w:eastAsia="宋体"/>
                <w:szCs w:val="24"/>
                <w:highlight w:val="none"/>
              </w:rPr>
            </w:pPr>
          </w:p>
        </w:tc>
        <w:tc>
          <w:tcPr>
            <w:tcW w:w="990" w:type="dxa"/>
            <w:noWrap w:val="0"/>
            <w:vAlign w:val="top"/>
          </w:tcPr>
          <w:p w14:paraId="08EA328B">
            <w:pPr>
              <w:wordWrap w:val="0"/>
              <w:topLinePunct/>
              <w:spacing w:line="500" w:lineRule="exact"/>
              <w:rPr>
                <w:rFonts w:ascii="宋体" w:hAnsi="宋体" w:eastAsia="宋体"/>
                <w:szCs w:val="24"/>
                <w:highlight w:val="none"/>
              </w:rPr>
            </w:pPr>
          </w:p>
        </w:tc>
        <w:tc>
          <w:tcPr>
            <w:tcW w:w="1157" w:type="dxa"/>
            <w:noWrap w:val="0"/>
            <w:vAlign w:val="top"/>
          </w:tcPr>
          <w:p w14:paraId="5A059016">
            <w:pPr>
              <w:wordWrap w:val="0"/>
              <w:topLinePunct/>
              <w:spacing w:line="500" w:lineRule="exact"/>
              <w:rPr>
                <w:rFonts w:ascii="宋体" w:hAnsi="宋体" w:eastAsia="宋体"/>
                <w:szCs w:val="24"/>
                <w:highlight w:val="none"/>
              </w:rPr>
            </w:pPr>
          </w:p>
        </w:tc>
        <w:tc>
          <w:tcPr>
            <w:tcW w:w="991" w:type="dxa"/>
            <w:noWrap w:val="0"/>
            <w:vAlign w:val="top"/>
          </w:tcPr>
          <w:p w14:paraId="4B2322EC">
            <w:pPr>
              <w:wordWrap w:val="0"/>
              <w:topLinePunct/>
              <w:spacing w:line="500" w:lineRule="exact"/>
              <w:rPr>
                <w:rFonts w:ascii="宋体" w:hAnsi="宋体" w:eastAsia="宋体"/>
                <w:szCs w:val="24"/>
                <w:highlight w:val="none"/>
              </w:rPr>
            </w:pPr>
          </w:p>
        </w:tc>
        <w:tc>
          <w:tcPr>
            <w:tcW w:w="1142" w:type="dxa"/>
            <w:noWrap w:val="0"/>
            <w:vAlign w:val="top"/>
          </w:tcPr>
          <w:p w14:paraId="75E64D4F">
            <w:pPr>
              <w:wordWrap w:val="0"/>
              <w:topLinePunct/>
              <w:spacing w:line="500" w:lineRule="exact"/>
              <w:rPr>
                <w:rFonts w:ascii="宋体" w:hAnsi="宋体" w:eastAsia="宋体"/>
                <w:szCs w:val="24"/>
                <w:highlight w:val="none"/>
              </w:rPr>
            </w:pPr>
          </w:p>
        </w:tc>
        <w:tc>
          <w:tcPr>
            <w:tcW w:w="685" w:type="dxa"/>
            <w:noWrap w:val="0"/>
            <w:vAlign w:val="top"/>
          </w:tcPr>
          <w:p w14:paraId="6DA47B92">
            <w:pPr>
              <w:wordWrap w:val="0"/>
              <w:topLinePunct/>
              <w:spacing w:line="500" w:lineRule="exact"/>
              <w:rPr>
                <w:rFonts w:ascii="宋体" w:hAnsi="宋体" w:eastAsia="宋体"/>
                <w:szCs w:val="24"/>
                <w:highlight w:val="none"/>
              </w:rPr>
            </w:pPr>
          </w:p>
        </w:tc>
      </w:tr>
      <w:tr w14:paraId="6BAD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49A6B484">
            <w:pPr>
              <w:wordWrap w:val="0"/>
              <w:topLinePunct/>
              <w:spacing w:line="500" w:lineRule="exact"/>
              <w:rPr>
                <w:rFonts w:ascii="宋体" w:hAnsi="宋体" w:eastAsia="宋体"/>
                <w:szCs w:val="24"/>
                <w:highlight w:val="none"/>
              </w:rPr>
            </w:pPr>
          </w:p>
        </w:tc>
        <w:tc>
          <w:tcPr>
            <w:tcW w:w="1224" w:type="dxa"/>
            <w:noWrap w:val="0"/>
            <w:vAlign w:val="top"/>
          </w:tcPr>
          <w:p w14:paraId="2CCC9815">
            <w:pPr>
              <w:wordWrap w:val="0"/>
              <w:topLinePunct/>
              <w:spacing w:line="500" w:lineRule="exact"/>
              <w:rPr>
                <w:rFonts w:ascii="宋体" w:hAnsi="宋体" w:eastAsia="宋体"/>
                <w:szCs w:val="24"/>
                <w:highlight w:val="none"/>
              </w:rPr>
            </w:pPr>
          </w:p>
        </w:tc>
        <w:tc>
          <w:tcPr>
            <w:tcW w:w="1090" w:type="dxa"/>
            <w:noWrap w:val="0"/>
            <w:vAlign w:val="top"/>
          </w:tcPr>
          <w:p w14:paraId="4CF31978">
            <w:pPr>
              <w:wordWrap w:val="0"/>
              <w:topLinePunct/>
              <w:spacing w:line="500" w:lineRule="exact"/>
              <w:rPr>
                <w:rFonts w:ascii="宋体" w:hAnsi="宋体" w:eastAsia="宋体"/>
                <w:szCs w:val="24"/>
                <w:highlight w:val="none"/>
              </w:rPr>
            </w:pPr>
          </w:p>
        </w:tc>
        <w:tc>
          <w:tcPr>
            <w:tcW w:w="664" w:type="dxa"/>
            <w:noWrap w:val="0"/>
            <w:vAlign w:val="top"/>
          </w:tcPr>
          <w:p w14:paraId="7F782964">
            <w:pPr>
              <w:wordWrap w:val="0"/>
              <w:topLinePunct/>
              <w:spacing w:line="500" w:lineRule="exact"/>
              <w:rPr>
                <w:rFonts w:ascii="宋体" w:hAnsi="宋体" w:eastAsia="宋体"/>
                <w:szCs w:val="24"/>
                <w:highlight w:val="none"/>
              </w:rPr>
            </w:pPr>
          </w:p>
        </w:tc>
        <w:tc>
          <w:tcPr>
            <w:tcW w:w="990" w:type="dxa"/>
            <w:noWrap w:val="0"/>
            <w:vAlign w:val="top"/>
          </w:tcPr>
          <w:p w14:paraId="7D2F29B7">
            <w:pPr>
              <w:wordWrap w:val="0"/>
              <w:topLinePunct/>
              <w:spacing w:line="500" w:lineRule="exact"/>
              <w:rPr>
                <w:rFonts w:ascii="宋体" w:hAnsi="宋体" w:eastAsia="宋体"/>
                <w:szCs w:val="24"/>
                <w:highlight w:val="none"/>
              </w:rPr>
            </w:pPr>
          </w:p>
        </w:tc>
        <w:tc>
          <w:tcPr>
            <w:tcW w:w="1157" w:type="dxa"/>
            <w:noWrap w:val="0"/>
            <w:vAlign w:val="top"/>
          </w:tcPr>
          <w:p w14:paraId="5822229A">
            <w:pPr>
              <w:wordWrap w:val="0"/>
              <w:topLinePunct/>
              <w:spacing w:line="500" w:lineRule="exact"/>
              <w:rPr>
                <w:rFonts w:ascii="宋体" w:hAnsi="宋体" w:eastAsia="宋体"/>
                <w:szCs w:val="24"/>
                <w:highlight w:val="none"/>
              </w:rPr>
            </w:pPr>
          </w:p>
        </w:tc>
        <w:tc>
          <w:tcPr>
            <w:tcW w:w="991" w:type="dxa"/>
            <w:noWrap w:val="0"/>
            <w:vAlign w:val="top"/>
          </w:tcPr>
          <w:p w14:paraId="160AC2E4">
            <w:pPr>
              <w:wordWrap w:val="0"/>
              <w:topLinePunct/>
              <w:spacing w:line="500" w:lineRule="exact"/>
              <w:rPr>
                <w:rFonts w:ascii="宋体" w:hAnsi="宋体" w:eastAsia="宋体"/>
                <w:szCs w:val="24"/>
                <w:highlight w:val="none"/>
              </w:rPr>
            </w:pPr>
          </w:p>
        </w:tc>
        <w:tc>
          <w:tcPr>
            <w:tcW w:w="1142" w:type="dxa"/>
            <w:noWrap w:val="0"/>
            <w:vAlign w:val="top"/>
          </w:tcPr>
          <w:p w14:paraId="231273A0">
            <w:pPr>
              <w:wordWrap w:val="0"/>
              <w:topLinePunct/>
              <w:spacing w:line="500" w:lineRule="exact"/>
              <w:rPr>
                <w:rFonts w:ascii="宋体" w:hAnsi="宋体" w:eastAsia="宋体"/>
                <w:szCs w:val="24"/>
                <w:highlight w:val="none"/>
              </w:rPr>
            </w:pPr>
          </w:p>
        </w:tc>
        <w:tc>
          <w:tcPr>
            <w:tcW w:w="685" w:type="dxa"/>
            <w:noWrap w:val="0"/>
            <w:vAlign w:val="top"/>
          </w:tcPr>
          <w:p w14:paraId="12CF9065">
            <w:pPr>
              <w:wordWrap w:val="0"/>
              <w:topLinePunct/>
              <w:spacing w:line="500" w:lineRule="exact"/>
              <w:rPr>
                <w:rFonts w:ascii="宋体" w:hAnsi="宋体" w:eastAsia="宋体"/>
                <w:szCs w:val="24"/>
                <w:highlight w:val="none"/>
              </w:rPr>
            </w:pPr>
          </w:p>
        </w:tc>
      </w:tr>
      <w:tr w14:paraId="5D04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6F97F641">
            <w:pPr>
              <w:wordWrap w:val="0"/>
              <w:topLinePunct/>
              <w:spacing w:line="500" w:lineRule="exact"/>
              <w:rPr>
                <w:rFonts w:ascii="宋体" w:hAnsi="宋体" w:eastAsia="宋体"/>
                <w:szCs w:val="24"/>
                <w:highlight w:val="none"/>
              </w:rPr>
            </w:pPr>
          </w:p>
        </w:tc>
        <w:tc>
          <w:tcPr>
            <w:tcW w:w="1224" w:type="dxa"/>
            <w:noWrap w:val="0"/>
            <w:vAlign w:val="top"/>
          </w:tcPr>
          <w:p w14:paraId="35D45442">
            <w:pPr>
              <w:wordWrap w:val="0"/>
              <w:topLinePunct/>
              <w:spacing w:line="500" w:lineRule="exact"/>
              <w:rPr>
                <w:rFonts w:ascii="宋体" w:hAnsi="宋体" w:eastAsia="宋体"/>
                <w:szCs w:val="24"/>
                <w:highlight w:val="none"/>
              </w:rPr>
            </w:pPr>
          </w:p>
        </w:tc>
        <w:tc>
          <w:tcPr>
            <w:tcW w:w="1090" w:type="dxa"/>
            <w:noWrap w:val="0"/>
            <w:vAlign w:val="top"/>
          </w:tcPr>
          <w:p w14:paraId="27A801AA">
            <w:pPr>
              <w:wordWrap w:val="0"/>
              <w:topLinePunct/>
              <w:spacing w:line="500" w:lineRule="exact"/>
              <w:rPr>
                <w:rFonts w:ascii="宋体" w:hAnsi="宋体" w:eastAsia="宋体"/>
                <w:szCs w:val="24"/>
                <w:highlight w:val="none"/>
              </w:rPr>
            </w:pPr>
          </w:p>
        </w:tc>
        <w:tc>
          <w:tcPr>
            <w:tcW w:w="664" w:type="dxa"/>
            <w:noWrap w:val="0"/>
            <w:vAlign w:val="top"/>
          </w:tcPr>
          <w:p w14:paraId="600AED3F">
            <w:pPr>
              <w:wordWrap w:val="0"/>
              <w:topLinePunct/>
              <w:spacing w:line="500" w:lineRule="exact"/>
              <w:rPr>
                <w:rFonts w:ascii="宋体" w:hAnsi="宋体" w:eastAsia="宋体"/>
                <w:szCs w:val="24"/>
                <w:highlight w:val="none"/>
              </w:rPr>
            </w:pPr>
          </w:p>
        </w:tc>
        <w:tc>
          <w:tcPr>
            <w:tcW w:w="990" w:type="dxa"/>
            <w:noWrap w:val="0"/>
            <w:vAlign w:val="top"/>
          </w:tcPr>
          <w:p w14:paraId="7DC2F062">
            <w:pPr>
              <w:wordWrap w:val="0"/>
              <w:topLinePunct/>
              <w:spacing w:line="500" w:lineRule="exact"/>
              <w:rPr>
                <w:rFonts w:ascii="宋体" w:hAnsi="宋体" w:eastAsia="宋体"/>
                <w:szCs w:val="24"/>
                <w:highlight w:val="none"/>
              </w:rPr>
            </w:pPr>
          </w:p>
        </w:tc>
        <w:tc>
          <w:tcPr>
            <w:tcW w:w="1157" w:type="dxa"/>
            <w:noWrap w:val="0"/>
            <w:vAlign w:val="top"/>
          </w:tcPr>
          <w:p w14:paraId="1CA82CFD">
            <w:pPr>
              <w:wordWrap w:val="0"/>
              <w:topLinePunct/>
              <w:spacing w:line="500" w:lineRule="exact"/>
              <w:rPr>
                <w:rFonts w:ascii="宋体" w:hAnsi="宋体" w:eastAsia="宋体"/>
                <w:szCs w:val="24"/>
                <w:highlight w:val="none"/>
              </w:rPr>
            </w:pPr>
          </w:p>
        </w:tc>
        <w:tc>
          <w:tcPr>
            <w:tcW w:w="991" w:type="dxa"/>
            <w:noWrap w:val="0"/>
            <w:vAlign w:val="top"/>
          </w:tcPr>
          <w:p w14:paraId="7D47BFA2">
            <w:pPr>
              <w:wordWrap w:val="0"/>
              <w:topLinePunct/>
              <w:spacing w:line="500" w:lineRule="exact"/>
              <w:rPr>
                <w:rFonts w:ascii="宋体" w:hAnsi="宋体" w:eastAsia="宋体"/>
                <w:szCs w:val="24"/>
                <w:highlight w:val="none"/>
              </w:rPr>
            </w:pPr>
          </w:p>
        </w:tc>
        <w:tc>
          <w:tcPr>
            <w:tcW w:w="1142" w:type="dxa"/>
            <w:noWrap w:val="0"/>
            <w:vAlign w:val="top"/>
          </w:tcPr>
          <w:p w14:paraId="357F5A56">
            <w:pPr>
              <w:wordWrap w:val="0"/>
              <w:topLinePunct/>
              <w:spacing w:line="500" w:lineRule="exact"/>
              <w:rPr>
                <w:rFonts w:ascii="宋体" w:hAnsi="宋体" w:eastAsia="宋体"/>
                <w:szCs w:val="24"/>
                <w:highlight w:val="none"/>
              </w:rPr>
            </w:pPr>
          </w:p>
        </w:tc>
        <w:tc>
          <w:tcPr>
            <w:tcW w:w="685" w:type="dxa"/>
            <w:noWrap w:val="0"/>
            <w:vAlign w:val="top"/>
          </w:tcPr>
          <w:p w14:paraId="772C1D74">
            <w:pPr>
              <w:wordWrap w:val="0"/>
              <w:topLinePunct/>
              <w:spacing w:line="500" w:lineRule="exact"/>
              <w:rPr>
                <w:rFonts w:ascii="宋体" w:hAnsi="宋体" w:eastAsia="宋体"/>
                <w:szCs w:val="24"/>
                <w:highlight w:val="none"/>
              </w:rPr>
            </w:pPr>
          </w:p>
        </w:tc>
      </w:tr>
      <w:tr w14:paraId="47D4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3B866FAF">
            <w:pPr>
              <w:wordWrap w:val="0"/>
              <w:topLinePunct/>
              <w:spacing w:line="500" w:lineRule="exact"/>
              <w:rPr>
                <w:rFonts w:ascii="宋体" w:hAnsi="宋体" w:eastAsia="宋体"/>
                <w:szCs w:val="24"/>
                <w:highlight w:val="none"/>
              </w:rPr>
            </w:pPr>
          </w:p>
        </w:tc>
        <w:tc>
          <w:tcPr>
            <w:tcW w:w="1224" w:type="dxa"/>
            <w:noWrap w:val="0"/>
            <w:vAlign w:val="top"/>
          </w:tcPr>
          <w:p w14:paraId="726B6AE6">
            <w:pPr>
              <w:wordWrap w:val="0"/>
              <w:topLinePunct/>
              <w:spacing w:line="500" w:lineRule="exact"/>
              <w:rPr>
                <w:rFonts w:ascii="宋体" w:hAnsi="宋体" w:eastAsia="宋体"/>
                <w:szCs w:val="24"/>
                <w:highlight w:val="none"/>
              </w:rPr>
            </w:pPr>
          </w:p>
        </w:tc>
        <w:tc>
          <w:tcPr>
            <w:tcW w:w="1090" w:type="dxa"/>
            <w:noWrap w:val="0"/>
            <w:vAlign w:val="top"/>
          </w:tcPr>
          <w:p w14:paraId="2B351C4B">
            <w:pPr>
              <w:wordWrap w:val="0"/>
              <w:topLinePunct/>
              <w:spacing w:line="500" w:lineRule="exact"/>
              <w:rPr>
                <w:rFonts w:ascii="宋体" w:hAnsi="宋体" w:eastAsia="宋体"/>
                <w:szCs w:val="24"/>
                <w:highlight w:val="none"/>
              </w:rPr>
            </w:pPr>
          </w:p>
        </w:tc>
        <w:tc>
          <w:tcPr>
            <w:tcW w:w="664" w:type="dxa"/>
            <w:noWrap w:val="0"/>
            <w:vAlign w:val="top"/>
          </w:tcPr>
          <w:p w14:paraId="266BFBE6">
            <w:pPr>
              <w:wordWrap w:val="0"/>
              <w:topLinePunct/>
              <w:spacing w:line="500" w:lineRule="exact"/>
              <w:rPr>
                <w:rFonts w:ascii="宋体" w:hAnsi="宋体" w:eastAsia="宋体"/>
                <w:szCs w:val="24"/>
                <w:highlight w:val="none"/>
              </w:rPr>
            </w:pPr>
          </w:p>
        </w:tc>
        <w:tc>
          <w:tcPr>
            <w:tcW w:w="990" w:type="dxa"/>
            <w:noWrap w:val="0"/>
            <w:vAlign w:val="top"/>
          </w:tcPr>
          <w:p w14:paraId="4C12604E">
            <w:pPr>
              <w:wordWrap w:val="0"/>
              <w:topLinePunct/>
              <w:spacing w:line="500" w:lineRule="exact"/>
              <w:rPr>
                <w:rFonts w:ascii="宋体" w:hAnsi="宋体" w:eastAsia="宋体"/>
                <w:szCs w:val="24"/>
                <w:highlight w:val="none"/>
              </w:rPr>
            </w:pPr>
          </w:p>
        </w:tc>
        <w:tc>
          <w:tcPr>
            <w:tcW w:w="1157" w:type="dxa"/>
            <w:noWrap w:val="0"/>
            <w:vAlign w:val="top"/>
          </w:tcPr>
          <w:p w14:paraId="23F6A9A7">
            <w:pPr>
              <w:wordWrap w:val="0"/>
              <w:topLinePunct/>
              <w:spacing w:line="500" w:lineRule="exact"/>
              <w:rPr>
                <w:rFonts w:ascii="宋体" w:hAnsi="宋体" w:eastAsia="宋体"/>
                <w:szCs w:val="24"/>
                <w:highlight w:val="none"/>
              </w:rPr>
            </w:pPr>
          </w:p>
        </w:tc>
        <w:tc>
          <w:tcPr>
            <w:tcW w:w="991" w:type="dxa"/>
            <w:noWrap w:val="0"/>
            <w:vAlign w:val="top"/>
          </w:tcPr>
          <w:p w14:paraId="2254DF47">
            <w:pPr>
              <w:wordWrap w:val="0"/>
              <w:topLinePunct/>
              <w:spacing w:line="500" w:lineRule="exact"/>
              <w:rPr>
                <w:rFonts w:ascii="宋体" w:hAnsi="宋体" w:eastAsia="宋体"/>
                <w:szCs w:val="24"/>
                <w:highlight w:val="none"/>
              </w:rPr>
            </w:pPr>
          </w:p>
        </w:tc>
        <w:tc>
          <w:tcPr>
            <w:tcW w:w="1142" w:type="dxa"/>
            <w:noWrap w:val="0"/>
            <w:vAlign w:val="top"/>
          </w:tcPr>
          <w:p w14:paraId="76A849FA">
            <w:pPr>
              <w:wordWrap w:val="0"/>
              <w:topLinePunct/>
              <w:spacing w:line="500" w:lineRule="exact"/>
              <w:rPr>
                <w:rFonts w:ascii="宋体" w:hAnsi="宋体" w:eastAsia="宋体"/>
                <w:szCs w:val="24"/>
                <w:highlight w:val="none"/>
              </w:rPr>
            </w:pPr>
          </w:p>
        </w:tc>
        <w:tc>
          <w:tcPr>
            <w:tcW w:w="685" w:type="dxa"/>
            <w:noWrap w:val="0"/>
            <w:vAlign w:val="top"/>
          </w:tcPr>
          <w:p w14:paraId="338FE7D4">
            <w:pPr>
              <w:wordWrap w:val="0"/>
              <w:topLinePunct/>
              <w:spacing w:line="500" w:lineRule="exact"/>
              <w:rPr>
                <w:rFonts w:ascii="宋体" w:hAnsi="宋体" w:eastAsia="宋体"/>
                <w:szCs w:val="24"/>
                <w:highlight w:val="none"/>
              </w:rPr>
            </w:pPr>
          </w:p>
        </w:tc>
      </w:tr>
      <w:tr w14:paraId="23A8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15C198A6">
            <w:pPr>
              <w:wordWrap w:val="0"/>
              <w:topLinePunct/>
              <w:spacing w:line="500" w:lineRule="exact"/>
              <w:rPr>
                <w:rFonts w:ascii="宋体" w:hAnsi="宋体" w:eastAsia="宋体"/>
                <w:szCs w:val="24"/>
                <w:highlight w:val="none"/>
              </w:rPr>
            </w:pPr>
          </w:p>
        </w:tc>
        <w:tc>
          <w:tcPr>
            <w:tcW w:w="1224" w:type="dxa"/>
            <w:noWrap w:val="0"/>
            <w:vAlign w:val="top"/>
          </w:tcPr>
          <w:p w14:paraId="422F6350">
            <w:pPr>
              <w:wordWrap w:val="0"/>
              <w:topLinePunct/>
              <w:spacing w:line="500" w:lineRule="exact"/>
              <w:rPr>
                <w:rFonts w:ascii="宋体" w:hAnsi="宋体" w:eastAsia="宋体"/>
                <w:szCs w:val="24"/>
                <w:highlight w:val="none"/>
              </w:rPr>
            </w:pPr>
          </w:p>
        </w:tc>
        <w:tc>
          <w:tcPr>
            <w:tcW w:w="1090" w:type="dxa"/>
            <w:noWrap w:val="0"/>
            <w:vAlign w:val="top"/>
          </w:tcPr>
          <w:p w14:paraId="30E54E35">
            <w:pPr>
              <w:wordWrap w:val="0"/>
              <w:topLinePunct/>
              <w:spacing w:line="500" w:lineRule="exact"/>
              <w:rPr>
                <w:rFonts w:ascii="宋体" w:hAnsi="宋体" w:eastAsia="宋体"/>
                <w:szCs w:val="24"/>
                <w:highlight w:val="none"/>
              </w:rPr>
            </w:pPr>
          </w:p>
        </w:tc>
        <w:tc>
          <w:tcPr>
            <w:tcW w:w="664" w:type="dxa"/>
            <w:noWrap w:val="0"/>
            <w:vAlign w:val="top"/>
          </w:tcPr>
          <w:p w14:paraId="5E005CDB">
            <w:pPr>
              <w:wordWrap w:val="0"/>
              <w:topLinePunct/>
              <w:spacing w:line="500" w:lineRule="exact"/>
              <w:rPr>
                <w:rFonts w:ascii="宋体" w:hAnsi="宋体" w:eastAsia="宋体"/>
                <w:szCs w:val="24"/>
                <w:highlight w:val="none"/>
              </w:rPr>
            </w:pPr>
          </w:p>
        </w:tc>
        <w:tc>
          <w:tcPr>
            <w:tcW w:w="990" w:type="dxa"/>
            <w:noWrap w:val="0"/>
            <w:vAlign w:val="top"/>
          </w:tcPr>
          <w:p w14:paraId="2E7BAFD2">
            <w:pPr>
              <w:wordWrap w:val="0"/>
              <w:topLinePunct/>
              <w:spacing w:line="500" w:lineRule="exact"/>
              <w:rPr>
                <w:rFonts w:ascii="宋体" w:hAnsi="宋体" w:eastAsia="宋体"/>
                <w:szCs w:val="24"/>
                <w:highlight w:val="none"/>
              </w:rPr>
            </w:pPr>
          </w:p>
        </w:tc>
        <w:tc>
          <w:tcPr>
            <w:tcW w:w="1157" w:type="dxa"/>
            <w:noWrap w:val="0"/>
            <w:vAlign w:val="top"/>
          </w:tcPr>
          <w:p w14:paraId="72C54282">
            <w:pPr>
              <w:wordWrap w:val="0"/>
              <w:topLinePunct/>
              <w:spacing w:line="500" w:lineRule="exact"/>
              <w:rPr>
                <w:rFonts w:ascii="宋体" w:hAnsi="宋体" w:eastAsia="宋体"/>
                <w:szCs w:val="24"/>
                <w:highlight w:val="none"/>
              </w:rPr>
            </w:pPr>
          </w:p>
        </w:tc>
        <w:tc>
          <w:tcPr>
            <w:tcW w:w="991" w:type="dxa"/>
            <w:noWrap w:val="0"/>
            <w:vAlign w:val="top"/>
          </w:tcPr>
          <w:p w14:paraId="0DAA5901">
            <w:pPr>
              <w:wordWrap w:val="0"/>
              <w:topLinePunct/>
              <w:spacing w:line="500" w:lineRule="exact"/>
              <w:rPr>
                <w:rFonts w:ascii="宋体" w:hAnsi="宋体" w:eastAsia="宋体"/>
                <w:szCs w:val="24"/>
                <w:highlight w:val="none"/>
              </w:rPr>
            </w:pPr>
          </w:p>
        </w:tc>
        <w:tc>
          <w:tcPr>
            <w:tcW w:w="1142" w:type="dxa"/>
            <w:noWrap w:val="0"/>
            <w:vAlign w:val="top"/>
          </w:tcPr>
          <w:p w14:paraId="0DD007DD">
            <w:pPr>
              <w:wordWrap w:val="0"/>
              <w:topLinePunct/>
              <w:spacing w:line="500" w:lineRule="exact"/>
              <w:rPr>
                <w:rFonts w:ascii="宋体" w:hAnsi="宋体" w:eastAsia="宋体"/>
                <w:szCs w:val="24"/>
                <w:highlight w:val="none"/>
              </w:rPr>
            </w:pPr>
          </w:p>
        </w:tc>
        <w:tc>
          <w:tcPr>
            <w:tcW w:w="685" w:type="dxa"/>
            <w:noWrap w:val="0"/>
            <w:vAlign w:val="top"/>
          </w:tcPr>
          <w:p w14:paraId="55E930FE">
            <w:pPr>
              <w:wordWrap w:val="0"/>
              <w:topLinePunct/>
              <w:spacing w:line="500" w:lineRule="exact"/>
              <w:rPr>
                <w:rFonts w:ascii="宋体" w:hAnsi="宋体" w:eastAsia="宋体"/>
                <w:szCs w:val="24"/>
                <w:highlight w:val="none"/>
              </w:rPr>
            </w:pPr>
          </w:p>
        </w:tc>
      </w:tr>
      <w:tr w14:paraId="3D03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0E8CF9C2">
            <w:pPr>
              <w:wordWrap w:val="0"/>
              <w:topLinePunct/>
              <w:spacing w:line="500" w:lineRule="exact"/>
              <w:rPr>
                <w:rFonts w:ascii="宋体" w:hAnsi="宋体" w:eastAsia="宋体"/>
                <w:szCs w:val="24"/>
                <w:highlight w:val="none"/>
              </w:rPr>
            </w:pPr>
          </w:p>
        </w:tc>
        <w:tc>
          <w:tcPr>
            <w:tcW w:w="1224" w:type="dxa"/>
            <w:noWrap w:val="0"/>
            <w:vAlign w:val="top"/>
          </w:tcPr>
          <w:p w14:paraId="2FB277B0">
            <w:pPr>
              <w:wordWrap w:val="0"/>
              <w:topLinePunct/>
              <w:spacing w:line="500" w:lineRule="exact"/>
              <w:rPr>
                <w:rFonts w:ascii="宋体" w:hAnsi="宋体" w:eastAsia="宋体"/>
                <w:szCs w:val="24"/>
                <w:highlight w:val="none"/>
              </w:rPr>
            </w:pPr>
          </w:p>
        </w:tc>
        <w:tc>
          <w:tcPr>
            <w:tcW w:w="1090" w:type="dxa"/>
            <w:noWrap w:val="0"/>
            <w:vAlign w:val="top"/>
          </w:tcPr>
          <w:p w14:paraId="5D1EE2C8">
            <w:pPr>
              <w:wordWrap w:val="0"/>
              <w:topLinePunct/>
              <w:spacing w:line="500" w:lineRule="exact"/>
              <w:rPr>
                <w:rFonts w:ascii="宋体" w:hAnsi="宋体" w:eastAsia="宋体"/>
                <w:szCs w:val="24"/>
                <w:highlight w:val="none"/>
              </w:rPr>
            </w:pPr>
          </w:p>
        </w:tc>
        <w:tc>
          <w:tcPr>
            <w:tcW w:w="664" w:type="dxa"/>
            <w:noWrap w:val="0"/>
            <w:vAlign w:val="top"/>
          </w:tcPr>
          <w:p w14:paraId="2E3772F3">
            <w:pPr>
              <w:wordWrap w:val="0"/>
              <w:topLinePunct/>
              <w:spacing w:line="500" w:lineRule="exact"/>
              <w:rPr>
                <w:rFonts w:ascii="宋体" w:hAnsi="宋体" w:eastAsia="宋体"/>
                <w:szCs w:val="24"/>
                <w:highlight w:val="none"/>
              </w:rPr>
            </w:pPr>
          </w:p>
        </w:tc>
        <w:tc>
          <w:tcPr>
            <w:tcW w:w="990" w:type="dxa"/>
            <w:noWrap w:val="0"/>
            <w:vAlign w:val="top"/>
          </w:tcPr>
          <w:p w14:paraId="5C9DE747">
            <w:pPr>
              <w:wordWrap w:val="0"/>
              <w:topLinePunct/>
              <w:spacing w:line="500" w:lineRule="exact"/>
              <w:rPr>
                <w:rFonts w:ascii="宋体" w:hAnsi="宋体" w:eastAsia="宋体"/>
                <w:szCs w:val="24"/>
                <w:highlight w:val="none"/>
              </w:rPr>
            </w:pPr>
          </w:p>
        </w:tc>
        <w:tc>
          <w:tcPr>
            <w:tcW w:w="1157" w:type="dxa"/>
            <w:noWrap w:val="0"/>
            <w:vAlign w:val="top"/>
          </w:tcPr>
          <w:p w14:paraId="1EF2BD10">
            <w:pPr>
              <w:wordWrap w:val="0"/>
              <w:topLinePunct/>
              <w:spacing w:line="500" w:lineRule="exact"/>
              <w:rPr>
                <w:rFonts w:ascii="宋体" w:hAnsi="宋体" w:eastAsia="宋体"/>
                <w:szCs w:val="24"/>
                <w:highlight w:val="none"/>
              </w:rPr>
            </w:pPr>
          </w:p>
        </w:tc>
        <w:tc>
          <w:tcPr>
            <w:tcW w:w="991" w:type="dxa"/>
            <w:noWrap w:val="0"/>
            <w:vAlign w:val="top"/>
          </w:tcPr>
          <w:p w14:paraId="7107C5FB">
            <w:pPr>
              <w:wordWrap w:val="0"/>
              <w:topLinePunct/>
              <w:spacing w:line="500" w:lineRule="exact"/>
              <w:rPr>
                <w:rFonts w:ascii="宋体" w:hAnsi="宋体" w:eastAsia="宋体"/>
                <w:szCs w:val="24"/>
                <w:highlight w:val="none"/>
              </w:rPr>
            </w:pPr>
          </w:p>
        </w:tc>
        <w:tc>
          <w:tcPr>
            <w:tcW w:w="1142" w:type="dxa"/>
            <w:noWrap w:val="0"/>
            <w:vAlign w:val="top"/>
          </w:tcPr>
          <w:p w14:paraId="16331FDC">
            <w:pPr>
              <w:wordWrap w:val="0"/>
              <w:topLinePunct/>
              <w:spacing w:line="500" w:lineRule="exact"/>
              <w:rPr>
                <w:rFonts w:ascii="宋体" w:hAnsi="宋体" w:eastAsia="宋体"/>
                <w:szCs w:val="24"/>
                <w:highlight w:val="none"/>
              </w:rPr>
            </w:pPr>
          </w:p>
        </w:tc>
        <w:tc>
          <w:tcPr>
            <w:tcW w:w="685" w:type="dxa"/>
            <w:noWrap w:val="0"/>
            <w:vAlign w:val="top"/>
          </w:tcPr>
          <w:p w14:paraId="7647215D">
            <w:pPr>
              <w:wordWrap w:val="0"/>
              <w:topLinePunct/>
              <w:spacing w:line="500" w:lineRule="exact"/>
              <w:rPr>
                <w:rFonts w:ascii="宋体" w:hAnsi="宋体" w:eastAsia="宋体"/>
                <w:szCs w:val="24"/>
                <w:highlight w:val="none"/>
              </w:rPr>
            </w:pPr>
          </w:p>
        </w:tc>
      </w:tr>
      <w:tr w14:paraId="091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271442F4">
            <w:pPr>
              <w:wordWrap w:val="0"/>
              <w:topLinePunct/>
              <w:spacing w:line="500" w:lineRule="exact"/>
              <w:rPr>
                <w:rFonts w:ascii="宋体" w:hAnsi="宋体" w:eastAsia="宋体"/>
                <w:szCs w:val="24"/>
                <w:highlight w:val="none"/>
              </w:rPr>
            </w:pPr>
          </w:p>
        </w:tc>
        <w:tc>
          <w:tcPr>
            <w:tcW w:w="1224" w:type="dxa"/>
            <w:noWrap w:val="0"/>
            <w:vAlign w:val="top"/>
          </w:tcPr>
          <w:p w14:paraId="3107164C">
            <w:pPr>
              <w:wordWrap w:val="0"/>
              <w:topLinePunct/>
              <w:spacing w:line="500" w:lineRule="exact"/>
              <w:rPr>
                <w:rFonts w:ascii="宋体" w:hAnsi="宋体" w:eastAsia="宋体"/>
                <w:szCs w:val="24"/>
                <w:highlight w:val="none"/>
              </w:rPr>
            </w:pPr>
          </w:p>
        </w:tc>
        <w:tc>
          <w:tcPr>
            <w:tcW w:w="1090" w:type="dxa"/>
            <w:noWrap w:val="0"/>
            <w:vAlign w:val="top"/>
          </w:tcPr>
          <w:p w14:paraId="2E3E0D60">
            <w:pPr>
              <w:wordWrap w:val="0"/>
              <w:topLinePunct/>
              <w:spacing w:line="500" w:lineRule="exact"/>
              <w:rPr>
                <w:rFonts w:ascii="宋体" w:hAnsi="宋体" w:eastAsia="宋体"/>
                <w:szCs w:val="24"/>
                <w:highlight w:val="none"/>
              </w:rPr>
            </w:pPr>
          </w:p>
        </w:tc>
        <w:tc>
          <w:tcPr>
            <w:tcW w:w="664" w:type="dxa"/>
            <w:noWrap w:val="0"/>
            <w:vAlign w:val="top"/>
          </w:tcPr>
          <w:p w14:paraId="37F74016">
            <w:pPr>
              <w:wordWrap w:val="0"/>
              <w:topLinePunct/>
              <w:spacing w:line="500" w:lineRule="exact"/>
              <w:rPr>
                <w:rFonts w:ascii="宋体" w:hAnsi="宋体" w:eastAsia="宋体"/>
                <w:szCs w:val="24"/>
                <w:highlight w:val="none"/>
              </w:rPr>
            </w:pPr>
          </w:p>
        </w:tc>
        <w:tc>
          <w:tcPr>
            <w:tcW w:w="990" w:type="dxa"/>
            <w:noWrap w:val="0"/>
            <w:vAlign w:val="top"/>
          </w:tcPr>
          <w:p w14:paraId="520A9887">
            <w:pPr>
              <w:wordWrap w:val="0"/>
              <w:topLinePunct/>
              <w:spacing w:line="500" w:lineRule="exact"/>
              <w:rPr>
                <w:rFonts w:ascii="宋体" w:hAnsi="宋体" w:eastAsia="宋体"/>
                <w:szCs w:val="24"/>
                <w:highlight w:val="none"/>
              </w:rPr>
            </w:pPr>
          </w:p>
        </w:tc>
        <w:tc>
          <w:tcPr>
            <w:tcW w:w="1157" w:type="dxa"/>
            <w:noWrap w:val="0"/>
            <w:vAlign w:val="top"/>
          </w:tcPr>
          <w:p w14:paraId="38B4BE12">
            <w:pPr>
              <w:wordWrap w:val="0"/>
              <w:topLinePunct/>
              <w:spacing w:line="500" w:lineRule="exact"/>
              <w:rPr>
                <w:rFonts w:ascii="宋体" w:hAnsi="宋体" w:eastAsia="宋体"/>
                <w:szCs w:val="24"/>
                <w:highlight w:val="none"/>
              </w:rPr>
            </w:pPr>
          </w:p>
        </w:tc>
        <w:tc>
          <w:tcPr>
            <w:tcW w:w="991" w:type="dxa"/>
            <w:noWrap w:val="0"/>
            <w:vAlign w:val="top"/>
          </w:tcPr>
          <w:p w14:paraId="2E1EF70B">
            <w:pPr>
              <w:wordWrap w:val="0"/>
              <w:topLinePunct/>
              <w:spacing w:line="500" w:lineRule="exact"/>
              <w:rPr>
                <w:rFonts w:ascii="宋体" w:hAnsi="宋体" w:eastAsia="宋体"/>
                <w:szCs w:val="24"/>
                <w:highlight w:val="none"/>
              </w:rPr>
            </w:pPr>
          </w:p>
        </w:tc>
        <w:tc>
          <w:tcPr>
            <w:tcW w:w="1142" w:type="dxa"/>
            <w:noWrap w:val="0"/>
            <w:vAlign w:val="top"/>
          </w:tcPr>
          <w:p w14:paraId="219A07DE">
            <w:pPr>
              <w:wordWrap w:val="0"/>
              <w:topLinePunct/>
              <w:spacing w:line="500" w:lineRule="exact"/>
              <w:rPr>
                <w:rFonts w:ascii="宋体" w:hAnsi="宋体" w:eastAsia="宋体"/>
                <w:szCs w:val="24"/>
                <w:highlight w:val="none"/>
              </w:rPr>
            </w:pPr>
          </w:p>
        </w:tc>
        <w:tc>
          <w:tcPr>
            <w:tcW w:w="685" w:type="dxa"/>
            <w:noWrap w:val="0"/>
            <w:vAlign w:val="top"/>
          </w:tcPr>
          <w:p w14:paraId="71D6E188">
            <w:pPr>
              <w:wordWrap w:val="0"/>
              <w:topLinePunct/>
              <w:spacing w:line="500" w:lineRule="exact"/>
              <w:rPr>
                <w:rFonts w:ascii="宋体" w:hAnsi="宋体" w:eastAsia="宋体"/>
                <w:szCs w:val="24"/>
                <w:highlight w:val="none"/>
              </w:rPr>
            </w:pPr>
          </w:p>
        </w:tc>
      </w:tr>
      <w:tr w14:paraId="162B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3DA0C2BB">
            <w:pPr>
              <w:wordWrap w:val="0"/>
              <w:topLinePunct/>
              <w:spacing w:line="500" w:lineRule="exact"/>
              <w:rPr>
                <w:rFonts w:ascii="宋体" w:hAnsi="宋体" w:eastAsia="宋体"/>
                <w:szCs w:val="24"/>
                <w:highlight w:val="none"/>
              </w:rPr>
            </w:pPr>
          </w:p>
        </w:tc>
        <w:tc>
          <w:tcPr>
            <w:tcW w:w="1224" w:type="dxa"/>
            <w:noWrap w:val="0"/>
            <w:vAlign w:val="top"/>
          </w:tcPr>
          <w:p w14:paraId="1D0F8A1A">
            <w:pPr>
              <w:wordWrap w:val="0"/>
              <w:topLinePunct/>
              <w:spacing w:line="500" w:lineRule="exact"/>
              <w:rPr>
                <w:rFonts w:ascii="宋体" w:hAnsi="宋体" w:eastAsia="宋体"/>
                <w:szCs w:val="24"/>
                <w:highlight w:val="none"/>
              </w:rPr>
            </w:pPr>
          </w:p>
        </w:tc>
        <w:tc>
          <w:tcPr>
            <w:tcW w:w="1090" w:type="dxa"/>
            <w:noWrap w:val="0"/>
            <w:vAlign w:val="top"/>
          </w:tcPr>
          <w:p w14:paraId="267DA868">
            <w:pPr>
              <w:wordWrap w:val="0"/>
              <w:topLinePunct/>
              <w:spacing w:line="500" w:lineRule="exact"/>
              <w:rPr>
                <w:rFonts w:ascii="宋体" w:hAnsi="宋体" w:eastAsia="宋体"/>
                <w:szCs w:val="24"/>
                <w:highlight w:val="none"/>
              </w:rPr>
            </w:pPr>
          </w:p>
        </w:tc>
        <w:tc>
          <w:tcPr>
            <w:tcW w:w="664" w:type="dxa"/>
            <w:noWrap w:val="0"/>
            <w:vAlign w:val="top"/>
          </w:tcPr>
          <w:p w14:paraId="18CAE2CF">
            <w:pPr>
              <w:wordWrap w:val="0"/>
              <w:topLinePunct/>
              <w:spacing w:line="500" w:lineRule="exact"/>
              <w:rPr>
                <w:rFonts w:ascii="宋体" w:hAnsi="宋体" w:eastAsia="宋体"/>
                <w:szCs w:val="24"/>
                <w:highlight w:val="none"/>
              </w:rPr>
            </w:pPr>
          </w:p>
        </w:tc>
        <w:tc>
          <w:tcPr>
            <w:tcW w:w="990" w:type="dxa"/>
            <w:noWrap w:val="0"/>
            <w:vAlign w:val="top"/>
          </w:tcPr>
          <w:p w14:paraId="1CF616C4">
            <w:pPr>
              <w:wordWrap w:val="0"/>
              <w:topLinePunct/>
              <w:spacing w:line="500" w:lineRule="exact"/>
              <w:rPr>
                <w:rFonts w:ascii="宋体" w:hAnsi="宋体" w:eastAsia="宋体"/>
                <w:szCs w:val="24"/>
                <w:highlight w:val="none"/>
              </w:rPr>
            </w:pPr>
          </w:p>
        </w:tc>
        <w:tc>
          <w:tcPr>
            <w:tcW w:w="1157" w:type="dxa"/>
            <w:noWrap w:val="0"/>
            <w:vAlign w:val="top"/>
          </w:tcPr>
          <w:p w14:paraId="7CB16826">
            <w:pPr>
              <w:wordWrap w:val="0"/>
              <w:topLinePunct/>
              <w:spacing w:line="500" w:lineRule="exact"/>
              <w:rPr>
                <w:rFonts w:ascii="宋体" w:hAnsi="宋体" w:eastAsia="宋体"/>
                <w:szCs w:val="24"/>
                <w:highlight w:val="none"/>
              </w:rPr>
            </w:pPr>
          </w:p>
        </w:tc>
        <w:tc>
          <w:tcPr>
            <w:tcW w:w="991" w:type="dxa"/>
            <w:noWrap w:val="0"/>
            <w:vAlign w:val="top"/>
          </w:tcPr>
          <w:p w14:paraId="11CAF394">
            <w:pPr>
              <w:wordWrap w:val="0"/>
              <w:topLinePunct/>
              <w:spacing w:line="500" w:lineRule="exact"/>
              <w:rPr>
                <w:rFonts w:ascii="宋体" w:hAnsi="宋体" w:eastAsia="宋体"/>
                <w:szCs w:val="24"/>
                <w:highlight w:val="none"/>
              </w:rPr>
            </w:pPr>
          </w:p>
        </w:tc>
        <w:tc>
          <w:tcPr>
            <w:tcW w:w="1142" w:type="dxa"/>
            <w:noWrap w:val="0"/>
            <w:vAlign w:val="top"/>
          </w:tcPr>
          <w:p w14:paraId="3FA0C830">
            <w:pPr>
              <w:wordWrap w:val="0"/>
              <w:topLinePunct/>
              <w:spacing w:line="500" w:lineRule="exact"/>
              <w:rPr>
                <w:rFonts w:ascii="宋体" w:hAnsi="宋体" w:eastAsia="宋体"/>
                <w:szCs w:val="24"/>
                <w:highlight w:val="none"/>
              </w:rPr>
            </w:pPr>
          </w:p>
        </w:tc>
        <w:tc>
          <w:tcPr>
            <w:tcW w:w="685" w:type="dxa"/>
            <w:noWrap w:val="0"/>
            <w:vAlign w:val="top"/>
          </w:tcPr>
          <w:p w14:paraId="0CEBCE02">
            <w:pPr>
              <w:wordWrap w:val="0"/>
              <w:topLinePunct/>
              <w:spacing w:line="500" w:lineRule="exact"/>
              <w:rPr>
                <w:rFonts w:ascii="宋体" w:hAnsi="宋体" w:eastAsia="宋体"/>
                <w:szCs w:val="24"/>
                <w:highlight w:val="none"/>
              </w:rPr>
            </w:pPr>
          </w:p>
        </w:tc>
      </w:tr>
      <w:tr w14:paraId="27A5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6AB1ECB3">
            <w:pPr>
              <w:wordWrap w:val="0"/>
              <w:topLinePunct/>
              <w:spacing w:line="500" w:lineRule="exact"/>
              <w:rPr>
                <w:rFonts w:ascii="宋体" w:hAnsi="宋体" w:eastAsia="宋体"/>
                <w:szCs w:val="24"/>
                <w:highlight w:val="none"/>
              </w:rPr>
            </w:pPr>
          </w:p>
        </w:tc>
        <w:tc>
          <w:tcPr>
            <w:tcW w:w="1224" w:type="dxa"/>
            <w:noWrap w:val="0"/>
            <w:vAlign w:val="top"/>
          </w:tcPr>
          <w:p w14:paraId="173674E0">
            <w:pPr>
              <w:wordWrap w:val="0"/>
              <w:topLinePunct/>
              <w:spacing w:line="500" w:lineRule="exact"/>
              <w:rPr>
                <w:rFonts w:ascii="宋体" w:hAnsi="宋体" w:eastAsia="宋体"/>
                <w:szCs w:val="24"/>
                <w:highlight w:val="none"/>
              </w:rPr>
            </w:pPr>
          </w:p>
        </w:tc>
        <w:tc>
          <w:tcPr>
            <w:tcW w:w="1090" w:type="dxa"/>
            <w:noWrap w:val="0"/>
            <w:vAlign w:val="top"/>
          </w:tcPr>
          <w:p w14:paraId="29D9F391">
            <w:pPr>
              <w:wordWrap w:val="0"/>
              <w:topLinePunct/>
              <w:spacing w:line="500" w:lineRule="exact"/>
              <w:rPr>
                <w:rFonts w:ascii="宋体" w:hAnsi="宋体" w:eastAsia="宋体"/>
                <w:szCs w:val="24"/>
                <w:highlight w:val="none"/>
              </w:rPr>
            </w:pPr>
          </w:p>
        </w:tc>
        <w:tc>
          <w:tcPr>
            <w:tcW w:w="664" w:type="dxa"/>
            <w:noWrap w:val="0"/>
            <w:vAlign w:val="top"/>
          </w:tcPr>
          <w:p w14:paraId="3693F189">
            <w:pPr>
              <w:wordWrap w:val="0"/>
              <w:topLinePunct/>
              <w:spacing w:line="500" w:lineRule="exact"/>
              <w:rPr>
                <w:rFonts w:ascii="宋体" w:hAnsi="宋体" w:eastAsia="宋体"/>
                <w:szCs w:val="24"/>
                <w:highlight w:val="none"/>
              </w:rPr>
            </w:pPr>
          </w:p>
        </w:tc>
        <w:tc>
          <w:tcPr>
            <w:tcW w:w="990" w:type="dxa"/>
            <w:noWrap w:val="0"/>
            <w:vAlign w:val="top"/>
          </w:tcPr>
          <w:p w14:paraId="32E962C3">
            <w:pPr>
              <w:wordWrap w:val="0"/>
              <w:topLinePunct/>
              <w:spacing w:line="500" w:lineRule="exact"/>
              <w:rPr>
                <w:rFonts w:ascii="宋体" w:hAnsi="宋体" w:eastAsia="宋体"/>
                <w:szCs w:val="24"/>
                <w:highlight w:val="none"/>
              </w:rPr>
            </w:pPr>
          </w:p>
        </w:tc>
        <w:tc>
          <w:tcPr>
            <w:tcW w:w="1157" w:type="dxa"/>
            <w:noWrap w:val="0"/>
            <w:vAlign w:val="top"/>
          </w:tcPr>
          <w:p w14:paraId="510FCE9F">
            <w:pPr>
              <w:wordWrap w:val="0"/>
              <w:topLinePunct/>
              <w:spacing w:line="500" w:lineRule="exact"/>
              <w:rPr>
                <w:rFonts w:ascii="宋体" w:hAnsi="宋体" w:eastAsia="宋体"/>
                <w:szCs w:val="24"/>
                <w:highlight w:val="none"/>
              </w:rPr>
            </w:pPr>
          </w:p>
        </w:tc>
        <w:tc>
          <w:tcPr>
            <w:tcW w:w="991" w:type="dxa"/>
            <w:noWrap w:val="0"/>
            <w:vAlign w:val="top"/>
          </w:tcPr>
          <w:p w14:paraId="2DE46AC1">
            <w:pPr>
              <w:wordWrap w:val="0"/>
              <w:topLinePunct/>
              <w:spacing w:line="500" w:lineRule="exact"/>
              <w:rPr>
                <w:rFonts w:ascii="宋体" w:hAnsi="宋体" w:eastAsia="宋体"/>
                <w:szCs w:val="24"/>
                <w:highlight w:val="none"/>
              </w:rPr>
            </w:pPr>
          </w:p>
        </w:tc>
        <w:tc>
          <w:tcPr>
            <w:tcW w:w="1142" w:type="dxa"/>
            <w:noWrap w:val="0"/>
            <w:vAlign w:val="top"/>
          </w:tcPr>
          <w:p w14:paraId="698114B0">
            <w:pPr>
              <w:wordWrap w:val="0"/>
              <w:topLinePunct/>
              <w:spacing w:line="500" w:lineRule="exact"/>
              <w:rPr>
                <w:rFonts w:ascii="宋体" w:hAnsi="宋体" w:eastAsia="宋体"/>
                <w:szCs w:val="24"/>
                <w:highlight w:val="none"/>
              </w:rPr>
            </w:pPr>
          </w:p>
        </w:tc>
        <w:tc>
          <w:tcPr>
            <w:tcW w:w="685" w:type="dxa"/>
            <w:noWrap w:val="0"/>
            <w:vAlign w:val="top"/>
          </w:tcPr>
          <w:p w14:paraId="3D1BA845">
            <w:pPr>
              <w:wordWrap w:val="0"/>
              <w:topLinePunct/>
              <w:spacing w:line="500" w:lineRule="exact"/>
              <w:rPr>
                <w:rFonts w:ascii="宋体" w:hAnsi="宋体" w:eastAsia="宋体"/>
                <w:szCs w:val="24"/>
                <w:highlight w:val="none"/>
              </w:rPr>
            </w:pPr>
          </w:p>
        </w:tc>
      </w:tr>
      <w:tr w14:paraId="1712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top"/>
          </w:tcPr>
          <w:p w14:paraId="6789D714">
            <w:pPr>
              <w:wordWrap w:val="0"/>
              <w:topLinePunct/>
              <w:spacing w:line="500" w:lineRule="exact"/>
              <w:rPr>
                <w:rFonts w:ascii="宋体" w:hAnsi="宋体" w:eastAsia="宋体"/>
                <w:szCs w:val="24"/>
                <w:highlight w:val="none"/>
              </w:rPr>
            </w:pPr>
          </w:p>
        </w:tc>
        <w:tc>
          <w:tcPr>
            <w:tcW w:w="1224" w:type="dxa"/>
            <w:noWrap w:val="0"/>
            <w:vAlign w:val="top"/>
          </w:tcPr>
          <w:p w14:paraId="5C9BD5FC">
            <w:pPr>
              <w:wordWrap w:val="0"/>
              <w:topLinePunct/>
              <w:spacing w:line="500" w:lineRule="exact"/>
              <w:rPr>
                <w:rFonts w:ascii="宋体" w:hAnsi="宋体" w:eastAsia="宋体"/>
                <w:szCs w:val="24"/>
                <w:highlight w:val="none"/>
              </w:rPr>
            </w:pPr>
          </w:p>
        </w:tc>
        <w:tc>
          <w:tcPr>
            <w:tcW w:w="1090" w:type="dxa"/>
            <w:noWrap w:val="0"/>
            <w:vAlign w:val="top"/>
          </w:tcPr>
          <w:p w14:paraId="770004D6">
            <w:pPr>
              <w:wordWrap w:val="0"/>
              <w:topLinePunct/>
              <w:spacing w:line="500" w:lineRule="exact"/>
              <w:rPr>
                <w:rFonts w:ascii="宋体" w:hAnsi="宋体" w:eastAsia="宋体"/>
                <w:szCs w:val="24"/>
                <w:highlight w:val="none"/>
              </w:rPr>
            </w:pPr>
          </w:p>
        </w:tc>
        <w:tc>
          <w:tcPr>
            <w:tcW w:w="664" w:type="dxa"/>
            <w:noWrap w:val="0"/>
            <w:vAlign w:val="top"/>
          </w:tcPr>
          <w:p w14:paraId="4233A854">
            <w:pPr>
              <w:wordWrap w:val="0"/>
              <w:topLinePunct/>
              <w:spacing w:line="500" w:lineRule="exact"/>
              <w:rPr>
                <w:rFonts w:ascii="宋体" w:hAnsi="宋体" w:eastAsia="宋体"/>
                <w:szCs w:val="24"/>
                <w:highlight w:val="none"/>
              </w:rPr>
            </w:pPr>
          </w:p>
        </w:tc>
        <w:tc>
          <w:tcPr>
            <w:tcW w:w="990" w:type="dxa"/>
            <w:noWrap w:val="0"/>
            <w:vAlign w:val="top"/>
          </w:tcPr>
          <w:p w14:paraId="51B89C5B">
            <w:pPr>
              <w:wordWrap w:val="0"/>
              <w:topLinePunct/>
              <w:spacing w:line="500" w:lineRule="exact"/>
              <w:rPr>
                <w:rFonts w:ascii="宋体" w:hAnsi="宋体" w:eastAsia="宋体"/>
                <w:szCs w:val="24"/>
                <w:highlight w:val="none"/>
              </w:rPr>
            </w:pPr>
          </w:p>
        </w:tc>
        <w:tc>
          <w:tcPr>
            <w:tcW w:w="1157" w:type="dxa"/>
            <w:noWrap w:val="0"/>
            <w:vAlign w:val="top"/>
          </w:tcPr>
          <w:p w14:paraId="0A671B2A">
            <w:pPr>
              <w:wordWrap w:val="0"/>
              <w:topLinePunct/>
              <w:spacing w:line="500" w:lineRule="exact"/>
              <w:rPr>
                <w:rFonts w:ascii="宋体" w:hAnsi="宋体" w:eastAsia="宋体"/>
                <w:szCs w:val="24"/>
                <w:highlight w:val="none"/>
              </w:rPr>
            </w:pPr>
          </w:p>
        </w:tc>
        <w:tc>
          <w:tcPr>
            <w:tcW w:w="991" w:type="dxa"/>
            <w:noWrap w:val="0"/>
            <w:vAlign w:val="top"/>
          </w:tcPr>
          <w:p w14:paraId="690480CA">
            <w:pPr>
              <w:wordWrap w:val="0"/>
              <w:topLinePunct/>
              <w:spacing w:line="500" w:lineRule="exact"/>
              <w:rPr>
                <w:rFonts w:ascii="宋体" w:hAnsi="宋体" w:eastAsia="宋体"/>
                <w:szCs w:val="24"/>
                <w:highlight w:val="none"/>
              </w:rPr>
            </w:pPr>
          </w:p>
        </w:tc>
        <w:tc>
          <w:tcPr>
            <w:tcW w:w="1142" w:type="dxa"/>
            <w:noWrap w:val="0"/>
            <w:vAlign w:val="top"/>
          </w:tcPr>
          <w:p w14:paraId="3083BC28">
            <w:pPr>
              <w:wordWrap w:val="0"/>
              <w:topLinePunct/>
              <w:spacing w:line="500" w:lineRule="exact"/>
              <w:rPr>
                <w:rFonts w:ascii="宋体" w:hAnsi="宋体" w:eastAsia="宋体"/>
                <w:szCs w:val="24"/>
                <w:highlight w:val="none"/>
              </w:rPr>
            </w:pPr>
          </w:p>
        </w:tc>
        <w:tc>
          <w:tcPr>
            <w:tcW w:w="685" w:type="dxa"/>
            <w:noWrap w:val="0"/>
            <w:vAlign w:val="top"/>
          </w:tcPr>
          <w:p w14:paraId="3037222F">
            <w:pPr>
              <w:wordWrap w:val="0"/>
              <w:topLinePunct/>
              <w:spacing w:line="500" w:lineRule="exact"/>
              <w:rPr>
                <w:rFonts w:ascii="宋体" w:hAnsi="宋体" w:eastAsia="宋体"/>
                <w:szCs w:val="24"/>
                <w:highlight w:val="none"/>
              </w:rPr>
            </w:pPr>
          </w:p>
        </w:tc>
      </w:tr>
    </w:tbl>
    <w:p w14:paraId="3AC8D550">
      <w:pPr>
        <w:wordWrap w:val="0"/>
        <w:topLinePunct/>
        <w:spacing w:line="500" w:lineRule="exact"/>
        <w:jc w:val="center"/>
        <w:rPr>
          <w:rFonts w:ascii="宋体" w:hAnsi="宋体" w:eastAsia="宋体"/>
          <w:b/>
          <w:sz w:val="28"/>
          <w:szCs w:val="28"/>
          <w:highlight w:val="none"/>
        </w:rPr>
      </w:pPr>
      <w:bookmarkStart w:id="552" w:name="_Toc502396527"/>
      <w:bookmarkStart w:id="553" w:name="_Toc485740294"/>
      <w:bookmarkStart w:id="554" w:name="_Toc17315"/>
      <w:bookmarkStart w:id="555" w:name="_Toc17601"/>
    </w:p>
    <w:p w14:paraId="4C90C84E">
      <w:pPr>
        <w:wordWrap w:val="0"/>
        <w:topLinePunct/>
        <w:spacing w:line="500" w:lineRule="exact"/>
        <w:jc w:val="center"/>
        <w:rPr>
          <w:rFonts w:ascii="宋体" w:hAnsi="宋体" w:eastAsia="宋体"/>
          <w:b/>
          <w:sz w:val="28"/>
          <w:szCs w:val="28"/>
          <w:highlight w:val="none"/>
        </w:rPr>
      </w:pPr>
    </w:p>
    <w:p w14:paraId="799B2134">
      <w:pPr>
        <w:wordWrap w:val="0"/>
        <w:topLinePunct/>
        <w:spacing w:line="500" w:lineRule="exact"/>
        <w:rPr>
          <w:rFonts w:ascii="宋体" w:hAnsi="宋体" w:eastAsia="宋体" w:cs="宋体"/>
          <w:sz w:val="24"/>
          <w:szCs w:val="20"/>
          <w:highlight w:val="none"/>
        </w:rPr>
      </w:pPr>
    </w:p>
    <w:p w14:paraId="1852C0B1">
      <w:pPr>
        <w:wordWrap w:val="0"/>
        <w:topLinePunct/>
        <w:spacing w:line="500" w:lineRule="exact"/>
        <w:rPr>
          <w:rFonts w:ascii="宋体" w:hAnsi="宋体" w:eastAsia="宋体" w:cs="宋体"/>
          <w:sz w:val="28"/>
          <w:szCs w:val="28"/>
          <w:highlight w:val="none"/>
        </w:rPr>
      </w:pPr>
      <w:r>
        <w:rPr>
          <w:rFonts w:ascii="宋体" w:hAnsi="宋体" w:eastAsia="宋体" w:cs="宋体"/>
          <w:sz w:val="28"/>
          <w:szCs w:val="28"/>
          <w:highlight w:val="none"/>
        </w:rPr>
        <w:br w:type="page"/>
      </w:r>
      <w:r>
        <w:rPr>
          <w:rFonts w:ascii="宋体" w:hAnsi="宋体" w:eastAsia="宋体" w:cs="宋体"/>
          <w:sz w:val="28"/>
          <w:szCs w:val="28"/>
          <w:highlight w:val="none"/>
        </w:rPr>
        <w:t>附表</w:t>
      </w:r>
      <w:r>
        <w:rPr>
          <w:rFonts w:hint="eastAsia" w:ascii="宋体" w:hAnsi="宋体" w:eastAsia="宋体" w:cs="宋体"/>
          <w:sz w:val="28"/>
          <w:szCs w:val="28"/>
          <w:highlight w:val="none"/>
        </w:rPr>
        <w:t>三</w:t>
      </w:r>
      <w:r>
        <w:rPr>
          <w:rFonts w:ascii="宋体" w:hAnsi="宋体" w:eastAsia="宋体" w:cs="宋体"/>
          <w:sz w:val="28"/>
          <w:szCs w:val="28"/>
          <w:highlight w:val="none"/>
        </w:rPr>
        <w:t>：</w:t>
      </w:r>
      <w:r>
        <w:rPr>
          <w:rFonts w:hint="eastAsia" w:ascii="宋体" w:hAnsi="宋体" w:eastAsia="宋体" w:cs="宋体"/>
          <w:sz w:val="28"/>
          <w:szCs w:val="28"/>
          <w:highlight w:val="none"/>
        </w:rPr>
        <w:t>拟投入本工程的劳动力计划表</w:t>
      </w:r>
      <w:bookmarkEnd w:id="552"/>
      <w:bookmarkEnd w:id="553"/>
      <w:bookmarkEnd w:id="554"/>
      <w:bookmarkEnd w:id="555"/>
    </w:p>
    <w:p w14:paraId="6C022ECC">
      <w:pPr>
        <w:wordWrap w:val="0"/>
        <w:topLinePunct/>
        <w:spacing w:line="500" w:lineRule="exact"/>
        <w:jc w:val="center"/>
        <w:rPr>
          <w:rFonts w:ascii="宋体" w:hAnsi="宋体" w:eastAsia="宋体"/>
          <w:b/>
          <w:sz w:val="28"/>
          <w:szCs w:val="28"/>
          <w:highlight w:val="none"/>
        </w:rPr>
      </w:pPr>
      <w:r>
        <w:rPr>
          <w:rFonts w:hint="eastAsia" w:ascii="宋体" w:hAnsi="宋体" w:eastAsia="宋体"/>
          <w:b/>
          <w:sz w:val="28"/>
          <w:szCs w:val="28"/>
          <w:highlight w:val="none"/>
        </w:rPr>
        <w:t>拟投入本工程的劳动力计划表</w:t>
      </w:r>
    </w:p>
    <w:p w14:paraId="5A92DF92">
      <w:pPr>
        <w:wordWrap w:val="0"/>
        <w:topLinePunct/>
        <w:spacing w:line="500" w:lineRule="exact"/>
        <w:ind w:right="735"/>
        <w:jc w:val="right"/>
        <w:rPr>
          <w:rFonts w:ascii="宋体" w:hAnsi="宋体" w:eastAsia="宋体"/>
          <w:szCs w:val="21"/>
          <w:highlight w:val="none"/>
        </w:rPr>
      </w:pPr>
      <w:r>
        <w:rPr>
          <w:rFonts w:ascii="宋体" w:hAnsi="宋体" w:eastAsia="宋体"/>
          <w:szCs w:val="21"/>
          <w:highlight w:val="none"/>
        </w:rPr>
        <w:t>单位：人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92"/>
        <w:gridCol w:w="1066"/>
        <w:gridCol w:w="1066"/>
        <w:gridCol w:w="1066"/>
        <w:gridCol w:w="1066"/>
        <w:gridCol w:w="1066"/>
        <w:gridCol w:w="1064"/>
      </w:tblGrid>
      <w:tr w14:paraId="247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42" w:type="dxa"/>
            <w:noWrap w:val="0"/>
            <w:vAlign w:val="center"/>
          </w:tcPr>
          <w:p w14:paraId="0E46D0C9">
            <w:pPr>
              <w:topLinePunct/>
              <w:spacing w:line="500" w:lineRule="exact"/>
              <w:jc w:val="center"/>
              <w:rPr>
                <w:rFonts w:ascii="宋体" w:hAnsi="宋体" w:eastAsia="宋体"/>
                <w:szCs w:val="21"/>
                <w:highlight w:val="none"/>
              </w:rPr>
            </w:pPr>
            <w:r>
              <w:rPr>
                <w:rFonts w:ascii="宋体" w:hAnsi="宋体" w:eastAsia="宋体"/>
                <w:szCs w:val="21"/>
                <w:highlight w:val="none"/>
              </w:rPr>
              <w:t>工种</w:t>
            </w:r>
          </w:p>
        </w:tc>
        <w:tc>
          <w:tcPr>
            <w:tcW w:w="7286" w:type="dxa"/>
            <w:gridSpan w:val="7"/>
            <w:noWrap w:val="0"/>
            <w:vAlign w:val="center"/>
          </w:tcPr>
          <w:p w14:paraId="1AF53458">
            <w:pPr>
              <w:wordWrap w:val="0"/>
              <w:topLinePunct/>
              <w:spacing w:line="500" w:lineRule="exact"/>
              <w:jc w:val="center"/>
              <w:rPr>
                <w:rFonts w:ascii="宋体" w:hAnsi="宋体" w:eastAsia="宋体"/>
                <w:szCs w:val="21"/>
                <w:highlight w:val="none"/>
              </w:rPr>
            </w:pPr>
            <w:r>
              <w:rPr>
                <w:rFonts w:ascii="宋体" w:hAnsi="宋体" w:eastAsia="宋体"/>
                <w:szCs w:val="21"/>
                <w:highlight w:val="none"/>
              </w:rPr>
              <w:t>按工程施工阶段投入劳动力情况</w:t>
            </w:r>
          </w:p>
        </w:tc>
      </w:tr>
      <w:tr w14:paraId="755A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4EF91ED0">
            <w:pPr>
              <w:wordWrap w:val="0"/>
              <w:topLinePunct/>
              <w:spacing w:line="500" w:lineRule="exact"/>
              <w:jc w:val="center"/>
              <w:rPr>
                <w:rFonts w:ascii="宋体" w:hAnsi="宋体" w:eastAsia="宋体"/>
                <w:sz w:val="18"/>
                <w:szCs w:val="18"/>
                <w:highlight w:val="none"/>
              </w:rPr>
            </w:pPr>
          </w:p>
        </w:tc>
        <w:tc>
          <w:tcPr>
            <w:tcW w:w="892" w:type="dxa"/>
            <w:noWrap w:val="0"/>
            <w:vAlign w:val="center"/>
          </w:tcPr>
          <w:p w14:paraId="0107D34B">
            <w:pPr>
              <w:wordWrap w:val="0"/>
              <w:topLinePunct/>
              <w:spacing w:line="500" w:lineRule="exact"/>
              <w:jc w:val="center"/>
              <w:rPr>
                <w:rFonts w:ascii="宋体" w:hAnsi="宋体" w:eastAsia="宋体"/>
                <w:sz w:val="18"/>
                <w:szCs w:val="18"/>
                <w:highlight w:val="none"/>
              </w:rPr>
            </w:pPr>
          </w:p>
        </w:tc>
        <w:tc>
          <w:tcPr>
            <w:tcW w:w="1066" w:type="dxa"/>
            <w:noWrap w:val="0"/>
            <w:vAlign w:val="center"/>
          </w:tcPr>
          <w:p w14:paraId="0EE0D5EE">
            <w:pPr>
              <w:wordWrap w:val="0"/>
              <w:topLinePunct/>
              <w:spacing w:line="500" w:lineRule="exact"/>
              <w:jc w:val="center"/>
              <w:rPr>
                <w:rFonts w:ascii="宋体" w:hAnsi="宋体" w:eastAsia="宋体"/>
                <w:sz w:val="18"/>
                <w:szCs w:val="18"/>
                <w:highlight w:val="none"/>
              </w:rPr>
            </w:pPr>
          </w:p>
        </w:tc>
        <w:tc>
          <w:tcPr>
            <w:tcW w:w="1066" w:type="dxa"/>
            <w:noWrap w:val="0"/>
            <w:vAlign w:val="center"/>
          </w:tcPr>
          <w:p w14:paraId="5734BDD0">
            <w:pPr>
              <w:wordWrap w:val="0"/>
              <w:topLinePunct/>
              <w:spacing w:line="500" w:lineRule="exact"/>
              <w:jc w:val="center"/>
              <w:rPr>
                <w:rFonts w:ascii="宋体" w:hAnsi="宋体" w:eastAsia="宋体"/>
                <w:sz w:val="18"/>
                <w:szCs w:val="18"/>
                <w:highlight w:val="none"/>
              </w:rPr>
            </w:pPr>
          </w:p>
        </w:tc>
        <w:tc>
          <w:tcPr>
            <w:tcW w:w="1066" w:type="dxa"/>
            <w:noWrap w:val="0"/>
            <w:vAlign w:val="center"/>
          </w:tcPr>
          <w:p w14:paraId="001EE829">
            <w:pPr>
              <w:wordWrap w:val="0"/>
              <w:topLinePunct/>
              <w:spacing w:line="500" w:lineRule="exact"/>
              <w:jc w:val="center"/>
              <w:rPr>
                <w:rFonts w:ascii="宋体" w:hAnsi="宋体" w:eastAsia="宋体"/>
                <w:sz w:val="18"/>
                <w:szCs w:val="18"/>
                <w:highlight w:val="none"/>
              </w:rPr>
            </w:pPr>
          </w:p>
        </w:tc>
        <w:tc>
          <w:tcPr>
            <w:tcW w:w="1066" w:type="dxa"/>
            <w:noWrap w:val="0"/>
            <w:vAlign w:val="center"/>
          </w:tcPr>
          <w:p w14:paraId="5CFF298B">
            <w:pPr>
              <w:wordWrap w:val="0"/>
              <w:topLinePunct/>
              <w:spacing w:line="500" w:lineRule="exact"/>
              <w:jc w:val="center"/>
              <w:rPr>
                <w:rFonts w:ascii="宋体" w:hAnsi="宋体" w:eastAsia="宋体"/>
                <w:sz w:val="18"/>
                <w:szCs w:val="18"/>
                <w:highlight w:val="none"/>
              </w:rPr>
            </w:pPr>
          </w:p>
        </w:tc>
        <w:tc>
          <w:tcPr>
            <w:tcW w:w="1066" w:type="dxa"/>
            <w:noWrap w:val="0"/>
            <w:vAlign w:val="center"/>
          </w:tcPr>
          <w:p w14:paraId="0ADD0EAD">
            <w:pPr>
              <w:wordWrap w:val="0"/>
              <w:topLinePunct/>
              <w:spacing w:line="500" w:lineRule="exact"/>
              <w:jc w:val="center"/>
              <w:rPr>
                <w:rFonts w:ascii="宋体" w:hAnsi="宋体" w:eastAsia="宋体"/>
                <w:szCs w:val="24"/>
                <w:highlight w:val="none"/>
              </w:rPr>
            </w:pPr>
          </w:p>
        </w:tc>
        <w:tc>
          <w:tcPr>
            <w:tcW w:w="1064" w:type="dxa"/>
            <w:noWrap w:val="0"/>
            <w:vAlign w:val="center"/>
          </w:tcPr>
          <w:p w14:paraId="676AC9CE">
            <w:pPr>
              <w:wordWrap w:val="0"/>
              <w:topLinePunct/>
              <w:spacing w:line="500" w:lineRule="exact"/>
              <w:jc w:val="center"/>
              <w:rPr>
                <w:rFonts w:ascii="宋体" w:hAnsi="宋体" w:eastAsia="宋体"/>
                <w:szCs w:val="24"/>
                <w:highlight w:val="none"/>
              </w:rPr>
            </w:pPr>
          </w:p>
        </w:tc>
      </w:tr>
      <w:tr w14:paraId="5BB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62F88A58">
            <w:pPr>
              <w:wordWrap w:val="0"/>
              <w:topLinePunct/>
              <w:spacing w:line="500" w:lineRule="exact"/>
              <w:jc w:val="center"/>
              <w:rPr>
                <w:rFonts w:ascii="宋体" w:hAnsi="宋体" w:eastAsia="宋体"/>
                <w:szCs w:val="24"/>
                <w:highlight w:val="none"/>
              </w:rPr>
            </w:pPr>
          </w:p>
        </w:tc>
        <w:tc>
          <w:tcPr>
            <w:tcW w:w="892" w:type="dxa"/>
            <w:noWrap w:val="0"/>
            <w:vAlign w:val="center"/>
          </w:tcPr>
          <w:p w14:paraId="1949101E">
            <w:pPr>
              <w:wordWrap w:val="0"/>
              <w:topLinePunct/>
              <w:spacing w:line="500" w:lineRule="exact"/>
              <w:jc w:val="center"/>
              <w:rPr>
                <w:rFonts w:ascii="宋体" w:hAnsi="宋体" w:eastAsia="宋体"/>
                <w:szCs w:val="24"/>
                <w:highlight w:val="none"/>
              </w:rPr>
            </w:pPr>
          </w:p>
        </w:tc>
        <w:tc>
          <w:tcPr>
            <w:tcW w:w="1066" w:type="dxa"/>
            <w:noWrap w:val="0"/>
            <w:vAlign w:val="center"/>
          </w:tcPr>
          <w:p w14:paraId="28EDE014">
            <w:pPr>
              <w:wordWrap w:val="0"/>
              <w:topLinePunct/>
              <w:spacing w:line="500" w:lineRule="exact"/>
              <w:jc w:val="center"/>
              <w:rPr>
                <w:rFonts w:ascii="宋体" w:hAnsi="宋体" w:eastAsia="宋体"/>
                <w:szCs w:val="24"/>
                <w:highlight w:val="none"/>
              </w:rPr>
            </w:pPr>
          </w:p>
        </w:tc>
        <w:tc>
          <w:tcPr>
            <w:tcW w:w="1066" w:type="dxa"/>
            <w:noWrap w:val="0"/>
            <w:vAlign w:val="center"/>
          </w:tcPr>
          <w:p w14:paraId="67E3EF37">
            <w:pPr>
              <w:wordWrap w:val="0"/>
              <w:topLinePunct/>
              <w:spacing w:line="500" w:lineRule="exact"/>
              <w:jc w:val="center"/>
              <w:rPr>
                <w:rFonts w:ascii="宋体" w:hAnsi="宋体" w:eastAsia="宋体"/>
                <w:szCs w:val="24"/>
                <w:highlight w:val="none"/>
              </w:rPr>
            </w:pPr>
          </w:p>
        </w:tc>
        <w:tc>
          <w:tcPr>
            <w:tcW w:w="1066" w:type="dxa"/>
            <w:noWrap w:val="0"/>
            <w:vAlign w:val="center"/>
          </w:tcPr>
          <w:p w14:paraId="2CD2D252">
            <w:pPr>
              <w:wordWrap w:val="0"/>
              <w:topLinePunct/>
              <w:spacing w:line="500" w:lineRule="exact"/>
              <w:jc w:val="center"/>
              <w:rPr>
                <w:rFonts w:ascii="宋体" w:hAnsi="宋体" w:eastAsia="宋体"/>
                <w:szCs w:val="24"/>
                <w:highlight w:val="none"/>
              </w:rPr>
            </w:pPr>
          </w:p>
        </w:tc>
        <w:tc>
          <w:tcPr>
            <w:tcW w:w="1066" w:type="dxa"/>
            <w:noWrap w:val="0"/>
            <w:vAlign w:val="center"/>
          </w:tcPr>
          <w:p w14:paraId="270E94B5">
            <w:pPr>
              <w:wordWrap w:val="0"/>
              <w:topLinePunct/>
              <w:spacing w:line="500" w:lineRule="exact"/>
              <w:jc w:val="center"/>
              <w:rPr>
                <w:rFonts w:ascii="宋体" w:hAnsi="宋体" w:eastAsia="宋体"/>
                <w:szCs w:val="24"/>
                <w:highlight w:val="none"/>
              </w:rPr>
            </w:pPr>
          </w:p>
        </w:tc>
        <w:tc>
          <w:tcPr>
            <w:tcW w:w="1066" w:type="dxa"/>
            <w:noWrap w:val="0"/>
            <w:vAlign w:val="center"/>
          </w:tcPr>
          <w:p w14:paraId="0B9A8C66">
            <w:pPr>
              <w:wordWrap w:val="0"/>
              <w:topLinePunct/>
              <w:spacing w:line="500" w:lineRule="exact"/>
              <w:jc w:val="center"/>
              <w:rPr>
                <w:rFonts w:ascii="宋体" w:hAnsi="宋体" w:eastAsia="宋体"/>
                <w:szCs w:val="24"/>
                <w:highlight w:val="none"/>
              </w:rPr>
            </w:pPr>
          </w:p>
        </w:tc>
        <w:tc>
          <w:tcPr>
            <w:tcW w:w="1064" w:type="dxa"/>
            <w:noWrap w:val="0"/>
            <w:vAlign w:val="center"/>
          </w:tcPr>
          <w:p w14:paraId="60F39457">
            <w:pPr>
              <w:wordWrap w:val="0"/>
              <w:topLinePunct/>
              <w:spacing w:line="500" w:lineRule="exact"/>
              <w:jc w:val="center"/>
              <w:rPr>
                <w:rFonts w:ascii="宋体" w:hAnsi="宋体" w:eastAsia="宋体"/>
                <w:szCs w:val="24"/>
                <w:highlight w:val="none"/>
              </w:rPr>
            </w:pPr>
          </w:p>
        </w:tc>
      </w:tr>
      <w:tr w14:paraId="15A0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6430F573">
            <w:pPr>
              <w:wordWrap w:val="0"/>
              <w:topLinePunct/>
              <w:spacing w:line="500" w:lineRule="exact"/>
              <w:jc w:val="center"/>
              <w:rPr>
                <w:rFonts w:ascii="宋体" w:hAnsi="宋体" w:eastAsia="宋体"/>
                <w:szCs w:val="24"/>
                <w:highlight w:val="none"/>
              </w:rPr>
            </w:pPr>
          </w:p>
        </w:tc>
        <w:tc>
          <w:tcPr>
            <w:tcW w:w="892" w:type="dxa"/>
            <w:noWrap w:val="0"/>
            <w:vAlign w:val="top"/>
          </w:tcPr>
          <w:p w14:paraId="2537F860">
            <w:pPr>
              <w:wordWrap w:val="0"/>
              <w:topLinePunct/>
              <w:spacing w:line="500" w:lineRule="exact"/>
              <w:jc w:val="center"/>
              <w:rPr>
                <w:rFonts w:ascii="宋体" w:hAnsi="宋体" w:eastAsia="宋体"/>
                <w:szCs w:val="24"/>
                <w:highlight w:val="none"/>
              </w:rPr>
            </w:pPr>
          </w:p>
        </w:tc>
        <w:tc>
          <w:tcPr>
            <w:tcW w:w="1066" w:type="dxa"/>
            <w:noWrap w:val="0"/>
            <w:vAlign w:val="top"/>
          </w:tcPr>
          <w:p w14:paraId="783CB73C">
            <w:pPr>
              <w:wordWrap w:val="0"/>
              <w:topLinePunct/>
              <w:spacing w:line="500" w:lineRule="exact"/>
              <w:jc w:val="center"/>
              <w:rPr>
                <w:rFonts w:ascii="宋体" w:hAnsi="宋体" w:eastAsia="宋体"/>
                <w:szCs w:val="24"/>
                <w:highlight w:val="none"/>
              </w:rPr>
            </w:pPr>
          </w:p>
        </w:tc>
        <w:tc>
          <w:tcPr>
            <w:tcW w:w="1066" w:type="dxa"/>
            <w:noWrap w:val="0"/>
            <w:vAlign w:val="top"/>
          </w:tcPr>
          <w:p w14:paraId="3EE1E1F3">
            <w:pPr>
              <w:wordWrap w:val="0"/>
              <w:topLinePunct/>
              <w:spacing w:line="500" w:lineRule="exact"/>
              <w:jc w:val="center"/>
              <w:rPr>
                <w:rFonts w:ascii="宋体" w:hAnsi="宋体" w:eastAsia="宋体"/>
                <w:szCs w:val="24"/>
                <w:highlight w:val="none"/>
              </w:rPr>
            </w:pPr>
          </w:p>
        </w:tc>
        <w:tc>
          <w:tcPr>
            <w:tcW w:w="1066" w:type="dxa"/>
            <w:noWrap w:val="0"/>
            <w:vAlign w:val="top"/>
          </w:tcPr>
          <w:p w14:paraId="1D3856C9">
            <w:pPr>
              <w:wordWrap w:val="0"/>
              <w:topLinePunct/>
              <w:spacing w:line="500" w:lineRule="exact"/>
              <w:jc w:val="center"/>
              <w:rPr>
                <w:rFonts w:ascii="宋体" w:hAnsi="宋体" w:eastAsia="宋体"/>
                <w:szCs w:val="24"/>
                <w:highlight w:val="none"/>
              </w:rPr>
            </w:pPr>
          </w:p>
        </w:tc>
        <w:tc>
          <w:tcPr>
            <w:tcW w:w="1066" w:type="dxa"/>
            <w:noWrap w:val="0"/>
            <w:vAlign w:val="top"/>
          </w:tcPr>
          <w:p w14:paraId="743396DD">
            <w:pPr>
              <w:wordWrap w:val="0"/>
              <w:topLinePunct/>
              <w:spacing w:line="500" w:lineRule="exact"/>
              <w:jc w:val="center"/>
              <w:rPr>
                <w:rFonts w:ascii="宋体" w:hAnsi="宋体" w:eastAsia="宋体"/>
                <w:szCs w:val="24"/>
                <w:highlight w:val="none"/>
              </w:rPr>
            </w:pPr>
          </w:p>
        </w:tc>
        <w:tc>
          <w:tcPr>
            <w:tcW w:w="1066" w:type="dxa"/>
            <w:noWrap w:val="0"/>
            <w:vAlign w:val="top"/>
          </w:tcPr>
          <w:p w14:paraId="34F8C732">
            <w:pPr>
              <w:wordWrap w:val="0"/>
              <w:topLinePunct/>
              <w:spacing w:line="500" w:lineRule="exact"/>
              <w:jc w:val="center"/>
              <w:rPr>
                <w:rFonts w:ascii="宋体" w:hAnsi="宋体" w:eastAsia="宋体"/>
                <w:szCs w:val="24"/>
                <w:highlight w:val="none"/>
              </w:rPr>
            </w:pPr>
          </w:p>
        </w:tc>
        <w:tc>
          <w:tcPr>
            <w:tcW w:w="1064" w:type="dxa"/>
            <w:noWrap w:val="0"/>
            <w:vAlign w:val="top"/>
          </w:tcPr>
          <w:p w14:paraId="4049777E">
            <w:pPr>
              <w:wordWrap w:val="0"/>
              <w:topLinePunct/>
              <w:spacing w:line="500" w:lineRule="exact"/>
              <w:jc w:val="center"/>
              <w:rPr>
                <w:rFonts w:ascii="宋体" w:hAnsi="宋体" w:eastAsia="宋体"/>
                <w:szCs w:val="24"/>
                <w:highlight w:val="none"/>
              </w:rPr>
            </w:pPr>
          </w:p>
        </w:tc>
      </w:tr>
      <w:tr w14:paraId="3470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503C9A7E">
            <w:pPr>
              <w:wordWrap w:val="0"/>
              <w:topLinePunct/>
              <w:spacing w:line="500" w:lineRule="exact"/>
              <w:jc w:val="center"/>
              <w:rPr>
                <w:rFonts w:ascii="宋体" w:hAnsi="宋体" w:eastAsia="宋体"/>
                <w:szCs w:val="24"/>
                <w:highlight w:val="none"/>
              </w:rPr>
            </w:pPr>
          </w:p>
        </w:tc>
        <w:tc>
          <w:tcPr>
            <w:tcW w:w="892" w:type="dxa"/>
            <w:noWrap w:val="0"/>
            <w:vAlign w:val="top"/>
          </w:tcPr>
          <w:p w14:paraId="14C89450">
            <w:pPr>
              <w:wordWrap w:val="0"/>
              <w:topLinePunct/>
              <w:spacing w:line="500" w:lineRule="exact"/>
              <w:jc w:val="center"/>
              <w:rPr>
                <w:rFonts w:ascii="宋体" w:hAnsi="宋体" w:eastAsia="宋体"/>
                <w:szCs w:val="24"/>
                <w:highlight w:val="none"/>
              </w:rPr>
            </w:pPr>
          </w:p>
        </w:tc>
        <w:tc>
          <w:tcPr>
            <w:tcW w:w="1066" w:type="dxa"/>
            <w:noWrap w:val="0"/>
            <w:vAlign w:val="top"/>
          </w:tcPr>
          <w:p w14:paraId="5D16183B">
            <w:pPr>
              <w:wordWrap w:val="0"/>
              <w:topLinePunct/>
              <w:spacing w:line="500" w:lineRule="exact"/>
              <w:jc w:val="center"/>
              <w:rPr>
                <w:rFonts w:ascii="宋体" w:hAnsi="宋体" w:eastAsia="宋体"/>
                <w:szCs w:val="24"/>
                <w:highlight w:val="none"/>
              </w:rPr>
            </w:pPr>
          </w:p>
        </w:tc>
        <w:tc>
          <w:tcPr>
            <w:tcW w:w="1066" w:type="dxa"/>
            <w:noWrap w:val="0"/>
            <w:vAlign w:val="top"/>
          </w:tcPr>
          <w:p w14:paraId="64825F96">
            <w:pPr>
              <w:wordWrap w:val="0"/>
              <w:topLinePunct/>
              <w:spacing w:line="500" w:lineRule="exact"/>
              <w:jc w:val="center"/>
              <w:rPr>
                <w:rFonts w:ascii="宋体" w:hAnsi="宋体" w:eastAsia="宋体"/>
                <w:szCs w:val="24"/>
                <w:highlight w:val="none"/>
              </w:rPr>
            </w:pPr>
          </w:p>
        </w:tc>
        <w:tc>
          <w:tcPr>
            <w:tcW w:w="1066" w:type="dxa"/>
            <w:noWrap w:val="0"/>
            <w:vAlign w:val="top"/>
          </w:tcPr>
          <w:p w14:paraId="4CB1A82B">
            <w:pPr>
              <w:wordWrap w:val="0"/>
              <w:topLinePunct/>
              <w:spacing w:line="500" w:lineRule="exact"/>
              <w:jc w:val="center"/>
              <w:rPr>
                <w:rFonts w:ascii="宋体" w:hAnsi="宋体" w:eastAsia="宋体"/>
                <w:szCs w:val="24"/>
                <w:highlight w:val="none"/>
              </w:rPr>
            </w:pPr>
          </w:p>
        </w:tc>
        <w:tc>
          <w:tcPr>
            <w:tcW w:w="1066" w:type="dxa"/>
            <w:noWrap w:val="0"/>
            <w:vAlign w:val="top"/>
          </w:tcPr>
          <w:p w14:paraId="6D85D4C7">
            <w:pPr>
              <w:wordWrap w:val="0"/>
              <w:topLinePunct/>
              <w:spacing w:line="500" w:lineRule="exact"/>
              <w:jc w:val="center"/>
              <w:rPr>
                <w:rFonts w:ascii="宋体" w:hAnsi="宋体" w:eastAsia="宋体"/>
                <w:szCs w:val="24"/>
                <w:highlight w:val="none"/>
              </w:rPr>
            </w:pPr>
          </w:p>
        </w:tc>
        <w:tc>
          <w:tcPr>
            <w:tcW w:w="1066" w:type="dxa"/>
            <w:noWrap w:val="0"/>
            <w:vAlign w:val="top"/>
          </w:tcPr>
          <w:p w14:paraId="7A41F9E4">
            <w:pPr>
              <w:wordWrap w:val="0"/>
              <w:topLinePunct/>
              <w:spacing w:line="500" w:lineRule="exact"/>
              <w:jc w:val="center"/>
              <w:rPr>
                <w:rFonts w:ascii="宋体" w:hAnsi="宋体" w:eastAsia="宋体"/>
                <w:szCs w:val="24"/>
                <w:highlight w:val="none"/>
              </w:rPr>
            </w:pPr>
          </w:p>
        </w:tc>
        <w:tc>
          <w:tcPr>
            <w:tcW w:w="1064" w:type="dxa"/>
            <w:noWrap w:val="0"/>
            <w:vAlign w:val="top"/>
          </w:tcPr>
          <w:p w14:paraId="463A09D6">
            <w:pPr>
              <w:wordWrap w:val="0"/>
              <w:topLinePunct/>
              <w:spacing w:line="500" w:lineRule="exact"/>
              <w:jc w:val="center"/>
              <w:rPr>
                <w:rFonts w:ascii="宋体" w:hAnsi="宋体" w:eastAsia="宋体"/>
                <w:szCs w:val="24"/>
                <w:highlight w:val="none"/>
              </w:rPr>
            </w:pPr>
          </w:p>
        </w:tc>
      </w:tr>
      <w:tr w14:paraId="4C46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4CDE5603">
            <w:pPr>
              <w:wordWrap w:val="0"/>
              <w:topLinePunct/>
              <w:spacing w:line="500" w:lineRule="exact"/>
              <w:jc w:val="center"/>
              <w:rPr>
                <w:rFonts w:ascii="宋体" w:hAnsi="宋体" w:eastAsia="宋体"/>
                <w:szCs w:val="24"/>
                <w:highlight w:val="none"/>
              </w:rPr>
            </w:pPr>
          </w:p>
        </w:tc>
        <w:tc>
          <w:tcPr>
            <w:tcW w:w="892" w:type="dxa"/>
            <w:noWrap w:val="0"/>
            <w:vAlign w:val="top"/>
          </w:tcPr>
          <w:p w14:paraId="0AFC4AB9">
            <w:pPr>
              <w:wordWrap w:val="0"/>
              <w:topLinePunct/>
              <w:spacing w:line="500" w:lineRule="exact"/>
              <w:jc w:val="center"/>
              <w:rPr>
                <w:rFonts w:ascii="宋体" w:hAnsi="宋体" w:eastAsia="宋体"/>
                <w:szCs w:val="24"/>
                <w:highlight w:val="none"/>
              </w:rPr>
            </w:pPr>
          </w:p>
        </w:tc>
        <w:tc>
          <w:tcPr>
            <w:tcW w:w="1066" w:type="dxa"/>
            <w:noWrap w:val="0"/>
            <w:vAlign w:val="top"/>
          </w:tcPr>
          <w:p w14:paraId="53E051B1">
            <w:pPr>
              <w:wordWrap w:val="0"/>
              <w:topLinePunct/>
              <w:spacing w:line="500" w:lineRule="exact"/>
              <w:jc w:val="center"/>
              <w:rPr>
                <w:rFonts w:ascii="宋体" w:hAnsi="宋体" w:eastAsia="宋体"/>
                <w:szCs w:val="24"/>
                <w:highlight w:val="none"/>
              </w:rPr>
            </w:pPr>
          </w:p>
        </w:tc>
        <w:tc>
          <w:tcPr>
            <w:tcW w:w="1066" w:type="dxa"/>
            <w:noWrap w:val="0"/>
            <w:vAlign w:val="top"/>
          </w:tcPr>
          <w:p w14:paraId="371C881F">
            <w:pPr>
              <w:wordWrap w:val="0"/>
              <w:topLinePunct/>
              <w:spacing w:line="500" w:lineRule="exact"/>
              <w:jc w:val="center"/>
              <w:rPr>
                <w:rFonts w:ascii="宋体" w:hAnsi="宋体" w:eastAsia="宋体"/>
                <w:szCs w:val="24"/>
                <w:highlight w:val="none"/>
              </w:rPr>
            </w:pPr>
          </w:p>
        </w:tc>
        <w:tc>
          <w:tcPr>
            <w:tcW w:w="1066" w:type="dxa"/>
            <w:noWrap w:val="0"/>
            <w:vAlign w:val="top"/>
          </w:tcPr>
          <w:p w14:paraId="264B789B">
            <w:pPr>
              <w:wordWrap w:val="0"/>
              <w:topLinePunct/>
              <w:spacing w:line="500" w:lineRule="exact"/>
              <w:jc w:val="center"/>
              <w:rPr>
                <w:rFonts w:ascii="宋体" w:hAnsi="宋体" w:eastAsia="宋体"/>
                <w:szCs w:val="24"/>
                <w:highlight w:val="none"/>
              </w:rPr>
            </w:pPr>
          </w:p>
        </w:tc>
        <w:tc>
          <w:tcPr>
            <w:tcW w:w="1066" w:type="dxa"/>
            <w:noWrap w:val="0"/>
            <w:vAlign w:val="top"/>
          </w:tcPr>
          <w:p w14:paraId="1FE85401">
            <w:pPr>
              <w:wordWrap w:val="0"/>
              <w:topLinePunct/>
              <w:spacing w:line="500" w:lineRule="exact"/>
              <w:jc w:val="center"/>
              <w:rPr>
                <w:rFonts w:ascii="宋体" w:hAnsi="宋体" w:eastAsia="宋体"/>
                <w:szCs w:val="24"/>
                <w:highlight w:val="none"/>
              </w:rPr>
            </w:pPr>
          </w:p>
        </w:tc>
        <w:tc>
          <w:tcPr>
            <w:tcW w:w="1066" w:type="dxa"/>
            <w:noWrap w:val="0"/>
            <w:vAlign w:val="top"/>
          </w:tcPr>
          <w:p w14:paraId="07384429">
            <w:pPr>
              <w:wordWrap w:val="0"/>
              <w:topLinePunct/>
              <w:spacing w:line="500" w:lineRule="exact"/>
              <w:jc w:val="center"/>
              <w:rPr>
                <w:rFonts w:ascii="宋体" w:hAnsi="宋体" w:eastAsia="宋体"/>
                <w:szCs w:val="24"/>
                <w:highlight w:val="none"/>
              </w:rPr>
            </w:pPr>
          </w:p>
        </w:tc>
        <w:tc>
          <w:tcPr>
            <w:tcW w:w="1064" w:type="dxa"/>
            <w:noWrap w:val="0"/>
            <w:vAlign w:val="top"/>
          </w:tcPr>
          <w:p w14:paraId="108A125B">
            <w:pPr>
              <w:wordWrap w:val="0"/>
              <w:topLinePunct/>
              <w:spacing w:line="500" w:lineRule="exact"/>
              <w:jc w:val="center"/>
              <w:rPr>
                <w:rFonts w:ascii="宋体" w:hAnsi="宋体" w:eastAsia="宋体"/>
                <w:szCs w:val="24"/>
                <w:highlight w:val="none"/>
              </w:rPr>
            </w:pPr>
          </w:p>
        </w:tc>
      </w:tr>
      <w:tr w14:paraId="4EAA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5F5CBB23">
            <w:pPr>
              <w:wordWrap w:val="0"/>
              <w:topLinePunct/>
              <w:spacing w:line="500" w:lineRule="exact"/>
              <w:jc w:val="center"/>
              <w:rPr>
                <w:rFonts w:ascii="宋体" w:hAnsi="宋体" w:eastAsia="宋体"/>
                <w:szCs w:val="24"/>
                <w:highlight w:val="none"/>
              </w:rPr>
            </w:pPr>
          </w:p>
        </w:tc>
        <w:tc>
          <w:tcPr>
            <w:tcW w:w="892" w:type="dxa"/>
            <w:noWrap w:val="0"/>
            <w:vAlign w:val="top"/>
          </w:tcPr>
          <w:p w14:paraId="4B8883F6">
            <w:pPr>
              <w:wordWrap w:val="0"/>
              <w:topLinePunct/>
              <w:spacing w:line="500" w:lineRule="exact"/>
              <w:jc w:val="center"/>
              <w:rPr>
                <w:rFonts w:ascii="宋体" w:hAnsi="宋体" w:eastAsia="宋体"/>
                <w:szCs w:val="24"/>
                <w:highlight w:val="none"/>
              </w:rPr>
            </w:pPr>
          </w:p>
        </w:tc>
        <w:tc>
          <w:tcPr>
            <w:tcW w:w="1066" w:type="dxa"/>
            <w:noWrap w:val="0"/>
            <w:vAlign w:val="top"/>
          </w:tcPr>
          <w:p w14:paraId="6A909081">
            <w:pPr>
              <w:wordWrap w:val="0"/>
              <w:topLinePunct/>
              <w:spacing w:line="500" w:lineRule="exact"/>
              <w:jc w:val="center"/>
              <w:rPr>
                <w:rFonts w:ascii="宋体" w:hAnsi="宋体" w:eastAsia="宋体"/>
                <w:szCs w:val="24"/>
                <w:highlight w:val="none"/>
              </w:rPr>
            </w:pPr>
          </w:p>
        </w:tc>
        <w:tc>
          <w:tcPr>
            <w:tcW w:w="1066" w:type="dxa"/>
            <w:noWrap w:val="0"/>
            <w:vAlign w:val="top"/>
          </w:tcPr>
          <w:p w14:paraId="6D42D7A3">
            <w:pPr>
              <w:wordWrap w:val="0"/>
              <w:topLinePunct/>
              <w:spacing w:line="500" w:lineRule="exact"/>
              <w:jc w:val="center"/>
              <w:rPr>
                <w:rFonts w:ascii="宋体" w:hAnsi="宋体" w:eastAsia="宋体"/>
                <w:szCs w:val="24"/>
                <w:highlight w:val="none"/>
              </w:rPr>
            </w:pPr>
          </w:p>
        </w:tc>
        <w:tc>
          <w:tcPr>
            <w:tcW w:w="1066" w:type="dxa"/>
            <w:noWrap w:val="0"/>
            <w:vAlign w:val="top"/>
          </w:tcPr>
          <w:p w14:paraId="752F15B6">
            <w:pPr>
              <w:wordWrap w:val="0"/>
              <w:topLinePunct/>
              <w:spacing w:line="500" w:lineRule="exact"/>
              <w:jc w:val="center"/>
              <w:rPr>
                <w:rFonts w:ascii="宋体" w:hAnsi="宋体" w:eastAsia="宋体"/>
                <w:szCs w:val="24"/>
                <w:highlight w:val="none"/>
              </w:rPr>
            </w:pPr>
          </w:p>
        </w:tc>
        <w:tc>
          <w:tcPr>
            <w:tcW w:w="1066" w:type="dxa"/>
            <w:noWrap w:val="0"/>
            <w:vAlign w:val="top"/>
          </w:tcPr>
          <w:p w14:paraId="336B8B1B">
            <w:pPr>
              <w:wordWrap w:val="0"/>
              <w:topLinePunct/>
              <w:spacing w:line="500" w:lineRule="exact"/>
              <w:jc w:val="center"/>
              <w:rPr>
                <w:rFonts w:ascii="宋体" w:hAnsi="宋体" w:eastAsia="宋体"/>
                <w:szCs w:val="24"/>
                <w:highlight w:val="none"/>
              </w:rPr>
            </w:pPr>
          </w:p>
        </w:tc>
        <w:tc>
          <w:tcPr>
            <w:tcW w:w="1066" w:type="dxa"/>
            <w:noWrap w:val="0"/>
            <w:vAlign w:val="top"/>
          </w:tcPr>
          <w:p w14:paraId="29899BE0">
            <w:pPr>
              <w:wordWrap w:val="0"/>
              <w:topLinePunct/>
              <w:spacing w:line="500" w:lineRule="exact"/>
              <w:jc w:val="center"/>
              <w:rPr>
                <w:rFonts w:ascii="宋体" w:hAnsi="宋体" w:eastAsia="宋体"/>
                <w:szCs w:val="24"/>
                <w:highlight w:val="none"/>
              </w:rPr>
            </w:pPr>
          </w:p>
        </w:tc>
        <w:tc>
          <w:tcPr>
            <w:tcW w:w="1064" w:type="dxa"/>
            <w:noWrap w:val="0"/>
            <w:vAlign w:val="top"/>
          </w:tcPr>
          <w:p w14:paraId="2F5545DC">
            <w:pPr>
              <w:wordWrap w:val="0"/>
              <w:topLinePunct/>
              <w:spacing w:line="500" w:lineRule="exact"/>
              <w:jc w:val="center"/>
              <w:rPr>
                <w:rFonts w:ascii="宋体" w:hAnsi="宋体" w:eastAsia="宋体"/>
                <w:szCs w:val="24"/>
                <w:highlight w:val="none"/>
              </w:rPr>
            </w:pPr>
          </w:p>
        </w:tc>
      </w:tr>
      <w:tr w14:paraId="32D5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516008C4">
            <w:pPr>
              <w:wordWrap w:val="0"/>
              <w:topLinePunct/>
              <w:spacing w:line="500" w:lineRule="exact"/>
              <w:jc w:val="center"/>
              <w:rPr>
                <w:rFonts w:ascii="宋体" w:hAnsi="宋体" w:eastAsia="宋体"/>
                <w:szCs w:val="24"/>
                <w:highlight w:val="none"/>
              </w:rPr>
            </w:pPr>
          </w:p>
        </w:tc>
        <w:tc>
          <w:tcPr>
            <w:tcW w:w="892" w:type="dxa"/>
            <w:noWrap w:val="0"/>
            <w:vAlign w:val="top"/>
          </w:tcPr>
          <w:p w14:paraId="2F34296B">
            <w:pPr>
              <w:wordWrap w:val="0"/>
              <w:topLinePunct/>
              <w:spacing w:line="500" w:lineRule="exact"/>
              <w:jc w:val="center"/>
              <w:rPr>
                <w:rFonts w:ascii="宋体" w:hAnsi="宋体" w:eastAsia="宋体"/>
                <w:szCs w:val="24"/>
                <w:highlight w:val="none"/>
              </w:rPr>
            </w:pPr>
          </w:p>
        </w:tc>
        <w:tc>
          <w:tcPr>
            <w:tcW w:w="1066" w:type="dxa"/>
            <w:noWrap w:val="0"/>
            <w:vAlign w:val="top"/>
          </w:tcPr>
          <w:p w14:paraId="58E922BD">
            <w:pPr>
              <w:wordWrap w:val="0"/>
              <w:topLinePunct/>
              <w:spacing w:line="500" w:lineRule="exact"/>
              <w:jc w:val="center"/>
              <w:rPr>
                <w:rFonts w:ascii="宋体" w:hAnsi="宋体" w:eastAsia="宋体"/>
                <w:szCs w:val="24"/>
                <w:highlight w:val="none"/>
              </w:rPr>
            </w:pPr>
          </w:p>
        </w:tc>
        <w:tc>
          <w:tcPr>
            <w:tcW w:w="1066" w:type="dxa"/>
            <w:noWrap w:val="0"/>
            <w:vAlign w:val="top"/>
          </w:tcPr>
          <w:p w14:paraId="13895EE1">
            <w:pPr>
              <w:wordWrap w:val="0"/>
              <w:topLinePunct/>
              <w:spacing w:line="500" w:lineRule="exact"/>
              <w:jc w:val="center"/>
              <w:rPr>
                <w:rFonts w:ascii="宋体" w:hAnsi="宋体" w:eastAsia="宋体"/>
                <w:szCs w:val="24"/>
                <w:highlight w:val="none"/>
              </w:rPr>
            </w:pPr>
          </w:p>
        </w:tc>
        <w:tc>
          <w:tcPr>
            <w:tcW w:w="1066" w:type="dxa"/>
            <w:noWrap w:val="0"/>
            <w:vAlign w:val="top"/>
          </w:tcPr>
          <w:p w14:paraId="20355AA0">
            <w:pPr>
              <w:wordWrap w:val="0"/>
              <w:topLinePunct/>
              <w:spacing w:line="500" w:lineRule="exact"/>
              <w:jc w:val="center"/>
              <w:rPr>
                <w:rFonts w:ascii="宋体" w:hAnsi="宋体" w:eastAsia="宋体"/>
                <w:szCs w:val="24"/>
                <w:highlight w:val="none"/>
              </w:rPr>
            </w:pPr>
          </w:p>
        </w:tc>
        <w:tc>
          <w:tcPr>
            <w:tcW w:w="1066" w:type="dxa"/>
            <w:noWrap w:val="0"/>
            <w:vAlign w:val="top"/>
          </w:tcPr>
          <w:p w14:paraId="70D251ED">
            <w:pPr>
              <w:wordWrap w:val="0"/>
              <w:topLinePunct/>
              <w:spacing w:line="500" w:lineRule="exact"/>
              <w:jc w:val="center"/>
              <w:rPr>
                <w:rFonts w:ascii="宋体" w:hAnsi="宋体" w:eastAsia="宋体"/>
                <w:szCs w:val="24"/>
                <w:highlight w:val="none"/>
              </w:rPr>
            </w:pPr>
          </w:p>
        </w:tc>
        <w:tc>
          <w:tcPr>
            <w:tcW w:w="1066" w:type="dxa"/>
            <w:noWrap w:val="0"/>
            <w:vAlign w:val="top"/>
          </w:tcPr>
          <w:p w14:paraId="10B9911F">
            <w:pPr>
              <w:wordWrap w:val="0"/>
              <w:topLinePunct/>
              <w:spacing w:line="500" w:lineRule="exact"/>
              <w:jc w:val="center"/>
              <w:rPr>
                <w:rFonts w:ascii="宋体" w:hAnsi="宋体" w:eastAsia="宋体"/>
                <w:szCs w:val="24"/>
                <w:highlight w:val="none"/>
              </w:rPr>
            </w:pPr>
          </w:p>
        </w:tc>
        <w:tc>
          <w:tcPr>
            <w:tcW w:w="1064" w:type="dxa"/>
            <w:noWrap w:val="0"/>
            <w:vAlign w:val="top"/>
          </w:tcPr>
          <w:p w14:paraId="465D4919">
            <w:pPr>
              <w:wordWrap w:val="0"/>
              <w:topLinePunct/>
              <w:spacing w:line="500" w:lineRule="exact"/>
              <w:jc w:val="center"/>
              <w:rPr>
                <w:rFonts w:ascii="宋体" w:hAnsi="宋体" w:eastAsia="宋体"/>
                <w:szCs w:val="24"/>
                <w:highlight w:val="none"/>
              </w:rPr>
            </w:pPr>
          </w:p>
        </w:tc>
      </w:tr>
      <w:tr w14:paraId="1A32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7C64A2C5">
            <w:pPr>
              <w:wordWrap w:val="0"/>
              <w:topLinePunct/>
              <w:spacing w:line="500" w:lineRule="exact"/>
              <w:jc w:val="center"/>
              <w:rPr>
                <w:rFonts w:ascii="宋体" w:hAnsi="宋体" w:eastAsia="宋体"/>
                <w:szCs w:val="24"/>
                <w:highlight w:val="none"/>
              </w:rPr>
            </w:pPr>
          </w:p>
        </w:tc>
        <w:tc>
          <w:tcPr>
            <w:tcW w:w="892" w:type="dxa"/>
            <w:noWrap w:val="0"/>
            <w:vAlign w:val="top"/>
          </w:tcPr>
          <w:p w14:paraId="66467CE0">
            <w:pPr>
              <w:wordWrap w:val="0"/>
              <w:topLinePunct/>
              <w:spacing w:line="500" w:lineRule="exact"/>
              <w:jc w:val="center"/>
              <w:rPr>
                <w:rFonts w:ascii="宋体" w:hAnsi="宋体" w:eastAsia="宋体"/>
                <w:szCs w:val="24"/>
                <w:highlight w:val="none"/>
              </w:rPr>
            </w:pPr>
          </w:p>
        </w:tc>
        <w:tc>
          <w:tcPr>
            <w:tcW w:w="1066" w:type="dxa"/>
            <w:noWrap w:val="0"/>
            <w:vAlign w:val="top"/>
          </w:tcPr>
          <w:p w14:paraId="2993848C">
            <w:pPr>
              <w:wordWrap w:val="0"/>
              <w:topLinePunct/>
              <w:spacing w:line="500" w:lineRule="exact"/>
              <w:jc w:val="center"/>
              <w:rPr>
                <w:rFonts w:ascii="宋体" w:hAnsi="宋体" w:eastAsia="宋体"/>
                <w:szCs w:val="24"/>
                <w:highlight w:val="none"/>
              </w:rPr>
            </w:pPr>
          </w:p>
        </w:tc>
        <w:tc>
          <w:tcPr>
            <w:tcW w:w="1066" w:type="dxa"/>
            <w:noWrap w:val="0"/>
            <w:vAlign w:val="top"/>
          </w:tcPr>
          <w:p w14:paraId="4DDBE301">
            <w:pPr>
              <w:wordWrap w:val="0"/>
              <w:topLinePunct/>
              <w:spacing w:line="500" w:lineRule="exact"/>
              <w:jc w:val="center"/>
              <w:rPr>
                <w:rFonts w:ascii="宋体" w:hAnsi="宋体" w:eastAsia="宋体"/>
                <w:szCs w:val="24"/>
                <w:highlight w:val="none"/>
              </w:rPr>
            </w:pPr>
          </w:p>
        </w:tc>
        <w:tc>
          <w:tcPr>
            <w:tcW w:w="1066" w:type="dxa"/>
            <w:noWrap w:val="0"/>
            <w:vAlign w:val="top"/>
          </w:tcPr>
          <w:p w14:paraId="62D40871">
            <w:pPr>
              <w:wordWrap w:val="0"/>
              <w:topLinePunct/>
              <w:spacing w:line="500" w:lineRule="exact"/>
              <w:jc w:val="center"/>
              <w:rPr>
                <w:rFonts w:ascii="宋体" w:hAnsi="宋体" w:eastAsia="宋体"/>
                <w:szCs w:val="24"/>
                <w:highlight w:val="none"/>
              </w:rPr>
            </w:pPr>
          </w:p>
        </w:tc>
        <w:tc>
          <w:tcPr>
            <w:tcW w:w="1066" w:type="dxa"/>
            <w:noWrap w:val="0"/>
            <w:vAlign w:val="top"/>
          </w:tcPr>
          <w:p w14:paraId="576182E1">
            <w:pPr>
              <w:wordWrap w:val="0"/>
              <w:topLinePunct/>
              <w:spacing w:line="500" w:lineRule="exact"/>
              <w:jc w:val="center"/>
              <w:rPr>
                <w:rFonts w:ascii="宋体" w:hAnsi="宋体" w:eastAsia="宋体"/>
                <w:szCs w:val="24"/>
                <w:highlight w:val="none"/>
              </w:rPr>
            </w:pPr>
          </w:p>
        </w:tc>
        <w:tc>
          <w:tcPr>
            <w:tcW w:w="1066" w:type="dxa"/>
            <w:noWrap w:val="0"/>
            <w:vAlign w:val="top"/>
          </w:tcPr>
          <w:p w14:paraId="468F2889">
            <w:pPr>
              <w:wordWrap w:val="0"/>
              <w:topLinePunct/>
              <w:spacing w:line="500" w:lineRule="exact"/>
              <w:jc w:val="center"/>
              <w:rPr>
                <w:rFonts w:ascii="宋体" w:hAnsi="宋体" w:eastAsia="宋体"/>
                <w:szCs w:val="24"/>
                <w:highlight w:val="none"/>
              </w:rPr>
            </w:pPr>
          </w:p>
        </w:tc>
        <w:tc>
          <w:tcPr>
            <w:tcW w:w="1064" w:type="dxa"/>
            <w:noWrap w:val="0"/>
            <w:vAlign w:val="top"/>
          </w:tcPr>
          <w:p w14:paraId="3868E8F9">
            <w:pPr>
              <w:wordWrap w:val="0"/>
              <w:topLinePunct/>
              <w:spacing w:line="500" w:lineRule="exact"/>
              <w:jc w:val="center"/>
              <w:rPr>
                <w:rFonts w:ascii="宋体" w:hAnsi="宋体" w:eastAsia="宋体"/>
                <w:szCs w:val="24"/>
                <w:highlight w:val="none"/>
              </w:rPr>
            </w:pPr>
          </w:p>
        </w:tc>
      </w:tr>
      <w:tr w14:paraId="56A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3556430F">
            <w:pPr>
              <w:wordWrap w:val="0"/>
              <w:topLinePunct/>
              <w:spacing w:line="500" w:lineRule="exact"/>
              <w:jc w:val="center"/>
              <w:rPr>
                <w:rFonts w:ascii="宋体" w:hAnsi="宋体" w:eastAsia="宋体"/>
                <w:szCs w:val="24"/>
                <w:highlight w:val="none"/>
              </w:rPr>
            </w:pPr>
          </w:p>
        </w:tc>
        <w:tc>
          <w:tcPr>
            <w:tcW w:w="892" w:type="dxa"/>
            <w:noWrap w:val="0"/>
            <w:vAlign w:val="top"/>
          </w:tcPr>
          <w:p w14:paraId="6C37619F">
            <w:pPr>
              <w:wordWrap w:val="0"/>
              <w:topLinePunct/>
              <w:spacing w:line="500" w:lineRule="exact"/>
              <w:jc w:val="center"/>
              <w:rPr>
                <w:rFonts w:ascii="宋体" w:hAnsi="宋体" w:eastAsia="宋体"/>
                <w:szCs w:val="24"/>
                <w:highlight w:val="none"/>
              </w:rPr>
            </w:pPr>
          </w:p>
        </w:tc>
        <w:tc>
          <w:tcPr>
            <w:tcW w:w="1066" w:type="dxa"/>
            <w:noWrap w:val="0"/>
            <w:vAlign w:val="top"/>
          </w:tcPr>
          <w:p w14:paraId="4C2ECBD4">
            <w:pPr>
              <w:wordWrap w:val="0"/>
              <w:topLinePunct/>
              <w:spacing w:line="500" w:lineRule="exact"/>
              <w:jc w:val="center"/>
              <w:rPr>
                <w:rFonts w:ascii="宋体" w:hAnsi="宋体" w:eastAsia="宋体"/>
                <w:szCs w:val="24"/>
                <w:highlight w:val="none"/>
              </w:rPr>
            </w:pPr>
          </w:p>
        </w:tc>
        <w:tc>
          <w:tcPr>
            <w:tcW w:w="1066" w:type="dxa"/>
            <w:noWrap w:val="0"/>
            <w:vAlign w:val="top"/>
          </w:tcPr>
          <w:p w14:paraId="09F21DDC">
            <w:pPr>
              <w:wordWrap w:val="0"/>
              <w:topLinePunct/>
              <w:spacing w:line="500" w:lineRule="exact"/>
              <w:jc w:val="center"/>
              <w:rPr>
                <w:rFonts w:ascii="宋体" w:hAnsi="宋体" w:eastAsia="宋体"/>
                <w:szCs w:val="24"/>
                <w:highlight w:val="none"/>
              </w:rPr>
            </w:pPr>
          </w:p>
        </w:tc>
        <w:tc>
          <w:tcPr>
            <w:tcW w:w="1066" w:type="dxa"/>
            <w:noWrap w:val="0"/>
            <w:vAlign w:val="top"/>
          </w:tcPr>
          <w:p w14:paraId="493C01AF">
            <w:pPr>
              <w:wordWrap w:val="0"/>
              <w:topLinePunct/>
              <w:spacing w:line="500" w:lineRule="exact"/>
              <w:jc w:val="center"/>
              <w:rPr>
                <w:rFonts w:ascii="宋体" w:hAnsi="宋体" w:eastAsia="宋体"/>
                <w:szCs w:val="24"/>
                <w:highlight w:val="none"/>
              </w:rPr>
            </w:pPr>
          </w:p>
        </w:tc>
        <w:tc>
          <w:tcPr>
            <w:tcW w:w="1066" w:type="dxa"/>
            <w:noWrap w:val="0"/>
            <w:vAlign w:val="top"/>
          </w:tcPr>
          <w:p w14:paraId="7EDC8AD1">
            <w:pPr>
              <w:wordWrap w:val="0"/>
              <w:topLinePunct/>
              <w:spacing w:line="500" w:lineRule="exact"/>
              <w:jc w:val="center"/>
              <w:rPr>
                <w:rFonts w:ascii="宋体" w:hAnsi="宋体" w:eastAsia="宋体"/>
                <w:szCs w:val="24"/>
                <w:highlight w:val="none"/>
              </w:rPr>
            </w:pPr>
          </w:p>
        </w:tc>
        <w:tc>
          <w:tcPr>
            <w:tcW w:w="1066" w:type="dxa"/>
            <w:noWrap w:val="0"/>
            <w:vAlign w:val="top"/>
          </w:tcPr>
          <w:p w14:paraId="5DC833D8">
            <w:pPr>
              <w:wordWrap w:val="0"/>
              <w:topLinePunct/>
              <w:spacing w:line="500" w:lineRule="exact"/>
              <w:jc w:val="center"/>
              <w:rPr>
                <w:rFonts w:ascii="宋体" w:hAnsi="宋体" w:eastAsia="宋体"/>
                <w:szCs w:val="24"/>
                <w:highlight w:val="none"/>
              </w:rPr>
            </w:pPr>
          </w:p>
        </w:tc>
        <w:tc>
          <w:tcPr>
            <w:tcW w:w="1064" w:type="dxa"/>
            <w:noWrap w:val="0"/>
            <w:vAlign w:val="top"/>
          </w:tcPr>
          <w:p w14:paraId="36962A29">
            <w:pPr>
              <w:wordWrap w:val="0"/>
              <w:topLinePunct/>
              <w:spacing w:line="500" w:lineRule="exact"/>
              <w:jc w:val="center"/>
              <w:rPr>
                <w:rFonts w:ascii="宋体" w:hAnsi="宋体" w:eastAsia="宋体"/>
                <w:szCs w:val="24"/>
                <w:highlight w:val="none"/>
              </w:rPr>
            </w:pPr>
          </w:p>
        </w:tc>
      </w:tr>
      <w:tr w14:paraId="74B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3819BCBA">
            <w:pPr>
              <w:wordWrap w:val="0"/>
              <w:topLinePunct/>
              <w:spacing w:line="500" w:lineRule="exact"/>
              <w:jc w:val="center"/>
              <w:rPr>
                <w:rFonts w:ascii="宋体" w:hAnsi="宋体" w:eastAsia="宋体"/>
                <w:szCs w:val="24"/>
                <w:highlight w:val="none"/>
              </w:rPr>
            </w:pPr>
          </w:p>
        </w:tc>
        <w:tc>
          <w:tcPr>
            <w:tcW w:w="892" w:type="dxa"/>
            <w:noWrap w:val="0"/>
            <w:vAlign w:val="top"/>
          </w:tcPr>
          <w:p w14:paraId="65BE619C">
            <w:pPr>
              <w:wordWrap w:val="0"/>
              <w:topLinePunct/>
              <w:spacing w:line="500" w:lineRule="exact"/>
              <w:jc w:val="center"/>
              <w:rPr>
                <w:rFonts w:ascii="宋体" w:hAnsi="宋体" w:eastAsia="宋体"/>
                <w:szCs w:val="24"/>
                <w:highlight w:val="none"/>
              </w:rPr>
            </w:pPr>
          </w:p>
        </w:tc>
        <w:tc>
          <w:tcPr>
            <w:tcW w:w="1066" w:type="dxa"/>
            <w:noWrap w:val="0"/>
            <w:vAlign w:val="top"/>
          </w:tcPr>
          <w:p w14:paraId="798E0688">
            <w:pPr>
              <w:wordWrap w:val="0"/>
              <w:topLinePunct/>
              <w:spacing w:line="500" w:lineRule="exact"/>
              <w:jc w:val="center"/>
              <w:rPr>
                <w:rFonts w:ascii="宋体" w:hAnsi="宋体" w:eastAsia="宋体"/>
                <w:szCs w:val="24"/>
                <w:highlight w:val="none"/>
              </w:rPr>
            </w:pPr>
          </w:p>
        </w:tc>
        <w:tc>
          <w:tcPr>
            <w:tcW w:w="1066" w:type="dxa"/>
            <w:noWrap w:val="0"/>
            <w:vAlign w:val="top"/>
          </w:tcPr>
          <w:p w14:paraId="7EC4FB5E">
            <w:pPr>
              <w:wordWrap w:val="0"/>
              <w:topLinePunct/>
              <w:spacing w:line="500" w:lineRule="exact"/>
              <w:jc w:val="center"/>
              <w:rPr>
                <w:rFonts w:ascii="宋体" w:hAnsi="宋体" w:eastAsia="宋体"/>
                <w:szCs w:val="24"/>
                <w:highlight w:val="none"/>
              </w:rPr>
            </w:pPr>
          </w:p>
        </w:tc>
        <w:tc>
          <w:tcPr>
            <w:tcW w:w="1066" w:type="dxa"/>
            <w:noWrap w:val="0"/>
            <w:vAlign w:val="top"/>
          </w:tcPr>
          <w:p w14:paraId="512299D2">
            <w:pPr>
              <w:wordWrap w:val="0"/>
              <w:topLinePunct/>
              <w:spacing w:line="500" w:lineRule="exact"/>
              <w:jc w:val="center"/>
              <w:rPr>
                <w:rFonts w:ascii="宋体" w:hAnsi="宋体" w:eastAsia="宋体"/>
                <w:szCs w:val="24"/>
                <w:highlight w:val="none"/>
              </w:rPr>
            </w:pPr>
          </w:p>
        </w:tc>
        <w:tc>
          <w:tcPr>
            <w:tcW w:w="1066" w:type="dxa"/>
            <w:noWrap w:val="0"/>
            <w:vAlign w:val="top"/>
          </w:tcPr>
          <w:p w14:paraId="3EC0416A">
            <w:pPr>
              <w:wordWrap w:val="0"/>
              <w:topLinePunct/>
              <w:spacing w:line="500" w:lineRule="exact"/>
              <w:jc w:val="center"/>
              <w:rPr>
                <w:rFonts w:ascii="宋体" w:hAnsi="宋体" w:eastAsia="宋体"/>
                <w:szCs w:val="24"/>
                <w:highlight w:val="none"/>
              </w:rPr>
            </w:pPr>
          </w:p>
        </w:tc>
        <w:tc>
          <w:tcPr>
            <w:tcW w:w="1066" w:type="dxa"/>
            <w:noWrap w:val="0"/>
            <w:vAlign w:val="top"/>
          </w:tcPr>
          <w:p w14:paraId="11C58D09">
            <w:pPr>
              <w:wordWrap w:val="0"/>
              <w:topLinePunct/>
              <w:spacing w:line="500" w:lineRule="exact"/>
              <w:jc w:val="center"/>
              <w:rPr>
                <w:rFonts w:ascii="宋体" w:hAnsi="宋体" w:eastAsia="宋体"/>
                <w:szCs w:val="24"/>
                <w:highlight w:val="none"/>
              </w:rPr>
            </w:pPr>
          </w:p>
        </w:tc>
        <w:tc>
          <w:tcPr>
            <w:tcW w:w="1064" w:type="dxa"/>
            <w:noWrap w:val="0"/>
            <w:vAlign w:val="top"/>
          </w:tcPr>
          <w:p w14:paraId="7DEC50EF">
            <w:pPr>
              <w:wordWrap w:val="0"/>
              <w:topLinePunct/>
              <w:spacing w:line="500" w:lineRule="exact"/>
              <w:jc w:val="center"/>
              <w:rPr>
                <w:rFonts w:ascii="宋体" w:hAnsi="宋体" w:eastAsia="宋体"/>
                <w:szCs w:val="24"/>
                <w:highlight w:val="none"/>
              </w:rPr>
            </w:pPr>
          </w:p>
        </w:tc>
      </w:tr>
      <w:tr w14:paraId="0481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4B290741">
            <w:pPr>
              <w:wordWrap w:val="0"/>
              <w:topLinePunct/>
              <w:spacing w:line="500" w:lineRule="exact"/>
              <w:jc w:val="center"/>
              <w:rPr>
                <w:rFonts w:ascii="宋体" w:hAnsi="宋体" w:eastAsia="宋体"/>
                <w:szCs w:val="24"/>
                <w:highlight w:val="none"/>
              </w:rPr>
            </w:pPr>
          </w:p>
        </w:tc>
        <w:tc>
          <w:tcPr>
            <w:tcW w:w="892" w:type="dxa"/>
            <w:noWrap w:val="0"/>
            <w:vAlign w:val="top"/>
          </w:tcPr>
          <w:p w14:paraId="41C06210">
            <w:pPr>
              <w:wordWrap w:val="0"/>
              <w:topLinePunct/>
              <w:spacing w:line="500" w:lineRule="exact"/>
              <w:jc w:val="center"/>
              <w:rPr>
                <w:rFonts w:ascii="宋体" w:hAnsi="宋体" w:eastAsia="宋体"/>
                <w:szCs w:val="24"/>
                <w:highlight w:val="none"/>
              </w:rPr>
            </w:pPr>
          </w:p>
        </w:tc>
        <w:tc>
          <w:tcPr>
            <w:tcW w:w="1066" w:type="dxa"/>
            <w:noWrap w:val="0"/>
            <w:vAlign w:val="top"/>
          </w:tcPr>
          <w:p w14:paraId="76A19D07">
            <w:pPr>
              <w:wordWrap w:val="0"/>
              <w:topLinePunct/>
              <w:spacing w:line="500" w:lineRule="exact"/>
              <w:jc w:val="center"/>
              <w:rPr>
                <w:rFonts w:ascii="宋体" w:hAnsi="宋体" w:eastAsia="宋体"/>
                <w:szCs w:val="24"/>
                <w:highlight w:val="none"/>
              </w:rPr>
            </w:pPr>
          </w:p>
        </w:tc>
        <w:tc>
          <w:tcPr>
            <w:tcW w:w="1066" w:type="dxa"/>
            <w:noWrap w:val="0"/>
            <w:vAlign w:val="top"/>
          </w:tcPr>
          <w:p w14:paraId="47680FE0">
            <w:pPr>
              <w:wordWrap w:val="0"/>
              <w:topLinePunct/>
              <w:spacing w:line="500" w:lineRule="exact"/>
              <w:jc w:val="center"/>
              <w:rPr>
                <w:rFonts w:ascii="宋体" w:hAnsi="宋体" w:eastAsia="宋体"/>
                <w:szCs w:val="24"/>
                <w:highlight w:val="none"/>
              </w:rPr>
            </w:pPr>
          </w:p>
        </w:tc>
        <w:tc>
          <w:tcPr>
            <w:tcW w:w="1066" w:type="dxa"/>
            <w:noWrap w:val="0"/>
            <w:vAlign w:val="top"/>
          </w:tcPr>
          <w:p w14:paraId="181B78A4">
            <w:pPr>
              <w:wordWrap w:val="0"/>
              <w:topLinePunct/>
              <w:spacing w:line="500" w:lineRule="exact"/>
              <w:jc w:val="center"/>
              <w:rPr>
                <w:rFonts w:ascii="宋体" w:hAnsi="宋体" w:eastAsia="宋体"/>
                <w:szCs w:val="24"/>
                <w:highlight w:val="none"/>
              </w:rPr>
            </w:pPr>
          </w:p>
        </w:tc>
        <w:tc>
          <w:tcPr>
            <w:tcW w:w="1066" w:type="dxa"/>
            <w:noWrap w:val="0"/>
            <w:vAlign w:val="top"/>
          </w:tcPr>
          <w:p w14:paraId="20DF2F69">
            <w:pPr>
              <w:wordWrap w:val="0"/>
              <w:topLinePunct/>
              <w:spacing w:line="500" w:lineRule="exact"/>
              <w:jc w:val="center"/>
              <w:rPr>
                <w:rFonts w:ascii="宋体" w:hAnsi="宋体" w:eastAsia="宋体"/>
                <w:szCs w:val="24"/>
                <w:highlight w:val="none"/>
              </w:rPr>
            </w:pPr>
          </w:p>
        </w:tc>
        <w:tc>
          <w:tcPr>
            <w:tcW w:w="1066" w:type="dxa"/>
            <w:noWrap w:val="0"/>
            <w:vAlign w:val="top"/>
          </w:tcPr>
          <w:p w14:paraId="2D552982">
            <w:pPr>
              <w:wordWrap w:val="0"/>
              <w:topLinePunct/>
              <w:spacing w:line="500" w:lineRule="exact"/>
              <w:jc w:val="center"/>
              <w:rPr>
                <w:rFonts w:ascii="宋体" w:hAnsi="宋体" w:eastAsia="宋体"/>
                <w:szCs w:val="24"/>
                <w:highlight w:val="none"/>
              </w:rPr>
            </w:pPr>
          </w:p>
        </w:tc>
        <w:tc>
          <w:tcPr>
            <w:tcW w:w="1064" w:type="dxa"/>
            <w:noWrap w:val="0"/>
            <w:vAlign w:val="top"/>
          </w:tcPr>
          <w:p w14:paraId="39CE9620">
            <w:pPr>
              <w:wordWrap w:val="0"/>
              <w:topLinePunct/>
              <w:spacing w:line="500" w:lineRule="exact"/>
              <w:jc w:val="center"/>
              <w:rPr>
                <w:rFonts w:ascii="宋体" w:hAnsi="宋体" w:eastAsia="宋体"/>
                <w:szCs w:val="24"/>
                <w:highlight w:val="none"/>
              </w:rPr>
            </w:pPr>
          </w:p>
        </w:tc>
      </w:tr>
      <w:tr w14:paraId="1E0A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79271731">
            <w:pPr>
              <w:wordWrap w:val="0"/>
              <w:topLinePunct/>
              <w:spacing w:line="500" w:lineRule="exact"/>
              <w:jc w:val="center"/>
              <w:rPr>
                <w:rFonts w:ascii="宋体" w:hAnsi="宋体" w:eastAsia="宋体"/>
                <w:szCs w:val="24"/>
                <w:highlight w:val="none"/>
              </w:rPr>
            </w:pPr>
          </w:p>
        </w:tc>
        <w:tc>
          <w:tcPr>
            <w:tcW w:w="892" w:type="dxa"/>
            <w:noWrap w:val="0"/>
            <w:vAlign w:val="top"/>
          </w:tcPr>
          <w:p w14:paraId="31859390">
            <w:pPr>
              <w:wordWrap w:val="0"/>
              <w:topLinePunct/>
              <w:spacing w:line="500" w:lineRule="exact"/>
              <w:jc w:val="center"/>
              <w:rPr>
                <w:rFonts w:ascii="宋体" w:hAnsi="宋体" w:eastAsia="宋体"/>
                <w:szCs w:val="24"/>
                <w:highlight w:val="none"/>
              </w:rPr>
            </w:pPr>
          </w:p>
        </w:tc>
        <w:tc>
          <w:tcPr>
            <w:tcW w:w="1066" w:type="dxa"/>
            <w:noWrap w:val="0"/>
            <w:vAlign w:val="top"/>
          </w:tcPr>
          <w:p w14:paraId="38CCB2DB">
            <w:pPr>
              <w:wordWrap w:val="0"/>
              <w:topLinePunct/>
              <w:spacing w:line="500" w:lineRule="exact"/>
              <w:jc w:val="center"/>
              <w:rPr>
                <w:rFonts w:ascii="宋体" w:hAnsi="宋体" w:eastAsia="宋体"/>
                <w:szCs w:val="24"/>
                <w:highlight w:val="none"/>
              </w:rPr>
            </w:pPr>
          </w:p>
        </w:tc>
        <w:tc>
          <w:tcPr>
            <w:tcW w:w="1066" w:type="dxa"/>
            <w:noWrap w:val="0"/>
            <w:vAlign w:val="top"/>
          </w:tcPr>
          <w:p w14:paraId="626EF512">
            <w:pPr>
              <w:wordWrap w:val="0"/>
              <w:topLinePunct/>
              <w:spacing w:line="500" w:lineRule="exact"/>
              <w:jc w:val="center"/>
              <w:rPr>
                <w:rFonts w:ascii="宋体" w:hAnsi="宋体" w:eastAsia="宋体"/>
                <w:szCs w:val="24"/>
                <w:highlight w:val="none"/>
              </w:rPr>
            </w:pPr>
          </w:p>
        </w:tc>
        <w:tc>
          <w:tcPr>
            <w:tcW w:w="1066" w:type="dxa"/>
            <w:noWrap w:val="0"/>
            <w:vAlign w:val="top"/>
          </w:tcPr>
          <w:p w14:paraId="30ABDFB7">
            <w:pPr>
              <w:wordWrap w:val="0"/>
              <w:topLinePunct/>
              <w:spacing w:line="500" w:lineRule="exact"/>
              <w:jc w:val="center"/>
              <w:rPr>
                <w:rFonts w:ascii="宋体" w:hAnsi="宋体" w:eastAsia="宋体"/>
                <w:szCs w:val="24"/>
                <w:highlight w:val="none"/>
              </w:rPr>
            </w:pPr>
          </w:p>
        </w:tc>
        <w:tc>
          <w:tcPr>
            <w:tcW w:w="1066" w:type="dxa"/>
            <w:noWrap w:val="0"/>
            <w:vAlign w:val="top"/>
          </w:tcPr>
          <w:p w14:paraId="4A1F077B">
            <w:pPr>
              <w:wordWrap w:val="0"/>
              <w:topLinePunct/>
              <w:spacing w:line="500" w:lineRule="exact"/>
              <w:jc w:val="center"/>
              <w:rPr>
                <w:rFonts w:ascii="宋体" w:hAnsi="宋体" w:eastAsia="宋体"/>
                <w:szCs w:val="24"/>
                <w:highlight w:val="none"/>
              </w:rPr>
            </w:pPr>
          </w:p>
        </w:tc>
        <w:tc>
          <w:tcPr>
            <w:tcW w:w="1066" w:type="dxa"/>
            <w:noWrap w:val="0"/>
            <w:vAlign w:val="top"/>
          </w:tcPr>
          <w:p w14:paraId="3929987D">
            <w:pPr>
              <w:wordWrap w:val="0"/>
              <w:topLinePunct/>
              <w:spacing w:line="500" w:lineRule="exact"/>
              <w:jc w:val="center"/>
              <w:rPr>
                <w:rFonts w:ascii="宋体" w:hAnsi="宋体" w:eastAsia="宋体"/>
                <w:szCs w:val="24"/>
                <w:highlight w:val="none"/>
              </w:rPr>
            </w:pPr>
          </w:p>
        </w:tc>
        <w:tc>
          <w:tcPr>
            <w:tcW w:w="1064" w:type="dxa"/>
            <w:noWrap w:val="0"/>
            <w:vAlign w:val="top"/>
          </w:tcPr>
          <w:p w14:paraId="79E68E53">
            <w:pPr>
              <w:wordWrap w:val="0"/>
              <w:topLinePunct/>
              <w:spacing w:line="500" w:lineRule="exact"/>
              <w:jc w:val="center"/>
              <w:rPr>
                <w:rFonts w:ascii="宋体" w:hAnsi="宋体" w:eastAsia="宋体"/>
                <w:szCs w:val="24"/>
                <w:highlight w:val="none"/>
              </w:rPr>
            </w:pPr>
          </w:p>
        </w:tc>
      </w:tr>
      <w:tr w14:paraId="66C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1352B34B">
            <w:pPr>
              <w:wordWrap w:val="0"/>
              <w:topLinePunct/>
              <w:spacing w:line="500" w:lineRule="exact"/>
              <w:jc w:val="center"/>
              <w:rPr>
                <w:rFonts w:ascii="宋体" w:hAnsi="宋体" w:eastAsia="宋体"/>
                <w:szCs w:val="24"/>
                <w:highlight w:val="none"/>
              </w:rPr>
            </w:pPr>
          </w:p>
        </w:tc>
        <w:tc>
          <w:tcPr>
            <w:tcW w:w="892" w:type="dxa"/>
            <w:noWrap w:val="0"/>
            <w:vAlign w:val="top"/>
          </w:tcPr>
          <w:p w14:paraId="6AA9A3C3">
            <w:pPr>
              <w:wordWrap w:val="0"/>
              <w:topLinePunct/>
              <w:spacing w:line="500" w:lineRule="exact"/>
              <w:jc w:val="center"/>
              <w:rPr>
                <w:rFonts w:ascii="宋体" w:hAnsi="宋体" w:eastAsia="宋体"/>
                <w:szCs w:val="24"/>
                <w:highlight w:val="none"/>
              </w:rPr>
            </w:pPr>
          </w:p>
        </w:tc>
        <w:tc>
          <w:tcPr>
            <w:tcW w:w="1066" w:type="dxa"/>
            <w:noWrap w:val="0"/>
            <w:vAlign w:val="top"/>
          </w:tcPr>
          <w:p w14:paraId="1A49D356">
            <w:pPr>
              <w:wordWrap w:val="0"/>
              <w:topLinePunct/>
              <w:spacing w:line="500" w:lineRule="exact"/>
              <w:jc w:val="center"/>
              <w:rPr>
                <w:rFonts w:ascii="宋体" w:hAnsi="宋体" w:eastAsia="宋体"/>
                <w:szCs w:val="24"/>
                <w:highlight w:val="none"/>
              </w:rPr>
            </w:pPr>
          </w:p>
        </w:tc>
        <w:tc>
          <w:tcPr>
            <w:tcW w:w="1066" w:type="dxa"/>
            <w:noWrap w:val="0"/>
            <w:vAlign w:val="top"/>
          </w:tcPr>
          <w:p w14:paraId="050E0CC3">
            <w:pPr>
              <w:wordWrap w:val="0"/>
              <w:topLinePunct/>
              <w:spacing w:line="500" w:lineRule="exact"/>
              <w:jc w:val="center"/>
              <w:rPr>
                <w:rFonts w:ascii="宋体" w:hAnsi="宋体" w:eastAsia="宋体"/>
                <w:szCs w:val="24"/>
                <w:highlight w:val="none"/>
              </w:rPr>
            </w:pPr>
          </w:p>
        </w:tc>
        <w:tc>
          <w:tcPr>
            <w:tcW w:w="1066" w:type="dxa"/>
            <w:noWrap w:val="0"/>
            <w:vAlign w:val="top"/>
          </w:tcPr>
          <w:p w14:paraId="430487DD">
            <w:pPr>
              <w:wordWrap w:val="0"/>
              <w:topLinePunct/>
              <w:spacing w:line="500" w:lineRule="exact"/>
              <w:jc w:val="center"/>
              <w:rPr>
                <w:rFonts w:ascii="宋体" w:hAnsi="宋体" w:eastAsia="宋体"/>
                <w:szCs w:val="24"/>
                <w:highlight w:val="none"/>
              </w:rPr>
            </w:pPr>
          </w:p>
        </w:tc>
        <w:tc>
          <w:tcPr>
            <w:tcW w:w="1066" w:type="dxa"/>
            <w:noWrap w:val="0"/>
            <w:vAlign w:val="top"/>
          </w:tcPr>
          <w:p w14:paraId="6B40F4C0">
            <w:pPr>
              <w:wordWrap w:val="0"/>
              <w:topLinePunct/>
              <w:spacing w:line="500" w:lineRule="exact"/>
              <w:jc w:val="center"/>
              <w:rPr>
                <w:rFonts w:ascii="宋体" w:hAnsi="宋体" w:eastAsia="宋体"/>
                <w:szCs w:val="24"/>
                <w:highlight w:val="none"/>
              </w:rPr>
            </w:pPr>
          </w:p>
        </w:tc>
        <w:tc>
          <w:tcPr>
            <w:tcW w:w="1066" w:type="dxa"/>
            <w:noWrap w:val="0"/>
            <w:vAlign w:val="top"/>
          </w:tcPr>
          <w:p w14:paraId="1FC4D488">
            <w:pPr>
              <w:wordWrap w:val="0"/>
              <w:topLinePunct/>
              <w:spacing w:line="500" w:lineRule="exact"/>
              <w:jc w:val="center"/>
              <w:rPr>
                <w:rFonts w:ascii="宋体" w:hAnsi="宋体" w:eastAsia="宋体"/>
                <w:szCs w:val="24"/>
                <w:highlight w:val="none"/>
              </w:rPr>
            </w:pPr>
          </w:p>
        </w:tc>
        <w:tc>
          <w:tcPr>
            <w:tcW w:w="1064" w:type="dxa"/>
            <w:noWrap w:val="0"/>
            <w:vAlign w:val="top"/>
          </w:tcPr>
          <w:p w14:paraId="451C9BC4">
            <w:pPr>
              <w:wordWrap w:val="0"/>
              <w:topLinePunct/>
              <w:spacing w:line="500" w:lineRule="exact"/>
              <w:jc w:val="center"/>
              <w:rPr>
                <w:rFonts w:ascii="宋体" w:hAnsi="宋体" w:eastAsia="宋体"/>
                <w:szCs w:val="24"/>
                <w:highlight w:val="none"/>
              </w:rPr>
            </w:pPr>
          </w:p>
        </w:tc>
      </w:tr>
      <w:tr w14:paraId="399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2135CC84">
            <w:pPr>
              <w:wordWrap w:val="0"/>
              <w:topLinePunct/>
              <w:spacing w:line="500" w:lineRule="exact"/>
              <w:jc w:val="center"/>
              <w:rPr>
                <w:rFonts w:ascii="宋体" w:hAnsi="宋体" w:eastAsia="宋体"/>
                <w:szCs w:val="24"/>
                <w:highlight w:val="none"/>
              </w:rPr>
            </w:pPr>
          </w:p>
        </w:tc>
        <w:tc>
          <w:tcPr>
            <w:tcW w:w="892" w:type="dxa"/>
            <w:noWrap w:val="0"/>
            <w:vAlign w:val="top"/>
          </w:tcPr>
          <w:p w14:paraId="5E5FD651">
            <w:pPr>
              <w:wordWrap w:val="0"/>
              <w:topLinePunct/>
              <w:spacing w:line="500" w:lineRule="exact"/>
              <w:jc w:val="center"/>
              <w:rPr>
                <w:rFonts w:ascii="宋体" w:hAnsi="宋体" w:eastAsia="宋体"/>
                <w:szCs w:val="24"/>
                <w:highlight w:val="none"/>
              </w:rPr>
            </w:pPr>
          </w:p>
        </w:tc>
        <w:tc>
          <w:tcPr>
            <w:tcW w:w="1066" w:type="dxa"/>
            <w:noWrap w:val="0"/>
            <w:vAlign w:val="top"/>
          </w:tcPr>
          <w:p w14:paraId="32CCEBCA">
            <w:pPr>
              <w:wordWrap w:val="0"/>
              <w:topLinePunct/>
              <w:spacing w:line="500" w:lineRule="exact"/>
              <w:jc w:val="center"/>
              <w:rPr>
                <w:rFonts w:ascii="宋体" w:hAnsi="宋体" w:eastAsia="宋体"/>
                <w:szCs w:val="24"/>
                <w:highlight w:val="none"/>
              </w:rPr>
            </w:pPr>
          </w:p>
        </w:tc>
        <w:tc>
          <w:tcPr>
            <w:tcW w:w="1066" w:type="dxa"/>
            <w:noWrap w:val="0"/>
            <w:vAlign w:val="top"/>
          </w:tcPr>
          <w:p w14:paraId="5F09DCE6">
            <w:pPr>
              <w:wordWrap w:val="0"/>
              <w:topLinePunct/>
              <w:spacing w:line="500" w:lineRule="exact"/>
              <w:jc w:val="center"/>
              <w:rPr>
                <w:rFonts w:ascii="宋体" w:hAnsi="宋体" w:eastAsia="宋体"/>
                <w:szCs w:val="24"/>
                <w:highlight w:val="none"/>
              </w:rPr>
            </w:pPr>
          </w:p>
        </w:tc>
        <w:tc>
          <w:tcPr>
            <w:tcW w:w="1066" w:type="dxa"/>
            <w:noWrap w:val="0"/>
            <w:vAlign w:val="top"/>
          </w:tcPr>
          <w:p w14:paraId="0000B762">
            <w:pPr>
              <w:wordWrap w:val="0"/>
              <w:topLinePunct/>
              <w:spacing w:line="500" w:lineRule="exact"/>
              <w:jc w:val="center"/>
              <w:rPr>
                <w:rFonts w:ascii="宋体" w:hAnsi="宋体" w:eastAsia="宋体"/>
                <w:szCs w:val="24"/>
                <w:highlight w:val="none"/>
              </w:rPr>
            </w:pPr>
          </w:p>
        </w:tc>
        <w:tc>
          <w:tcPr>
            <w:tcW w:w="1066" w:type="dxa"/>
            <w:noWrap w:val="0"/>
            <w:vAlign w:val="top"/>
          </w:tcPr>
          <w:p w14:paraId="1894AB77">
            <w:pPr>
              <w:wordWrap w:val="0"/>
              <w:topLinePunct/>
              <w:spacing w:line="500" w:lineRule="exact"/>
              <w:jc w:val="center"/>
              <w:rPr>
                <w:rFonts w:ascii="宋体" w:hAnsi="宋体" w:eastAsia="宋体"/>
                <w:szCs w:val="24"/>
                <w:highlight w:val="none"/>
              </w:rPr>
            </w:pPr>
          </w:p>
        </w:tc>
        <w:tc>
          <w:tcPr>
            <w:tcW w:w="1066" w:type="dxa"/>
            <w:noWrap w:val="0"/>
            <w:vAlign w:val="top"/>
          </w:tcPr>
          <w:p w14:paraId="4142D55C">
            <w:pPr>
              <w:wordWrap w:val="0"/>
              <w:topLinePunct/>
              <w:spacing w:line="500" w:lineRule="exact"/>
              <w:jc w:val="center"/>
              <w:rPr>
                <w:rFonts w:ascii="宋体" w:hAnsi="宋体" w:eastAsia="宋体"/>
                <w:szCs w:val="24"/>
                <w:highlight w:val="none"/>
              </w:rPr>
            </w:pPr>
          </w:p>
        </w:tc>
        <w:tc>
          <w:tcPr>
            <w:tcW w:w="1064" w:type="dxa"/>
            <w:noWrap w:val="0"/>
            <w:vAlign w:val="top"/>
          </w:tcPr>
          <w:p w14:paraId="396CFA2F">
            <w:pPr>
              <w:wordWrap w:val="0"/>
              <w:topLinePunct/>
              <w:spacing w:line="500" w:lineRule="exact"/>
              <w:jc w:val="center"/>
              <w:rPr>
                <w:rFonts w:ascii="宋体" w:hAnsi="宋体" w:eastAsia="宋体"/>
                <w:szCs w:val="24"/>
                <w:highlight w:val="none"/>
              </w:rPr>
            </w:pPr>
          </w:p>
        </w:tc>
      </w:tr>
      <w:tr w14:paraId="10DF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7632953A">
            <w:pPr>
              <w:wordWrap w:val="0"/>
              <w:topLinePunct/>
              <w:spacing w:line="500" w:lineRule="exact"/>
              <w:jc w:val="center"/>
              <w:rPr>
                <w:rFonts w:ascii="宋体" w:hAnsi="宋体" w:eastAsia="宋体"/>
                <w:szCs w:val="24"/>
                <w:highlight w:val="none"/>
              </w:rPr>
            </w:pPr>
          </w:p>
        </w:tc>
        <w:tc>
          <w:tcPr>
            <w:tcW w:w="892" w:type="dxa"/>
            <w:noWrap w:val="0"/>
            <w:vAlign w:val="top"/>
          </w:tcPr>
          <w:p w14:paraId="235A6E7F">
            <w:pPr>
              <w:wordWrap w:val="0"/>
              <w:topLinePunct/>
              <w:spacing w:line="500" w:lineRule="exact"/>
              <w:jc w:val="center"/>
              <w:rPr>
                <w:rFonts w:ascii="宋体" w:hAnsi="宋体" w:eastAsia="宋体"/>
                <w:szCs w:val="24"/>
                <w:highlight w:val="none"/>
              </w:rPr>
            </w:pPr>
          </w:p>
        </w:tc>
        <w:tc>
          <w:tcPr>
            <w:tcW w:w="1066" w:type="dxa"/>
            <w:noWrap w:val="0"/>
            <w:vAlign w:val="top"/>
          </w:tcPr>
          <w:p w14:paraId="4C30E760">
            <w:pPr>
              <w:wordWrap w:val="0"/>
              <w:topLinePunct/>
              <w:spacing w:line="500" w:lineRule="exact"/>
              <w:jc w:val="center"/>
              <w:rPr>
                <w:rFonts w:ascii="宋体" w:hAnsi="宋体" w:eastAsia="宋体"/>
                <w:szCs w:val="24"/>
                <w:highlight w:val="none"/>
              </w:rPr>
            </w:pPr>
          </w:p>
        </w:tc>
        <w:tc>
          <w:tcPr>
            <w:tcW w:w="1066" w:type="dxa"/>
            <w:noWrap w:val="0"/>
            <w:vAlign w:val="top"/>
          </w:tcPr>
          <w:p w14:paraId="42F5BDF9">
            <w:pPr>
              <w:wordWrap w:val="0"/>
              <w:topLinePunct/>
              <w:spacing w:line="500" w:lineRule="exact"/>
              <w:jc w:val="center"/>
              <w:rPr>
                <w:rFonts w:ascii="宋体" w:hAnsi="宋体" w:eastAsia="宋体"/>
                <w:szCs w:val="24"/>
                <w:highlight w:val="none"/>
              </w:rPr>
            </w:pPr>
          </w:p>
        </w:tc>
        <w:tc>
          <w:tcPr>
            <w:tcW w:w="1066" w:type="dxa"/>
            <w:noWrap w:val="0"/>
            <w:vAlign w:val="top"/>
          </w:tcPr>
          <w:p w14:paraId="19FD837E">
            <w:pPr>
              <w:wordWrap w:val="0"/>
              <w:topLinePunct/>
              <w:spacing w:line="500" w:lineRule="exact"/>
              <w:jc w:val="center"/>
              <w:rPr>
                <w:rFonts w:ascii="宋体" w:hAnsi="宋体" w:eastAsia="宋体"/>
                <w:szCs w:val="24"/>
                <w:highlight w:val="none"/>
              </w:rPr>
            </w:pPr>
          </w:p>
        </w:tc>
        <w:tc>
          <w:tcPr>
            <w:tcW w:w="1066" w:type="dxa"/>
            <w:noWrap w:val="0"/>
            <w:vAlign w:val="top"/>
          </w:tcPr>
          <w:p w14:paraId="4A506B8F">
            <w:pPr>
              <w:wordWrap w:val="0"/>
              <w:topLinePunct/>
              <w:spacing w:line="500" w:lineRule="exact"/>
              <w:jc w:val="center"/>
              <w:rPr>
                <w:rFonts w:ascii="宋体" w:hAnsi="宋体" w:eastAsia="宋体"/>
                <w:szCs w:val="24"/>
                <w:highlight w:val="none"/>
              </w:rPr>
            </w:pPr>
          </w:p>
        </w:tc>
        <w:tc>
          <w:tcPr>
            <w:tcW w:w="1066" w:type="dxa"/>
            <w:noWrap w:val="0"/>
            <w:vAlign w:val="top"/>
          </w:tcPr>
          <w:p w14:paraId="6E855D83">
            <w:pPr>
              <w:wordWrap w:val="0"/>
              <w:topLinePunct/>
              <w:spacing w:line="500" w:lineRule="exact"/>
              <w:jc w:val="center"/>
              <w:rPr>
                <w:rFonts w:ascii="宋体" w:hAnsi="宋体" w:eastAsia="宋体"/>
                <w:szCs w:val="24"/>
                <w:highlight w:val="none"/>
              </w:rPr>
            </w:pPr>
          </w:p>
        </w:tc>
        <w:tc>
          <w:tcPr>
            <w:tcW w:w="1064" w:type="dxa"/>
            <w:noWrap w:val="0"/>
            <w:vAlign w:val="top"/>
          </w:tcPr>
          <w:p w14:paraId="38E8A4ED">
            <w:pPr>
              <w:wordWrap w:val="0"/>
              <w:topLinePunct/>
              <w:spacing w:line="500" w:lineRule="exact"/>
              <w:jc w:val="center"/>
              <w:rPr>
                <w:rFonts w:ascii="宋体" w:hAnsi="宋体" w:eastAsia="宋体"/>
                <w:szCs w:val="24"/>
                <w:highlight w:val="none"/>
              </w:rPr>
            </w:pPr>
          </w:p>
        </w:tc>
      </w:tr>
      <w:tr w14:paraId="04E2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7C50983F">
            <w:pPr>
              <w:wordWrap w:val="0"/>
              <w:topLinePunct/>
              <w:spacing w:line="500" w:lineRule="exact"/>
              <w:jc w:val="center"/>
              <w:rPr>
                <w:rFonts w:ascii="宋体" w:hAnsi="宋体" w:eastAsia="宋体"/>
                <w:szCs w:val="24"/>
                <w:highlight w:val="none"/>
              </w:rPr>
            </w:pPr>
          </w:p>
        </w:tc>
        <w:tc>
          <w:tcPr>
            <w:tcW w:w="892" w:type="dxa"/>
            <w:noWrap w:val="0"/>
            <w:vAlign w:val="top"/>
          </w:tcPr>
          <w:p w14:paraId="0D1E8A07">
            <w:pPr>
              <w:wordWrap w:val="0"/>
              <w:topLinePunct/>
              <w:spacing w:line="500" w:lineRule="exact"/>
              <w:jc w:val="center"/>
              <w:rPr>
                <w:rFonts w:ascii="宋体" w:hAnsi="宋体" w:eastAsia="宋体"/>
                <w:szCs w:val="24"/>
                <w:highlight w:val="none"/>
              </w:rPr>
            </w:pPr>
          </w:p>
        </w:tc>
        <w:tc>
          <w:tcPr>
            <w:tcW w:w="1066" w:type="dxa"/>
            <w:noWrap w:val="0"/>
            <w:vAlign w:val="top"/>
          </w:tcPr>
          <w:p w14:paraId="0D2F98EB">
            <w:pPr>
              <w:wordWrap w:val="0"/>
              <w:topLinePunct/>
              <w:spacing w:line="500" w:lineRule="exact"/>
              <w:jc w:val="center"/>
              <w:rPr>
                <w:rFonts w:ascii="宋体" w:hAnsi="宋体" w:eastAsia="宋体"/>
                <w:szCs w:val="24"/>
                <w:highlight w:val="none"/>
              </w:rPr>
            </w:pPr>
          </w:p>
        </w:tc>
        <w:tc>
          <w:tcPr>
            <w:tcW w:w="1066" w:type="dxa"/>
            <w:noWrap w:val="0"/>
            <w:vAlign w:val="top"/>
          </w:tcPr>
          <w:p w14:paraId="298A90F6">
            <w:pPr>
              <w:wordWrap w:val="0"/>
              <w:topLinePunct/>
              <w:spacing w:line="500" w:lineRule="exact"/>
              <w:jc w:val="center"/>
              <w:rPr>
                <w:rFonts w:ascii="宋体" w:hAnsi="宋体" w:eastAsia="宋体"/>
                <w:szCs w:val="24"/>
                <w:highlight w:val="none"/>
              </w:rPr>
            </w:pPr>
          </w:p>
        </w:tc>
        <w:tc>
          <w:tcPr>
            <w:tcW w:w="1066" w:type="dxa"/>
            <w:noWrap w:val="0"/>
            <w:vAlign w:val="top"/>
          </w:tcPr>
          <w:p w14:paraId="44E15295">
            <w:pPr>
              <w:wordWrap w:val="0"/>
              <w:topLinePunct/>
              <w:spacing w:line="500" w:lineRule="exact"/>
              <w:jc w:val="center"/>
              <w:rPr>
                <w:rFonts w:ascii="宋体" w:hAnsi="宋体" w:eastAsia="宋体"/>
                <w:szCs w:val="24"/>
                <w:highlight w:val="none"/>
              </w:rPr>
            </w:pPr>
          </w:p>
        </w:tc>
        <w:tc>
          <w:tcPr>
            <w:tcW w:w="1066" w:type="dxa"/>
            <w:noWrap w:val="0"/>
            <w:vAlign w:val="top"/>
          </w:tcPr>
          <w:p w14:paraId="5500C21A">
            <w:pPr>
              <w:wordWrap w:val="0"/>
              <w:topLinePunct/>
              <w:spacing w:line="500" w:lineRule="exact"/>
              <w:jc w:val="center"/>
              <w:rPr>
                <w:rFonts w:ascii="宋体" w:hAnsi="宋体" w:eastAsia="宋体"/>
                <w:szCs w:val="24"/>
                <w:highlight w:val="none"/>
              </w:rPr>
            </w:pPr>
          </w:p>
        </w:tc>
        <w:tc>
          <w:tcPr>
            <w:tcW w:w="1066" w:type="dxa"/>
            <w:noWrap w:val="0"/>
            <w:vAlign w:val="top"/>
          </w:tcPr>
          <w:p w14:paraId="0BBABEB1">
            <w:pPr>
              <w:wordWrap w:val="0"/>
              <w:topLinePunct/>
              <w:spacing w:line="500" w:lineRule="exact"/>
              <w:jc w:val="center"/>
              <w:rPr>
                <w:rFonts w:ascii="宋体" w:hAnsi="宋体" w:eastAsia="宋体"/>
                <w:szCs w:val="24"/>
                <w:highlight w:val="none"/>
              </w:rPr>
            </w:pPr>
          </w:p>
        </w:tc>
        <w:tc>
          <w:tcPr>
            <w:tcW w:w="1064" w:type="dxa"/>
            <w:noWrap w:val="0"/>
            <w:vAlign w:val="top"/>
          </w:tcPr>
          <w:p w14:paraId="10FA13EC">
            <w:pPr>
              <w:wordWrap w:val="0"/>
              <w:topLinePunct/>
              <w:spacing w:line="500" w:lineRule="exact"/>
              <w:jc w:val="center"/>
              <w:rPr>
                <w:rFonts w:ascii="宋体" w:hAnsi="宋体" w:eastAsia="宋体"/>
                <w:szCs w:val="24"/>
                <w:highlight w:val="none"/>
              </w:rPr>
            </w:pPr>
          </w:p>
        </w:tc>
      </w:tr>
      <w:tr w14:paraId="7F6C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6FABD539">
            <w:pPr>
              <w:wordWrap w:val="0"/>
              <w:topLinePunct/>
              <w:spacing w:line="500" w:lineRule="exact"/>
              <w:jc w:val="center"/>
              <w:rPr>
                <w:rFonts w:ascii="宋体" w:hAnsi="宋体" w:eastAsia="宋体"/>
                <w:szCs w:val="24"/>
                <w:highlight w:val="none"/>
              </w:rPr>
            </w:pPr>
          </w:p>
        </w:tc>
        <w:tc>
          <w:tcPr>
            <w:tcW w:w="892" w:type="dxa"/>
            <w:noWrap w:val="0"/>
            <w:vAlign w:val="top"/>
          </w:tcPr>
          <w:p w14:paraId="719D88EC">
            <w:pPr>
              <w:wordWrap w:val="0"/>
              <w:topLinePunct/>
              <w:spacing w:line="500" w:lineRule="exact"/>
              <w:jc w:val="center"/>
              <w:rPr>
                <w:rFonts w:ascii="宋体" w:hAnsi="宋体" w:eastAsia="宋体"/>
                <w:szCs w:val="24"/>
                <w:highlight w:val="none"/>
              </w:rPr>
            </w:pPr>
          </w:p>
        </w:tc>
        <w:tc>
          <w:tcPr>
            <w:tcW w:w="1066" w:type="dxa"/>
            <w:noWrap w:val="0"/>
            <w:vAlign w:val="top"/>
          </w:tcPr>
          <w:p w14:paraId="506064E7">
            <w:pPr>
              <w:wordWrap w:val="0"/>
              <w:topLinePunct/>
              <w:spacing w:line="500" w:lineRule="exact"/>
              <w:jc w:val="center"/>
              <w:rPr>
                <w:rFonts w:ascii="宋体" w:hAnsi="宋体" w:eastAsia="宋体"/>
                <w:szCs w:val="24"/>
                <w:highlight w:val="none"/>
              </w:rPr>
            </w:pPr>
          </w:p>
        </w:tc>
        <w:tc>
          <w:tcPr>
            <w:tcW w:w="1066" w:type="dxa"/>
            <w:noWrap w:val="0"/>
            <w:vAlign w:val="top"/>
          </w:tcPr>
          <w:p w14:paraId="6264BE63">
            <w:pPr>
              <w:wordWrap w:val="0"/>
              <w:topLinePunct/>
              <w:spacing w:line="500" w:lineRule="exact"/>
              <w:jc w:val="center"/>
              <w:rPr>
                <w:rFonts w:ascii="宋体" w:hAnsi="宋体" w:eastAsia="宋体"/>
                <w:szCs w:val="24"/>
                <w:highlight w:val="none"/>
              </w:rPr>
            </w:pPr>
          </w:p>
        </w:tc>
        <w:tc>
          <w:tcPr>
            <w:tcW w:w="1066" w:type="dxa"/>
            <w:noWrap w:val="0"/>
            <w:vAlign w:val="top"/>
          </w:tcPr>
          <w:p w14:paraId="46665D0E">
            <w:pPr>
              <w:wordWrap w:val="0"/>
              <w:topLinePunct/>
              <w:spacing w:line="500" w:lineRule="exact"/>
              <w:jc w:val="center"/>
              <w:rPr>
                <w:rFonts w:ascii="宋体" w:hAnsi="宋体" w:eastAsia="宋体"/>
                <w:szCs w:val="24"/>
                <w:highlight w:val="none"/>
              </w:rPr>
            </w:pPr>
          </w:p>
        </w:tc>
        <w:tc>
          <w:tcPr>
            <w:tcW w:w="1066" w:type="dxa"/>
            <w:noWrap w:val="0"/>
            <w:vAlign w:val="top"/>
          </w:tcPr>
          <w:p w14:paraId="32550E3D">
            <w:pPr>
              <w:wordWrap w:val="0"/>
              <w:topLinePunct/>
              <w:spacing w:line="500" w:lineRule="exact"/>
              <w:jc w:val="center"/>
              <w:rPr>
                <w:rFonts w:ascii="宋体" w:hAnsi="宋体" w:eastAsia="宋体"/>
                <w:szCs w:val="24"/>
                <w:highlight w:val="none"/>
              </w:rPr>
            </w:pPr>
          </w:p>
        </w:tc>
        <w:tc>
          <w:tcPr>
            <w:tcW w:w="1066" w:type="dxa"/>
            <w:noWrap w:val="0"/>
            <w:vAlign w:val="top"/>
          </w:tcPr>
          <w:p w14:paraId="1D8C57FF">
            <w:pPr>
              <w:wordWrap w:val="0"/>
              <w:topLinePunct/>
              <w:spacing w:line="500" w:lineRule="exact"/>
              <w:jc w:val="center"/>
              <w:rPr>
                <w:rFonts w:ascii="宋体" w:hAnsi="宋体" w:eastAsia="宋体"/>
                <w:szCs w:val="24"/>
                <w:highlight w:val="none"/>
              </w:rPr>
            </w:pPr>
          </w:p>
        </w:tc>
        <w:tc>
          <w:tcPr>
            <w:tcW w:w="1064" w:type="dxa"/>
            <w:noWrap w:val="0"/>
            <w:vAlign w:val="top"/>
          </w:tcPr>
          <w:p w14:paraId="0EA491F3">
            <w:pPr>
              <w:wordWrap w:val="0"/>
              <w:topLinePunct/>
              <w:spacing w:line="500" w:lineRule="exact"/>
              <w:jc w:val="center"/>
              <w:rPr>
                <w:rFonts w:ascii="宋体" w:hAnsi="宋体" w:eastAsia="宋体"/>
                <w:szCs w:val="24"/>
                <w:highlight w:val="none"/>
              </w:rPr>
            </w:pPr>
          </w:p>
        </w:tc>
      </w:tr>
      <w:tr w14:paraId="35EF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6D416B2B">
            <w:pPr>
              <w:wordWrap w:val="0"/>
              <w:topLinePunct/>
              <w:spacing w:line="500" w:lineRule="exact"/>
              <w:jc w:val="center"/>
              <w:rPr>
                <w:rFonts w:ascii="宋体" w:hAnsi="宋体" w:eastAsia="宋体"/>
                <w:szCs w:val="24"/>
                <w:highlight w:val="none"/>
              </w:rPr>
            </w:pPr>
          </w:p>
        </w:tc>
        <w:tc>
          <w:tcPr>
            <w:tcW w:w="892" w:type="dxa"/>
            <w:noWrap w:val="0"/>
            <w:vAlign w:val="top"/>
          </w:tcPr>
          <w:p w14:paraId="72F7F368">
            <w:pPr>
              <w:wordWrap w:val="0"/>
              <w:topLinePunct/>
              <w:spacing w:line="500" w:lineRule="exact"/>
              <w:jc w:val="center"/>
              <w:rPr>
                <w:rFonts w:ascii="宋体" w:hAnsi="宋体" w:eastAsia="宋体"/>
                <w:szCs w:val="24"/>
                <w:highlight w:val="none"/>
              </w:rPr>
            </w:pPr>
          </w:p>
        </w:tc>
        <w:tc>
          <w:tcPr>
            <w:tcW w:w="1066" w:type="dxa"/>
            <w:noWrap w:val="0"/>
            <w:vAlign w:val="top"/>
          </w:tcPr>
          <w:p w14:paraId="1496BB88">
            <w:pPr>
              <w:wordWrap w:val="0"/>
              <w:topLinePunct/>
              <w:spacing w:line="500" w:lineRule="exact"/>
              <w:jc w:val="center"/>
              <w:rPr>
                <w:rFonts w:ascii="宋体" w:hAnsi="宋体" w:eastAsia="宋体"/>
                <w:szCs w:val="24"/>
                <w:highlight w:val="none"/>
              </w:rPr>
            </w:pPr>
          </w:p>
        </w:tc>
        <w:tc>
          <w:tcPr>
            <w:tcW w:w="1066" w:type="dxa"/>
            <w:noWrap w:val="0"/>
            <w:vAlign w:val="top"/>
          </w:tcPr>
          <w:p w14:paraId="3A9CF96F">
            <w:pPr>
              <w:wordWrap w:val="0"/>
              <w:topLinePunct/>
              <w:spacing w:line="500" w:lineRule="exact"/>
              <w:jc w:val="center"/>
              <w:rPr>
                <w:rFonts w:ascii="宋体" w:hAnsi="宋体" w:eastAsia="宋体"/>
                <w:szCs w:val="24"/>
                <w:highlight w:val="none"/>
              </w:rPr>
            </w:pPr>
          </w:p>
        </w:tc>
        <w:tc>
          <w:tcPr>
            <w:tcW w:w="1066" w:type="dxa"/>
            <w:noWrap w:val="0"/>
            <w:vAlign w:val="top"/>
          </w:tcPr>
          <w:p w14:paraId="23A00AC2">
            <w:pPr>
              <w:wordWrap w:val="0"/>
              <w:topLinePunct/>
              <w:spacing w:line="500" w:lineRule="exact"/>
              <w:jc w:val="center"/>
              <w:rPr>
                <w:rFonts w:ascii="宋体" w:hAnsi="宋体" w:eastAsia="宋体"/>
                <w:szCs w:val="24"/>
                <w:highlight w:val="none"/>
              </w:rPr>
            </w:pPr>
          </w:p>
        </w:tc>
        <w:tc>
          <w:tcPr>
            <w:tcW w:w="1066" w:type="dxa"/>
            <w:noWrap w:val="0"/>
            <w:vAlign w:val="top"/>
          </w:tcPr>
          <w:p w14:paraId="206BEA68">
            <w:pPr>
              <w:wordWrap w:val="0"/>
              <w:topLinePunct/>
              <w:spacing w:line="500" w:lineRule="exact"/>
              <w:jc w:val="center"/>
              <w:rPr>
                <w:rFonts w:ascii="宋体" w:hAnsi="宋体" w:eastAsia="宋体"/>
                <w:szCs w:val="24"/>
                <w:highlight w:val="none"/>
              </w:rPr>
            </w:pPr>
          </w:p>
        </w:tc>
        <w:tc>
          <w:tcPr>
            <w:tcW w:w="1066" w:type="dxa"/>
            <w:noWrap w:val="0"/>
            <w:vAlign w:val="top"/>
          </w:tcPr>
          <w:p w14:paraId="3AB25DB8">
            <w:pPr>
              <w:wordWrap w:val="0"/>
              <w:topLinePunct/>
              <w:spacing w:line="500" w:lineRule="exact"/>
              <w:jc w:val="center"/>
              <w:rPr>
                <w:rFonts w:ascii="宋体" w:hAnsi="宋体" w:eastAsia="宋体"/>
                <w:szCs w:val="24"/>
                <w:highlight w:val="none"/>
              </w:rPr>
            </w:pPr>
          </w:p>
        </w:tc>
        <w:tc>
          <w:tcPr>
            <w:tcW w:w="1064" w:type="dxa"/>
            <w:noWrap w:val="0"/>
            <w:vAlign w:val="top"/>
          </w:tcPr>
          <w:p w14:paraId="2AD6F899">
            <w:pPr>
              <w:wordWrap w:val="0"/>
              <w:topLinePunct/>
              <w:spacing w:line="500" w:lineRule="exact"/>
              <w:jc w:val="center"/>
              <w:rPr>
                <w:rFonts w:ascii="宋体" w:hAnsi="宋体" w:eastAsia="宋体"/>
                <w:szCs w:val="24"/>
                <w:highlight w:val="none"/>
              </w:rPr>
            </w:pPr>
          </w:p>
        </w:tc>
      </w:tr>
    </w:tbl>
    <w:p w14:paraId="0FB47ABC">
      <w:pPr>
        <w:keepNext/>
        <w:keepLines/>
        <w:wordWrap w:val="0"/>
        <w:topLinePunct/>
        <w:spacing w:line="500" w:lineRule="exact"/>
        <w:outlineLvl w:val="9"/>
        <w:rPr>
          <w:rFonts w:ascii="宋体" w:hAnsi="宋体" w:eastAsia="宋体" w:cs="宋体"/>
          <w:sz w:val="24"/>
          <w:szCs w:val="20"/>
          <w:highlight w:val="none"/>
        </w:rPr>
      </w:pPr>
      <w:bookmarkStart w:id="556" w:name="_Toc502396528"/>
      <w:bookmarkStart w:id="557" w:name="_Toc12997"/>
      <w:bookmarkStart w:id="558" w:name="_Toc485740295"/>
      <w:bookmarkStart w:id="559" w:name="_Toc10820"/>
    </w:p>
    <w:bookmarkEnd w:id="556"/>
    <w:bookmarkEnd w:id="557"/>
    <w:bookmarkEnd w:id="558"/>
    <w:bookmarkEnd w:id="559"/>
    <w:p w14:paraId="1370978F">
      <w:pPr>
        <w:wordWrap w:val="0"/>
        <w:topLinePunct/>
        <w:spacing w:line="500" w:lineRule="exact"/>
        <w:jc w:val="center"/>
        <w:rPr>
          <w:rFonts w:ascii="宋体" w:hAnsi="宋体" w:eastAsia="宋体"/>
          <w:b/>
          <w:sz w:val="28"/>
          <w:szCs w:val="28"/>
          <w:highlight w:val="none"/>
        </w:rPr>
      </w:pPr>
    </w:p>
    <w:p w14:paraId="548BF305">
      <w:pPr>
        <w:wordWrap w:val="0"/>
        <w:topLinePunct/>
        <w:spacing w:line="500" w:lineRule="exact"/>
        <w:jc w:val="center"/>
        <w:rPr>
          <w:rFonts w:ascii="宋体" w:hAnsi="宋体" w:eastAsia="宋体"/>
          <w:b/>
          <w:sz w:val="28"/>
          <w:szCs w:val="28"/>
          <w:highlight w:val="none"/>
        </w:rPr>
      </w:pPr>
    </w:p>
    <w:p w14:paraId="3A7B8453">
      <w:pPr>
        <w:keepNext/>
        <w:keepLines/>
        <w:wordWrap w:val="0"/>
        <w:topLinePunct/>
        <w:spacing w:line="500" w:lineRule="exact"/>
        <w:outlineLvl w:val="2"/>
        <w:rPr>
          <w:rFonts w:ascii="宋体" w:hAnsi="宋体" w:eastAsia="宋体" w:cs="宋体"/>
          <w:sz w:val="28"/>
          <w:szCs w:val="28"/>
          <w:highlight w:val="none"/>
        </w:rPr>
      </w:pPr>
      <w:r>
        <w:rPr>
          <w:rFonts w:ascii="宋体" w:hAnsi="宋体" w:eastAsia="宋体" w:cs="宋体"/>
          <w:sz w:val="28"/>
          <w:szCs w:val="28"/>
          <w:highlight w:val="none"/>
        </w:rPr>
        <w:br w:type="page"/>
      </w:r>
      <w:r>
        <w:rPr>
          <w:rFonts w:ascii="宋体" w:hAnsi="宋体" w:eastAsia="宋体" w:cs="宋体"/>
          <w:sz w:val="28"/>
          <w:szCs w:val="28"/>
          <w:highlight w:val="none"/>
        </w:rPr>
        <w:t>附表</w:t>
      </w:r>
      <w:r>
        <w:rPr>
          <w:rFonts w:hint="eastAsia" w:ascii="宋体" w:hAnsi="宋体" w:eastAsia="宋体" w:cs="宋体"/>
          <w:sz w:val="28"/>
          <w:szCs w:val="28"/>
          <w:highlight w:val="none"/>
        </w:rPr>
        <w:t>四</w:t>
      </w:r>
      <w:r>
        <w:rPr>
          <w:rFonts w:ascii="宋体" w:hAnsi="宋体" w:eastAsia="宋体" w:cs="宋体"/>
          <w:sz w:val="28"/>
          <w:szCs w:val="28"/>
          <w:highlight w:val="none"/>
        </w:rPr>
        <w:t>：</w:t>
      </w:r>
      <w:r>
        <w:rPr>
          <w:rFonts w:hint="eastAsia" w:ascii="宋体" w:hAnsi="宋体" w:eastAsia="宋体" w:cs="宋体"/>
          <w:sz w:val="28"/>
          <w:szCs w:val="28"/>
          <w:highlight w:val="none"/>
        </w:rPr>
        <w:t>计划开工日期、完工日期和施工进度网络图</w:t>
      </w:r>
    </w:p>
    <w:p w14:paraId="0B7ADAC7">
      <w:pPr>
        <w:wordWrap w:val="0"/>
        <w:topLinePunct/>
        <w:spacing w:line="500" w:lineRule="exact"/>
        <w:jc w:val="center"/>
        <w:rPr>
          <w:rFonts w:ascii="宋体" w:hAnsi="宋体" w:eastAsia="宋体"/>
          <w:b/>
          <w:sz w:val="28"/>
          <w:szCs w:val="28"/>
          <w:highlight w:val="none"/>
        </w:rPr>
      </w:pPr>
    </w:p>
    <w:p w14:paraId="42B94F83">
      <w:pPr>
        <w:wordWrap w:val="0"/>
        <w:topLinePunct/>
        <w:spacing w:line="500" w:lineRule="exact"/>
        <w:jc w:val="center"/>
        <w:rPr>
          <w:rFonts w:ascii="宋体" w:hAnsi="宋体" w:eastAsia="宋体"/>
          <w:b/>
          <w:sz w:val="28"/>
          <w:szCs w:val="28"/>
          <w:highlight w:val="none"/>
        </w:rPr>
      </w:pPr>
      <w:r>
        <w:rPr>
          <w:rFonts w:ascii="宋体" w:hAnsi="宋体" w:eastAsia="宋体"/>
          <w:b/>
          <w:sz w:val="28"/>
          <w:szCs w:val="28"/>
          <w:highlight w:val="none"/>
        </w:rPr>
        <w:t>计划开</w:t>
      </w:r>
      <w:r>
        <w:rPr>
          <w:rFonts w:hint="eastAsia" w:ascii="宋体" w:hAnsi="宋体" w:eastAsia="宋体"/>
          <w:b/>
          <w:sz w:val="28"/>
          <w:szCs w:val="28"/>
          <w:highlight w:val="none"/>
        </w:rPr>
        <w:t>工日期</w:t>
      </w:r>
      <w:r>
        <w:rPr>
          <w:rFonts w:ascii="宋体" w:hAnsi="宋体" w:eastAsia="宋体"/>
          <w:b/>
          <w:sz w:val="28"/>
          <w:szCs w:val="28"/>
          <w:highlight w:val="none"/>
        </w:rPr>
        <w:t>、</w:t>
      </w:r>
      <w:r>
        <w:rPr>
          <w:rFonts w:hint="eastAsia" w:ascii="宋体" w:hAnsi="宋体" w:eastAsia="宋体"/>
          <w:b/>
          <w:sz w:val="28"/>
          <w:szCs w:val="28"/>
          <w:highlight w:val="none"/>
        </w:rPr>
        <w:t>完工</w:t>
      </w:r>
      <w:r>
        <w:rPr>
          <w:rFonts w:ascii="宋体" w:hAnsi="宋体" w:eastAsia="宋体"/>
          <w:b/>
          <w:sz w:val="28"/>
          <w:szCs w:val="28"/>
          <w:highlight w:val="none"/>
        </w:rPr>
        <w:t>日期和施工进度网络图</w:t>
      </w:r>
    </w:p>
    <w:p w14:paraId="294CB990">
      <w:pPr>
        <w:wordWrap w:val="0"/>
        <w:topLinePunct/>
        <w:spacing w:line="500" w:lineRule="exact"/>
        <w:jc w:val="center"/>
        <w:rPr>
          <w:rFonts w:ascii="宋体" w:hAnsi="宋体" w:eastAsia="宋体"/>
          <w:sz w:val="20"/>
          <w:szCs w:val="20"/>
          <w:highlight w:val="none"/>
        </w:rPr>
      </w:pPr>
    </w:p>
    <w:p w14:paraId="5D0CA33A">
      <w:pPr>
        <w:wordWrap w:val="0"/>
        <w:topLinePunct/>
        <w:spacing w:line="500" w:lineRule="exact"/>
        <w:ind w:firstLine="480" w:firstLineChars="200"/>
        <w:rPr>
          <w:rFonts w:ascii="宋体" w:hAnsi="宋体" w:eastAsia="宋体"/>
          <w:sz w:val="24"/>
          <w:szCs w:val="24"/>
          <w:highlight w:val="none"/>
        </w:rPr>
      </w:pPr>
      <w:r>
        <w:rPr>
          <w:rFonts w:ascii="宋体" w:hAnsi="宋体" w:eastAsia="宋体"/>
          <w:sz w:val="24"/>
          <w:szCs w:val="24"/>
          <w:highlight w:val="none"/>
        </w:rPr>
        <w:t xml:space="preserve">1. </w:t>
      </w:r>
      <w:r>
        <w:rPr>
          <w:rFonts w:hint="eastAsia" w:ascii="宋体" w:hAnsi="宋体" w:eastAsia="宋体"/>
          <w:sz w:val="24"/>
          <w:szCs w:val="24"/>
          <w:highlight w:val="none"/>
        </w:rPr>
        <w:t>供应商</w:t>
      </w:r>
      <w:r>
        <w:rPr>
          <w:rFonts w:ascii="宋体" w:hAnsi="宋体" w:eastAsia="宋体"/>
          <w:sz w:val="24"/>
          <w:szCs w:val="24"/>
          <w:highlight w:val="none"/>
        </w:rPr>
        <w:t>应递交施工进度网络图或施工进度表，说明按磋商文件要求的计划工期进行施工的各个关键日期。</w:t>
      </w:r>
    </w:p>
    <w:p w14:paraId="1820369E">
      <w:pPr>
        <w:wordWrap w:val="0"/>
        <w:topLinePunct/>
        <w:spacing w:line="500" w:lineRule="exact"/>
        <w:ind w:firstLine="480" w:firstLineChars="200"/>
        <w:rPr>
          <w:rFonts w:ascii="宋体" w:hAnsi="宋体" w:eastAsia="宋体"/>
          <w:sz w:val="24"/>
          <w:szCs w:val="24"/>
          <w:highlight w:val="none"/>
        </w:rPr>
      </w:pPr>
      <w:r>
        <w:rPr>
          <w:rFonts w:ascii="宋体" w:hAnsi="宋体" w:eastAsia="宋体"/>
          <w:sz w:val="24"/>
          <w:szCs w:val="24"/>
          <w:highlight w:val="none"/>
        </w:rPr>
        <w:t>2. 施工进度表可采用横道图表示。</w:t>
      </w:r>
    </w:p>
    <w:p w14:paraId="7F2DA551">
      <w:pPr>
        <w:widowControl/>
        <w:jc w:val="left"/>
        <w:rPr>
          <w:rFonts w:ascii="宋体" w:hAnsi="宋体" w:eastAsia="宋体" w:cs="宋体"/>
          <w:sz w:val="28"/>
          <w:szCs w:val="28"/>
          <w:highlight w:val="none"/>
        </w:rPr>
      </w:pPr>
      <w:bookmarkStart w:id="560" w:name="_Toc502396529"/>
      <w:bookmarkStart w:id="561" w:name="_Toc485740296"/>
      <w:bookmarkStart w:id="562" w:name="_Toc11726"/>
      <w:bookmarkStart w:id="563" w:name="_Toc281418005"/>
      <w:bookmarkStart w:id="564" w:name="_Toc266885760"/>
      <w:bookmarkStart w:id="565" w:name="_Toc23373"/>
      <w:bookmarkStart w:id="566" w:name="_Toc221952108"/>
      <w:bookmarkStart w:id="567" w:name="_Toc168476331"/>
      <w:bookmarkStart w:id="568" w:name="_Toc168475928"/>
      <w:bookmarkStart w:id="569" w:name="_Toc144974869"/>
      <w:r>
        <w:rPr>
          <w:rFonts w:ascii="宋体" w:hAnsi="宋体" w:eastAsia="宋体" w:cs="宋体"/>
          <w:sz w:val="28"/>
          <w:szCs w:val="28"/>
          <w:highlight w:val="none"/>
        </w:rPr>
        <w:br w:type="page"/>
      </w:r>
    </w:p>
    <w:p w14:paraId="71B87B68">
      <w:pPr>
        <w:keepNext/>
        <w:keepLines/>
        <w:wordWrap w:val="0"/>
        <w:topLinePunct/>
        <w:spacing w:line="500" w:lineRule="exact"/>
        <w:outlineLvl w:val="2"/>
        <w:rPr>
          <w:rFonts w:ascii="宋体" w:hAnsi="宋体" w:eastAsia="宋体" w:cs="宋体"/>
          <w:sz w:val="28"/>
          <w:szCs w:val="28"/>
          <w:highlight w:val="none"/>
        </w:rPr>
      </w:pPr>
      <w:r>
        <w:rPr>
          <w:rFonts w:ascii="宋体" w:hAnsi="宋体" w:eastAsia="宋体" w:cs="宋体"/>
          <w:sz w:val="28"/>
          <w:szCs w:val="28"/>
          <w:highlight w:val="none"/>
        </w:rPr>
        <w:t>附表五：</w:t>
      </w:r>
      <w:r>
        <w:rPr>
          <w:rFonts w:hint="eastAsia" w:ascii="宋体" w:hAnsi="宋体" w:eastAsia="宋体" w:cs="宋体"/>
          <w:sz w:val="28"/>
          <w:szCs w:val="28"/>
          <w:highlight w:val="none"/>
        </w:rPr>
        <w:t>施工总平面图</w:t>
      </w:r>
      <w:bookmarkEnd w:id="560"/>
      <w:bookmarkEnd w:id="561"/>
      <w:bookmarkEnd w:id="562"/>
      <w:bookmarkEnd w:id="563"/>
      <w:bookmarkEnd w:id="564"/>
      <w:bookmarkEnd w:id="565"/>
    </w:p>
    <w:p w14:paraId="167B8F4C">
      <w:pPr>
        <w:wordWrap w:val="0"/>
        <w:topLinePunct/>
        <w:spacing w:line="500" w:lineRule="exact"/>
        <w:jc w:val="center"/>
        <w:rPr>
          <w:rFonts w:ascii="宋体" w:hAnsi="宋体" w:eastAsia="宋体"/>
          <w:b/>
          <w:sz w:val="28"/>
          <w:szCs w:val="28"/>
          <w:highlight w:val="none"/>
        </w:rPr>
      </w:pPr>
      <w:bookmarkStart w:id="570" w:name="_Toc266113460"/>
      <w:bookmarkStart w:id="571" w:name="_Toc266524776"/>
      <w:r>
        <w:rPr>
          <w:rFonts w:ascii="宋体" w:hAnsi="宋体" w:eastAsia="宋体"/>
          <w:b/>
          <w:sz w:val="28"/>
          <w:szCs w:val="28"/>
          <w:highlight w:val="none"/>
        </w:rPr>
        <w:t>施工总平面图</w:t>
      </w:r>
      <w:bookmarkEnd w:id="566"/>
      <w:bookmarkEnd w:id="567"/>
      <w:bookmarkEnd w:id="568"/>
      <w:bookmarkEnd w:id="569"/>
      <w:bookmarkEnd w:id="570"/>
      <w:bookmarkEnd w:id="571"/>
    </w:p>
    <w:p w14:paraId="7641886D">
      <w:pPr>
        <w:wordWrap w:val="0"/>
        <w:topLinePunct/>
        <w:spacing w:line="500" w:lineRule="exact"/>
        <w:rPr>
          <w:rFonts w:ascii="宋体" w:hAnsi="宋体" w:eastAsia="宋体"/>
          <w:sz w:val="24"/>
          <w:szCs w:val="24"/>
          <w:highlight w:val="none"/>
        </w:rPr>
      </w:pPr>
      <w:r>
        <w:rPr>
          <w:rFonts w:ascii="宋体" w:hAnsi="宋体" w:eastAsia="宋体"/>
          <w:sz w:val="24"/>
          <w:szCs w:val="24"/>
          <w:highlight w:val="none"/>
        </w:rPr>
        <w:tab/>
      </w:r>
    </w:p>
    <w:p w14:paraId="0283683B">
      <w:pPr>
        <w:autoSpaceDE w:val="0"/>
        <w:autoSpaceDN w:val="0"/>
        <w:adjustRightInd w:val="0"/>
        <w:spacing w:line="360" w:lineRule="auto"/>
        <w:ind w:firstLine="566" w:firstLineChars="236"/>
        <w:jc w:val="left"/>
        <w:rPr>
          <w:rFonts w:ascii="宋体" w:hAnsi="宋体" w:eastAsia="宋体" w:cs="黑体"/>
          <w:b/>
          <w:kern w:val="0"/>
          <w:sz w:val="28"/>
          <w:szCs w:val="28"/>
          <w:highlight w:val="none"/>
        </w:rPr>
      </w:pPr>
      <w:bookmarkStart w:id="572" w:name="_Toc221952109"/>
      <w:r>
        <w:rPr>
          <w:rFonts w:hint="eastAsia" w:ascii="宋体" w:hAnsi="宋体" w:eastAsia="宋体" w:cs="宋体"/>
          <w:sz w:val="24"/>
          <w:szCs w:val="24"/>
          <w:highlight w:val="none"/>
        </w:rPr>
        <w:t>供应商</w:t>
      </w:r>
      <w:r>
        <w:rPr>
          <w:rFonts w:ascii="宋体" w:hAnsi="宋体" w:eastAsia="宋体" w:cs="宋体"/>
          <w:sz w:val="24"/>
          <w:szCs w:val="24"/>
          <w:highlight w:val="none"/>
        </w:rPr>
        <w:t>应递交一份施工总平面图，绘出现场临时设施布置图</w:t>
      </w:r>
      <w:r>
        <w:rPr>
          <w:rFonts w:hint="eastAsia" w:ascii="宋体" w:hAnsi="宋体" w:eastAsia="宋体" w:cs="宋体"/>
          <w:sz w:val="24"/>
          <w:szCs w:val="24"/>
          <w:highlight w:val="none"/>
        </w:rPr>
        <w:t>及</w:t>
      </w:r>
      <w:r>
        <w:rPr>
          <w:rFonts w:ascii="宋体" w:hAnsi="宋体" w:eastAsia="宋体" w:cs="宋体"/>
          <w:sz w:val="24"/>
          <w:szCs w:val="24"/>
          <w:highlight w:val="none"/>
        </w:rPr>
        <w:t>表并附文字说明，说明临时设施、加工车间、现场办公、设备及仓储、供电、供水、卫生、生活、道路、消防等设施的情况和布置。</w:t>
      </w:r>
      <w:bookmarkEnd w:id="572"/>
    </w:p>
    <w:p w14:paraId="04FFB103">
      <w:pPr>
        <w:spacing w:line="360" w:lineRule="auto"/>
        <w:rPr>
          <w:rFonts w:ascii="宋体" w:hAnsi="宋体" w:eastAsia="宋体" w:cs="宋体"/>
          <w:sz w:val="28"/>
          <w:szCs w:val="28"/>
          <w:highlight w:val="none"/>
        </w:rPr>
      </w:pPr>
      <w:bookmarkStart w:id="573" w:name="_Toc23774498"/>
      <w:r>
        <w:rPr>
          <w:rFonts w:ascii="宋体" w:hAnsi="宋体" w:eastAsia="宋体" w:cs="宋体"/>
          <w:szCs w:val="21"/>
          <w:highlight w:val="none"/>
        </w:rPr>
        <w:br w:type="page"/>
      </w:r>
    </w:p>
    <w:p w14:paraId="2EA7ADFF">
      <w:pPr>
        <w:widowControl/>
        <w:jc w:val="left"/>
        <w:rPr>
          <w:rFonts w:ascii="宋体" w:hAnsi="宋体" w:eastAsia="宋体" w:cs="宋体"/>
          <w:szCs w:val="21"/>
          <w:highlight w:val="none"/>
        </w:rPr>
      </w:pPr>
    </w:p>
    <w:p w14:paraId="77AB4E2C">
      <w:pPr>
        <w:keepNext/>
        <w:keepLines/>
        <w:numPr>
          <w:ilvl w:val="0"/>
          <w:numId w:val="12"/>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项目管理机构</w:t>
      </w:r>
      <w:bookmarkEnd w:id="573"/>
    </w:p>
    <w:p w14:paraId="1B1E2FB1">
      <w:pPr>
        <w:wordWrap w:val="0"/>
        <w:topLinePunct/>
        <w:spacing w:line="360" w:lineRule="auto"/>
        <w:rPr>
          <w:rFonts w:ascii="宋体" w:hAnsi="宋体" w:eastAsia="宋体" w:cs="宋体"/>
          <w:b/>
          <w:sz w:val="28"/>
          <w:szCs w:val="28"/>
          <w:highlight w:val="none"/>
        </w:rPr>
      </w:pPr>
      <w:r>
        <w:rPr>
          <w:rFonts w:hint="eastAsia" w:ascii="宋体" w:hAnsi="宋体" w:eastAsia="宋体" w:cs="宋体"/>
          <w:b/>
          <w:sz w:val="28"/>
          <w:szCs w:val="28"/>
          <w:highlight w:val="none"/>
        </w:rPr>
        <w:t>（一）项目管理机构组成表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1"/>
        <w:gridCol w:w="770"/>
        <w:gridCol w:w="1743"/>
        <w:gridCol w:w="1134"/>
        <w:gridCol w:w="993"/>
        <w:gridCol w:w="2290"/>
        <w:gridCol w:w="769"/>
      </w:tblGrid>
      <w:tr w14:paraId="00BD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restart"/>
            <w:noWrap w:val="0"/>
            <w:vAlign w:val="center"/>
          </w:tcPr>
          <w:p w14:paraId="5433183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职务</w:t>
            </w:r>
          </w:p>
        </w:tc>
        <w:tc>
          <w:tcPr>
            <w:tcW w:w="771" w:type="dxa"/>
            <w:vMerge w:val="restart"/>
            <w:noWrap w:val="0"/>
            <w:vAlign w:val="center"/>
          </w:tcPr>
          <w:p w14:paraId="5BE212D9">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770" w:type="dxa"/>
            <w:vMerge w:val="restart"/>
            <w:noWrap w:val="0"/>
            <w:vAlign w:val="center"/>
          </w:tcPr>
          <w:p w14:paraId="004A542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职称</w:t>
            </w:r>
          </w:p>
        </w:tc>
        <w:tc>
          <w:tcPr>
            <w:tcW w:w="6160" w:type="dxa"/>
            <w:gridSpan w:val="4"/>
            <w:noWrap w:val="0"/>
            <w:vAlign w:val="center"/>
          </w:tcPr>
          <w:p w14:paraId="35ACBF49">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执业或职业资格证明</w:t>
            </w:r>
          </w:p>
        </w:tc>
        <w:tc>
          <w:tcPr>
            <w:tcW w:w="769" w:type="dxa"/>
            <w:vMerge w:val="restart"/>
            <w:noWrap w:val="0"/>
            <w:vAlign w:val="center"/>
          </w:tcPr>
          <w:p w14:paraId="28E71F60">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r>
      <w:tr w14:paraId="7056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continue"/>
            <w:noWrap w:val="0"/>
            <w:vAlign w:val="center"/>
          </w:tcPr>
          <w:p w14:paraId="26228E56">
            <w:pPr>
              <w:wordWrap w:val="0"/>
              <w:topLinePunct/>
              <w:spacing w:line="360" w:lineRule="auto"/>
              <w:jc w:val="center"/>
              <w:rPr>
                <w:rFonts w:ascii="宋体" w:hAnsi="宋体" w:eastAsia="宋体" w:cs="宋体"/>
                <w:sz w:val="28"/>
                <w:szCs w:val="28"/>
                <w:highlight w:val="none"/>
              </w:rPr>
            </w:pPr>
          </w:p>
        </w:tc>
        <w:tc>
          <w:tcPr>
            <w:tcW w:w="771" w:type="dxa"/>
            <w:vMerge w:val="continue"/>
            <w:noWrap w:val="0"/>
            <w:vAlign w:val="center"/>
          </w:tcPr>
          <w:p w14:paraId="7099002C">
            <w:pPr>
              <w:wordWrap w:val="0"/>
              <w:topLinePunct/>
              <w:spacing w:line="360" w:lineRule="auto"/>
              <w:jc w:val="center"/>
              <w:rPr>
                <w:rFonts w:ascii="宋体" w:hAnsi="宋体" w:eastAsia="宋体" w:cs="宋体"/>
                <w:sz w:val="28"/>
                <w:szCs w:val="28"/>
                <w:highlight w:val="none"/>
              </w:rPr>
            </w:pPr>
          </w:p>
        </w:tc>
        <w:tc>
          <w:tcPr>
            <w:tcW w:w="770" w:type="dxa"/>
            <w:vMerge w:val="continue"/>
            <w:noWrap w:val="0"/>
            <w:vAlign w:val="center"/>
          </w:tcPr>
          <w:p w14:paraId="6A1DEEB0">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4574D4E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证书名称</w:t>
            </w:r>
          </w:p>
        </w:tc>
        <w:tc>
          <w:tcPr>
            <w:tcW w:w="1134" w:type="dxa"/>
            <w:noWrap w:val="0"/>
            <w:vAlign w:val="center"/>
          </w:tcPr>
          <w:p w14:paraId="6B322C52">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993" w:type="dxa"/>
            <w:noWrap w:val="0"/>
            <w:vAlign w:val="center"/>
          </w:tcPr>
          <w:p w14:paraId="0A464B0E">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证号</w:t>
            </w:r>
          </w:p>
        </w:tc>
        <w:tc>
          <w:tcPr>
            <w:tcW w:w="2290" w:type="dxa"/>
            <w:noWrap w:val="0"/>
            <w:vAlign w:val="center"/>
          </w:tcPr>
          <w:p w14:paraId="3EF1BAA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专业 </w:t>
            </w:r>
          </w:p>
        </w:tc>
        <w:tc>
          <w:tcPr>
            <w:tcW w:w="769" w:type="dxa"/>
            <w:vMerge w:val="continue"/>
            <w:noWrap w:val="0"/>
            <w:vAlign w:val="center"/>
          </w:tcPr>
          <w:p w14:paraId="7EE2A707">
            <w:pPr>
              <w:wordWrap w:val="0"/>
              <w:topLinePunct/>
              <w:spacing w:line="360" w:lineRule="auto"/>
              <w:jc w:val="center"/>
              <w:rPr>
                <w:rFonts w:ascii="宋体" w:hAnsi="宋体" w:eastAsia="宋体" w:cs="宋体"/>
                <w:sz w:val="28"/>
                <w:szCs w:val="28"/>
                <w:highlight w:val="none"/>
              </w:rPr>
            </w:pPr>
          </w:p>
        </w:tc>
      </w:tr>
      <w:tr w14:paraId="704A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06234F3C">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02D41F63">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41F600BF">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49722DA2">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2BBC4BCF">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7DCC4183">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61673E66">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1EB5C8F3">
            <w:pPr>
              <w:wordWrap w:val="0"/>
              <w:topLinePunct/>
              <w:spacing w:line="360" w:lineRule="auto"/>
              <w:jc w:val="center"/>
              <w:rPr>
                <w:rFonts w:ascii="宋体" w:hAnsi="宋体" w:eastAsia="宋体" w:cs="宋体"/>
                <w:sz w:val="28"/>
                <w:szCs w:val="28"/>
                <w:highlight w:val="none"/>
              </w:rPr>
            </w:pPr>
          </w:p>
        </w:tc>
      </w:tr>
      <w:tr w14:paraId="6A3B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42C2D133">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0CD9EF14">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5EE416DF">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3689B0F9">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29B6540D">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78CFDC9C">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21085774">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2C64CFBD">
            <w:pPr>
              <w:wordWrap w:val="0"/>
              <w:topLinePunct/>
              <w:spacing w:line="360" w:lineRule="auto"/>
              <w:jc w:val="center"/>
              <w:rPr>
                <w:rFonts w:ascii="宋体" w:hAnsi="宋体" w:eastAsia="宋体" w:cs="宋体"/>
                <w:sz w:val="28"/>
                <w:szCs w:val="28"/>
                <w:highlight w:val="none"/>
              </w:rPr>
            </w:pPr>
          </w:p>
        </w:tc>
      </w:tr>
      <w:tr w14:paraId="1C7C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49B4D3F0">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62930F45">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53955170">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00C28949">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5B6AA88E">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3E41FDCB">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09F9BF0F">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62149CF4">
            <w:pPr>
              <w:wordWrap w:val="0"/>
              <w:topLinePunct/>
              <w:spacing w:line="360" w:lineRule="auto"/>
              <w:jc w:val="center"/>
              <w:rPr>
                <w:rFonts w:ascii="宋体" w:hAnsi="宋体" w:eastAsia="宋体" w:cs="宋体"/>
                <w:sz w:val="28"/>
                <w:szCs w:val="28"/>
                <w:highlight w:val="none"/>
              </w:rPr>
            </w:pPr>
          </w:p>
        </w:tc>
      </w:tr>
      <w:tr w14:paraId="7264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4B4810E5">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63AEDEA5">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7A0ED896">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75A645D1">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6F825CD9">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1682B40A">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457857B7">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323721A9">
            <w:pPr>
              <w:wordWrap w:val="0"/>
              <w:topLinePunct/>
              <w:spacing w:line="360" w:lineRule="auto"/>
              <w:jc w:val="center"/>
              <w:rPr>
                <w:rFonts w:ascii="宋体" w:hAnsi="宋体" w:eastAsia="宋体" w:cs="宋体"/>
                <w:sz w:val="28"/>
                <w:szCs w:val="28"/>
                <w:highlight w:val="none"/>
              </w:rPr>
            </w:pPr>
          </w:p>
        </w:tc>
      </w:tr>
      <w:tr w14:paraId="2F3E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329847F2">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75C18BDC">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5FD5A6A3">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64BAD1B6">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12D615C1">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2A561D20">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011322C7">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4FC6472D">
            <w:pPr>
              <w:wordWrap w:val="0"/>
              <w:topLinePunct/>
              <w:spacing w:line="360" w:lineRule="auto"/>
              <w:jc w:val="center"/>
              <w:rPr>
                <w:rFonts w:ascii="宋体" w:hAnsi="宋体" w:eastAsia="宋体" w:cs="宋体"/>
                <w:sz w:val="28"/>
                <w:szCs w:val="28"/>
                <w:highlight w:val="none"/>
              </w:rPr>
            </w:pPr>
          </w:p>
        </w:tc>
      </w:tr>
      <w:tr w14:paraId="6ADF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599F196D">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6BA4048D">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529CE854">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11273108">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2883F1C5">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10A20697">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1FB9D939">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7E3154A6">
            <w:pPr>
              <w:wordWrap w:val="0"/>
              <w:topLinePunct/>
              <w:spacing w:line="360" w:lineRule="auto"/>
              <w:jc w:val="center"/>
              <w:rPr>
                <w:rFonts w:ascii="宋体" w:hAnsi="宋体" w:eastAsia="宋体" w:cs="宋体"/>
                <w:sz w:val="28"/>
                <w:szCs w:val="28"/>
                <w:highlight w:val="none"/>
              </w:rPr>
            </w:pPr>
          </w:p>
        </w:tc>
      </w:tr>
      <w:tr w14:paraId="2BA1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1FAFBCCC">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32CE7CB3">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5B7D8092">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78E976FD">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7FE3641E">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30031B07">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17D97831">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6F9AE6E1">
            <w:pPr>
              <w:wordWrap w:val="0"/>
              <w:topLinePunct/>
              <w:spacing w:line="360" w:lineRule="auto"/>
              <w:jc w:val="center"/>
              <w:rPr>
                <w:rFonts w:ascii="宋体" w:hAnsi="宋体" w:eastAsia="宋体" w:cs="宋体"/>
                <w:sz w:val="28"/>
                <w:szCs w:val="28"/>
                <w:highlight w:val="none"/>
              </w:rPr>
            </w:pPr>
          </w:p>
        </w:tc>
      </w:tr>
      <w:tr w14:paraId="7762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42E65084">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5D9AED99">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04BF4E64">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40301005">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6298B989">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7250AE70">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06DDDD8E">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33C2B420">
            <w:pPr>
              <w:wordWrap w:val="0"/>
              <w:topLinePunct/>
              <w:spacing w:line="360" w:lineRule="auto"/>
              <w:jc w:val="center"/>
              <w:rPr>
                <w:rFonts w:ascii="宋体" w:hAnsi="宋体" w:eastAsia="宋体" w:cs="宋体"/>
                <w:sz w:val="28"/>
                <w:szCs w:val="28"/>
                <w:highlight w:val="none"/>
              </w:rPr>
            </w:pPr>
          </w:p>
        </w:tc>
      </w:tr>
      <w:tr w14:paraId="135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1BA7A18A">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23B25946">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6FDF6E1A">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767B7A44">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68408461">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15CFEF4B">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498611D0">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75F7A03C">
            <w:pPr>
              <w:wordWrap w:val="0"/>
              <w:topLinePunct/>
              <w:spacing w:line="360" w:lineRule="auto"/>
              <w:jc w:val="center"/>
              <w:rPr>
                <w:rFonts w:ascii="宋体" w:hAnsi="宋体" w:eastAsia="宋体" w:cs="宋体"/>
                <w:sz w:val="28"/>
                <w:szCs w:val="28"/>
                <w:highlight w:val="none"/>
              </w:rPr>
            </w:pPr>
          </w:p>
        </w:tc>
      </w:tr>
      <w:tr w14:paraId="6A76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228D15D0">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098AA219">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20E75A1B">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75738747">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5E9CA5CE">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5A5B8156">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6B13B0BC">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769DD1D3">
            <w:pPr>
              <w:wordWrap w:val="0"/>
              <w:topLinePunct/>
              <w:spacing w:line="360" w:lineRule="auto"/>
              <w:jc w:val="center"/>
              <w:rPr>
                <w:rFonts w:ascii="宋体" w:hAnsi="宋体" w:eastAsia="宋体" w:cs="宋体"/>
                <w:sz w:val="28"/>
                <w:szCs w:val="28"/>
                <w:highlight w:val="none"/>
              </w:rPr>
            </w:pPr>
          </w:p>
        </w:tc>
      </w:tr>
      <w:tr w14:paraId="4A1A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0C0CC8B3">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124CD794">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1C8CB7E4">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69FB8349">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655049AD">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374CB72A">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50F80307">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131A36F2">
            <w:pPr>
              <w:wordWrap w:val="0"/>
              <w:topLinePunct/>
              <w:spacing w:line="360" w:lineRule="auto"/>
              <w:jc w:val="center"/>
              <w:rPr>
                <w:rFonts w:ascii="宋体" w:hAnsi="宋体" w:eastAsia="宋体" w:cs="宋体"/>
                <w:sz w:val="28"/>
                <w:szCs w:val="28"/>
                <w:highlight w:val="none"/>
              </w:rPr>
            </w:pPr>
          </w:p>
        </w:tc>
      </w:tr>
      <w:tr w14:paraId="0FFC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022C6AD0">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144197BF">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3A2F6584">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6A612508">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72DCD94D">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374933A1">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799045B8">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1922922A">
            <w:pPr>
              <w:wordWrap w:val="0"/>
              <w:topLinePunct/>
              <w:spacing w:line="360" w:lineRule="auto"/>
              <w:jc w:val="center"/>
              <w:rPr>
                <w:rFonts w:ascii="宋体" w:hAnsi="宋体" w:eastAsia="宋体" w:cs="宋体"/>
                <w:sz w:val="28"/>
                <w:szCs w:val="28"/>
                <w:highlight w:val="none"/>
              </w:rPr>
            </w:pPr>
          </w:p>
        </w:tc>
      </w:tr>
      <w:tr w14:paraId="2B5D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534B2A4D">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0EF0A15C">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1F5EFB4E">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13A8E096">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6ADC5E72">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7D88CDEC">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655ADD92">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2EC39622">
            <w:pPr>
              <w:wordWrap w:val="0"/>
              <w:topLinePunct/>
              <w:spacing w:line="360" w:lineRule="auto"/>
              <w:jc w:val="center"/>
              <w:rPr>
                <w:rFonts w:ascii="宋体" w:hAnsi="宋体" w:eastAsia="宋体" w:cs="宋体"/>
                <w:sz w:val="28"/>
                <w:szCs w:val="28"/>
                <w:highlight w:val="none"/>
              </w:rPr>
            </w:pPr>
          </w:p>
        </w:tc>
      </w:tr>
      <w:tr w14:paraId="11DB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noWrap w:val="0"/>
            <w:vAlign w:val="center"/>
          </w:tcPr>
          <w:p w14:paraId="4CBC7F45">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64CBAC42">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4A5FE9C4">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016BE1FF">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4D14090F">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39EDE175">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1816420C">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407C5CC6">
            <w:pPr>
              <w:wordWrap w:val="0"/>
              <w:topLinePunct/>
              <w:spacing w:line="360" w:lineRule="auto"/>
              <w:jc w:val="center"/>
              <w:rPr>
                <w:rFonts w:ascii="宋体" w:hAnsi="宋体" w:eastAsia="宋体" w:cs="宋体"/>
                <w:sz w:val="28"/>
                <w:szCs w:val="28"/>
                <w:highlight w:val="none"/>
              </w:rPr>
            </w:pPr>
          </w:p>
        </w:tc>
      </w:tr>
      <w:tr w14:paraId="643A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0" w:type="dxa"/>
            <w:noWrap w:val="0"/>
            <w:vAlign w:val="center"/>
          </w:tcPr>
          <w:p w14:paraId="42DADFE8">
            <w:pPr>
              <w:wordWrap w:val="0"/>
              <w:topLinePunct/>
              <w:spacing w:line="360" w:lineRule="auto"/>
              <w:jc w:val="center"/>
              <w:rPr>
                <w:rFonts w:ascii="宋体" w:hAnsi="宋体" w:eastAsia="宋体" w:cs="宋体"/>
                <w:sz w:val="28"/>
                <w:szCs w:val="28"/>
                <w:highlight w:val="none"/>
              </w:rPr>
            </w:pPr>
          </w:p>
        </w:tc>
        <w:tc>
          <w:tcPr>
            <w:tcW w:w="771" w:type="dxa"/>
            <w:noWrap w:val="0"/>
            <w:vAlign w:val="center"/>
          </w:tcPr>
          <w:p w14:paraId="425B04C1">
            <w:pPr>
              <w:wordWrap w:val="0"/>
              <w:topLinePunct/>
              <w:spacing w:line="360" w:lineRule="auto"/>
              <w:jc w:val="center"/>
              <w:rPr>
                <w:rFonts w:ascii="宋体" w:hAnsi="宋体" w:eastAsia="宋体" w:cs="宋体"/>
                <w:sz w:val="28"/>
                <w:szCs w:val="28"/>
                <w:highlight w:val="none"/>
              </w:rPr>
            </w:pPr>
          </w:p>
        </w:tc>
        <w:tc>
          <w:tcPr>
            <w:tcW w:w="770" w:type="dxa"/>
            <w:noWrap w:val="0"/>
            <w:vAlign w:val="center"/>
          </w:tcPr>
          <w:p w14:paraId="3AE1454E">
            <w:pPr>
              <w:wordWrap w:val="0"/>
              <w:topLinePunct/>
              <w:spacing w:line="360" w:lineRule="auto"/>
              <w:jc w:val="center"/>
              <w:rPr>
                <w:rFonts w:ascii="宋体" w:hAnsi="宋体" w:eastAsia="宋体" w:cs="宋体"/>
                <w:sz w:val="28"/>
                <w:szCs w:val="28"/>
                <w:highlight w:val="none"/>
              </w:rPr>
            </w:pPr>
          </w:p>
        </w:tc>
        <w:tc>
          <w:tcPr>
            <w:tcW w:w="1743" w:type="dxa"/>
            <w:noWrap w:val="0"/>
            <w:vAlign w:val="center"/>
          </w:tcPr>
          <w:p w14:paraId="146869A4">
            <w:pPr>
              <w:wordWrap w:val="0"/>
              <w:topLinePunct/>
              <w:spacing w:line="360" w:lineRule="auto"/>
              <w:jc w:val="center"/>
              <w:rPr>
                <w:rFonts w:ascii="宋体" w:hAnsi="宋体" w:eastAsia="宋体" w:cs="宋体"/>
                <w:sz w:val="28"/>
                <w:szCs w:val="28"/>
                <w:highlight w:val="none"/>
              </w:rPr>
            </w:pPr>
          </w:p>
        </w:tc>
        <w:tc>
          <w:tcPr>
            <w:tcW w:w="1134" w:type="dxa"/>
            <w:noWrap w:val="0"/>
            <w:vAlign w:val="center"/>
          </w:tcPr>
          <w:p w14:paraId="3353B6EA">
            <w:pPr>
              <w:wordWrap w:val="0"/>
              <w:topLinePunct/>
              <w:spacing w:line="360" w:lineRule="auto"/>
              <w:jc w:val="center"/>
              <w:rPr>
                <w:rFonts w:ascii="宋体" w:hAnsi="宋体" w:eastAsia="宋体" w:cs="宋体"/>
                <w:sz w:val="28"/>
                <w:szCs w:val="28"/>
                <w:highlight w:val="none"/>
              </w:rPr>
            </w:pPr>
          </w:p>
        </w:tc>
        <w:tc>
          <w:tcPr>
            <w:tcW w:w="993" w:type="dxa"/>
            <w:noWrap w:val="0"/>
            <w:vAlign w:val="center"/>
          </w:tcPr>
          <w:p w14:paraId="14EB05D2">
            <w:pPr>
              <w:wordWrap w:val="0"/>
              <w:topLinePunct/>
              <w:spacing w:line="360" w:lineRule="auto"/>
              <w:jc w:val="center"/>
              <w:rPr>
                <w:rFonts w:ascii="宋体" w:hAnsi="宋体" w:eastAsia="宋体" w:cs="宋体"/>
                <w:sz w:val="28"/>
                <w:szCs w:val="28"/>
                <w:highlight w:val="none"/>
              </w:rPr>
            </w:pPr>
          </w:p>
        </w:tc>
        <w:tc>
          <w:tcPr>
            <w:tcW w:w="2290" w:type="dxa"/>
            <w:noWrap w:val="0"/>
            <w:vAlign w:val="center"/>
          </w:tcPr>
          <w:p w14:paraId="78173058">
            <w:pPr>
              <w:wordWrap w:val="0"/>
              <w:topLinePunct/>
              <w:spacing w:line="360" w:lineRule="auto"/>
              <w:jc w:val="center"/>
              <w:rPr>
                <w:rFonts w:ascii="宋体" w:hAnsi="宋体" w:eastAsia="宋体" w:cs="宋体"/>
                <w:sz w:val="28"/>
                <w:szCs w:val="28"/>
                <w:highlight w:val="none"/>
              </w:rPr>
            </w:pPr>
          </w:p>
        </w:tc>
        <w:tc>
          <w:tcPr>
            <w:tcW w:w="769" w:type="dxa"/>
            <w:noWrap w:val="0"/>
            <w:vAlign w:val="center"/>
          </w:tcPr>
          <w:p w14:paraId="6ED59C3A">
            <w:pPr>
              <w:wordWrap w:val="0"/>
              <w:topLinePunct/>
              <w:spacing w:line="360" w:lineRule="auto"/>
              <w:jc w:val="center"/>
              <w:rPr>
                <w:rFonts w:ascii="宋体" w:hAnsi="宋体" w:eastAsia="宋体" w:cs="宋体"/>
                <w:sz w:val="28"/>
                <w:szCs w:val="28"/>
                <w:highlight w:val="none"/>
              </w:rPr>
            </w:pPr>
          </w:p>
        </w:tc>
      </w:tr>
    </w:tbl>
    <w:p w14:paraId="2C1F7281">
      <w:pPr>
        <w:wordWrap w:val="0"/>
        <w:topLinePunct/>
        <w:spacing w:line="360" w:lineRule="auto"/>
        <w:rPr>
          <w:rFonts w:ascii="宋体" w:hAnsi="宋体" w:eastAsia="宋体" w:cs="宋体"/>
          <w:szCs w:val="21"/>
          <w:highlight w:val="none"/>
        </w:rPr>
      </w:pPr>
    </w:p>
    <w:p w14:paraId="477DC8FD">
      <w:pPr>
        <w:wordWrap w:val="0"/>
        <w:topLinePunct/>
        <w:spacing w:line="360" w:lineRule="auto"/>
        <w:rPr>
          <w:rFonts w:ascii="宋体" w:hAnsi="宋体" w:eastAsia="宋体" w:cs="宋体"/>
          <w:b/>
          <w:sz w:val="28"/>
          <w:szCs w:val="28"/>
          <w:highlight w:val="none"/>
        </w:rPr>
      </w:pPr>
      <w:r>
        <w:rPr>
          <w:rFonts w:ascii="宋体" w:hAnsi="宋体" w:eastAsia="宋体" w:cs="宋体"/>
          <w:szCs w:val="21"/>
          <w:highlight w:val="none"/>
        </w:rPr>
        <w:br w:type="page"/>
      </w:r>
      <w:r>
        <w:rPr>
          <w:rFonts w:hint="eastAsia" w:ascii="宋体" w:hAnsi="宋体" w:eastAsia="宋体" w:cs="宋体"/>
          <w:b/>
          <w:sz w:val="28"/>
          <w:szCs w:val="28"/>
          <w:highlight w:val="none"/>
        </w:rPr>
        <w:t>（二）主要人员简历表</w:t>
      </w:r>
    </w:p>
    <w:p w14:paraId="6A505B5E">
      <w:pPr>
        <w:wordWrap w:val="0"/>
        <w:topLinePunct/>
        <w:spacing w:before="156" w:beforeLines="50" w:after="312" w:afterLines="100"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附1：项目经理简历表</w:t>
      </w:r>
    </w:p>
    <w:p w14:paraId="141F7A25">
      <w:pPr>
        <w:adjustRightInd w:val="0"/>
        <w:snapToGrid w:val="0"/>
        <w:spacing w:line="360" w:lineRule="auto"/>
        <w:ind w:firstLine="560" w:firstLineChars="200"/>
        <w:rPr>
          <w:rFonts w:ascii="宋体" w:hAnsi="宋体" w:eastAsia="宋体" w:cs="宋体"/>
          <w:sz w:val="28"/>
          <w:szCs w:val="28"/>
          <w:highlight w:val="none"/>
        </w:rPr>
      </w:pPr>
      <w:r>
        <w:rPr>
          <w:rFonts w:hint="eastAsia" w:ascii="宋体" w:hAnsi="宋体" w:eastAsia="宋体" w:cs="宋体"/>
          <w:bCs/>
          <w:sz w:val="28"/>
          <w:szCs w:val="28"/>
          <w:highlight w:val="none"/>
        </w:rPr>
        <w:t>“主要人员简历表”中的项目经理应附注册建造师证、安全生产考核合格证、无在建工程承诺书等扫描件。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054"/>
        <w:gridCol w:w="1155"/>
        <w:gridCol w:w="1299"/>
        <w:gridCol w:w="1876"/>
        <w:gridCol w:w="2165"/>
      </w:tblGrid>
      <w:tr w14:paraId="0BBA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noWrap w:val="0"/>
            <w:vAlign w:val="center"/>
          </w:tcPr>
          <w:p w14:paraId="4D893BA9">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姓  名</w:t>
            </w:r>
          </w:p>
        </w:tc>
        <w:tc>
          <w:tcPr>
            <w:tcW w:w="1054" w:type="dxa"/>
            <w:noWrap w:val="0"/>
            <w:vAlign w:val="center"/>
          </w:tcPr>
          <w:p w14:paraId="7C2F778F">
            <w:pPr>
              <w:wordWrap w:val="0"/>
              <w:topLinePunct/>
              <w:spacing w:line="360" w:lineRule="auto"/>
              <w:jc w:val="center"/>
              <w:rPr>
                <w:rFonts w:ascii="宋体" w:hAnsi="宋体" w:eastAsia="宋体" w:cs="宋体"/>
                <w:sz w:val="28"/>
                <w:szCs w:val="28"/>
                <w:highlight w:val="none"/>
              </w:rPr>
            </w:pPr>
          </w:p>
        </w:tc>
        <w:tc>
          <w:tcPr>
            <w:tcW w:w="1155" w:type="dxa"/>
            <w:noWrap w:val="0"/>
            <w:vAlign w:val="center"/>
          </w:tcPr>
          <w:p w14:paraId="14C1810B">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年  龄</w:t>
            </w:r>
          </w:p>
        </w:tc>
        <w:tc>
          <w:tcPr>
            <w:tcW w:w="1299" w:type="dxa"/>
            <w:noWrap w:val="0"/>
            <w:vAlign w:val="center"/>
          </w:tcPr>
          <w:p w14:paraId="70CF6BA7">
            <w:pPr>
              <w:wordWrap w:val="0"/>
              <w:topLinePunct/>
              <w:spacing w:line="360" w:lineRule="auto"/>
              <w:jc w:val="center"/>
              <w:rPr>
                <w:rFonts w:ascii="宋体" w:hAnsi="宋体" w:eastAsia="宋体" w:cs="宋体"/>
                <w:sz w:val="28"/>
                <w:szCs w:val="28"/>
                <w:highlight w:val="none"/>
              </w:rPr>
            </w:pPr>
          </w:p>
        </w:tc>
        <w:tc>
          <w:tcPr>
            <w:tcW w:w="1876" w:type="dxa"/>
            <w:noWrap w:val="0"/>
            <w:vAlign w:val="center"/>
          </w:tcPr>
          <w:p w14:paraId="5917DFB8">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学历</w:t>
            </w:r>
          </w:p>
        </w:tc>
        <w:tc>
          <w:tcPr>
            <w:tcW w:w="2165" w:type="dxa"/>
            <w:noWrap w:val="0"/>
            <w:vAlign w:val="center"/>
          </w:tcPr>
          <w:p w14:paraId="0C359CFF">
            <w:pPr>
              <w:wordWrap w:val="0"/>
              <w:topLinePunct/>
              <w:spacing w:line="360" w:lineRule="auto"/>
              <w:jc w:val="center"/>
              <w:rPr>
                <w:rFonts w:ascii="宋体" w:hAnsi="宋体" w:eastAsia="宋体" w:cs="宋体"/>
                <w:sz w:val="28"/>
                <w:szCs w:val="28"/>
                <w:highlight w:val="none"/>
              </w:rPr>
            </w:pPr>
          </w:p>
        </w:tc>
      </w:tr>
      <w:tr w14:paraId="7096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noWrap w:val="0"/>
            <w:vAlign w:val="center"/>
          </w:tcPr>
          <w:p w14:paraId="5F2F0E23">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  称</w:t>
            </w:r>
          </w:p>
        </w:tc>
        <w:tc>
          <w:tcPr>
            <w:tcW w:w="1054" w:type="dxa"/>
            <w:noWrap w:val="0"/>
            <w:vAlign w:val="center"/>
          </w:tcPr>
          <w:p w14:paraId="1B8C480A">
            <w:pPr>
              <w:wordWrap w:val="0"/>
              <w:topLinePunct/>
              <w:spacing w:line="360" w:lineRule="auto"/>
              <w:jc w:val="center"/>
              <w:rPr>
                <w:rFonts w:ascii="宋体" w:hAnsi="宋体" w:eastAsia="宋体" w:cs="宋体"/>
                <w:sz w:val="28"/>
                <w:szCs w:val="28"/>
                <w:highlight w:val="none"/>
              </w:rPr>
            </w:pPr>
          </w:p>
        </w:tc>
        <w:tc>
          <w:tcPr>
            <w:tcW w:w="1155" w:type="dxa"/>
            <w:noWrap w:val="0"/>
            <w:vAlign w:val="center"/>
          </w:tcPr>
          <w:p w14:paraId="0F761259">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职  务</w:t>
            </w:r>
          </w:p>
        </w:tc>
        <w:tc>
          <w:tcPr>
            <w:tcW w:w="1299" w:type="dxa"/>
            <w:noWrap w:val="0"/>
            <w:vAlign w:val="center"/>
          </w:tcPr>
          <w:p w14:paraId="08B05300">
            <w:pPr>
              <w:wordWrap w:val="0"/>
              <w:topLinePunct/>
              <w:spacing w:line="360" w:lineRule="auto"/>
              <w:jc w:val="center"/>
              <w:rPr>
                <w:rFonts w:ascii="宋体" w:hAnsi="宋体" w:eastAsia="宋体" w:cs="宋体"/>
                <w:sz w:val="28"/>
                <w:szCs w:val="28"/>
                <w:highlight w:val="none"/>
              </w:rPr>
            </w:pPr>
          </w:p>
        </w:tc>
        <w:tc>
          <w:tcPr>
            <w:tcW w:w="1876" w:type="dxa"/>
            <w:noWrap w:val="0"/>
            <w:vAlign w:val="center"/>
          </w:tcPr>
          <w:p w14:paraId="6A04B41C">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拟在本工程任职</w:t>
            </w:r>
          </w:p>
        </w:tc>
        <w:tc>
          <w:tcPr>
            <w:tcW w:w="2165" w:type="dxa"/>
            <w:noWrap w:val="0"/>
            <w:vAlign w:val="center"/>
          </w:tcPr>
          <w:p w14:paraId="1B921FD8">
            <w:pPr>
              <w:wordWrap w:val="0"/>
              <w:topLinePunct/>
              <w:spacing w:line="360" w:lineRule="auto"/>
              <w:jc w:val="center"/>
              <w:rPr>
                <w:rFonts w:ascii="宋体" w:hAnsi="宋体" w:eastAsia="宋体" w:cs="宋体"/>
                <w:sz w:val="28"/>
                <w:szCs w:val="28"/>
                <w:highlight w:val="none"/>
              </w:rPr>
            </w:pPr>
          </w:p>
        </w:tc>
      </w:tr>
      <w:tr w14:paraId="4561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noWrap w:val="0"/>
            <w:vAlign w:val="center"/>
          </w:tcPr>
          <w:p w14:paraId="56915300">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注册建造师执业资格等级</w:t>
            </w:r>
          </w:p>
        </w:tc>
        <w:tc>
          <w:tcPr>
            <w:tcW w:w="1299" w:type="dxa"/>
            <w:noWrap w:val="0"/>
            <w:vAlign w:val="center"/>
          </w:tcPr>
          <w:p w14:paraId="23E871AB">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tc>
        <w:tc>
          <w:tcPr>
            <w:tcW w:w="1876" w:type="dxa"/>
            <w:noWrap w:val="0"/>
            <w:vAlign w:val="center"/>
          </w:tcPr>
          <w:p w14:paraId="62EE1808">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建造师专业</w:t>
            </w:r>
          </w:p>
        </w:tc>
        <w:tc>
          <w:tcPr>
            <w:tcW w:w="2165" w:type="dxa"/>
            <w:noWrap w:val="0"/>
            <w:vAlign w:val="center"/>
          </w:tcPr>
          <w:p w14:paraId="77838A5F">
            <w:pPr>
              <w:wordWrap w:val="0"/>
              <w:topLinePunct/>
              <w:spacing w:line="360" w:lineRule="auto"/>
              <w:jc w:val="center"/>
              <w:rPr>
                <w:rFonts w:ascii="宋体" w:hAnsi="宋体" w:eastAsia="宋体" w:cs="宋体"/>
                <w:sz w:val="28"/>
                <w:szCs w:val="28"/>
                <w:highlight w:val="none"/>
              </w:rPr>
            </w:pPr>
          </w:p>
        </w:tc>
      </w:tr>
      <w:tr w14:paraId="6A22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21" w:type="dxa"/>
            <w:gridSpan w:val="3"/>
            <w:noWrap w:val="0"/>
            <w:vAlign w:val="center"/>
          </w:tcPr>
          <w:p w14:paraId="69C87035">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安全生产考核合格证书</w:t>
            </w:r>
          </w:p>
        </w:tc>
        <w:tc>
          <w:tcPr>
            <w:tcW w:w="5340" w:type="dxa"/>
            <w:gridSpan w:val="3"/>
            <w:noWrap w:val="0"/>
            <w:vAlign w:val="center"/>
          </w:tcPr>
          <w:p w14:paraId="4559AEA3">
            <w:pPr>
              <w:wordWrap w:val="0"/>
              <w:topLinePunct/>
              <w:spacing w:line="360" w:lineRule="auto"/>
              <w:jc w:val="center"/>
              <w:rPr>
                <w:rFonts w:ascii="宋体" w:hAnsi="宋体" w:eastAsia="宋体" w:cs="宋体"/>
                <w:sz w:val="28"/>
                <w:szCs w:val="28"/>
                <w:highlight w:val="none"/>
              </w:rPr>
            </w:pPr>
          </w:p>
        </w:tc>
      </w:tr>
      <w:tr w14:paraId="17D1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noWrap w:val="0"/>
            <w:vAlign w:val="center"/>
          </w:tcPr>
          <w:p w14:paraId="7510DE48">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毕业学校</w:t>
            </w:r>
          </w:p>
        </w:tc>
        <w:tc>
          <w:tcPr>
            <w:tcW w:w="7549" w:type="dxa"/>
            <w:gridSpan w:val="5"/>
            <w:noWrap w:val="0"/>
            <w:vAlign w:val="center"/>
          </w:tcPr>
          <w:p w14:paraId="25C93004">
            <w:pPr>
              <w:wordWrap w:val="0"/>
              <w:topLinePunct/>
              <w:spacing w:line="360" w:lineRule="auto"/>
              <w:ind w:firstLine="1120" w:firstLineChars="400"/>
              <w:rPr>
                <w:rFonts w:ascii="宋体" w:hAnsi="宋体" w:eastAsia="宋体" w:cs="宋体"/>
                <w:sz w:val="28"/>
                <w:szCs w:val="28"/>
                <w:highlight w:val="none"/>
              </w:rPr>
            </w:pPr>
            <w:r>
              <w:rPr>
                <w:rFonts w:hint="eastAsia" w:ascii="宋体" w:hAnsi="宋体" w:eastAsia="宋体" w:cs="宋体"/>
                <w:sz w:val="28"/>
                <w:szCs w:val="28"/>
                <w:highlight w:val="none"/>
              </w:rPr>
              <w:t>年毕业于                  学校            专业</w:t>
            </w:r>
          </w:p>
        </w:tc>
      </w:tr>
      <w:tr w14:paraId="015C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61" w:type="dxa"/>
            <w:gridSpan w:val="6"/>
            <w:noWrap w:val="0"/>
            <w:vAlign w:val="center"/>
          </w:tcPr>
          <w:p w14:paraId="0471C9F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主要工作经历</w:t>
            </w:r>
          </w:p>
        </w:tc>
      </w:tr>
      <w:tr w14:paraId="204D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12" w:type="dxa"/>
            <w:noWrap w:val="0"/>
            <w:vAlign w:val="center"/>
          </w:tcPr>
          <w:p w14:paraId="60804CB3">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时  间</w:t>
            </w:r>
          </w:p>
        </w:tc>
        <w:tc>
          <w:tcPr>
            <w:tcW w:w="3508" w:type="dxa"/>
            <w:gridSpan w:val="3"/>
            <w:noWrap w:val="0"/>
            <w:vAlign w:val="center"/>
          </w:tcPr>
          <w:p w14:paraId="7F2CB60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参加过的类似项目名称</w:t>
            </w:r>
          </w:p>
        </w:tc>
        <w:tc>
          <w:tcPr>
            <w:tcW w:w="1876" w:type="dxa"/>
            <w:noWrap w:val="0"/>
            <w:vAlign w:val="center"/>
          </w:tcPr>
          <w:p w14:paraId="31622D3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工程概况说明</w:t>
            </w:r>
          </w:p>
        </w:tc>
        <w:tc>
          <w:tcPr>
            <w:tcW w:w="2165" w:type="dxa"/>
            <w:noWrap w:val="0"/>
            <w:vAlign w:val="center"/>
          </w:tcPr>
          <w:p w14:paraId="1BEBD4C1">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发包人及联系电话</w:t>
            </w:r>
          </w:p>
        </w:tc>
      </w:tr>
      <w:tr w14:paraId="4538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noWrap w:val="0"/>
            <w:vAlign w:val="center"/>
          </w:tcPr>
          <w:p w14:paraId="7D6711D2">
            <w:pPr>
              <w:wordWrap w:val="0"/>
              <w:topLinePunct/>
              <w:spacing w:line="360" w:lineRule="auto"/>
              <w:jc w:val="center"/>
              <w:rPr>
                <w:rFonts w:ascii="宋体" w:hAnsi="宋体" w:eastAsia="宋体" w:cs="宋体"/>
                <w:sz w:val="28"/>
                <w:szCs w:val="28"/>
                <w:highlight w:val="none"/>
              </w:rPr>
            </w:pPr>
          </w:p>
        </w:tc>
        <w:tc>
          <w:tcPr>
            <w:tcW w:w="1054" w:type="dxa"/>
            <w:noWrap w:val="0"/>
            <w:vAlign w:val="center"/>
          </w:tcPr>
          <w:p w14:paraId="2E22BFBC">
            <w:pPr>
              <w:wordWrap w:val="0"/>
              <w:topLinePunct/>
              <w:spacing w:line="360" w:lineRule="auto"/>
              <w:jc w:val="center"/>
              <w:rPr>
                <w:rFonts w:ascii="宋体" w:hAnsi="宋体" w:eastAsia="宋体" w:cs="宋体"/>
                <w:sz w:val="28"/>
                <w:szCs w:val="28"/>
                <w:highlight w:val="none"/>
              </w:rPr>
            </w:pPr>
          </w:p>
        </w:tc>
        <w:tc>
          <w:tcPr>
            <w:tcW w:w="1155" w:type="dxa"/>
            <w:noWrap w:val="0"/>
            <w:vAlign w:val="center"/>
          </w:tcPr>
          <w:p w14:paraId="7E438A99">
            <w:pPr>
              <w:wordWrap w:val="0"/>
              <w:topLinePunct/>
              <w:spacing w:line="360" w:lineRule="auto"/>
              <w:jc w:val="center"/>
              <w:rPr>
                <w:rFonts w:ascii="宋体" w:hAnsi="宋体" w:eastAsia="宋体" w:cs="宋体"/>
                <w:sz w:val="28"/>
                <w:szCs w:val="28"/>
                <w:highlight w:val="none"/>
              </w:rPr>
            </w:pPr>
          </w:p>
        </w:tc>
        <w:tc>
          <w:tcPr>
            <w:tcW w:w="1299" w:type="dxa"/>
            <w:noWrap w:val="0"/>
            <w:vAlign w:val="center"/>
          </w:tcPr>
          <w:p w14:paraId="6D11C494">
            <w:pPr>
              <w:wordWrap w:val="0"/>
              <w:topLinePunct/>
              <w:spacing w:line="360" w:lineRule="auto"/>
              <w:jc w:val="center"/>
              <w:rPr>
                <w:rFonts w:ascii="宋体" w:hAnsi="宋体" w:eastAsia="宋体" w:cs="宋体"/>
                <w:sz w:val="28"/>
                <w:szCs w:val="28"/>
                <w:highlight w:val="none"/>
              </w:rPr>
            </w:pPr>
          </w:p>
        </w:tc>
        <w:tc>
          <w:tcPr>
            <w:tcW w:w="1876" w:type="dxa"/>
            <w:noWrap w:val="0"/>
            <w:vAlign w:val="center"/>
          </w:tcPr>
          <w:p w14:paraId="05F066BE">
            <w:pPr>
              <w:wordWrap w:val="0"/>
              <w:topLinePunct/>
              <w:spacing w:line="360" w:lineRule="auto"/>
              <w:jc w:val="center"/>
              <w:rPr>
                <w:rFonts w:ascii="宋体" w:hAnsi="宋体" w:eastAsia="宋体" w:cs="宋体"/>
                <w:sz w:val="28"/>
                <w:szCs w:val="28"/>
                <w:highlight w:val="none"/>
              </w:rPr>
            </w:pPr>
          </w:p>
        </w:tc>
        <w:tc>
          <w:tcPr>
            <w:tcW w:w="2165" w:type="dxa"/>
            <w:noWrap w:val="0"/>
            <w:vAlign w:val="center"/>
          </w:tcPr>
          <w:p w14:paraId="196B0ADF">
            <w:pPr>
              <w:wordWrap w:val="0"/>
              <w:topLinePunct/>
              <w:spacing w:line="360" w:lineRule="auto"/>
              <w:jc w:val="center"/>
              <w:rPr>
                <w:rFonts w:ascii="宋体" w:hAnsi="宋体" w:eastAsia="宋体" w:cs="宋体"/>
                <w:sz w:val="28"/>
                <w:szCs w:val="28"/>
                <w:highlight w:val="none"/>
              </w:rPr>
            </w:pPr>
          </w:p>
        </w:tc>
      </w:tr>
      <w:tr w14:paraId="0050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noWrap w:val="0"/>
            <w:vAlign w:val="center"/>
          </w:tcPr>
          <w:p w14:paraId="7A81F348">
            <w:pPr>
              <w:wordWrap w:val="0"/>
              <w:topLinePunct/>
              <w:spacing w:line="360" w:lineRule="auto"/>
              <w:jc w:val="center"/>
              <w:rPr>
                <w:rFonts w:ascii="宋体" w:hAnsi="宋体" w:eastAsia="宋体" w:cs="宋体"/>
                <w:sz w:val="28"/>
                <w:szCs w:val="28"/>
                <w:highlight w:val="none"/>
              </w:rPr>
            </w:pPr>
          </w:p>
        </w:tc>
        <w:tc>
          <w:tcPr>
            <w:tcW w:w="1054" w:type="dxa"/>
            <w:noWrap w:val="0"/>
            <w:vAlign w:val="center"/>
          </w:tcPr>
          <w:p w14:paraId="15CBCB9D">
            <w:pPr>
              <w:wordWrap w:val="0"/>
              <w:topLinePunct/>
              <w:spacing w:line="360" w:lineRule="auto"/>
              <w:jc w:val="center"/>
              <w:rPr>
                <w:rFonts w:ascii="宋体" w:hAnsi="宋体" w:eastAsia="宋体" w:cs="宋体"/>
                <w:sz w:val="28"/>
                <w:szCs w:val="28"/>
                <w:highlight w:val="none"/>
              </w:rPr>
            </w:pPr>
          </w:p>
        </w:tc>
        <w:tc>
          <w:tcPr>
            <w:tcW w:w="1155" w:type="dxa"/>
            <w:noWrap w:val="0"/>
            <w:vAlign w:val="center"/>
          </w:tcPr>
          <w:p w14:paraId="154B5704">
            <w:pPr>
              <w:wordWrap w:val="0"/>
              <w:topLinePunct/>
              <w:spacing w:line="360" w:lineRule="auto"/>
              <w:jc w:val="center"/>
              <w:rPr>
                <w:rFonts w:ascii="宋体" w:hAnsi="宋体" w:eastAsia="宋体" w:cs="宋体"/>
                <w:sz w:val="28"/>
                <w:szCs w:val="28"/>
                <w:highlight w:val="none"/>
              </w:rPr>
            </w:pPr>
          </w:p>
        </w:tc>
        <w:tc>
          <w:tcPr>
            <w:tcW w:w="1299" w:type="dxa"/>
            <w:noWrap w:val="0"/>
            <w:vAlign w:val="center"/>
          </w:tcPr>
          <w:p w14:paraId="4FF206FC">
            <w:pPr>
              <w:wordWrap w:val="0"/>
              <w:topLinePunct/>
              <w:spacing w:line="360" w:lineRule="auto"/>
              <w:jc w:val="center"/>
              <w:rPr>
                <w:rFonts w:ascii="宋体" w:hAnsi="宋体" w:eastAsia="宋体" w:cs="宋体"/>
                <w:sz w:val="28"/>
                <w:szCs w:val="28"/>
                <w:highlight w:val="none"/>
              </w:rPr>
            </w:pPr>
          </w:p>
        </w:tc>
        <w:tc>
          <w:tcPr>
            <w:tcW w:w="1876" w:type="dxa"/>
            <w:noWrap w:val="0"/>
            <w:vAlign w:val="center"/>
          </w:tcPr>
          <w:p w14:paraId="4348E2A1">
            <w:pPr>
              <w:wordWrap w:val="0"/>
              <w:topLinePunct/>
              <w:spacing w:line="360" w:lineRule="auto"/>
              <w:jc w:val="center"/>
              <w:rPr>
                <w:rFonts w:ascii="宋体" w:hAnsi="宋体" w:eastAsia="宋体" w:cs="宋体"/>
                <w:sz w:val="28"/>
                <w:szCs w:val="28"/>
                <w:highlight w:val="none"/>
              </w:rPr>
            </w:pPr>
          </w:p>
        </w:tc>
        <w:tc>
          <w:tcPr>
            <w:tcW w:w="2165" w:type="dxa"/>
            <w:noWrap w:val="0"/>
            <w:vAlign w:val="center"/>
          </w:tcPr>
          <w:p w14:paraId="217B4D4A">
            <w:pPr>
              <w:wordWrap w:val="0"/>
              <w:topLinePunct/>
              <w:spacing w:line="360" w:lineRule="auto"/>
              <w:jc w:val="center"/>
              <w:rPr>
                <w:rFonts w:ascii="宋体" w:hAnsi="宋体" w:eastAsia="宋体" w:cs="宋体"/>
                <w:sz w:val="28"/>
                <w:szCs w:val="28"/>
                <w:highlight w:val="none"/>
              </w:rPr>
            </w:pPr>
          </w:p>
        </w:tc>
      </w:tr>
      <w:tr w14:paraId="4B1D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12" w:type="dxa"/>
            <w:noWrap w:val="0"/>
            <w:vAlign w:val="center"/>
          </w:tcPr>
          <w:p w14:paraId="409AAA78">
            <w:pPr>
              <w:wordWrap w:val="0"/>
              <w:topLinePunct/>
              <w:spacing w:line="360" w:lineRule="auto"/>
              <w:jc w:val="center"/>
              <w:rPr>
                <w:rFonts w:ascii="宋体" w:hAnsi="宋体" w:eastAsia="宋体" w:cs="宋体"/>
                <w:sz w:val="28"/>
                <w:szCs w:val="28"/>
                <w:highlight w:val="none"/>
              </w:rPr>
            </w:pPr>
          </w:p>
        </w:tc>
        <w:tc>
          <w:tcPr>
            <w:tcW w:w="1054" w:type="dxa"/>
            <w:noWrap w:val="0"/>
            <w:vAlign w:val="center"/>
          </w:tcPr>
          <w:p w14:paraId="62454309">
            <w:pPr>
              <w:wordWrap w:val="0"/>
              <w:topLinePunct/>
              <w:spacing w:line="360" w:lineRule="auto"/>
              <w:jc w:val="center"/>
              <w:rPr>
                <w:rFonts w:ascii="宋体" w:hAnsi="宋体" w:eastAsia="宋体" w:cs="宋体"/>
                <w:sz w:val="28"/>
                <w:szCs w:val="28"/>
                <w:highlight w:val="none"/>
              </w:rPr>
            </w:pPr>
          </w:p>
        </w:tc>
        <w:tc>
          <w:tcPr>
            <w:tcW w:w="1155" w:type="dxa"/>
            <w:noWrap w:val="0"/>
            <w:vAlign w:val="center"/>
          </w:tcPr>
          <w:p w14:paraId="095AC349">
            <w:pPr>
              <w:wordWrap w:val="0"/>
              <w:topLinePunct/>
              <w:spacing w:line="360" w:lineRule="auto"/>
              <w:jc w:val="center"/>
              <w:rPr>
                <w:rFonts w:ascii="宋体" w:hAnsi="宋体" w:eastAsia="宋体" w:cs="宋体"/>
                <w:sz w:val="28"/>
                <w:szCs w:val="28"/>
                <w:highlight w:val="none"/>
              </w:rPr>
            </w:pPr>
          </w:p>
        </w:tc>
        <w:tc>
          <w:tcPr>
            <w:tcW w:w="1299" w:type="dxa"/>
            <w:noWrap w:val="0"/>
            <w:vAlign w:val="center"/>
          </w:tcPr>
          <w:p w14:paraId="302BCCEF">
            <w:pPr>
              <w:wordWrap w:val="0"/>
              <w:topLinePunct/>
              <w:spacing w:line="360" w:lineRule="auto"/>
              <w:jc w:val="center"/>
              <w:rPr>
                <w:rFonts w:ascii="宋体" w:hAnsi="宋体" w:eastAsia="宋体" w:cs="宋体"/>
                <w:sz w:val="28"/>
                <w:szCs w:val="28"/>
                <w:highlight w:val="none"/>
              </w:rPr>
            </w:pPr>
          </w:p>
        </w:tc>
        <w:tc>
          <w:tcPr>
            <w:tcW w:w="1876" w:type="dxa"/>
            <w:noWrap w:val="0"/>
            <w:vAlign w:val="center"/>
          </w:tcPr>
          <w:p w14:paraId="5D2F17F9">
            <w:pPr>
              <w:wordWrap w:val="0"/>
              <w:topLinePunct/>
              <w:spacing w:line="360" w:lineRule="auto"/>
              <w:jc w:val="center"/>
              <w:rPr>
                <w:rFonts w:ascii="宋体" w:hAnsi="宋体" w:eastAsia="宋体" w:cs="宋体"/>
                <w:sz w:val="28"/>
                <w:szCs w:val="28"/>
                <w:highlight w:val="none"/>
              </w:rPr>
            </w:pPr>
          </w:p>
        </w:tc>
        <w:tc>
          <w:tcPr>
            <w:tcW w:w="2165" w:type="dxa"/>
            <w:noWrap w:val="0"/>
            <w:vAlign w:val="center"/>
          </w:tcPr>
          <w:p w14:paraId="64F2EE88">
            <w:pPr>
              <w:wordWrap w:val="0"/>
              <w:topLinePunct/>
              <w:spacing w:line="360" w:lineRule="auto"/>
              <w:jc w:val="center"/>
              <w:rPr>
                <w:rFonts w:ascii="宋体" w:hAnsi="宋体" w:eastAsia="宋体" w:cs="宋体"/>
                <w:sz w:val="28"/>
                <w:szCs w:val="28"/>
                <w:highlight w:val="none"/>
              </w:rPr>
            </w:pPr>
          </w:p>
        </w:tc>
      </w:tr>
    </w:tbl>
    <w:p w14:paraId="7D64D45D">
      <w:pPr>
        <w:wordWrap w:val="0"/>
        <w:topLinePunct/>
        <w:spacing w:line="360" w:lineRule="auto"/>
        <w:rPr>
          <w:rFonts w:ascii="宋体" w:hAnsi="宋体" w:eastAsia="宋体" w:cs="宋体"/>
          <w:sz w:val="28"/>
          <w:szCs w:val="28"/>
          <w:highlight w:val="none"/>
        </w:rPr>
      </w:pPr>
      <w:r>
        <w:rPr>
          <w:rFonts w:ascii="宋体" w:hAnsi="宋体" w:eastAsia="宋体" w:cs="宋体"/>
          <w:szCs w:val="21"/>
          <w:highlight w:val="none"/>
        </w:rPr>
        <w:br w:type="page"/>
      </w:r>
      <w:r>
        <w:rPr>
          <w:rFonts w:hint="eastAsia" w:ascii="宋体" w:hAnsi="宋体" w:eastAsia="宋体" w:cs="宋体"/>
          <w:b/>
          <w:bCs/>
          <w:sz w:val="28"/>
          <w:szCs w:val="28"/>
          <w:highlight w:val="none"/>
        </w:rPr>
        <w:t>附1-1：承诺书</w:t>
      </w:r>
    </w:p>
    <w:p w14:paraId="08D28CF6">
      <w:pPr>
        <w:wordWrap w:val="0"/>
        <w:topLinePunct/>
        <w:spacing w:before="312" w:beforeLines="100" w:after="312" w:afterLines="100"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承诺书</w:t>
      </w:r>
    </w:p>
    <w:p w14:paraId="595D30E3">
      <w:pPr>
        <w:wordWrap w:val="0"/>
        <w:topLinePunct/>
        <w:spacing w:after="312" w:afterLines="100" w:line="360" w:lineRule="auto"/>
        <w:ind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u w:val="single"/>
        </w:rPr>
        <w:t>（采购人名称）</w:t>
      </w:r>
      <w:r>
        <w:rPr>
          <w:rFonts w:hint="eastAsia" w:ascii="宋体" w:hAnsi="宋体" w:eastAsia="宋体" w:cs="宋体"/>
          <w:sz w:val="28"/>
          <w:szCs w:val="28"/>
          <w:highlight w:val="none"/>
        </w:rPr>
        <w:t>:</w:t>
      </w:r>
    </w:p>
    <w:p w14:paraId="67F618D4">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我方在此声明，我方拟派往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（项目名称）以下简称“本工程”）的项目经理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（项目经理姓名）现阶段没有担任任何在施建设工程项目的项目经理。</w:t>
      </w:r>
    </w:p>
    <w:p w14:paraId="1506271B">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我方保证上述信息的真实和准确，并愿意承担因我方就此弄虚作假所引起的一切法律后果。</w:t>
      </w:r>
    </w:p>
    <w:p w14:paraId="6682C48C">
      <w:pPr>
        <w:wordWrap w:val="0"/>
        <w:topLinePunct/>
        <w:spacing w:line="360" w:lineRule="auto"/>
        <w:ind w:firstLine="560" w:firstLineChars="200"/>
        <w:rPr>
          <w:rFonts w:ascii="宋体" w:hAnsi="宋体" w:eastAsia="宋体" w:cs="宋体"/>
          <w:sz w:val="28"/>
          <w:szCs w:val="28"/>
          <w:highlight w:val="none"/>
        </w:rPr>
      </w:pPr>
    </w:p>
    <w:p w14:paraId="6A058184">
      <w:pPr>
        <w:wordWrap w:val="0"/>
        <w:topLinePunct/>
        <w:spacing w:line="360" w:lineRule="auto"/>
        <w:ind w:firstLine="560" w:firstLineChars="200"/>
        <w:rPr>
          <w:rFonts w:ascii="宋体" w:hAnsi="宋体" w:eastAsia="宋体" w:cs="宋体"/>
          <w:sz w:val="28"/>
          <w:szCs w:val="28"/>
          <w:highlight w:val="none"/>
        </w:rPr>
      </w:pPr>
    </w:p>
    <w:p w14:paraId="0A357E7E">
      <w:pPr>
        <w:wordWrap w:val="0"/>
        <w:topLinePunct/>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特此承诺</w:t>
      </w:r>
    </w:p>
    <w:p w14:paraId="3B4274C1">
      <w:pPr>
        <w:wordWrap w:val="0"/>
        <w:topLinePunct/>
        <w:spacing w:line="360" w:lineRule="auto"/>
        <w:ind w:firstLine="560" w:firstLineChars="200"/>
        <w:rPr>
          <w:rFonts w:ascii="宋体" w:hAnsi="宋体" w:eastAsia="宋体" w:cs="宋体"/>
          <w:sz w:val="28"/>
          <w:szCs w:val="28"/>
          <w:highlight w:val="none"/>
        </w:rPr>
      </w:pPr>
    </w:p>
    <w:p w14:paraId="4FAC3609">
      <w:pPr>
        <w:wordWrap w:val="0"/>
        <w:topLinePunct/>
        <w:spacing w:line="360" w:lineRule="auto"/>
        <w:ind w:firstLine="560" w:firstLineChars="200"/>
        <w:rPr>
          <w:rFonts w:ascii="宋体" w:hAnsi="宋体" w:eastAsia="宋体" w:cs="宋体"/>
          <w:sz w:val="28"/>
          <w:szCs w:val="28"/>
          <w:highlight w:val="none"/>
        </w:rPr>
      </w:pPr>
    </w:p>
    <w:p w14:paraId="38787E66">
      <w:pPr>
        <w:wordWrap w:val="0"/>
        <w:topLinePunct/>
        <w:spacing w:line="360" w:lineRule="auto"/>
        <w:ind w:firstLine="560" w:firstLineChars="200"/>
        <w:rPr>
          <w:rFonts w:ascii="宋体" w:hAnsi="宋体" w:eastAsia="宋体" w:cs="宋体"/>
          <w:sz w:val="28"/>
          <w:szCs w:val="28"/>
          <w:highlight w:val="none"/>
        </w:rPr>
      </w:pPr>
    </w:p>
    <w:p w14:paraId="71E313F0">
      <w:pPr>
        <w:wordWrap w:val="0"/>
        <w:topLinePunct/>
        <w:spacing w:line="360" w:lineRule="auto"/>
        <w:ind w:firstLine="560" w:firstLineChars="200"/>
        <w:rPr>
          <w:rFonts w:ascii="宋体" w:hAnsi="宋体" w:eastAsia="宋体" w:cs="宋体"/>
          <w:sz w:val="28"/>
          <w:szCs w:val="28"/>
          <w:highlight w:val="none"/>
        </w:rPr>
      </w:pPr>
    </w:p>
    <w:p w14:paraId="151A34C8">
      <w:pPr>
        <w:wordWrap w:val="0"/>
        <w:topLinePunct/>
        <w:spacing w:line="360" w:lineRule="auto"/>
        <w:rPr>
          <w:rFonts w:ascii="宋体" w:hAnsi="宋体" w:eastAsia="宋体" w:cs="宋体"/>
          <w:sz w:val="28"/>
          <w:szCs w:val="28"/>
          <w:highlight w:val="none"/>
        </w:rPr>
      </w:pPr>
    </w:p>
    <w:p w14:paraId="0BD8BD9E">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32931A53">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7C2F68F8">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46F2D80E">
      <w:pPr>
        <w:wordWrap w:val="0"/>
        <w:topLinePunct/>
        <w:rPr>
          <w:rFonts w:ascii="宋体" w:hAnsi="宋体" w:eastAsia="宋体" w:cs="宋体"/>
          <w:b/>
          <w:bCs/>
          <w:sz w:val="28"/>
          <w:szCs w:val="28"/>
          <w:highlight w:val="none"/>
        </w:rPr>
      </w:pPr>
      <w:r>
        <w:rPr>
          <w:rFonts w:ascii="宋体" w:hAnsi="宋体" w:eastAsia="宋体" w:cs="宋体"/>
          <w:szCs w:val="21"/>
          <w:highlight w:val="none"/>
        </w:rPr>
        <w:br w:type="page"/>
      </w:r>
      <w:r>
        <w:rPr>
          <w:rFonts w:hint="eastAsia" w:ascii="宋体" w:hAnsi="宋体" w:eastAsia="宋体" w:cs="宋体"/>
          <w:b/>
          <w:bCs/>
          <w:sz w:val="28"/>
          <w:szCs w:val="28"/>
          <w:highlight w:val="none"/>
        </w:rPr>
        <w:t>附2：主要项目管理人员简历表</w:t>
      </w:r>
    </w:p>
    <w:tbl>
      <w:tblPr>
        <w:tblStyle w:val="13"/>
        <w:tblW w:w="0" w:type="auto"/>
        <w:tblInd w:w="159" w:type="dxa"/>
        <w:tblLayout w:type="fixed"/>
        <w:tblCellMar>
          <w:top w:w="0" w:type="dxa"/>
          <w:left w:w="0" w:type="dxa"/>
          <w:bottom w:w="0" w:type="dxa"/>
          <w:right w:w="0" w:type="dxa"/>
        </w:tblCellMar>
      </w:tblPr>
      <w:tblGrid>
        <w:gridCol w:w="1253"/>
        <w:gridCol w:w="352"/>
        <w:gridCol w:w="1612"/>
        <w:gridCol w:w="1074"/>
        <w:gridCol w:w="893"/>
        <w:gridCol w:w="536"/>
        <w:gridCol w:w="1244"/>
        <w:gridCol w:w="723"/>
        <w:gridCol w:w="1493"/>
      </w:tblGrid>
      <w:tr w14:paraId="54463BCF">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noWrap w:val="0"/>
            <w:vAlign w:val="top"/>
          </w:tcPr>
          <w:p w14:paraId="05FA4B31">
            <w:pPr>
              <w:tabs>
                <w:tab w:val="left" w:pos="906"/>
              </w:tabs>
              <w:kinsoku w:val="0"/>
              <w:overflowPunct w:val="0"/>
              <w:autoSpaceDE w:val="0"/>
              <w:autoSpaceDN w:val="0"/>
              <w:adjustRightInd w:val="0"/>
              <w:spacing w:before="81"/>
              <w:ind w:left="486"/>
              <w:jc w:val="left"/>
              <w:rPr>
                <w:rFonts w:ascii="宋体" w:hAnsi="宋体" w:eastAsia="宋体" w:cs="宋体"/>
                <w:kern w:val="0"/>
                <w:szCs w:val="21"/>
                <w:highlight w:val="none"/>
              </w:rPr>
            </w:pPr>
            <w:r>
              <w:rPr>
                <w:rFonts w:hint="eastAsia" w:ascii="宋体" w:hAnsi="宋体" w:eastAsia="宋体" w:cs="宋体"/>
                <w:kern w:val="0"/>
                <w:szCs w:val="21"/>
                <w:highlight w:val="none"/>
              </w:rPr>
              <w:t>姓</w:t>
            </w:r>
            <w:r>
              <w:rPr>
                <w:rFonts w:ascii="宋体" w:hAnsi="宋体" w:eastAsia="宋体" w:cs="宋体"/>
                <w:kern w:val="0"/>
                <w:szCs w:val="21"/>
                <w:highlight w:val="none"/>
              </w:rPr>
              <w:tab/>
            </w:r>
            <w:r>
              <w:rPr>
                <w:rFonts w:hint="eastAsia" w:ascii="宋体" w:hAnsi="宋体" w:eastAsia="宋体" w:cs="宋体"/>
                <w:kern w:val="0"/>
                <w:szCs w:val="21"/>
                <w:highlight w:val="none"/>
              </w:rPr>
              <w:t>名</w:t>
            </w:r>
          </w:p>
        </w:tc>
        <w:tc>
          <w:tcPr>
            <w:tcW w:w="1612" w:type="dxa"/>
            <w:tcBorders>
              <w:top w:val="single" w:color="000000" w:sz="4" w:space="0"/>
              <w:left w:val="single" w:color="000000" w:sz="4" w:space="0"/>
              <w:bottom w:val="single" w:color="000000" w:sz="4" w:space="0"/>
              <w:right w:val="single" w:color="000000" w:sz="4" w:space="0"/>
            </w:tcBorders>
            <w:noWrap w:val="0"/>
            <w:vAlign w:val="top"/>
          </w:tcPr>
          <w:p w14:paraId="180425E4">
            <w:pPr>
              <w:kinsoku w:val="0"/>
              <w:overflowPunct w:val="0"/>
              <w:autoSpaceDE w:val="0"/>
              <w:autoSpaceDN w:val="0"/>
              <w:adjustRightInd w:val="0"/>
              <w:jc w:val="left"/>
              <w:rPr>
                <w:rFonts w:ascii="宋体" w:hAnsi="宋体" w:eastAsia="宋体"/>
                <w:kern w:val="0"/>
                <w:sz w:val="20"/>
                <w:szCs w:val="20"/>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51246B4C">
            <w:pPr>
              <w:tabs>
                <w:tab w:val="left" w:pos="427"/>
              </w:tabs>
              <w:kinsoku w:val="0"/>
              <w:overflowPunct w:val="0"/>
              <w:autoSpaceDE w:val="0"/>
              <w:autoSpaceDN w:val="0"/>
              <w:adjustRightInd w:val="0"/>
              <w:spacing w:before="81"/>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年</w:t>
            </w:r>
            <w:r>
              <w:rPr>
                <w:rFonts w:ascii="宋体" w:hAnsi="宋体" w:eastAsia="宋体" w:cs="宋体"/>
                <w:kern w:val="0"/>
                <w:szCs w:val="21"/>
                <w:highlight w:val="none"/>
              </w:rPr>
              <w:tab/>
            </w:r>
            <w:r>
              <w:rPr>
                <w:rFonts w:hint="eastAsia" w:ascii="宋体" w:hAnsi="宋体" w:eastAsia="宋体" w:cs="宋体"/>
                <w:kern w:val="0"/>
                <w:szCs w:val="21"/>
                <w:highlight w:val="none"/>
              </w:rPr>
              <w:t>龄</w:t>
            </w:r>
          </w:p>
        </w:tc>
        <w:tc>
          <w:tcPr>
            <w:tcW w:w="1429" w:type="dxa"/>
            <w:gridSpan w:val="2"/>
            <w:tcBorders>
              <w:top w:val="single" w:color="000000" w:sz="4" w:space="0"/>
              <w:left w:val="single" w:color="000000" w:sz="4" w:space="0"/>
              <w:bottom w:val="single" w:color="000000" w:sz="4" w:space="0"/>
              <w:right w:val="single" w:color="000000" w:sz="4" w:space="0"/>
            </w:tcBorders>
            <w:noWrap w:val="0"/>
            <w:vAlign w:val="top"/>
          </w:tcPr>
          <w:p w14:paraId="0A363C7D">
            <w:pPr>
              <w:kinsoku w:val="0"/>
              <w:overflowPunct w:val="0"/>
              <w:autoSpaceDE w:val="0"/>
              <w:autoSpaceDN w:val="0"/>
              <w:adjustRightInd w:val="0"/>
              <w:jc w:val="left"/>
              <w:rPr>
                <w:rFonts w:ascii="宋体" w:hAnsi="宋体" w:eastAsia="宋体"/>
                <w:kern w:val="0"/>
                <w:sz w:val="20"/>
                <w:szCs w:val="20"/>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noWrap w:val="0"/>
            <w:vAlign w:val="top"/>
          </w:tcPr>
          <w:p w14:paraId="7157A5C9">
            <w:pPr>
              <w:kinsoku w:val="0"/>
              <w:overflowPunct w:val="0"/>
              <w:autoSpaceDE w:val="0"/>
              <w:autoSpaceDN w:val="0"/>
              <w:adjustRightInd w:val="0"/>
              <w:spacing w:before="81"/>
              <w:ind w:left="752" w:right="745"/>
              <w:jc w:val="center"/>
              <w:rPr>
                <w:rFonts w:ascii="宋体" w:hAnsi="宋体" w:eastAsia="宋体" w:cs="宋体"/>
                <w:kern w:val="0"/>
                <w:szCs w:val="21"/>
                <w:highlight w:val="none"/>
              </w:rPr>
            </w:pPr>
            <w:r>
              <w:rPr>
                <w:rFonts w:hint="eastAsia" w:ascii="宋体" w:hAnsi="宋体" w:eastAsia="宋体" w:cs="宋体"/>
                <w:kern w:val="0"/>
                <w:szCs w:val="21"/>
                <w:highlight w:val="none"/>
              </w:rPr>
              <w:t>学历</w:t>
            </w:r>
          </w:p>
        </w:tc>
        <w:tc>
          <w:tcPr>
            <w:tcW w:w="1493" w:type="dxa"/>
            <w:tcBorders>
              <w:top w:val="single" w:color="000000" w:sz="4" w:space="0"/>
              <w:left w:val="single" w:color="000000" w:sz="4" w:space="0"/>
              <w:bottom w:val="single" w:color="000000" w:sz="4" w:space="0"/>
              <w:right w:val="single" w:color="000000" w:sz="4" w:space="0"/>
            </w:tcBorders>
            <w:noWrap w:val="0"/>
            <w:vAlign w:val="top"/>
          </w:tcPr>
          <w:p w14:paraId="2F134BA3">
            <w:pPr>
              <w:kinsoku w:val="0"/>
              <w:overflowPunct w:val="0"/>
              <w:autoSpaceDE w:val="0"/>
              <w:autoSpaceDN w:val="0"/>
              <w:adjustRightInd w:val="0"/>
              <w:jc w:val="left"/>
              <w:rPr>
                <w:rFonts w:ascii="宋体" w:hAnsi="宋体" w:eastAsia="宋体"/>
                <w:kern w:val="0"/>
                <w:sz w:val="20"/>
                <w:szCs w:val="20"/>
                <w:highlight w:val="none"/>
              </w:rPr>
            </w:pPr>
          </w:p>
        </w:tc>
      </w:tr>
      <w:tr w14:paraId="5E701BAE">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noWrap w:val="0"/>
            <w:vAlign w:val="top"/>
          </w:tcPr>
          <w:p w14:paraId="3047F80B">
            <w:pPr>
              <w:tabs>
                <w:tab w:val="left" w:pos="906"/>
              </w:tabs>
              <w:kinsoku w:val="0"/>
              <w:overflowPunct w:val="0"/>
              <w:autoSpaceDE w:val="0"/>
              <w:autoSpaceDN w:val="0"/>
              <w:adjustRightInd w:val="0"/>
              <w:spacing w:before="80"/>
              <w:ind w:left="486"/>
              <w:jc w:val="left"/>
              <w:rPr>
                <w:rFonts w:ascii="宋体" w:hAnsi="宋体" w:eastAsia="宋体" w:cs="宋体"/>
                <w:kern w:val="0"/>
                <w:szCs w:val="21"/>
                <w:highlight w:val="none"/>
              </w:rPr>
            </w:pPr>
            <w:r>
              <w:rPr>
                <w:rFonts w:hint="eastAsia" w:ascii="宋体" w:hAnsi="宋体" w:eastAsia="宋体" w:cs="宋体"/>
                <w:kern w:val="0"/>
                <w:szCs w:val="21"/>
                <w:highlight w:val="none"/>
              </w:rPr>
              <w:t>职</w:t>
            </w:r>
            <w:r>
              <w:rPr>
                <w:rFonts w:ascii="宋体" w:hAnsi="宋体" w:eastAsia="宋体" w:cs="宋体"/>
                <w:kern w:val="0"/>
                <w:szCs w:val="21"/>
                <w:highlight w:val="none"/>
              </w:rPr>
              <w:tab/>
            </w:r>
            <w:r>
              <w:rPr>
                <w:rFonts w:hint="eastAsia" w:ascii="宋体" w:hAnsi="宋体" w:eastAsia="宋体" w:cs="宋体"/>
                <w:kern w:val="0"/>
                <w:szCs w:val="21"/>
                <w:highlight w:val="none"/>
              </w:rPr>
              <w:t>称</w:t>
            </w:r>
          </w:p>
        </w:tc>
        <w:tc>
          <w:tcPr>
            <w:tcW w:w="1612" w:type="dxa"/>
            <w:tcBorders>
              <w:top w:val="single" w:color="000000" w:sz="4" w:space="0"/>
              <w:left w:val="single" w:color="000000" w:sz="4" w:space="0"/>
              <w:bottom w:val="single" w:color="000000" w:sz="4" w:space="0"/>
              <w:right w:val="single" w:color="000000" w:sz="4" w:space="0"/>
            </w:tcBorders>
            <w:noWrap w:val="0"/>
            <w:vAlign w:val="top"/>
          </w:tcPr>
          <w:p w14:paraId="780CC3C8">
            <w:pPr>
              <w:kinsoku w:val="0"/>
              <w:overflowPunct w:val="0"/>
              <w:autoSpaceDE w:val="0"/>
              <w:autoSpaceDN w:val="0"/>
              <w:adjustRightInd w:val="0"/>
              <w:jc w:val="left"/>
              <w:rPr>
                <w:rFonts w:ascii="宋体" w:hAnsi="宋体" w:eastAsia="宋体"/>
                <w:kern w:val="0"/>
                <w:sz w:val="20"/>
                <w:szCs w:val="20"/>
                <w:highlight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top"/>
          </w:tcPr>
          <w:p w14:paraId="0D92C24D">
            <w:pPr>
              <w:tabs>
                <w:tab w:val="left" w:pos="427"/>
              </w:tabs>
              <w:kinsoku w:val="0"/>
              <w:overflowPunct w:val="0"/>
              <w:autoSpaceDE w:val="0"/>
              <w:autoSpaceDN w:val="0"/>
              <w:adjustRightInd w:val="0"/>
              <w:spacing w:before="80"/>
              <w:ind w:left="7"/>
              <w:jc w:val="center"/>
              <w:rPr>
                <w:rFonts w:ascii="宋体" w:hAnsi="宋体" w:eastAsia="宋体" w:cs="宋体"/>
                <w:kern w:val="0"/>
                <w:szCs w:val="21"/>
                <w:highlight w:val="none"/>
              </w:rPr>
            </w:pPr>
            <w:r>
              <w:rPr>
                <w:rFonts w:hint="eastAsia" w:ascii="宋体" w:hAnsi="宋体" w:eastAsia="宋体" w:cs="宋体"/>
                <w:kern w:val="0"/>
                <w:szCs w:val="21"/>
                <w:highlight w:val="none"/>
              </w:rPr>
              <w:t>职</w:t>
            </w:r>
            <w:r>
              <w:rPr>
                <w:rFonts w:ascii="宋体" w:hAnsi="宋体" w:eastAsia="宋体" w:cs="宋体"/>
                <w:kern w:val="0"/>
                <w:szCs w:val="21"/>
                <w:highlight w:val="none"/>
              </w:rPr>
              <w:tab/>
            </w:r>
            <w:r>
              <w:rPr>
                <w:rFonts w:hint="eastAsia" w:ascii="宋体" w:hAnsi="宋体" w:eastAsia="宋体" w:cs="宋体"/>
                <w:kern w:val="0"/>
                <w:szCs w:val="21"/>
                <w:highlight w:val="none"/>
              </w:rPr>
              <w:t>务</w:t>
            </w:r>
          </w:p>
        </w:tc>
        <w:tc>
          <w:tcPr>
            <w:tcW w:w="1429" w:type="dxa"/>
            <w:gridSpan w:val="2"/>
            <w:tcBorders>
              <w:top w:val="single" w:color="000000" w:sz="4" w:space="0"/>
              <w:left w:val="single" w:color="000000" w:sz="4" w:space="0"/>
              <w:bottom w:val="single" w:color="000000" w:sz="4" w:space="0"/>
              <w:right w:val="single" w:color="000000" w:sz="4" w:space="0"/>
            </w:tcBorders>
            <w:noWrap w:val="0"/>
            <w:vAlign w:val="top"/>
          </w:tcPr>
          <w:p w14:paraId="151FC820">
            <w:pPr>
              <w:kinsoku w:val="0"/>
              <w:overflowPunct w:val="0"/>
              <w:autoSpaceDE w:val="0"/>
              <w:autoSpaceDN w:val="0"/>
              <w:adjustRightInd w:val="0"/>
              <w:jc w:val="left"/>
              <w:rPr>
                <w:rFonts w:ascii="宋体" w:hAnsi="宋体" w:eastAsia="宋体"/>
                <w:kern w:val="0"/>
                <w:sz w:val="20"/>
                <w:szCs w:val="20"/>
                <w:highlight w:val="none"/>
              </w:rPr>
            </w:pPr>
          </w:p>
        </w:tc>
        <w:tc>
          <w:tcPr>
            <w:tcW w:w="1967" w:type="dxa"/>
            <w:gridSpan w:val="2"/>
            <w:tcBorders>
              <w:top w:val="single" w:color="000000" w:sz="4" w:space="0"/>
              <w:left w:val="single" w:color="000000" w:sz="4" w:space="0"/>
              <w:bottom w:val="single" w:color="000000" w:sz="4" w:space="0"/>
              <w:right w:val="single" w:color="000000" w:sz="4" w:space="0"/>
            </w:tcBorders>
            <w:noWrap w:val="0"/>
            <w:vAlign w:val="top"/>
          </w:tcPr>
          <w:p w14:paraId="70B648A9">
            <w:pPr>
              <w:kinsoku w:val="0"/>
              <w:overflowPunct w:val="0"/>
              <w:autoSpaceDE w:val="0"/>
              <w:autoSpaceDN w:val="0"/>
              <w:adjustRightInd w:val="0"/>
              <w:spacing w:before="80"/>
              <w:ind w:left="247"/>
              <w:jc w:val="left"/>
              <w:rPr>
                <w:rFonts w:ascii="宋体" w:hAnsi="宋体" w:eastAsia="宋体" w:cs="宋体"/>
                <w:kern w:val="0"/>
                <w:szCs w:val="21"/>
                <w:highlight w:val="none"/>
              </w:rPr>
            </w:pPr>
            <w:r>
              <w:rPr>
                <w:rFonts w:hint="eastAsia" w:ascii="宋体" w:hAnsi="宋体" w:eastAsia="宋体" w:cs="宋体"/>
                <w:kern w:val="0"/>
                <w:szCs w:val="21"/>
                <w:highlight w:val="none"/>
              </w:rPr>
              <w:t>拟在本合同任职</w:t>
            </w:r>
          </w:p>
        </w:tc>
        <w:tc>
          <w:tcPr>
            <w:tcW w:w="1493" w:type="dxa"/>
            <w:tcBorders>
              <w:top w:val="single" w:color="000000" w:sz="4" w:space="0"/>
              <w:left w:val="single" w:color="000000" w:sz="4" w:space="0"/>
              <w:bottom w:val="single" w:color="000000" w:sz="4" w:space="0"/>
              <w:right w:val="single" w:color="000000" w:sz="4" w:space="0"/>
            </w:tcBorders>
            <w:noWrap w:val="0"/>
            <w:vAlign w:val="top"/>
          </w:tcPr>
          <w:p w14:paraId="466D4754">
            <w:pPr>
              <w:kinsoku w:val="0"/>
              <w:overflowPunct w:val="0"/>
              <w:autoSpaceDE w:val="0"/>
              <w:autoSpaceDN w:val="0"/>
              <w:adjustRightInd w:val="0"/>
              <w:jc w:val="left"/>
              <w:rPr>
                <w:rFonts w:ascii="宋体" w:hAnsi="宋体" w:eastAsia="宋体"/>
                <w:kern w:val="0"/>
                <w:sz w:val="20"/>
                <w:szCs w:val="20"/>
                <w:highlight w:val="none"/>
              </w:rPr>
            </w:pPr>
          </w:p>
        </w:tc>
      </w:tr>
      <w:tr w14:paraId="66F930A3">
        <w:tblPrEx>
          <w:tblCellMar>
            <w:top w:w="0" w:type="dxa"/>
            <w:left w:w="0" w:type="dxa"/>
            <w:bottom w:w="0" w:type="dxa"/>
            <w:right w:w="0" w:type="dxa"/>
          </w:tblCellMar>
        </w:tblPrEx>
        <w:trPr>
          <w:trHeight w:val="567" w:hRule="atLeast"/>
        </w:trPr>
        <w:tc>
          <w:tcPr>
            <w:tcW w:w="1605" w:type="dxa"/>
            <w:gridSpan w:val="2"/>
            <w:tcBorders>
              <w:top w:val="single" w:color="000000" w:sz="4" w:space="0"/>
              <w:left w:val="single" w:color="000000" w:sz="4" w:space="0"/>
              <w:bottom w:val="single" w:color="000000" w:sz="4" w:space="0"/>
              <w:right w:val="single" w:color="000000" w:sz="4" w:space="0"/>
            </w:tcBorders>
            <w:noWrap w:val="0"/>
            <w:vAlign w:val="top"/>
          </w:tcPr>
          <w:p w14:paraId="313A0C18">
            <w:pPr>
              <w:kinsoku w:val="0"/>
              <w:overflowPunct w:val="0"/>
              <w:autoSpaceDE w:val="0"/>
              <w:autoSpaceDN w:val="0"/>
              <w:adjustRightInd w:val="0"/>
              <w:spacing w:before="79"/>
              <w:ind w:left="380"/>
              <w:jc w:val="left"/>
              <w:rPr>
                <w:rFonts w:ascii="宋体" w:hAnsi="宋体" w:eastAsia="宋体" w:cs="宋体"/>
                <w:kern w:val="0"/>
                <w:szCs w:val="21"/>
                <w:highlight w:val="none"/>
              </w:rPr>
            </w:pPr>
            <w:r>
              <w:rPr>
                <w:rFonts w:hint="eastAsia" w:ascii="宋体" w:hAnsi="宋体" w:eastAsia="宋体" w:cs="宋体"/>
                <w:kern w:val="0"/>
                <w:szCs w:val="21"/>
                <w:highlight w:val="none"/>
              </w:rPr>
              <w:t>毕业学校</w:t>
            </w:r>
          </w:p>
        </w:tc>
        <w:tc>
          <w:tcPr>
            <w:tcW w:w="7575" w:type="dxa"/>
            <w:gridSpan w:val="7"/>
            <w:tcBorders>
              <w:top w:val="single" w:color="000000" w:sz="4" w:space="0"/>
              <w:left w:val="single" w:color="000000" w:sz="4" w:space="0"/>
              <w:bottom w:val="single" w:color="000000" w:sz="4" w:space="0"/>
              <w:right w:val="single" w:color="000000" w:sz="4" w:space="0"/>
            </w:tcBorders>
            <w:noWrap w:val="0"/>
            <w:vAlign w:val="top"/>
          </w:tcPr>
          <w:p w14:paraId="49C478E4">
            <w:pPr>
              <w:tabs>
                <w:tab w:val="left" w:pos="1055"/>
                <w:tab w:val="left" w:pos="1789"/>
              </w:tabs>
              <w:kinsoku w:val="0"/>
              <w:overflowPunct w:val="0"/>
              <w:autoSpaceDE w:val="0"/>
              <w:autoSpaceDN w:val="0"/>
              <w:adjustRightInd w:val="0"/>
              <w:spacing w:before="79"/>
              <w:ind w:left="6"/>
              <w:jc w:val="center"/>
              <w:rPr>
                <w:rFonts w:ascii="宋体" w:hAnsi="宋体" w:eastAsia="宋体" w:cs="宋体"/>
                <w:kern w:val="0"/>
                <w:szCs w:val="21"/>
                <w:highlight w:val="none"/>
              </w:rPr>
            </w:pPr>
            <w:r>
              <w:rPr>
                <w:rFonts w:hint="eastAsia" w:ascii="宋体" w:hAnsi="宋体" w:eastAsia="宋体" w:cs="宋体"/>
                <w:kern w:val="0"/>
                <w:szCs w:val="21"/>
                <w:highlight w:val="none"/>
              </w:rPr>
              <w:t>毕业于</w:t>
            </w:r>
            <w:r>
              <w:rPr>
                <w:rFonts w:ascii="宋体" w:hAnsi="宋体" w:eastAsia="宋体" w:cs="宋体"/>
                <w:kern w:val="0"/>
                <w:szCs w:val="21"/>
                <w:highlight w:val="none"/>
              </w:rPr>
              <w:tab/>
            </w:r>
            <w:r>
              <w:rPr>
                <w:rFonts w:hint="eastAsia" w:ascii="宋体" w:hAnsi="宋体" w:eastAsia="宋体" w:cs="宋体"/>
                <w:kern w:val="0"/>
                <w:szCs w:val="21"/>
                <w:highlight w:val="none"/>
              </w:rPr>
              <w:t>学校</w:t>
            </w:r>
            <w:r>
              <w:rPr>
                <w:rFonts w:ascii="宋体" w:hAnsi="宋体" w:eastAsia="宋体" w:cs="宋体"/>
                <w:kern w:val="0"/>
                <w:szCs w:val="21"/>
                <w:highlight w:val="none"/>
              </w:rPr>
              <w:tab/>
            </w:r>
            <w:r>
              <w:rPr>
                <w:rFonts w:hint="eastAsia" w:ascii="宋体" w:hAnsi="宋体" w:eastAsia="宋体" w:cs="宋体"/>
                <w:kern w:val="0"/>
                <w:szCs w:val="21"/>
                <w:highlight w:val="none"/>
              </w:rPr>
              <w:t>专业</w:t>
            </w:r>
          </w:p>
        </w:tc>
      </w:tr>
      <w:tr w14:paraId="5F7BE9F8">
        <w:tblPrEx>
          <w:tblCellMar>
            <w:top w:w="0" w:type="dxa"/>
            <w:left w:w="0" w:type="dxa"/>
            <w:bottom w:w="0" w:type="dxa"/>
            <w:right w:w="0" w:type="dxa"/>
          </w:tblCellMar>
        </w:tblPrEx>
        <w:trPr>
          <w:trHeight w:val="566" w:hRule="atLeast"/>
        </w:trPr>
        <w:tc>
          <w:tcPr>
            <w:tcW w:w="9180" w:type="dxa"/>
            <w:gridSpan w:val="9"/>
            <w:tcBorders>
              <w:top w:val="single" w:color="000000" w:sz="4" w:space="0"/>
              <w:left w:val="single" w:color="000000" w:sz="4" w:space="0"/>
              <w:bottom w:val="single" w:color="000000" w:sz="4" w:space="0"/>
              <w:right w:val="single" w:color="000000" w:sz="4" w:space="0"/>
            </w:tcBorders>
            <w:noWrap w:val="0"/>
            <w:vAlign w:val="top"/>
          </w:tcPr>
          <w:p w14:paraId="1AD4D4BD">
            <w:pPr>
              <w:kinsoku w:val="0"/>
              <w:overflowPunct w:val="0"/>
              <w:autoSpaceDE w:val="0"/>
              <w:autoSpaceDN w:val="0"/>
              <w:adjustRightInd w:val="0"/>
              <w:spacing w:before="80"/>
              <w:ind w:left="3938" w:right="3932"/>
              <w:jc w:val="center"/>
              <w:rPr>
                <w:rFonts w:ascii="宋体" w:hAnsi="宋体" w:eastAsia="宋体" w:cs="宋体"/>
                <w:kern w:val="0"/>
                <w:szCs w:val="21"/>
                <w:highlight w:val="none"/>
              </w:rPr>
            </w:pPr>
            <w:r>
              <w:rPr>
                <w:rFonts w:hint="eastAsia" w:ascii="宋体" w:hAnsi="宋体" w:eastAsia="宋体" w:cs="宋体"/>
                <w:kern w:val="0"/>
                <w:szCs w:val="21"/>
                <w:highlight w:val="none"/>
              </w:rPr>
              <w:t>主要工作经历</w:t>
            </w:r>
          </w:p>
        </w:tc>
      </w:tr>
      <w:tr w14:paraId="06A04B20">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noWrap w:val="0"/>
            <w:vAlign w:val="top"/>
          </w:tcPr>
          <w:p w14:paraId="56725439">
            <w:pPr>
              <w:kinsoku w:val="0"/>
              <w:overflowPunct w:val="0"/>
              <w:autoSpaceDE w:val="0"/>
              <w:autoSpaceDN w:val="0"/>
              <w:adjustRightInd w:val="0"/>
              <w:spacing w:before="79"/>
              <w:ind w:left="416"/>
              <w:jc w:val="left"/>
              <w:rPr>
                <w:rFonts w:ascii="宋体" w:hAnsi="宋体" w:eastAsia="宋体" w:cs="宋体"/>
                <w:kern w:val="0"/>
                <w:szCs w:val="21"/>
                <w:highlight w:val="none"/>
              </w:rPr>
            </w:pPr>
            <w:r>
              <w:rPr>
                <w:rFonts w:hint="eastAsia" w:ascii="宋体" w:hAnsi="宋体" w:eastAsia="宋体" w:cs="宋体"/>
                <w:kern w:val="0"/>
                <w:szCs w:val="21"/>
                <w:highlight w:val="none"/>
              </w:rPr>
              <w:t>时间</w:t>
            </w:r>
          </w:p>
        </w:tc>
        <w:tc>
          <w:tcPr>
            <w:tcW w:w="3931" w:type="dxa"/>
            <w:gridSpan w:val="4"/>
            <w:tcBorders>
              <w:top w:val="single" w:color="000000" w:sz="4" w:space="0"/>
              <w:left w:val="single" w:color="000000" w:sz="4" w:space="0"/>
              <w:bottom w:val="single" w:color="000000" w:sz="4" w:space="0"/>
              <w:right w:val="single" w:color="000000" w:sz="4" w:space="0"/>
            </w:tcBorders>
            <w:noWrap w:val="0"/>
            <w:vAlign w:val="top"/>
          </w:tcPr>
          <w:p w14:paraId="3709B9D8">
            <w:pPr>
              <w:kinsoku w:val="0"/>
              <w:overflowPunct w:val="0"/>
              <w:autoSpaceDE w:val="0"/>
              <w:autoSpaceDN w:val="0"/>
              <w:adjustRightInd w:val="0"/>
              <w:spacing w:before="79"/>
              <w:ind w:left="1124"/>
              <w:jc w:val="left"/>
              <w:rPr>
                <w:rFonts w:ascii="宋体" w:hAnsi="宋体" w:eastAsia="宋体" w:cs="宋体"/>
                <w:kern w:val="0"/>
                <w:szCs w:val="21"/>
                <w:highlight w:val="none"/>
              </w:rPr>
            </w:pPr>
            <w:r>
              <w:rPr>
                <w:rFonts w:hint="eastAsia" w:ascii="宋体" w:hAnsi="宋体" w:eastAsia="宋体" w:cs="宋体"/>
                <w:kern w:val="0"/>
                <w:szCs w:val="21"/>
                <w:highlight w:val="none"/>
              </w:rPr>
              <w:t>参加过的类似项目</w:t>
            </w:r>
          </w:p>
        </w:tc>
        <w:tc>
          <w:tcPr>
            <w:tcW w:w="1780" w:type="dxa"/>
            <w:gridSpan w:val="2"/>
            <w:tcBorders>
              <w:top w:val="single" w:color="000000" w:sz="4" w:space="0"/>
              <w:left w:val="single" w:color="000000" w:sz="4" w:space="0"/>
              <w:bottom w:val="single" w:color="000000" w:sz="4" w:space="0"/>
              <w:right w:val="single" w:color="000000" w:sz="4" w:space="0"/>
            </w:tcBorders>
            <w:noWrap w:val="0"/>
            <w:vAlign w:val="top"/>
          </w:tcPr>
          <w:p w14:paraId="255C9624">
            <w:pPr>
              <w:kinsoku w:val="0"/>
              <w:overflowPunct w:val="0"/>
              <w:autoSpaceDE w:val="0"/>
              <w:autoSpaceDN w:val="0"/>
              <w:adjustRightInd w:val="0"/>
              <w:spacing w:before="79"/>
              <w:ind w:left="469"/>
              <w:jc w:val="left"/>
              <w:rPr>
                <w:rFonts w:ascii="宋体" w:hAnsi="宋体" w:eastAsia="宋体" w:cs="宋体"/>
                <w:kern w:val="0"/>
                <w:szCs w:val="21"/>
                <w:highlight w:val="none"/>
              </w:rPr>
            </w:pPr>
            <w:r>
              <w:rPr>
                <w:rFonts w:hint="eastAsia" w:ascii="宋体" w:hAnsi="宋体" w:eastAsia="宋体" w:cs="宋体"/>
                <w:kern w:val="0"/>
                <w:szCs w:val="21"/>
                <w:highlight w:val="none"/>
              </w:rPr>
              <w:t>担任职务</w:t>
            </w: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38B4BBA5">
            <w:pPr>
              <w:kinsoku w:val="0"/>
              <w:overflowPunct w:val="0"/>
              <w:autoSpaceDE w:val="0"/>
              <w:autoSpaceDN w:val="0"/>
              <w:adjustRightInd w:val="0"/>
              <w:spacing w:before="79"/>
              <w:ind w:left="771" w:right="765"/>
              <w:jc w:val="center"/>
              <w:rPr>
                <w:rFonts w:ascii="宋体" w:hAnsi="宋体" w:eastAsia="宋体" w:cs="宋体"/>
                <w:kern w:val="0"/>
                <w:szCs w:val="21"/>
                <w:highlight w:val="none"/>
              </w:rPr>
            </w:pPr>
            <w:r>
              <w:rPr>
                <w:rFonts w:hint="eastAsia" w:ascii="宋体" w:hAnsi="宋体" w:eastAsia="宋体" w:cs="宋体"/>
                <w:kern w:val="0"/>
                <w:szCs w:val="21"/>
                <w:highlight w:val="none"/>
              </w:rPr>
              <w:t>发包人</w:t>
            </w:r>
          </w:p>
        </w:tc>
      </w:tr>
      <w:tr w14:paraId="5840992B">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noWrap w:val="0"/>
            <w:vAlign w:val="top"/>
          </w:tcPr>
          <w:p w14:paraId="5C0BD7A4">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noWrap w:val="0"/>
            <w:vAlign w:val="top"/>
          </w:tcPr>
          <w:p w14:paraId="06DB1A8D">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noWrap w:val="0"/>
            <w:vAlign w:val="top"/>
          </w:tcPr>
          <w:p w14:paraId="3560DB23">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7C237574">
            <w:pPr>
              <w:kinsoku w:val="0"/>
              <w:overflowPunct w:val="0"/>
              <w:autoSpaceDE w:val="0"/>
              <w:autoSpaceDN w:val="0"/>
              <w:adjustRightInd w:val="0"/>
              <w:jc w:val="left"/>
              <w:rPr>
                <w:rFonts w:ascii="宋体" w:hAnsi="宋体" w:eastAsia="宋体"/>
                <w:kern w:val="0"/>
                <w:sz w:val="20"/>
                <w:szCs w:val="20"/>
                <w:highlight w:val="none"/>
              </w:rPr>
            </w:pPr>
          </w:p>
        </w:tc>
      </w:tr>
      <w:tr w14:paraId="67E2C1CF">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noWrap w:val="0"/>
            <w:vAlign w:val="top"/>
          </w:tcPr>
          <w:p w14:paraId="5484FBC8">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noWrap w:val="0"/>
            <w:vAlign w:val="top"/>
          </w:tcPr>
          <w:p w14:paraId="0ADF6F0D">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noWrap w:val="0"/>
            <w:vAlign w:val="top"/>
          </w:tcPr>
          <w:p w14:paraId="5BDCFBCD">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760DF201">
            <w:pPr>
              <w:kinsoku w:val="0"/>
              <w:overflowPunct w:val="0"/>
              <w:autoSpaceDE w:val="0"/>
              <w:autoSpaceDN w:val="0"/>
              <w:adjustRightInd w:val="0"/>
              <w:jc w:val="left"/>
              <w:rPr>
                <w:rFonts w:ascii="宋体" w:hAnsi="宋体" w:eastAsia="宋体"/>
                <w:kern w:val="0"/>
                <w:sz w:val="20"/>
                <w:szCs w:val="20"/>
                <w:highlight w:val="none"/>
              </w:rPr>
            </w:pPr>
          </w:p>
        </w:tc>
      </w:tr>
      <w:tr w14:paraId="7A99B659">
        <w:tblPrEx>
          <w:tblCellMar>
            <w:top w:w="0" w:type="dxa"/>
            <w:left w:w="0" w:type="dxa"/>
            <w:bottom w:w="0" w:type="dxa"/>
            <w:right w:w="0" w:type="dxa"/>
          </w:tblCellMar>
        </w:tblPrEx>
        <w:trPr>
          <w:trHeight w:val="567" w:hRule="atLeast"/>
        </w:trPr>
        <w:tc>
          <w:tcPr>
            <w:tcW w:w="1253" w:type="dxa"/>
            <w:tcBorders>
              <w:top w:val="single" w:color="000000" w:sz="4" w:space="0"/>
              <w:left w:val="single" w:color="000000" w:sz="4" w:space="0"/>
              <w:bottom w:val="single" w:color="000000" w:sz="4" w:space="0"/>
              <w:right w:val="single" w:color="000000" w:sz="4" w:space="0"/>
            </w:tcBorders>
            <w:noWrap w:val="0"/>
            <w:vAlign w:val="top"/>
          </w:tcPr>
          <w:p w14:paraId="2A2AAEE6">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noWrap w:val="0"/>
            <w:vAlign w:val="top"/>
          </w:tcPr>
          <w:p w14:paraId="5D2ADD7A">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noWrap w:val="0"/>
            <w:vAlign w:val="top"/>
          </w:tcPr>
          <w:p w14:paraId="18193E93">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26F0E7E8">
            <w:pPr>
              <w:kinsoku w:val="0"/>
              <w:overflowPunct w:val="0"/>
              <w:autoSpaceDE w:val="0"/>
              <w:autoSpaceDN w:val="0"/>
              <w:adjustRightInd w:val="0"/>
              <w:jc w:val="left"/>
              <w:rPr>
                <w:rFonts w:ascii="宋体" w:hAnsi="宋体" w:eastAsia="宋体"/>
                <w:kern w:val="0"/>
                <w:sz w:val="20"/>
                <w:szCs w:val="20"/>
                <w:highlight w:val="none"/>
              </w:rPr>
            </w:pPr>
          </w:p>
        </w:tc>
      </w:tr>
      <w:tr w14:paraId="29564E84">
        <w:tblPrEx>
          <w:tblCellMar>
            <w:top w:w="0" w:type="dxa"/>
            <w:left w:w="0" w:type="dxa"/>
            <w:bottom w:w="0" w:type="dxa"/>
            <w:right w:w="0" w:type="dxa"/>
          </w:tblCellMar>
        </w:tblPrEx>
        <w:trPr>
          <w:trHeight w:val="566" w:hRule="atLeast"/>
        </w:trPr>
        <w:tc>
          <w:tcPr>
            <w:tcW w:w="1253" w:type="dxa"/>
            <w:tcBorders>
              <w:top w:val="single" w:color="000000" w:sz="4" w:space="0"/>
              <w:left w:val="single" w:color="000000" w:sz="4" w:space="0"/>
              <w:bottom w:val="single" w:color="000000" w:sz="4" w:space="0"/>
              <w:right w:val="single" w:color="000000" w:sz="4" w:space="0"/>
            </w:tcBorders>
            <w:noWrap w:val="0"/>
            <w:vAlign w:val="top"/>
          </w:tcPr>
          <w:p w14:paraId="1DA6E111">
            <w:pPr>
              <w:kinsoku w:val="0"/>
              <w:overflowPunct w:val="0"/>
              <w:autoSpaceDE w:val="0"/>
              <w:autoSpaceDN w:val="0"/>
              <w:adjustRightInd w:val="0"/>
              <w:jc w:val="left"/>
              <w:rPr>
                <w:rFonts w:ascii="宋体" w:hAnsi="宋体" w:eastAsia="宋体"/>
                <w:kern w:val="0"/>
                <w:sz w:val="20"/>
                <w:szCs w:val="20"/>
                <w:highlight w:val="none"/>
              </w:rPr>
            </w:pPr>
          </w:p>
        </w:tc>
        <w:tc>
          <w:tcPr>
            <w:tcW w:w="3931" w:type="dxa"/>
            <w:gridSpan w:val="4"/>
            <w:tcBorders>
              <w:top w:val="single" w:color="000000" w:sz="4" w:space="0"/>
              <w:left w:val="single" w:color="000000" w:sz="4" w:space="0"/>
              <w:bottom w:val="single" w:color="000000" w:sz="4" w:space="0"/>
              <w:right w:val="single" w:color="000000" w:sz="4" w:space="0"/>
            </w:tcBorders>
            <w:noWrap w:val="0"/>
            <w:vAlign w:val="top"/>
          </w:tcPr>
          <w:p w14:paraId="642211DB">
            <w:pPr>
              <w:kinsoku w:val="0"/>
              <w:overflowPunct w:val="0"/>
              <w:autoSpaceDE w:val="0"/>
              <w:autoSpaceDN w:val="0"/>
              <w:adjustRightInd w:val="0"/>
              <w:jc w:val="left"/>
              <w:rPr>
                <w:rFonts w:ascii="宋体" w:hAnsi="宋体" w:eastAsia="宋体"/>
                <w:kern w:val="0"/>
                <w:sz w:val="20"/>
                <w:szCs w:val="20"/>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noWrap w:val="0"/>
            <w:vAlign w:val="top"/>
          </w:tcPr>
          <w:p w14:paraId="2422201B">
            <w:pPr>
              <w:kinsoku w:val="0"/>
              <w:overflowPunct w:val="0"/>
              <w:autoSpaceDE w:val="0"/>
              <w:autoSpaceDN w:val="0"/>
              <w:adjustRightInd w:val="0"/>
              <w:jc w:val="left"/>
              <w:rPr>
                <w:rFonts w:ascii="宋体" w:hAnsi="宋体" w:eastAsia="宋体"/>
                <w:kern w:val="0"/>
                <w:sz w:val="20"/>
                <w:szCs w:val="20"/>
                <w:highlight w:val="none"/>
              </w:rPr>
            </w:pP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00695DD4">
            <w:pPr>
              <w:kinsoku w:val="0"/>
              <w:overflowPunct w:val="0"/>
              <w:autoSpaceDE w:val="0"/>
              <w:autoSpaceDN w:val="0"/>
              <w:adjustRightInd w:val="0"/>
              <w:jc w:val="left"/>
              <w:rPr>
                <w:rFonts w:ascii="宋体" w:hAnsi="宋体" w:eastAsia="宋体"/>
                <w:kern w:val="0"/>
                <w:sz w:val="20"/>
                <w:szCs w:val="20"/>
                <w:highlight w:val="none"/>
              </w:rPr>
            </w:pPr>
          </w:p>
        </w:tc>
      </w:tr>
    </w:tbl>
    <w:p w14:paraId="38EE53A1">
      <w:pPr>
        <w:wordWrap w:val="0"/>
        <w:topLinePunct/>
        <w:spacing w:after="120"/>
        <w:ind w:left="420" w:leftChars="200" w:firstLine="420" w:firstLineChars="200"/>
        <w:rPr>
          <w:rFonts w:ascii="宋体" w:hAnsi="宋体" w:eastAsia="宋体" w:cs="宋体"/>
          <w:szCs w:val="21"/>
          <w:highlight w:val="none"/>
        </w:rPr>
      </w:pPr>
    </w:p>
    <w:p w14:paraId="5AC24C1E">
      <w:pPr>
        <w:keepNext/>
        <w:keepLines/>
        <w:numPr>
          <w:ilvl w:val="0"/>
          <w:numId w:val="12"/>
        </w:numPr>
        <w:tabs>
          <w:tab w:val="left" w:pos="840"/>
        </w:tabs>
        <w:wordWrap w:val="0"/>
        <w:topLinePunct/>
        <w:spacing w:line="360" w:lineRule="auto"/>
        <w:outlineLvl w:val="1"/>
        <w:rPr>
          <w:rFonts w:ascii="宋体" w:hAnsi="宋体" w:eastAsia="宋体" w:cs="宋体"/>
          <w:b/>
          <w:bCs/>
          <w:sz w:val="28"/>
          <w:szCs w:val="28"/>
          <w:highlight w:val="none"/>
        </w:rPr>
      </w:pPr>
      <w:r>
        <w:rPr>
          <w:rFonts w:hint="eastAsia" w:ascii="宋体" w:hAnsi="宋体" w:eastAsia="宋体" w:cs="宋体"/>
          <w:b/>
          <w:bCs/>
          <w:sz w:val="24"/>
          <w:szCs w:val="21"/>
          <w:highlight w:val="none"/>
        </w:rPr>
        <w:br w:type="page"/>
      </w:r>
      <w:bookmarkStart w:id="574" w:name="_Toc23774499"/>
      <w:r>
        <w:rPr>
          <w:rFonts w:hint="eastAsia" w:ascii="宋体" w:hAnsi="宋体" w:eastAsia="宋体" w:cs="宋体"/>
          <w:b/>
          <w:bCs/>
          <w:sz w:val="28"/>
          <w:szCs w:val="28"/>
          <w:highlight w:val="none"/>
        </w:rPr>
        <w:t>近年完成的类似项目清单</w:t>
      </w:r>
      <w:bookmarkEnd w:id="543"/>
      <w:bookmarkEnd w:id="57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7310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97D8819">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094" w:type="dxa"/>
            <w:noWrap w:val="0"/>
            <w:vAlign w:val="center"/>
          </w:tcPr>
          <w:p w14:paraId="0F9C0694">
            <w:pPr>
              <w:wordWrap w:val="0"/>
              <w:topLinePunct/>
              <w:spacing w:line="360" w:lineRule="auto"/>
              <w:jc w:val="center"/>
              <w:rPr>
                <w:rFonts w:ascii="宋体" w:hAnsi="宋体" w:eastAsia="宋体" w:cs="宋体"/>
                <w:sz w:val="28"/>
                <w:szCs w:val="28"/>
                <w:highlight w:val="none"/>
              </w:rPr>
            </w:pPr>
          </w:p>
        </w:tc>
      </w:tr>
      <w:tr w14:paraId="7FF8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C92FE50">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项目所在地</w:t>
            </w:r>
          </w:p>
        </w:tc>
        <w:tc>
          <w:tcPr>
            <w:tcW w:w="6094" w:type="dxa"/>
            <w:noWrap w:val="0"/>
            <w:vAlign w:val="center"/>
          </w:tcPr>
          <w:p w14:paraId="7A94C82E">
            <w:pPr>
              <w:wordWrap w:val="0"/>
              <w:topLinePunct/>
              <w:spacing w:line="360" w:lineRule="auto"/>
              <w:jc w:val="center"/>
              <w:rPr>
                <w:rFonts w:ascii="宋体" w:hAnsi="宋体" w:eastAsia="宋体" w:cs="宋体"/>
                <w:sz w:val="28"/>
                <w:szCs w:val="28"/>
                <w:highlight w:val="none"/>
              </w:rPr>
            </w:pPr>
          </w:p>
        </w:tc>
      </w:tr>
      <w:tr w14:paraId="4BD4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BA8491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发包人名称</w:t>
            </w:r>
          </w:p>
        </w:tc>
        <w:tc>
          <w:tcPr>
            <w:tcW w:w="6094" w:type="dxa"/>
            <w:noWrap w:val="0"/>
            <w:vAlign w:val="center"/>
          </w:tcPr>
          <w:p w14:paraId="0FDC1CCB">
            <w:pPr>
              <w:wordWrap w:val="0"/>
              <w:topLinePunct/>
              <w:spacing w:line="360" w:lineRule="auto"/>
              <w:jc w:val="center"/>
              <w:rPr>
                <w:rFonts w:ascii="宋体" w:hAnsi="宋体" w:eastAsia="宋体" w:cs="宋体"/>
                <w:sz w:val="28"/>
                <w:szCs w:val="28"/>
                <w:highlight w:val="none"/>
              </w:rPr>
            </w:pPr>
          </w:p>
        </w:tc>
      </w:tr>
      <w:tr w14:paraId="0AE7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220AF1A">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发包人地址</w:t>
            </w:r>
          </w:p>
        </w:tc>
        <w:tc>
          <w:tcPr>
            <w:tcW w:w="6094" w:type="dxa"/>
            <w:noWrap w:val="0"/>
            <w:vAlign w:val="center"/>
          </w:tcPr>
          <w:p w14:paraId="146CCAFE">
            <w:pPr>
              <w:wordWrap w:val="0"/>
              <w:topLinePunct/>
              <w:spacing w:line="360" w:lineRule="auto"/>
              <w:jc w:val="center"/>
              <w:rPr>
                <w:rFonts w:ascii="宋体" w:hAnsi="宋体" w:eastAsia="宋体" w:cs="宋体"/>
                <w:sz w:val="28"/>
                <w:szCs w:val="28"/>
                <w:highlight w:val="none"/>
              </w:rPr>
            </w:pPr>
          </w:p>
        </w:tc>
      </w:tr>
      <w:tr w14:paraId="7B60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2CB0AF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发包人联系人及电话</w:t>
            </w:r>
          </w:p>
        </w:tc>
        <w:tc>
          <w:tcPr>
            <w:tcW w:w="6094" w:type="dxa"/>
            <w:noWrap w:val="0"/>
            <w:vAlign w:val="center"/>
          </w:tcPr>
          <w:p w14:paraId="719B8351">
            <w:pPr>
              <w:wordWrap w:val="0"/>
              <w:topLinePunct/>
              <w:spacing w:line="360" w:lineRule="auto"/>
              <w:jc w:val="center"/>
              <w:rPr>
                <w:rFonts w:ascii="宋体" w:hAnsi="宋体" w:eastAsia="宋体" w:cs="宋体"/>
                <w:sz w:val="28"/>
                <w:szCs w:val="28"/>
                <w:highlight w:val="none"/>
              </w:rPr>
            </w:pPr>
          </w:p>
        </w:tc>
      </w:tr>
      <w:tr w14:paraId="3B25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F40245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合同价格</w:t>
            </w:r>
          </w:p>
        </w:tc>
        <w:tc>
          <w:tcPr>
            <w:tcW w:w="6094" w:type="dxa"/>
            <w:noWrap w:val="0"/>
            <w:vAlign w:val="center"/>
          </w:tcPr>
          <w:p w14:paraId="4855443A">
            <w:pPr>
              <w:wordWrap w:val="0"/>
              <w:topLinePunct/>
              <w:spacing w:line="360" w:lineRule="auto"/>
              <w:jc w:val="center"/>
              <w:rPr>
                <w:rFonts w:ascii="宋体" w:hAnsi="宋体" w:eastAsia="宋体" w:cs="宋体"/>
                <w:sz w:val="28"/>
                <w:szCs w:val="28"/>
                <w:highlight w:val="none"/>
              </w:rPr>
            </w:pPr>
          </w:p>
        </w:tc>
      </w:tr>
      <w:tr w14:paraId="24A2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267A335">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开工日期</w:t>
            </w:r>
          </w:p>
        </w:tc>
        <w:tc>
          <w:tcPr>
            <w:tcW w:w="6094" w:type="dxa"/>
            <w:noWrap w:val="0"/>
            <w:vAlign w:val="center"/>
          </w:tcPr>
          <w:p w14:paraId="2B9FF0EA">
            <w:pPr>
              <w:wordWrap w:val="0"/>
              <w:topLinePunct/>
              <w:spacing w:line="360" w:lineRule="auto"/>
              <w:jc w:val="center"/>
              <w:rPr>
                <w:rFonts w:ascii="宋体" w:hAnsi="宋体" w:eastAsia="宋体" w:cs="宋体"/>
                <w:sz w:val="28"/>
                <w:szCs w:val="28"/>
                <w:highlight w:val="none"/>
              </w:rPr>
            </w:pPr>
          </w:p>
        </w:tc>
      </w:tr>
      <w:tr w14:paraId="3048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AF6616D">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竣工日期</w:t>
            </w:r>
          </w:p>
        </w:tc>
        <w:tc>
          <w:tcPr>
            <w:tcW w:w="6094" w:type="dxa"/>
            <w:noWrap w:val="0"/>
            <w:vAlign w:val="center"/>
          </w:tcPr>
          <w:p w14:paraId="3334EA18">
            <w:pPr>
              <w:wordWrap w:val="0"/>
              <w:topLinePunct/>
              <w:spacing w:line="360" w:lineRule="auto"/>
              <w:jc w:val="center"/>
              <w:rPr>
                <w:rFonts w:ascii="宋体" w:hAnsi="宋体" w:eastAsia="宋体" w:cs="宋体"/>
                <w:sz w:val="28"/>
                <w:szCs w:val="28"/>
                <w:highlight w:val="none"/>
              </w:rPr>
            </w:pPr>
          </w:p>
        </w:tc>
      </w:tr>
      <w:tr w14:paraId="6F1B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894B45C">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承担的工作</w:t>
            </w:r>
          </w:p>
        </w:tc>
        <w:tc>
          <w:tcPr>
            <w:tcW w:w="6094" w:type="dxa"/>
            <w:noWrap w:val="0"/>
            <w:vAlign w:val="center"/>
          </w:tcPr>
          <w:p w14:paraId="470C0339">
            <w:pPr>
              <w:wordWrap w:val="0"/>
              <w:topLinePunct/>
              <w:spacing w:line="360" w:lineRule="auto"/>
              <w:jc w:val="center"/>
              <w:rPr>
                <w:rFonts w:ascii="宋体" w:hAnsi="宋体" w:eastAsia="宋体" w:cs="宋体"/>
                <w:sz w:val="28"/>
                <w:szCs w:val="28"/>
                <w:highlight w:val="none"/>
              </w:rPr>
            </w:pPr>
          </w:p>
        </w:tc>
      </w:tr>
      <w:tr w14:paraId="7B53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D97987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工程质量</w:t>
            </w:r>
          </w:p>
        </w:tc>
        <w:tc>
          <w:tcPr>
            <w:tcW w:w="6094" w:type="dxa"/>
            <w:noWrap w:val="0"/>
            <w:vAlign w:val="center"/>
          </w:tcPr>
          <w:p w14:paraId="6EC93AB5">
            <w:pPr>
              <w:wordWrap w:val="0"/>
              <w:topLinePunct/>
              <w:spacing w:line="360" w:lineRule="auto"/>
              <w:jc w:val="center"/>
              <w:rPr>
                <w:rFonts w:ascii="宋体" w:hAnsi="宋体" w:eastAsia="宋体" w:cs="宋体"/>
                <w:sz w:val="28"/>
                <w:szCs w:val="28"/>
                <w:highlight w:val="none"/>
              </w:rPr>
            </w:pPr>
          </w:p>
        </w:tc>
      </w:tr>
      <w:tr w14:paraId="22F3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8271404">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6094" w:type="dxa"/>
            <w:noWrap w:val="0"/>
            <w:vAlign w:val="center"/>
          </w:tcPr>
          <w:p w14:paraId="1B5C6219">
            <w:pPr>
              <w:wordWrap w:val="0"/>
              <w:topLinePunct/>
              <w:spacing w:line="360" w:lineRule="auto"/>
              <w:jc w:val="center"/>
              <w:rPr>
                <w:rFonts w:ascii="宋体" w:hAnsi="宋体" w:eastAsia="宋体" w:cs="宋体"/>
                <w:sz w:val="28"/>
                <w:szCs w:val="28"/>
                <w:highlight w:val="none"/>
              </w:rPr>
            </w:pPr>
          </w:p>
        </w:tc>
      </w:tr>
      <w:tr w14:paraId="670B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9CA987F">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技术负责人</w:t>
            </w:r>
          </w:p>
        </w:tc>
        <w:tc>
          <w:tcPr>
            <w:tcW w:w="6094" w:type="dxa"/>
            <w:noWrap w:val="0"/>
            <w:vAlign w:val="center"/>
          </w:tcPr>
          <w:p w14:paraId="4442EC64">
            <w:pPr>
              <w:wordWrap w:val="0"/>
              <w:topLinePunct/>
              <w:spacing w:line="360" w:lineRule="auto"/>
              <w:jc w:val="center"/>
              <w:rPr>
                <w:rFonts w:ascii="宋体" w:hAnsi="宋体" w:eastAsia="宋体" w:cs="宋体"/>
                <w:sz w:val="28"/>
                <w:szCs w:val="28"/>
                <w:highlight w:val="none"/>
              </w:rPr>
            </w:pPr>
          </w:p>
        </w:tc>
      </w:tr>
      <w:tr w14:paraId="0679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411" w:type="dxa"/>
            <w:noWrap w:val="0"/>
            <w:vAlign w:val="center"/>
          </w:tcPr>
          <w:p w14:paraId="0CF2B268">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项目描述</w:t>
            </w:r>
          </w:p>
        </w:tc>
        <w:tc>
          <w:tcPr>
            <w:tcW w:w="6094" w:type="dxa"/>
            <w:noWrap w:val="0"/>
            <w:vAlign w:val="center"/>
          </w:tcPr>
          <w:p w14:paraId="33AFC029">
            <w:pPr>
              <w:wordWrap w:val="0"/>
              <w:topLinePunct/>
              <w:spacing w:line="360" w:lineRule="auto"/>
              <w:jc w:val="center"/>
              <w:rPr>
                <w:rFonts w:ascii="宋体" w:hAnsi="宋体" w:eastAsia="宋体" w:cs="宋体"/>
                <w:sz w:val="28"/>
                <w:szCs w:val="28"/>
                <w:highlight w:val="none"/>
              </w:rPr>
            </w:pPr>
          </w:p>
        </w:tc>
      </w:tr>
      <w:tr w14:paraId="4455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98145C1">
            <w:pPr>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6094" w:type="dxa"/>
            <w:noWrap w:val="0"/>
            <w:vAlign w:val="center"/>
          </w:tcPr>
          <w:p w14:paraId="57176DB8">
            <w:pPr>
              <w:wordWrap w:val="0"/>
              <w:topLinePunct/>
              <w:spacing w:line="360" w:lineRule="auto"/>
              <w:jc w:val="center"/>
              <w:rPr>
                <w:rFonts w:ascii="宋体" w:hAnsi="宋体" w:eastAsia="宋体" w:cs="宋体"/>
                <w:sz w:val="28"/>
                <w:szCs w:val="28"/>
                <w:highlight w:val="none"/>
              </w:rPr>
            </w:pPr>
          </w:p>
        </w:tc>
      </w:tr>
    </w:tbl>
    <w:p w14:paraId="62CDDCED">
      <w:pPr>
        <w:keepNext/>
        <w:keepLines/>
        <w:tabs>
          <w:tab w:val="left" w:pos="840"/>
        </w:tabs>
        <w:wordWrap w:val="0"/>
        <w:topLinePunct/>
        <w:spacing w:line="360" w:lineRule="auto"/>
        <w:jc w:val="center"/>
        <w:outlineLvl w:val="1"/>
        <w:rPr>
          <w:rFonts w:hint="eastAsia" w:ascii="宋体" w:hAnsi="宋体" w:eastAsia="宋体" w:cs="宋体"/>
          <w:b/>
          <w:bCs/>
          <w:sz w:val="28"/>
          <w:szCs w:val="28"/>
          <w:highlight w:val="none"/>
          <w:lang w:eastAsia="zh-CN"/>
        </w:rPr>
      </w:pPr>
      <w:bookmarkStart w:id="575" w:name="_Toc23774500"/>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九、</w:t>
      </w:r>
      <w:bookmarkEnd w:id="575"/>
      <w:r>
        <w:rPr>
          <w:rFonts w:hint="eastAsia" w:ascii="宋体" w:hAnsi="宋体" w:eastAsia="宋体" w:cs="宋体"/>
          <w:b/>
          <w:bCs/>
          <w:sz w:val="28"/>
          <w:szCs w:val="28"/>
          <w:highlight w:val="none"/>
          <w:lang w:eastAsia="zh-CN"/>
        </w:rPr>
        <w:t>服务承诺</w:t>
      </w:r>
    </w:p>
    <w:p w14:paraId="697E0C02">
      <w:pPr>
        <w:widowControl/>
        <w:jc w:val="left"/>
        <w:rPr>
          <w:rFonts w:ascii="宋体" w:hAnsi="宋体" w:eastAsia="宋体" w:cs="宋体"/>
          <w:b/>
          <w:bCs/>
          <w:sz w:val="28"/>
          <w:szCs w:val="28"/>
          <w:highlight w:val="none"/>
        </w:rPr>
      </w:pPr>
      <w:bookmarkStart w:id="576" w:name="_Toc23774501"/>
      <w:r>
        <w:rPr>
          <w:rFonts w:ascii="宋体" w:hAnsi="宋体" w:eastAsia="宋体" w:cs="宋体"/>
          <w:b/>
          <w:bCs/>
          <w:sz w:val="28"/>
          <w:szCs w:val="28"/>
          <w:highlight w:val="none"/>
        </w:rPr>
        <w:br w:type="page"/>
      </w:r>
    </w:p>
    <w:p w14:paraId="3B76EA1B">
      <w:pPr>
        <w:keepNext/>
        <w:keepLines/>
        <w:tabs>
          <w:tab w:val="left" w:pos="840"/>
        </w:tabs>
        <w:wordWrap w:val="0"/>
        <w:topLinePunct/>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十、磋商文件要求提供的其它资料</w:t>
      </w:r>
      <w:bookmarkEnd w:id="576"/>
      <w:bookmarkStart w:id="577" w:name="_Toc20487"/>
      <w:bookmarkStart w:id="578" w:name="_Toc355809725"/>
      <w:bookmarkStart w:id="579" w:name="_Toc339972632"/>
      <w:bookmarkStart w:id="580" w:name="_Toc28100"/>
      <w:bookmarkStart w:id="581" w:name="_Toc275795959"/>
    </w:p>
    <w:bookmarkEnd w:id="577"/>
    <w:bookmarkEnd w:id="578"/>
    <w:bookmarkEnd w:id="579"/>
    <w:bookmarkEnd w:id="580"/>
    <w:bookmarkEnd w:id="581"/>
    <w:p w14:paraId="2787C645">
      <w:pPr>
        <w:keepNext/>
        <w:keepLines/>
        <w:tabs>
          <w:tab w:val="left" w:pos="420"/>
          <w:tab w:val="left" w:pos="840"/>
        </w:tabs>
        <w:spacing w:line="360" w:lineRule="auto"/>
        <w:jc w:val="center"/>
        <w:outlineLvl w:val="1"/>
        <w:rPr>
          <w:rFonts w:ascii="宋体" w:hAnsi="宋体" w:eastAsia="宋体"/>
          <w:b/>
          <w:bCs/>
          <w:sz w:val="24"/>
          <w:szCs w:val="28"/>
          <w:highlight w:val="none"/>
        </w:rPr>
      </w:pPr>
      <w:r>
        <w:rPr>
          <w:rFonts w:hint="eastAsia" w:ascii="宋体" w:hAnsi="宋体" w:eastAsia="宋体"/>
          <w:b/>
          <w:bCs/>
          <w:sz w:val="24"/>
          <w:szCs w:val="28"/>
          <w:highlight w:val="none"/>
        </w:rPr>
        <w:t>资格条件所要求内容，及磋商文件要求提供的其他内容。</w:t>
      </w:r>
    </w:p>
    <w:p w14:paraId="5C8B1077">
      <w:pPr>
        <w:widowControl/>
        <w:jc w:val="left"/>
        <w:rPr>
          <w:rFonts w:ascii="宋体" w:hAnsi="宋体" w:eastAsia="宋体" w:cs="宋体"/>
          <w:szCs w:val="21"/>
          <w:highlight w:val="none"/>
        </w:rPr>
      </w:pPr>
      <w:r>
        <w:rPr>
          <w:rFonts w:ascii="宋体" w:hAnsi="宋体" w:eastAsia="宋体" w:cs="宋体"/>
          <w:szCs w:val="21"/>
          <w:highlight w:val="none"/>
        </w:rPr>
        <w:br w:type="page"/>
      </w:r>
    </w:p>
    <w:p w14:paraId="1E0BB937">
      <w:pPr>
        <w:spacing w:line="500" w:lineRule="exact"/>
        <w:jc w:val="left"/>
        <w:rPr>
          <w:rFonts w:ascii="宋体" w:hAnsi="宋体" w:eastAsia="宋体" w:cs="宋体"/>
          <w:b/>
          <w:bCs/>
          <w:sz w:val="22"/>
          <w:highlight w:val="none"/>
        </w:rPr>
      </w:pPr>
      <w:r>
        <w:rPr>
          <w:rFonts w:hint="eastAsia" w:ascii="宋体" w:hAnsi="宋体" w:eastAsia="宋体" w:cs="宋体"/>
          <w:b/>
          <w:bCs/>
          <w:sz w:val="22"/>
          <w:highlight w:val="none"/>
        </w:rPr>
        <w:t>附件1</w:t>
      </w:r>
    </w:p>
    <w:p w14:paraId="59B137B9">
      <w:pPr>
        <w:spacing w:line="500" w:lineRule="exact"/>
        <w:jc w:val="center"/>
        <w:rPr>
          <w:rFonts w:ascii="宋体" w:hAnsi="宋体" w:eastAsia="宋体" w:cs="宋体"/>
          <w:sz w:val="24"/>
          <w:szCs w:val="32"/>
          <w:highlight w:val="none"/>
        </w:rPr>
      </w:pPr>
      <w:r>
        <w:rPr>
          <w:rFonts w:hint="eastAsia" w:ascii="宋体" w:hAnsi="宋体" w:eastAsia="宋体" w:cs="宋体"/>
          <w:sz w:val="24"/>
          <w:szCs w:val="32"/>
          <w:highlight w:val="none"/>
        </w:rPr>
        <w:t>满足《中华人民共和国政府采购法》第二十二条规定承诺函</w:t>
      </w:r>
    </w:p>
    <w:p w14:paraId="743C98FE">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致（采购人及采购代理公司）：</w:t>
      </w:r>
    </w:p>
    <w:p w14:paraId="5BFB0DD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74F97E9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2772B64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7E86C1EE">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05A76E48">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688FDB57">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961879">
      <w:pPr>
        <w:spacing w:line="500" w:lineRule="exact"/>
        <w:ind w:firstLine="480" w:firstLineChars="200"/>
        <w:rPr>
          <w:rFonts w:hint="eastAsia" w:asciiTheme="majorEastAsia" w:hAnsiTheme="majorEastAsia" w:eastAsiaTheme="majorEastAsia" w:cstheme="majorEastAsia"/>
          <w:color w:val="auto"/>
          <w:kern w:val="0"/>
          <w:sz w:val="24"/>
          <w:szCs w:val="24"/>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7FF6F8F9">
      <w:pPr>
        <w:pageBreakBefore w:val="0"/>
        <w:widowControl w:val="0"/>
        <w:numPr>
          <w:ilvl w:val="0"/>
          <w:numId w:val="0"/>
        </w:numPr>
        <w:kinsoku/>
        <w:wordWrap w:val="0"/>
        <w:overflowPunct/>
        <w:topLinePunct/>
        <w:autoSpaceDE w:val="0"/>
        <w:autoSpaceDN w:val="0"/>
        <w:bidi w:val="0"/>
        <w:adjustRightInd w:val="0"/>
        <w:spacing w:line="500" w:lineRule="exact"/>
        <w:ind w:leftChars="200" w:right="40" w:rightChars="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七、</w:t>
      </w:r>
      <w:r>
        <w:rPr>
          <w:rFonts w:hint="eastAsia" w:asciiTheme="majorEastAsia" w:hAnsiTheme="majorEastAsia" w:eastAsiaTheme="majorEastAsia" w:cstheme="majorEastAsia"/>
          <w:color w:val="auto"/>
          <w:kern w:val="0"/>
          <w:sz w:val="24"/>
          <w:szCs w:val="24"/>
          <w:highlight w:val="none"/>
        </w:rPr>
        <w:t>已通过正规渠道获得本项目的竞争性磋商文件；</w:t>
      </w:r>
    </w:p>
    <w:p w14:paraId="31326E96">
      <w:pPr>
        <w:pageBreakBefore w:val="0"/>
        <w:widowControl w:val="0"/>
        <w:numPr>
          <w:ilvl w:val="0"/>
          <w:numId w:val="0"/>
        </w:numPr>
        <w:kinsoku/>
        <w:wordWrap w:val="0"/>
        <w:overflowPunct/>
        <w:topLinePunct/>
        <w:autoSpaceDE w:val="0"/>
        <w:autoSpaceDN w:val="0"/>
        <w:bidi w:val="0"/>
        <w:adjustRightInd w:val="0"/>
        <w:spacing w:line="500" w:lineRule="exact"/>
        <w:ind w:leftChars="200" w:right="40" w:rightChars="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八、</w:t>
      </w:r>
      <w:r>
        <w:rPr>
          <w:rFonts w:hint="eastAsia" w:asciiTheme="majorEastAsia" w:hAnsiTheme="majorEastAsia" w:eastAsiaTheme="majorEastAsia" w:cstheme="majorEastAsia"/>
          <w:color w:val="auto"/>
          <w:kern w:val="0"/>
          <w:sz w:val="24"/>
          <w:szCs w:val="24"/>
          <w:highlight w:val="none"/>
        </w:rPr>
        <w:t>未被依法暂停或者取消投标资格；</w:t>
      </w:r>
    </w:p>
    <w:p w14:paraId="2A0DD255">
      <w:pPr>
        <w:pageBreakBefore w:val="0"/>
        <w:widowControl w:val="0"/>
        <w:numPr>
          <w:ilvl w:val="0"/>
          <w:numId w:val="0"/>
        </w:numPr>
        <w:kinsoku/>
        <w:wordWrap w:val="0"/>
        <w:overflowPunct/>
        <w:topLinePunct/>
        <w:autoSpaceDE w:val="0"/>
        <w:autoSpaceDN w:val="0"/>
        <w:bidi w:val="0"/>
        <w:adjustRightInd w:val="0"/>
        <w:spacing w:line="500" w:lineRule="exact"/>
        <w:ind w:leftChars="200" w:right="40" w:rightChars="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九、</w:t>
      </w:r>
      <w:r>
        <w:rPr>
          <w:rFonts w:hint="eastAsia" w:asciiTheme="majorEastAsia" w:hAnsiTheme="majorEastAsia" w:eastAsiaTheme="majorEastAsia" w:cstheme="majorEastAsia"/>
          <w:color w:val="auto"/>
          <w:kern w:val="0"/>
          <w:sz w:val="24"/>
          <w:szCs w:val="24"/>
          <w:highlight w:val="none"/>
        </w:rPr>
        <w:t>未被责令停产停业、暂扣或者吊销许可证、暂扣或者吊销执照；</w:t>
      </w:r>
    </w:p>
    <w:p w14:paraId="44AD2C2B">
      <w:pPr>
        <w:pageBreakBefore w:val="0"/>
        <w:widowControl w:val="0"/>
        <w:numPr>
          <w:ilvl w:val="0"/>
          <w:numId w:val="0"/>
        </w:numPr>
        <w:kinsoku/>
        <w:wordWrap w:val="0"/>
        <w:overflowPunct/>
        <w:topLinePunct/>
        <w:autoSpaceDE w:val="0"/>
        <w:autoSpaceDN w:val="0"/>
        <w:bidi w:val="0"/>
        <w:adjustRightInd w:val="0"/>
        <w:spacing w:line="500" w:lineRule="exact"/>
        <w:ind w:leftChars="200" w:right="40" w:rightChars="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十、</w:t>
      </w:r>
      <w:r>
        <w:rPr>
          <w:rFonts w:hint="eastAsia" w:ascii="宋体" w:hAnsi="宋体" w:eastAsia="宋体" w:cs="宋体"/>
          <w:sz w:val="24"/>
          <w:szCs w:val="32"/>
          <w:highlight w:val="none"/>
        </w:rPr>
        <w:t>我单位具备法律、行政法规规定的其他条件。</w:t>
      </w:r>
    </w:p>
    <w:p w14:paraId="7B4F1503">
      <w:pPr>
        <w:pageBreakBefore w:val="0"/>
        <w:widowControl w:val="0"/>
        <w:numPr>
          <w:ilvl w:val="0"/>
          <w:numId w:val="0"/>
        </w:numPr>
        <w:kinsoku/>
        <w:wordWrap w:val="0"/>
        <w:overflowPunct/>
        <w:topLinePunct/>
        <w:autoSpaceDE w:val="0"/>
        <w:autoSpaceDN w:val="0"/>
        <w:bidi w:val="0"/>
        <w:adjustRightInd w:val="0"/>
        <w:spacing w:line="500" w:lineRule="exact"/>
        <w:ind w:right="40" w:rightChars="0" w:firstLine="480" w:firstLineChars="200"/>
        <w:jc w:val="left"/>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十一、我单位完全符合</w:t>
      </w:r>
      <w:r>
        <w:rPr>
          <w:rFonts w:hint="eastAsia" w:asciiTheme="majorEastAsia" w:hAnsiTheme="majorEastAsia" w:eastAsiaTheme="majorEastAsia" w:cstheme="majorEastAsia"/>
          <w:color w:val="auto"/>
          <w:kern w:val="0"/>
          <w:sz w:val="24"/>
          <w:szCs w:val="24"/>
          <w:highlight w:val="none"/>
        </w:rPr>
        <w:t>供应商须知前附表规定的其他条件。</w:t>
      </w:r>
    </w:p>
    <w:p w14:paraId="27D8DE34">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41818BF8">
      <w:pPr>
        <w:spacing w:line="360" w:lineRule="auto"/>
        <w:rPr>
          <w:rFonts w:ascii="宋体" w:hAnsi="宋体" w:eastAsia="宋体" w:cs="宋体"/>
          <w:sz w:val="24"/>
          <w:szCs w:val="32"/>
          <w:highlight w:val="none"/>
        </w:rPr>
      </w:pPr>
    </w:p>
    <w:p w14:paraId="426DAE6C">
      <w:pPr>
        <w:spacing w:line="360" w:lineRule="auto"/>
        <w:ind w:firstLine="4080" w:firstLineChars="1700"/>
        <w:rPr>
          <w:rFonts w:ascii="宋体" w:hAnsi="宋体" w:eastAsia="宋体" w:cs="宋体"/>
          <w:sz w:val="24"/>
          <w:szCs w:val="32"/>
          <w:highlight w:val="none"/>
        </w:rPr>
      </w:pPr>
      <w:r>
        <w:rPr>
          <w:rFonts w:hint="eastAsia" w:ascii="宋体" w:hAnsi="宋体" w:eastAsia="宋体" w:cs="宋体"/>
          <w:sz w:val="24"/>
          <w:szCs w:val="32"/>
          <w:highlight w:val="none"/>
        </w:rPr>
        <w:t>承诺单位（盖章）：</w:t>
      </w:r>
    </w:p>
    <w:p w14:paraId="009479E6">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法定代表人或</w:t>
      </w:r>
      <w:r>
        <w:rPr>
          <w:rFonts w:hint="eastAsia" w:ascii="宋体" w:hAnsi="宋体" w:eastAsia="宋体"/>
          <w:sz w:val="24"/>
          <w:highlight w:val="none"/>
        </w:rPr>
        <w:t>授权委托人</w:t>
      </w:r>
      <w:r>
        <w:rPr>
          <w:rFonts w:hint="eastAsia" w:ascii="宋体" w:hAnsi="宋体" w:eastAsia="宋体" w:cs="宋体"/>
          <w:sz w:val="24"/>
          <w:szCs w:val="32"/>
          <w:highlight w:val="none"/>
        </w:rPr>
        <w:t xml:space="preserve">（签字或盖章）： </w:t>
      </w:r>
    </w:p>
    <w:p w14:paraId="183219F0">
      <w:pPr>
        <w:spacing w:line="360" w:lineRule="auto"/>
        <w:ind w:firstLine="3960" w:firstLineChars="1650"/>
        <w:rPr>
          <w:rFonts w:ascii="宋体" w:hAnsi="宋体" w:eastAsia="宋体" w:cs="宋体"/>
          <w:b/>
          <w:bCs/>
          <w:kern w:val="0"/>
          <w:sz w:val="44"/>
          <w:szCs w:val="44"/>
          <w:highlight w:val="none"/>
        </w:rPr>
      </w:pPr>
      <w:r>
        <w:rPr>
          <w:rFonts w:hint="eastAsia" w:ascii="宋体" w:hAnsi="宋体" w:eastAsia="宋体" w:cs="宋体"/>
          <w:sz w:val="24"/>
          <w:szCs w:val="32"/>
          <w:highlight w:val="none"/>
        </w:rPr>
        <w:t>日期： 年  月  日</w:t>
      </w:r>
    </w:p>
    <w:p w14:paraId="5BFB19AD">
      <w:pPr>
        <w:rPr>
          <w:rFonts w:ascii="宋体" w:hAnsi="宋体" w:eastAsia="宋体" w:cs="宋体"/>
          <w:szCs w:val="21"/>
          <w:highlight w:val="none"/>
        </w:rPr>
      </w:pPr>
      <w:r>
        <w:rPr>
          <w:rFonts w:hint="eastAsia" w:ascii="宋体" w:hAnsi="宋体" w:eastAsia="宋体" w:cs="宋体"/>
          <w:szCs w:val="21"/>
          <w:highlight w:val="none"/>
        </w:rPr>
        <w:br w:type="page"/>
      </w:r>
    </w:p>
    <w:p w14:paraId="786BA72A">
      <w:pPr>
        <w:wordWrap w:val="0"/>
        <w:topLinePunct/>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w:t>
      </w:r>
    </w:p>
    <w:p w14:paraId="00313F30">
      <w:pPr>
        <w:snapToGrid w:val="0"/>
        <w:spacing w:line="480" w:lineRule="exact"/>
        <w:jc w:val="center"/>
        <w:rPr>
          <w:rFonts w:ascii="宋体" w:hAnsi="宋体" w:eastAsia="宋体" w:cs="宋体"/>
          <w:b/>
          <w:bCs/>
          <w:kern w:val="10"/>
          <w:sz w:val="32"/>
          <w:szCs w:val="32"/>
          <w:highlight w:val="none"/>
        </w:rPr>
      </w:pPr>
      <w:r>
        <w:rPr>
          <w:rFonts w:hint="eastAsia" w:ascii="宋体" w:hAnsi="宋体" w:eastAsia="宋体" w:cs="宋体"/>
          <w:b/>
          <w:bCs/>
          <w:kern w:val="10"/>
          <w:sz w:val="32"/>
          <w:szCs w:val="32"/>
          <w:highlight w:val="none"/>
        </w:rPr>
        <w:t>中小微企业声明函</w:t>
      </w:r>
    </w:p>
    <w:p w14:paraId="078C8044">
      <w:pPr>
        <w:jc w:val="center"/>
        <w:rPr>
          <w:rFonts w:ascii="宋体" w:hAnsi="宋体" w:eastAsia="宋体" w:cs="宋体"/>
          <w:b/>
          <w:bCs/>
          <w:iCs/>
          <w:sz w:val="24"/>
          <w:szCs w:val="24"/>
          <w:highlight w:val="none"/>
        </w:rPr>
      </w:pPr>
      <w:r>
        <w:rPr>
          <w:rFonts w:hint="eastAsia" w:ascii="宋体" w:hAnsi="宋体" w:eastAsia="宋体" w:cs="宋体"/>
          <w:b/>
          <w:bCs/>
          <w:iCs/>
          <w:sz w:val="24"/>
          <w:szCs w:val="24"/>
          <w:highlight w:val="none"/>
        </w:rPr>
        <w:t>（属于中小微企业的填写，不属于的无需填写此项内容）</w:t>
      </w:r>
    </w:p>
    <w:p w14:paraId="78D8A069">
      <w:pPr>
        <w:spacing w:line="360" w:lineRule="auto"/>
        <w:ind w:firstLine="480" w:firstLineChars="200"/>
        <w:rPr>
          <w:rFonts w:ascii="宋体" w:hAnsi="宋体" w:eastAsia="宋体"/>
          <w:sz w:val="24"/>
          <w:szCs w:val="24"/>
          <w:highlight w:val="none"/>
        </w:rPr>
      </w:pPr>
    </w:p>
    <w:p w14:paraId="7A6951A6">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本公司（联合体） 郑重声明， 根据《政府采购促进中小企业发展管理办法》（财库﹝ 2020﹞ 46 号） 的规定， 本公司（联合体） 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 工程的施工单位全部为符合政策要求的中小企业。具体情况如下：</w:t>
      </w:r>
    </w:p>
    <w:p w14:paraId="648B503B">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rPr>
        <w:t xml:space="preserve"> ， 属于</w:t>
      </w:r>
      <w:r>
        <w:rPr>
          <w:rFonts w:hint="eastAsia" w:ascii="宋体" w:hAnsi="宋体" w:eastAsia="宋体"/>
          <w:sz w:val="24"/>
          <w:szCs w:val="24"/>
          <w:highlight w:val="none"/>
          <w:u w:val="single"/>
        </w:rPr>
        <w:t>（建筑业）</w:t>
      </w:r>
      <w:r>
        <w:rPr>
          <w:rFonts w:hint="eastAsia" w:ascii="宋体" w:hAnsi="宋体" w:eastAsia="宋体"/>
          <w:sz w:val="24"/>
          <w:szCs w:val="24"/>
          <w:highlight w:val="none"/>
        </w:rPr>
        <w:t>； 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 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 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属于</w:t>
      </w:r>
      <w:r>
        <w:rPr>
          <w:rFonts w:hint="eastAsia" w:ascii="宋体" w:hAnsi="宋体" w:eastAsia="宋体"/>
          <w:sz w:val="24"/>
          <w:szCs w:val="24"/>
          <w:highlight w:val="none"/>
          <w:u w:val="single"/>
        </w:rPr>
        <w:t>（中型企业、 小型企业、 微型企业）</w:t>
      </w:r>
      <w:r>
        <w:rPr>
          <w:rFonts w:hint="eastAsia" w:ascii="宋体" w:hAnsi="宋体" w:eastAsia="宋体"/>
          <w:sz w:val="24"/>
          <w:szCs w:val="24"/>
          <w:highlight w:val="none"/>
        </w:rPr>
        <w:t>；</w:t>
      </w:r>
    </w:p>
    <w:p w14:paraId="62203E02">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 不存在控股股东为大企业的情形， 也不存在与大企业的负责人为同一人的情形。</w:t>
      </w:r>
    </w:p>
    <w:p w14:paraId="3705DB61">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 如有虚假， 将依法承担相应责任。</w:t>
      </w:r>
    </w:p>
    <w:p w14:paraId="4774EB3E">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企业名称（盖章）：</w:t>
      </w:r>
    </w:p>
    <w:p w14:paraId="39F201B0">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日 期：</w:t>
      </w:r>
    </w:p>
    <w:p w14:paraId="0383904F">
      <w:pPr>
        <w:spacing w:line="360" w:lineRule="auto"/>
        <w:ind w:firstLine="480" w:firstLineChars="200"/>
        <w:rPr>
          <w:rFonts w:ascii="宋体" w:hAnsi="宋体" w:eastAsia="宋体" w:cs="宋体"/>
          <w:iCs/>
          <w:sz w:val="24"/>
          <w:szCs w:val="24"/>
          <w:highlight w:val="none"/>
        </w:rPr>
      </w:pPr>
      <w:r>
        <w:rPr>
          <w:rFonts w:hint="eastAsia" w:ascii="宋体" w:hAnsi="宋体" w:eastAsia="宋体"/>
          <w:sz w:val="24"/>
          <w:szCs w:val="24"/>
          <w:highlight w:val="none"/>
        </w:rPr>
        <w:t>注：从业人员、 营业收入、 资产总额填报上一年度数据， 无上一年度数据的新成立企业可不填报。</w:t>
      </w:r>
    </w:p>
    <w:p w14:paraId="595BED23">
      <w:pPr>
        <w:wordWrap w:val="0"/>
        <w:topLinePunct/>
        <w:spacing w:line="360" w:lineRule="auto"/>
        <w:rPr>
          <w:rFonts w:ascii="宋体" w:hAnsi="宋体" w:eastAsia="宋体" w:cs="宋体"/>
          <w:szCs w:val="21"/>
          <w:highlight w:val="none"/>
        </w:rPr>
      </w:pPr>
    </w:p>
    <w:p w14:paraId="5D51187F">
      <w:pPr>
        <w:wordWrap w:val="0"/>
        <w:topLinePunct/>
        <w:spacing w:line="360" w:lineRule="auto"/>
        <w:jc w:val="left"/>
        <w:rPr>
          <w:rFonts w:ascii="宋体" w:hAnsi="宋体" w:eastAsia="宋体" w:cs="宋体"/>
          <w:b/>
          <w:bCs/>
          <w:szCs w:val="21"/>
          <w:highlight w:val="none"/>
        </w:rPr>
      </w:pPr>
      <w:r>
        <w:rPr>
          <w:rFonts w:ascii="宋体" w:hAnsi="宋体" w:eastAsia="宋体" w:cs="宋体"/>
          <w:szCs w:val="21"/>
          <w:highlight w:val="none"/>
        </w:rPr>
        <w:br w:type="page"/>
      </w:r>
      <w:bookmarkStart w:id="582" w:name="_Toc28975"/>
      <w:bookmarkStart w:id="583" w:name="_Toc9983"/>
      <w:r>
        <w:rPr>
          <w:rFonts w:hint="eastAsia" w:ascii="宋体" w:hAnsi="宋体" w:eastAsia="宋体" w:cs="宋体"/>
          <w:b/>
          <w:bCs/>
          <w:szCs w:val="21"/>
          <w:highlight w:val="none"/>
        </w:rPr>
        <w:t>附件3：</w:t>
      </w:r>
    </w:p>
    <w:p w14:paraId="2162AB76">
      <w:pPr>
        <w:wordWrap w:val="0"/>
        <w:topLinePunct/>
        <w:spacing w:line="360"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承诺书</w:t>
      </w:r>
    </w:p>
    <w:p w14:paraId="3AF68D5C">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致（采购人及采购代理公司）：</w:t>
      </w:r>
    </w:p>
    <w:p w14:paraId="6E7E0614">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我公司不存在以下情况：</w:t>
      </w:r>
    </w:p>
    <w:p w14:paraId="150827C1">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1、与采购人存在利害关系且可能影响磋商公正性；</w:t>
      </w:r>
    </w:p>
    <w:p w14:paraId="74CAC975">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2、与本磋商项目的其他供应商为同一个单位负责人；</w:t>
      </w:r>
    </w:p>
    <w:p w14:paraId="0C29C6FB">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3、与本磋商项目的其他供应商存在控股、管理关系；</w:t>
      </w:r>
    </w:p>
    <w:p w14:paraId="7984EDC3">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4、为本项目的监理人；</w:t>
      </w:r>
    </w:p>
    <w:p w14:paraId="7CABE42D">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5、为本项目的代建人；</w:t>
      </w:r>
    </w:p>
    <w:p w14:paraId="1CF29C35">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6、与本项目的监理人或代建人或采购代理机构同为一个法定代表人；</w:t>
      </w:r>
    </w:p>
    <w:p w14:paraId="54D846A6">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7、与本项目的监理人或代建人或采购代理机构存在控股或参股关系；</w:t>
      </w:r>
    </w:p>
    <w:p w14:paraId="1BE3310D">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8、为本磋商项目的采购代理机构；</w:t>
      </w:r>
    </w:p>
    <w:p w14:paraId="7F5CC275">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9、供应商以他人名义投标、串通投标、以行贿手段牟取中标，或在投标中弄虚作假的；</w:t>
      </w:r>
    </w:p>
    <w:p w14:paraId="33500245">
      <w:pPr>
        <w:wordWrap w:val="0"/>
        <w:topLinePunct/>
        <w:autoSpaceDE w:val="0"/>
        <w:autoSpaceDN w:val="0"/>
        <w:adjustRightInd w:val="0"/>
        <w:spacing w:line="500" w:lineRule="exact"/>
        <w:ind w:right="4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10、法律法规规定的其他情形。</w:t>
      </w:r>
    </w:p>
    <w:p w14:paraId="75031522">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承诺单位（盖章）：</w:t>
      </w:r>
    </w:p>
    <w:p w14:paraId="063C6A33">
      <w:pPr>
        <w:spacing w:line="360" w:lineRule="auto"/>
        <w:ind w:firstLine="3960" w:firstLineChars="1650"/>
        <w:rPr>
          <w:rFonts w:ascii="宋体" w:hAnsi="宋体" w:eastAsia="宋体" w:cs="宋体"/>
          <w:sz w:val="24"/>
          <w:szCs w:val="32"/>
          <w:highlight w:val="none"/>
        </w:rPr>
      </w:pPr>
      <w:r>
        <w:rPr>
          <w:rFonts w:hint="eastAsia" w:ascii="宋体" w:hAnsi="宋体" w:eastAsia="宋体" w:cs="宋体"/>
          <w:sz w:val="24"/>
          <w:szCs w:val="32"/>
          <w:highlight w:val="none"/>
        </w:rPr>
        <w:t>法定代表人或</w:t>
      </w:r>
      <w:r>
        <w:rPr>
          <w:rFonts w:hint="eastAsia" w:ascii="宋体" w:hAnsi="宋体" w:eastAsia="宋体"/>
          <w:sz w:val="24"/>
          <w:highlight w:val="none"/>
        </w:rPr>
        <w:t>授权委托人</w:t>
      </w:r>
      <w:r>
        <w:rPr>
          <w:rFonts w:hint="eastAsia" w:ascii="宋体" w:hAnsi="宋体" w:eastAsia="宋体" w:cs="宋体"/>
          <w:sz w:val="24"/>
          <w:szCs w:val="32"/>
          <w:highlight w:val="none"/>
        </w:rPr>
        <w:t xml:space="preserve">（签字或盖章）： </w:t>
      </w:r>
    </w:p>
    <w:p w14:paraId="0B5F09AB">
      <w:pPr>
        <w:spacing w:line="360" w:lineRule="auto"/>
        <w:ind w:firstLine="3960" w:firstLineChars="1650"/>
        <w:rPr>
          <w:rFonts w:ascii="宋体" w:hAnsi="宋体" w:eastAsia="宋体" w:cs="宋体"/>
          <w:b/>
          <w:bCs/>
          <w:kern w:val="0"/>
          <w:sz w:val="44"/>
          <w:szCs w:val="44"/>
          <w:highlight w:val="none"/>
        </w:rPr>
      </w:pPr>
      <w:r>
        <w:rPr>
          <w:rFonts w:hint="eastAsia" w:ascii="宋体" w:hAnsi="宋体" w:eastAsia="宋体" w:cs="宋体"/>
          <w:sz w:val="24"/>
          <w:szCs w:val="32"/>
          <w:highlight w:val="none"/>
        </w:rPr>
        <w:t>日期： 年  月  日</w:t>
      </w:r>
    </w:p>
    <w:bookmarkEnd w:id="582"/>
    <w:bookmarkEnd w:id="583"/>
    <w:p w14:paraId="1FCE836B">
      <w:pPr>
        <w:keepNext/>
        <w:keepLines/>
        <w:tabs>
          <w:tab w:val="left" w:pos="840"/>
        </w:tabs>
        <w:wordWrap w:val="0"/>
        <w:topLinePunct/>
        <w:spacing w:line="360" w:lineRule="auto"/>
        <w:jc w:val="center"/>
        <w:outlineLvl w:val="9"/>
        <w:rPr>
          <w:rFonts w:ascii="宋体" w:hAnsi="宋体" w:eastAsia="宋体" w:cs="宋体"/>
          <w:b/>
          <w:bCs/>
          <w:sz w:val="28"/>
          <w:szCs w:val="28"/>
          <w:highlight w:val="none"/>
        </w:rPr>
      </w:pPr>
      <w:bookmarkStart w:id="584" w:name="_Toc23774502"/>
    </w:p>
    <w:p w14:paraId="3517CB1A">
      <w:pPr>
        <w:widowControl/>
        <w:jc w:val="left"/>
        <w:rPr>
          <w:rFonts w:ascii="宋体" w:hAnsi="宋体" w:eastAsia="宋体" w:cs="宋体"/>
          <w:b/>
          <w:bCs/>
          <w:sz w:val="28"/>
          <w:szCs w:val="28"/>
          <w:highlight w:val="none"/>
        </w:rPr>
      </w:pPr>
      <w:r>
        <w:rPr>
          <w:rFonts w:ascii="宋体" w:hAnsi="宋体" w:eastAsia="宋体" w:cs="宋体"/>
          <w:b/>
          <w:bCs/>
          <w:sz w:val="28"/>
          <w:szCs w:val="28"/>
          <w:highlight w:val="none"/>
        </w:rPr>
        <w:br w:type="page"/>
      </w:r>
    </w:p>
    <w:p w14:paraId="6049A1DE">
      <w:pPr>
        <w:keepNext/>
        <w:keepLines/>
        <w:tabs>
          <w:tab w:val="left" w:pos="840"/>
        </w:tabs>
        <w:wordWrap w:val="0"/>
        <w:topLinePunct/>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十一、供应商认为有必要提供的其它资料</w:t>
      </w:r>
      <w:bookmarkEnd w:id="530"/>
      <w:bookmarkEnd w:id="584"/>
    </w:p>
    <w:p w14:paraId="67CB6744">
      <w:pPr>
        <w:widowControl/>
        <w:jc w:val="left"/>
        <w:rPr>
          <w:rFonts w:ascii="宋体" w:hAnsi="宋体" w:eastAsia="宋体" w:cs="宋体"/>
          <w:b/>
          <w:bCs/>
          <w:sz w:val="24"/>
          <w:szCs w:val="24"/>
          <w:highlight w:val="none"/>
        </w:rPr>
      </w:pPr>
      <w:r>
        <w:rPr>
          <w:rFonts w:ascii="宋体" w:hAnsi="宋体" w:eastAsia="宋体" w:cs="宋体"/>
          <w:b/>
          <w:bCs/>
          <w:sz w:val="24"/>
          <w:szCs w:val="24"/>
          <w:highlight w:val="none"/>
        </w:rPr>
        <w:br w:type="page"/>
      </w:r>
    </w:p>
    <w:p w14:paraId="78F91299">
      <w:pPr>
        <w:widowControl/>
        <w:spacing w:line="500" w:lineRule="exact"/>
        <w:jc w:val="left"/>
        <w:rPr>
          <w:rFonts w:ascii="宋体" w:hAnsi="宋体" w:eastAsia="宋体" w:cs="宋体"/>
          <w:b/>
          <w:bCs/>
          <w:sz w:val="24"/>
          <w:szCs w:val="24"/>
          <w:highlight w:val="none"/>
        </w:rPr>
      </w:pPr>
    </w:p>
    <w:p w14:paraId="63CF4146">
      <w:pPr>
        <w:widowControl/>
        <w:spacing w:line="5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附件4：</w:t>
      </w:r>
    </w:p>
    <w:p w14:paraId="3E78E0AA">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工业和信息化部、国家统计局、国家发展和改革委员会、财政部</w:t>
      </w:r>
    </w:p>
    <w:p w14:paraId="4BFEBFAA">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《关于印发中小企业划型标准规定的通知》</w:t>
      </w:r>
    </w:p>
    <w:p w14:paraId="67103124">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工信部联企业〔2011〕300号</w:t>
      </w:r>
    </w:p>
    <w:p w14:paraId="00EED57D">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各省、自治区、直辖市人民政府，国务院各部委、各直属机构及有关单位： </w:t>
      </w:r>
    </w:p>
    <w:p w14:paraId="73B2B0B1">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5DD6DB5">
      <w:pPr>
        <w:widowControl/>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工业和信息化部 国家统计局 国家发展和改革委员会 财政部 </w:t>
      </w:r>
    </w:p>
    <w:p w14:paraId="1D3BC51E">
      <w:pPr>
        <w:widowControl/>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二○一一年六月十八日 </w:t>
      </w:r>
    </w:p>
    <w:p w14:paraId="34E01215">
      <w:pPr>
        <w:widowControl/>
        <w:spacing w:line="500" w:lineRule="exact"/>
        <w:jc w:val="center"/>
        <w:rPr>
          <w:rFonts w:ascii="宋体" w:hAnsi="宋体" w:eastAsia="宋体"/>
          <w:b/>
          <w:bCs/>
          <w:sz w:val="24"/>
          <w:szCs w:val="24"/>
          <w:highlight w:val="none"/>
        </w:rPr>
      </w:pPr>
      <w:r>
        <w:rPr>
          <w:rFonts w:hint="eastAsia" w:ascii="宋体" w:hAnsi="宋体" w:eastAsia="宋体"/>
          <w:b/>
          <w:bCs/>
          <w:sz w:val="24"/>
          <w:szCs w:val="24"/>
          <w:highlight w:val="none"/>
        </w:rPr>
        <w:t>中小企业划型标准规定</w:t>
      </w:r>
    </w:p>
    <w:p w14:paraId="02E6630A">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一、根据《中华人民共和国中小企业促进法》和《国务院关于进一步促进中小企业发展的若干意见》(国发〔2009〕36号)，制定本规定。 </w:t>
      </w:r>
    </w:p>
    <w:p w14:paraId="427DAE35">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二、中小企业划分为中型、小型、微型三种类型，具体标准根据企业从业人员、营业收入、资产总额等指标，结合行业特点制定。 </w:t>
      </w:r>
    </w:p>
    <w:p w14:paraId="17A160CE">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3DD939A0">
      <w:pPr>
        <w:widowControl/>
        <w:spacing w:line="500" w:lineRule="exact"/>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四、各行业划型标准为</w:t>
      </w:r>
    </w:p>
    <w:p w14:paraId="3EC8CA43">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cs="宋体"/>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5326BC0">
      <w:pPr>
        <w:widowControl/>
        <w:spacing w:line="500" w:lineRule="exact"/>
        <w:jc w:val="left"/>
        <w:outlineLvl w:val="1"/>
        <w:rPr>
          <w:rFonts w:ascii="宋体" w:hAnsi="宋体" w:eastAsia="宋体"/>
          <w:sz w:val="24"/>
          <w:szCs w:val="24"/>
          <w:highlight w:val="none"/>
        </w:rPr>
      </w:pPr>
      <w:r>
        <w:rPr>
          <w:rFonts w:hint="eastAsia" w:ascii="宋体" w:hAnsi="宋体" w:eastAsia="宋体"/>
          <w:sz w:val="24"/>
          <w:szCs w:val="24"/>
          <w:highlight w:val="none"/>
        </w:rPr>
        <w:t xml:space="preserve">五、企业类型的划分以统计部门的统计数据为依据。 </w:t>
      </w:r>
    </w:p>
    <w:p w14:paraId="639AB7D8">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六、本规定适用于在中华人民共和国境内依法设立的各类所有制和各种组织形式的企业。个体工商户和本规定以外的行业，参照本规定进行划型。 </w:t>
      </w:r>
    </w:p>
    <w:p w14:paraId="6F55940F">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198928A9">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八、本规定由工业和信息化部、国家统计局会同有关部门根据《国民经济行业分类》修订情况和企业发展变化情况适时修订。 </w:t>
      </w:r>
    </w:p>
    <w:p w14:paraId="5AA667B7">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九、本规定由工业和信息化部、国家统计局会同有关部门负责解释。 </w:t>
      </w:r>
    </w:p>
    <w:p w14:paraId="189FB47C">
      <w:pPr>
        <w:widowControl/>
        <w:spacing w:line="500" w:lineRule="exact"/>
        <w:rPr>
          <w:rFonts w:ascii="宋体" w:hAnsi="宋体" w:eastAsia="宋体"/>
          <w:sz w:val="24"/>
          <w:szCs w:val="24"/>
          <w:highlight w:val="none"/>
        </w:rPr>
      </w:pPr>
      <w:r>
        <w:rPr>
          <w:rFonts w:hint="eastAsia" w:ascii="宋体" w:hAnsi="宋体" w:eastAsia="宋体"/>
          <w:sz w:val="24"/>
          <w:szCs w:val="24"/>
          <w:highlight w:val="none"/>
        </w:rPr>
        <w:t xml:space="preserve">十、本规定自发布之日起执行，原国家经贸委、原国家计委、财政部和国家统计局2003年颁布的《中小企业标准暂行规定》同时废止。 </w:t>
      </w:r>
    </w:p>
    <w:p w14:paraId="480CC4D7">
      <w:pPr>
        <w:rPr>
          <w:rFonts w:ascii="Calibri" w:hAnsi="Calibri" w:eastAsia="宋体"/>
          <w:highlight w:val="none"/>
        </w:rPr>
      </w:pPr>
    </w:p>
    <w:p w14:paraId="6643A708">
      <w:pPr>
        <w:rPr>
          <w:rFonts w:hint="eastAsia"/>
          <w:highlight w:val="none"/>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0B2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70B934">
                          <w:pPr>
                            <w:pStyle w:val="7"/>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E70B934">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D54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1BE23">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51BE23">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3F8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84A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D806B66"/>
    <w:multiLevelType w:val="singleLevel"/>
    <w:tmpl w:val="CD806B66"/>
    <w:lvl w:ilvl="0" w:tentative="0">
      <w:start w:val="1"/>
      <w:numFmt w:val="decimal"/>
      <w:lvlText w:val="(%1)"/>
      <w:lvlJc w:val="left"/>
      <w:pPr>
        <w:ind w:left="425" w:hanging="425"/>
      </w:pPr>
      <w:rPr>
        <w:rFonts w:hint="default"/>
      </w:rPr>
    </w:lvl>
  </w:abstractNum>
  <w:abstractNum w:abstractNumId="3">
    <w:nsid w:val="E7EE0A56"/>
    <w:multiLevelType w:val="singleLevel"/>
    <w:tmpl w:val="E7EE0A56"/>
    <w:lvl w:ilvl="0" w:tentative="0">
      <w:start w:val="2"/>
      <w:numFmt w:val="decimal"/>
      <w:suff w:val="space"/>
      <w:lvlText w:val="%1."/>
      <w:lvlJc w:val="left"/>
    </w:lvl>
  </w:abstractNum>
  <w:abstractNum w:abstractNumId="4">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chineseCountingThousand"/>
      <w:lvlText w:val="%1、"/>
      <w:lvlJc w:val="left"/>
      <w:pPr>
        <w:tabs>
          <w:tab w:val="left" w:pos="420"/>
        </w:tabs>
        <w:ind w:left="357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C26398"/>
    <w:multiLevelType w:val="singleLevel"/>
    <w:tmpl w:val="23C26398"/>
    <w:lvl w:ilvl="0" w:tentative="0">
      <w:start w:val="2"/>
      <w:numFmt w:val="chineseCounting"/>
      <w:suff w:val="space"/>
      <w:lvlText w:val="第%1章"/>
      <w:lvlJc w:val="left"/>
      <w:rPr>
        <w:rFonts w:hint="eastAsia"/>
      </w:rPr>
    </w:lvl>
  </w:abstractNum>
  <w:abstractNum w:abstractNumId="7">
    <w:nsid w:val="2D6A2507"/>
    <w:multiLevelType w:val="singleLevel"/>
    <w:tmpl w:val="2D6A2507"/>
    <w:lvl w:ilvl="0" w:tentative="0">
      <w:start w:val="1"/>
      <w:numFmt w:val="decimal"/>
      <w:lvlText w:val="(%1)"/>
      <w:lvlJc w:val="left"/>
      <w:pPr>
        <w:ind w:left="425" w:hanging="425"/>
      </w:pPr>
      <w:rPr>
        <w:rFonts w:hint="default"/>
      </w:rPr>
    </w:lvl>
  </w:abstractNum>
  <w:abstractNum w:abstractNumId="8">
    <w:nsid w:val="54A48C29"/>
    <w:multiLevelType w:val="singleLevel"/>
    <w:tmpl w:val="54A48C29"/>
    <w:lvl w:ilvl="0" w:tentative="0">
      <w:start w:val="1"/>
      <w:numFmt w:val="decimal"/>
      <w:lvlText w:val="(%1)"/>
      <w:lvlJc w:val="left"/>
      <w:pPr>
        <w:ind w:left="425" w:hanging="425"/>
      </w:pPr>
      <w:rPr>
        <w:rFonts w:hint="default"/>
      </w:rPr>
    </w:lvl>
  </w:abstractNum>
  <w:abstractNum w:abstractNumId="9">
    <w:nsid w:val="570C9FE6"/>
    <w:multiLevelType w:val="singleLevel"/>
    <w:tmpl w:val="570C9FE6"/>
    <w:lvl w:ilvl="0" w:tentative="0">
      <w:start w:val="1"/>
      <w:numFmt w:val="decimal"/>
      <w:lvlText w:val="(%1)"/>
      <w:lvlJc w:val="left"/>
      <w:pPr>
        <w:ind w:left="425" w:hanging="425"/>
      </w:pPr>
      <w:rPr>
        <w:rFonts w:hint="default"/>
      </w:rPr>
    </w:lvl>
  </w:abstractNum>
  <w:abstractNum w:abstractNumId="10">
    <w:nsid w:val="6BDA4796"/>
    <w:multiLevelType w:val="singleLevel"/>
    <w:tmpl w:val="6BDA4796"/>
    <w:lvl w:ilvl="0" w:tentative="0">
      <w:start w:val="1"/>
      <w:numFmt w:val="decimal"/>
      <w:lvlText w:val="(%1)"/>
      <w:lvlJc w:val="left"/>
      <w:pPr>
        <w:ind w:left="425" w:hanging="425"/>
      </w:pPr>
      <w:rPr>
        <w:rFonts w:hint="default"/>
      </w:rPr>
    </w:lvl>
  </w:abstractNum>
  <w:abstractNum w:abstractNumId="11">
    <w:nsid w:val="75BB5789"/>
    <w:multiLevelType w:val="singleLevel"/>
    <w:tmpl w:val="75BB5789"/>
    <w:lvl w:ilvl="0" w:tentative="0">
      <w:start w:val="1"/>
      <w:numFmt w:val="decimal"/>
      <w:lvlText w:val="(%1)"/>
      <w:lvlJc w:val="left"/>
      <w:pPr>
        <w:ind w:left="425" w:hanging="425"/>
      </w:pPr>
      <w:rPr>
        <w:rFonts w:hint="default"/>
      </w:rPr>
    </w:lvl>
  </w:abstractNum>
  <w:abstractNum w:abstractNumId="12">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14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6"/>
  </w:num>
  <w:num w:numId="2">
    <w:abstractNumId w:val="12"/>
  </w:num>
  <w:num w:numId="3">
    <w:abstractNumId w:val="1"/>
  </w:num>
  <w:num w:numId="4">
    <w:abstractNumId w:val="8"/>
  </w:num>
  <w:num w:numId="5">
    <w:abstractNumId w:val="11"/>
  </w:num>
  <w:num w:numId="6">
    <w:abstractNumId w:val="10"/>
  </w:num>
  <w:num w:numId="7">
    <w:abstractNumId w:val="0"/>
  </w:num>
  <w:num w:numId="8">
    <w:abstractNumId w:val="7"/>
  </w:num>
  <w:num w:numId="9">
    <w:abstractNumId w:val="2"/>
  </w:num>
  <w:num w:numId="10">
    <w:abstractNumId w:val="9"/>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K0v3ZuoUW59xvG2vMViqyrK0Xo=" w:salt="O5pmjNzQcpXGnDCvyVAET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MGFiMzJmYjJmYjVkNWEwNmQ5MWQ2MjhhZjQwZDIifQ=="/>
  </w:docVars>
  <w:rsids>
    <w:rsidRoot w:val="49774A49"/>
    <w:rsid w:val="007F27CB"/>
    <w:rsid w:val="008E0C60"/>
    <w:rsid w:val="00936276"/>
    <w:rsid w:val="00B46918"/>
    <w:rsid w:val="00FC206D"/>
    <w:rsid w:val="01253372"/>
    <w:rsid w:val="01402AAD"/>
    <w:rsid w:val="021D04ED"/>
    <w:rsid w:val="0297204E"/>
    <w:rsid w:val="02BA1531"/>
    <w:rsid w:val="02D50DC8"/>
    <w:rsid w:val="04E24955"/>
    <w:rsid w:val="05C75181"/>
    <w:rsid w:val="05FA551F"/>
    <w:rsid w:val="075F6D8D"/>
    <w:rsid w:val="07762B7A"/>
    <w:rsid w:val="07797F74"/>
    <w:rsid w:val="093323A4"/>
    <w:rsid w:val="096A35CE"/>
    <w:rsid w:val="09DE4E3C"/>
    <w:rsid w:val="0A346BCB"/>
    <w:rsid w:val="0A4D79E2"/>
    <w:rsid w:val="0BB801B7"/>
    <w:rsid w:val="0BDB744F"/>
    <w:rsid w:val="0CEC743A"/>
    <w:rsid w:val="0D26294C"/>
    <w:rsid w:val="0DCC15ED"/>
    <w:rsid w:val="0EC73CBB"/>
    <w:rsid w:val="0F062A1A"/>
    <w:rsid w:val="0F3330FE"/>
    <w:rsid w:val="10150A56"/>
    <w:rsid w:val="103047EA"/>
    <w:rsid w:val="10AC760C"/>
    <w:rsid w:val="11CE53EB"/>
    <w:rsid w:val="12266F4A"/>
    <w:rsid w:val="126039CD"/>
    <w:rsid w:val="13781A27"/>
    <w:rsid w:val="13D604FC"/>
    <w:rsid w:val="13E779F2"/>
    <w:rsid w:val="157306F8"/>
    <w:rsid w:val="16D410FA"/>
    <w:rsid w:val="18A137CE"/>
    <w:rsid w:val="19BC47A3"/>
    <w:rsid w:val="1AAE21D3"/>
    <w:rsid w:val="1AD5150D"/>
    <w:rsid w:val="1AD5775F"/>
    <w:rsid w:val="1CEB5018"/>
    <w:rsid w:val="1DB45D52"/>
    <w:rsid w:val="1E875361"/>
    <w:rsid w:val="21AD0A90"/>
    <w:rsid w:val="21FF3314"/>
    <w:rsid w:val="228C2DF9"/>
    <w:rsid w:val="24A56041"/>
    <w:rsid w:val="2563120B"/>
    <w:rsid w:val="25963238"/>
    <w:rsid w:val="262B4D16"/>
    <w:rsid w:val="26B96187"/>
    <w:rsid w:val="26BC7A25"/>
    <w:rsid w:val="29CC7F7F"/>
    <w:rsid w:val="2AF725F5"/>
    <w:rsid w:val="2C336066"/>
    <w:rsid w:val="2D1C4D7A"/>
    <w:rsid w:val="2D994B52"/>
    <w:rsid w:val="2E661A76"/>
    <w:rsid w:val="2EAC2AF5"/>
    <w:rsid w:val="2F2E6FE6"/>
    <w:rsid w:val="2FAE2B60"/>
    <w:rsid w:val="31010E56"/>
    <w:rsid w:val="31CA56EC"/>
    <w:rsid w:val="33572962"/>
    <w:rsid w:val="350D7E10"/>
    <w:rsid w:val="35187B42"/>
    <w:rsid w:val="37164F30"/>
    <w:rsid w:val="371C2CB7"/>
    <w:rsid w:val="38222A28"/>
    <w:rsid w:val="38E2156D"/>
    <w:rsid w:val="3B084B8F"/>
    <w:rsid w:val="3B6B2CEC"/>
    <w:rsid w:val="3EA03A5D"/>
    <w:rsid w:val="40204729"/>
    <w:rsid w:val="40AC425B"/>
    <w:rsid w:val="40FA0157"/>
    <w:rsid w:val="41685E4A"/>
    <w:rsid w:val="41A01FC6"/>
    <w:rsid w:val="4250579A"/>
    <w:rsid w:val="42CB4E20"/>
    <w:rsid w:val="43462F04"/>
    <w:rsid w:val="44BB4DC7"/>
    <w:rsid w:val="46BB51AC"/>
    <w:rsid w:val="47A520E4"/>
    <w:rsid w:val="49774A49"/>
    <w:rsid w:val="49956188"/>
    <w:rsid w:val="4AA17991"/>
    <w:rsid w:val="4AC24D5B"/>
    <w:rsid w:val="4B0701CB"/>
    <w:rsid w:val="4B92472D"/>
    <w:rsid w:val="4D203FBB"/>
    <w:rsid w:val="4DCB3F26"/>
    <w:rsid w:val="50267B3A"/>
    <w:rsid w:val="505821A8"/>
    <w:rsid w:val="51C26C78"/>
    <w:rsid w:val="556944DA"/>
    <w:rsid w:val="57560D05"/>
    <w:rsid w:val="590E560F"/>
    <w:rsid w:val="59EF7635"/>
    <w:rsid w:val="59F34F31"/>
    <w:rsid w:val="5B653C0C"/>
    <w:rsid w:val="5C6E51CE"/>
    <w:rsid w:val="5E341FC3"/>
    <w:rsid w:val="5E587A58"/>
    <w:rsid w:val="5ECA3D86"/>
    <w:rsid w:val="628E1C9B"/>
    <w:rsid w:val="631877B6"/>
    <w:rsid w:val="63A72557"/>
    <w:rsid w:val="657A0163"/>
    <w:rsid w:val="65BA4B55"/>
    <w:rsid w:val="665E1984"/>
    <w:rsid w:val="67B16A93"/>
    <w:rsid w:val="68703BF0"/>
    <w:rsid w:val="68B75794"/>
    <w:rsid w:val="6A5F216E"/>
    <w:rsid w:val="6B3374F8"/>
    <w:rsid w:val="6CB87914"/>
    <w:rsid w:val="6D734CE6"/>
    <w:rsid w:val="6F597637"/>
    <w:rsid w:val="70072BEC"/>
    <w:rsid w:val="71031AA6"/>
    <w:rsid w:val="720023AB"/>
    <w:rsid w:val="72275556"/>
    <w:rsid w:val="730D5FBE"/>
    <w:rsid w:val="753C5586"/>
    <w:rsid w:val="75BA46FD"/>
    <w:rsid w:val="75BC0475"/>
    <w:rsid w:val="76481D09"/>
    <w:rsid w:val="76522B87"/>
    <w:rsid w:val="77672662"/>
    <w:rsid w:val="78B90C9C"/>
    <w:rsid w:val="7988049C"/>
    <w:rsid w:val="7A873226"/>
    <w:rsid w:val="7C553BF5"/>
    <w:rsid w:val="7D6E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kern w:val="0"/>
      <w:sz w:val="32"/>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rPr>
      <w:kern w:val="0"/>
      <w:sz w:val="20"/>
    </w:rPr>
  </w:style>
  <w:style w:type="paragraph" w:styleId="4">
    <w:name w:val="Body Text 2"/>
    <w:basedOn w:val="1"/>
    <w:qFormat/>
    <w:uiPriority w:val="0"/>
    <w:pPr>
      <w:spacing w:before="100" w:beforeAutospacing="1" w:after="100" w:afterAutospacing="1"/>
    </w:pPr>
    <w:rPr>
      <w:rFonts w:ascii="Times New Roman" w:hAnsi="Times New Roman" w:eastAsia="宋体" w:cs="Times New Roman"/>
      <w:sz w:val="24"/>
      <w:szCs w:val="24"/>
      <w:lang w:val="en-US" w:eastAsia="zh-CN" w:bidi="ar-SA"/>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Body Text Indent 2"/>
    <w:basedOn w:val="1"/>
    <w:qFormat/>
    <w:uiPriority w:val="0"/>
    <w:pPr>
      <w:spacing w:after="120" w:line="480" w:lineRule="auto"/>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wordWrap w:val="0"/>
      <w:topLinePunct/>
      <w:snapToGrid w:val="0"/>
      <w:jc w:val="left"/>
    </w:pPr>
    <w:rPr>
      <w:rFonts w:ascii="Times New Roman" w:hAnsi="Times New Roman" w:eastAsia="宋体" w:cs="Times New Roman"/>
      <w:sz w:val="18"/>
      <w:szCs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3"/>
    <w:next w:val="12"/>
    <w:qFormat/>
    <w:uiPriority w:val="0"/>
    <w:pPr>
      <w:spacing w:line="360" w:lineRule="auto"/>
      <w:ind w:firstLine="420"/>
    </w:pPr>
    <w:rPr>
      <w:rFonts w:eastAsia="Arial Unicode MS"/>
      <w:color w:val="000000"/>
      <w:kern w:val="0"/>
      <w:sz w:val="28"/>
      <w:szCs w:val="28"/>
    </w:rPr>
  </w:style>
  <w:style w:type="paragraph" w:styleId="12">
    <w:name w:val="Body Text First Indent 2"/>
    <w:basedOn w:val="5"/>
    <w:next w:val="1"/>
    <w:qFormat/>
    <w:uiPriority w:val="0"/>
    <w:pPr>
      <w:spacing w:before="100" w:beforeLines="0" w:beforeAutospacing="1" w:after="120" w:afterLines="0" w:line="360" w:lineRule="auto"/>
      <w:ind w:left="420" w:firstLine="420"/>
    </w:pPr>
    <w:rPr>
      <w:rFonts w:eastAsia="Arial Unicode MS"/>
      <w:color w:val="000000"/>
      <w:kern w:val="0"/>
      <w:sz w:val="20"/>
      <w:szCs w:val="20"/>
    </w:r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qFormat/>
    <w:uiPriority w:val="99"/>
    <w:rPr>
      <w:color w:val="000000"/>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p0"/>
    <w:basedOn w:val="1"/>
    <w:qFormat/>
    <w:uiPriority w:val="0"/>
    <w:pPr>
      <w:widowControl/>
    </w:pPr>
    <w:rPr>
      <w:kern w:val="0"/>
      <w:szCs w:val="21"/>
    </w:rPr>
  </w:style>
  <w:style w:type="character" w:customStyle="1" w:styleId="31">
    <w:name w:val="hover1"/>
    <w:basedOn w:val="14"/>
    <w:uiPriority w:val="0"/>
    <w:rPr>
      <w:color w:val="2590EB"/>
    </w:rPr>
  </w:style>
  <w:style w:type="character" w:customStyle="1" w:styleId="32">
    <w:name w:val="hover2"/>
    <w:basedOn w:val="14"/>
    <w:qFormat/>
    <w:uiPriority w:val="0"/>
    <w:rPr>
      <w:color w:val="2590EB"/>
    </w:rPr>
  </w:style>
  <w:style w:type="character" w:customStyle="1" w:styleId="33">
    <w:name w:val="hover3"/>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12409</Words>
  <Characters>14076</Characters>
  <Lines>0</Lines>
  <Paragraphs>0</Paragraphs>
  <TotalTime>50</TotalTime>
  <ScaleCrop>false</ScaleCrop>
  <LinksUpToDate>false</LinksUpToDate>
  <CharactersWithSpaces>14219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2025-02-26T08:31:00Z</dcterms:created>
  <dc:creator>admin</dc:creator>
  <cp:lastModifiedBy>admin</cp:lastModifiedBy>
  <cp:lastPrinted>2025-04-29T07:29:00Z</cp:lastPrinted>
  <dcterms:modified xsi:type="dcterms:W3CDTF">2025-04-29T07:53:41Z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CB24436A234B4E02BB28F0FFB8C93FA9_13</vt:lpwstr>
  </property>
  <property fmtid="{D5CDD505-2E9C-101B-9397-08002B2CF9AE}" pid="4" name="KSOTemplateDocerSaveRecord">
    <vt:lpwstr>eyJoZGlkIjoiZmUwN2JlYzc4MmYzZDA2MGVlMzFmYjZlZGU5ODRiZDEiLCJ1c2VySWQiOiIyMzMwNzg3MzkifQ==</vt:lpwstr>
  </property>
</Properties>
</file>