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2"/>
          <w:szCs w:val="32"/>
          <w:highlight w:val="none"/>
          <w:lang w:val="en-US" w:eastAsia="zh-CN" w:bidi="ar"/>
        </w:rPr>
      </w:pPr>
      <w:r>
        <w:rPr>
          <w:rFonts w:hint="eastAsia" w:ascii="宋体" w:hAnsi="宋体" w:cs="宋体"/>
          <w:b/>
          <w:bCs/>
          <w:color w:val="auto"/>
          <w:kern w:val="0"/>
          <w:sz w:val="32"/>
          <w:szCs w:val="32"/>
          <w:highlight w:val="none"/>
          <w:lang w:val="en-US" w:eastAsia="zh-CN" w:bidi="ar"/>
        </w:rPr>
        <w:t>渑池县英豪镇英新村文化大院整修项目（二期）</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渑池竞磋采购-2025-51</w:t>
      </w:r>
    </w:p>
    <w:p w14:paraId="10743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MCGZ[2025]098-ZC071</w:t>
      </w:r>
      <w:bookmarkStart w:id="49" w:name="_GoBack"/>
      <w:bookmarkEnd w:id="49"/>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r>
        <w:rPr>
          <w:color w:val="auto"/>
          <w:highlight w:val="none"/>
        </w:rPr>
        <w:drawing>
          <wp:inline distT="0" distB="0" distL="114300" distR="114300">
            <wp:extent cx="2482850" cy="2453005"/>
            <wp:effectExtent l="0" t="0" r="0" b="0"/>
            <wp:docPr id="4" name="图片 1" descr="崇璟工程管理咨询有限公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崇璟工程管理咨询有限公司_1"/>
                    <pic:cNvPicPr>
                      <a:picLocks noChangeAspect="1"/>
                    </pic:cNvPicPr>
                  </pic:nvPicPr>
                  <pic:blipFill>
                    <a:blip r:embed="rId8"/>
                    <a:srcRect l="24594" t="24054" r="23897" b="25027"/>
                    <a:stretch>
                      <a:fillRect/>
                    </a:stretch>
                  </pic:blipFill>
                  <pic:spPr>
                    <a:xfrm>
                      <a:off x="0" y="0"/>
                      <a:ext cx="2482850" cy="2453005"/>
                    </a:xfrm>
                    <a:prstGeom prst="rect">
                      <a:avLst/>
                    </a:prstGeom>
                    <a:noFill/>
                    <a:ln>
                      <a:noFill/>
                    </a:ln>
                  </pic:spPr>
                </pic:pic>
              </a:graphicData>
            </a:graphic>
          </wp:inline>
        </w:drawing>
      </w: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6E6E12B">
      <w:pPr>
        <w:keepNext w:val="0"/>
        <w:keepLines w:val="0"/>
        <w:widowControl/>
        <w:suppressLineNumbers w:val="0"/>
        <w:spacing w:line="360" w:lineRule="auto"/>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渑池县黄河河务局</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崇璟工程管理咨询有限公司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月</w:t>
      </w:r>
    </w:p>
    <w:p w14:paraId="29878EF4">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0161837F">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36"/>
              <w:highlight w:val="none"/>
            </w:rPr>
            <w:fldChar w:fldCharType="begin"/>
          </w:r>
          <w:r>
            <w:rPr>
              <w:color w:val="auto"/>
              <w:sz w:val="28"/>
              <w:szCs w:val="36"/>
              <w:highlight w:val="none"/>
            </w:rPr>
            <w:instrText xml:space="preserve"> HYPERLINK \l _Toc9688 </w:instrText>
          </w:r>
          <w:r>
            <w:rPr>
              <w:color w:val="auto"/>
              <w:sz w:val="28"/>
              <w:szCs w:val="36"/>
              <w:highlight w:val="none"/>
            </w:rPr>
            <w:fldChar w:fldCharType="separate"/>
          </w:r>
          <w:r>
            <w:rPr>
              <w:color w:val="auto"/>
              <w:sz w:val="28"/>
              <w:szCs w:val="36"/>
              <w:highlight w:val="none"/>
            </w:rPr>
            <w:t>第一章竞争性磋商公告</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_Toc9688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4B158842">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_Toc28856 </w:instrText>
          </w:r>
          <w:r>
            <w:rPr>
              <w:color w:val="auto"/>
              <w:sz w:val="28"/>
              <w:szCs w:val="36"/>
              <w:highlight w:val="none"/>
            </w:rPr>
            <w:fldChar w:fldCharType="separate"/>
          </w:r>
          <w:r>
            <w:rPr>
              <w:color w:val="auto"/>
              <w:sz w:val="28"/>
              <w:szCs w:val="36"/>
              <w:highlight w:val="none"/>
            </w:rPr>
            <w:t>第二章供应商须知</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_Toc28856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color w:val="auto"/>
              <w:sz w:val="28"/>
              <w:szCs w:val="36"/>
              <w:highlight w:val="none"/>
            </w:rPr>
            <w:fldChar w:fldCharType="end"/>
          </w:r>
        </w:p>
        <w:p w14:paraId="3DA21288">
          <w:pPr>
            <w:pStyle w:val="16"/>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_Toc329 </w:instrText>
          </w:r>
          <w:r>
            <w:rPr>
              <w:color w:val="auto"/>
              <w:sz w:val="28"/>
              <w:szCs w:val="36"/>
              <w:highlight w:val="none"/>
            </w:rPr>
            <w:fldChar w:fldCharType="separate"/>
          </w:r>
          <w:r>
            <w:rPr>
              <w:color w:val="auto"/>
              <w:sz w:val="28"/>
              <w:szCs w:val="44"/>
              <w:highlight w:val="none"/>
            </w:rPr>
            <w:t>第三章评标办法</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_Toc329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color w:val="auto"/>
              <w:sz w:val="28"/>
              <w:szCs w:val="36"/>
              <w:highlight w:val="none"/>
            </w:rPr>
            <w:fldChar w:fldCharType="end"/>
          </w:r>
        </w:p>
        <w:p w14:paraId="78EE9941">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_Toc14709 </w:instrText>
          </w:r>
          <w:r>
            <w:rPr>
              <w:color w:val="auto"/>
              <w:sz w:val="28"/>
              <w:szCs w:val="36"/>
              <w:highlight w:val="none"/>
            </w:rPr>
            <w:fldChar w:fldCharType="separate"/>
          </w:r>
          <w:r>
            <w:rPr>
              <w:rFonts w:hint="eastAsia"/>
              <w:color w:val="auto"/>
              <w:sz w:val="28"/>
              <w:szCs w:val="36"/>
              <w:highlight w:val="none"/>
            </w:rPr>
            <w:t>第四章 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_Toc14709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color w:val="auto"/>
              <w:sz w:val="28"/>
              <w:szCs w:val="36"/>
              <w:highlight w:val="none"/>
            </w:rPr>
            <w:fldChar w:fldCharType="end"/>
          </w:r>
        </w:p>
        <w:p w14:paraId="32F1B2B8">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_Toc23302 </w:instrText>
          </w:r>
          <w:r>
            <w:rPr>
              <w:color w:val="auto"/>
              <w:sz w:val="28"/>
              <w:szCs w:val="36"/>
              <w:highlight w:val="none"/>
            </w:rPr>
            <w:fldChar w:fldCharType="separate"/>
          </w:r>
          <w:r>
            <w:rPr>
              <w:rFonts w:hint="eastAsia" w:cs="Times New Roman"/>
              <w:color w:val="auto"/>
              <w:sz w:val="28"/>
              <w:szCs w:val="36"/>
              <w:highlight w:val="none"/>
              <w:lang w:val="en-US" w:eastAsia="zh-CN"/>
            </w:rPr>
            <w:t>第五章 工程量清单（另附）</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_Toc23302 \h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color w:val="auto"/>
              <w:sz w:val="28"/>
              <w:szCs w:val="36"/>
              <w:highlight w:val="none"/>
            </w:rPr>
            <w:fldChar w:fldCharType="end"/>
          </w:r>
        </w:p>
        <w:p w14:paraId="52934874">
          <w:pPr>
            <w:pStyle w:val="16"/>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_Toc16643 </w:instrText>
          </w:r>
          <w:r>
            <w:rPr>
              <w:color w:val="auto"/>
              <w:sz w:val="28"/>
              <w:szCs w:val="36"/>
              <w:highlight w:val="none"/>
            </w:rPr>
            <w:fldChar w:fldCharType="separate"/>
          </w:r>
          <w:r>
            <w:rPr>
              <w:rFonts w:hint="eastAsia" w:cs="Times New Roman"/>
              <w:color w:val="auto"/>
              <w:sz w:val="28"/>
              <w:szCs w:val="36"/>
              <w:highlight w:val="none"/>
              <w:lang w:val="en-US" w:eastAsia="zh-CN"/>
            </w:rPr>
            <w:t>第六章  电子化响应文件内容及格式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_Toc16643 \h </w:instrText>
          </w:r>
          <w:r>
            <w:rPr>
              <w:color w:val="auto"/>
              <w:sz w:val="28"/>
              <w:szCs w:val="36"/>
              <w:highlight w:val="none"/>
            </w:rPr>
            <w:fldChar w:fldCharType="separate"/>
          </w:r>
          <w:r>
            <w:rPr>
              <w:color w:val="auto"/>
              <w:sz w:val="28"/>
              <w:szCs w:val="36"/>
              <w:highlight w:val="none"/>
            </w:rPr>
            <w:t>31</w:t>
          </w:r>
          <w:r>
            <w:rPr>
              <w:color w:val="auto"/>
              <w:sz w:val="28"/>
              <w:szCs w:val="36"/>
              <w:highlight w:val="none"/>
            </w:rPr>
            <w:fldChar w:fldCharType="end"/>
          </w:r>
          <w:r>
            <w:rPr>
              <w:color w:val="auto"/>
              <w:sz w:val="28"/>
              <w:szCs w:val="36"/>
              <w:highlight w:val="none"/>
            </w:rPr>
            <w:fldChar w:fldCharType="end"/>
          </w:r>
        </w:p>
        <w:p w14:paraId="7EBC3CD8">
          <w:pPr>
            <w:pStyle w:val="1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3"/>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p>
    <w:p w14:paraId="1D221A2F">
      <w:pPr>
        <w:pStyle w:val="3"/>
        <w:tabs>
          <w:tab w:val="left" w:pos="1125"/>
        </w:tabs>
        <w:rPr>
          <w:color w:val="auto"/>
          <w:highlight w:val="none"/>
        </w:rPr>
      </w:pPr>
      <w:bookmarkStart w:id="2" w:name="_Toc9688"/>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渑池县英豪镇英新村文化大院整修项目（二期）</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lang w:eastAsia="zh-CN"/>
        </w:rPr>
        <w:t>日0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w:t>
      </w:r>
      <w:r>
        <w:rPr>
          <w:rFonts w:hint="eastAsia" w:ascii="宋体" w:hAnsi="宋体" w:cs="宋体"/>
          <w:color w:val="auto"/>
          <w:kern w:val="0"/>
          <w:sz w:val="24"/>
          <w:szCs w:val="24"/>
          <w:highlight w:val="none"/>
          <w:lang w:val="en-US" w:eastAsia="zh-CN"/>
        </w:rPr>
        <w:t>51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MCGZ[2025]098-ZC071</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渑池县英豪镇英新村文化大院整修项目（二期）</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705174.22元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705174.22元</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MCGZ[2025]098-ZC071</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渑池县英豪镇英新村文化大院整修项目（二期）</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705174.22</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705174.22</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工程概况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该</w:t>
      </w:r>
      <w:r>
        <w:rPr>
          <w:rFonts w:hint="eastAsia" w:ascii="宋体" w:hAnsi="宋体" w:cs="宋体"/>
          <w:color w:val="auto"/>
          <w:kern w:val="0"/>
          <w:sz w:val="24"/>
          <w:szCs w:val="24"/>
          <w:highlight w:val="none"/>
          <w:lang w:eastAsia="zh-CN"/>
        </w:rPr>
        <w:t>工程位于渑池县英豪镇英新村。本工程主要内容为英新村文化大院整修、新建公厕、室外及绿化等；（具体详见竞争性磋商文件第五章）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、资金来源：财政资金，已落实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计划工期：50日历天</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50日历天</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4B1B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720AA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5月28日08时20分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5月28日08时20分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中国招标投标公共服务平台</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49248C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渑池县黄河河务局</w:t>
      </w:r>
    </w:p>
    <w:p w14:paraId="30B9C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val="en-US" w:eastAsia="zh-CN"/>
        </w:rPr>
        <w:t>渑池县会盟路中段</w:t>
      </w:r>
    </w:p>
    <w:p w14:paraId="5159AC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崔</w:t>
      </w:r>
      <w:r>
        <w:rPr>
          <w:rFonts w:hint="eastAsia" w:ascii="宋体" w:hAnsi="宋体" w:cs="宋体"/>
          <w:color w:val="auto"/>
          <w:kern w:val="0"/>
          <w:sz w:val="24"/>
          <w:szCs w:val="24"/>
          <w:highlight w:val="none"/>
        </w:rPr>
        <w:t>先生</w:t>
      </w:r>
    </w:p>
    <w:p w14:paraId="0C7B96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联系电话：0398-2236660</w:t>
      </w:r>
    </w:p>
    <w:p w14:paraId="5E71D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2、采购</w:t>
      </w:r>
      <w:r>
        <w:rPr>
          <w:rFonts w:hint="eastAsia" w:ascii="宋体" w:hAnsi="宋体" w:cs="宋体"/>
          <w:color w:val="auto"/>
          <w:kern w:val="0"/>
          <w:sz w:val="24"/>
          <w:szCs w:val="24"/>
          <w:highlight w:val="none"/>
          <w:lang w:eastAsia="zh-CN"/>
        </w:rPr>
        <w:t>代理机构：崇璟工程管理咨询有限公司</w:t>
      </w:r>
    </w:p>
    <w:p w14:paraId="6E27B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w:t>
      </w:r>
      <w:r>
        <w:rPr>
          <w:rFonts w:hint="eastAsia" w:ascii="宋体" w:hAnsi="宋体" w:cs="宋体"/>
          <w:color w:val="auto"/>
          <w:kern w:val="0"/>
          <w:sz w:val="24"/>
          <w:szCs w:val="24"/>
          <w:highlight w:val="none"/>
        </w:rPr>
        <w:t>河南省郑州市金水区鸿苑路61号院东区</w:t>
      </w:r>
    </w:p>
    <w:p w14:paraId="23B4B6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联系人：张先生</w:t>
      </w:r>
    </w:p>
    <w:p w14:paraId="2B3961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联系方式：18603986110</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28856"/>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9"/>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20"/>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79F9E8E6">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cs="Times New Roman"/>
                <w:color w:val="auto"/>
                <w:sz w:val="24"/>
                <w:szCs w:val="24"/>
                <w:highlight w:val="none"/>
                <w:lang w:eastAsia="zh-CN"/>
              </w:rPr>
              <w:t>渑池县黄河河务局</w:t>
            </w:r>
          </w:p>
          <w:p w14:paraId="3D7495D5">
            <w:pPr>
              <w:pStyle w:val="37"/>
              <w:spacing w:before="6" w:line="360" w:lineRule="auto"/>
              <w:jc w:val="both"/>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val="en-US" w:eastAsia="zh-CN"/>
              </w:rPr>
              <w:t>渑池县会盟路中段</w:t>
            </w:r>
          </w:p>
          <w:p w14:paraId="2658E62C">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w:t>
            </w:r>
            <w:r>
              <w:rPr>
                <w:rFonts w:hint="eastAsia" w:ascii="宋体" w:hAnsi="宋体" w:eastAsia="宋体" w:cs="Times New Roman"/>
                <w:color w:val="auto"/>
                <w:sz w:val="24"/>
                <w:szCs w:val="24"/>
                <w:highlight w:val="none"/>
                <w:lang w:val="en-US" w:eastAsia="zh-CN"/>
              </w:rPr>
              <w:t>崔</w:t>
            </w:r>
            <w:r>
              <w:rPr>
                <w:rFonts w:hint="eastAsia" w:ascii="宋体" w:hAnsi="宋体" w:eastAsia="宋体" w:cs="Times New Roman"/>
                <w:color w:val="auto"/>
                <w:sz w:val="24"/>
                <w:szCs w:val="24"/>
                <w:highlight w:val="none"/>
              </w:rPr>
              <w:t>先生</w:t>
            </w:r>
          </w:p>
          <w:p w14:paraId="68E10D35">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联系电话：0398-2236660</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05811DDB">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采购代理机构：崇璟工程管理咨询有限公司</w:t>
            </w:r>
          </w:p>
          <w:p w14:paraId="2E02DF40">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w:t>
            </w:r>
            <w:r>
              <w:rPr>
                <w:rFonts w:hint="eastAsia" w:ascii="宋体" w:hAnsi="宋体" w:eastAsia="宋体" w:cs="Times New Roman"/>
                <w:color w:val="auto"/>
                <w:sz w:val="24"/>
                <w:szCs w:val="24"/>
                <w:highlight w:val="none"/>
                <w:lang w:eastAsia="zh-CN"/>
              </w:rPr>
              <w:t>河南省郑州市金水区鸿苑路61号院东区</w:t>
            </w:r>
          </w:p>
          <w:p w14:paraId="1473E1F0">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联系人：张先生</w:t>
            </w:r>
          </w:p>
          <w:p w14:paraId="2EC87433">
            <w:pPr>
              <w:pStyle w:val="37"/>
              <w:spacing w:before="6" w:line="360" w:lineRule="auto"/>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联系方式：1</w:t>
            </w:r>
            <w:r>
              <w:rPr>
                <w:rFonts w:hint="eastAsia" w:cs="Times New Roman"/>
                <w:color w:val="auto"/>
                <w:sz w:val="24"/>
                <w:szCs w:val="24"/>
                <w:highlight w:val="none"/>
                <w:lang w:val="en-US" w:eastAsia="zh-CN"/>
              </w:rPr>
              <w:t>8603986110</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705174.22元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w:t>
            </w:r>
            <w:r>
              <w:rPr>
                <w:rFonts w:hint="eastAsia" w:ascii="宋体" w:hAnsi="宋体" w:cs="宋体"/>
                <w:color w:val="auto"/>
                <w:sz w:val="24"/>
                <w:highlight w:val="none"/>
                <w:lang w:val="en-US" w:eastAsia="zh-CN"/>
              </w:rPr>
              <w:t>渑池县英豪镇英新村文化大院整修项目（二期）</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w:t>
            </w:r>
            <w:r>
              <w:rPr>
                <w:rFonts w:hint="eastAsia" w:ascii="宋体" w:hAnsi="宋体" w:cs="宋体"/>
                <w:color w:val="auto"/>
                <w:kern w:val="0"/>
                <w:sz w:val="24"/>
                <w:szCs w:val="24"/>
                <w:highlight w:val="none"/>
                <w:lang w:val="en-US" w:eastAsia="zh-CN"/>
              </w:rPr>
              <w:t>51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MCGZ[2025]098-ZC071</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财政资金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渑池县英豪镇英新村</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工程概况</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val="en-US" w:eastAsia="zh-CN"/>
              </w:rPr>
              <w:t>该</w:t>
            </w:r>
            <w:r>
              <w:rPr>
                <w:rFonts w:hint="eastAsia" w:ascii="宋体" w:hAnsi="宋体" w:cs="宋体"/>
                <w:color w:val="auto"/>
                <w:kern w:val="0"/>
                <w:sz w:val="24"/>
                <w:szCs w:val="24"/>
                <w:highlight w:val="none"/>
                <w:lang w:eastAsia="zh-CN"/>
              </w:rPr>
              <w:t>工程位于渑池县英豪镇英新村。本工程主要内容为英新村文化大院整修、新建公厕、室外及绿化等；（具体详见竞争性磋商文件第五章）</w:t>
            </w:r>
            <w:r>
              <w:rPr>
                <w:rFonts w:hint="eastAsia" w:ascii="宋体" w:hAnsi="宋体" w:eastAsia="宋体" w:cs="宋体"/>
                <w:color w:val="auto"/>
                <w:sz w:val="24"/>
                <w:szCs w:val="21"/>
                <w:highlight w:val="none"/>
              </w:rPr>
              <w:t>。</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计划工期</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50日历天</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23266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094BC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51EE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7ABE9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4D70A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7A544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2A2FF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0E29E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A081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35AA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5BF18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1D45A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5月28日08时20分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5月28日08时20分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柒拾万零伍仟壹佰柒拾肆元贰角贰分</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705174.22元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：详见供应商须知前附表。</w:t>
      </w:r>
    </w:p>
    <w:p w14:paraId="5B3454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1.2资金来源：详见供应商须知前附表。</w:t>
      </w:r>
    </w:p>
    <w:p w14:paraId="5EA9B7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质量要求：详见供应商须知前附表。</w:t>
      </w:r>
    </w:p>
    <w:p w14:paraId="3078B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4工期</w:t>
      </w:r>
      <w:r>
        <w:rPr>
          <w:rFonts w:hint="eastAsia" w:ascii="宋体" w:hAnsi="宋体" w:eastAsia="宋体" w:cs="宋体"/>
          <w:color w:val="auto"/>
          <w:sz w:val="24"/>
          <w:szCs w:val="24"/>
          <w:highlight w:val="none"/>
        </w:rPr>
        <w:t>：详见供应商须知前附表。</w:t>
      </w:r>
    </w:p>
    <w:p w14:paraId="428EF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5工程</w:t>
      </w:r>
      <w:r>
        <w:rPr>
          <w:rFonts w:hint="eastAsia" w:ascii="宋体" w:hAnsi="宋体" w:eastAsia="宋体" w:cs="宋体"/>
          <w:color w:val="auto"/>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工程量清单</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3"/>
        <w:tabs>
          <w:tab w:val="left" w:pos="1123"/>
        </w:tabs>
        <w:spacing w:before="62"/>
        <w:rPr>
          <w:b/>
          <w:bCs/>
          <w:color w:val="auto"/>
          <w:sz w:val="32"/>
          <w:szCs w:val="36"/>
          <w:highlight w:val="none"/>
        </w:rPr>
      </w:pPr>
      <w:bookmarkStart w:id="4" w:name="_Toc329"/>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9"/>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9"/>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2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259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482F50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1BCDE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5F11AC6">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资质证书及项目经理</w:t>
            </w:r>
          </w:p>
        </w:tc>
        <w:tc>
          <w:tcPr>
            <w:tcW w:w="5575" w:type="dxa"/>
            <w:noWrap w:val="0"/>
            <w:vAlign w:val="center"/>
          </w:tcPr>
          <w:p w14:paraId="7740429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1.</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289FFE8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i w:val="0"/>
                <w:caps w:val="0"/>
                <w:color w:val="auto"/>
                <w:spacing w:val="0"/>
                <w:w w:val="100"/>
                <w:sz w:val="24"/>
                <w:szCs w:val="24"/>
                <w:highlight w:val="none"/>
                <w:lang w:val="en-US" w:eastAsia="zh-CN"/>
              </w:rPr>
              <w:t>2.</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4"/>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计划工期</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50日历天</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9"/>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20"/>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56"/>
        <w:gridCol w:w="875"/>
      </w:tblGrid>
      <w:tr w14:paraId="765F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615A73C3">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评分因素</w:t>
            </w:r>
          </w:p>
        </w:tc>
        <w:tc>
          <w:tcPr>
            <w:tcW w:w="1310" w:type="dxa"/>
            <w:vAlign w:val="center"/>
          </w:tcPr>
          <w:p w14:paraId="2A0C7EDD">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评分内容</w:t>
            </w:r>
          </w:p>
        </w:tc>
        <w:tc>
          <w:tcPr>
            <w:tcW w:w="6656" w:type="dxa"/>
            <w:vAlign w:val="center"/>
          </w:tcPr>
          <w:p w14:paraId="440E1418">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评分标准</w:t>
            </w:r>
          </w:p>
        </w:tc>
        <w:tc>
          <w:tcPr>
            <w:tcW w:w="875" w:type="dxa"/>
            <w:vAlign w:val="center"/>
          </w:tcPr>
          <w:p w14:paraId="37F0A65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分值</w:t>
            </w:r>
          </w:p>
        </w:tc>
      </w:tr>
      <w:tr w14:paraId="345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60A91D7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kern w:val="0"/>
                <w:sz w:val="24"/>
                <w:szCs w:val="22"/>
                <w:highlight w:val="none"/>
              </w:rPr>
              <w:t>报价部分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（30分）</w:t>
            </w:r>
          </w:p>
        </w:tc>
        <w:tc>
          <w:tcPr>
            <w:tcW w:w="1310" w:type="dxa"/>
            <w:vAlign w:val="center"/>
          </w:tcPr>
          <w:p w14:paraId="49C28A64">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w:t>
            </w:r>
          </w:p>
          <w:p w14:paraId="2B3C811E">
            <w:pPr>
              <w:widowControl/>
              <w:spacing w:line="360" w:lineRule="auto"/>
              <w:jc w:val="center"/>
              <w:textAlignment w:val="center"/>
              <w:rPr>
                <w:rFonts w:hint="eastAsia" w:ascii="宋体" w:hAnsi="宋体" w:eastAsia="宋体" w:cs="宋体"/>
                <w:color w:val="auto"/>
                <w:sz w:val="24"/>
                <w:szCs w:val="22"/>
                <w:highlight w:val="none"/>
              </w:rPr>
            </w:pPr>
          </w:p>
        </w:tc>
        <w:tc>
          <w:tcPr>
            <w:tcW w:w="6656" w:type="dxa"/>
          </w:tcPr>
          <w:p w14:paraId="7B885EF9">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号）规定，综合评分法中的价格分用低价优先法计算，即满足招标文件要求且投标价格最低的投标报价为评标基准价，其价格分为满分30分。</w:t>
            </w:r>
          </w:p>
          <w:p w14:paraId="27E534DC">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投标报价得分=(评标基准价/投标报价)×30</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DAA49AA">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p w14:paraId="7ADD2D64">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2、磋商小组认为供应商的报价明显低于其他通过符合性审查供应商的报价</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75" w:type="dxa"/>
            <w:vAlign w:val="center"/>
          </w:tcPr>
          <w:p w14:paraId="57760049">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30分</w:t>
            </w:r>
          </w:p>
        </w:tc>
      </w:tr>
      <w:tr w14:paraId="45B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4" w:hRule="atLeast"/>
          <w:jc w:val="center"/>
        </w:trPr>
        <w:tc>
          <w:tcPr>
            <w:tcW w:w="1122" w:type="dxa"/>
            <w:vMerge w:val="restart"/>
            <w:vAlign w:val="center"/>
          </w:tcPr>
          <w:p w14:paraId="60DA6CFB">
            <w:pPr>
              <w:rPr>
                <w:rFonts w:hint="eastAsia" w:ascii="宋体" w:hAnsi="宋体" w:eastAsia="宋体" w:cs="宋体"/>
                <w:b/>
                <w:color w:val="auto"/>
                <w:sz w:val="24"/>
                <w:szCs w:val="2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2"/>
                <w:highlight w:val="none"/>
              </w:rPr>
              <w:t>技术部分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（50分）</w:t>
            </w:r>
          </w:p>
        </w:tc>
        <w:tc>
          <w:tcPr>
            <w:tcW w:w="1310" w:type="dxa"/>
            <w:shd w:val="clear" w:color="auto" w:fill="auto"/>
            <w:vAlign w:val="center"/>
          </w:tcPr>
          <w:p w14:paraId="2B91474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1主要施工方法</w:t>
            </w:r>
          </w:p>
        </w:tc>
        <w:tc>
          <w:tcPr>
            <w:tcW w:w="6656" w:type="dxa"/>
            <w:shd w:val="clear" w:color="auto" w:fill="auto"/>
            <w:vAlign w:val="center"/>
          </w:tcPr>
          <w:p w14:paraId="0B93CE0C">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主要施工方法先进可行，技术措施合理科学，施工方法规范可靠的得7分；</w:t>
            </w:r>
          </w:p>
          <w:p w14:paraId="35B16E3E">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主要施工方法可行，技术措施合理，施工方法基本规范的得5 分；</w:t>
            </w:r>
          </w:p>
          <w:p w14:paraId="510015FA">
            <w:pPr>
              <w:spacing w:line="360" w:lineRule="auto"/>
              <w:ind w:right="-36" w:rightChars="-17"/>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主要施工方法、技术措施部分合理的得3分；没有描述的不得分。</w:t>
            </w:r>
          </w:p>
        </w:tc>
        <w:tc>
          <w:tcPr>
            <w:tcW w:w="875" w:type="dxa"/>
            <w:vAlign w:val="center"/>
          </w:tcPr>
          <w:p w14:paraId="67A9247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6E2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6DF6840">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A60EB6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2主要物资计划</w:t>
            </w:r>
          </w:p>
          <w:p w14:paraId="48C02E95">
            <w:pPr>
              <w:spacing w:line="360" w:lineRule="auto"/>
              <w:jc w:val="left"/>
              <w:rPr>
                <w:rFonts w:hint="eastAsia" w:ascii="宋体" w:hAnsi="宋体" w:eastAsia="宋体" w:cs="宋体"/>
                <w:color w:val="auto"/>
                <w:kern w:val="2"/>
                <w:sz w:val="24"/>
                <w:szCs w:val="24"/>
                <w:highlight w:val="none"/>
                <w:lang w:val="en-US" w:eastAsia="zh-CN" w:bidi="ar-SA"/>
              </w:rPr>
            </w:pPr>
          </w:p>
        </w:tc>
        <w:tc>
          <w:tcPr>
            <w:tcW w:w="6656" w:type="dxa"/>
            <w:shd w:val="clear" w:color="auto" w:fill="auto"/>
            <w:vAlign w:val="center"/>
          </w:tcPr>
          <w:p w14:paraId="1AB7C270">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拟投入的主要物资计划合理有效的得7分；基本合理有效的得5分；部分合理的得3 分；没有描述的不得分。</w:t>
            </w:r>
          </w:p>
        </w:tc>
        <w:tc>
          <w:tcPr>
            <w:tcW w:w="875" w:type="dxa"/>
            <w:vAlign w:val="center"/>
          </w:tcPr>
          <w:p w14:paraId="02873FED">
            <w:pPr>
              <w:widowControl/>
              <w:jc w:val="both"/>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526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31C852E">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0A5036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3劳动力安排计划</w:t>
            </w:r>
          </w:p>
        </w:tc>
        <w:tc>
          <w:tcPr>
            <w:tcW w:w="6656" w:type="dxa"/>
            <w:shd w:val="clear" w:color="auto" w:fill="auto"/>
            <w:vAlign w:val="center"/>
          </w:tcPr>
          <w:p w14:paraId="436721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劳动力安排计划可行，合理有效的得6分；基本合理有效的得4分；部分合理的得2分；没有描述的不得分。</w:t>
            </w:r>
          </w:p>
        </w:tc>
        <w:tc>
          <w:tcPr>
            <w:tcW w:w="875" w:type="dxa"/>
            <w:vAlign w:val="center"/>
          </w:tcPr>
          <w:p w14:paraId="133AA37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5C4D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0553BC2B">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73C760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4确保工程质量的技术组织措施</w:t>
            </w:r>
          </w:p>
        </w:tc>
        <w:tc>
          <w:tcPr>
            <w:tcW w:w="6656" w:type="dxa"/>
            <w:shd w:val="clear" w:color="auto" w:fill="auto"/>
            <w:vAlign w:val="center"/>
          </w:tcPr>
          <w:p w14:paraId="2EA5D3B9">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确保工程质量的技术组织措施科学可行合理有效的得6分；基本合理有效的得4分；部分合理的得 2 分；没有描述的不得分。</w:t>
            </w:r>
          </w:p>
        </w:tc>
        <w:tc>
          <w:tcPr>
            <w:tcW w:w="875" w:type="dxa"/>
            <w:vAlign w:val="center"/>
          </w:tcPr>
          <w:p w14:paraId="14816DC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3C69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BD9492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42C91C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5确保安全生产的技术组织措施</w:t>
            </w:r>
          </w:p>
        </w:tc>
        <w:tc>
          <w:tcPr>
            <w:tcW w:w="6656" w:type="dxa"/>
            <w:shd w:val="clear" w:color="auto" w:fill="auto"/>
            <w:vAlign w:val="center"/>
          </w:tcPr>
          <w:p w14:paraId="2F8C35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确保安全生产的技术组织措施科学可行合理有效的得 5 分；基本合理有效的得 3.5 分；部分合理的得 2分；没有描述的不得分。</w:t>
            </w:r>
          </w:p>
        </w:tc>
        <w:tc>
          <w:tcPr>
            <w:tcW w:w="875" w:type="dxa"/>
            <w:vAlign w:val="center"/>
          </w:tcPr>
          <w:p w14:paraId="16BCAC8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1A62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254F8B6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0DC6533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6确保工期的技术组织措施</w:t>
            </w:r>
          </w:p>
        </w:tc>
        <w:tc>
          <w:tcPr>
            <w:tcW w:w="6656" w:type="dxa"/>
            <w:shd w:val="clear" w:color="auto" w:fill="auto"/>
            <w:vAlign w:val="center"/>
          </w:tcPr>
          <w:p w14:paraId="5EB31B4C">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确保工期的技术组织措施科学可行，合理有效的得 6分；基本合理有效的得 4 分；部分合理的得 2 分；没有描述的不得分。</w:t>
            </w:r>
          </w:p>
        </w:tc>
        <w:tc>
          <w:tcPr>
            <w:tcW w:w="875" w:type="dxa"/>
            <w:vAlign w:val="center"/>
          </w:tcPr>
          <w:p w14:paraId="67C81B06">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2F57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A84E00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AC654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7确保文明施工技术组织措施</w:t>
            </w:r>
          </w:p>
        </w:tc>
        <w:tc>
          <w:tcPr>
            <w:tcW w:w="6656" w:type="dxa"/>
            <w:shd w:val="clear" w:color="auto" w:fill="auto"/>
            <w:vAlign w:val="center"/>
          </w:tcPr>
          <w:p w14:paraId="78AAB964">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确保文明施工的技术组织措施科学可行合理有效的得 5 分；基本合理有效的得 3 分；部分合理的得 1分；没有描述的不得分。</w:t>
            </w:r>
          </w:p>
        </w:tc>
        <w:tc>
          <w:tcPr>
            <w:tcW w:w="875" w:type="dxa"/>
            <w:vAlign w:val="center"/>
          </w:tcPr>
          <w:p w14:paraId="0BCBBF6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62F0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D085A6D">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7E5F36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8施工总进度表或施工网络图 </w:t>
            </w:r>
          </w:p>
        </w:tc>
        <w:tc>
          <w:tcPr>
            <w:tcW w:w="6656" w:type="dxa"/>
            <w:shd w:val="clear" w:color="auto" w:fill="auto"/>
            <w:vAlign w:val="center"/>
          </w:tcPr>
          <w:p w14:paraId="245947D6">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施工总进度表或施工网络图科学可行,合理有效的得4分；基本合理有效的得 2分；部分合理的得 1分；没有描述的不得分。</w:t>
            </w:r>
          </w:p>
        </w:tc>
        <w:tc>
          <w:tcPr>
            <w:tcW w:w="875" w:type="dxa"/>
            <w:vAlign w:val="center"/>
          </w:tcPr>
          <w:p w14:paraId="71A702C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64F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ED9D9D1">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6F07227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9确保报价完成工程的技术和管理措施</w:t>
            </w:r>
          </w:p>
        </w:tc>
        <w:tc>
          <w:tcPr>
            <w:tcW w:w="6656" w:type="dxa"/>
            <w:shd w:val="clear" w:color="auto" w:fill="auto"/>
            <w:vAlign w:val="center"/>
          </w:tcPr>
          <w:p w14:paraId="725484F5">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确保报价完成工程的技术和管理措施科学可行，合理有效的得 4分；基本合理有效的得2.5 分；部分合理的得1.5分；没有描述的不得分。</w:t>
            </w:r>
          </w:p>
        </w:tc>
        <w:tc>
          <w:tcPr>
            <w:tcW w:w="875" w:type="dxa"/>
            <w:vAlign w:val="center"/>
          </w:tcPr>
          <w:p w14:paraId="7E41E63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104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17301552">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8841" w:type="dxa"/>
            <w:gridSpan w:val="3"/>
            <w:shd w:val="clear" w:color="auto" w:fill="auto"/>
            <w:vAlign w:val="center"/>
          </w:tcPr>
          <w:p w14:paraId="23474210">
            <w:pPr>
              <w:widowControl/>
              <w:tabs>
                <w:tab w:val="left" w:pos="3851"/>
              </w:tabs>
              <w:jc w:val="left"/>
              <w:textAlignment w:val="center"/>
              <w:rPr>
                <w:rFonts w:hint="eastAsia" w:ascii="宋体" w:hAnsi="宋体" w:eastAsia="宋体" w:cs="宋体"/>
                <w:color w:val="auto"/>
                <w:sz w:val="24"/>
                <w:szCs w:val="22"/>
                <w:highlight w:val="none"/>
                <w:lang w:eastAsia="zh-CN"/>
              </w:rPr>
            </w:pPr>
            <w:r>
              <w:rPr>
                <w:rFonts w:hint="eastAsia" w:ascii="宋体" w:hAnsi="宋体" w:eastAsia="宋体" w:cs="宋体"/>
                <w:snapToGrid w:val="0"/>
                <w:color w:val="auto"/>
                <w:kern w:val="0"/>
                <w:sz w:val="24"/>
                <w:highlight w:val="none"/>
              </w:rPr>
              <w:t>以上项目若有缺项的，该项为0分；不缺项的，不低于最低分</w:t>
            </w:r>
          </w:p>
        </w:tc>
      </w:tr>
      <w:tr w14:paraId="5861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restart"/>
            <w:vAlign w:val="center"/>
          </w:tcPr>
          <w:p w14:paraId="129FFBA8">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综合部分</w:t>
            </w:r>
          </w:p>
          <w:p w14:paraId="58B35B3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val="en-US" w:eastAsia="zh-CN"/>
              </w:rPr>
              <w:t>20</w:t>
            </w:r>
            <w:r>
              <w:rPr>
                <w:rFonts w:hint="eastAsia" w:ascii="宋体" w:hAnsi="宋体" w:eastAsia="宋体" w:cs="宋体"/>
                <w:b/>
                <w:color w:val="auto"/>
                <w:sz w:val="24"/>
                <w:szCs w:val="22"/>
                <w:highlight w:val="none"/>
              </w:rPr>
              <w:t>分）</w:t>
            </w:r>
          </w:p>
        </w:tc>
        <w:tc>
          <w:tcPr>
            <w:tcW w:w="1310" w:type="dxa"/>
            <w:tcBorders>
              <w:top w:val="single" w:color="auto" w:sz="4" w:space="0"/>
            </w:tcBorders>
            <w:vAlign w:val="center"/>
          </w:tcPr>
          <w:p w14:paraId="12D3D401">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企业业绩</w:t>
            </w:r>
          </w:p>
          <w:p w14:paraId="426B5659">
            <w:pPr>
              <w:spacing w:line="360" w:lineRule="auto"/>
              <w:ind w:right="-97" w:rightChars="-46"/>
              <w:jc w:val="left"/>
              <w:rPr>
                <w:rFonts w:hint="eastAsia" w:ascii="宋体" w:hAnsi="宋体" w:eastAsia="宋体" w:cs="宋体"/>
                <w:color w:val="auto"/>
                <w:sz w:val="24"/>
                <w:szCs w:val="22"/>
                <w:highlight w:val="none"/>
              </w:rPr>
            </w:pPr>
          </w:p>
        </w:tc>
        <w:tc>
          <w:tcPr>
            <w:tcW w:w="6656" w:type="dxa"/>
            <w:vAlign w:val="center"/>
          </w:tcPr>
          <w:p w14:paraId="155C41A9">
            <w:pPr>
              <w:pStyle w:val="38"/>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月以来，企业有类似业绩的每个得2分，最多得6分。</w:t>
            </w:r>
          </w:p>
          <w:p w14:paraId="4BEA628D">
            <w:pPr>
              <w:pStyle w:val="38"/>
              <w:spacing w:line="360" w:lineRule="auto"/>
              <w:jc w:val="left"/>
              <w:rPr>
                <w:rFonts w:hint="eastAsia" w:ascii="宋体" w:hAnsi="宋体" w:eastAsia="宋体" w:cs="宋体"/>
                <w:color w:val="auto"/>
                <w:sz w:val="24"/>
                <w:szCs w:val="22"/>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以</w:t>
            </w:r>
            <w:r>
              <w:rPr>
                <w:rFonts w:hint="eastAsia" w:ascii="宋体" w:hAnsi="宋体" w:eastAsia="宋体" w:cs="宋体"/>
                <w:bCs/>
                <w:color w:val="auto"/>
                <w:szCs w:val="21"/>
                <w:highlight w:val="none"/>
              </w:rPr>
              <w:t>供应商提供</w:t>
            </w:r>
            <w:r>
              <w:rPr>
                <w:rFonts w:hint="eastAsia" w:ascii="宋体" w:hAnsi="宋体" w:eastAsia="宋体" w:cs="宋体"/>
                <w:bCs/>
                <w:color w:val="auto"/>
                <w:szCs w:val="21"/>
                <w:highlight w:val="none"/>
                <w:lang w:val="en-US" w:eastAsia="zh-CN"/>
              </w:rPr>
              <w:t>中标通知书和</w:t>
            </w:r>
            <w:r>
              <w:rPr>
                <w:rFonts w:hint="eastAsia" w:ascii="宋体" w:hAnsi="宋体" w:eastAsia="宋体" w:cs="宋体"/>
                <w:bCs/>
                <w:color w:val="auto"/>
                <w:szCs w:val="21"/>
                <w:highlight w:val="none"/>
              </w:rPr>
              <w:t>合同协议书为准,内容不完整则不得分）</w:t>
            </w:r>
          </w:p>
        </w:tc>
        <w:tc>
          <w:tcPr>
            <w:tcW w:w="875" w:type="dxa"/>
            <w:vAlign w:val="center"/>
          </w:tcPr>
          <w:p w14:paraId="2F389F23">
            <w:pPr>
              <w:widowControl/>
              <w:tabs>
                <w:tab w:val="left" w:pos="523"/>
              </w:tabs>
              <w:jc w:val="center"/>
              <w:textAlignment w:val="center"/>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 w:val="24"/>
                <w:szCs w:val="28"/>
                <w:highlight w:val="none"/>
                <w:lang w:val="en-US" w:eastAsia="zh-CN"/>
              </w:rPr>
              <w:t>6分</w:t>
            </w:r>
          </w:p>
        </w:tc>
      </w:tr>
      <w:tr w14:paraId="0BB0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39F87AC8">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Align w:val="center"/>
          </w:tcPr>
          <w:p w14:paraId="67CDCE0E">
            <w:pPr>
              <w:spacing w:line="360" w:lineRule="auto"/>
              <w:ind w:right="-97" w:rightChars="-46"/>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highlight w:val="none"/>
              </w:rPr>
              <w:t>履职尽责承诺</w:t>
            </w:r>
          </w:p>
        </w:tc>
        <w:tc>
          <w:tcPr>
            <w:tcW w:w="6656" w:type="dxa"/>
            <w:vAlign w:val="center"/>
          </w:tcPr>
          <w:p w14:paraId="036996D9">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具有全面、详实、可行、合法有效的保证技术措施落实到位的承</w:t>
            </w:r>
          </w:p>
          <w:p w14:paraId="7B0DD9D6">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诺和落实不到位的处理承诺，其中包括各关键岗位人员（项目经</w:t>
            </w:r>
          </w:p>
          <w:p w14:paraId="74EBFCA1">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理/技术负责人及相关岗位人员等）的在岗、更换等履职尽责承</w:t>
            </w:r>
          </w:p>
          <w:p w14:paraId="47338AF2">
            <w:pPr>
              <w:spacing w:line="360" w:lineRule="auto"/>
              <w:ind w:right="-92" w:rightChars="-44"/>
              <w:jc w:val="both"/>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highlight w:val="none"/>
              </w:rPr>
              <w:t>诺，提供承包商履约保证：合理详细的得6分，较为合理的得4分，差的得2分，没有不得分。</w:t>
            </w:r>
          </w:p>
        </w:tc>
        <w:tc>
          <w:tcPr>
            <w:tcW w:w="875" w:type="dxa"/>
            <w:vAlign w:val="center"/>
          </w:tcPr>
          <w:p w14:paraId="353BB7BC">
            <w:pPr>
              <w:spacing w:line="480" w:lineRule="exact"/>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6分</w:t>
            </w:r>
          </w:p>
        </w:tc>
      </w:tr>
      <w:tr w14:paraId="4177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6F89EE24">
            <w:pPr>
              <w:widowControl/>
              <w:spacing w:line="360" w:lineRule="auto"/>
              <w:jc w:val="center"/>
              <w:textAlignment w:val="center"/>
              <w:rPr>
                <w:rFonts w:hint="eastAsia" w:ascii="宋体" w:hAnsi="宋体" w:eastAsia="宋体" w:cs="宋体"/>
                <w:b/>
                <w:color w:val="auto"/>
                <w:sz w:val="24"/>
                <w:szCs w:val="22"/>
                <w:highlight w:val="none"/>
              </w:rPr>
            </w:pPr>
          </w:p>
        </w:tc>
        <w:tc>
          <w:tcPr>
            <w:tcW w:w="1310" w:type="dxa"/>
            <w:vAlign w:val="center"/>
          </w:tcPr>
          <w:p w14:paraId="0DBCDB07">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服务承诺</w:t>
            </w:r>
          </w:p>
          <w:p w14:paraId="455883D0">
            <w:pPr>
              <w:spacing w:line="360" w:lineRule="auto"/>
              <w:ind w:right="-97" w:rightChars="-46"/>
              <w:jc w:val="left"/>
              <w:rPr>
                <w:rFonts w:hint="eastAsia" w:ascii="宋体" w:hAnsi="宋体" w:eastAsia="宋体" w:cs="宋体"/>
                <w:color w:val="auto"/>
                <w:sz w:val="24"/>
                <w:szCs w:val="24"/>
                <w:highlight w:val="none"/>
              </w:rPr>
            </w:pPr>
          </w:p>
        </w:tc>
        <w:tc>
          <w:tcPr>
            <w:tcW w:w="6656" w:type="dxa"/>
            <w:vAlign w:val="center"/>
          </w:tcPr>
          <w:p w14:paraId="525D7BB0">
            <w:pPr>
              <w:numPr>
                <w:ilvl w:val="0"/>
                <w:numId w:val="3"/>
              </w:num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对工程质量和工期做出完整承诺且具有具体措施的，根据措施的完整性、合理性等方面打分：</w:t>
            </w:r>
            <w:r>
              <w:rPr>
                <w:rFonts w:hint="eastAsia" w:ascii="宋体" w:hAnsi="宋体" w:eastAsia="宋体" w:cs="宋体"/>
                <w:color w:val="auto"/>
                <w:sz w:val="24"/>
                <w:highlight w:val="none"/>
              </w:rPr>
              <w:t>合理有效的得2分；基本合理有效的得1分；其他不得分；</w:t>
            </w:r>
          </w:p>
          <w:p w14:paraId="1E40C395">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2、施工期间，加强安全防护措施，保证安全文明施工，保护环境，不发生各种安全事故，且保证措施合理可行：</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325E2C9D">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3、保证不拖欠农民工工资的承诺：承诺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6782DB40">
            <w:pPr>
              <w:numPr>
                <w:ilvl w:val="0"/>
                <w:numId w:val="0"/>
              </w:numPr>
              <w:spacing w:line="360" w:lineRule="auto"/>
              <w:ind w:left="0" w:leftChars="0" w:right="-92" w:rightChars="-44"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highlight w:val="none"/>
              </w:rPr>
              <w:t>响应人的其他实质性的服务承诺：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tc>
        <w:tc>
          <w:tcPr>
            <w:tcW w:w="875" w:type="dxa"/>
            <w:vAlign w:val="center"/>
          </w:tcPr>
          <w:p w14:paraId="4DFAEB68">
            <w:pPr>
              <w:jc w:val="center"/>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8分</w:t>
            </w:r>
          </w:p>
        </w:tc>
      </w:tr>
      <w:tr w14:paraId="0F7A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7" w:hRule="atLeast"/>
          <w:jc w:val="center"/>
        </w:trPr>
        <w:tc>
          <w:tcPr>
            <w:tcW w:w="9963" w:type="dxa"/>
            <w:gridSpan w:val="4"/>
            <w:vAlign w:val="center"/>
          </w:tcPr>
          <w:p w14:paraId="6C65DB8C">
            <w:pPr>
              <w:ind w:right="-92" w:rightChars="-44"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供应商综合得分按下列公式计算（计算分值均保留两位小数）；</w:t>
            </w:r>
          </w:p>
          <w:p w14:paraId="5CC75DAE">
            <w:pPr>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供应商最终得分=报价得分+商务部分得分+技术部分得分；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6" w:name="_Toc14709"/>
      <w:r>
        <w:rPr>
          <w:rFonts w:hint="eastAsia"/>
          <w:b/>
          <w:color w:val="auto"/>
          <w:sz w:val="32"/>
          <w:highlight w:val="none"/>
        </w:rPr>
        <w:t>合同主要条款及格式</w:t>
      </w:r>
      <w:bookmarkEnd w:id="6"/>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r>
        <w:rPr>
          <w:rFonts w:hint="eastAsia" w:cs="Times New Roman"/>
          <w:b/>
          <w:color w:val="auto"/>
          <w:sz w:val="32"/>
          <w:highlight w:val="none"/>
          <w:lang w:val="en-US" w:eastAsia="zh-CN"/>
        </w:rPr>
        <w:t xml:space="preserve"> </w:t>
      </w:r>
      <w:bookmarkStart w:id="7" w:name="_Toc23302"/>
      <w:r>
        <w:rPr>
          <w:rFonts w:hint="eastAsia" w:cs="Times New Roman"/>
          <w:b/>
          <w:color w:val="auto"/>
          <w:sz w:val="32"/>
          <w:highlight w:val="none"/>
          <w:lang w:val="en-US" w:eastAsia="zh-CN"/>
        </w:rPr>
        <w:t>工程量清单（另附）</w:t>
      </w:r>
      <w:bookmarkEnd w:id="7"/>
    </w:p>
    <w:p w14:paraId="06F8DF1E">
      <w:pPr>
        <w:pStyle w:val="19"/>
        <w:numPr>
          <w:ilvl w:val="0"/>
          <w:numId w:val="0"/>
        </w:numPr>
        <w:ind w:leftChars="0"/>
        <w:rPr>
          <w:rFonts w:hint="default"/>
          <w:color w:val="auto"/>
          <w:highlight w:val="none"/>
          <w:lang w:val="en-US" w:eastAsia="zh-CN"/>
        </w:rPr>
      </w:pPr>
    </w:p>
    <w:p w14:paraId="1E5E3D77">
      <w:pPr>
        <w:rPr>
          <w:rFonts w:hint="eastAsia"/>
          <w:color w:val="auto"/>
          <w:highlight w:val="none"/>
          <w:lang w:val="en-US" w:eastAsia="zh-CN"/>
        </w:rPr>
      </w:pPr>
      <w:r>
        <w:rPr>
          <w:rFonts w:hint="eastAsia"/>
          <w:color w:val="auto"/>
          <w:highlight w:val="none"/>
          <w:lang w:val="en-US" w:eastAsia="zh-CN"/>
        </w:rPr>
        <w:t>、</w:t>
      </w:r>
    </w:p>
    <w:p w14:paraId="45DD143D">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8" w:name="_Toc16643"/>
      <w:r>
        <w:rPr>
          <w:rFonts w:hint="eastAsia" w:cs="Times New Roman"/>
          <w:b/>
          <w:color w:val="auto"/>
          <w:sz w:val="32"/>
          <w:highlight w:val="none"/>
          <w:lang w:val="en-US" w:eastAsia="zh-CN"/>
        </w:rPr>
        <w:t>第六章  电子化响应文件内容及格式</w:t>
      </w:r>
      <w:bookmarkEnd w:id="8"/>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9"/>
        <w:rPr>
          <w:b/>
          <w:color w:val="auto"/>
          <w:sz w:val="40"/>
          <w:highlight w:val="none"/>
        </w:rPr>
      </w:pPr>
    </w:p>
    <w:p w14:paraId="2BED2D93">
      <w:pPr>
        <w:pStyle w:val="9"/>
        <w:rPr>
          <w:b/>
          <w:color w:val="auto"/>
          <w:sz w:val="40"/>
          <w:highlight w:val="none"/>
        </w:rPr>
      </w:pPr>
    </w:p>
    <w:p w14:paraId="74C42B77">
      <w:pPr>
        <w:pStyle w:val="9"/>
        <w:rPr>
          <w:b/>
          <w:color w:val="auto"/>
          <w:sz w:val="40"/>
          <w:highlight w:val="none"/>
        </w:rPr>
      </w:pPr>
    </w:p>
    <w:p w14:paraId="19C76406">
      <w:pPr>
        <w:pStyle w:val="9"/>
        <w:rPr>
          <w:b/>
          <w:color w:val="auto"/>
          <w:sz w:val="40"/>
          <w:highlight w:val="none"/>
        </w:rPr>
      </w:pPr>
    </w:p>
    <w:p w14:paraId="64D3BC04">
      <w:pPr>
        <w:pStyle w:val="9"/>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9"/>
        <w:rPr>
          <w:color w:val="auto"/>
          <w:sz w:val="72"/>
          <w:highlight w:val="none"/>
        </w:rPr>
      </w:pPr>
    </w:p>
    <w:p w14:paraId="42929244">
      <w:pPr>
        <w:pStyle w:val="9"/>
        <w:rPr>
          <w:color w:val="auto"/>
          <w:sz w:val="72"/>
          <w:highlight w:val="none"/>
        </w:rPr>
      </w:pPr>
    </w:p>
    <w:p w14:paraId="3A212403">
      <w:pPr>
        <w:pStyle w:val="9"/>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5"/>
        <w:ind w:left="0" w:leftChars="0" w:firstLine="0" w:firstLineChars="0"/>
        <w:jc w:val="center"/>
        <w:outlineLvl w:val="1"/>
        <w:rPr>
          <w:b/>
          <w:bCs/>
          <w:color w:val="auto"/>
          <w:sz w:val="32"/>
          <w:szCs w:val="32"/>
          <w:highlight w:val="none"/>
        </w:rPr>
      </w:pPr>
      <w:bookmarkStart w:id="9" w:name="_bookmark5"/>
      <w:bookmarkEnd w:id="9"/>
      <w:bookmarkStart w:id="10" w:name="一、投标函及投标函附录"/>
      <w:bookmarkEnd w:id="10"/>
      <w:r>
        <w:rPr>
          <w:b/>
          <w:bCs/>
          <w:color w:val="auto"/>
          <w:sz w:val="32"/>
          <w:szCs w:val="32"/>
          <w:highlight w:val="none"/>
        </w:rPr>
        <w:t>一、投标函及投标函附录</w:t>
      </w:r>
    </w:p>
    <w:p w14:paraId="512C4CD8">
      <w:pPr>
        <w:pStyle w:val="9"/>
        <w:spacing w:before="2"/>
        <w:rPr>
          <w:b/>
          <w:color w:val="auto"/>
          <w:sz w:val="30"/>
          <w:highlight w:val="none"/>
        </w:rPr>
      </w:pPr>
    </w:p>
    <w:p w14:paraId="39DF8749">
      <w:pPr>
        <w:pStyle w:val="7"/>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9"/>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计划工期</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9"/>
        <w:rPr>
          <w:rFonts w:hint="eastAsia" w:ascii="宋体" w:hAnsi="宋体" w:eastAsia="宋体" w:cs="宋体"/>
          <w:color w:val="auto"/>
          <w:sz w:val="24"/>
          <w:szCs w:val="24"/>
          <w:highlight w:val="none"/>
        </w:rPr>
      </w:pPr>
    </w:p>
    <w:p w14:paraId="23E1691B">
      <w:pPr>
        <w:pStyle w:val="9"/>
        <w:spacing w:before="7"/>
        <w:rPr>
          <w:rFonts w:hint="eastAsia" w:ascii="宋体" w:hAnsi="宋体" w:eastAsia="宋体" w:cs="宋体"/>
          <w:color w:val="auto"/>
          <w:sz w:val="24"/>
          <w:szCs w:val="24"/>
          <w:highlight w:val="none"/>
        </w:rPr>
      </w:pPr>
    </w:p>
    <w:p w14:paraId="0D5A1A92">
      <w:pPr>
        <w:pStyle w:val="9"/>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9"/>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20"/>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6B31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118E4821">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项目经理及证书编号</w:t>
            </w:r>
          </w:p>
        </w:tc>
        <w:tc>
          <w:tcPr>
            <w:tcW w:w="6648" w:type="dxa"/>
            <w:noWrap w:val="0"/>
            <w:vAlign w:val="center"/>
          </w:tcPr>
          <w:p w14:paraId="2F08814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计划工期</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9"/>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9"/>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9"/>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9"/>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9"/>
        <w:spacing w:before="72" w:line="360" w:lineRule="auto"/>
        <w:ind w:left="686"/>
        <w:rPr>
          <w:color w:val="auto"/>
          <w:sz w:val="24"/>
          <w:szCs w:val="24"/>
          <w:highlight w:val="none"/>
        </w:rPr>
      </w:pPr>
      <w:r>
        <w:rPr>
          <w:color w:val="auto"/>
          <w:sz w:val="24"/>
          <w:szCs w:val="24"/>
          <w:highlight w:val="none"/>
        </w:rPr>
        <w:t>经营期限：</w:t>
      </w:r>
    </w:p>
    <w:p w14:paraId="0EB73842">
      <w:pPr>
        <w:pStyle w:val="9"/>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9"/>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9"/>
        <w:spacing w:before="11" w:line="360" w:lineRule="auto"/>
        <w:rPr>
          <w:color w:val="auto"/>
          <w:sz w:val="24"/>
          <w:szCs w:val="24"/>
          <w:highlight w:val="none"/>
        </w:rPr>
      </w:pPr>
    </w:p>
    <w:p w14:paraId="623887CC">
      <w:pPr>
        <w:pStyle w:val="9"/>
        <w:spacing w:before="71" w:line="360" w:lineRule="auto"/>
        <w:ind w:left="1102"/>
        <w:rPr>
          <w:color w:val="auto"/>
          <w:sz w:val="24"/>
          <w:szCs w:val="24"/>
          <w:highlight w:val="none"/>
        </w:rPr>
      </w:pPr>
      <w:r>
        <w:rPr>
          <w:color w:val="auto"/>
          <w:sz w:val="24"/>
          <w:szCs w:val="24"/>
          <w:highlight w:val="none"/>
        </w:rPr>
        <w:t>特此证明。</w:t>
      </w:r>
    </w:p>
    <w:p w14:paraId="167485FC">
      <w:pPr>
        <w:pStyle w:val="9"/>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9"/>
        <w:rPr>
          <w:color w:val="auto"/>
          <w:sz w:val="24"/>
          <w:szCs w:val="24"/>
          <w:highlight w:val="none"/>
        </w:rPr>
      </w:pPr>
    </w:p>
    <w:p w14:paraId="1A237ECA">
      <w:pPr>
        <w:pStyle w:val="9"/>
        <w:rPr>
          <w:color w:val="auto"/>
          <w:sz w:val="24"/>
          <w:szCs w:val="24"/>
          <w:highlight w:val="none"/>
        </w:rPr>
      </w:pPr>
    </w:p>
    <w:p w14:paraId="04D3C952">
      <w:pPr>
        <w:pStyle w:val="9"/>
        <w:rPr>
          <w:color w:val="auto"/>
          <w:sz w:val="24"/>
          <w:szCs w:val="24"/>
          <w:highlight w:val="none"/>
        </w:rPr>
      </w:pPr>
    </w:p>
    <w:p w14:paraId="7B882CFE">
      <w:pPr>
        <w:pStyle w:val="9"/>
        <w:rPr>
          <w:color w:val="auto"/>
          <w:sz w:val="24"/>
          <w:szCs w:val="24"/>
          <w:highlight w:val="none"/>
        </w:rPr>
      </w:pPr>
    </w:p>
    <w:p w14:paraId="439B1AD1">
      <w:pPr>
        <w:pStyle w:val="9"/>
        <w:rPr>
          <w:color w:val="auto"/>
          <w:sz w:val="24"/>
          <w:szCs w:val="24"/>
          <w:highlight w:val="none"/>
        </w:rPr>
      </w:pPr>
    </w:p>
    <w:p w14:paraId="64EB85D3">
      <w:pPr>
        <w:pStyle w:val="9"/>
        <w:spacing w:before="5"/>
        <w:rPr>
          <w:color w:val="auto"/>
          <w:sz w:val="24"/>
          <w:szCs w:val="24"/>
          <w:highlight w:val="none"/>
        </w:rPr>
      </w:pPr>
    </w:p>
    <w:p w14:paraId="04B739B5">
      <w:pPr>
        <w:pStyle w:val="9"/>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9"/>
        <w:spacing w:before="11"/>
        <w:rPr>
          <w:color w:val="auto"/>
          <w:sz w:val="24"/>
          <w:szCs w:val="24"/>
          <w:highlight w:val="none"/>
        </w:rPr>
      </w:pPr>
    </w:p>
    <w:p w14:paraId="2856A9BD">
      <w:pPr>
        <w:pStyle w:val="9"/>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5"/>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1" w:name="_Toc466566810"/>
      <w:bookmarkEnd w:id="11"/>
    </w:p>
    <w:p w14:paraId="2D6FCF8E">
      <w:pPr>
        <w:pStyle w:val="5"/>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9"/>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9"/>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9"/>
        <w:spacing w:before="4" w:line="360" w:lineRule="auto"/>
        <w:rPr>
          <w:rFonts w:hint="eastAsia" w:ascii="宋体" w:hAnsi="宋体" w:eastAsia="宋体" w:cs="宋体"/>
          <w:color w:val="auto"/>
          <w:sz w:val="24"/>
          <w:szCs w:val="24"/>
          <w:highlight w:val="none"/>
        </w:rPr>
      </w:pPr>
    </w:p>
    <w:p w14:paraId="76975567">
      <w:pPr>
        <w:pStyle w:val="9"/>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9"/>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9"/>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9"/>
        <w:spacing w:before="1" w:line="360" w:lineRule="auto"/>
        <w:ind w:right="237"/>
        <w:rPr>
          <w:rFonts w:hint="eastAsia" w:ascii="宋体" w:hAnsi="宋体" w:eastAsia="宋体" w:cs="宋体"/>
          <w:color w:val="auto"/>
          <w:spacing w:val="-6"/>
          <w:sz w:val="24"/>
          <w:szCs w:val="24"/>
          <w:highlight w:val="none"/>
        </w:rPr>
      </w:pPr>
    </w:p>
    <w:p w14:paraId="278EFB90">
      <w:pPr>
        <w:pStyle w:val="9"/>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2" w:name="_Toc17170"/>
      <w:bookmarkStart w:id="13" w:name="_Toc27309"/>
      <w:bookmarkStart w:id="14" w:name="_Toc30047"/>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398403F4">
      <w:pPr>
        <w:jc w:val="center"/>
        <w:rPr>
          <w:rFonts w:hint="default" w:ascii="宋体" w:hAnsi="宋体" w:cs="Times New Roman"/>
          <w:b/>
          <w:bCs/>
          <w:color w:val="auto"/>
          <w:sz w:val="32"/>
          <w:szCs w:val="32"/>
          <w:highlight w:val="none"/>
          <w:lang w:val="en-US" w:eastAsia="zh-CN"/>
        </w:rPr>
      </w:pPr>
      <w:bookmarkStart w:id="15" w:name="_Toc1751"/>
      <w:r>
        <w:rPr>
          <w:rFonts w:hint="eastAsia" w:ascii="宋体" w:hAnsi="宋体" w:cs="Times New Roman"/>
          <w:b/>
          <w:bCs/>
          <w:color w:val="auto"/>
          <w:sz w:val="32"/>
          <w:szCs w:val="32"/>
          <w:highlight w:val="none"/>
          <w:lang w:val="en-US" w:eastAsia="zh-CN"/>
        </w:rPr>
        <w:br w:type="page"/>
      </w:r>
      <w:r>
        <w:rPr>
          <w:rFonts w:hint="eastAsia" w:ascii="宋体" w:hAnsi="宋体" w:cs="Times New Roman"/>
          <w:b/>
          <w:bCs/>
          <w:color w:val="auto"/>
          <w:sz w:val="32"/>
          <w:szCs w:val="32"/>
          <w:highlight w:val="none"/>
          <w:lang w:val="en-US" w:eastAsia="zh-CN"/>
        </w:rPr>
        <w:t>八、已标价工程量清单</w:t>
      </w:r>
    </w:p>
    <w:p w14:paraId="6E2F6E4B">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九</w:t>
      </w:r>
      <w:r>
        <w:rPr>
          <w:rFonts w:hint="eastAsia" w:ascii="宋体" w:hAnsi="宋体" w:eastAsia="宋体" w:cs="Times New Roman"/>
          <w:b/>
          <w:bCs/>
          <w:color w:val="auto"/>
          <w:sz w:val="32"/>
          <w:szCs w:val="32"/>
          <w:highlight w:val="none"/>
        </w:rPr>
        <w:t>、响应供应商可提交的其他资料</w:t>
      </w:r>
      <w:bookmarkEnd w:id="12"/>
      <w:bookmarkEnd w:id="13"/>
      <w:bookmarkEnd w:id="14"/>
      <w:bookmarkEnd w:id="15"/>
    </w:p>
    <w:p w14:paraId="18A3FF45">
      <w:pPr>
        <w:spacing w:line="360" w:lineRule="auto"/>
        <w:jc w:val="center"/>
        <w:outlineLvl w:val="9"/>
        <w:rPr>
          <w:rFonts w:hint="eastAsia" w:ascii="宋体" w:hAnsi="宋体" w:eastAsia="宋体" w:cs="Times New Roman"/>
          <w:b/>
          <w:color w:val="auto"/>
          <w:sz w:val="32"/>
          <w:szCs w:val="32"/>
          <w:highlight w:val="none"/>
        </w:rPr>
      </w:pPr>
      <w:bookmarkStart w:id="16"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6"/>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7" w:name="_Toc18593"/>
      <w:bookmarkStart w:id="18" w:name="_Toc3901"/>
      <w:bookmarkStart w:id="19" w:name="_Toc24807"/>
      <w:bookmarkStart w:id="20" w:name="_Toc27316"/>
      <w:bookmarkStart w:id="21" w:name="_Toc2102"/>
      <w:bookmarkStart w:id="22" w:name="_Toc25037"/>
      <w:bookmarkStart w:id="23" w:name="_Toc28455"/>
      <w:bookmarkStart w:id="24" w:name="_Toc29742"/>
      <w:r>
        <w:rPr>
          <w:rFonts w:hint="eastAsia" w:ascii="宋体" w:hAnsi="宋体" w:eastAsia="宋体" w:cs="宋体"/>
          <w:color w:val="auto"/>
          <w:sz w:val="24"/>
          <w:szCs w:val="24"/>
          <w:highlight w:val="none"/>
        </w:rPr>
        <w:t>附件2</w:t>
      </w:r>
      <w:bookmarkEnd w:id="17"/>
      <w:bookmarkEnd w:id="18"/>
      <w:bookmarkEnd w:id="19"/>
      <w:bookmarkEnd w:id="20"/>
      <w:bookmarkEnd w:id="21"/>
      <w:bookmarkEnd w:id="22"/>
      <w:bookmarkEnd w:id="23"/>
      <w:bookmarkEnd w:id="24"/>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 w:name="_Toc9287"/>
      <w:bookmarkStart w:id="26" w:name="_Toc20672"/>
      <w:bookmarkStart w:id="27" w:name="_Toc20491"/>
      <w:bookmarkStart w:id="28" w:name="_Toc12776"/>
      <w:bookmarkStart w:id="29" w:name="_Toc30785"/>
      <w:bookmarkStart w:id="30" w:name="_Toc7097"/>
      <w:bookmarkStart w:id="31" w:name="_Toc25118"/>
      <w:bookmarkStart w:id="32" w:name="_Toc22690"/>
      <w:r>
        <w:rPr>
          <w:rFonts w:hint="eastAsia" w:ascii="宋体" w:hAnsi="宋体" w:eastAsia="宋体" w:cs="宋体"/>
          <w:b/>
          <w:bCs/>
          <w:color w:val="auto"/>
          <w:sz w:val="24"/>
          <w:szCs w:val="24"/>
          <w:highlight w:val="none"/>
          <w:lang w:val="zh-CN"/>
        </w:rPr>
        <w:t>监狱企业证明文件</w:t>
      </w:r>
      <w:bookmarkEnd w:id="25"/>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20645"/>
      <w:bookmarkStart w:id="34" w:name="_Toc14168"/>
      <w:bookmarkStart w:id="35" w:name="_Toc27716"/>
      <w:bookmarkStart w:id="36" w:name="_Toc1643"/>
      <w:bookmarkStart w:id="37" w:name="_Toc11345"/>
      <w:bookmarkStart w:id="38" w:name="_Toc6264"/>
      <w:bookmarkStart w:id="39" w:name="_Toc16416"/>
      <w:bookmarkStart w:id="40" w:name="_Toc7118"/>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bookmarkEnd w:id="40"/>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1" w:name="_Toc32130"/>
      <w:bookmarkStart w:id="42" w:name="_Toc12807"/>
      <w:bookmarkStart w:id="43" w:name="_Toc8171"/>
      <w:bookmarkStart w:id="44" w:name="_Toc9003"/>
      <w:bookmarkStart w:id="45" w:name="_Toc24744"/>
      <w:bookmarkStart w:id="46" w:name="_Toc6118"/>
      <w:bookmarkStart w:id="47" w:name="_Toc27930"/>
      <w:bookmarkStart w:id="48" w:name="_Toc25433"/>
      <w:r>
        <w:rPr>
          <w:rFonts w:hint="eastAsia" w:ascii="宋体" w:hAnsi="宋体" w:eastAsia="宋体" w:cs="宋体"/>
          <w:b/>
          <w:bCs/>
          <w:color w:val="auto"/>
          <w:kern w:val="36"/>
          <w:sz w:val="24"/>
          <w:szCs w:val="24"/>
          <w:highlight w:val="none"/>
        </w:rPr>
        <w:t>残疾人福利性单位声明函（如有）</w:t>
      </w:r>
      <w:bookmarkEnd w:id="41"/>
      <w:bookmarkEnd w:id="42"/>
      <w:bookmarkEnd w:id="43"/>
      <w:bookmarkEnd w:id="44"/>
      <w:bookmarkEnd w:id="45"/>
      <w:bookmarkEnd w:id="46"/>
      <w:bookmarkEnd w:id="47"/>
      <w:bookmarkEnd w:id="48"/>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FEEA"/>
    <w:multiLevelType w:val="singleLevel"/>
    <w:tmpl w:val="F6E5FEEA"/>
    <w:lvl w:ilvl="0" w:tentative="0">
      <w:start w:val="1"/>
      <w:numFmt w:val="decimal"/>
      <w:suff w:val="nothing"/>
      <w:lvlText w:val="%1、"/>
      <w:lvlJc w:val="left"/>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nawcES6by21nbdQOrfc6hHI3qks=" w:salt="AiFtgaGCFJj3dE4Q64mS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1914B8"/>
    <w:rsid w:val="014A4B87"/>
    <w:rsid w:val="01D628BE"/>
    <w:rsid w:val="01F66ABD"/>
    <w:rsid w:val="03625857"/>
    <w:rsid w:val="03DB0660"/>
    <w:rsid w:val="041264DF"/>
    <w:rsid w:val="04310280"/>
    <w:rsid w:val="04763EE5"/>
    <w:rsid w:val="04CE19A8"/>
    <w:rsid w:val="05286BE1"/>
    <w:rsid w:val="06F832D7"/>
    <w:rsid w:val="06F8434C"/>
    <w:rsid w:val="07B70FD5"/>
    <w:rsid w:val="07D433FC"/>
    <w:rsid w:val="086816CE"/>
    <w:rsid w:val="09872A61"/>
    <w:rsid w:val="0A307BBE"/>
    <w:rsid w:val="0A60366D"/>
    <w:rsid w:val="0B022976"/>
    <w:rsid w:val="0B683B84"/>
    <w:rsid w:val="0C193AD3"/>
    <w:rsid w:val="0C8A1028"/>
    <w:rsid w:val="0DB066B9"/>
    <w:rsid w:val="0E0132A3"/>
    <w:rsid w:val="0F1D1B2D"/>
    <w:rsid w:val="0F6F5AF2"/>
    <w:rsid w:val="0F8E6BA9"/>
    <w:rsid w:val="0F952BE5"/>
    <w:rsid w:val="11012D1B"/>
    <w:rsid w:val="114535BD"/>
    <w:rsid w:val="116003F7"/>
    <w:rsid w:val="12F7358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B27A7C"/>
    <w:rsid w:val="1CFB20F0"/>
    <w:rsid w:val="1DAF5FA9"/>
    <w:rsid w:val="1E5D4451"/>
    <w:rsid w:val="1F4959A5"/>
    <w:rsid w:val="1F4F1D32"/>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9280B10"/>
    <w:rsid w:val="2A3A09D3"/>
    <w:rsid w:val="2AB949A8"/>
    <w:rsid w:val="2B2D4A4E"/>
    <w:rsid w:val="2B443194"/>
    <w:rsid w:val="2BA2095F"/>
    <w:rsid w:val="2BA559E9"/>
    <w:rsid w:val="2BB10633"/>
    <w:rsid w:val="2C113AC3"/>
    <w:rsid w:val="2D0A14EA"/>
    <w:rsid w:val="2E830CCE"/>
    <w:rsid w:val="2F821DA3"/>
    <w:rsid w:val="30FE72F1"/>
    <w:rsid w:val="31B7018C"/>
    <w:rsid w:val="3203475A"/>
    <w:rsid w:val="32FE2E9B"/>
    <w:rsid w:val="333126C0"/>
    <w:rsid w:val="3357543B"/>
    <w:rsid w:val="3421711A"/>
    <w:rsid w:val="34E138A4"/>
    <w:rsid w:val="34ED62D7"/>
    <w:rsid w:val="353F1F4D"/>
    <w:rsid w:val="35754FDA"/>
    <w:rsid w:val="35774D9F"/>
    <w:rsid w:val="36D97FDD"/>
    <w:rsid w:val="376A7537"/>
    <w:rsid w:val="37E001EA"/>
    <w:rsid w:val="37EE37B7"/>
    <w:rsid w:val="37F457DC"/>
    <w:rsid w:val="383D480E"/>
    <w:rsid w:val="387D4CD1"/>
    <w:rsid w:val="38AC0272"/>
    <w:rsid w:val="3A06303A"/>
    <w:rsid w:val="3D6C2D45"/>
    <w:rsid w:val="3EEA117C"/>
    <w:rsid w:val="400E2C48"/>
    <w:rsid w:val="403703F1"/>
    <w:rsid w:val="40CF6117"/>
    <w:rsid w:val="40E8793D"/>
    <w:rsid w:val="41596145"/>
    <w:rsid w:val="422718F0"/>
    <w:rsid w:val="427D6F5C"/>
    <w:rsid w:val="42B95C33"/>
    <w:rsid w:val="42C83582"/>
    <w:rsid w:val="436F1026"/>
    <w:rsid w:val="44DF2E05"/>
    <w:rsid w:val="44EC44AD"/>
    <w:rsid w:val="451E392D"/>
    <w:rsid w:val="46593AA7"/>
    <w:rsid w:val="46641814"/>
    <w:rsid w:val="471B1FD9"/>
    <w:rsid w:val="477B1E7C"/>
    <w:rsid w:val="482E20D9"/>
    <w:rsid w:val="48390ED1"/>
    <w:rsid w:val="489A776F"/>
    <w:rsid w:val="49340969"/>
    <w:rsid w:val="494C0EF8"/>
    <w:rsid w:val="4A314C56"/>
    <w:rsid w:val="4A747123"/>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8234D0"/>
    <w:rsid w:val="575A4079"/>
    <w:rsid w:val="58086DF8"/>
    <w:rsid w:val="5818245E"/>
    <w:rsid w:val="58B82BD2"/>
    <w:rsid w:val="592B6E1F"/>
    <w:rsid w:val="596C0CB3"/>
    <w:rsid w:val="59EF0550"/>
    <w:rsid w:val="5A105AE3"/>
    <w:rsid w:val="5B8175B1"/>
    <w:rsid w:val="5BB8472C"/>
    <w:rsid w:val="5C1C28CE"/>
    <w:rsid w:val="5C8005D2"/>
    <w:rsid w:val="5D1E5865"/>
    <w:rsid w:val="5D2B2C34"/>
    <w:rsid w:val="5D66733F"/>
    <w:rsid w:val="5EF153BA"/>
    <w:rsid w:val="5F9605FB"/>
    <w:rsid w:val="5FB46F10"/>
    <w:rsid w:val="5FCB3EDE"/>
    <w:rsid w:val="601C1153"/>
    <w:rsid w:val="609D2F1B"/>
    <w:rsid w:val="61553725"/>
    <w:rsid w:val="623C47AA"/>
    <w:rsid w:val="625E65A5"/>
    <w:rsid w:val="63234928"/>
    <w:rsid w:val="63315910"/>
    <w:rsid w:val="63E56E61"/>
    <w:rsid w:val="647E7AED"/>
    <w:rsid w:val="65617249"/>
    <w:rsid w:val="658924EB"/>
    <w:rsid w:val="67000C8D"/>
    <w:rsid w:val="678B0249"/>
    <w:rsid w:val="67F13E67"/>
    <w:rsid w:val="684D7F02"/>
    <w:rsid w:val="68617509"/>
    <w:rsid w:val="687F139E"/>
    <w:rsid w:val="692626AB"/>
    <w:rsid w:val="694641F3"/>
    <w:rsid w:val="694E3F32"/>
    <w:rsid w:val="6BA918F3"/>
    <w:rsid w:val="6BAB5A1A"/>
    <w:rsid w:val="6BE17C88"/>
    <w:rsid w:val="6BF34B5F"/>
    <w:rsid w:val="6C0979E0"/>
    <w:rsid w:val="6C71128E"/>
    <w:rsid w:val="6D3671B7"/>
    <w:rsid w:val="6D5E02EA"/>
    <w:rsid w:val="6EC407F2"/>
    <w:rsid w:val="6EF10793"/>
    <w:rsid w:val="6F043A22"/>
    <w:rsid w:val="6F095BAB"/>
    <w:rsid w:val="6F455122"/>
    <w:rsid w:val="6FB61E83"/>
    <w:rsid w:val="72F524C9"/>
    <w:rsid w:val="73922C6D"/>
    <w:rsid w:val="73F73575"/>
    <w:rsid w:val="742017BE"/>
    <w:rsid w:val="752244C4"/>
    <w:rsid w:val="7533222E"/>
    <w:rsid w:val="77057D06"/>
    <w:rsid w:val="77444892"/>
    <w:rsid w:val="77465356"/>
    <w:rsid w:val="782D11B6"/>
    <w:rsid w:val="789D4075"/>
    <w:rsid w:val="78BA2027"/>
    <w:rsid w:val="79273E57"/>
    <w:rsid w:val="7A081C66"/>
    <w:rsid w:val="7A1C7734"/>
    <w:rsid w:val="7A432F13"/>
    <w:rsid w:val="7A5769BE"/>
    <w:rsid w:val="7A717563"/>
    <w:rsid w:val="7A9E5FB6"/>
    <w:rsid w:val="7AF1471D"/>
    <w:rsid w:val="7B3B008E"/>
    <w:rsid w:val="7B727ECD"/>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right="19"/>
      <w:jc w:val="center"/>
      <w:outlineLvl w:val="0"/>
    </w:pPr>
    <w:rPr>
      <w:rFonts w:ascii="宋体" w:hAnsi="宋体" w:eastAsia="宋体" w:cs="宋体"/>
      <w:b/>
      <w:bCs/>
      <w:sz w:val="28"/>
      <w:szCs w:val="28"/>
    </w:rPr>
  </w:style>
  <w:style w:type="paragraph" w:styleId="4">
    <w:name w:val="heading 2"/>
    <w:basedOn w:val="1"/>
    <w:next w:val="1"/>
    <w:qFormat/>
    <w:uiPriority w:val="1"/>
    <w:pPr>
      <w:ind w:left="3553"/>
      <w:outlineLvl w:val="1"/>
    </w:pPr>
    <w:rPr>
      <w:rFonts w:ascii="黑体" w:hAnsi="黑体" w:eastAsia="黑体" w:cs="黑体"/>
      <w:sz w:val="28"/>
      <w:szCs w:val="28"/>
    </w:rPr>
  </w:style>
  <w:style w:type="paragraph" w:styleId="5">
    <w:name w:val="heading 3"/>
    <w:basedOn w:val="1"/>
    <w:next w:val="1"/>
    <w:qFormat/>
    <w:uiPriority w:val="1"/>
    <w:pPr>
      <w:spacing w:before="60"/>
      <w:ind w:left="273"/>
      <w:outlineLvl w:val="2"/>
    </w:pPr>
    <w:rPr>
      <w:rFonts w:ascii="宋体" w:hAnsi="宋体" w:eastAsia="宋体" w:cs="宋体"/>
      <w:sz w:val="29"/>
      <w:szCs w:val="29"/>
    </w:rPr>
  </w:style>
  <w:style w:type="paragraph" w:styleId="6">
    <w:name w:val="heading 4"/>
    <w:basedOn w:val="1"/>
    <w:next w:val="1"/>
    <w:qFormat/>
    <w:uiPriority w:val="99"/>
    <w:pPr>
      <w:keepNext/>
      <w:outlineLvl w:val="3"/>
    </w:pPr>
    <w:rPr>
      <w:b/>
      <w:bCs/>
      <w:kern w:val="0"/>
      <w:sz w:val="24"/>
      <w:szCs w:val="24"/>
    </w:rPr>
  </w:style>
  <w:style w:type="paragraph" w:styleId="7">
    <w:name w:val="heading 7"/>
    <w:basedOn w:val="1"/>
    <w:next w:val="1"/>
    <w:qFormat/>
    <w:uiPriority w:val="1"/>
    <w:pPr>
      <w:ind w:left="748" w:hanging="420"/>
      <w:outlineLvl w:val="6"/>
    </w:pPr>
    <w:rPr>
      <w:rFonts w:ascii="宋体" w:hAnsi="宋体" w:eastAsia="宋体" w:cs="宋体"/>
      <w:b/>
      <w:bCs/>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qFormat/>
    <w:uiPriority w:val="1"/>
    <w:rPr>
      <w:rFonts w:ascii="宋体" w:hAnsi="宋体" w:eastAsia="宋体" w:cs="宋体"/>
      <w:sz w:val="23"/>
      <w:szCs w:val="23"/>
    </w:rPr>
  </w:style>
  <w:style w:type="paragraph" w:styleId="10">
    <w:name w:val="Body Text Indent"/>
    <w:basedOn w:val="1"/>
    <w:next w:val="11"/>
    <w:qFormat/>
    <w:uiPriority w:val="0"/>
    <w:pPr>
      <w:adjustRightInd w:val="0"/>
      <w:ind w:left="960"/>
      <w:jc w:val="left"/>
      <w:textAlignment w:val="baseline"/>
    </w:pPr>
    <w:rPr>
      <w:rFonts w:ascii="楷体_GB2312" w:eastAsia="楷体_GB2312"/>
      <w:kern w:val="0"/>
      <w:sz w:val="28"/>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Body Text Indent 2"/>
    <w:basedOn w:val="1"/>
    <w:unhideWhenUsed/>
    <w:qFormat/>
    <w:uiPriority w:val="99"/>
    <w:pPr>
      <w:spacing w:after="120" w:line="480" w:lineRule="auto"/>
      <w:ind w:left="420" w:leftChars="200"/>
      <w:jc w:val="both"/>
    </w:pPr>
    <w:rPr>
      <w:sz w:val="21"/>
      <w:szCs w:val="24"/>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Body Text First Indent"/>
    <w:basedOn w:val="9"/>
    <w:qFormat/>
    <w:uiPriority w:val="0"/>
    <w:pPr>
      <w:ind w:firstLine="420" w:firstLineChars="100"/>
    </w:pPr>
  </w:style>
  <w:style w:type="paragraph" w:styleId="19">
    <w:name w:val="Body Text First Indent 2"/>
    <w:basedOn w:val="10"/>
    <w:next w:val="1"/>
    <w:qFormat/>
    <w:uiPriority w:val="0"/>
    <w:pPr>
      <w:ind w:firstLine="420" w:firstLineChars="200"/>
    </w:pPr>
    <w:rPr>
      <w:rFonts w:ascii="Times New Roman" w:hAnsi="Times New Roman" w:eastAsia="宋体" w:cs="Times New Roman"/>
    </w:rPr>
  </w:style>
  <w:style w:type="table" w:styleId="21">
    <w:name w:val="Table Grid"/>
    <w:basedOn w:val="2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18"/>
      <w:szCs w:val="18"/>
      <w:bdr w:val="single" w:color="D2D2D2" w:sz="2" w:space="0"/>
    </w:rPr>
  </w:style>
  <w:style w:type="character" w:styleId="28">
    <w:name w:val="HTML Acronym"/>
    <w:basedOn w:val="22"/>
    <w:qFormat/>
    <w:uiPriority w:val="0"/>
  </w:style>
  <w:style w:type="character" w:styleId="29">
    <w:name w:val="HTML Variable"/>
    <w:basedOn w:val="22"/>
    <w:qFormat/>
    <w:uiPriority w:val="0"/>
    <w:rPr>
      <w:shd w:val="clear" w:fill="FFFFFF"/>
    </w:rPr>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 样式 行距: 1.5 倍行距 + 首行缩进:  2 字符"/>
    <w:next w:val="9"/>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2"/>
    <w:qFormat/>
    <w:uiPriority w:val="0"/>
    <w:rPr>
      <w:color w:val="2590EB"/>
    </w:rPr>
  </w:style>
  <w:style w:type="character" w:customStyle="1" w:styleId="42">
    <w:name w:val="hover2"/>
    <w:basedOn w:val="22"/>
    <w:qFormat/>
    <w:uiPriority w:val="0"/>
    <w:rPr>
      <w:color w:val="2590EB"/>
    </w:rPr>
  </w:style>
  <w:style w:type="character" w:customStyle="1" w:styleId="43">
    <w:name w:val="hover3"/>
    <w:basedOn w:val="22"/>
    <w:qFormat/>
    <w:uiPriority w:val="0"/>
  </w:style>
  <w:style w:type="character" w:customStyle="1" w:styleId="44">
    <w:name w:val="mini-outputtext1"/>
    <w:basedOn w:val="22"/>
    <w:qFormat/>
    <w:uiPriority w:val="0"/>
  </w:style>
  <w:style w:type="character" w:customStyle="1" w:styleId="45">
    <w:name w:val="hover"/>
    <w:basedOn w:val="22"/>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2"/>
    <w:qFormat/>
    <w:uiPriority w:val="0"/>
    <w:rPr>
      <w:bdr w:val="single" w:color="CCCCCC" w:sz="6" w:space="0"/>
      <w:shd w:val="clear" w:fill="FFFFFF"/>
    </w:rPr>
  </w:style>
  <w:style w:type="character" w:customStyle="1" w:styleId="50">
    <w:name w:val="first-child"/>
    <w:basedOn w:val="22"/>
    <w:qFormat/>
    <w:uiPriority w:val="0"/>
  </w:style>
  <w:style w:type="paragraph" w:customStyle="1" w:styleId="51">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20395</Words>
  <Characters>21989</Characters>
  <Lines>0</Lines>
  <Paragraphs>0</Paragraphs>
  <TotalTime>4</TotalTime>
  <ScaleCrop>false</ScaleCrop>
  <LinksUpToDate>false</LinksUpToDate>
  <CharactersWithSpaces>22533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李扬</cp:lastModifiedBy>
  <dcterms:modified xsi:type="dcterms:W3CDTF">2025-05-13T11:07:23Z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97475B6944CE4F9EAE4E5201B779FE20_13</vt:lpwstr>
  </property>
  <property fmtid="{D5CDD505-2E9C-101B-9397-08002B2CF9AE}" pid="4" name="KSOTemplateDocerSaveRecord">
    <vt:lpwstr>eyJoZGlkIjoiODMwNWNmZTllMTQ2YjMwYjEwNTBhYzVlNTJjODYzNjMiLCJ1c2VySWQiOiI0MzczODk0NzkifQ==</vt:lpwstr>
  </property>
</Properties>
</file>